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0F553" w14:textId="77777777" w:rsidR="00754C9A" w:rsidRDefault="00754C9A" w:rsidP="00441B6F">
      <w:pPr>
        <w:pStyle w:val="Title"/>
        <w:spacing w:after="0"/>
        <w:jc w:val="both"/>
        <w:rPr>
          <w:rFonts w:ascii="Arial" w:hAnsi="Arial" w:cs="Arial"/>
        </w:rPr>
      </w:pPr>
    </w:p>
    <w:p w14:paraId="4D1B41AC" w14:textId="4F8103A8" w:rsidR="003B5D9E" w:rsidRPr="00790ADA" w:rsidRDefault="006B1D06" w:rsidP="00441B6F">
      <w:pPr>
        <w:pStyle w:val="Author"/>
        <w:spacing w:line="240" w:lineRule="auto"/>
        <w:jc w:val="both"/>
        <w:rPr>
          <w:rFonts w:ascii="Arial" w:hAnsi="Arial" w:cs="Arial"/>
          <w:sz w:val="36"/>
        </w:rPr>
      </w:pPr>
      <w:r w:rsidRPr="006B1D06">
        <w:rPr>
          <w:rFonts w:ascii="Arial" w:hAnsi="Arial" w:cs="Arial"/>
          <w:sz w:val="36"/>
        </w:rPr>
        <w:t xml:space="preserve">From Care to Practice: Linking Nutrition Care with Adolescent </w:t>
      </w:r>
      <w:r>
        <w:rPr>
          <w:rFonts w:ascii="Arial" w:hAnsi="Arial" w:cs="Arial"/>
          <w:sz w:val="36"/>
        </w:rPr>
        <w:t>Nutritional Practices</w:t>
      </w:r>
      <w:r w:rsidRPr="006B1D06">
        <w:rPr>
          <w:rFonts w:ascii="Arial" w:hAnsi="Arial" w:cs="Arial"/>
          <w:sz w:val="36"/>
        </w:rPr>
        <w:t xml:space="preserve"> in Wakiso</w:t>
      </w:r>
      <w:r w:rsidR="008B46B4">
        <w:rPr>
          <w:rFonts w:ascii="Arial" w:hAnsi="Arial" w:cs="Arial"/>
          <w:sz w:val="36"/>
        </w:rPr>
        <w:t xml:space="preserve"> District</w:t>
      </w:r>
      <w:r w:rsidR="0019697E">
        <w:rPr>
          <w:rFonts w:ascii="Arial" w:hAnsi="Arial" w:cs="Arial"/>
          <w:sz w:val="36"/>
        </w:rPr>
        <w:t>,</w:t>
      </w:r>
      <w:r w:rsidR="0019697E" w:rsidRPr="0019697E">
        <w:t xml:space="preserve"> </w:t>
      </w:r>
      <w:r w:rsidR="0019697E" w:rsidRPr="0019697E">
        <w:rPr>
          <w:rFonts w:ascii="Arial" w:hAnsi="Arial" w:cs="Arial"/>
          <w:sz w:val="36"/>
        </w:rPr>
        <w:t>Uganda</w:t>
      </w:r>
      <w:bookmarkStart w:id="0" w:name="_GoBack"/>
      <w:bookmarkEnd w:id="0"/>
    </w:p>
    <w:p w14:paraId="248CA414" w14:textId="77777777" w:rsidR="002C57D2" w:rsidRPr="00FB3A86" w:rsidRDefault="002C57D2" w:rsidP="00441B6F">
      <w:pPr>
        <w:pStyle w:val="Affiliation"/>
        <w:spacing w:after="0" w:line="240" w:lineRule="auto"/>
        <w:jc w:val="both"/>
        <w:rPr>
          <w:rFonts w:ascii="Arial" w:hAnsi="Arial" w:cs="Arial"/>
        </w:rPr>
      </w:pPr>
    </w:p>
    <w:p w14:paraId="3D490DEA" w14:textId="77777777" w:rsidR="00FB4D30" w:rsidRDefault="00E622FF" w:rsidP="00FB4D30">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494BB286" wp14:editId="6D7D877F">
                <wp:extent cx="5303520" cy="635"/>
                <wp:effectExtent l="11430" t="11430" r="9525" b="17145"/>
                <wp:docPr id="19782897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87C6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92003AD" w14:textId="77777777" w:rsidR="00FB4D30" w:rsidRDefault="00FB4D30" w:rsidP="00FB4D30">
      <w:pPr>
        <w:pStyle w:val="Copyright"/>
        <w:spacing w:after="0" w:line="240" w:lineRule="auto"/>
        <w:jc w:val="both"/>
        <w:rPr>
          <w:rFonts w:ascii="Arial" w:hAnsi="Arial" w:cs="Arial"/>
        </w:rPr>
      </w:pPr>
    </w:p>
    <w:p w14:paraId="2AE5F4E0" w14:textId="36A7A98B" w:rsidR="00B01FCD" w:rsidRDefault="00B01FCD" w:rsidP="00FB4D30">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52EFF1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296529" w:rsidRPr="001E44FE" w14:paraId="6A373FFA" w14:textId="77777777" w:rsidTr="001E44FE">
        <w:tc>
          <w:tcPr>
            <w:tcW w:w="9576" w:type="dxa"/>
            <w:shd w:val="clear" w:color="auto" w:fill="F2F2F2"/>
          </w:tcPr>
          <w:p w14:paraId="6E87B874" w14:textId="49603C13" w:rsidR="00E34E6B" w:rsidRDefault="00E34E6B" w:rsidP="00E34E6B">
            <w:pPr>
              <w:spacing w:before="100" w:beforeAutospacing="1" w:after="100" w:afterAutospacing="1" w:line="276" w:lineRule="auto"/>
              <w:jc w:val="both"/>
            </w:pPr>
            <w:r w:rsidRPr="00AE4EED">
              <w:rPr>
                <w:b/>
                <w:bCs/>
              </w:rPr>
              <w:t>Aims:</w:t>
            </w:r>
            <w:r>
              <w:t xml:space="preserve"> To investigate the </w:t>
            </w:r>
            <w:r w:rsidR="007D4055">
              <w:t>link between</w:t>
            </w:r>
            <w:r>
              <w:t xml:space="preserve"> nutrition care </w:t>
            </w:r>
            <w:r w:rsidR="007D4055">
              <w:t>and</w:t>
            </w:r>
            <w:r>
              <w:t xml:space="preserve"> nutritional practices among school-going adolescents in Wakiso District, Uganda. </w:t>
            </w:r>
          </w:p>
          <w:p w14:paraId="67BC2643" w14:textId="77777777" w:rsidR="00E34E6B" w:rsidRDefault="00E34E6B" w:rsidP="00E34E6B">
            <w:pPr>
              <w:spacing w:before="100" w:beforeAutospacing="1" w:after="100" w:afterAutospacing="1" w:line="276" w:lineRule="auto"/>
              <w:jc w:val="both"/>
            </w:pPr>
            <w:r w:rsidRPr="00AE4EED">
              <w:rPr>
                <w:b/>
                <w:bCs/>
              </w:rPr>
              <w:t>Study Design:</w:t>
            </w:r>
            <w:r>
              <w:t xml:space="preserve"> A sequential mixed methods design was employed in this study.</w:t>
            </w:r>
          </w:p>
          <w:p w14:paraId="3814CD4E" w14:textId="77777777" w:rsidR="00E34E6B" w:rsidRDefault="00E34E6B" w:rsidP="00E34E6B">
            <w:pPr>
              <w:spacing w:before="100" w:beforeAutospacing="1" w:after="100" w:afterAutospacing="1" w:line="276" w:lineRule="auto"/>
              <w:jc w:val="both"/>
              <w:rPr>
                <w:szCs w:val="24"/>
              </w:rPr>
            </w:pPr>
            <w:r w:rsidRPr="00E505F6">
              <w:rPr>
                <w:b/>
                <w:bCs/>
              </w:rPr>
              <w:t>Place and Duration of Study:</w:t>
            </w:r>
            <w:r>
              <w:t xml:space="preserve"> </w:t>
            </w:r>
            <w:r w:rsidRPr="007A5BD7">
              <w:rPr>
                <w:szCs w:val="24"/>
              </w:rPr>
              <w:t>This study was conducted in Nansana Municipality, one of the major urban local governments in Uganda</w:t>
            </w:r>
            <w:r>
              <w:t>. The domain of study was secondary schools in Nansana Municipality. The data collection was conducted between November 2024 to April 2025</w:t>
            </w:r>
            <w:r w:rsidRPr="007A5BD7">
              <w:rPr>
                <w:szCs w:val="24"/>
              </w:rPr>
              <w:t xml:space="preserve">. </w:t>
            </w:r>
          </w:p>
          <w:p w14:paraId="0FD2E798" w14:textId="77777777" w:rsidR="002955EE" w:rsidRDefault="002955EE" w:rsidP="002955EE">
            <w:pPr>
              <w:spacing w:line="276" w:lineRule="auto"/>
              <w:jc w:val="both"/>
            </w:pPr>
            <w:r w:rsidRPr="002955EE">
              <w:rPr>
                <w:b/>
                <w:bCs/>
                <w:szCs w:val="24"/>
              </w:rPr>
              <w:t>Study Variables:</w:t>
            </w:r>
            <w:r>
              <w:rPr>
                <w:szCs w:val="24"/>
              </w:rPr>
              <w:t xml:space="preserve"> </w:t>
            </w:r>
            <w:r>
              <w:t xml:space="preserve">The study variables considered in this study included a range of demographic factors such as gender, age, residence status, and the class of adolescent students, as well as their religious affiliations. For biology teachers, information was extracted on their education levels, years of experience, age, and gender. Furthermore, nutritional care provided by the teachers, as reported by the adolescent and teenage students, measured the independent variables while their practices featured as dependent variables. </w:t>
            </w:r>
          </w:p>
          <w:p w14:paraId="1114F192" w14:textId="77777777" w:rsidR="00E34E6B" w:rsidRDefault="00E34E6B" w:rsidP="002955EE">
            <w:pPr>
              <w:spacing w:before="100" w:beforeAutospacing="1" w:after="100" w:afterAutospacing="1" w:line="276" w:lineRule="auto"/>
              <w:jc w:val="both"/>
            </w:pPr>
            <w:r w:rsidRPr="00AE4EED">
              <w:rPr>
                <w:b/>
                <w:bCs/>
              </w:rPr>
              <w:t>Methodology:</w:t>
            </w:r>
            <w:r>
              <w:t xml:space="preserve"> We included 1174 teenage and adolescent students and 45 science teachers. </w:t>
            </w:r>
            <w:r w:rsidRPr="00BF03E0">
              <w:rPr>
                <w:lang w:val="en"/>
              </w:rPr>
              <w:t>The</w:t>
            </w:r>
            <w:r>
              <w:t>se were in senior one to senior three in different schools within the municipality</w:t>
            </w:r>
            <w:r w:rsidRPr="00BF03E0">
              <w:rPr>
                <w:lang w:val="en"/>
              </w:rPr>
              <w:t xml:space="preserve">. </w:t>
            </w:r>
            <w:r>
              <w:t>Data collection was done with the aid of a structured questionnaire. It was entered into MS. Excel and later imported into Stata version 18.0 for data analysis. The questions were in the form of a 5-point Likert to allow easy aggregation of the item constructs and support quantitative data analysis. Univariate data analysis was performed using frequency tables to provide a distribution of adolescent students' characteristics. Furthermore, bar charts and boxplots helped in ascertaining the most common nutritional care provided to the adolescents by the teachers. Finally, a multivariable model, particularly the binary logistic regression model, was employed after preliminary results revealed a binomial family individual distribution identification.</w:t>
            </w:r>
          </w:p>
          <w:p w14:paraId="2C3AE385" w14:textId="041DE64B" w:rsidR="00505F06" w:rsidRPr="00E34E6B" w:rsidRDefault="00E34E6B" w:rsidP="00E34E6B">
            <w:pPr>
              <w:spacing w:before="100" w:beforeAutospacing="1" w:after="100" w:afterAutospacing="1" w:line="276" w:lineRule="auto"/>
              <w:jc w:val="both"/>
            </w:pPr>
            <w:r w:rsidRPr="00AE4EED">
              <w:rPr>
                <w:b/>
                <w:bCs/>
              </w:rPr>
              <w:t>Results:</w:t>
            </w:r>
            <w:r>
              <w:t xml:space="preserve"> </w:t>
            </w:r>
            <w:r w:rsidR="00412402">
              <w:t>A strong link was found between nutrition care and nutritional practices. Results</w:t>
            </w:r>
            <w:r>
              <w:t xml:space="preserve"> indicated that adolescents who received excellent nutritional care were 6.69 times more likely to promote positive practices compared to those with poor care. Similarly, those with good care had 3.65 times higher odds, while those with fair care had 3.48 times higher odds. This demonstrates that even moderate improvements in nutritional care significantly increase the likelihood of adopting healthier practices. Furthermore, teachers’ educational level was found to be an important factor. Those with a PhD were 16.35 times more likely to promote nutritional practices compared to diploma holders, while those with a Master’s degree were 4.37 times more likely. However, teachers with a Bachelor’s degree did not show a significant difference compared to diploma or certificate holders. Lastly, results showed that each additional year of teaching experience nearly doubled the odds of promoting nutritional practices. This suggests that accumulated experience equips teachers with the knowledge, skills, and credibility to more effectively influence adolescents toward healthier dietary behaviors. </w:t>
            </w:r>
          </w:p>
        </w:tc>
      </w:tr>
    </w:tbl>
    <w:p w14:paraId="649E51C7" w14:textId="77777777" w:rsidR="00636EB2" w:rsidRDefault="00636EB2" w:rsidP="00441B6F">
      <w:pPr>
        <w:pStyle w:val="Body"/>
        <w:spacing w:after="0"/>
        <w:rPr>
          <w:rFonts w:ascii="Arial" w:hAnsi="Arial" w:cs="Arial"/>
          <w:i/>
        </w:rPr>
      </w:pPr>
    </w:p>
    <w:p w14:paraId="24D8299D" w14:textId="1562876B" w:rsidR="00790ADA" w:rsidRDefault="00E34E6B" w:rsidP="00441B6F">
      <w:pPr>
        <w:pStyle w:val="Body"/>
        <w:spacing w:after="0"/>
        <w:rPr>
          <w:i/>
          <w:iCs/>
        </w:rPr>
      </w:pPr>
      <w:r>
        <w:lastRenderedPageBreak/>
        <w:t xml:space="preserve">Keywords: </w:t>
      </w:r>
      <w:r w:rsidRPr="00DE79BD">
        <w:rPr>
          <w:i/>
          <w:iCs/>
        </w:rPr>
        <w:t>Nutritional Care, Nutritional Practices, Binary Logistic Regression Model, Teenagers, Adolescents</w:t>
      </w:r>
    </w:p>
    <w:p w14:paraId="0EE5D5DB" w14:textId="77777777" w:rsidR="00E34E6B" w:rsidRDefault="00E34E6B" w:rsidP="00441B6F">
      <w:pPr>
        <w:pStyle w:val="Body"/>
        <w:spacing w:after="0"/>
        <w:rPr>
          <w:rFonts w:ascii="Arial" w:hAnsi="Arial" w:cs="Arial"/>
          <w:i/>
        </w:rPr>
      </w:pPr>
    </w:p>
    <w:p w14:paraId="30F91C5C" w14:textId="77777777" w:rsidR="00505F06" w:rsidRPr="00A24E7E" w:rsidRDefault="00505F06" w:rsidP="00441B6F">
      <w:pPr>
        <w:pStyle w:val="Body"/>
        <w:spacing w:after="0"/>
        <w:rPr>
          <w:rFonts w:ascii="Arial" w:hAnsi="Arial" w:cs="Arial"/>
          <w:i/>
        </w:rPr>
      </w:pPr>
    </w:p>
    <w:p w14:paraId="5FC1B46F" w14:textId="0F8D634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533FD50" w14:textId="77777777" w:rsidR="00790ADA" w:rsidRPr="00FB3A86" w:rsidRDefault="00790ADA" w:rsidP="00441B6F">
      <w:pPr>
        <w:pStyle w:val="AbstHead"/>
        <w:spacing w:after="0"/>
        <w:jc w:val="both"/>
        <w:rPr>
          <w:rFonts w:ascii="Arial" w:hAnsi="Arial" w:cs="Arial"/>
        </w:rPr>
      </w:pPr>
    </w:p>
    <w:p w14:paraId="7ED65E1B" w14:textId="2E5CA99D" w:rsidR="00E34E6B" w:rsidRPr="00A66AD7" w:rsidRDefault="00E34E6B" w:rsidP="00E34E6B">
      <w:pPr>
        <w:spacing w:before="100" w:beforeAutospacing="1" w:after="100" w:afterAutospacing="1" w:line="276" w:lineRule="auto"/>
        <w:jc w:val="both"/>
      </w:pPr>
      <w:r w:rsidRPr="00A66AD7">
        <w:t xml:space="preserve">The concept of nutritional care has gained traction in multidisciplinary fields </w:t>
      </w:r>
      <w:r w:rsidRPr="00A66AD7">
        <w:fldChar w:fldCharType="begin"/>
      </w:r>
      <w:r w:rsidRPr="00A66AD7">
        <w:instrText xml:space="preserve"> ADDIN EN.CITE &lt;EndNote&gt;&lt;Cite&gt;&lt;Author&gt;de Man&lt;/Author&gt;&lt;Year&gt;2020&lt;/Year&gt;&lt;RecNum&gt;1&lt;/RecNum&gt;&lt;DisplayText&gt;(de Man et al., 2020)&lt;/DisplayText&gt;&lt;record&gt;&lt;rec-number&gt;1&lt;/rec-number&gt;&lt;foreign-keys&gt;&lt;key app="EN" db-id="sr990pt9r5ppp9errx2522v65fxfs2xpx5e2" timestamp="1757282543"&gt;1&lt;/key&gt;&lt;/foreign-keys&gt;&lt;ref-type name="Journal Article"&gt;17&lt;/ref-type&gt;&lt;contributors&gt;&lt;authors&gt;&lt;author&gt;de Man, Frank&lt;/author&gt;&lt;author&gt;Barazonni, Rocco&lt;/author&gt;&lt;author&gt;Garel, Pascal&lt;/author&gt;&lt;author&gt;van Ginkel-Res, Annemieke&lt;/author&gt;&lt;author&gt;Green, Ceri&lt;/author&gt;&lt;author&gt;Koltai, Tunde&lt;/author&gt;&lt;author&gt;Pichard, Claude&lt;/author&gt;&lt;author&gt;Roller-Wirnsberger, Regina&lt;/author&gt;&lt;author&gt;Sieber, Cornel&lt;/author&gt;&lt;author&gt;Smeets, Marcel&lt;/author&gt;&lt;author&gt;Ljungqvist, Olle&lt;/author&gt;&lt;/authors&gt;&lt;/contributors&gt;&lt;titles&gt;&lt;title&gt;Towards optimal nutritional care for all: A multi-disciplinary patient centred approach to a complex challenge&lt;/title&gt;&lt;secondary-title&gt;Clinical Nutrition&lt;/secondary-title&gt;&lt;/titles&gt;&lt;periodical&gt;&lt;full-title&gt;Clinical Nutrition&lt;/full-title&gt;&lt;/periodical&gt;&lt;pages&gt;1309-1314&lt;/pages&gt;&lt;volume&gt;39&lt;/volume&gt;&lt;number&gt;5&lt;/number&gt;&lt;keywords&gt;&lt;keyword&gt;Health care&lt;/keyword&gt;&lt;keyword&gt;Nutritional care&lt;/keyword&gt;&lt;keyword&gt;Good practices&lt;/keyword&gt;&lt;keyword&gt;Implementation&lt;/keyword&gt;&lt;keyword&gt;Malnutrition&lt;/keyword&gt;&lt;/keywords&gt;&lt;dates&gt;&lt;year&gt;2020&lt;/year&gt;&lt;pub-dates&gt;&lt;date&gt;2020/05/01/&lt;/date&gt;&lt;/pub-dates&gt;&lt;/dates&gt;&lt;isbn&gt;0261-5614&lt;/isbn&gt;&lt;urls&gt;&lt;related-urls&gt;&lt;url&gt;https://www.sciencedirect.com/science/article/pii/S0261561420301370&lt;/url&gt;&lt;/related-urls&gt;&lt;/urls&gt;&lt;electronic-resource-num&gt;https://doi.org/10.1016/j.clnu.2020.03.020&lt;/electronic-resource-num&gt;&lt;/record&gt;&lt;/Cite&gt;&lt;/EndNote&gt;</w:instrText>
      </w:r>
      <w:r w:rsidRPr="00A66AD7">
        <w:fldChar w:fldCharType="separate"/>
      </w:r>
      <w:r w:rsidRPr="00A66AD7">
        <w:rPr>
          <w:noProof/>
        </w:rPr>
        <w:t>(de Man et al., 2020)</w:t>
      </w:r>
      <w:r w:rsidRPr="00A66AD7">
        <w:fldChar w:fldCharType="end"/>
      </w:r>
      <w:r w:rsidRPr="00A66AD7">
        <w:t>. According</w:t>
      </w:r>
      <w:r w:rsidR="009941AA">
        <w:t xml:space="preserve"> to</w:t>
      </w:r>
      <w:r w:rsidRPr="00A66AD7">
        <w:t xml:space="preserve"> </w:t>
      </w:r>
      <w:r w:rsidRPr="00A66AD7">
        <w:fldChar w:fldCharType="begin"/>
      </w:r>
      <w:r w:rsidRPr="00A66AD7">
        <w:instrText xml:space="preserve"> ADDIN EN.CITE &lt;EndNote&gt;&lt;Cite AuthorYear="1"&gt;&lt;Author&gt;Cardenas&lt;/Author&gt;&lt;Year&gt;2023&lt;/Year&gt;&lt;RecNum&gt;2&lt;/RecNum&gt;&lt;DisplayText&gt;Cardenas (2023)&lt;/DisplayText&gt;&lt;record&gt;&lt;rec-number&gt;2&lt;/rec-number&gt;&lt;foreign-keys&gt;&lt;key app="EN" db-id="sr990pt9r5ppp9errx2522v65fxfs2xpx5e2" timestamp="1757283169"&gt;2&lt;/key&gt;&lt;/foreign-keys&gt;&lt;ref-type name="Journal Article"&gt;17&lt;/ref-type&gt;&lt;contributors&gt;&lt;authors&gt;&lt;author&gt;Cardenas, Diana&lt;/author&gt;&lt;/authors&gt;&lt;/contributors&gt;&lt;titles&gt;&lt;title&gt;Nutritional care ethics: A time for reflection&lt;/title&gt;&lt;secondary-title&gt;Clinical Nutrition Open Science&lt;/secondary-title&gt;&lt;/titles&gt;&lt;periodical&gt;&lt;full-title&gt;Clinical Nutrition Open Science&lt;/full-title&gt;&lt;/periodical&gt;&lt;pages&gt;67-71&lt;/pages&gt;&lt;volume&gt;51&lt;/volume&gt;&lt;keywords&gt;&lt;keyword&gt;Ethics&lt;/keyword&gt;&lt;keyword&gt;Human rights&lt;/keyword&gt;&lt;keyword&gt;Malnutrition&lt;/keyword&gt;&lt;/keywords&gt;&lt;dates&gt;&lt;year&gt;2023&lt;/year&gt;&lt;pub-dates&gt;&lt;date&gt;2023/10/01/&lt;/date&gt;&lt;/pub-dates&gt;&lt;/dates&gt;&lt;isbn&gt;2667-2685&lt;/isbn&gt;&lt;urls&gt;&lt;related-urls&gt;&lt;url&gt;https://www.sciencedirect.com/science/article/pii/S2667268523000438&lt;/url&gt;&lt;/related-urls&gt;&lt;/urls&gt;&lt;electronic-resource-num&gt;https://doi.org/10.1016/j.nutos.2023.08.009&lt;/electronic-resource-num&gt;&lt;/record&gt;&lt;/Cite&gt;&lt;/EndNote&gt;</w:instrText>
      </w:r>
      <w:r w:rsidRPr="00A66AD7">
        <w:fldChar w:fldCharType="separate"/>
      </w:r>
      <w:r w:rsidRPr="00A66AD7">
        <w:rPr>
          <w:noProof/>
        </w:rPr>
        <w:t>Cardenas (2023)</w:t>
      </w:r>
      <w:r w:rsidRPr="00A66AD7">
        <w:fldChar w:fldCharType="end"/>
      </w:r>
      <w:r w:rsidRPr="00A66AD7">
        <w:t xml:space="preserve">, nutrition care is considered to be a process that requires training and an in-depth understanding of the personalized nutritional requirements, metabolic perturbations, and the underlying disease in a given patient in order to determine both the medical indication and the therapeutic goal of nutritional therapy. In this study, we define nutritional care as school programmes and strategies aimed at addressing health problems among secondary school adolescents </w:t>
      </w:r>
      <w:r w:rsidRPr="00A66AD7">
        <w:fldChar w:fldCharType="begin"/>
      </w:r>
      <w:r w:rsidRPr="00A66AD7">
        <w:instrText xml:space="preserve"> ADDIN EN.CITE &lt;EndNote&gt;&lt;Cite&gt;&lt;Author&gt;Sando&lt;/Author&gt;&lt;Year&gt;2025&lt;/Year&gt;&lt;RecNum&gt;3&lt;/RecNum&gt;&lt;DisplayText&gt;(Sando et al., 2025)&lt;/DisplayText&gt;&lt;record&gt;&lt;rec-number&gt;3&lt;/rec-number&gt;&lt;foreign-keys&gt;&lt;key app="EN" db-id="sr990pt9r5ppp9errx2522v65fxfs2xpx5e2" timestamp="1757284287"&gt;3&lt;/key&gt;&lt;/foreign-keys&gt;&lt;ref-type name="Journal Article"&gt;17&lt;/ref-type&gt;&lt;contributors&gt;&lt;authors&gt;&lt;author&gt;Sando, David&lt;/author&gt;&lt;author&gt;Sachin, Shinde&lt;/author&gt;&lt;author&gt;Moshi, Grace&lt;/author&gt;&lt;author&gt;Sando, Mary‐Mwanyika&lt;/author&gt;&lt;author&gt;Yussuf, Mashavu&lt;/author&gt;&lt;author&gt;Mwakitalima, Anyitike&lt;/author&gt;&lt;author&gt;Fawzi, Wafaie&lt;/author&gt;&lt;/authors&gt;&lt;/contributors&gt;&lt;titles&gt;&lt;title&gt;School health and nutrition services for children and adolescents in Tanzania: A review of policies and programmes&lt;/title&gt;&lt;secondary-title&gt;Maternal &amp;amp; Child Nutrition&lt;/secondary-title&gt;&lt;/titles&gt;&lt;periodical&gt;&lt;full-title&gt;Maternal &amp;amp; Child Nutrition&lt;/full-title&gt;&lt;/periodical&gt;&lt;pages&gt;e13544&lt;/pages&gt;&lt;volume&gt;21&lt;/volume&gt;&lt;dates&gt;&lt;year&gt;2025&lt;/year&gt;&lt;/dates&gt;&lt;isbn&gt;1740-8695&lt;/isbn&gt;&lt;urls&gt;&lt;/urls&gt;&lt;/record&gt;&lt;/Cite&gt;&lt;/EndNote&gt;</w:instrText>
      </w:r>
      <w:r w:rsidRPr="00A66AD7">
        <w:fldChar w:fldCharType="separate"/>
      </w:r>
      <w:r w:rsidRPr="00A66AD7">
        <w:rPr>
          <w:noProof/>
        </w:rPr>
        <w:t>(Sando et al., 2025)</w:t>
      </w:r>
      <w:r w:rsidRPr="00A66AD7">
        <w:fldChar w:fldCharType="end"/>
      </w:r>
      <w:r w:rsidRPr="00A66AD7">
        <w:t xml:space="preserve">. Adolescence is a critical period of growth and development marked by rapid physical, cognitive, and social changes </w:t>
      </w:r>
      <w:r w:rsidRPr="00A66AD7">
        <w:fldChar w:fldCharType="begin"/>
      </w:r>
      <w:r w:rsidRPr="00A66AD7">
        <w:instrText xml:space="preserve"> ADDIN EN.CITE &lt;EndNote&gt;&lt;Cite&gt;&lt;Author&gt;Scott&lt;/Author&gt;&lt;Year&gt;2016&lt;/Year&gt;&lt;RecNum&gt;5&lt;/RecNum&gt;&lt;DisplayText&gt;(Scott &amp;amp; Saginak, 2016)&lt;/DisplayText&gt;&lt;record&gt;&lt;rec-number&gt;5&lt;/rec-number&gt;&lt;foreign-keys&gt;&lt;key app="EN" db-id="sr990pt9r5ppp9errx2522v65fxfs2xpx5e2" timestamp="1757284440"&gt;5&lt;/key&gt;&lt;/foreign-keys&gt;&lt;ref-type name="Journal Article"&gt;17&lt;/ref-type&gt;&lt;contributors&gt;&lt;authors&gt;&lt;author&gt;Scott, Stephanie K&lt;/author&gt;&lt;author&gt;Saginak, Kelli A&lt;/author&gt;&lt;/authors&gt;&lt;/contributors&gt;&lt;titles&gt;&lt;title&gt;Adolescence: Physical and cognitive development&lt;/title&gt;&lt;secondary-title&gt;Human growth and development across the lifespan: Applications for counselors&lt;/secondary-title&gt;&lt;/titles&gt;&lt;periodical&gt;&lt;full-title&gt;Human growth and development across the lifespan: Applications for counselors&lt;/full-title&gt;&lt;/periodical&gt;&lt;pages&gt;307-346&lt;/pages&gt;&lt;dates&gt;&lt;year&gt;2016&lt;/year&gt;&lt;/dates&gt;&lt;urls&gt;&lt;/urls&gt;&lt;/record&gt;&lt;/Cite&gt;&lt;/EndNote&gt;</w:instrText>
      </w:r>
      <w:r w:rsidRPr="00A66AD7">
        <w:fldChar w:fldCharType="separate"/>
      </w:r>
      <w:r w:rsidRPr="00A66AD7">
        <w:rPr>
          <w:noProof/>
        </w:rPr>
        <w:t>(Scott &amp; Saginak, 2016)</w:t>
      </w:r>
      <w:r w:rsidRPr="00A66AD7">
        <w:fldChar w:fldCharType="end"/>
      </w:r>
      <w:r w:rsidRPr="00A66AD7">
        <w:t>. Therefore, the nutritional practices adopted during this stage not only influence immediate health outcomes but also set the foundation for adult well-being and the risk of chronic diseases</w:t>
      </w:r>
      <w:r w:rsidR="008577F1">
        <w:t xml:space="preserve"> </w:t>
      </w:r>
      <w:r w:rsidR="008577F1">
        <w:fldChar w:fldCharType="begin"/>
      </w:r>
      <w:r w:rsidR="008577F1">
        <w:instrText xml:space="preserve"> ADDIN EN.CITE &lt;EndNote&gt;&lt;Cite&gt;&lt;Author&gt;Ruthsatz&lt;/Author&gt;&lt;Year&gt;2020&lt;/Year&gt;&lt;RecNum&gt;52&lt;/RecNum&gt;&lt;DisplayText&gt;(Ruthsatz &amp;amp; Candeias, 2020)&lt;/DisplayText&gt;&lt;record&gt;&lt;rec-number&gt;52&lt;/rec-number&gt;&lt;foreign-keys&gt;&lt;key app="EN" db-id="sr990pt9r5ppp9errx2522v65fxfs2xpx5e2" timestamp="1757832259"&gt;52&lt;/key&gt;&lt;/foreign-keys&gt;&lt;ref-type name="Journal Article"&gt;17&lt;/ref-type&gt;&lt;contributors&gt;&lt;authors&gt;&lt;author&gt;Ruthsatz, Manfred&lt;/author&gt;&lt;author&gt;Candeias, Vanessa&lt;/author&gt;&lt;/authors&gt;&lt;/contributors&gt;&lt;titles&gt;&lt;title&gt;Non-communicable disease prevention, nutrition and aging&lt;/title&gt;&lt;secondary-title&gt;Acta Bio Medica: Atenei Parmensis&lt;/secondary-title&gt;&lt;/titles&gt;&lt;periodical&gt;&lt;full-title&gt;Acta Bio Medica: Atenei Parmensis&lt;/full-title&gt;&lt;/periodical&gt;&lt;pages&gt;379&lt;/pages&gt;&lt;volume&gt;91&lt;/volume&gt;&lt;number&gt;2&lt;/number&gt;&lt;dates&gt;&lt;year&gt;2020&lt;/year&gt;&lt;/dates&gt;&lt;urls&gt;&lt;/urls&gt;&lt;/record&gt;&lt;/Cite&gt;&lt;/EndNote&gt;</w:instrText>
      </w:r>
      <w:r w:rsidR="008577F1">
        <w:fldChar w:fldCharType="separate"/>
      </w:r>
      <w:r w:rsidR="008577F1">
        <w:rPr>
          <w:noProof/>
        </w:rPr>
        <w:t>(Ruthsatz &amp; Candeias, 2020)</w:t>
      </w:r>
      <w:r w:rsidR="008577F1">
        <w:fldChar w:fldCharType="end"/>
      </w:r>
      <w:r w:rsidR="008577F1">
        <w:t>.</w:t>
      </w:r>
      <w:r w:rsidRPr="00A66AD7">
        <w:t xml:space="preserve"> Poor dietary behaviors among adolescents, such as inadequate fruit and vegetable intake, high consumption of ultra-processed foods, and irregular meal patterns, have been widely documented as global public health concerns</w:t>
      </w:r>
      <w:r w:rsidR="008577F1">
        <w:t xml:space="preserve"> </w:t>
      </w:r>
      <w:r w:rsidR="008577F1">
        <w:fldChar w:fldCharType="begin"/>
      </w:r>
      <w:r w:rsidR="008577F1">
        <w:instrText xml:space="preserve"> ADDIN EN.CITE &lt;EndNote&gt;&lt;Cite&gt;&lt;Author&gt;Mescoloto&lt;/Author&gt;&lt;Year&gt;2024&lt;/Year&gt;&lt;RecNum&gt;51&lt;/RecNum&gt;&lt;DisplayText&gt;(Mescoloto et al., 2024)&lt;/DisplayText&gt;&lt;record&gt;&lt;rec-number&gt;51&lt;/rec-number&gt;&lt;foreign-keys&gt;&lt;key app="EN" db-id="sr990pt9r5ppp9errx2522v65fxfs2xpx5e2" timestamp="1757832130"&gt;51&lt;/key&gt;&lt;/foreign-keys&gt;&lt;ref-type name="Journal Article"&gt;17&lt;/ref-type&gt;&lt;contributors&gt;&lt;authors&gt;&lt;author&gt;Mescoloto, Samantha Bittencourt&lt;/author&gt;&lt;author&gt;Pongiluppi, Gabriela&lt;/author&gt;&lt;author&gt;Domene, Semíramis Martins Álvares&lt;/author&gt;&lt;/authors&gt;&lt;/contributors&gt;&lt;titles&gt;&lt;title&gt;Ultra-processed food consumption and children and adolescents’ health&lt;/title&gt;&lt;secondary-title&gt;Jornal de pediatria&lt;/secondary-title&gt;&lt;/titles&gt;&lt;periodical&gt;&lt;full-title&gt;Jornal de pediatria&lt;/full-title&gt;&lt;/periodical&gt;&lt;pages&gt;S18-S30&lt;/pages&gt;&lt;volume&gt;100&lt;/volume&gt;&lt;dates&gt;&lt;year&gt;2024&lt;/year&gt;&lt;/dates&gt;&lt;isbn&gt;0021-7557&lt;/isbn&gt;&lt;urls&gt;&lt;/urls&gt;&lt;/record&gt;&lt;/Cite&gt;&lt;/EndNote&gt;</w:instrText>
      </w:r>
      <w:r w:rsidR="008577F1">
        <w:fldChar w:fldCharType="separate"/>
      </w:r>
      <w:r w:rsidR="008577F1">
        <w:rPr>
          <w:noProof/>
        </w:rPr>
        <w:t>(Mescoloto et al., 2024)</w:t>
      </w:r>
      <w:r w:rsidR="008577F1">
        <w:fldChar w:fldCharType="end"/>
      </w:r>
      <w:r w:rsidR="008577F1">
        <w:t>.</w:t>
      </w:r>
      <w:r w:rsidRPr="00A66AD7">
        <w:t xml:space="preserve"> Consequently, effective strategies to promote healthy eating during adolescence are vital, and schools, where young people spend a significant proportion of their time, are considered one of the most strategic settings for nutritional interventions </w:t>
      </w:r>
      <w:r w:rsidR="008577F1">
        <w:fldChar w:fldCharType="begin"/>
      </w:r>
      <w:r w:rsidR="008577F1">
        <w:instrText xml:space="preserve"> ADDIN EN.CITE &lt;EndNote&gt;&lt;Cite&gt;&lt;Author&gt;Hargreaves&lt;/Author&gt;&lt;Year&gt;2022&lt;/Year&gt;&lt;RecNum&gt;50&lt;/RecNum&gt;&lt;DisplayText&gt;(Hargreaves et al., 2022)&lt;/DisplayText&gt;&lt;record&gt;&lt;rec-number&gt;50&lt;/rec-number&gt;&lt;foreign-keys&gt;&lt;key app="EN" db-id="sr990pt9r5ppp9errx2522v65fxfs2xpx5e2" timestamp="1757832018"&gt;50&lt;/key&gt;&lt;/foreign-keys&gt;&lt;ref-type name="Journal Article"&gt;17&lt;/ref-type&gt;&lt;contributors&gt;&lt;authors&gt;&lt;author&gt;Hargreaves, Dougal&lt;/author&gt;&lt;author&gt;Mates, Emily&lt;/author&gt;&lt;author&gt;Menon, Purnima&lt;/author&gt;&lt;author&gt;Alderman, Harold&lt;/author&gt;&lt;author&gt;Devakumar, Delan&lt;/author&gt;&lt;author&gt;Fawzi, Wafai&lt;/author&gt;&lt;author&gt;Greenfield, Geva&lt;/author&gt;&lt;author&gt;Hammoudeh, Weeam&lt;/author&gt;&lt;author&gt;He, Shanshan&lt;/author&gt;&lt;author&gt;Lahiri, Anwesha&lt;/author&gt;&lt;/authors&gt;&lt;/contributors&gt;&lt;titles&gt;&lt;title&gt;Strategies and interventions for healthy adolescent growth, nutrition, and development&lt;/title&gt;&lt;secondary-title&gt;The Lancet&lt;/secondary-title&gt;&lt;/titles&gt;&lt;periodical&gt;&lt;full-title&gt;The Lancet&lt;/full-title&gt;&lt;/periodical&gt;&lt;pages&gt;198-210&lt;/pages&gt;&lt;volume&gt;399&lt;/volume&gt;&lt;number&gt;10320&lt;/number&gt;&lt;dates&gt;&lt;year&gt;2022&lt;/year&gt;&lt;/dates&gt;&lt;isbn&gt;0140-6736&lt;/isbn&gt;&lt;urls&gt;&lt;/urls&gt;&lt;/record&gt;&lt;/Cite&gt;&lt;/EndNote&gt;</w:instrText>
      </w:r>
      <w:r w:rsidR="008577F1">
        <w:fldChar w:fldCharType="separate"/>
      </w:r>
      <w:r w:rsidR="008577F1">
        <w:rPr>
          <w:noProof/>
        </w:rPr>
        <w:t>(Hargreaves et al., 2022)</w:t>
      </w:r>
      <w:r w:rsidR="008577F1">
        <w:fldChar w:fldCharType="end"/>
      </w:r>
      <w:r w:rsidRPr="00A66AD7">
        <w:t xml:space="preserve">. Teachers, as daily influencers in school environments, play an especially important role in shaping adolescent nutritional practices </w:t>
      </w:r>
      <w:r w:rsidR="008577F1">
        <w:fldChar w:fldCharType="begin"/>
      </w:r>
      <w:r w:rsidR="008577F1">
        <w:instrText xml:space="preserve"> ADDIN EN.CITE &lt;EndNote&gt;&lt;Cite&gt;&lt;Author&gt;Waldner&lt;/Author&gt;&lt;Year&gt;2021&lt;/Year&gt;&lt;RecNum&gt;55&lt;/RecNum&gt;&lt;DisplayText&gt;(Waldner et al., 2021)&lt;/DisplayText&gt;&lt;record&gt;&lt;rec-number&gt;55&lt;/rec-number&gt;&lt;foreign-keys&gt;&lt;key app="EN" db-id="sr990pt9r5ppp9errx2522v65fxfs2xpx5e2" timestamp="1757832560"&gt;55&lt;/key&gt;&lt;/foreign-keys&gt;&lt;ref-type name="Conference Proceedings"&gt;10&lt;/ref-type&gt;&lt;contributors&gt;&lt;authors&gt;&lt;author&gt;Waldner, I&lt;/author&gt;&lt;author&gt;Mittischek, L&lt;/author&gt;&lt;author&gt;Klinger, Sabine&lt;/author&gt;&lt;/authors&gt;&lt;/contributors&gt;&lt;titles&gt;&lt;title&gt;The role of influencers on young people and its consequences for the development of teaching competence in nutrition and consumer education&lt;/title&gt;&lt;secondary-title&gt;Conference Proceedings of the STS Conference Graz&lt;/secondary-title&gt;&lt;/titles&gt;&lt;pages&gt;396-433&lt;/pages&gt;&lt;dates&gt;&lt;year&gt;2021&lt;/year&gt;&lt;/dates&gt;&lt;urls&gt;&lt;/urls&gt;&lt;/record&gt;&lt;/Cite&gt;&lt;/EndNote&gt;</w:instrText>
      </w:r>
      <w:r w:rsidR="008577F1">
        <w:fldChar w:fldCharType="separate"/>
      </w:r>
      <w:r w:rsidR="008577F1">
        <w:rPr>
          <w:noProof/>
        </w:rPr>
        <w:t>(Waldner et al., 2021)</w:t>
      </w:r>
      <w:r w:rsidR="008577F1">
        <w:fldChar w:fldCharType="end"/>
      </w:r>
      <w:r w:rsidRPr="00A66AD7">
        <w:t xml:space="preserve">. Unlike parents, who primarily influence home-based dietary behaviors, teachers engage with students in structured and unstructured ways, guiding both academic learning and behavioral development </w:t>
      </w:r>
      <w:r w:rsidRPr="00A66AD7">
        <w:fldChar w:fldCharType="begin"/>
      </w:r>
      <w:r w:rsidRPr="00A66AD7">
        <w:instrText xml:space="preserve"> ADDIN EN.CITE &lt;EndNote&gt;&lt;Cite&gt;&lt;Author&gt;Aydin&lt;/Author&gt;&lt;Year&gt;2022&lt;/Year&gt;&lt;RecNum&gt;10&lt;/RecNum&gt;&lt;DisplayText&gt;(Aydin et al., 2022)&lt;/DisplayText&gt;&lt;record&gt;&lt;rec-number&gt;10&lt;/rec-number&gt;&lt;foreign-keys&gt;&lt;key app="EN" db-id="sr990pt9r5ppp9errx2522v65fxfs2xpx5e2" timestamp="1757287143"&gt;10&lt;/key&gt;&lt;/foreign-keys&gt;&lt;ref-type name="Journal Article"&gt;17&lt;/ref-type&gt;&lt;contributors&gt;&lt;authors&gt;&lt;author&gt;Aydin, Gozde&lt;/author&gt;&lt;author&gt;Margerison, Claire&lt;/author&gt;&lt;author&gt;Worsley, Anthony&lt;/author&gt;&lt;author&gt;Booth, Alison&lt;/author&gt;&lt;/authors&gt;&lt;/contributors&gt;&lt;titles&gt;&lt;title&gt;Parents’ communication with teachers about food and nutrition issues of primary school students&lt;/title&gt;&lt;secondary-title&gt;Children&lt;/secondary-title&gt;&lt;/titles&gt;&lt;periodical&gt;&lt;full-title&gt;Children&lt;/full-title&gt;&lt;/periodical&gt;&lt;pages&gt;510&lt;/pages&gt;&lt;volume&gt;9&lt;/volume&gt;&lt;number&gt;4&lt;/number&gt;&lt;dates&gt;&lt;year&gt;2022&lt;/year&gt;&lt;/dates&gt;&lt;isbn&gt;2227-9067&lt;/isbn&gt;&lt;urls&gt;&lt;/urls&gt;&lt;/record&gt;&lt;/Cite&gt;&lt;/EndNote&gt;</w:instrText>
      </w:r>
      <w:r w:rsidRPr="00A66AD7">
        <w:fldChar w:fldCharType="separate"/>
      </w:r>
      <w:r w:rsidRPr="00A66AD7">
        <w:rPr>
          <w:noProof/>
        </w:rPr>
        <w:t>(Aydin et al., 2022)</w:t>
      </w:r>
      <w:r w:rsidRPr="00A66AD7">
        <w:fldChar w:fldCharType="end"/>
      </w:r>
      <w:r w:rsidRPr="00A66AD7">
        <w:t xml:space="preserve">. Beyond imparting knowledge, teachers model behaviors, create supportive environments, and can directly influence food choices through nutritional education programs and school meal initiatives </w:t>
      </w:r>
      <w:r w:rsidR="008577F1">
        <w:fldChar w:fldCharType="begin"/>
      </w:r>
      <w:r w:rsidR="008577F1">
        <w:instrText xml:space="preserve"> ADDIN EN.CITE &lt;EndNote&gt;&lt;Cite&gt;&lt;Author&gt;Welker&lt;/Author&gt;&lt;Year&gt;2016&lt;/Year&gt;&lt;RecNum&gt;54&lt;/RecNum&gt;&lt;DisplayText&gt;(Welker et al., 2016)&lt;/DisplayText&gt;&lt;record&gt;&lt;rec-number&gt;54&lt;/rec-number&gt;&lt;foreign-keys&gt;&lt;key app="EN" db-id="sr990pt9r5ppp9errx2522v65fxfs2xpx5e2" timestamp="1757832394"&gt;54&lt;/key&gt;&lt;/foreign-keys&gt;&lt;ref-type name="Journal Article"&gt;17&lt;/ref-type&gt;&lt;contributors&gt;&lt;authors&gt;&lt;author&gt;Welker, Emily&lt;/author&gt;&lt;author&gt;Lott, Megan&lt;/author&gt;&lt;author&gt;Story, Mary&lt;/author&gt;&lt;/authors&gt;&lt;/contributors&gt;&lt;titles&gt;&lt;title&gt;The school food environment and obesity prevention: progress over the last decade&lt;/title&gt;&lt;secondary-title&gt;Current obesity reports&lt;/secondary-title&gt;&lt;/titles&gt;&lt;periodical&gt;&lt;full-title&gt;Current obesity reports&lt;/full-title&gt;&lt;/periodical&gt;&lt;pages&gt;145-155&lt;/pages&gt;&lt;volume&gt;5&lt;/volume&gt;&lt;number&gt;2&lt;/number&gt;&lt;dates&gt;&lt;year&gt;2016&lt;/year&gt;&lt;/dates&gt;&lt;isbn&gt;2162-4968&lt;/isbn&gt;&lt;urls&gt;&lt;/urls&gt;&lt;/record&gt;&lt;/Cite&gt;&lt;/EndNote&gt;</w:instrText>
      </w:r>
      <w:r w:rsidR="008577F1">
        <w:fldChar w:fldCharType="separate"/>
      </w:r>
      <w:r w:rsidR="008577F1">
        <w:rPr>
          <w:noProof/>
        </w:rPr>
        <w:t>(Welker et al., 2016)</w:t>
      </w:r>
      <w:r w:rsidR="008577F1">
        <w:fldChar w:fldCharType="end"/>
      </w:r>
      <w:r w:rsidRPr="00A66AD7">
        <w:t xml:space="preserve">. Understanding the role of teacher nutritional care, therefore, is essential for advancing adolescent health promotion efforts. Matter of fact, studies have cited parental nutritional care to be associated with overconsumption of junk foods, as well as sedentary behavior among their children </w:t>
      </w:r>
      <w:r w:rsidR="008577F1">
        <w:fldChar w:fldCharType="begin"/>
      </w:r>
      <w:r w:rsidR="008577F1">
        <w:instrText xml:space="preserve"> ADDIN EN.CITE &lt;EndNote&gt;&lt;Cite&gt;&lt;Author&gt;Yee&lt;/Author&gt;&lt;Year&gt;2017&lt;/Year&gt;&lt;RecNum&gt;53&lt;/RecNum&gt;&lt;DisplayText&gt;(Yee et al., 2017)&lt;/DisplayText&gt;&lt;record&gt;&lt;rec-number&gt;53&lt;/rec-number&gt;&lt;foreign-keys&gt;&lt;key app="EN" db-id="sr990pt9r5ppp9errx2522v65fxfs2xpx5e2" timestamp="1757832313"&gt;53&lt;/key&gt;&lt;/foreign-keys&gt;&lt;ref-type name="Journal Article"&gt;17&lt;/ref-type&gt;&lt;contributors&gt;&lt;authors&gt;&lt;author&gt;Yee, Andrew ZH&lt;/author&gt;&lt;author&gt;Lwin, May O&lt;/author&gt;&lt;author&gt;Ho, Shirley S&lt;/author&gt;&lt;/authors&gt;&lt;/contributors&gt;&lt;titles&gt;&lt;title&gt;The influence of parental practices on child promotive and preventive food consumption behaviors: a systematic review and meta-analysis&lt;/title&gt;&lt;secondary-title&gt;International Journal of Behavioral Nutrition and Physical Activity&lt;/secondary-title&gt;&lt;/titles&gt;&lt;periodical&gt;&lt;full-title&gt;International Journal of Behavioral Nutrition and Physical Activity&lt;/full-title&gt;&lt;/periodical&gt;&lt;pages&gt;47&lt;/pages&gt;&lt;volume&gt;14&lt;/volume&gt;&lt;number&gt;1&lt;/number&gt;&lt;dates&gt;&lt;year&gt;2017&lt;/year&gt;&lt;/dates&gt;&lt;isbn&gt;1479-5868&lt;/isbn&gt;&lt;urls&gt;&lt;/urls&gt;&lt;/record&gt;&lt;/Cite&gt;&lt;/EndNote&gt;</w:instrText>
      </w:r>
      <w:r w:rsidR="008577F1">
        <w:fldChar w:fldCharType="separate"/>
      </w:r>
      <w:r w:rsidR="008577F1">
        <w:rPr>
          <w:noProof/>
        </w:rPr>
        <w:t>(Yee et al., 2017)</w:t>
      </w:r>
      <w:r w:rsidR="008577F1">
        <w:fldChar w:fldCharType="end"/>
      </w:r>
      <w:r w:rsidRPr="00A66AD7">
        <w:t>.</w:t>
      </w:r>
    </w:p>
    <w:p w14:paraId="00E51C49" w14:textId="000B0A45" w:rsidR="00E34E6B" w:rsidRPr="00A66AD7" w:rsidRDefault="00E34E6B" w:rsidP="008577F1">
      <w:pPr>
        <w:spacing w:before="100" w:beforeAutospacing="1" w:after="100" w:afterAutospacing="1" w:line="276" w:lineRule="auto"/>
        <w:jc w:val="both"/>
      </w:pPr>
      <w:r w:rsidRPr="00A66AD7">
        <w:t xml:space="preserve">Despite their potential influence, teachers often face barriers in providing nutritional care. Limited training in nutrition, insufficient institutional support, and competing curricular demands restrict their ability to engage deeply with students on dietary issues </w:t>
      </w:r>
      <w:r w:rsidRPr="00A66AD7">
        <w:fldChar w:fldCharType="begin"/>
      </w:r>
      <w:r w:rsidRPr="00A66AD7">
        <w:instrText xml:space="preserve"> ADDIN EN.CITE &lt;EndNote&gt;&lt;Cite&gt;&lt;Author&gt;Rathi&lt;/Author&gt;&lt;Year&gt;2018&lt;/Year&gt;&lt;RecNum&gt;14&lt;/RecNum&gt;&lt;DisplayText&gt;(Rathi et al., 2018)&lt;/DisplayText&gt;&lt;record&gt;&lt;rec-number&gt;14&lt;/rec-number&gt;&lt;foreign-keys&gt;&lt;key app="EN" db-id="sr990pt9r5ppp9errx2522v65fxfs2xpx5e2" timestamp="1757287734"&gt;14&lt;/key&gt;&lt;/foreign-keys&gt;&lt;ref-type name="Journal Article"&gt;17&lt;/ref-type&gt;&lt;contributors&gt;&lt;authors&gt;&lt;author&gt;Rathi, Neha&lt;/author&gt;&lt;author&gt;Riddell, Lynn&lt;/author&gt;&lt;author&gt;Worsley, Anthony&lt;/author&gt;&lt;/authors&gt;&lt;/contributors&gt;&lt;titles&gt;&lt;title&gt;Barriers to nutrition promotion in private secondary schools in Kolkata, India: perspectives of parents and teachers&lt;/title&gt;&lt;secondary-title&gt;International Journal of Environmental Research and Public Health&lt;/secondary-title&gt;&lt;/titles&gt;&lt;periodical&gt;&lt;full-title&gt;International Journal of Environmental Research and Public Health&lt;/full-title&gt;&lt;/periodical&gt;&lt;pages&gt;1139&lt;/pages&gt;&lt;volume&gt;15&lt;/volume&gt;&lt;number&gt;6&lt;/number&gt;&lt;dates&gt;&lt;year&gt;2018&lt;/year&gt;&lt;/dates&gt;&lt;isbn&gt;1660-4601&lt;/isbn&gt;&lt;urls&gt;&lt;/urls&gt;&lt;/record&gt;&lt;/Cite&gt;&lt;/EndNote&gt;</w:instrText>
      </w:r>
      <w:r w:rsidRPr="00A66AD7">
        <w:fldChar w:fldCharType="separate"/>
      </w:r>
      <w:r w:rsidRPr="00A66AD7">
        <w:rPr>
          <w:noProof/>
        </w:rPr>
        <w:t>(Rathi et al., 2018)</w:t>
      </w:r>
      <w:r w:rsidRPr="00A66AD7">
        <w:fldChar w:fldCharType="end"/>
      </w:r>
      <w:r w:rsidRPr="00A66AD7">
        <w:t xml:space="preserve">. Additionally, there exist structural barriers within schools, such as the presence of vending machines selling sugary snacks, which further complicate the teacher’s role </w:t>
      </w:r>
      <w:r w:rsidR="008577F1">
        <w:fldChar w:fldCharType="begin"/>
      </w:r>
      <w:r w:rsidR="008577F1">
        <w:instrText xml:space="preserve"> ADDIN EN.CITE &lt;EndNote&gt;&lt;Cite&gt;&lt;Author&gt;Everitt&lt;/Author&gt;&lt;Year&gt;2022&lt;/Year&gt;&lt;RecNum&gt;48&lt;/RecNum&gt;&lt;DisplayText&gt;(Everitt et al., 2022)&lt;/DisplayText&gt;&lt;record&gt;&lt;rec-number&gt;48&lt;/rec-number&gt;&lt;foreign-keys&gt;&lt;key app="EN" db-id="sr990pt9r5ppp9errx2522v65fxfs2xpx5e2" timestamp="1757831800"&gt;48&lt;/key&gt;&lt;/foreign-keys&gt;&lt;ref-type name="Journal Article"&gt;17&lt;/ref-type&gt;&lt;contributors&gt;&lt;authors&gt;&lt;author&gt;Everitt, Tracy&lt;/author&gt;&lt;author&gt;Engler-Stringer, Rachel&lt;/author&gt;&lt;author&gt;Martin, Wanda&lt;/author&gt;&lt;/authors&gt;&lt;/contributors&gt;&lt;titles&gt;&lt;title&gt;Determining promising practices for Canadian school food programs: a scoping review&lt;/title&gt;&lt;secondary-title&gt;Journal of Hunger &amp;amp; Environmental Nutrition&lt;/secondary-title&gt;&lt;/titles&gt;&lt;periodical&gt;&lt;full-title&gt;Journal of Hunger &amp;amp; Environmental Nutrition&lt;/full-title&gt;&lt;/periodical&gt;&lt;pages&gt;743-762&lt;/pages&gt;&lt;volume&gt;17&lt;/volume&gt;&lt;number&gt;6&lt;/number&gt;&lt;dates&gt;&lt;year&gt;2022&lt;/year&gt;&lt;/dates&gt;&lt;isbn&gt;1932-0248&lt;/isbn&gt;&lt;urls&gt;&lt;/urls&gt;&lt;/record&gt;&lt;/Cite&gt;&lt;/EndNote&gt;</w:instrText>
      </w:r>
      <w:r w:rsidR="008577F1">
        <w:fldChar w:fldCharType="separate"/>
      </w:r>
      <w:r w:rsidR="008577F1">
        <w:rPr>
          <w:noProof/>
        </w:rPr>
        <w:t>(Everitt et al., 2022)</w:t>
      </w:r>
      <w:r w:rsidR="008577F1">
        <w:fldChar w:fldCharType="end"/>
      </w:r>
      <w:r w:rsidRPr="00A66AD7">
        <w:t xml:space="preserve">. Without a supportive policy environment, individual efforts by teachers may not be sufficient to shift entrenched dietary behaviors </w:t>
      </w:r>
      <w:r w:rsidRPr="00A66AD7">
        <w:fldChar w:fldCharType="begin">
          <w:fldData xml:space="preserve">PEVuZE5vdGU+PENpdGU+PEF1dGhvcj5WZXJzdHJhZXRlbjwvQXV0aG9yPjxZZWFyPjIwMTY8L1ll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</w:fldData>
        </w:fldChar>
      </w:r>
      <w:r w:rsidRPr="00A66AD7">
        <w:instrText xml:space="preserve"> ADDIN EN.CITE </w:instrText>
      </w:r>
      <w:r w:rsidRPr="00A66AD7">
        <w:fldChar w:fldCharType="begin">
          <w:fldData xml:space="preserve">PEVuZE5vdGU+PENpdGU+PEF1dGhvcj5WZXJzdHJhZXRlbjwvQXV0aG9yPjxZZWFyPjIwMTY8L1ll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</w:fldData>
        </w:fldChar>
      </w:r>
      <w:r w:rsidRPr="00A66AD7">
        <w:instrText xml:space="preserve"> ADDIN EN.CITE.DATA </w:instrText>
      </w:r>
      <w:r w:rsidRPr="00A66AD7">
        <w:fldChar w:fldCharType="end"/>
      </w:r>
      <w:r w:rsidRPr="00A66AD7">
        <w:fldChar w:fldCharType="separate"/>
      </w:r>
      <w:r w:rsidRPr="00A66AD7">
        <w:rPr>
          <w:noProof/>
        </w:rPr>
        <w:t>(Carbert et al., 2019; Downs &amp; Demmler, 2020; Soloveva et al., 2025; Tabbakh &amp; Freeland-Graves, 2016; Verstraeten et al., 2016)</w:t>
      </w:r>
      <w:r w:rsidRPr="00A66AD7">
        <w:fldChar w:fldCharType="end"/>
      </w:r>
      <w:r w:rsidRPr="00A66AD7">
        <w:t xml:space="preserve">. This highlights the need for systemic interventions that combine teacher efforts with broader school- and community-level policies </w:t>
      </w:r>
      <w:r w:rsidRPr="00A66AD7">
        <w:fldChar w:fldCharType="begin"/>
      </w:r>
      <w:r w:rsidRPr="00A66AD7">
        <w:instrText xml:space="preserve"> ADDIN EN.CITE &lt;EndNote&gt;&lt;Cite&gt;&lt;Author&gt;Bowen&lt;/Author&gt;&lt;Year&gt;2015&lt;/Year&gt;&lt;RecNum&gt;37&lt;/RecNum&gt;&lt;DisplayText&gt;(Bowen et al., 2015)&lt;/DisplayText&gt;&lt;record&gt;&lt;rec-number&gt;37&lt;/rec-number&gt;&lt;foreign-keys&gt;&lt;key app="EN" db-id="sr990pt9r5ppp9errx2522v65fxfs2xpx5e2" timestamp="1757289607"&gt;37&lt;/key&gt;&lt;/foreign-keys&gt;&lt;ref-type name="Journal Article"&gt;17&lt;/ref-type&gt;&lt;contributors&gt;&lt;authors&gt;&lt;author&gt;Bowen, Deborah J&lt;/author&gt;&lt;author&gt;Barrington, Wendy E&lt;/author&gt;&lt;author&gt;Beresford, Shirley AA&lt;/author&gt;&lt;/authors&gt;&lt;/contributors&gt;&lt;titles&gt;&lt;title&gt;Identifying the effects of environmental and policy change interventions on healthy eating&lt;/title&gt;&lt;secondary-title&gt;Annual review of public health&lt;/secondary-title&gt;&lt;/titles&gt;&lt;periodical&gt;&lt;full-title&gt;Annual review of public health&lt;/full-title&gt;&lt;/periodical&gt;&lt;pages&gt;289-306&lt;/pages&gt;&lt;volume&gt;36&lt;/volume&gt;&lt;number&gt;1&lt;/number&gt;&lt;dates&gt;&lt;year&gt;2015&lt;/year&gt;&lt;/dates&gt;&lt;isbn&gt;0163-7525&lt;/isbn&gt;&lt;urls&gt;&lt;/urls&gt;&lt;/record&gt;&lt;/Cite&gt;&lt;/EndNote&gt;</w:instrText>
      </w:r>
      <w:r w:rsidRPr="00A66AD7">
        <w:fldChar w:fldCharType="separate"/>
      </w:r>
      <w:r w:rsidRPr="00A66AD7">
        <w:rPr>
          <w:noProof/>
        </w:rPr>
        <w:t>(Bowen et al., 2015)</w:t>
      </w:r>
      <w:r w:rsidRPr="00A66AD7">
        <w:fldChar w:fldCharType="end"/>
      </w:r>
      <w:r w:rsidRPr="00A66AD7">
        <w:t xml:space="preserve">. For instance, in Hong Kong, a combination of both home and school environments shaped adolescents’ dietary practices </w:t>
      </w:r>
      <w:r w:rsidRPr="00A66AD7">
        <w:fldChar w:fldCharType="begin"/>
      </w:r>
      <w:r w:rsidRPr="00A66AD7">
        <w:instrText xml:space="preserve"> ADDIN EN.CITE &lt;EndNote&gt;&lt;Cite&gt;&lt;Author&gt;Soloveva&lt;/Author&gt;&lt;Year&gt;2025&lt;/Year&gt;&lt;RecNum&gt;17&lt;/RecNum&gt;&lt;DisplayText&gt;(Soloveva et al., 2025)&lt;/DisplayText&gt;&lt;record&gt;&lt;rec-number&gt;17&lt;/rec-number&gt;&lt;foreign-keys&gt;&lt;key app="EN" db-id="sr990pt9r5ppp9errx2522v65fxfs2xpx5e2" timestamp="1757289070"&gt;17&lt;/key&gt;&lt;/foreign-keys&gt;&lt;ref-type name="Journal Article"&gt;17&lt;/ref-type&gt;&lt;contributors&gt;&lt;authors&gt;&lt;author&gt;Soloveva, Maria&lt;/author&gt;&lt;author&gt;Barnett, Anthony&lt;/author&gt;&lt;author&gt;Mellecker, R.&lt;/author&gt;&lt;author&gt;Sit, C.&lt;/author&gt;&lt;author&gt;Lai, P.&lt;/author&gt;&lt;author&gt;Zhang, Casper J. P.&lt;/author&gt;&lt;author&gt;Sallis, James&lt;/author&gt;&lt;author&gt;Cerin, Ester&lt;/author&gt;&lt;/authors&gt;&lt;/contributors&gt;&lt;titles&gt;&lt;title&gt;Neighbourhood, school and home food environment associations with dietary behaviours in Hong Kong adolescents: the iHealth study&lt;/title&gt;&lt;secondary-title&gt;Health &amp;amp; place&lt;/secondary-title&gt;&lt;/titles&gt;&lt;periodical&gt;&lt;full-title&gt;Health &amp;amp; place&lt;/full-title&gt;&lt;/periodical&gt;&lt;pages&gt;103472&lt;/pages&gt;&lt;volume&gt;93&lt;/volume&gt;&lt;dates&gt;&lt;year&gt;2025&lt;/year&gt;&lt;pub-dates&gt;&lt;date&gt;2025-04-24&lt;/date&gt;&lt;/pub-dates&gt;&lt;/dates&gt;&lt;urls&gt;&lt;related-urls&gt;&lt;url&gt;https://consensus.app/papers/neighbourhood-school-and-home-food-environment-sit-sallis/5cbda6a3f7b9525e8da77264ea2d4828/&lt;/url&gt;&lt;/related-urls&gt;&lt;/urls&gt;&lt;electronic-resource-num&gt;10.1016/j.healthplace.2025.103472&lt;/electronic-resource-num&gt;&lt;/record&gt;&lt;/Cite&gt;&lt;/EndNote&gt;</w:instrText>
      </w:r>
      <w:r w:rsidRPr="00A66AD7">
        <w:fldChar w:fldCharType="separate"/>
      </w:r>
      <w:r w:rsidRPr="00A66AD7">
        <w:rPr>
          <w:noProof/>
        </w:rPr>
        <w:t>(Soloveva et al., 2025)</w:t>
      </w:r>
      <w:r w:rsidRPr="00A66AD7">
        <w:fldChar w:fldCharType="end"/>
      </w:r>
      <w:r w:rsidRPr="00A66AD7">
        <w:t xml:space="preserve">. School and community environment interventions have also been found to enhance nutritional practices </w:t>
      </w:r>
      <w:r w:rsidRPr="00A66AD7">
        <w:fldChar w:fldCharType="begin"/>
      </w:r>
      <w:r w:rsidRPr="00A66AD7">
        <w:instrText xml:space="preserve"> ADDIN EN.CITE &lt;EndNote&gt;&lt;Cite&gt;&lt;Author&gt;Downs&lt;/Author&gt;&lt;Year&gt;2020&lt;/Year&gt;&lt;RecNum&gt;18&lt;/RecNum&gt;&lt;DisplayText&gt;(Downs &amp;amp; Demmler, 2020)&lt;/DisplayText&gt;&lt;record&gt;&lt;rec-number&gt;18&lt;/rec-number&gt;&lt;foreign-keys&gt;&lt;key app="EN" db-id="sr990pt9r5ppp9errx2522v65fxfs2xpx5e2" timestamp="1757289070"&gt;18&lt;/key&gt;&lt;/foreign-keys&gt;&lt;ref-type name="Journal Article"&gt;17&lt;/ref-type&gt;&lt;contributors&gt;&lt;authors&gt;&lt;author&gt;Downs, S.&lt;/author&gt;&lt;author&gt;Demmler, K.&lt;/author&gt;&lt;/authors&gt;&lt;/contributors&gt;&lt;titles&gt;&lt;title&gt;Food environment interventions targeting children and adolescents: A scoping review&lt;/title&gt;&lt;secondary-title&gt;Global Food Security&lt;/secondary-title&gt;&lt;/titles&gt;&lt;periodical&gt;&lt;full-title&gt;Global Food Security&lt;/full-title&gt;&lt;/periodical&gt;&lt;pages&gt;100403&lt;/pages&gt;&lt;volume&gt;27&lt;/volume&gt;&lt;dates&gt;&lt;year&gt;2020&lt;/year&gt;&lt;pub-dates&gt;&lt;date&gt;2020-12-01&lt;/date&gt;&lt;/pub-dates&gt;&lt;/dates&gt;&lt;urls&gt;&lt;related-urls&gt;&lt;url&gt;https://consensus.app/papers/food-environment-interventions-targeting-children-and-demmler-downs/3582cd71682b5f1997e85f5adcbadef4/&lt;/url&gt;&lt;/related-urls&gt;&lt;/urls&gt;&lt;electronic-resource-num&gt;10.1016/j.gfs.2020.100403&lt;/electronic-resource-num&gt;&lt;/record&gt;&lt;/Cite&gt;&lt;/EndNote&gt;</w:instrText>
      </w:r>
      <w:r w:rsidRPr="00A66AD7">
        <w:fldChar w:fldCharType="separate"/>
      </w:r>
      <w:r w:rsidRPr="00A66AD7">
        <w:rPr>
          <w:noProof/>
        </w:rPr>
        <w:t>(Downs &amp; Demmler, 2020)</w:t>
      </w:r>
      <w:r w:rsidRPr="00A66AD7">
        <w:fldChar w:fldCharType="end"/>
      </w:r>
      <w:r w:rsidRPr="00A66AD7">
        <w:t xml:space="preserve">. </w:t>
      </w:r>
      <w:r w:rsidRPr="00A66AD7">
        <w:fldChar w:fldCharType="begin"/>
      </w:r>
      <w:r w:rsidRPr="00A66AD7">
        <w:instrText xml:space="preserve"> ADDIN EN.CITE &lt;EndNote&gt;&lt;Cite AuthorYear="1"&gt;&lt;Author&gt;Shaw&lt;/Author&gt;&lt;Year&gt;2023&lt;/Year&gt;&lt;RecNum&gt;19&lt;/RecNum&gt;&lt;DisplayText&gt;Shaw et al. (2023)&lt;/DisplayText&gt;&lt;record&gt;&lt;rec-number&gt;19&lt;/rec-number&gt;&lt;foreign-keys&gt;&lt;key app="EN" db-id="sr990pt9r5ppp9errx2522v65fxfs2xpx5e2" timestamp="1757289070"&gt;19&lt;/key&gt;&lt;/foreign-keys&gt;&lt;ref-type name="Journal Article"&gt;17&lt;/ref-type&gt;&lt;contributors&gt;&lt;authors&gt;&lt;author&gt;Shaw, S.&lt;/author&gt;&lt;author&gt;Barrett, M.&lt;/author&gt;&lt;author&gt;Shand, C.&lt;/author&gt;&lt;author&gt;Cooper, C.&lt;/author&gt;&lt;author&gt;Crozier, S.&lt;/author&gt;&lt;author&gt;Smith, Dianna&lt;/author&gt;&lt;author&gt;Barker, M.&lt;/author&gt;&lt;author&gt;Vogel, C.&lt;/author&gt;&lt;/authors&gt;&lt;/contributors&gt;&lt;titles&gt;&lt;title&gt;Influences of the community and consumer nutrition environment on the food purchases and dietary behaviors of adolescents: A systematic review&lt;/title&gt;&lt;secondary-title&gt;Obesity Reviews&lt;/secondary-title&gt;&lt;/titles&gt;&lt;periodical&gt;&lt;full-title&gt;Obesity Reviews&lt;/full-title&gt;&lt;/periodical&gt;&lt;volume&gt;24&lt;/volume&gt;&lt;dates&gt;&lt;year&gt;2023&lt;/year&gt;&lt;pub-dates&gt;&lt;date&gt;2023-04-20&lt;/date&gt;&lt;/pub-dates&gt;&lt;/dates&gt;&lt;urls&gt;&lt;related-urls&gt;&lt;url&gt;https://consensus.app/papers/influences-of-the-community-and-consumer-nutrition-cooper-vogel/07bbd97c427759128023eab70f61a5d4/&lt;/url&gt;&lt;/related-urls&gt;&lt;/urls&gt;&lt;electronic-resource-num&gt;10.1111/obr.13569&lt;/electronic-resource-num&gt;&lt;/record&gt;&lt;/Cite&gt;&lt;/EndNote&gt;</w:instrText>
      </w:r>
      <w:r w:rsidRPr="00A66AD7">
        <w:fldChar w:fldCharType="separate"/>
      </w:r>
      <w:r w:rsidRPr="00A66AD7">
        <w:rPr>
          <w:noProof/>
        </w:rPr>
        <w:t>Shaw et al. (2023)</w:t>
      </w:r>
      <w:r w:rsidRPr="00A66AD7">
        <w:fldChar w:fldCharType="end"/>
      </w:r>
      <w:r w:rsidRPr="00A66AD7">
        <w:t xml:space="preserve"> observed that limited exposure to unhealthy community nutrition environments worsens healthy nutritional practices. Adolescent nutritional practices are shaped by multiple, interconnected factors across home, school, community, and policy environments. Supportive family settings, parental modeling, and maternal nutrition knowledge play a vital role in shaping positive nutritional practices </w:t>
      </w:r>
      <w:r w:rsidR="008577F1">
        <w:fldChar w:fldCharType="begin"/>
      </w:r>
      <w:r w:rsidR="008577F1">
        <w:instrText xml:space="preserve"> ADDIN EN.CITE &lt;EndNote&gt;&lt;Cite AuthorYear="1"&gt;&lt;Author&gt;Vidhya&lt;/Author&gt;&lt;Year&gt;2023&lt;/Year&gt;&lt;RecNum&gt;49&lt;/RecNum&gt;&lt;DisplayText&gt;Vidhya et al. (2023)&lt;/DisplayText&gt;&lt;record&gt;&lt;rec-number&gt;49&lt;/rec-number&gt;&lt;foreign-keys&gt;&lt;key app="EN" db-id="sr990pt9r5ppp9errx2522v65fxfs2xpx5e2" timestamp="1757831914"&gt;49&lt;/key&gt;&lt;/foreign-keys&gt;&lt;ref-type name="Journal Article"&gt;17&lt;/ref-type&gt;&lt;contributors&gt;&lt;authors&gt;&lt;author&gt;Vidhya, CS&lt;/author&gt;&lt;author&gt;Sree, P Narmatha&lt;/author&gt;&lt;author&gt;Rani, K Sudha&lt;/author&gt;&lt;author&gt;Srivastava, Priya&lt;/author&gt;&lt;author&gt;Banu, AM Rashida&lt;/author&gt;&lt;author&gt;Sahu, Pratima&lt;/author&gt;&lt;author&gt;Rajpal, Charu&lt;/author&gt;&lt;/authors&gt;&lt;/contributors&gt;&lt;titles&gt;&lt;title&gt;Maternal Nutritional Understanding, Attitudes, and Practices: Implications for Children&amp;apos;s Eating Habits&lt;/title&gt;&lt;secondary-title&gt;children&lt;/secondary-title&gt;&lt;/titles&gt;&lt;periodical&gt;&lt;full-title&gt;Children&lt;/full-title&gt;&lt;/periodical&gt;&lt;pages&gt;5&lt;/pages&gt;&lt;volume&gt;1&lt;/volume&gt;&lt;dates&gt;&lt;year&gt;2023&lt;/year&gt;&lt;/dates&gt;&lt;urls&gt;&lt;/urls&gt;&lt;/record&gt;&lt;/Cite&gt;&lt;/EndNote&gt;</w:instrText>
      </w:r>
      <w:r w:rsidR="008577F1">
        <w:fldChar w:fldCharType="separate"/>
      </w:r>
      <w:r w:rsidR="008577F1">
        <w:rPr>
          <w:noProof/>
        </w:rPr>
        <w:t>Vidhya et al. (2023)</w:t>
      </w:r>
      <w:r w:rsidR="008577F1">
        <w:fldChar w:fldCharType="end"/>
      </w:r>
      <w:r w:rsidRPr="00A66AD7">
        <w:t xml:space="preserve">, with the home environment exerting greater influence than the neighborhood through the availability of fruits and vegetables </w:t>
      </w:r>
      <w:r w:rsidRPr="00A66AD7">
        <w:fldChar w:fldCharType="begin"/>
      </w:r>
      <w:r w:rsidRPr="00A66AD7">
        <w:instrText xml:space="preserve"> ADDIN EN.CITE &lt;EndNote&gt;&lt;Cite&gt;&lt;Author&gt;Tabbakh&lt;/Author&gt;&lt;Year&gt;2016&lt;/Year&gt;&lt;RecNum&gt;28&lt;/RecNum&gt;&lt;DisplayText&gt;(Tabbakh &amp;amp; Freeland-Graves, 2016)&lt;/DisplayText&gt;&lt;record&gt;&lt;rec-number&gt;28&lt;/rec-number&gt;&lt;foreign-keys&gt;&lt;key app="EN" db-id="sr990pt9r5ppp9errx2522v65fxfs2xpx5e2" timestamp="1757289070"&gt;28&lt;/key&gt;&lt;/foreign-keys&gt;&lt;ref-type name="Journal Article"&gt;17&lt;/ref-type&gt;&lt;contributors&gt;&lt;authors&gt;&lt;author&gt;Tabbakh, Tamara&lt;/author&gt;&lt;author&gt;Freeland-Graves, J.&lt;/author&gt;&lt;/authors&gt;&lt;/contributors&gt;&lt;titles&gt;&lt;title&gt;The home environment: A mediator of nutrition knowledge and diet quality in adolescents&lt;/title&gt;&lt;secondary-title&gt;Appetite&lt;/secondary-title&gt;&lt;/titles&gt;&lt;periodical&gt;&lt;full-title&gt;Appetite&lt;/full-title&gt;&lt;/periodical&gt;&lt;pages&gt;46-52&lt;/pages&gt;&lt;volume&gt;105&lt;/volume&gt;&lt;dates&gt;&lt;year&gt;2016&lt;/year&gt;&lt;pub-dates&gt;&lt;date&gt;2016-10-01&lt;/date&gt;&lt;/pub-dates&gt;&lt;/dates&gt;&lt;urls&gt;&lt;related-urls&gt;&lt;url&gt;https://consensus.app/papers/the-home-environment-a-mediator-of-nutrition-knowledge-and-tabbakh-freeland-graves/13ac6c4354245c309351d24de838d7c9/&lt;/url&gt;&lt;/related-urls&gt;&lt;/urls&gt;&lt;electronic-resource-num&gt;10.1016/j.appet.2016.05.002&lt;/electronic-resource-num&gt;&lt;/record&gt;&lt;/Cite&gt;&lt;/EndNote&gt;</w:instrText>
      </w:r>
      <w:r w:rsidRPr="00A66AD7">
        <w:fldChar w:fldCharType="separate"/>
      </w:r>
      <w:r w:rsidRPr="00A66AD7">
        <w:rPr>
          <w:noProof/>
        </w:rPr>
        <w:t>(Tabbakh &amp; Freeland-Graves, 2016)</w:t>
      </w:r>
      <w:r w:rsidRPr="00A66AD7">
        <w:fldChar w:fldCharType="end"/>
      </w:r>
      <w:r w:rsidRPr="00A66AD7">
        <w:t xml:space="preserve">. Socioeconomic status further differentiates these practices, as adolescents from higher-income households tend to adopt healthier options, while those from lower-income households face barriers, prefer fast food, and are more sensitive to food price changes </w:t>
      </w:r>
      <w:r w:rsidRPr="00A66AD7">
        <w:fldChar w:fldCharType="begin"/>
      </w:r>
      <w:r w:rsidRPr="00A66AD7">
        <w:instrText xml:space="preserve"> ADDIN EN.CITE &lt;EndNote&gt;&lt;Cite&gt;&lt;Author&gt;Mackenbach&lt;/Author&gt;&lt;Year&gt;2019&lt;/Year&gt;&lt;RecNum&gt;32&lt;/RecNum&gt;&lt;DisplayText&gt;(Mackenbach et al., 2019)&lt;/DisplayText&gt;&lt;record&gt;&lt;rec-number&gt;32&lt;/rec-number&gt;&lt;foreign-keys&gt;&lt;key app="EN" db-id="sr990pt9r5ppp9errx2522v65fxfs2xpx5e2" timestamp="1757289070"&gt;32&lt;/key&gt;&lt;/foreign-keys&gt;&lt;ref-type name="Journal Article"&gt;17&lt;/ref-type&gt;&lt;contributors&gt;&lt;authors&gt;&lt;author&gt;Mackenbach, J.&lt;/author&gt;&lt;author&gt;Nelissen, Kyra&lt;/author&gt;&lt;author&gt;Dijkstra, S.&lt;/author&gt;&lt;author&gt;Poelman, M.&lt;/author&gt;&lt;author&gt;Daams, Joost&lt;/author&gt;&lt;author&gt;Leijssen, J.&lt;/author&gt;&lt;author&gt;Nicolaou, M.&lt;/author&gt;&lt;/authors&gt;&lt;/contributors&gt;&lt;titles&gt;&lt;title&gt;A Systematic Review on Socioeconomic Differences in the Association between the Food Environment and Dietary Behaviors&lt;/title&gt;&lt;secondary-title&gt;Nutrients&lt;/secondary-title&gt;&lt;/titles&gt;&lt;periodical&gt;&lt;full-title&gt;Nutrients&lt;/full-title&gt;&lt;/periodical&gt;&lt;volume&gt;11&lt;/volume&gt;&lt;dates&gt;&lt;year&gt;2019&lt;/year&gt;&lt;pub-dates&gt;&lt;date&gt;2019-09-01&lt;/date&gt;&lt;/pub-dates&gt;&lt;/dates&gt;&lt;urls&gt;&lt;related-urls&gt;&lt;url&gt;https://consensus.app/papers/a-systematic-review-on-socioeconomic-differences-in-the-dijkstra-daams/7c3a13087c0c5352b4b4939b355e20f6/&lt;/url&gt;&lt;/related-urls&gt;&lt;/urls&gt;&lt;electronic-resource-num&gt;10.3390/nu11092215&lt;/electronic-resource-num&gt;&lt;/record&gt;&lt;/Cite&gt;&lt;/EndNote&gt;</w:instrText>
      </w:r>
      <w:r w:rsidRPr="00A66AD7">
        <w:fldChar w:fldCharType="separate"/>
      </w:r>
      <w:r w:rsidRPr="00A66AD7">
        <w:rPr>
          <w:noProof/>
        </w:rPr>
        <w:t>(Mackenbach et al., 2019)</w:t>
      </w:r>
      <w:r w:rsidRPr="00A66AD7">
        <w:fldChar w:fldCharType="end"/>
      </w:r>
      <w:r w:rsidRPr="00A66AD7">
        <w:t xml:space="preserve">. Schools and communities also play a crucial role in shaping </w:t>
      </w:r>
      <w:r w:rsidRPr="00A66AD7">
        <w:lastRenderedPageBreak/>
        <w:t xml:space="preserve">nutritional practices, though interventions remain limited and are most effective when adolescents are actively involved in their design and implementation </w:t>
      </w:r>
      <w:r w:rsidRPr="00A66AD7">
        <w:fldChar w:fldCharType="begin"/>
      </w:r>
      <w:r w:rsidRPr="00A66AD7">
        <w:instrText xml:space="preserve"> ADDIN EN.CITE &lt;EndNote&gt;&lt;Cite&gt;&lt;Author&gt;McIsaac&lt;/Author&gt;&lt;Year&gt;2019&lt;/Year&gt;&lt;RecNum&gt;38&lt;/RecNum&gt;&lt;DisplayText&gt;(McIsaac et al., 2019)&lt;/DisplayText&gt;&lt;record&gt;&lt;rec-number&gt;38&lt;/rec-number&gt;&lt;foreign-keys&gt;&lt;key app="EN" db-id="sr990pt9r5ppp9errx2522v65fxfs2xpx5e2" timestamp="1757290215"&gt;38&lt;/key&gt;&lt;/foreign-keys&gt;&lt;ref-type name="Journal Article"&gt;17&lt;/ref-type&gt;&lt;contributors&gt;&lt;authors&gt;&lt;author&gt;McIsaac, Jessie-Lee D&lt;/author&gt;&lt;author&gt;Spencer, Rebecca&lt;/author&gt;&lt;author&gt;Chiasson, Kaleigh&lt;/author&gt;&lt;author&gt;Kontak, Julia&lt;/author&gt;&lt;author&gt;Kirk, Sara FL&lt;/author&gt;&lt;/authors&gt;&lt;/contributors&gt;&lt;titles&gt;&lt;title&gt;Factors influencing the implementation of nutrition policies in schools: a scoping review&lt;/title&gt;&lt;secondary-title&gt;Health Education &amp;amp; Behavior&lt;/secondary-title&gt;&lt;/titles&gt;&lt;periodical&gt;&lt;full-title&gt;Health Education &amp;amp; Behavior&lt;/full-title&gt;&lt;/periodical&gt;&lt;pages&gt;224-250&lt;/pages&gt;&lt;volume&gt;46&lt;/volume&gt;&lt;number&gt;2&lt;/number&gt;&lt;dates&gt;&lt;year&gt;2019&lt;/year&gt;&lt;/dates&gt;&lt;isbn&gt;1090-1981&lt;/isbn&gt;&lt;urls&gt;&lt;/urls&gt;&lt;/record&gt;&lt;/Cite&gt;&lt;/EndNote&gt;</w:instrText>
      </w:r>
      <w:r w:rsidRPr="00A66AD7">
        <w:fldChar w:fldCharType="separate"/>
      </w:r>
      <w:r w:rsidRPr="00A66AD7">
        <w:rPr>
          <w:noProof/>
        </w:rPr>
        <w:t>(McIsaac et al., 2019)</w:t>
      </w:r>
      <w:r w:rsidRPr="00A66AD7">
        <w:fldChar w:fldCharType="end"/>
      </w:r>
      <w:r w:rsidRPr="00A66AD7">
        <w:t xml:space="preserve">. Despite the high-end nutritional care provided by the teachers in secondary schools, the practices have always fallen short, making it difficult to ascertain the exact impact played by nutritional care in shaping nutritional practices. </w:t>
      </w:r>
    </w:p>
    <w:p w14:paraId="707AD457" w14:textId="77777777" w:rsidR="00E34E6B" w:rsidRPr="00A66AD7" w:rsidRDefault="00E34E6B" w:rsidP="008577F1">
      <w:pPr>
        <w:spacing w:before="100" w:beforeAutospacing="1" w:after="100" w:afterAutospacing="1" w:line="276" w:lineRule="auto"/>
        <w:jc w:val="both"/>
      </w:pPr>
      <w:r w:rsidRPr="00A66AD7">
        <w:t xml:space="preserve">In Uganda, most studies have looked at the knowledge, attitudes, and practices linked to feeding in the conflict areas of the Northern part </w:t>
      </w:r>
      <w:r w:rsidRPr="00A66AD7">
        <w:fldChar w:fldCharType="begin"/>
      </w:r>
      <w:r w:rsidRPr="00A66AD7">
        <w:instrText xml:space="preserve"> ADDIN EN.CITE &lt;EndNote&gt;&lt;Cite&gt;&lt;Author&gt;Nassanga&lt;/Author&gt;&lt;Year&gt;2018&lt;/Year&gt;&lt;RecNum&gt;39&lt;/RecNum&gt;&lt;DisplayText&gt;(Nassanga et al., 2018)&lt;/DisplayText&gt;&lt;record&gt;&lt;rec-number&gt;39&lt;/rec-number&gt;&lt;foreign-keys&gt;&lt;key app="EN" db-id="sr990pt9r5ppp9errx2522v65fxfs2xpx5e2" timestamp="1757290622"&gt;39&lt;/key&gt;&lt;/foreign-keys&gt;&lt;ref-type name="Journal Article"&gt;17&lt;/ref-type&gt;&lt;contributors&gt;&lt;authors&gt;&lt;author&gt;Nassanga, Prossy&lt;/author&gt;&lt;author&gt;Okello‐Uma, Ipolto&lt;/author&gt;&lt;author&gt;Ongeng, Duncan&lt;/author&gt;&lt;/authors&gt;&lt;/contributors&gt;&lt;titles&gt;&lt;title&gt;The status of nutritional knowledge, attitude and practices associated with complementary feeding in a post‐conflict development phase setting: The case of Acholi sub‐region of Uganda&lt;/title&gt;&lt;secondary-title&gt;Food science &amp;amp; nutrition&lt;/secondary-title&gt;&lt;/titles&gt;&lt;periodical&gt;&lt;full-title&gt;Food science &amp;amp; nutrition&lt;/full-title&gt;&lt;/periodical&gt;&lt;pages&gt;2374-2385&lt;/pages&gt;&lt;volume&gt;6&lt;/volume&gt;&lt;number&gt;8&lt;/number&gt;&lt;dates&gt;&lt;year&gt;2018&lt;/year&gt;&lt;/dates&gt;&lt;isbn&gt;2048-7177&lt;/isbn&gt;&lt;urls&gt;&lt;/urls&gt;&lt;/record&gt;&lt;/Cite&gt;&lt;/EndNote&gt;</w:instrText>
      </w:r>
      <w:r w:rsidRPr="00A66AD7">
        <w:fldChar w:fldCharType="separate"/>
      </w:r>
      <w:r w:rsidRPr="00A66AD7">
        <w:rPr>
          <w:noProof/>
        </w:rPr>
        <w:t>(Nassanga et al., 2018)</w:t>
      </w:r>
      <w:r w:rsidRPr="00A66AD7">
        <w:fldChar w:fldCharType="end"/>
      </w:r>
      <w:r w:rsidRPr="00A66AD7">
        <w:t xml:space="preserve">. Another study explored the sociocultural influences of nutritional care in the western part of the country </w:t>
      </w:r>
      <w:r w:rsidRPr="00A66AD7">
        <w:fldChar w:fldCharType="begin"/>
      </w:r>
      <w:r w:rsidRPr="00A66AD7">
        <w:instrText xml:space="preserve"> ADDIN EN.CITE &lt;EndNote&gt;&lt;Cite&gt;&lt;Author&gt;Ickes&lt;/Author&gt;&lt;Year&gt;2017&lt;/Year&gt;&lt;RecNum&gt;41&lt;/RecNum&gt;&lt;DisplayText&gt;(Ickes et al., 2017)&lt;/DisplayText&gt;&lt;record&gt;&lt;rec-number&gt;41&lt;/rec-number&gt;&lt;foreign-keys&gt;&lt;key app="EN" db-id="sr990pt9r5ppp9errx2522v65fxfs2xpx5e2" timestamp="1757290774"&gt;41&lt;/key&gt;&lt;/foreign-keys&gt;&lt;ref-type name="Journal Article"&gt;17&lt;/ref-type&gt;&lt;contributors&gt;&lt;authors&gt;&lt;author&gt;Ickes, Scott B&lt;/author&gt;&lt;author&gt;Heymsfield, Grace A&lt;/author&gt;&lt;author&gt;Wright, Timothy W&lt;/author&gt;&lt;author&gt;Baguma, Charles&lt;/author&gt;&lt;/authors&gt;&lt;/contributors&gt;&lt;titles&gt;&lt;title&gt;“Generally the young mom suffers much:” Socio‐cultural influences of maternal capabilities and nutrition care in Uganda&lt;/title&gt;&lt;secondary-title&gt;Maternal &amp;amp; child nutrition&lt;/secondary-title&gt;&lt;/titles&gt;&lt;periodical&gt;&lt;full-title&gt;Maternal &amp;amp; Child Nutrition&lt;/full-title&gt;&lt;/periodical&gt;&lt;pages&gt;e12365&lt;/pages&gt;&lt;volume&gt;13&lt;/volume&gt;&lt;number&gt;3&lt;/number&gt;&lt;dates&gt;&lt;year&gt;2017&lt;/year&gt;&lt;/dates&gt;&lt;isbn&gt;1740-8695&lt;/isbn&gt;&lt;urls&gt;&lt;/urls&gt;&lt;/record&gt;&lt;/Cite&gt;&lt;/EndNote&gt;</w:instrText>
      </w:r>
      <w:r w:rsidRPr="00A66AD7">
        <w:fldChar w:fldCharType="separate"/>
      </w:r>
      <w:r w:rsidRPr="00A66AD7">
        <w:rPr>
          <w:noProof/>
        </w:rPr>
        <w:t>(Ickes et al., 2017)</w:t>
      </w:r>
      <w:r w:rsidRPr="00A66AD7">
        <w:fldChar w:fldCharType="end"/>
      </w:r>
      <w:r w:rsidRPr="00A66AD7">
        <w:t xml:space="preserve">. Similarly, </w:t>
      </w:r>
      <w:r w:rsidRPr="00A66AD7">
        <w:fldChar w:fldCharType="begin"/>
      </w:r>
      <w:r w:rsidRPr="00A66AD7">
        <w:instrText xml:space="preserve"> ADDIN EN.CITE &lt;EndNote&gt;&lt;Cite AuthorYear="1"&gt;&lt;Author&gt;Muggaga&lt;/Author&gt;&lt;Year&gt;2017&lt;/Year&gt;&lt;RecNum&gt;42&lt;/RecNum&gt;&lt;DisplayText&gt;Muggaga et al. (2017)&lt;/DisplayText&gt;&lt;record&gt;&lt;rec-number&gt;42&lt;/rec-number&gt;&lt;foreign-keys&gt;&lt;key app="EN" db-id="sr990pt9r5ppp9errx2522v65fxfs2xpx5e2" timestamp="1757290866"&gt;42&lt;/key&gt;&lt;/foreign-keys&gt;&lt;ref-type name="Journal Article"&gt;17&lt;/ref-type&gt;&lt;contributors&gt;&lt;authors&gt;&lt;author&gt;Muggaga, Christopher&lt;/author&gt;&lt;author&gt;Ongeng, Duncan&lt;/author&gt;&lt;author&gt;Mugonola, Bazil&lt;/author&gt;&lt;author&gt;Okello-Uma, Ipolto&lt;/author&gt;&lt;author&gt;Kaaya, NA&lt;/author&gt;&lt;author&gt;Taylor, David&lt;/author&gt;&lt;/authors&gt;&lt;/contributors&gt;&lt;titles&gt;&lt;title&gt;Influence of sociocultural practices on food and nutrition security in Karamoja subregion of Uganda&lt;/title&gt;&lt;secondary-title&gt;Ecology of food and nutrition&lt;/secondary-title&gt;&lt;/titles&gt;&lt;periodical&gt;&lt;full-title&gt;Ecology of food and nutrition&lt;/full-title&gt;&lt;/periodical&gt;&lt;pages&gt;424-447&lt;/pages&gt;&lt;volume&gt;56&lt;/volume&gt;&lt;number&gt;5&lt;/number&gt;&lt;dates&gt;&lt;year&gt;2017&lt;/year&gt;&lt;/dates&gt;&lt;isbn&gt;0367-0244&lt;/isbn&gt;&lt;urls&gt;&lt;/urls&gt;&lt;/record&gt;&lt;/Cite&gt;&lt;/EndNote&gt;</w:instrText>
      </w:r>
      <w:r w:rsidRPr="00A66AD7">
        <w:fldChar w:fldCharType="separate"/>
      </w:r>
      <w:r w:rsidRPr="00A66AD7">
        <w:rPr>
          <w:noProof/>
        </w:rPr>
        <w:t>Muggaga et al. (2017)</w:t>
      </w:r>
      <w:r w:rsidRPr="00A66AD7">
        <w:fldChar w:fldCharType="end"/>
      </w:r>
      <w:r w:rsidRPr="00A66AD7">
        <w:t xml:space="preserve"> assessed the influence of sociocultural practices on food and nutrition security, focusing on the Karamoja subregion, located in northeastern Uganda. Relatedly, </w:t>
      </w:r>
      <w:r w:rsidRPr="00A66AD7">
        <w:fldChar w:fldCharType="begin"/>
      </w:r>
      <w:r w:rsidRPr="00A66AD7">
        <w:instrText xml:space="preserve"> ADDIN EN.CITE &lt;EndNote&gt;&lt;Cite AuthorYear="1"&gt;&lt;Author&gt;Kajjura&lt;/Author&gt;&lt;Year&gt;2019&lt;/Year&gt;&lt;RecNum&gt;43&lt;/RecNum&gt;&lt;DisplayText&gt;Kajjura et al. (2019)&lt;/DisplayText&gt;&lt;record&gt;&lt;rec-number&gt;43&lt;/rec-number&gt;&lt;foreign-keys&gt;&lt;key app="EN" db-id="sr990pt9r5ppp9errx2522v65fxfs2xpx5e2" timestamp="1757291075"&gt;43&lt;/key&gt;&lt;/foreign-keys&gt;&lt;ref-type name="Journal Article"&gt;17&lt;/ref-type&gt;&lt;contributors&gt;&lt;authors&gt;&lt;author&gt;Kajjura, Richard B&lt;/author&gt;&lt;author&gt;Veldman, Frederick J&lt;/author&gt;&lt;author&gt;Kassier, Susanna M&lt;/author&gt;&lt;/authors&gt;&lt;/contributors&gt;&lt;titles&gt;&lt;title&gt;Effect of nutrition education on knowledge, complementary feeding, and hygiene practices of mothers with moderate acutely malnourished children in Uganda&lt;/title&gt;&lt;secondary-title&gt;Food and nutrition bulletin&lt;/secondary-title&gt;&lt;/titles&gt;&lt;periodical&gt;&lt;full-title&gt;Food and nutrition bulletin&lt;/full-title&gt;&lt;/periodical&gt;&lt;pages&gt;221-230&lt;/pages&gt;&lt;volume&gt;40&lt;/volume&gt;&lt;number&gt;2&lt;/number&gt;&lt;dates&gt;&lt;year&gt;2019&lt;/year&gt;&lt;/dates&gt;&lt;isbn&gt;0379-5721&lt;/isbn&gt;&lt;urls&gt;&lt;/urls&gt;&lt;/record&gt;&lt;/Cite&gt;&lt;/EndNote&gt;</w:instrText>
      </w:r>
      <w:r w:rsidRPr="00A66AD7">
        <w:fldChar w:fldCharType="separate"/>
      </w:r>
      <w:r w:rsidRPr="00A66AD7">
        <w:rPr>
          <w:noProof/>
        </w:rPr>
        <w:t>Kajjura et al. (2019)</w:t>
      </w:r>
      <w:r w:rsidRPr="00A66AD7">
        <w:fldChar w:fldCharType="end"/>
      </w:r>
      <w:r w:rsidRPr="00A66AD7">
        <w:t xml:space="preserve"> and </w:t>
      </w:r>
      <w:r w:rsidRPr="00A66AD7">
        <w:fldChar w:fldCharType="begin"/>
      </w:r>
      <w:r w:rsidRPr="00A66AD7">
        <w:instrText xml:space="preserve"> ADDIN EN.CITE &lt;EndNote&gt;&lt;Cite AuthorYear="1"&gt;&lt;Author&gt;Nabugoomu&lt;/Author&gt;&lt;Year&gt;2015&lt;/Year&gt;&lt;RecNum&gt;44&lt;/RecNum&gt;&lt;DisplayText&gt;Nabugoomu et al. (2015)&lt;/DisplayText&gt;&lt;record&gt;&lt;rec-number&gt;44&lt;/rec-number&gt;&lt;foreign-keys&gt;&lt;key app="EN" db-id="sr990pt9r5ppp9errx2522v65fxfs2xpx5e2" timestamp="1757291100"&gt;44&lt;/key&gt;&lt;/foreign-keys&gt;&lt;ref-type name="Journal Article"&gt;17&lt;/ref-type&gt;&lt;contributors&gt;&lt;authors&gt;&lt;author&gt;Nabugoomu, Josephine&lt;/author&gt;&lt;author&gt;Namutebi, Agnes&lt;/author&gt;&lt;author&gt;Kaaya, Archileo N&lt;/author&gt;&lt;author&gt;Nasinyama, George&lt;/author&gt;&lt;/authors&gt;&lt;/contributors&gt;&lt;titles&gt;&lt;title&gt;Nutrition education influences child feeding knowledge attitudes and practices of caregivers in Uganda&lt;/title&gt;&lt;secondary-title&gt;American Journal of Health Research&lt;/secondary-title&gt;&lt;/titles&gt;&lt;periodical&gt;&lt;full-title&gt;American Journal of Health Research&lt;/full-title&gt;&lt;/periodical&gt;&lt;pages&gt;82-90&lt;/pages&gt;&lt;volume&gt;3&lt;/volume&gt;&lt;number&gt;2&lt;/number&gt;&lt;dates&gt;&lt;year&gt;2015&lt;/year&gt;&lt;/dates&gt;&lt;urls&gt;&lt;/urls&gt;&lt;/record&gt;&lt;/Cite&gt;&lt;/EndNote&gt;</w:instrText>
      </w:r>
      <w:r w:rsidRPr="00A66AD7">
        <w:fldChar w:fldCharType="separate"/>
      </w:r>
      <w:r w:rsidRPr="00A66AD7">
        <w:rPr>
          <w:noProof/>
        </w:rPr>
        <w:t>Nabugoomu et al. (2015)</w:t>
      </w:r>
      <w:r w:rsidRPr="00A66AD7">
        <w:fldChar w:fldCharType="end"/>
      </w:r>
      <w:r w:rsidRPr="00A66AD7">
        <w:t xml:space="preserve"> determined nutrition education on the feeding of children. Although these studies highlight the role of nutrition awareness, very little is known about the practices, including food intake, lifestyle interventions, and nutritional care strategies specifically targeting adolescents. This gap in evidence limits the development of context-specific interventions and policies that address the unique nutritional needs of adolescents, particularly in rapidly urbanizing and school-based environments where dietary transitions are most evident. Therefore, this paper draws from public secondary schools in Nansana Municipality, Uganda, to examine the influence of biology/PE teachers' nutrition care on the nutrition practices of adolescents.  </w:t>
      </w:r>
    </w:p>
    <w:p w14:paraId="7B867999" w14:textId="77777777" w:rsidR="00790ADA" w:rsidRPr="00FB3A86" w:rsidRDefault="00790ADA" w:rsidP="00441B6F">
      <w:pPr>
        <w:pStyle w:val="Body"/>
        <w:spacing w:after="0"/>
        <w:rPr>
          <w:rFonts w:ascii="Arial" w:hAnsi="Arial" w:cs="Arial"/>
        </w:rPr>
      </w:pPr>
    </w:p>
    <w:p w14:paraId="70F3DE5C" w14:textId="406D0D1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6A67252" w14:textId="77777777" w:rsidR="00790ADA" w:rsidRPr="00FB3A86" w:rsidRDefault="00790ADA" w:rsidP="00441B6F">
      <w:pPr>
        <w:pStyle w:val="AbstHead"/>
        <w:spacing w:after="0"/>
        <w:jc w:val="both"/>
        <w:rPr>
          <w:rFonts w:ascii="Arial" w:hAnsi="Arial" w:cs="Arial"/>
        </w:rPr>
      </w:pPr>
    </w:p>
    <w:p w14:paraId="6F962AC5" w14:textId="77777777" w:rsidR="00E34E6B" w:rsidRPr="00BF03E0" w:rsidRDefault="00E34E6B" w:rsidP="00E34E6B">
      <w:pPr>
        <w:spacing w:before="100" w:beforeAutospacing="1" w:after="100" w:afterAutospacing="1" w:line="276" w:lineRule="auto"/>
        <w:jc w:val="both"/>
        <w:rPr>
          <w:b/>
          <w:bCs/>
        </w:rPr>
      </w:pPr>
      <w:r w:rsidRPr="00BF03E0">
        <w:rPr>
          <w:b/>
          <w:bCs/>
        </w:rPr>
        <w:t>Study Design</w:t>
      </w:r>
    </w:p>
    <w:p w14:paraId="6EF3B063" w14:textId="77777777" w:rsidR="00E34E6B" w:rsidRPr="00BF03E0" w:rsidRDefault="00E34E6B" w:rsidP="00E34E6B">
      <w:pPr>
        <w:spacing w:before="100" w:beforeAutospacing="1" w:after="100" w:afterAutospacing="1" w:line="276" w:lineRule="auto"/>
        <w:jc w:val="both"/>
      </w:pPr>
      <w:r>
        <w:t xml:space="preserve">A mixed methods design was employed in this study. Particularly, a sequential mixed methods design. As suggested by </w:t>
      </w:r>
      <w:r>
        <w:fldChar w:fldCharType="begin"/>
      </w:r>
      <w:r>
        <w:instrText xml:space="preserve"> ADDIN EN.CITE &lt;EndNote&gt;&lt;Cite AuthorYear="1"&gt;&lt;Author&gt;Creswell&lt;/Author&gt;&lt;Year&gt;1999&lt;/Year&gt;&lt;RecNum&gt;45&lt;/RecNum&gt;&lt;DisplayText&gt;Creswell (1999)&lt;/DisplayText&gt;&lt;record&gt;&lt;rec-number&gt;45&lt;/rec-number&gt;&lt;foreign-keys&gt;&lt;key app="EN" db-id="sr990pt9r5ppp9errx2522v65fxfs2xpx5e2" timestamp="1757516933"&gt;45&lt;/key&gt;&lt;/foreign-keys&gt;&lt;ref-type name="Book Section"&gt;5&lt;/ref-type&gt;&lt;contributors&gt;&lt;authors&gt;&lt;author&gt;Creswell, John W&lt;/author&gt;&lt;/authors&gt;&lt;/contributors&gt;&lt;titles&gt;&lt;title&gt;Mixed-method research: Introduction and application&lt;/title&gt;&lt;secondary-title&gt;Handbook of educational policy&lt;/secondary-title&gt;&lt;/titles&gt;&lt;pages&gt;455-472&lt;/pages&gt;&lt;dates&gt;&lt;year&gt;1999&lt;/year&gt;&lt;/dates&gt;&lt;publisher&gt;Elsevier&lt;/publisher&gt;&lt;urls&gt;&lt;/urls&gt;&lt;/record&gt;&lt;/Cite&gt;&lt;/EndNote&gt;</w:instrText>
      </w:r>
      <w:r>
        <w:fldChar w:fldCharType="separate"/>
      </w:r>
      <w:r>
        <w:rPr>
          <w:noProof/>
        </w:rPr>
        <w:t>Creswell (1999)</w:t>
      </w:r>
      <w:r>
        <w:fldChar w:fldCharType="end"/>
      </w:r>
      <w:r>
        <w:t xml:space="preserve">, the approach of the sequential mixed methods allows the researcher to expand on the results from the quantitative by introducing those from the qualitative. This design was appropriate because </w:t>
      </w:r>
      <w:r w:rsidRPr="00BF03E0">
        <w:t>it allowed the researcher to investigate the relationship between adolescents' nutrition knowledge, perceptions, and behaviors</w:t>
      </w:r>
      <w:r>
        <w:t>,</w:t>
      </w:r>
      <w:r w:rsidRPr="00BF03E0">
        <w:t xml:space="preserve"> and the nutrition care provided by biology/physical education teachers from both statistical and experiential perspectives at the same time</w:t>
      </w:r>
      <w:r>
        <w:t>. This</w:t>
      </w:r>
      <w:r w:rsidRPr="00BF03E0">
        <w:t xml:space="preserve"> approach was deemed suitable for the study. </w:t>
      </w:r>
    </w:p>
    <w:p w14:paraId="15C2CAAA" w14:textId="77777777" w:rsidR="00E34E6B" w:rsidRPr="00BF03E0" w:rsidRDefault="00E34E6B" w:rsidP="00E34E6B">
      <w:pPr>
        <w:spacing w:before="100" w:beforeAutospacing="1" w:after="100" w:afterAutospacing="1" w:line="276" w:lineRule="auto"/>
        <w:jc w:val="both"/>
        <w:rPr>
          <w:b/>
          <w:bCs/>
        </w:rPr>
      </w:pPr>
      <w:r w:rsidRPr="00BF03E0">
        <w:rPr>
          <w:b/>
          <w:bCs/>
        </w:rPr>
        <w:t>Study Setting</w:t>
      </w:r>
    </w:p>
    <w:p w14:paraId="6CE5A99B" w14:textId="77777777" w:rsidR="00E34E6B" w:rsidRPr="00BF03E0" w:rsidRDefault="00E34E6B" w:rsidP="00E34E6B">
      <w:pPr>
        <w:spacing w:before="100" w:beforeAutospacing="1" w:after="100" w:afterAutospacing="1" w:line="276" w:lineRule="auto"/>
        <w:jc w:val="both"/>
      </w:pPr>
      <w:r w:rsidRPr="00BF03E0">
        <w:t>This study included public secondary schools in Nansana Municipality</w:t>
      </w:r>
      <w:r>
        <w:t>,</w:t>
      </w:r>
      <w:r w:rsidRPr="00BF03E0">
        <w:t xml:space="preserve"> either government-owned or aided, and teachers of biology and physical education. It included teachers with different years of experience to capture a broad range of teaching techniques and nutrition care issues.</w:t>
      </w:r>
      <w:r>
        <w:t xml:space="preserve"> </w:t>
      </w:r>
      <w:r w:rsidRPr="00BF03E0">
        <w:rPr>
          <w:lang w:val="en"/>
        </w:rPr>
        <w:t>The study involved teenagers aged 10-19 in Senior One through Senior Three courses at educational institutions. Participants were informed, willing, and had parental permission. Students had to have been enrolled in their schools for at least one term before data collection.</w:t>
      </w:r>
      <w:r>
        <w:t xml:space="preserve"> </w:t>
      </w:r>
    </w:p>
    <w:p w14:paraId="41A894F2" w14:textId="77777777" w:rsidR="00E34E6B" w:rsidRPr="007079C2" w:rsidRDefault="00E34E6B" w:rsidP="00E34E6B">
      <w:pPr>
        <w:spacing w:before="100" w:beforeAutospacing="1" w:after="100" w:afterAutospacing="1" w:line="276" w:lineRule="auto"/>
        <w:jc w:val="both"/>
        <w:rPr>
          <w:b/>
          <w:bCs/>
        </w:rPr>
      </w:pPr>
      <w:r w:rsidRPr="007079C2">
        <w:rPr>
          <w:b/>
          <w:bCs/>
        </w:rPr>
        <w:t>Participant Recruitment</w:t>
      </w:r>
    </w:p>
    <w:p w14:paraId="7B66E8A5" w14:textId="3C39D6F2" w:rsidR="00E34E6B" w:rsidRDefault="00E34E6B" w:rsidP="00E34E6B">
      <w:pPr>
        <w:spacing w:before="100" w:beforeAutospacing="1" w:after="100" w:afterAutospacing="1" w:line="276" w:lineRule="auto"/>
        <w:jc w:val="both"/>
      </w:pPr>
      <w:r w:rsidRPr="00364782">
        <w:rPr>
          <w:szCs w:val="24"/>
        </w:rPr>
        <w:t>Th</w:t>
      </w:r>
      <w:r>
        <w:t>e</w:t>
      </w:r>
      <w:r w:rsidRPr="00364782">
        <w:rPr>
          <w:szCs w:val="24"/>
        </w:rPr>
        <w:t xml:space="preserve"> study focused exclusively on adolescents attending government-owned or government-aided secondary schools in Nansana Municipality, Wakiso District, Uganda. </w:t>
      </w:r>
      <w:r>
        <w:t xml:space="preserve">Using the Krejcie and Morgan formula, </w:t>
      </w:r>
      <w:r w:rsidRPr="00BF03E0">
        <w:t xml:space="preserve">1,267 </w:t>
      </w:r>
      <w:r>
        <w:t>adolescent students and 45 teachers were targeted</w:t>
      </w:r>
      <w:r w:rsidRPr="00BF03E0">
        <w:t>.</w:t>
      </w:r>
      <w:r>
        <w:t xml:space="preserve"> However, only 1174 students were achieved, giving about a 93% response rate.</w:t>
      </w:r>
      <w:r w:rsidRPr="00BF03E0">
        <w:t xml:space="preserve"> </w:t>
      </w:r>
    </w:p>
    <w:p w14:paraId="11F7C640" w14:textId="697D51E6" w:rsidR="00FB4D30" w:rsidRDefault="00FB4D30" w:rsidP="00E34E6B">
      <w:pPr>
        <w:spacing w:before="100" w:beforeAutospacing="1" w:after="100" w:afterAutospacing="1" w:line="276" w:lineRule="auto"/>
        <w:jc w:val="both"/>
      </w:pPr>
    </w:p>
    <w:p w14:paraId="07BBDDCB" w14:textId="4D38642D" w:rsidR="00FB4D30" w:rsidRDefault="00FB4D30" w:rsidP="00E34E6B">
      <w:pPr>
        <w:spacing w:before="100" w:beforeAutospacing="1" w:after="100" w:afterAutospacing="1" w:line="276" w:lineRule="auto"/>
        <w:jc w:val="both"/>
      </w:pPr>
    </w:p>
    <w:p w14:paraId="0767EB5E" w14:textId="38BD2088" w:rsidR="00FB4D30" w:rsidRDefault="00FB4D30" w:rsidP="00E34E6B">
      <w:pPr>
        <w:spacing w:before="100" w:beforeAutospacing="1" w:after="100" w:afterAutospacing="1" w:line="276" w:lineRule="auto"/>
        <w:jc w:val="both"/>
      </w:pPr>
    </w:p>
    <w:p w14:paraId="4A95E1C4" w14:textId="77777777" w:rsidR="00FB4D30" w:rsidRDefault="00FB4D30" w:rsidP="00E34E6B">
      <w:pPr>
        <w:spacing w:before="100" w:beforeAutospacing="1" w:after="100" w:afterAutospacing="1" w:line="276" w:lineRule="auto"/>
        <w:jc w:val="both"/>
      </w:pPr>
    </w:p>
    <w:p w14:paraId="35F7EEE3" w14:textId="20126F93" w:rsidR="00E34E6B" w:rsidRDefault="00E34E6B" w:rsidP="00E34E6B">
      <w:pPr>
        <w:pStyle w:val="NoSpacing"/>
      </w:pPr>
      <w:r>
        <w:t xml:space="preserve">Table </w:t>
      </w:r>
      <w:r>
        <w:fldChar w:fldCharType="begin"/>
      </w:r>
      <w:r>
        <w:instrText xml:space="preserve"> SEQ Table \* ARABIC </w:instrText>
      </w:r>
      <w:r>
        <w:fldChar w:fldCharType="separate"/>
      </w:r>
      <w:r w:rsidR="00E622FF">
        <w:rPr>
          <w:noProof/>
        </w:rPr>
        <w:t>1</w:t>
      </w:r>
      <w:r>
        <w:fldChar w:fldCharType="end"/>
      </w:r>
      <w:r>
        <w:t>: Sample sizes for teachers and adolescent students</w:t>
      </w:r>
    </w:p>
    <w:tbl>
      <w:tblPr>
        <w:tblW w:w="8523" w:type="dxa"/>
        <w:tblBorders>
          <w:top w:val="single" w:sz="4" w:space="0" w:color="auto"/>
          <w:bottom w:val="single" w:sz="4" w:space="0" w:color="auto"/>
        </w:tblBorders>
        <w:tblLook w:val="04A0" w:firstRow="1" w:lastRow="0" w:firstColumn="1" w:lastColumn="0" w:noHBand="0" w:noVBand="1"/>
      </w:tblPr>
      <w:tblGrid>
        <w:gridCol w:w="1401"/>
        <w:gridCol w:w="1401"/>
        <w:gridCol w:w="1810"/>
        <w:gridCol w:w="2510"/>
        <w:gridCol w:w="1401"/>
      </w:tblGrid>
      <w:tr w:rsidR="00E34E6B" w:rsidRPr="007079C2" w14:paraId="7B4055DD" w14:textId="77777777" w:rsidTr="00253CBB">
        <w:trPr>
          <w:trHeight w:val="20"/>
        </w:trPr>
        <w:tc>
          <w:tcPr>
            <w:tcW w:w="1401" w:type="dxa"/>
            <w:tcBorders>
              <w:top w:val="single" w:sz="4" w:space="0" w:color="auto"/>
              <w:bottom w:val="single" w:sz="4" w:space="0" w:color="auto"/>
            </w:tcBorders>
            <w:noWrap/>
            <w:vAlign w:val="bottom"/>
            <w:hideMark/>
          </w:tcPr>
          <w:p w14:paraId="0394588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S/n</w:t>
            </w:r>
          </w:p>
        </w:tc>
        <w:tc>
          <w:tcPr>
            <w:tcW w:w="1401" w:type="dxa"/>
            <w:tcBorders>
              <w:top w:val="single" w:sz="4" w:space="0" w:color="auto"/>
              <w:bottom w:val="single" w:sz="4" w:space="0" w:color="auto"/>
            </w:tcBorders>
            <w:vAlign w:val="bottom"/>
            <w:hideMark/>
          </w:tcPr>
          <w:p w14:paraId="6D13FEC3"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Sub strata</w:t>
            </w:r>
          </w:p>
        </w:tc>
        <w:tc>
          <w:tcPr>
            <w:tcW w:w="1810" w:type="dxa"/>
            <w:tcBorders>
              <w:top w:val="single" w:sz="4" w:space="0" w:color="auto"/>
              <w:bottom w:val="single" w:sz="4" w:space="0" w:color="auto"/>
            </w:tcBorders>
            <w:vAlign w:val="bottom"/>
            <w:hideMark/>
          </w:tcPr>
          <w:p w14:paraId="33217DF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Category of population</w:t>
            </w:r>
          </w:p>
        </w:tc>
        <w:tc>
          <w:tcPr>
            <w:tcW w:w="2510" w:type="dxa"/>
            <w:tcBorders>
              <w:top w:val="single" w:sz="4" w:space="0" w:color="auto"/>
              <w:bottom w:val="single" w:sz="4" w:space="0" w:color="auto"/>
            </w:tcBorders>
            <w:vAlign w:val="bottom"/>
            <w:hideMark/>
          </w:tcPr>
          <w:p w14:paraId="26EB5C8E" w14:textId="5C9F6F28"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Total population</w:t>
            </w:r>
            <w:r w:rsidR="00F26713">
              <w:rPr>
                <w:rFonts w:ascii="Aptos Narrow" w:hAnsi="Aptos Narrow"/>
                <w:color w:val="000000"/>
                <w:sz w:val="22"/>
                <w:szCs w:val="22"/>
              </w:rPr>
              <w:t xml:space="preserve"> </w:t>
            </w:r>
            <w:r w:rsidRPr="007079C2">
              <w:rPr>
                <w:rFonts w:ascii="Aptos Narrow" w:hAnsi="Aptos Narrow"/>
                <w:color w:val="000000"/>
                <w:sz w:val="22"/>
                <w:szCs w:val="22"/>
              </w:rPr>
              <w:t>(N)</w:t>
            </w:r>
          </w:p>
        </w:tc>
        <w:tc>
          <w:tcPr>
            <w:tcW w:w="1401" w:type="dxa"/>
            <w:tcBorders>
              <w:top w:val="single" w:sz="4" w:space="0" w:color="auto"/>
              <w:bottom w:val="single" w:sz="4" w:space="0" w:color="auto"/>
            </w:tcBorders>
            <w:vAlign w:val="bottom"/>
            <w:hideMark/>
          </w:tcPr>
          <w:p w14:paraId="2E4A80E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Sample (S)</w:t>
            </w:r>
          </w:p>
        </w:tc>
      </w:tr>
      <w:tr w:rsidR="00E34E6B" w:rsidRPr="007079C2" w14:paraId="6FF9136D" w14:textId="77777777" w:rsidTr="00253CBB">
        <w:trPr>
          <w:trHeight w:val="20"/>
        </w:trPr>
        <w:tc>
          <w:tcPr>
            <w:tcW w:w="1401" w:type="dxa"/>
            <w:tcBorders>
              <w:top w:val="single" w:sz="4" w:space="0" w:color="auto"/>
            </w:tcBorders>
            <w:noWrap/>
            <w:vAlign w:val="bottom"/>
            <w:hideMark/>
          </w:tcPr>
          <w:p w14:paraId="6E2AFCB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401" w:type="dxa"/>
            <w:tcBorders>
              <w:top w:val="single" w:sz="4" w:space="0" w:color="auto"/>
            </w:tcBorders>
            <w:noWrap/>
            <w:vAlign w:val="bottom"/>
            <w:hideMark/>
          </w:tcPr>
          <w:p w14:paraId="022DD50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810" w:type="dxa"/>
            <w:tcBorders>
              <w:top w:val="single" w:sz="4" w:space="0" w:color="auto"/>
            </w:tcBorders>
            <w:noWrap/>
            <w:vAlign w:val="bottom"/>
            <w:hideMark/>
          </w:tcPr>
          <w:p w14:paraId="3351E0E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2510" w:type="dxa"/>
            <w:tcBorders>
              <w:top w:val="single" w:sz="4" w:space="0" w:color="auto"/>
            </w:tcBorders>
            <w:noWrap/>
            <w:vAlign w:val="bottom"/>
            <w:hideMark/>
          </w:tcPr>
          <w:p w14:paraId="672CFD3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401" w:type="dxa"/>
            <w:tcBorders>
              <w:top w:val="single" w:sz="4" w:space="0" w:color="auto"/>
            </w:tcBorders>
            <w:noWrap/>
            <w:vAlign w:val="bottom"/>
            <w:hideMark/>
          </w:tcPr>
          <w:p w14:paraId="43FA2F6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r>
      <w:tr w:rsidR="00E34E6B" w:rsidRPr="007079C2" w14:paraId="76E7A32A" w14:textId="77777777" w:rsidTr="00253CBB">
        <w:trPr>
          <w:trHeight w:val="20"/>
        </w:trPr>
        <w:tc>
          <w:tcPr>
            <w:tcW w:w="1401" w:type="dxa"/>
            <w:noWrap/>
            <w:vAlign w:val="bottom"/>
            <w:hideMark/>
          </w:tcPr>
          <w:p w14:paraId="416B1F5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w:t>
            </w:r>
          </w:p>
        </w:tc>
        <w:tc>
          <w:tcPr>
            <w:tcW w:w="1401" w:type="dxa"/>
            <w:noWrap/>
            <w:vAlign w:val="bottom"/>
            <w:hideMark/>
          </w:tcPr>
          <w:p w14:paraId="459EA91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A</w:t>
            </w:r>
          </w:p>
        </w:tc>
        <w:tc>
          <w:tcPr>
            <w:tcW w:w="1810" w:type="dxa"/>
            <w:noWrap/>
            <w:vAlign w:val="bottom"/>
            <w:hideMark/>
          </w:tcPr>
          <w:p w14:paraId="72CAD38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6A2247B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1721</w:t>
            </w:r>
          </w:p>
        </w:tc>
        <w:tc>
          <w:tcPr>
            <w:tcW w:w="1401" w:type="dxa"/>
            <w:noWrap/>
            <w:vAlign w:val="bottom"/>
            <w:hideMark/>
          </w:tcPr>
          <w:p w14:paraId="40256D87"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317</w:t>
            </w:r>
          </w:p>
        </w:tc>
      </w:tr>
      <w:tr w:rsidR="00E34E6B" w:rsidRPr="007079C2" w14:paraId="3A2E249A" w14:textId="77777777" w:rsidTr="00253CBB">
        <w:trPr>
          <w:trHeight w:val="20"/>
        </w:trPr>
        <w:tc>
          <w:tcPr>
            <w:tcW w:w="1401" w:type="dxa"/>
            <w:noWrap/>
            <w:vAlign w:val="bottom"/>
            <w:hideMark/>
          </w:tcPr>
          <w:p w14:paraId="2F6B7B4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2</w:t>
            </w:r>
          </w:p>
        </w:tc>
        <w:tc>
          <w:tcPr>
            <w:tcW w:w="1401" w:type="dxa"/>
            <w:noWrap/>
            <w:vAlign w:val="bottom"/>
            <w:hideMark/>
          </w:tcPr>
          <w:p w14:paraId="4964C707"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B</w:t>
            </w:r>
          </w:p>
        </w:tc>
        <w:tc>
          <w:tcPr>
            <w:tcW w:w="1810" w:type="dxa"/>
            <w:noWrap/>
            <w:vAlign w:val="bottom"/>
            <w:hideMark/>
          </w:tcPr>
          <w:p w14:paraId="3A3443E4"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021D4E5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811</w:t>
            </w:r>
          </w:p>
        </w:tc>
        <w:tc>
          <w:tcPr>
            <w:tcW w:w="1401" w:type="dxa"/>
            <w:noWrap/>
            <w:vAlign w:val="bottom"/>
            <w:hideMark/>
          </w:tcPr>
          <w:p w14:paraId="3952D7D0"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265</w:t>
            </w:r>
          </w:p>
        </w:tc>
      </w:tr>
      <w:tr w:rsidR="00E34E6B" w:rsidRPr="007079C2" w14:paraId="7D573E3B" w14:textId="77777777" w:rsidTr="00253CBB">
        <w:trPr>
          <w:trHeight w:val="20"/>
        </w:trPr>
        <w:tc>
          <w:tcPr>
            <w:tcW w:w="1401" w:type="dxa"/>
            <w:noWrap/>
            <w:vAlign w:val="bottom"/>
            <w:hideMark/>
          </w:tcPr>
          <w:p w14:paraId="173EF0D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3</w:t>
            </w:r>
          </w:p>
        </w:tc>
        <w:tc>
          <w:tcPr>
            <w:tcW w:w="1401" w:type="dxa"/>
            <w:noWrap/>
            <w:vAlign w:val="bottom"/>
            <w:hideMark/>
          </w:tcPr>
          <w:p w14:paraId="64AAAAEB"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C</w:t>
            </w:r>
          </w:p>
        </w:tc>
        <w:tc>
          <w:tcPr>
            <w:tcW w:w="1810" w:type="dxa"/>
            <w:noWrap/>
            <w:vAlign w:val="bottom"/>
            <w:hideMark/>
          </w:tcPr>
          <w:p w14:paraId="026BDD68"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7F197EB2" w14:textId="77777777" w:rsidR="00E34E6B" w:rsidRPr="007079C2" w:rsidRDefault="00E34E6B" w:rsidP="00253CBB">
            <w:pPr>
              <w:jc w:val="right"/>
              <w:rPr>
                <w:rFonts w:ascii="Aptos Narrow" w:hAnsi="Aptos Narrow"/>
                <w:color w:val="000000"/>
                <w:sz w:val="22"/>
                <w:szCs w:val="22"/>
              </w:rPr>
            </w:pPr>
            <w:r w:rsidRPr="007079C2">
              <w:rPr>
                <w:rFonts w:ascii="Aptos Narrow" w:eastAsia="Calibri" w:hAnsi="Aptos Narrow"/>
                <w:color w:val="000000"/>
                <w:sz w:val="22"/>
              </w:rPr>
              <w:t>190</w:t>
            </w:r>
          </w:p>
        </w:tc>
        <w:tc>
          <w:tcPr>
            <w:tcW w:w="1401" w:type="dxa"/>
            <w:noWrap/>
            <w:vAlign w:val="bottom"/>
            <w:hideMark/>
          </w:tcPr>
          <w:p w14:paraId="101E8168" w14:textId="77777777" w:rsidR="00E34E6B" w:rsidRPr="007079C2" w:rsidRDefault="00E34E6B" w:rsidP="00253CBB">
            <w:pPr>
              <w:jc w:val="right"/>
              <w:rPr>
                <w:rFonts w:ascii="Aptos Narrow" w:hAnsi="Aptos Narrow"/>
                <w:color w:val="000000"/>
                <w:sz w:val="22"/>
                <w:szCs w:val="22"/>
              </w:rPr>
            </w:pPr>
            <w:r w:rsidRPr="007079C2">
              <w:rPr>
                <w:rFonts w:ascii="Aptos Narrow" w:eastAsia="Calibri" w:hAnsi="Aptos Narrow"/>
                <w:color w:val="000000"/>
                <w:sz w:val="22"/>
              </w:rPr>
              <w:t>127</w:t>
            </w:r>
          </w:p>
        </w:tc>
      </w:tr>
      <w:tr w:rsidR="00E34E6B" w:rsidRPr="007079C2" w14:paraId="17E744DC" w14:textId="77777777" w:rsidTr="00253CBB">
        <w:trPr>
          <w:trHeight w:val="20"/>
        </w:trPr>
        <w:tc>
          <w:tcPr>
            <w:tcW w:w="1401" w:type="dxa"/>
            <w:noWrap/>
            <w:vAlign w:val="bottom"/>
            <w:hideMark/>
          </w:tcPr>
          <w:p w14:paraId="16FB5A44"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4</w:t>
            </w:r>
          </w:p>
        </w:tc>
        <w:tc>
          <w:tcPr>
            <w:tcW w:w="1401" w:type="dxa"/>
            <w:noWrap/>
            <w:vAlign w:val="bottom"/>
            <w:hideMark/>
          </w:tcPr>
          <w:p w14:paraId="43C2ADDB"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D</w:t>
            </w:r>
          </w:p>
        </w:tc>
        <w:tc>
          <w:tcPr>
            <w:tcW w:w="1810" w:type="dxa"/>
            <w:noWrap/>
            <w:vAlign w:val="bottom"/>
            <w:hideMark/>
          </w:tcPr>
          <w:p w14:paraId="1E948B85"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43B9227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668</w:t>
            </w:r>
          </w:p>
        </w:tc>
        <w:tc>
          <w:tcPr>
            <w:tcW w:w="1401" w:type="dxa"/>
            <w:noWrap/>
            <w:vAlign w:val="bottom"/>
            <w:hideMark/>
          </w:tcPr>
          <w:p w14:paraId="306B1A93"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248</w:t>
            </w:r>
          </w:p>
        </w:tc>
      </w:tr>
      <w:tr w:rsidR="00E34E6B" w:rsidRPr="007079C2" w14:paraId="4CB26BA5" w14:textId="77777777" w:rsidTr="00253CBB">
        <w:trPr>
          <w:trHeight w:val="20"/>
        </w:trPr>
        <w:tc>
          <w:tcPr>
            <w:tcW w:w="1401" w:type="dxa"/>
            <w:noWrap/>
            <w:vAlign w:val="bottom"/>
            <w:hideMark/>
          </w:tcPr>
          <w:p w14:paraId="1E495C07"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5</w:t>
            </w:r>
          </w:p>
        </w:tc>
        <w:tc>
          <w:tcPr>
            <w:tcW w:w="1401" w:type="dxa"/>
            <w:noWrap/>
            <w:vAlign w:val="bottom"/>
            <w:hideMark/>
          </w:tcPr>
          <w:p w14:paraId="7F5C438B"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E</w:t>
            </w:r>
          </w:p>
        </w:tc>
        <w:tc>
          <w:tcPr>
            <w:tcW w:w="1810" w:type="dxa"/>
            <w:noWrap/>
            <w:vAlign w:val="bottom"/>
            <w:hideMark/>
          </w:tcPr>
          <w:p w14:paraId="119824E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Students</w:t>
            </w:r>
          </w:p>
        </w:tc>
        <w:tc>
          <w:tcPr>
            <w:tcW w:w="2510" w:type="dxa"/>
            <w:noWrap/>
            <w:vAlign w:val="bottom"/>
            <w:hideMark/>
          </w:tcPr>
          <w:p w14:paraId="14CBAF79"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1510</w:t>
            </w:r>
          </w:p>
        </w:tc>
        <w:tc>
          <w:tcPr>
            <w:tcW w:w="1401" w:type="dxa"/>
            <w:noWrap/>
            <w:vAlign w:val="bottom"/>
            <w:hideMark/>
          </w:tcPr>
          <w:p w14:paraId="65175F5D"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310</w:t>
            </w:r>
          </w:p>
        </w:tc>
      </w:tr>
      <w:tr w:rsidR="00E34E6B" w:rsidRPr="007079C2" w14:paraId="65799404" w14:textId="77777777" w:rsidTr="00253CBB">
        <w:trPr>
          <w:trHeight w:val="20"/>
        </w:trPr>
        <w:tc>
          <w:tcPr>
            <w:tcW w:w="1401" w:type="dxa"/>
            <w:noWrap/>
            <w:vAlign w:val="bottom"/>
            <w:hideMark/>
          </w:tcPr>
          <w:p w14:paraId="73D87241"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6</w:t>
            </w:r>
          </w:p>
        </w:tc>
        <w:tc>
          <w:tcPr>
            <w:tcW w:w="1401" w:type="dxa"/>
            <w:noWrap/>
            <w:vAlign w:val="bottom"/>
            <w:hideMark/>
          </w:tcPr>
          <w:p w14:paraId="51A4153C"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F</w:t>
            </w:r>
          </w:p>
        </w:tc>
        <w:tc>
          <w:tcPr>
            <w:tcW w:w="1810" w:type="dxa"/>
            <w:noWrap/>
            <w:vAlign w:val="bottom"/>
            <w:hideMark/>
          </w:tcPr>
          <w:p w14:paraId="1ECF6EB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Teachers</w:t>
            </w:r>
          </w:p>
        </w:tc>
        <w:tc>
          <w:tcPr>
            <w:tcW w:w="2510" w:type="dxa"/>
            <w:noWrap/>
            <w:vAlign w:val="bottom"/>
            <w:hideMark/>
          </w:tcPr>
          <w:p w14:paraId="16D867F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85</w:t>
            </w:r>
          </w:p>
        </w:tc>
        <w:tc>
          <w:tcPr>
            <w:tcW w:w="1401" w:type="dxa"/>
            <w:noWrap/>
            <w:vAlign w:val="bottom"/>
            <w:hideMark/>
          </w:tcPr>
          <w:p w14:paraId="0719024A"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45</w:t>
            </w:r>
          </w:p>
        </w:tc>
      </w:tr>
      <w:tr w:rsidR="00E34E6B" w:rsidRPr="007079C2" w14:paraId="5FF89583" w14:textId="77777777" w:rsidTr="00253CBB">
        <w:trPr>
          <w:trHeight w:val="20"/>
        </w:trPr>
        <w:tc>
          <w:tcPr>
            <w:tcW w:w="1401" w:type="dxa"/>
            <w:noWrap/>
            <w:vAlign w:val="bottom"/>
            <w:hideMark/>
          </w:tcPr>
          <w:p w14:paraId="0430541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1401" w:type="dxa"/>
            <w:noWrap/>
            <w:vAlign w:val="bottom"/>
            <w:hideMark/>
          </w:tcPr>
          <w:p w14:paraId="4D15D842"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Total</w:t>
            </w:r>
          </w:p>
        </w:tc>
        <w:tc>
          <w:tcPr>
            <w:tcW w:w="1810" w:type="dxa"/>
            <w:noWrap/>
            <w:vAlign w:val="bottom"/>
            <w:hideMark/>
          </w:tcPr>
          <w:p w14:paraId="5A162BC6"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 </w:t>
            </w:r>
          </w:p>
        </w:tc>
        <w:tc>
          <w:tcPr>
            <w:tcW w:w="2510" w:type="dxa"/>
            <w:noWrap/>
            <w:vAlign w:val="bottom"/>
            <w:hideMark/>
          </w:tcPr>
          <w:p w14:paraId="1F9A35EE"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4900</w:t>
            </w:r>
          </w:p>
        </w:tc>
        <w:tc>
          <w:tcPr>
            <w:tcW w:w="1401" w:type="dxa"/>
            <w:noWrap/>
            <w:vAlign w:val="bottom"/>
            <w:hideMark/>
          </w:tcPr>
          <w:p w14:paraId="7A13AD9F" w14:textId="77777777" w:rsidR="00E34E6B" w:rsidRPr="007079C2" w:rsidRDefault="00E34E6B" w:rsidP="00253CBB">
            <w:pPr>
              <w:jc w:val="right"/>
              <w:rPr>
                <w:rFonts w:ascii="Aptos Narrow" w:hAnsi="Aptos Narrow"/>
                <w:color w:val="000000"/>
                <w:sz w:val="22"/>
                <w:szCs w:val="22"/>
              </w:rPr>
            </w:pPr>
            <w:r w:rsidRPr="007079C2">
              <w:rPr>
                <w:rFonts w:ascii="Aptos Narrow" w:hAnsi="Aptos Narrow"/>
                <w:color w:val="000000"/>
                <w:sz w:val="22"/>
                <w:szCs w:val="22"/>
              </w:rPr>
              <w:t>1267</w:t>
            </w:r>
          </w:p>
        </w:tc>
      </w:tr>
    </w:tbl>
    <w:p w14:paraId="5E8C9A08" w14:textId="77777777" w:rsidR="00E34E6B" w:rsidRDefault="00E34E6B" w:rsidP="00E34E6B">
      <w:r>
        <w:tab/>
        <w:t>Source: Author’s Own Design, 2025</w:t>
      </w:r>
    </w:p>
    <w:p w14:paraId="52FDFDC5" w14:textId="77777777" w:rsidR="00E34E6B" w:rsidRPr="00BF03E0" w:rsidRDefault="00E34E6B" w:rsidP="00E34E6B">
      <w:pPr>
        <w:spacing w:before="100" w:beforeAutospacing="1" w:after="100" w:afterAutospacing="1" w:line="276" w:lineRule="auto"/>
        <w:jc w:val="both"/>
      </w:pPr>
      <w:r w:rsidRPr="00200847">
        <w:rPr>
          <w:lang w:val="en"/>
        </w:rPr>
        <w:t>Schools were selected for their strict adherence to national curricula and policies, ensuring a consistent educational environment. Eligible participants were Biology and Physical Education teachers actively teaching during the study. Both newly appointed and experienced teachers were included to capture a broad range of nutrition-related teaching practices and challenges.</w:t>
      </w:r>
    </w:p>
    <w:p w14:paraId="74FD58BD" w14:textId="77777777" w:rsidR="00E34E6B" w:rsidRPr="00200847" w:rsidRDefault="00E34E6B" w:rsidP="00E34E6B">
      <w:pPr>
        <w:spacing w:before="100" w:beforeAutospacing="1" w:after="100" w:afterAutospacing="1" w:line="276" w:lineRule="auto"/>
        <w:jc w:val="both"/>
      </w:pPr>
      <w:r w:rsidRPr="00200847">
        <w:t>Furthermore, only students who gave their informed agreement and were willing to engage voluntarily</w:t>
      </w:r>
      <w:r>
        <w:t xml:space="preserve">, </w:t>
      </w:r>
      <w:r w:rsidRPr="00200847">
        <w:t>with permission from their parents or guardians</w:t>
      </w:r>
      <w:r>
        <w:t xml:space="preserve">, </w:t>
      </w:r>
      <w:r w:rsidRPr="00200847">
        <w:t xml:space="preserve">were </w:t>
      </w:r>
      <w:r>
        <w:t>allowed to participate</w:t>
      </w:r>
      <w:r w:rsidRPr="00200847">
        <w:t>. To guarantee adequate exposure to school-based nutrition interventions, pupils were also eligible if they had been enrolled in their respective schools for at least one academic term prior to data collection.</w:t>
      </w:r>
    </w:p>
    <w:p w14:paraId="36423343" w14:textId="77777777" w:rsidR="00E34E6B" w:rsidRPr="006F74FA" w:rsidRDefault="00E34E6B" w:rsidP="00E34E6B">
      <w:pPr>
        <w:spacing w:before="100" w:beforeAutospacing="1" w:after="100" w:afterAutospacing="1" w:line="276" w:lineRule="auto"/>
        <w:jc w:val="both"/>
        <w:rPr>
          <w:b/>
          <w:bCs/>
        </w:rPr>
      </w:pPr>
      <w:r w:rsidRPr="006F74FA">
        <w:rPr>
          <w:b/>
          <w:bCs/>
        </w:rPr>
        <w:t>Nutrition Care</w:t>
      </w:r>
    </w:p>
    <w:p w14:paraId="24B55AB2" w14:textId="77777777" w:rsidR="00E34E6B" w:rsidRDefault="00E34E6B" w:rsidP="00E34E6B">
      <w:pPr>
        <w:spacing w:before="100" w:beforeAutospacing="1" w:after="100" w:afterAutospacing="1" w:line="276" w:lineRule="auto"/>
        <w:jc w:val="both"/>
      </w:pPr>
      <w:r w:rsidRPr="0076395A">
        <w:t>In this study, nutrition care was measured using a structured questionnaire administered to biology and physical education teachers, focusing on their training and practice in delivering nutrition education. The tool assessed six key domains: (</w:t>
      </w:r>
      <w:proofErr w:type="spellStart"/>
      <w:r w:rsidRPr="0076395A">
        <w:t>i</w:t>
      </w:r>
      <w:proofErr w:type="spellEnd"/>
      <w:r w:rsidRPr="0076395A">
        <w:t>) essentials of food and nutrition (covering nutrients, food groups, water/roughage, and balanced diet), (ii) nutrition needs in human growth and development (with emphasis on adolescent requirements), (iii) malnutrition (including disease-nutrition links, prevention, and basic concepts), (iv) food safety (contamination and preservation), (v) sanitation and hygiene (covering safe water, personal and environmental hygiene, and disease prevention), and (vi) interventions supporting school nutrition (such as health, play, agricultural strategies, and community involvement). Each item within these domains was rated on a 5-point Likert scale ranging from “definitely disagree” (1) to “definitely agree” (5), allowing for a quantitative measure of teachers’ perceived provision of nutrition-related training and care.</w:t>
      </w:r>
    </w:p>
    <w:p w14:paraId="5C6531D5" w14:textId="77777777" w:rsidR="00E34E6B" w:rsidRPr="006F74FA" w:rsidRDefault="00E34E6B" w:rsidP="00E34E6B">
      <w:pPr>
        <w:spacing w:before="100" w:beforeAutospacing="1" w:after="100" w:afterAutospacing="1" w:line="276" w:lineRule="auto"/>
        <w:jc w:val="both"/>
        <w:rPr>
          <w:b/>
          <w:bCs/>
        </w:rPr>
      </w:pPr>
      <w:r w:rsidRPr="006F74FA">
        <w:rPr>
          <w:b/>
          <w:bCs/>
        </w:rPr>
        <w:t xml:space="preserve">Data Collection </w:t>
      </w:r>
    </w:p>
    <w:p w14:paraId="3135AA0C" w14:textId="77777777" w:rsidR="00E34E6B" w:rsidRDefault="00E34E6B" w:rsidP="00E34E6B">
      <w:pPr>
        <w:spacing w:before="100" w:beforeAutospacing="1" w:after="100" w:afterAutospacing="1" w:line="276" w:lineRule="auto"/>
        <w:jc w:val="both"/>
      </w:pPr>
      <w:r w:rsidRPr="006F74FA">
        <w:t xml:space="preserve">Paper-based questionnaires were used to collect data. Following the completion of the necessary files, MS Excel was used for data entry, cleaning, and verification before being imported into Stata version 18 for data analysis in accordance with the study's goals. Each participant was given an identity number in order to handle the data appropriately, avoid duplication, and guarantee precise response tracking. After data entry, the database was carefully examined for obvious flaws brought on by inaccurate measurements, inconsistent responses, or data entry errors. </w:t>
      </w:r>
      <w:r>
        <w:t xml:space="preserve">The quantitative data was collected and designed in the form of five-point Likert scale statements to allow the collection and analysis of data quantitatively from qualitative insights. Additionally, </w:t>
      </w:r>
      <w:r w:rsidRPr="006F74FA">
        <w:t xml:space="preserve">audio recordings of focus groups and interviews with biology/physical education teachers and teenage students were verbatim transcribed every day. </w:t>
      </w:r>
      <w:r w:rsidRPr="006F74FA">
        <w:lastRenderedPageBreak/>
        <w:t>In order to prepare them for a thorough qualitative examination, the transcripts were saved in Microsoft Word format.</w:t>
      </w:r>
    </w:p>
    <w:p w14:paraId="72C956E3" w14:textId="77777777" w:rsidR="00E34E6B" w:rsidRPr="006F74FA" w:rsidRDefault="00E34E6B" w:rsidP="00E34E6B">
      <w:pPr>
        <w:spacing w:before="100" w:beforeAutospacing="1" w:after="100" w:afterAutospacing="1" w:line="276" w:lineRule="auto"/>
        <w:jc w:val="both"/>
        <w:rPr>
          <w:b/>
          <w:bCs/>
        </w:rPr>
      </w:pPr>
      <w:r w:rsidRPr="006F74FA">
        <w:rPr>
          <w:b/>
          <w:bCs/>
        </w:rPr>
        <w:t>Data Quality</w:t>
      </w:r>
    </w:p>
    <w:p w14:paraId="31173C13" w14:textId="77777777" w:rsidR="00E34E6B" w:rsidRDefault="00E34E6B" w:rsidP="00E34E6B">
      <w:pPr>
        <w:spacing w:before="100" w:beforeAutospacing="1" w:after="100" w:afterAutospacing="1" w:line="276" w:lineRule="auto"/>
        <w:jc w:val="both"/>
      </w:pPr>
      <w:r>
        <w:t xml:space="preserve">A pilot survey was conducted on a small sample of the study participants. Key constructs for nutritional care were made and tested for reliability using Cronbach's alpha. Both nutritional care and practices scored a reliability value of above 70% indicating that the results from this study are reliable and consistent. Regarding the validity, confirmatory and divergent validities were estimated, and both were shown to exceed the validity threshold of more than 40%. </w:t>
      </w:r>
    </w:p>
    <w:p w14:paraId="6368773F" w14:textId="77777777" w:rsidR="00E34E6B" w:rsidRPr="006F74FA" w:rsidRDefault="00E34E6B" w:rsidP="00E34E6B">
      <w:pPr>
        <w:spacing w:before="100" w:beforeAutospacing="1" w:after="100" w:afterAutospacing="1" w:line="276" w:lineRule="auto"/>
        <w:jc w:val="both"/>
        <w:rPr>
          <w:b/>
          <w:bCs/>
        </w:rPr>
      </w:pPr>
      <w:r w:rsidRPr="006F74FA">
        <w:rPr>
          <w:b/>
          <w:bCs/>
        </w:rPr>
        <w:t>Data Analysis Techniques</w:t>
      </w:r>
    </w:p>
    <w:p w14:paraId="39B39DA1" w14:textId="77777777" w:rsidR="00E34E6B" w:rsidRDefault="00E34E6B" w:rsidP="00E34E6B">
      <w:pPr>
        <w:spacing w:before="100" w:beforeAutospacing="1" w:after="100" w:afterAutospacing="1" w:line="276" w:lineRule="auto"/>
        <w:jc w:val="both"/>
      </w:pPr>
      <w:r w:rsidRPr="00855808">
        <w:t xml:space="preserve">Stata/SE 15.0 statistical software was used to </w:t>
      </w:r>
      <w:r>
        <w:t>carry out the analysis</w:t>
      </w:r>
      <w:r w:rsidRPr="00855808">
        <w:t>.</w:t>
      </w:r>
      <w:r>
        <w:t xml:space="preserve"> The analysis covered the d</w:t>
      </w:r>
      <w:r w:rsidRPr="00AF7235">
        <w:t xml:space="preserve">emographic </w:t>
      </w:r>
      <w:r>
        <w:t xml:space="preserve">profile description of </w:t>
      </w:r>
      <w:r w:rsidRPr="00AF7235">
        <w:t>school-going adolescents</w:t>
      </w:r>
      <w:r>
        <w:t xml:space="preserve">. Furthermore, the study employed multiple response tabulation to identify the most typical nutrition care given to adolescent students by their teachers. Lastly, the study employed binary logistic regression to predict the likelihood of improving nutritional practices based on nutritional care, experiences of the teachers, and their educational level. </w:t>
      </w:r>
    </w:p>
    <w:p w14:paraId="51FD727E" w14:textId="77777777" w:rsidR="00E34E6B" w:rsidRDefault="00E34E6B">
      <w:pPr>
        <w:rPr>
          <w:b/>
          <w:bCs/>
        </w:rPr>
      </w:pPr>
      <w:r>
        <w:rPr>
          <w:b/>
          <w:bCs/>
        </w:rPr>
        <w:br w:type="page"/>
      </w:r>
    </w:p>
    <w:p w14:paraId="0D8C867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30E3553" w14:textId="77777777" w:rsidR="00790ADA" w:rsidRPr="00FB3A86" w:rsidRDefault="00790ADA" w:rsidP="00441B6F">
      <w:pPr>
        <w:pStyle w:val="Head1"/>
        <w:spacing w:after="0"/>
        <w:jc w:val="both"/>
        <w:rPr>
          <w:rFonts w:ascii="Arial" w:hAnsi="Arial" w:cs="Arial"/>
        </w:rPr>
      </w:pPr>
    </w:p>
    <w:p w14:paraId="726D1ED9" w14:textId="77777777" w:rsidR="00E34E6B" w:rsidRPr="005D14A6" w:rsidRDefault="00E34E6B" w:rsidP="00E34E6B">
      <w:pPr>
        <w:rPr>
          <w:b/>
          <w:bCs/>
        </w:rPr>
      </w:pPr>
      <w:bookmarkStart w:id="1" w:name="_Toc206965187"/>
      <w:bookmarkStart w:id="2" w:name="_Hlk208422705"/>
      <w:r w:rsidRPr="005D14A6">
        <w:rPr>
          <w:b/>
          <w:bCs/>
        </w:rPr>
        <w:t xml:space="preserve">Demographic Profile for </w:t>
      </w:r>
      <w:bookmarkEnd w:id="1"/>
      <w:r w:rsidRPr="005D14A6">
        <w:rPr>
          <w:b/>
          <w:bCs/>
        </w:rPr>
        <w:t>School-Going Adolescents</w:t>
      </w:r>
    </w:p>
    <w:bookmarkEnd w:id="2"/>
    <w:p w14:paraId="5F45559A" w14:textId="77777777" w:rsidR="00E34E6B" w:rsidRDefault="00E34E6B" w:rsidP="00E34E6B">
      <w:pPr>
        <w:tabs>
          <w:tab w:val="left" w:pos="2256"/>
        </w:tabs>
        <w:spacing w:before="100" w:beforeAutospacing="1" w:after="100" w:afterAutospacing="1" w:line="276" w:lineRule="auto"/>
        <w:jc w:val="both"/>
        <w:rPr>
          <w:rFonts w:eastAsia="Calibri"/>
          <w:szCs w:val="22"/>
        </w:rPr>
      </w:pPr>
      <w:r w:rsidRPr="009F3937">
        <w:rPr>
          <w:rFonts w:eastAsia="Calibri"/>
        </w:rPr>
        <w:t xml:space="preserve">Results in Table 1 </w:t>
      </w:r>
      <w:r w:rsidRPr="00F20F5A">
        <w:rPr>
          <w:rFonts w:eastAsia="Calibri"/>
        </w:rPr>
        <w:t xml:space="preserve">show that over 50% of the </w:t>
      </w:r>
      <w:r w:rsidRPr="009F3937">
        <w:rPr>
          <w:rFonts w:eastAsia="Calibri"/>
        </w:rPr>
        <w:t>adolescents</w:t>
      </w:r>
      <w:r w:rsidRPr="00F20F5A">
        <w:rPr>
          <w:rFonts w:eastAsia="Calibri"/>
        </w:rPr>
        <w:t xml:space="preserve"> were female, while 41% were male. This </w:t>
      </w:r>
      <w:r w:rsidRPr="009F3937">
        <w:rPr>
          <w:rFonts w:eastAsia="Calibri"/>
        </w:rPr>
        <w:t>slight disparity</w:t>
      </w:r>
      <w:r w:rsidRPr="00F20F5A">
        <w:rPr>
          <w:rFonts w:eastAsia="Calibri"/>
        </w:rPr>
        <w:t xml:space="preserve"> is attributed to the level of enthusiasm that girls have for topics relating to nutrition and health. </w:t>
      </w:r>
      <w:r w:rsidRPr="009F3937">
        <w:rPr>
          <w:rFonts w:eastAsia="Calibri"/>
        </w:rPr>
        <w:t xml:space="preserve">Regarding age distribution, </w:t>
      </w:r>
      <w:r w:rsidRPr="00F20F5A">
        <w:rPr>
          <w:rFonts w:eastAsia="DengXian"/>
          <w:bCs/>
        </w:rPr>
        <w:t xml:space="preserve">the majority were middle adolescents aged 14–16 years, </w:t>
      </w:r>
      <w:r w:rsidRPr="009F3937">
        <w:rPr>
          <w:rFonts w:eastAsia="DengXian"/>
          <w:bCs/>
        </w:rPr>
        <w:t xml:space="preserve">comprising </w:t>
      </w:r>
      <w:r w:rsidRPr="00F20F5A">
        <w:rPr>
          <w:rFonts w:eastAsia="DengXian"/>
          <w:bCs/>
        </w:rPr>
        <w:t>71.17% (</w:t>
      </w:r>
      <w:r w:rsidRPr="00F20F5A">
        <w:rPr>
          <w:rFonts w:eastAsia="DengXian"/>
          <w:bCs/>
          <w:i/>
          <w:iCs/>
        </w:rPr>
        <w:t>n</w:t>
      </w:r>
      <w:r w:rsidRPr="00F20F5A">
        <w:rPr>
          <w:rFonts w:eastAsia="DengXian"/>
          <w:bCs/>
        </w:rPr>
        <w:t xml:space="preserve"> = 832). Late adolescents aged 17–19 years accounted for 21.98% (</w:t>
      </w:r>
      <w:r w:rsidRPr="00F20F5A">
        <w:rPr>
          <w:rFonts w:eastAsia="DengXian"/>
          <w:bCs/>
          <w:i/>
          <w:iCs/>
        </w:rPr>
        <w:t>n</w:t>
      </w:r>
      <w:r w:rsidRPr="00F20F5A">
        <w:rPr>
          <w:rFonts w:eastAsia="DengXian"/>
          <w:bCs/>
        </w:rPr>
        <w:t xml:space="preserve"> = 257), while early adolescents aged 10–13 years were the smallest group at 6.84% (</w:t>
      </w:r>
      <w:r w:rsidRPr="00F20F5A">
        <w:rPr>
          <w:rFonts w:eastAsia="DengXian"/>
          <w:bCs/>
          <w:i/>
          <w:iCs/>
        </w:rPr>
        <w:t>n</w:t>
      </w:r>
      <w:r w:rsidRPr="00F20F5A">
        <w:rPr>
          <w:rFonts w:eastAsia="DengXian"/>
          <w:bCs/>
        </w:rPr>
        <w:t xml:space="preserve"> = 80). </w:t>
      </w:r>
      <w:r w:rsidRPr="009F3937">
        <w:rPr>
          <w:rFonts w:eastAsia="DengXian"/>
          <w:bCs/>
        </w:rPr>
        <w:t xml:space="preserve">Following on, </w:t>
      </w:r>
      <w:r w:rsidRPr="00F20F5A">
        <w:rPr>
          <w:rFonts w:eastAsia="Calibri"/>
        </w:rPr>
        <w:t>78.01% (</w:t>
      </w:r>
      <w:r w:rsidRPr="00F20F5A">
        <w:rPr>
          <w:rFonts w:eastAsia="Calibri"/>
          <w:i/>
          <w:iCs/>
        </w:rPr>
        <w:t>n</w:t>
      </w:r>
      <w:r w:rsidRPr="00F20F5A">
        <w:rPr>
          <w:rFonts w:eastAsia="Calibri"/>
        </w:rPr>
        <w:t xml:space="preserve"> = 901) were day scholars, while boarders made up only 21.99% (</w:t>
      </w:r>
      <w:r w:rsidRPr="00F20F5A">
        <w:rPr>
          <w:rFonts w:eastAsia="Calibri"/>
          <w:i/>
          <w:iCs/>
        </w:rPr>
        <w:t>n</w:t>
      </w:r>
      <w:r w:rsidRPr="00F20F5A">
        <w:rPr>
          <w:rFonts w:eastAsia="Calibri"/>
        </w:rPr>
        <w:t xml:space="preserve"> = 254). </w:t>
      </w:r>
      <w:r w:rsidRPr="009F3937">
        <w:rPr>
          <w:rFonts w:eastAsia="Calibri"/>
        </w:rPr>
        <w:t>The same table shows that there was an even</w:t>
      </w:r>
      <w:r w:rsidRPr="00F20F5A">
        <w:rPr>
          <w:rFonts w:eastAsia="Calibri"/>
        </w:rPr>
        <w:t xml:space="preserve"> distribution of adolescents across the three classes, with a total of 1,171 </w:t>
      </w:r>
      <w:r w:rsidRPr="009F3937">
        <w:rPr>
          <w:rFonts w:eastAsia="Calibri"/>
        </w:rPr>
        <w:t xml:space="preserve">adolescents. The senior three adolescents were the highest, consisting of </w:t>
      </w:r>
      <w:r w:rsidRPr="0001192E">
        <w:rPr>
          <w:color w:val="000000"/>
        </w:rPr>
        <w:t>35%</w:t>
      </w:r>
      <w:r w:rsidRPr="009F3937">
        <w:rPr>
          <w:color w:val="000000"/>
        </w:rPr>
        <w:t xml:space="preserve"> (</w:t>
      </w:r>
      <w:r w:rsidRPr="009F3937">
        <w:rPr>
          <w:i/>
          <w:iCs/>
          <w:color w:val="000000"/>
        </w:rPr>
        <w:t>n</w:t>
      </w:r>
      <w:r w:rsidRPr="009F3937">
        <w:rPr>
          <w:color w:val="000000"/>
        </w:rPr>
        <w:t xml:space="preserve"> = </w:t>
      </w:r>
      <w:r w:rsidRPr="0001192E">
        <w:rPr>
          <w:color w:val="000000"/>
        </w:rPr>
        <w:t>411</w:t>
      </w:r>
      <w:r w:rsidRPr="009F3937">
        <w:rPr>
          <w:color w:val="000000"/>
        </w:rPr>
        <w:t xml:space="preserve">), followed by the senior ones who formed </w:t>
      </w:r>
      <w:r w:rsidRPr="0001192E">
        <w:rPr>
          <w:color w:val="000000"/>
        </w:rPr>
        <w:t>34%</w:t>
      </w:r>
      <w:r w:rsidRPr="009F3937">
        <w:rPr>
          <w:color w:val="000000"/>
        </w:rPr>
        <w:t xml:space="preserve"> (</w:t>
      </w:r>
      <w:r w:rsidRPr="009F3937">
        <w:rPr>
          <w:i/>
          <w:iCs/>
          <w:color w:val="000000"/>
        </w:rPr>
        <w:t>n</w:t>
      </w:r>
      <w:r w:rsidRPr="009F3937">
        <w:rPr>
          <w:color w:val="000000"/>
        </w:rPr>
        <w:t xml:space="preserve"> = 399),</w:t>
      </w:r>
      <w:r w:rsidRPr="009F3937">
        <w:rPr>
          <w:rFonts w:eastAsia="Calibri"/>
        </w:rPr>
        <w:t xml:space="preserve"> while those in senior two were </w:t>
      </w:r>
      <w:r w:rsidRPr="0001192E">
        <w:rPr>
          <w:color w:val="000000"/>
        </w:rPr>
        <w:t>31%</w:t>
      </w:r>
      <w:r w:rsidRPr="009F3937">
        <w:rPr>
          <w:color w:val="000000"/>
        </w:rPr>
        <w:t xml:space="preserve"> (</w:t>
      </w:r>
      <w:r w:rsidRPr="009F3937">
        <w:rPr>
          <w:i/>
          <w:iCs/>
          <w:color w:val="000000"/>
        </w:rPr>
        <w:t>n</w:t>
      </w:r>
      <w:r w:rsidRPr="009F3937">
        <w:rPr>
          <w:color w:val="000000"/>
        </w:rPr>
        <w:t xml:space="preserve"> = 361) of the total sample. Of the total surveyed sample, </w:t>
      </w:r>
      <w:r w:rsidRPr="0001192E">
        <w:rPr>
          <w:color w:val="000000"/>
        </w:rPr>
        <w:t>77%</w:t>
      </w:r>
      <w:r w:rsidRPr="009F3937">
        <w:rPr>
          <w:color w:val="000000"/>
        </w:rPr>
        <w:t xml:space="preserve"> (</w:t>
      </w:r>
      <w:r w:rsidRPr="009F3937">
        <w:rPr>
          <w:i/>
          <w:iCs/>
          <w:color w:val="000000"/>
        </w:rPr>
        <w:t>n</w:t>
      </w:r>
      <w:r w:rsidRPr="009F3937">
        <w:rPr>
          <w:color w:val="000000"/>
        </w:rPr>
        <w:t xml:space="preserve"> = 901) were in the boarding section, while 23% (</w:t>
      </w:r>
      <w:r w:rsidRPr="009F3937">
        <w:rPr>
          <w:i/>
          <w:iCs/>
          <w:color w:val="000000"/>
        </w:rPr>
        <w:t>n</w:t>
      </w:r>
      <w:r w:rsidRPr="009F3937">
        <w:rPr>
          <w:color w:val="000000"/>
        </w:rPr>
        <w:t xml:space="preserve"> = 254) were commuting. Lastly, the largest religious group comprised of Catholics (29.41%; </w:t>
      </w:r>
      <w:r w:rsidRPr="009F3937">
        <w:rPr>
          <w:i/>
          <w:iCs/>
          <w:color w:val="000000"/>
        </w:rPr>
        <w:t>n</w:t>
      </w:r>
      <w:r w:rsidRPr="009F3937">
        <w:rPr>
          <w:color w:val="000000"/>
        </w:rPr>
        <w:t xml:space="preserve"> =340), followed by Anglicans with 26.12% (</w:t>
      </w:r>
      <w:r w:rsidRPr="009F3937">
        <w:rPr>
          <w:i/>
          <w:iCs/>
          <w:color w:val="000000"/>
        </w:rPr>
        <w:t>n</w:t>
      </w:r>
      <w:r w:rsidRPr="009F3937">
        <w:rPr>
          <w:color w:val="000000"/>
        </w:rPr>
        <w:t xml:space="preserve"> = 302), and then Muslims with 19.81% (</w:t>
      </w:r>
      <w:r w:rsidRPr="009F3937">
        <w:rPr>
          <w:i/>
          <w:iCs/>
          <w:color w:val="000000"/>
        </w:rPr>
        <w:t>n</w:t>
      </w:r>
      <w:r w:rsidRPr="009F3937">
        <w:rPr>
          <w:color w:val="000000"/>
        </w:rPr>
        <w:t xml:space="preserve"> = 229). </w:t>
      </w:r>
      <w:bookmarkStart w:id="3" w:name="_Toc208227305"/>
    </w:p>
    <w:p w14:paraId="01F1EF02" w14:textId="0A00BF60" w:rsidR="00E34E6B" w:rsidRPr="005D14A6" w:rsidRDefault="00E34E6B" w:rsidP="00E34E6B">
      <w:pPr>
        <w:pStyle w:val="NoSpacing"/>
        <w:rPr>
          <w:lang w:val="en-US" w:eastAsia="en-US"/>
        </w:rPr>
      </w:pPr>
      <w:r>
        <w:t xml:space="preserve">Table </w:t>
      </w:r>
      <w:r>
        <w:fldChar w:fldCharType="begin"/>
      </w:r>
      <w:r>
        <w:instrText xml:space="preserve"> SEQ Table \* ARABIC </w:instrText>
      </w:r>
      <w:r>
        <w:fldChar w:fldCharType="separate"/>
      </w:r>
      <w:r w:rsidR="00E622FF">
        <w:rPr>
          <w:noProof/>
        </w:rPr>
        <w:t>2</w:t>
      </w:r>
      <w:r>
        <w:rPr>
          <w:noProof/>
        </w:rPr>
        <w:fldChar w:fldCharType="end"/>
      </w:r>
      <w:r>
        <w:rPr>
          <w:rFonts w:eastAsia="Calibri" w:cs="Times New Roman"/>
          <w:kern w:val="0"/>
          <w:szCs w:val="22"/>
          <w:lang w:val="en-US" w:eastAsia="en-US"/>
        </w:rPr>
        <w:t xml:space="preserve">: </w:t>
      </w:r>
      <w:r w:rsidRPr="005D14A6">
        <w:rPr>
          <w:lang w:val="en-US" w:eastAsia="en-US"/>
        </w:rPr>
        <w:t>Demographic Profile for School-Going Adolescents</w:t>
      </w:r>
      <w:bookmarkEnd w:id="3"/>
    </w:p>
    <w:tbl>
      <w:tblPr>
        <w:tblStyle w:val="TableGridLight1"/>
        <w:tblW w:w="873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3372"/>
        <w:gridCol w:w="1161"/>
        <w:gridCol w:w="1835"/>
      </w:tblGrid>
      <w:tr w:rsidR="00E34E6B" w:rsidRPr="00E34E6B" w14:paraId="2DE75F4B" w14:textId="77777777" w:rsidTr="00E34E6B">
        <w:trPr>
          <w:trHeight w:val="218"/>
        </w:trPr>
        <w:tc>
          <w:tcPr>
            <w:tcW w:w="2428" w:type="dxa"/>
            <w:tcBorders>
              <w:top w:val="single" w:sz="4" w:space="0" w:color="auto"/>
              <w:bottom w:val="single" w:sz="4" w:space="0" w:color="auto"/>
              <w:right w:val="single" w:sz="4" w:space="0" w:color="auto"/>
            </w:tcBorders>
            <w:noWrap/>
            <w:hideMark/>
          </w:tcPr>
          <w:p w14:paraId="396ACF1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Variable</w:t>
            </w:r>
          </w:p>
        </w:tc>
        <w:tc>
          <w:tcPr>
            <w:tcW w:w="3372" w:type="dxa"/>
            <w:tcBorders>
              <w:top w:val="single" w:sz="4" w:space="0" w:color="auto"/>
              <w:left w:val="single" w:sz="4" w:space="0" w:color="auto"/>
              <w:bottom w:val="single" w:sz="4" w:space="0" w:color="auto"/>
            </w:tcBorders>
            <w:noWrap/>
            <w:hideMark/>
          </w:tcPr>
          <w:p w14:paraId="51972AAD"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Category</w:t>
            </w:r>
          </w:p>
        </w:tc>
        <w:tc>
          <w:tcPr>
            <w:tcW w:w="1104" w:type="dxa"/>
            <w:tcBorders>
              <w:top w:val="single" w:sz="4" w:space="0" w:color="auto"/>
              <w:bottom w:val="single" w:sz="4" w:space="0" w:color="auto"/>
            </w:tcBorders>
            <w:noWrap/>
            <w:hideMark/>
          </w:tcPr>
          <w:p w14:paraId="2F4D1BB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Frequency (Freq.)</w:t>
            </w:r>
          </w:p>
        </w:tc>
        <w:tc>
          <w:tcPr>
            <w:tcW w:w="1835" w:type="dxa"/>
            <w:tcBorders>
              <w:top w:val="single" w:sz="4" w:space="0" w:color="auto"/>
              <w:bottom w:val="single" w:sz="4" w:space="0" w:color="auto"/>
            </w:tcBorders>
            <w:noWrap/>
            <w:hideMark/>
          </w:tcPr>
          <w:p w14:paraId="3C2D38C3"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Percent</w:t>
            </w:r>
          </w:p>
        </w:tc>
      </w:tr>
      <w:tr w:rsidR="00E34E6B" w:rsidRPr="00E34E6B" w14:paraId="027DC651" w14:textId="77777777" w:rsidTr="00E34E6B">
        <w:trPr>
          <w:trHeight w:val="218"/>
        </w:trPr>
        <w:tc>
          <w:tcPr>
            <w:tcW w:w="2428" w:type="dxa"/>
            <w:tcBorders>
              <w:top w:val="single" w:sz="4" w:space="0" w:color="auto"/>
              <w:bottom w:val="nil"/>
              <w:right w:val="single" w:sz="4" w:space="0" w:color="auto"/>
            </w:tcBorders>
            <w:noWrap/>
            <w:hideMark/>
          </w:tcPr>
          <w:p w14:paraId="203F7A8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Gender</w:t>
            </w:r>
          </w:p>
        </w:tc>
        <w:tc>
          <w:tcPr>
            <w:tcW w:w="3372" w:type="dxa"/>
            <w:tcBorders>
              <w:top w:val="single" w:sz="4" w:space="0" w:color="auto"/>
              <w:left w:val="single" w:sz="4" w:space="0" w:color="auto"/>
              <w:bottom w:val="nil"/>
            </w:tcBorders>
            <w:noWrap/>
            <w:hideMark/>
          </w:tcPr>
          <w:p w14:paraId="3E4CE61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Male</w:t>
            </w:r>
          </w:p>
        </w:tc>
        <w:tc>
          <w:tcPr>
            <w:tcW w:w="1104" w:type="dxa"/>
            <w:tcBorders>
              <w:top w:val="single" w:sz="4" w:space="0" w:color="auto"/>
              <w:bottom w:val="nil"/>
            </w:tcBorders>
            <w:noWrap/>
            <w:hideMark/>
          </w:tcPr>
          <w:p w14:paraId="2724A22E"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474</w:t>
            </w:r>
          </w:p>
        </w:tc>
        <w:tc>
          <w:tcPr>
            <w:tcW w:w="1835" w:type="dxa"/>
            <w:tcBorders>
              <w:top w:val="single" w:sz="4" w:space="0" w:color="auto"/>
              <w:bottom w:val="nil"/>
            </w:tcBorders>
            <w:noWrap/>
            <w:hideMark/>
          </w:tcPr>
          <w:p w14:paraId="436E88A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41%</w:t>
            </w:r>
          </w:p>
        </w:tc>
      </w:tr>
      <w:tr w:rsidR="00E34E6B" w:rsidRPr="00E34E6B" w14:paraId="0C1559B5" w14:textId="77777777" w:rsidTr="00E34E6B">
        <w:trPr>
          <w:trHeight w:val="218"/>
        </w:trPr>
        <w:tc>
          <w:tcPr>
            <w:tcW w:w="2428" w:type="dxa"/>
            <w:tcBorders>
              <w:top w:val="nil"/>
              <w:bottom w:val="single" w:sz="4" w:space="0" w:color="auto"/>
              <w:right w:val="single" w:sz="4" w:space="0" w:color="auto"/>
            </w:tcBorders>
            <w:noWrap/>
            <w:hideMark/>
          </w:tcPr>
          <w:p w14:paraId="2E2DBBC3"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2B88F35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Female</w:t>
            </w:r>
          </w:p>
        </w:tc>
        <w:tc>
          <w:tcPr>
            <w:tcW w:w="1104" w:type="dxa"/>
            <w:tcBorders>
              <w:top w:val="nil"/>
              <w:bottom w:val="single" w:sz="4" w:space="0" w:color="auto"/>
            </w:tcBorders>
            <w:noWrap/>
            <w:hideMark/>
          </w:tcPr>
          <w:p w14:paraId="3FED519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691</w:t>
            </w:r>
          </w:p>
        </w:tc>
        <w:tc>
          <w:tcPr>
            <w:tcW w:w="1835" w:type="dxa"/>
            <w:tcBorders>
              <w:top w:val="nil"/>
              <w:bottom w:val="single" w:sz="4" w:space="0" w:color="auto"/>
            </w:tcBorders>
            <w:noWrap/>
            <w:hideMark/>
          </w:tcPr>
          <w:p w14:paraId="0E5FCBAD"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59%</w:t>
            </w:r>
          </w:p>
        </w:tc>
      </w:tr>
      <w:tr w:rsidR="00E34E6B" w:rsidRPr="00E34E6B" w14:paraId="669A8EDC" w14:textId="77777777" w:rsidTr="00E34E6B">
        <w:trPr>
          <w:trHeight w:val="218"/>
        </w:trPr>
        <w:tc>
          <w:tcPr>
            <w:tcW w:w="2428" w:type="dxa"/>
            <w:tcBorders>
              <w:top w:val="single" w:sz="4" w:space="0" w:color="auto"/>
              <w:right w:val="single" w:sz="4" w:space="0" w:color="auto"/>
            </w:tcBorders>
            <w:noWrap/>
            <w:hideMark/>
          </w:tcPr>
          <w:p w14:paraId="2A1F2E86"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xml:space="preserve">Total </w:t>
            </w:r>
          </w:p>
        </w:tc>
        <w:tc>
          <w:tcPr>
            <w:tcW w:w="3372" w:type="dxa"/>
            <w:tcBorders>
              <w:top w:val="single" w:sz="4" w:space="0" w:color="auto"/>
              <w:left w:val="single" w:sz="4" w:space="0" w:color="auto"/>
            </w:tcBorders>
            <w:noWrap/>
            <w:hideMark/>
          </w:tcPr>
          <w:p w14:paraId="0948A63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single" w:sz="4" w:space="0" w:color="auto"/>
            </w:tcBorders>
            <w:noWrap/>
            <w:hideMark/>
          </w:tcPr>
          <w:p w14:paraId="431E710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1165</w:t>
            </w:r>
          </w:p>
        </w:tc>
        <w:tc>
          <w:tcPr>
            <w:tcW w:w="1835" w:type="dxa"/>
            <w:tcBorders>
              <w:top w:val="single" w:sz="4" w:space="0" w:color="auto"/>
            </w:tcBorders>
            <w:noWrap/>
            <w:hideMark/>
          </w:tcPr>
          <w:p w14:paraId="01E26DC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01A447AC" w14:textId="77777777" w:rsidTr="00E34E6B">
        <w:trPr>
          <w:trHeight w:val="218"/>
        </w:trPr>
        <w:tc>
          <w:tcPr>
            <w:tcW w:w="2428" w:type="dxa"/>
            <w:tcBorders>
              <w:right w:val="single" w:sz="4" w:space="0" w:color="auto"/>
            </w:tcBorders>
            <w:noWrap/>
            <w:hideMark/>
          </w:tcPr>
          <w:p w14:paraId="52677BC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Age Bracket</w:t>
            </w:r>
          </w:p>
        </w:tc>
        <w:tc>
          <w:tcPr>
            <w:tcW w:w="3372" w:type="dxa"/>
            <w:tcBorders>
              <w:left w:val="single" w:sz="4" w:space="0" w:color="auto"/>
            </w:tcBorders>
            <w:noWrap/>
            <w:hideMark/>
          </w:tcPr>
          <w:p w14:paraId="670409F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10–13 years (Early adolescents)</w:t>
            </w:r>
          </w:p>
        </w:tc>
        <w:tc>
          <w:tcPr>
            <w:tcW w:w="1104" w:type="dxa"/>
            <w:noWrap/>
            <w:hideMark/>
          </w:tcPr>
          <w:p w14:paraId="20FFE51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80</w:t>
            </w:r>
          </w:p>
        </w:tc>
        <w:tc>
          <w:tcPr>
            <w:tcW w:w="1835" w:type="dxa"/>
            <w:noWrap/>
            <w:hideMark/>
          </w:tcPr>
          <w:p w14:paraId="14043CFC"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7%</w:t>
            </w:r>
          </w:p>
        </w:tc>
      </w:tr>
      <w:tr w:rsidR="00E34E6B" w:rsidRPr="00E34E6B" w14:paraId="3FB5AC0A" w14:textId="77777777" w:rsidTr="00E34E6B">
        <w:trPr>
          <w:trHeight w:val="218"/>
        </w:trPr>
        <w:tc>
          <w:tcPr>
            <w:tcW w:w="2428" w:type="dxa"/>
            <w:tcBorders>
              <w:right w:val="single" w:sz="4" w:space="0" w:color="auto"/>
            </w:tcBorders>
            <w:noWrap/>
            <w:hideMark/>
          </w:tcPr>
          <w:p w14:paraId="165E46D6"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39D03FC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14–16 years (Middle adolescents)</w:t>
            </w:r>
          </w:p>
        </w:tc>
        <w:tc>
          <w:tcPr>
            <w:tcW w:w="1104" w:type="dxa"/>
            <w:noWrap/>
            <w:hideMark/>
          </w:tcPr>
          <w:p w14:paraId="052CB2C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832</w:t>
            </w:r>
          </w:p>
        </w:tc>
        <w:tc>
          <w:tcPr>
            <w:tcW w:w="1835" w:type="dxa"/>
            <w:noWrap/>
            <w:hideMark/>
          </w:tcPr>
          <w:p w14:paraId="1ED3D59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71%</w:t>
            </w:r>
          </w:p>
        </w:tc>
      </w:tr>
      <w:tr w:rsidR="00E34E6B" w:rsidRPr="00E34E6B" w14:paraId="0CFCD84D" w14:textId="77777777" w:rsidTr="00E34E6B">
        <w:trPr>
          <w:trHeight w:val="218"/>
        </w:trPr>
        <w:tc>
          <w:tcPr>
            <w:tcW w:w="2428" w:type="dxa"/>
            <w:tcBorders>
              <w:bottom w:val="nil"/>
              <w:right w:val="single" w:sz="4" w:space="0" w:color="auto"/>
            </w:tcBorders>
            <w:noWrap/>
            <w:hideMark/>
          </w:tcPr>
          <w:p w14:paraId="3795DF97"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nil"/>
            </w:tcBorders>
            <w:noWrap/>
            <w:hideMark/>
          </w:tcPr>
          <w:p w14:paraId="0BAF632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17–19 years (Late adolescents)</w:t>
            </w:r>
          </w:p>
        </w:tc>
        <w:tc>
          <w:tcPr>
            <w:tcW w:w="1104" w:type="dxa"/>
            <w:tcBorders>
              <w:bottom w:val="nil"/>
            </w:tcBorders>
            <w:noWrap/>
            <w:hideMark/>
          </w:tcPr>
          <w:p w14:paraId="627C551E"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257</w:t>
            </w:r>
          </w:p>
        </w:tc>
        <w:tc>
          <w:tcPr>
            <w:tcW w:w="1835" w:type="dxa"/>
            <w:tcBorders>
              <w:bottom w:val="nil"/>
            </w:tcBorders>
            <w:noWrap/>
            <w:hideMark/>
          </w:tcPr>
          <w:p w14:paraId="56DA3A5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22%</w:t>
            </w:r>
          </w:p>
        </w:tc>
      </w:tr>
      <w:tr w:rsidR="00E34E6B" w:rsidRPr="00E34E6B" w14:paraId="69E33CF0" w14:textId="77777777" w:rsidTr="00E34E6B">
        <w:trPr>
          <w:trHeight w:val="218"/>
        </w:trPr>
        <w:tc>
          <w:tcPr>
            <w:tcW w:w="2428" w:type="dxa"/>
            <w:tcBorders>
              <w:top w:val="nil"/>
              <w:bottom w:val="single" w:sz="4" w:space="0" w:color="auto"/>
              <w:right w:val="single" w:sz="4" w:space="0" w:color="auto"/>
            </w:tcBorders>
            <w:noWrap/>
            <w:hideMark/>
          </w:tcPr>
          <w:p w14:paraId="5B02BA6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12B585E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nil"/>
              <w:bottom w:val="single" w:sz="4" w:space="0" w:color="auto"/>
            </w:tcBorders>
            <w:noWrap/>
            <w:hideMark/>
          </w:tcPr>
          <w:p w14:paraId="58DF37F3"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1169</w:t>
            </w:r>
          </w:p>
        </w:tc>
        <w:tc>
          <w:tcPr>
            <w:tcW w:w="1835" w:type="dxa"/>
            <w:tcBorders>
              <w:top w:val="nil"/>
              <w:bottom w:val="single" w:sz="4" w:space="0" w:color="auto"/>
            </w:tcBorders>
            <w:noWrap/>
            <w:hideMark/>
          </w:tcPr>
          <w:p w14:paraId="06724C3C"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7608ED34" w14:textId="77777777" w:rsidTr="00E34E6B">
        <w:trPr>
          <w:trHeight w:val="218"/>
        </w:trPr>
        <w:tc>
          <w:tcPr>
            <w:tcW w:w="2428" w:type="dxa"/>
            <w:tcBorders>
              <w:top w:val="single" w:sz="4" w:space="0" w:color="auto"/>
              <w:right w:val="single" w:sz="4" w:space="0" w:color="auto"/>
            </w:tcBorders>
            <w:noWrap/>
            <w:hideMark/>
          </w:tcPr>
          <w:p w14:paraId="4DA5A44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Residence Status</w:t>
            </w:r>
          </w:p>
        </w:tc>
        <w:tc>
          <w:tcPr>
            <w:tcW w:w="3372" w:type="dxa"/>
            <w:tcBorders>
              <w:top w:val="single" w:sz="4" w:space="0" w:color="auto"/>
              <w:left w:val="single" w:sz="4" w:space="0" w:color="auto"/>
            </w:tcBorders>
            <w:noWrap/>
            <w:hideMark/>
          </w:tcPr>
          <w:p w14:paraId="669CBAAB"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Boarder</w:t>
            </w:r>
          </w:p>
        </w:tc>
        <w:tc>
          <w:tcPr>
            <w:tcW w:w="1104" w:type="dxa"/>
            <w:tcBorders>
              <w:top w:val="single" w:sz="4" w:space="0" w:color="auto"/>
            </w:tcBorders>
            <w:noWrap/>
            <w:hideMark/>
          </w:tcPr>
          <w:p w14:paraId="25B221C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254</w:t>
            </w:r>
          </w:p>
        </w:tc>
        <w:tc>
          <w:tcPr>
            <w:tcW w:w="1835" w:type="dxa"/>
            <w:tcBorders>
              <w:top w:val="single" w:sz="4" w:space="0" w:color="auto"/>
            </w:tcBorders>
            <w:noWrap/>
            <w:hideMark/>
          </w:tcPr>
          <w:p w14:paraId="3DC6286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23%</w:t>
            </w:r>
          </w:p>
        </w:tc>
      </w:tr>
      <w:tr w:rsidR="00E34E6B" w:rsidRPr="00E34E6B" w14:paraId="1A59F36A" w14:textId="77777777" w:rsidTr="00E34E6B">
        <w:trPr>
          <w:trHeight w:val="218"/>
        </w:trPr>
        <w:tc>
          <w:tcPr>
            <w:tcW w:w="2428" w:type="dxa"/>
            <w:tcBorders>
              <w:bottom w:val="nil"/>
              <w:right w:val="single" w:sz="4" w:space="0" w:color="auto"/>
            </w:tcBorders>
            <w:noWrap/>
            <w:hideMark/>
          </w:tcPr>
          <w:p w14:paraId="4F80D269"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nil"/>
            </w:tcBorders>
            <w:noWrap/>
            <w:hideMark/>
          </w:tcPr>
          <w:p w14:paraId="1C14DCFD"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Day Scholar</w:t>
            </w:r>
          </w:p>
        </w:tc>
        <w:tc>
          <w:tcPr>
            <w:tcW w:w="1104" w:type="dxa"/>
            <w:tcBorders>
              <w:bottom w:val="nil"/>
            </w:tcBorders>
            <w:noWrap/>
            <w:hideMark/>
          </w:tcPr>
          <w:p w14:paraId="676E9D6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901</w:t>
            </w:r>
          </w:p>
        </w:tc>
        <w:tc>
          <w:tcPr>
            <w:tcW w:w="1835" w:type="dxa"/>
            <w:tcBorders>
              <w:bottom w:val="nil"/>
            </w:tcBorders>
            <w:noWrap/>
            <w:hideMark/>
          </w:tcPr>
          <w:p w14:paraId="1998EA1C"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77%</w:t>
            </w:r>
          </w:p>
        </w:tc>
      </w:tr>
      <w:tr w:rsidR="00E34E6B" w:rsidRPr="00E34E6B" w14:paraId="484059FF" w14:textId="77777777" w:rsidTr="00E34E6B">
        <w:trPr>
          <w:trHeight w:val="218"/>
        </w:trPr>
        <w:tc>
          <w:tcPr>
            <w:tcW w:w="2428" w:type="dxa"/>
            <w:tcBorders>
              <w:top w:val="nil"/>
              <w:bottom w:val="single" w:sz="4" w:space="0" w:color="auto"/>
              <w:right w:val="single" w:sz="4" w:space="0" w:color="auto"/>
            </w:tcBorders>
            <w:noWrap/>
            <w:hideMark/>
          </w:tcPr>
          <w:p w14:paraId="07DBE8AD"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1A79ED0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Total</w:t>
            </w:r>
          </w:p>
        </w:tc>
        <w:tc>
          <w:tcPr>
            <w:tcW w:w="1104" w:type="dxa"/>
            <w:tcBorders>
              <w:top w:val="nil"/>
              <w:bottom w:val="single" w:sz="4" w:space="0" w:color="auto"/>
            </w:tcBorders>
            <w:noWrap/>
            <w:hideMark/>
          </w:tcPr>
          <w:p w14:paraId="5287A1AD"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1155</w:t>
            </w:r>
          </w:p>
        </w:tc>
        <w:tc>
          <w:tcPr>
            <w:tcW w:w="1835" w:type="dxa"/>
            <w:tcBorders>
              <w:top w:val="nil"/>
              <w:bottom w:val="single" w:sz="4" w:space="0" w:color="auto"/>
            </w:tcBorders>
            <w:noWrap/>
            <w:hideMark/>
          </w:tcPr>
          <w:p w14:paraId="38524C2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417375F6" w14:textId="77777777" w:rsidTr="00E34E6B">
        <w:trPr>
          <w:trHeight w:val="218"/>
        </w:trPr>
        <w:tc>
          <w:tcPr>
            <w:tcW w:w="2428" w:type="dxa"/>
            <w:tcBorders>
              <w:top w:val="single" w:sz="4" w:space="0" w:color="auto"/>
              <w:right w:val="single" w:sz="4" w:space="0" w:color="auto"/>
            </w:tcBorders>
            <w:noWrap/>
            <w:hideMark/>
          </w:tcPr>
          <w:p w14:paraId="67C95FB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Class</w:t>
            </w:r>
          </w:p>
        </w:tc>
        <w:tc>
          <w:tcPr>
            <w:tcW w:w="3372" w:type="dxa"/>
            <w:tcBorders>
              <w:top w:val="single" w:sz="4" w:space="0" w:color="auto"/>
              <w:left w:val="single" w:sz="4" w:space="0" w:color="auto"/>
            </w:tcBorders>
            <w:noWrap/>
            <w:hideMark/>
          </w:tcPr>
          <w:p w14:paraId="336974F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S.1</w:t>
            </w:r>
          </w:p>
        </w:tc>
        <w:tc>
          <w:tcPr>
            <w:tcW w:w="1104" w:type="dxa"/>
            <w:tcBorders>
              <w:top w:val="single" w:sz="4" w:space="0" w:color="auto"/>
            </w:tcBorders>
            <w:noWrap/>
            <w:hideMark/>
          </w:tcPr>
          <w:p w14:paraId="6FB87214"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399</w:t>
            </w:r>
          </w:p>
        </w:tc>
        <w:tc>
          <w:tcPr>
            <w:tcW w:w="1835" w:type="dxa"/>
            <w:tcBorders>
              <w:top w:val="single" w:sz="4" w:space="0" w:color="auto"/>
            </w:tcBorders>
            <w:noWrap/>
            <w:hideMark/>
          </w:tcPr>
          <w:p w14:paraId="11FD6760"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34%</w:t>
            </w:r>
          </w:p>
        </w:tc>
      </w:tr>
      <w:tr w:rsidR="00E34E6B" w:rsidRPr="00E34E6B" w14:paraId="10BD138D" w14:textId="77777777" w:rsidTr="00E34E6B">
        <w:trPr>
          <w:trHeight w:val="218"/>
        </w:trPr>
        <w:tc>
          <w:tcPr>
            <w:tcW w:w="2428" w:type="dxa"/>
            <w:tcBorders>
              <w:right w:val="single" w:sz="4" w:space="0" w:color="auto"/>
            </w:tcBorders>
            <w:noWrap/>
            <w:hideMark/>
          </w:tcPr>
          <w:p w14:paraId="05813F07"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4A5BAF28"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S.2</w:t>
            </w:r>
          </w:p>
        </w:tc>
        <w:tc>
          <w:tcPr>
            <w:tcW w:w="1104" w:type="dxa"/>
            <w:noWrap/>
            <w:hideMark/>
          </w:tcPr>
          <w:p w14:paraId="3A5B738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361</w:t>
            </w:r>
          </w:p>
        </w:tc>
        <w:tc>
          <w:tcPr>
            <w:tcW w:w="1835" w:type="dxa"/>
            <w:noWrap/>
            <w:hideMark/>
          </w:tcPr>
          <w:p w14:paraId="616C3F1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31%</w:t>
            </w:r>
          </w:p>
        </w:tc>
      </w:tr>
      <w:tr w:rsidR="00E34E6B" w:rsidRPr="00E34E6B" w14:paraId="35BEEDF8" w14:textId="77777777" w:rsidTr="00E34E6B">
        <w:trPr>
          <w:trHeight w:val="218"/>
        </w:trPr>
        <w:tc>
          <w:tcPr>
            <w:tcW w:w="2428" w:type="dxa"/>
            <w:tcBorders>
              <w:bottom w:val="nil"/>
              <w:right w:val="single" w:sz="4" w:space="0" w:color="auto"/>
            </w:tcBorders>
            <w:noWrap/>
            <w:hideMark/>
          </w:tcPr>
          <w:p w14:paraId="40A3B28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nil"/>
            </w:tcBorders>
            <w:noWrap/>
            <w:hideMark/>
          </w:tcPr>
          <w:p w14:paraId="6305E37A"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S.3</w:t>
            </w:r>
          </w:p>
        </w:tc>
        <w:tc>
          <w:tcPr>
            <w:tcW w:w="1104" w:type="dxa"/>
            <w:tcBorders>
              <w:bottom w:val="nil"/>
            </w:tcBorders>
            <w:noWrap/>
            <w:hideMark/>
          </w:tcPr>
          <w:p w14:paraId="73F49CC1"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411</w:t>
            </w:r>
          </w:p>
        </w:tc>
        <w:tc>
          <w:tcPr>
            <w:tcW w:w="1835" w:type="dxa"/>
            <w:tcBorders>
              <w:bottom w:val="nil"/>
            </w:tcBorders>
            <w:noWrap/>
            <w:hideMark/>
          </w:tcPr>
          <w:p w14:paraId="0A2E855D"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35%</w:t>
            </w:r>
          </w:p>
        </w:tc>
      </w:tr>
      <w:tr w:rsidR="00E34E6B" w:rsidRPr="00E34E6B" w14:paraId="0FC7C0C9" w14:textId="77777777" w:rsidTr="00E34E6B">
        <w:trPr>
          <w:trHeight w:val="68"/>
        </w:trPr>
        <w:tc>
          <w:tcPr>
            <w:tcW w:w="2428" w:type="dxa"/>
            <w:tcBorders>
              <w:top w:val="nil"/>
              <w:bottom w:val="single" w:sz="4" w:space="0" w:color="auto"/>
              <w:right w:val="single" w:sz="4" w:space="0" w:color="auto"/>
            </w:tcBorders>
            <w:noWrap/>
            <w:hideMark/>
          </w:tcPr>
          <w:p w14:paraId="78BC0AD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top w:val="nil"/>
              <w:left w:val="single" w:sz="4" w:space="0" w:color="auto"/>
              <w:bottom w:val="single" w:sz="4" w:space="0" w:color="auto"/>
            </w:tcBorders>
            <w:noWrap/>
            <w:hideMark/>
          </w:tcPr>
          <w:p w14:paraId="60FA0DA9"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nil"/>
              <w:bottom w:val="single" w:sz="4" w:space="0" w:color="auto"/>
            </w:tcBorders>
            <w:noWrap/>
            <w:hideMark/>
          </w:tcPr>
          <w:p w14:paraId="73EB07F3"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1171</w:t>
            </w:r>
          </w:p>
        </w:tc>
        <w:tc>
          <w:tcPr>
            <w:tcW w:w="1835" w:type="dxa"/>
            <w:tcBorders>
              <w:top w:val="nil"/>
              <w:bottom w:val="single" w:sz="4" w:space="0" w:color="auto"/>
            </w:tcBorders>
            <w:noWrap/>
            <w:hideMark/>
          </w:tcPr>
          <w:p w14:paraId="1A9CE346"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r w:rsidR="00E34E6B" w:rsidRPr="00E34E6B" w14:paraId="7318D57C" w14:textId="77777777" w:rsidTr="00E34E6B">
        <w:trPr>
          <w:trHeight w:val="218"/>
        </w:trPr>
        <w:tc>
          <w:tcPr>
            <w:tcW w:w="2428" w:type="dxa"/>
            <w:tcBorders>
              <w:top w:val="single" w:sz="4" w:space="0" w:color="auto"/>
              <w:right w:val="single" w:sz="4" w:space="0" w:color="auto"/>
            </w:tcBorders>
            <w:noWrap/>
            <w:hideMark/>
          </w:tcPr>
          <w:p w14:paraId="7D3B9603"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Religious Affiliation</w:t>
            </w:r>
          </w:p>
        </w:tc>
        <w:tc>
          <w:tcPr>
            <w:tcW w:w="3372" w:type="dxa"/>
            <w:tcBorders>
              <w:top w:val="single" w:sz="4" w:space="0" w:color="auto"/>
              <w:left w:val="single" w:sz="4" w:space="0" w:color="auto"/>
            </w:tcBorders>
            <w:noWrap/>
            <w:hideMark/>
          </w:tcPr>
          <w:p w14:paraId="71F6FDBA"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Catholic</w:t>
            </w:r>
          </w:p>
        </w:tc>
        <w:tc>
          <w:tcPr>
            <w:tcW w:w="1104" w:type="dxa"/>
            <w:tcBorders>
              <w:top w:val="single" w:sz="4" w:space="0" w:color="auto"/>
            </w:tcBorders>
            <w:noWrap/>
            <w:hideMark/>
          </w:tcPr>
          <w:p w14:paraId="2B70C687"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340</w:t>
            </w:r>
          </w:p>
        </w:tc>
        <w:tc>
          <w:tcPr>
            <w:tcW w:w="1835" w:type="dxa"/>
            <w:tcBorders>
              <w:top w:val="single" w:sz="4" w:space="0" w:color="auto"/>
            </w:tcBorders>
            <w:noWrap/>
            <w:hideMark/>
          </w:tcPr>
          <w:p w14:paraId="207CE98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29%</w:t>
            </w:r>
          </w:p>
        </w:tc>
      </w:tr>
      <w:tr w:rsidR="00E34E6B" w:rsidRPr="00E34E6B" w14:paraId="03B08C51" w14:textId="77777777" w:rsidTr="00E34E6B">
        <w:trPr>
          <w:trHeight w:val="218"/>
        </w:trPr>
        <w:tc>
          <w:tcPr>
            <w:tcW w:w="2428" w:type="dxa"/>
            <w:tcBorders>
              <w:right w:val="single" w:sz="4" w:space="0" w:color="auto"/>
            </w:tcBorders>
            <w:noWrap/>
            <w:hideMark/>
          </w:tcPr>
          <w:p w14:paraId="1AC2DB47"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4062F58E"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Anglican</w:t>
            </w:r>
          </w:p>
        </w:tc>
        <w:tc>
          <w:tcPr>
            <w:tcW w:w="1104" w:type="dxa"/>
            <w:noWrap/>
            <w:hideMark/>
          </w:tcPr>
          <w:p w14:paraId="2F731C5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302</w:t>
            </w:r>
          </w:p>
        </w:tc>
        <w:tc>
          <w:tcPr>
            <w:tcW w:w="1835" w:type="dxa"/>
            <w:noWrap/>
            <w:hideMark/>
          </w:tcPr>
          <w:p w14:paraId="6E13ABBE"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26%</w:t>
            </w:r>
          </w:p>
        </w:tc>
      </w:tr>
      <w:tr w:rsidR="00E34E6B" w:rsidRPr="00E34E6B" w14:paraId="318BEC94" w14:textId="77777777" w:rsidTr="00E34E6B">
        <w:trPr>
          <w:trHeight w:val="218"/>
        </w:trPr>
        <w:tc>
          <w:tcPr>
            <w:tcW w:w="2428" w:type="dxa"/>
            <w:tcBorders>
              <w:right w:val="single" w:sz="4" w:space="0" w:color="auto"/>
            </w:tcBorders>
            <w:noWrap/>
            <w:hideMark/>
          </w:tcPr>
          <w:p w14:paraId="2703AF4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53691FCC"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Muslim</w:t>
            </w:r>
          </w:p>
        </w:tc>
        <w:tc>
          <w:tcPr>
            <w:tcW w:w="1104" w:type="dxa"/>
            <w:noWrap/>
            <w:hideMark/>
          </w:tcPr>
          <w:p w14:paraId="02F5B47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229</w:t>
            </w:r>
          </w:p>
        </w:tc>
        <w:tc>
          <w:tcPr>
            <w:tcW w:w="1835" w:type="dxa"/>
            <w:noWrap/>
            <w:hideMark/>
          </w:tcPr>
          <w:p w14:paraId="271A2862"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20%</w:t>
            </w:r>
          </w:p>
        </w:tc>
      </w:tr>
      <w:tr w:rsidR="00E34E6B" w:rsidRPr="00E34E6B" w14:paraId="7301A6CC" w14:textId="77777777" w:rsidTr="00E34E6B">
        <w:trPr>
          <w:trHeight w:val="218"/>
        </w:trPr>
        <w:tc>
          <w:tcPr>
            <w:tcW w:w="2428" w:type="dxa"/>
            <w:tcBorders>
              <w:right w:val="single" w:sz="4" w:space="0" w:color="auto"/>
            </w:tcBorders>
            <w:noWrap/>
            <w:hideMark/>
          </w:tcPr>
          <w:p w14:paraId="5FFFC45A"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tcBorders>
            <w:noWrap/>
            <w:hideMark/>
          </w:tcPr>
          <w:p w14:paraId="721CA1AF"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Adventist</w:t>
            </w:r>
          </w:p>
        </w:tc>
        <w:tc>
          <w:tcPr>
            <w:tcW w:w="1104" w:type="dxa"/>
            <w:noWrap/>
            <w:hideMark/>
          </w:tcPr>
          <w:p w14:paraId="4F73B37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47</w:t>
            </w:r>
          </w:p>
        </w:tc>
        <w:tc>
          <w:tcPr>
            <w:tcW w:w="1835" w:type="dxa"/>
            <w:noWrap/>
            <w:hideMark/>
          </w:tcPr>
          <w:p w14:paraId="24B947BB"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4%</w:t>
            </w:r>
          </w:p>
        </w:tc>
      </w:tr>
      <w:tr w:rsidR="00E34E6B" w:rsidRPr="00E34E6B" w14:paraId="6E04EC78" w14:textId="77777777" w:rsidTr="00E34E6B">
        <w:trPr>
          <w:trHeight w:val="218"/>
        </w:trPr>
        <w:tc>
          <w:tcPr>
            <w:tcW w:w="2428" w:type="dxa"/>
            <w:tcBorders>
              <w:bottom w:val="single" w:sz="4" w:space="0" w:color="auto"/>
              <w:right w:val="single" w:sz="4" w:space="0" w:color="auto"/>
            </w:tcBorders>
            <w:noWrap/>
            <w:hideMark/>
          </w:tcPr>
          <w:p w14:paraId="2168E67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3372" w:type="dxa"/>
            <w:tcBorders>
              <w:left w:val="single" w:sz="4" w:space="0" w:color="auto"/>
              <w:bottom w:val="single" w:sz="4" w:space="0" w:color="auto"/>
            </w:tcBorders>
            <w:noWrap/>
            <w:hideMark/>
          </w:tcPr>
          <w:p w14:paraId="505DE43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Others (Specify)</w:t>
            </w:r>
          </w:p>
        </w:tc>
        <w:tc>
          <w:tcPr>
            <w:tcW w:w="1104" w:type="dxa"/>
            <w:tcBorders>
              <w:bottom w:val="single" w:sz="4" w:space="0" w:color="auto"/>
            </w:tcBorders>
            <w:noWrap/>
            <w:hideMark/>
          </w:tcPr>
          <w:p w14:paraId="3D088698"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238</w:t>
            </w:r>
          </w:p>
        </w:tc>
        <w:tc>
          <w:tcPr>
            <w:tcW w:w="1835" w:type="dxa"/>
            <w:tcBorders>
              <w:bottom w:val="single" w:sz="4" w:space="0" w:color="auto"/>
            </w:tcBorders>
            <w:noWrap/>
            <w:hideMark/>
          </w:tcPr>
          <w:p w14:paraId="0B2037A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21%</w:t>
            </w:r>
          </w:p>
        </w:tc>
      </w:tr>
      <w:tr w:rsidR="00E34E6B" w:rsidRPr="00E34E6B" w14:paraId="0B0410CD" w14:textId="77777777" w:rsidTr="00E34E6B">
        <w:trPr>
          <w:trHeight w:val="218"/>
        </w:trPr>
        <w:tc>
          <w:tcPr>
            <w:tcW w:w="2428" w:type="dxa"/>
            <w:tcBorders>
              <w:top w:val="single" w:sz="4" w:space="0" w:color="auto"/>
              <w:bottom w:val="single" w:sz="4" w:space="0" w:color="auto"/>
              <w:right w:val="single" w:sz="4" w:space="0" w:color="auto"/>
            </w:tcBorders>
            <w:noWrap/>
            <w:hideMark/>
          </w:tcPr>
          <w:p w14:paraId="4DF0A4C4"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xml:space="preserve">Total </w:t>
            </w:r>
          </w:p>
        </w:tc>
        <w:tc>
          <w:tcPr>
            <w:tcW w:w="3372" w:type="dxa"/>
            <w:tcBorders>
              <w:top w:val="single" w:sz="4" w:space="0" w:color="auto"/>
              <w:left w:val="single" w:sz="4" w:space="0" w:color="auto"/>
              <w:bottom w:val="single" w:sz="4" w:space="0" w:color="auto"/>
            </w:tcBorders>
            <w:noWrap/>
            <w:hideMark/>
          </w:tcPr>
          <w:p w14:paraId="23EDBFB5" w14:textId="77777777" w:rsidR="00E34E6B" w:rsidRPr="00E34E6B" w:rsidRDefault="00E34E6B" w:rsidP="00253CBB">
            <w:pPr>
              <w:rPr>
                <w:rFonts w:eastAsia="Times New Roman" w:cs="Times New Roman"/>
                <w:color w:val="000000"/>
                <w:sz w:val="20"/>
                <w:szCs w:val="20"/>
              </w:rPr>
            </w:pPr>
            <w:r w:rsidRPr="00E34E6B">
              <w:rPr>
                <w:rFonts w:eastAsia="Times New Roman" w:cs="Times New Roman"/>
                <w:color w:val="000000"/>
                <w:sz w:val="20"/>
                <w:szCs w:val="20"/>
              </w:rPr>
              <w:t> </w:t>
            </w:r>
          </w:p>
        </w:tc>
        <w:tc>
          <w:tcPr>
            <w:tcW w:w="1104" w:type="dxa"/>
            <w:tcBorders>
              <w:top w:val="single" w:sz="4" w:space="0" w:color="auto"/>
              <w:bottom w:val="single" w:sz="4" w:space="0" w:color="auto"/>
            </w:tcBorders>
            <w:noWrap/>
            <w:hideMark/>
          </w:tcPr>
          <w:p w14:paraId="72E047AF"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1156</w:t>
            </w:r>
          </w:p>
        </w:tc>
        <w:tc>
          <w:tcPr>
            <w:tcW w:w="1835" w:type="dxa"/>
            <w:tcBorders>
              <w:top w:val="single" w:sz="4" w:space="0" w:color="auto"/>
              <w:bottom w:val="single" w:sz="4" w:space="0" w:color="auto"/>
            </w:tcBorders>
            <w:noWrap/>
            <w:hideMark/>
          </w:tcPr>
          <w:p w14:paraId="212B08FA" w14:textId="77777777" w:rsidR="00E34E6B" w:rsidRPr="00E34E6B" w:rsidRDefault="00E34E6B" w:rsidP="00253CBB">
            <w:pPr>
              <w:jc w:val="center"/>
              <w:rPr>
                <w:rFonts w:eastAsia="Times New Roman" w:cs="Times New Roman"/>
                <w:color w:val="000000"/>
                <w:sz w:val="20"/>
                <w:szCs w:val="20"/>
              </w:rPr>
            </w:pPr>
            <w:r w:rsidRPr="00E34E6B">
              <w:rPr>
                <w:rFonts w:eastAsia="Times New Roman" w:cs="Times New Roman"/>
                <w:color w:val="000000"/>
                <w:sz w:val="20"/>
                <w:szCs w:val="20"/>
              </w:rPr>
              <w:t>100%</w:t>
            </w:r>
          </w:p>
        </w:tc>
      </w:tr>
    </w:tbl>
    <w:p w14:paraId="360541DE" w14:textId="77777777" w:rsidR="00E34E6B" w:rsidRDefault="00E34E6B" w:rsidP="00E34E6B">
      <w:pPr>
        <w:sectPr w:rsidR="00E34E6B" w:rsidSect="00FB4D30">
          <w:headerReference w:type="even" r:id="rId8"/>
          <w:headerReference w:type="default" r:id="rId9"/>
          <w:headerReference w:type="first" r:id="rId10"/>
          <w:type w:val="continuous"/>
          <w:pgSz w:w="11906" w:h="16838"/>
          <w:pgMar w:top="1440" w:right="1440" w:bottom="1440" w:left="1440" w:header="708" w:footer="708" w:gutter="0"/>
          <w:cols w:space="708"/>
          <w:docGrid w:linePitch="360"/>
        </w:sectPr>
      </w:pPr>
      <w:bookmarkStart w:id="4" w:name="_Toc206965189"/>
    </w:p>
    <w:p w14:paraId="02BCC0BD" w14:textId="573153A4" w:rsidR="00E34E6B" w:rsidRPr="00962B6A" w:rsidRDefault="00E34E6B" w:rsidP="00E34E6B">
      <w:pPr>
        <w:rPr>
          <w:b/>
          <w:bCs/>
        </w:rPr>
      </w:pPr>
      <w:r w:rsidRPr="00F20F5A">
        <w:rPr>
          <w:rFonts w:eastAsia="Calibri"/>
          <w:noProof/>
          <w:szCs w:val="22"/>
        </w:rPr>
        <w:lastRenderedPageBreak/>
        <w:drawing>
          <wp:anchor distT="0" distB="0" distL="114300" distR="114300" simplePos="0" relativeHeight="251661312" behindDoc="0" locked="0" layoutInCell="1" allowOverlap="1" wp14:anchorId="63C0DEAF" wp14:editId="54D3084C">
            <wp:simplePos x="0" y="0"/>
            <wp:positionH relativeFrom="page">
              <wp:posOffset>5318760</wp:posOffset>
            </wp:positionH>
            <wp:positionV relativeFrom="paragraph">
              <wp:posOffset>243840</wp:posOffset>
            </wp:positionV>
            <wp:extent cx="4200000" cy="2520000"/>
            <wp:effectExtent l="0" t="0" r="0" b="0"/>
            <wp:wrapTopAndBottom/>
            <wp:docPr id="198491756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00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0F5A">
        <w:rPr>
          <w:rFonts w:eastAsia="Calibri"/>
          <w:noProof/>
          <w:szCs w:val="22"/>
        </w:rPr>
        <w:drawing>
          <wp:anchor distT="0" distB="0" distL="114300" distR="114300" simplePos="0" relativeHeight="251653120" behindDoc="0" locked="0" layoutInCell="1" allowOverlap="1" wp14:anchorId="21F2B574" wp14:editId="7727D783">
            <wp:simplePos x="0" y="0"/>
            <wp:positionH relativeFrom="margin">
              <wp:posOffset>129963</wp:posOffset>
            </wp:positionH>
            <wp:positionV relativeFrom="paragraph">
              <wp:posOffset>220980</wp:posOffset>
            </wp:positionV>
            <wp:extent cx="4200000" cy="2520000"/>
            <wp:effectExtent l="0" t="0" r="0" b="0"/>
            <wp:wrapTopAndBottom/>
            <wp:docPr id="49530826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000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2B6A">
        <w:rPr>
          <w:b/>
          <w:bCs/>
        </w:rPr>
        <w:t>Demographic Profile for the Biology/Science Teachers</w:t>
      </w:r>
    </w:p>
    <w:p w14:paraId="1E3AB308" w14:textId="4810D037" w:rsidR="00E34E6B" w:rsidRDefault="00E34E6B" w:rsidP="00E34E6B">
      <w:pPr>
        <w:pStyle w:val="NoSpacing1"/>
        <w:ind w:firstLine="720"/>
      </w:pPr>
      <w:r w:rsidRPr="00F20F5A">
        <w:rPr>
          <w:rFonts w:eastAsia="Calibri" w:cs="Times New Roman"/>
          <w:noProof/>
          <w:kern w:val="0"/>
          <w:szCs w:val="22"/>
          <w:lang w:val="en-US"/>
        </w:rPr>
        <w:drawing>
          <wp:anchor distT="0" distB="0" distL="114300" distR="114300" simplePos="0" relativeHeight="251669504" behindDoc="0" locked="0" layoutInCell="1" allowOverlap="1" wp14:anchorId="4E83BB85" wp14:editId="3C1D2F93">
            <wp:simplePos x="0" y="0"/>
            <wp:positionH relativeFrom="margin">
              <wp:posOffset>2164080</wp:posOffset>
            </wp:positionH>
            <wp:positionV relativeFrom="paragraph">
              <wp:posOffset>2921635</wp:posOffset>
            </wp:positionV>
            <wp:extent cx="3756660" cy="2253615"/>
            <wp:effectExtent l="0" t="0" r="0" b="0"/>
            <wp:wrapTopAndBottom/>
            <wp:docPr id="193708958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6660" cy="22536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Fig. </w:t>
      </w:r>
      <w:r>
        <w:fldChar w:fldCharType="begin"/>
      </w:r>
      <w:r>
        <w:instrText xml:space="preserve"> SEQ Fig. \* ARABIC </w:instrText>
      </w:r>
      <w:r>
        <w:fldChar w:fldCharType="separate"/>
      </w:r>
      <w:r w:rsidR="00E622FF">
        <w:rPr>
          <w:noProof/>
        </w:rPr>
        <w:t>1</w:t>
      </w:r>
      <w:r>
        <w:rPr>
          <w:noProof/>
        </w:rPr>
        <w:fldChar w:fldCharType="end"/>
      </w:r>
      <w:r>
        <w:t xml:space="preserve">: </w:t>
      </w:r>
      <w:r>
        <w:rPr>
          <w:rFonts w:eastAsia="DengXian" w:cs="Times New Roman"/>
        </w:rPr>
        <w:tab/>
      </w:r>
      <w:r w:rsidR="00506387" w:rsidRPr="00F20F5A">
        <w:rPr>
          <w:rFonts w:eastAsia="DengXian" w:cs="Times New Roman"/>
        </w:rPr>
        <w:t>Distribution of teacher education level</w:t>
      </w:r>
      <w:r>
        <w:rPr>
          <w:rFonts w:eastAsia="DengXian" w:cs="Times New Roman"/>
        </w:rPr>
        <w:tab/>
      </w:r>
      <w:r>
        <w:rPr>
          <w:rFonts w:eastAsia="DengXian" w:cs="Times New Roman"/>
        </w:rPr>
        <w:tab/>
      </w:r>
      <w:r>
        <w:rPr>
          <w:rFonts w:eastAsia="DengXian" w:cs="Times New Roman"/>
        </w:rPr>
        <w:tab/>
      </w:r>
      <w:r>
        <w:rPr>
          <w:rFonts w:eastAsia="DengXian" w:cs="Times New Roman"/>
        </w:rPr>
        <w:tab/>
      </w:r>
      <w:r>
        <w:rPr>
          <w:rFonts w:eastAsia="DengXian" w:cs="Times New Roman"/>
        </w:rPr>
        <w:tab/>
      </w:r>
      <w:r>
        <w:t xml:space="preserve">Fig. </w:t>
      </w:r>
      <w:r>
        <w:fldChar w:fldCharType="begin"/>
      </w:r>
      <w:r>
        <w:instrText xml:space="preserve"> SEQ Fig. \* ARABIC </w:instrText>
      </w:r>
      <w:r>
        <w:fldChar w:fldCharType="separate"/>
      </w:r>
      <w:r w:rsidR="00E622FF">
        <w:rPr>
          <w:noProof/>
        </w:rPr>
        <w:t>2</w:t>
      </w:r>
      <w:r>
        <w:rPr>
          <w:noProof/>
        </w:rPr>
        <w:fldChar w:fldCharType="end"/>
      </w:r>
      <w:r>
        <w:rPr>
          <w:rFonts w:eastAsia="DengXian" w:cs="Times New Roman"/>
        </w:rPr>
        <w:t xml:space="preserve">: </w:t>
      </w:r>
      <w:r w:rsidR="00506387" w:rsidRPr="00F20F5A">
        <w:rPr>
          <w:rFonts w:eastAsia="DengXian" w:cs="Times New Roman"/>
        </w:rPr>
        <w:t>Distribution of teacher gender</w:t>
      </w:r>
    </w:p>
    <w:p w14:paraId="4CF2FF5E" w14:textId="7B7FE44E" w:rsidR="00E34E6B" w:rsidRDefault="00E34E6B" w:rsidP="00E34E6B">
      <w:pPr>
        <w:pStyle w:val="NoSpacing"/>
        <w:rPr>
          <w:lang w:val="en-US" w:eastAsia="en-US"/>
        </w:rPr>
      </w:pPr>
      <w:r>
        <w:rPr>
          <w:rFonts w:eastAsia="DengXian" w:cs="Times New Roman"/>
          <w:lang w:eastAsia="en-US"/>
        </w:rPr>
        <w:tab/>
      </w:r>
      <w:r>
        <w:rPr>
          <w:rFonts w:eastAsia="DengXian" w:cs="Times New Roman"/>
          <w:lang w:eastAsia="en-US"/>
        </w:rPr>
        <w:tab/>
      </w:r>
      <w:r>
        <w:rPr>
          <w:rFonts w:eastAsia="DengXian" w:cs="Times New Roman"/>
          <w:lang w:eastAsia="en-US"/>
        </w:rPr>
        <w:tab/>
      </w:r>
      <w:r>
        <w:rPr>
          <w:rFonts w:eastAsia="DengXian" w:cs="Times New Roman"/>
          <w:lang w:eastAsia="en-US"/>
        </w:rPr>
        <w:tab/>
      </w:r>
      <w:r>
        <w:rPr>
          <w:rFonts w:eastAsia="DengXian" w:cs="Times New Roman"/>
          <w:lang w:eastAsia="en-US"/>
        </w:rPr>
        <w:tab/>
      </w:r>
      <w:r>
        <w:rPr>
          <w:rFonts w:eastAsia="DengXian" w:cs="Times New Roman"/>
          <w:lang w:eastAsia="en-US"/>
        </w:rPr>
        <w:tab/>
      </w:r>
      <w:r>
        <w:t xml:space="preserve">Fig. </w:t>
      </w:r>
      <w:r>
        <w:fldChar w:fldCharType="begin"/>
      </w:r>
      <w:r>
        <w:instrText xml:space="preserve"> SEQ Fig. \* ARABIC </w:instrText>
      </w:r>
      <w:r>
        <w:fldChar w:fldCharType="separate"/>
      </w:r>
      <w:r w:rsidR="00E622FF">
        <w:rPr>
          <w:noProof/>
        </w:rPr>
        <w:t>3</w:t>
      </w:r>
      <w:r>
        <w:rPr>
          <w:noProof/>
        </w:rPr>
        <w:fldChar w:fldCharType="end"/>
      </w:r>
      <w:r>
        <w:t>: Teacher experiences versus their age</w:t>
      </w:r>
      <w:r>
        <w:rPr>
          <w:lang w:val="en-US" w:eastAsia="en-US"/>
        </w:rPr>
        <w:br w:type="page"/>
      </w:r>
    </w:p>
    <w:p w14:paraId="213B923E" w14:textId="77777777" w:rsidR="00E34E6B" w:rsidRDefault="00E34E6B" w:rsidP="00E34E6B">
      <w:pPr>
        <w:sectPr w:rsidR="00E34E6B" w:rsidSect="00FB4D30">
          <w:pgSz w:w="16838" w:h="11906" w:orient="landscape"/>
          <w:pgMar w:top="1440" w:right="1440" w:bottom="1440" w:left="1440" w:header="709" w:footer="709" w:gutter="0"/>
          <w:cols w:space="708"/>
          <w:docGrid w:linePitch="360"/>
        </w:sectPr>
      </w:pPr>
    </w:p>
    <w:p w14:paraId="056606E1" w14:textId="77777777" w:rsidR="00E34E6B" w:rsidRPr="00004BD2" w:rsidRDefault="00E34E6B" w:rsidP="00E34E6B">
      <w:pPr>
        <w:spacing w:before="100" w:beforeAutospacing="1" w:after="100" w:afterAutospacing="1" w:line="276" w:lineRule="auto"/>
        <w:jc w:val="both"/>
        <w:rPr>
          <w:rFonts w:eastAsia="Calibri"/>
        </w:rPr>
      </w:pPr>
      <w:r w:rsidRPr="00004BD2">
        <w:lastRenderedPageBreak/>
        <w:t>The majority (</w:t>
      </w:r>
      <w:r w:rsidRPr="00004BD2">
        <w:rPr>
          <w:i/>
          <w:iCs/>
        </w:rPr>
        <w:t>n</w:t>
      </w:r>
      <w:r w:rsidRPr="00004BD2">
        <w:t xml:space="preserve"> = 35) of the teachers had a bachelor’s degree as a minimum qualification, followed by master’s degree holders (</w:t>
      </w:r>
      <w:r w:rsidRPr="00004BD2">
        <w:rPr>
          <w:i/>
          <w:iCs/>
        </w:rPr>
        <w:t xml:space="preserve">n </w:t>
      </w:r>
      <w:r w:rsidRPr="00004BD2">
        <w:t>= 10), while a</w:t>
      </w:r>
      <w:r>
        <w:t xml:space="preserve"> few had</w:t>
      </w:r>
      <w:r w:rsidRPr="00004BD2">
        <w:t xml:space="preserve"> PhD</w:t>
      </w:r>
      <w:r>
        <w:t>s</w:t>
      </w:r>
      <w:r w:rsidRPr="00004BD2">
        <w:t xml:space="preserve">. </w:t>
      </w:r>
      <w:bookmarkEnd w:id="4"/>
      <w:r w:rsidRPr="00004BD2">
        <w:t xml:space="preserve">This is expected as most of the secondary teachers have a Bachelor's degree as a prerequisite qualification. </w:t>
      </w:r>
      <w:r w:rsidRPr="00004BD2">
        <w:rPr>
          <w:rFonts w:eastAsia="Calibri"/>
        </w:rPr>
        <w:t xml:space="preserve">From Fig. 2, it is evident that there is a significant gender disparity among teachers, with male teachers (35) far outnumbering female teachers (10). The boxplot shows that most teachers fell within the interquartile range of 35 to 55 years, while their median ages ranged between 25 and 65 years. In terms of teaching experience, the median is approximately 18 years, with most teachers having between 10 and 27 years of experience, ranging from newly recruited teachers with nearly zero years to the most experienced with about 34 years. </w:t>
      </w:r>
    </w:p>
    <w:p w14:paraId="36229B9D" w14:textId="77777777" w:rsidR="00E34E6B" w:rsidRPr="00065A70" w:rsidRDefault="00E34E6B" w:rsidP="00E34E6B">
      <w:pPr>
        <w:rPr>
          <w:rFonts w:eastAsia="DengXian Light"/>
          <w:b/>
          <w:bCs/>
        </w:rPr>
      </w:pPr>
      <w:bookmarkStart w:id="5" w:name="_Toc206965193"/>
      <w:r w:rsidRPr="00065A70">
        <w:rPr>
          <w:rFonts w:eastAsia="DengXian Light"/>
          <w:b/>
          <w:bCs/>
        </w:rPr>
        <w:t>To investigate the nutritional care provided by biology/PE teachers to adolescents</w:t>
      </w:r>
      <w:bookmarkEnd w:id="5"/>
    </w:p>
    <w:p w14:paraId="68B8A083" w14:textId="4887358D" w:rsidR="00E34E6B" w:rsidRPr="00004BD2" w:rsidRDefault="00E34E6B" w:rsidP="00E34E6B">
      <w:pPr>
        <w:spacing w:before="100" w:beforeAutospacing="1" w:after="100" w:afterAutospacing="1" w:line="276" w:lineRule="auto"/>
        <w:jc w:val="both"/>
        <w:rPr>
          <w:rFonts w:eastAsia="Calibri"/>
        </w:rPr>
      </w:pPr>
      <w:r w:rsidRPr="00004BD2">
        <w:rPr>
          <w:rFonts w:eastAsia="Calibri"/>
        </w:rPr>
        <w:t xml:space="preserve">Regarding the most prominent forms of nutritional care provided by biology teachers to adolescents in Nansana municipality, </w:t>
      </w:r>
      <w:r>
        <w:rPr>
          <w:rFonts w:eastAsia="Calibri"/>
        </w:rPr>
        <w:t xml:space="preserve">the </w:t>
      </w:r>
      <w:r w:rsidRPr="00004BD2">
        <w:rPr>
          <w:rFonts w:eastAsia="Calibri"/>
        </w:rPr>
        <w:t xml:space="preserve">multiple-response </w:t>
      </w:r>
      <w:r>
        <w:rPr>
          <w:rFonts w:eastAsia="Calibri"/>
        </w:rPr>
        <w:t>in Table 1</w:t>
      </w:r>
      <w:r w:rsidRPr="00004BD2">
        <w:rPr>
          <w:rFonts w:eastAsia="Calibri"/>
        </w:rPr>
        <w:t xml:space="preserve"> showed that the number one-ranked nutritional care was the ability of the teachers to collaborate with the parents of the adolescent students on nutrition. This helps to keep them fully engaged both at home and at school to enhance the nutritional practices. When asked about the benefits of collaboration between parents and teachers to boost nutritional practices, one of the </w:t>
      </w:r>
      <w:r w:rsidR="00176D1E">
        <w:rPr>
          <w:rFonts w:eastAsia="Calibri"/>
        </w:rPr>
        <w:t xml:space="preserve">heads of biology </w:t>
      </w:r>
      <w:r w:rsidR="005428D3">
        <w:rPr>
          <w:rFonts w:eastAsia="Calibri"/>
        </w:rPr>
        <w:t>department in</w:t>
      </w:r>
      <w:r w:rsidR="00176D1E">
        <w:rPr>
          <w:rFonts w:eastAsia="Calibri"/>
        </w:rPr>
        <w:t xml:space="preserve"> o</w:t>
      </w:r>
      <w:r w:rsidRPr="00004BD2">
        <w:rPr>
          <w:rFonts w:eastAsia="Calibri"/>
        </w:rPr>
        <w:t>ne of the schools had this to say:</w:t>
      </w:r>
    </w:p>
    <w:p w14:paraId="0DF2B090" w14:textId="77777777" w:rsidR="00E34E6B" w:rsidRPr="00004BD2" w:rsidRDefault="00E34E6B" w:rsidP="00E34E6B">
      <w:pPr>
        <w:spacing w:before="100" w:beforeAutospacing="1" w:after="100" w:afterAutospacing="1" w:line="276" w:lineRule="auto"/>
        <w:ind w:left="720"/>
        <w:jc w:val="both"/>
        <w:rPr>
          <w:rFonts w:eastAsia="Calibri"/>
          <w:i/>
          <w:iCs/>
        </w:rPr>
      </w:pPr>
      <w:r w:rsidRPr="00004BD2">
        <w:rPr>
          <w:rFonts w:eastAsia="Calibri"/>
          <w:i/>
          <w:iCs/>
        </w:rPr>
        <w:t xml:space="preserve">“We offer practical lessons to our learners in the form of nutritional programs among the learners, we implement and most of them are actually interested.” </w:t>
      </w:r>
    </w:p>
    <w:p w14:paraId="326C382A" w14:textId="77777777" w:rsidR="00E34E6B" w:rsidRPr="00004BD2" w:rsidRDefault="00E34E6B" w:rsidP="00E34E6B">
      <w:pPr>
        <w:spacing w:before="100" w:beforeAutospacing="1" w:after="100" w:afterAutospacing="1" w:line="276" w:lineRule="auto"/>
        <w:jc w:val="both"/>
        <w:rPr>
          <w:color w:val="000000"/>
        </w:rPr>
      </w:pPr>
      <w:r w:rsidRPr="00004BD2">
        <w:rPr>
          <w:rFonts w:eastAsia="Calibri"/>
        </w:rPr>
        <w:t xml:space="preserve">The secondly ranked nutritional care was teachers offering advice to students on better healthy eating habits. Some students reported that science teachers from different departments encourage them to stay away from junk foods, excessive wheat and dairy, cholesterol, and sugary foods, as these would potentially affect their health and introduce health complications prematurely.  </w:t>
      </w:r>
      <w:r w:rsidRPr="00004BD2">
        <w:rPr>
          <w:color w:val="000000"/>
        </w:rPr>
        <w:t>When the researcher probed the teacher to find out the various nutritional topics they introduce to their learners during biology classes, they had this to say.</w:t>
      </w:r>
    </w:p>
    <w:p w14:paraId="7CB37168" w14:textId="77777777" w:rsidR="00E34E6B" w:rsidRPr="00004BD2" w:rsidRDefault="00E34E6B" w:rsidP="00E34E6B">
      <w:pPr>
        <w:spacing w:before="100" w:beforeAutospacing="1" w:after="100" w:afterAutospacing="1" w:line="276" w:lineRule="auto"/>
        <w:ind w:left="720"/>
        <w:jc w:val="both"/>
        <w:rPr>
          <w:rFonts w:eastAsia="Calibri"/>
        </w:rPr>
      </w:pPr>
      <w:r w:rsidRPr="00004BD2">
        <w:rPr>
          <w:rFonts w:eastAsia="Calibri"/>
          <w:i/>
          <w:iCs/>
        </w:rPr>
        <w:t>We tailor our students to topics ranging from healthy eating principles,</w:t>
      </w:r>
      <w:r>
        <w:rPr>
          <w:rFonts w:eastAsia="Calibri"/>
          <w:i/>
          <w:iCs/>
        </w:rPr>
        <w:t xml:space="preserve"> </w:t>
      </w:r>
      <w:r w:rsidRPr="00004BD2">
        <w:rPr>
          <w:rFonts w:eastAsia="Calibri"/>
          <w:i/>
          <w:iCs/>
        </w:rPr>
        <w:t>proper consumption of fruits and vegetables, how to address disordered eating and body image issues, and creating affordable meal programs for all learners</w:t>
      </w:r>
      <w:r w:rsidRPr="00004BD2">
        <w:rPr>
          <w:rFonts w:eastAsia="Calibri"/>
        </w:rPr>
        <w:t xml:space="preserve">. </w:t>
      </w:r>
    </w:p>
    <w:p w14:paraId="0B128DEF" w14:textId="77777777" w:rsidR="00E34E6B" w:rsidRPr="00F20F5A" w:rsidRDefault="00E34E6B" w:rsidP="00E34E6B">
      <w:pPr>
        <w:spacing w:line="276" w:lineRule="auto"/>
        <w:jc w:val="both"/>
        <w:rPr>
          <w:color w:val="000000"/>
          <w:sz w:val="22"/>
          <w:szCs w:val="22"/>
        </w:rPr>
      </w:pPr>
      <w:r w:rsidRPr="00F20F5A">
        <w:rPr>
          <w:color w:val="000000"/>
          <w:sz w:val="22"/>
          <w:szCs w:val="22"/>
        </w:rPr>
        <w:t>The thirdly ranked nutritional care provided to the learners was the teachers referring students to school health services for nutrition concerns. This showed a substantial percentage of the teachers refer students to guidance and counselling centers, and clinical nutrition services for students with complications such as diabetes, cancer, and obesity. In addition, the learners showed that their teachers conducted public health programs that incorporate the community and sensitize the masses on the benefits of nutrition to avoid crises arising from poor health management.</w:t>
      </w:r>
    </w:p>
    <w:p w14:paraId="12F7D420" w14:textId="77777777" w:rsidR="00E34E6B" w:rsidRDefault="00E34E6B">
      <w:pPr>
        <w:rPr>
          <w:color w:val="000000"/>
          <w:sz w:val="22"/>
          <w:szCs w:val="22"/>
        </w:rPr>
      </w:pPr>
      <w:r>
        <w:rPr>
          <w:color w:val="000000"/>
          <w:sz w:val="22"/>
          <w:szCs w:val="22"/>
        </w:rPr>
        <w:br w:type="page"/>
      </w:r>
    </w:p>
    <w:p w14:paraId="61DBB3B5" w14:textId="2E51CB7A" w:rsidR="00E34E6B" w:rsidRPr="00F20F5A" w:rsidRDefault="00E34E6B" w:rsidP="00E34E6B">
      <w:pPr>
        <w:spacing w:line="276" w:lineRule="auto"/>
        <w:jc w:val="both"/>
        <w:rPr>
          <w:color w:val="000000"/>
          <w:sz w:val="22"/>
          <w:szCs w:val="22"/>
        </w:rPr>
      </w:pPr>
      <w:r w:rsidRPr="00F20F5A">
        <w:rPr>
          <w:color w:val="000000"/>
          <w:sz w:val="22"/>
          <w:szCs w:val="22"/>
        </w:rPr>
        <w:lastRenderedPageBreak/>
        <w:t>One of the teachers alluded that:</w:t>
      </w:r>
    </w:p>
    <w:p w14:paraId="448A1533" w14:textId="77777777" w:rsidR="00E34E6B" w:rsidRPr="00F20F5A" w:rsidRDefault="00E34E6B" w:rsidP="00E34E6B">
      <w:pPr>
        <w:spacing w:line="276" w:lineRule="auto"/>
        <w:ind w:left="1440"/>
        <w:jc w:val="both"/>
        <w:rPr>
          <w:i/>
          <w:iCs/>
          <w:color w:val="000000"/>
          <w:sz w:val="22"/>
          <w:szCs w:val="22"/>
        </w:rPr>
      </w:pPr>
      <w:r w:rsidRPr="00F20F5A">
        <w:rPr>
          <w:i/>
          <w:iCs/>
          <w:color w:val="000000"/>
          <w:sz w:val="22"/>
          <w:szCs w:val="22"/>
        </w:rPr>
        <w:t xml:space="preserve">We offer the best we can as teachers to ensure that the students not only benefit from learning from what we teach them, but also practice what we transmit to them, so we send them off to the nutritional experts and service providers during weekends for them to hear from the other category of personnel. </w:t>
      </w:r>
    </w:p>
    <w:p w14:paraId="67AAFC26" w14:textId="08239613" w:rsidR="00E34E6B" w:rsidRPr="00F20F5A" w:rsidRDefault="00E34E6B" w:rsidP="00E34E6B">
      <w:pPr>
        <w:spacing w:before="100" w:beforeAutospacing="1" w:after="100" w:afterAutospacing="1" w:line="276" w:lineRule="auto"/>
        <w:jc w:val="both"/>
        <w:rPr>
          <w:rFonts w:eastAsia="Calibri"/>
          <w:szCs w:val="22"/>
        </w:rPr>
      </w:pPr>
      <w:r w:rsidRPr="00F20F5A">
        <w:rPr>
          <w:rFonts w:eastAsia="Calibri"/>
          <w:szCs w:val="22"/>
        </w:rPr>
        <w:t xml:space="preserve">Most students asserted that their teachers had better information regarding nutrition guidelines. When asked about the source of information, another teacher in senior three had this to say: </w:t>
      </w:r>
    </w:p>
    <w:p w14:paraId="25982655" w14:textId="77777777" w:rsidR="00E34E6B" w:rsidRPr="00F20F5A" w:rsidRDefault="00E34E6B" w:rsidP="00E34E6B">
      <w:pPr>
        <w:spacing w:before="100" w:beforeAutospacing="1" w:after="100" w:afterAutospacing="1" w:line="276" w:lineRule="auto"/>
        <w:ind w:left="1440"/>
        <w:jc w:val="both"/>
        <w:rPr>
          <w:rFonts w:eastAsia="Calibri"/>
          <w:i/>
          <w:iCs/>
          <w:szCs w:val="22"/>
        </w:rPr>
      </w:pPr>
      <w:r w:rsidRPr="00F20F5A">
        <w:rPr>
          <w:rFonts w:eastAsia="Calibri"/>
          <w:i/>
          <w:iCs/>
          <w:szCs w:val="22"/>
        </w:rPr>
        <w:t xml:space="preserve">The nutritional knowledge emanates from, they stated that reading nutritional journals, books, listening to nutritional shows and listening to the radio were the common sources. </w:t>
      </w:r>
    </w:p>
    <w:p w14:paraId="59035BA7" w14:textId="77777777" w:rsidR="00E34E6B" w:rsidRDefault="00E34E6B" w:rsidP="00E34E6B">
      <w:pPr>
        <w:spacing w:before="100" w:beforeAutospacing="1" w:after="100" w:afterAutospacing="1" w:line="276" w:lineRule="auto"/>
        <w:jc w:val="both"/>
        <w:rPr>
          <w:rFonts w:eastAsia="Calibri"/>
          <w:szCs w:val="22"/>
        </w:rPr>
      </w:pPr>
      <w:r w:rsidRPr="00F20F5A">
        <w:rPr>
          <w:rFonts w:eastAsia="Calibri"/>
          <w:szCs w:val="22"/>
        </w:rPr>
        <w:t xml:space="preserve">Lastly, findings indicate that the teachers in Nansana municipality play vital roles in imparting nutritional information to the learners. The largest proportion of them reported that the teachers create a supportive classroom environment for discussing nutrition. For example, some teachers integrate nutrition topics into science or health education lessons, encourage learners to share their own experiences with food and healthy eating, and organize classroom discussions on the benefits of balanced diets. Others go further by guiding school gardening projects, inviting health workers for talks, or using posters and charts to reinforce nutrition messages. Furthermore, findings show that students revealed that their teachers are positive role models for healthy eating. </w:t>
      </w:r>
    </w:p>
    <w:p w14:paraId="70DFE829" w14:textId="77777777" w:rsidR="00E34E6B" w:rsidRDefault="00E34E6B" w:rsidP="00E34E6B">
      <w:pPr>
        <w:spacing w:before="100" w:beforeAutospacing="1" w:after="100" w:afterAutospacing="1" w:line="276" w:lineRule="auto"/>
        <w:jc w:val="both"/>
        <w:rPr>
          <w:rFonts w:eastAsia="Calibri"/>
          <w:szCs w:val="22"/>
        </w:rPr>
      </w:pPr>
      <w:r>
        <w:rPr>
          <w:rFonts w:eastAsia="Calibri"/>
          <w:szCs w:val="22"/>
        </w:rPr>
        <w:t>When probed about what has been done to elevate healthy eating habits, the headteacher had this to say:</w:t>
      </w:r>
    </w:p>
    <w:p w14:paraId="58DA6C92" w14:textId="77777777" w:rsidR="00E34E6B" w:rsidRPr="00487BD7" w:rsidRDefault="00E34E6B" w:rsidP="00E34E6B">
      <w:pPr>
        <w:spacing w:before="100" w:beforeAutospacing="1" w:after="100" w:afterAutospacing="1" w:line="276" w:lineRule="auto"/>
        <w:ind w:left="720"/>
        <w:jc w:val="both"/>
        <w:rPr>
          <w:rFonts w:eastAsia="Calibri"/>
          <w:i/>
          <w:iCs/>
          <w:szCs w:val="22"/>
        </w:rPr>
      </w:pPr>
      <w:r w:rsidRPr="00487BD7">
        <w:rPr>
          <w:rFonts w:eastAsia="Calibri"/>
          <w:i/>
          <w:iCs/>
          <w:szCs w:val="22"/>
        </w:rPr>
        <w:t xml:space="preserve">For instance, </w:t>
      </w:r>
      <w:r>
        <w:rPr>
          <w:rFonts w:eastAsia="Calibri"/>
          <w:i/>
          <w:iCs/>
          <w:szCs w:val="22"/>
        </w:rPr>
        <w:t>our</w:t>
      </w:r>
      <w:r w:rsidRPr="00487BD7">
        <w:rPr>
          <w:rFonts w:eastAsia="Calibri"/>
          <w:i/>
          <w:iCs/>
          <w:szCs w:val="22"/>
        </w:rPr>
        <w:t xml:space="preserve"> teachers demonstrate this by carrying healthy snacks such as fruit, choosing water over soda, or openly explaining their food choices during meal breaks. </w:t>
      </w:r>
    </w:p>
    <w:p w14:paraId="4E840AA9" w14:textId="77777777" w:rsidR="00E34E6B" w:rsidRPr="00F20F5A" w:rsidRDefault="00E34E6B" w:rsidP="00E34E6B">
      <w:pPr>
        <w:spacing w:before="100" w:beforeAutospacing="1" w:after="100" w:afterAutospacing="1" w:line="276" w:lineRule="auto"/>
        <w:jc w:val="both"/>
        <w:rPr>
          <w:rFonts w:eastAsia="Calibri"/>
          <w:szCs w:val="22"/>
        </w:rPr>
      </w:pPr>
      <w:r w:rsidRPr="00F20F5A">
        <w:rPr>
          <w:rFonts w:eastAsia="Calibri"/>
          <w:szCs w:val="22"/>
        </w:rPr>
        <w:t>Subsequently, other findings show that teachers provide support to students with specific dietary needs ranked high. Examples include reminding learners with diabetes to check their snacks, ensuring children with allergies avoid restricted foods, and collaborating with parents to accommodate special meal plans during school events.</w:t>
      </w:r>
    </w:p>
    <w:p w14:paraId="18514E28" w14:textId="77777777" w:rsidR="00E34E6B" w:rsidRDefault="00E34E6B">
      <w:pPr>
        <w:rPr>
          <w:rFonts w:ascii="Times New Roman" w:eastAsiaTheme="minorEastAsia" w:hAnsi="Times New Roman" w:cstheme="minorBidi"/>
          <w:b/>
          <w:kern w:val="2"/>
          <w:sz w:val="24"/>
          <w:szCs w:val="24"/>
          <w:lang w:val="en" w:eastAsia="zh-CN"/>
        </w:rPr>
      </w:pPr>
      <w:bookmarkStart w:id="6" w:name="_Toc206965241"/>
      <w:r>
        <w:br w:type="page"/>
      </w:r>
    </w:p>
    <w:p w14:paraId="3A99C545" w14:textId="7CD3DC44" w:rsidR="00E34E6B" w:rsidRPr="00F20F5A" w:rsidRDefault="00E34E6B" w:rsidP="00E34E6B">
      <w:pPr>
        <w:pStyle w:val="NoSpacing"/>
        <w:rPr>
          <w:lang w:eastAsia="en-US"/>
        </w:rPr>
      </w:pPr>
      <w:r>
        <w:lastRenderedPageBreak/>
        <w:t xml:space="preserve">Table </w:t>
      </w:r>
      <w:r>
        <w:fldChar w:fldCharType="begin"/>
      </w:r>
      <w:r>
        <w:instrText xml:space="preserve"> SEQ Table \* ARABIC </w:instrText>
      </w:r>
      <w:r>
        <w:fldChar w:fldCharType="separate"/>
      </w:r>
      <w:r w:rsidR="00E622FF">
        <w:rPr>
          <w:noProof/>
        </w:rPr>
        <w:t>3</w:t>
      </w:r>
      <w:r>
        <w:rPr>
          <w:noProof/>
        </w:rPr>
        <w:fldChar w:fldCharType="end"/>
      </w:r>
      <w:r w:rsidRPr="00F20F5A">
        <w:rPr>
          <w:lang w:eastAsia="en-US"/>
        </w:rPr>
        <w:t xml:space="preserve">: </w:t>
      </w:r>
      <w:bookmarkStart w:id="7" w:name="_Hlk208422742"/>
      <w:r w:rsidRPr="00F20F5A">
        <w:rPr>
          <w:lang w:eastAsia="en-US"/>
        </w:rPr>
        <w:t>Nature of nutrition care provided by biology teachers to adolescents</w:t>
      </w:r>
      <w:bookmarkEnd w:id="6"/>
      <w:bookmarkEnd w:id="7"/>
    </w:p>
    <w:tbl>
      <w:tblPr>
        <w:tblStyle w:val="PlainTable24"/>
        <w:tblW w:w="11276" w:type="dxa"/>
        <w:jc w:val="center"/>
        <w:tblLook w:val="04A0" w:firstRow="1" w:lastRow="0" w:firstColumn="1" w:lastColumn="0" w:noHBand="0" w:noVBand="1"/>
      </w:tblPr>
      <w:tblGrid>
        <w:gridCol w:w="7366"/>
        <w:gridCol w:w="993"/>
        <w:gridCol w:w="1284"/>
        <w:gridCol w:w="1005"/>
        <w:gridCol w:w="730"/>
      </w:tblGrid>
      <w:tr w:rsidR="00E34E6B" w:rsidRPr="00E34E6B" w14:paraId="659D308F" w14:textId="77777777" w:rsidTr="00253CBB">
        <w:trPr>
          <w:cnfStyle w:val="100000000000" w:firstRow="1" w:lastRow="0" w:firstColumn="0" w:lastColumn="0" w:oddVBand="0" w:evenVBand="0" w:oddHBand="0" w:evenHBand="0" w:firstRowFirstColumn="0" w:firstRowLastColumn="0" w:lastRowFirstColumn="0" w:lastRowLastColumn="0"/>
          <w:trHeight w:val="345"/>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831B3AB" w14:textId="77777777" w:rsidR="00E34E6B" w:rsidRPr="00E34E6B" w:rsidRDefault="00E34E6B" w:rsidP="00253CBB">
            <w:pPr>
              <w:jc w:val="both"/>
              <w:rPr>
                <w:rFonts w:eastAsia="Times New Roman" w:cs="Times New Roman"/>
                <w:color w:val="000000"/>
                <w:kern w:val="0"/>
                <w:sz w:val="20"/>
                <w:szCs w:val="20"/>
              </w:rPr>
            </w:pPr>
            <w:r w:rsidRPr="00E34E6B">
              <w:rPr>
                <w:rFonts w:eastAsia="Times New Roman" w:cs="Times New Roman"/>
                <w:color w:val="000000"/>
                <w:kern w:val="0"/>
                <w:sz w:val="20"/>
                <w:szCs w:val="20"/>
              </w:rPr>
              <w:t>Nutrition Care Statement</w:t>
            </w:r>
          </w:p>
        </w:tc>
        <w:tc>
          <w:tcPr>
            <w:tcW w:w="993" w:type="dxa"/>
            <w:noWrap/>
            <w:vAlign w:val="bottom"/>
            <w:hideMark/>
          </w:tcPr>
          <w:p w14:paraId="65C68B86"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Freq</w:t>
            </w:r>
          </w:p>
        </w:tc>
        <w:tc>
          <w:tcPr>
            <w:tcW w:w="1182" w:type="dxa"/>
            <w:noWrap/>
            <w:vAlign w:val="bottom"/>
            <w:hideMark/>
          </w:tcPr>
          <w:p w14:paraId="0CE37CCF"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 of Responses</w:t>
            </w:r>
          </w:p>
        </w:tc>
        <w:tc>
          <w:tcPr>
            <w:tcW w:w="1005" w:type="dxa"/>
            <w:noWrap/>
            <w:vAlign w:val="bottom"/>
            <w:hideMark/>
          </w:tcPr>
          <w:p w14:paraId="0E37BE9C"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 of Cases</w:t>
            </w:r>
          </w:p>
        </w:tc>
        <w:tc>
          <w:tcPr>
            <w:tcW w:w="730" w:type="dxa"/>
            <w:noWrap/>
            <w:vAlign w:val="bottom"/>
            <w:hideMark/>
          </w:tcPr>
          <w:p w14:paraId="0B981D00" w14:textId="77777777" w:rsidR="00E34E6B" w:rsidRPr="00E34E6B" w:rsidRDefault="00E34E6B" w:rsidP="00253CBB">
            <w:pPr>
              <w:jc w:val="right"/>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Rank</w:t>
            </w:r>
          </w:p>
        </w:tc>
      </w:tr>
      <w:tr w:rsidR="00E34E6B" w:rsidRPr="00E34E6B" w14:paraId="0ACFB7AE"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A5CDA8E" w14:textId="77777777" w:rsidR="00E34E6B" w:rsidRPr="00E34E6B" w:rsidRDefault="00E34E6B" w:rsidP="00253CBB">
            <w:pPr>
              <w:jc w:val="both"/>
              <w:rPr>
                <w:rFonts w:eastAsia="Times New Roman" w:cs="Times New Roman"/>
                <w:b w:val="0"/>
                <w:bCs w:val="0"/>
                <w:color w:val="000000"/>
                <w:kern w:val="0"/>
                <w:sz w:val="20"/>
                <w:szCs w:val="20"/>
              </w:rPr>
            </w:pPr>
            <w:bookmarkStart w:id="8" w:name="_Hlk206688123"/>
            <w:r w:rsidRPr="00E34E6B">
              <w:rPr>
                <w:rFonts w:eastAsia="Times New Roman" w:cs="Times New Roman"/>
                <w:b w:val="0"/>
                <w:bCs w:val="0"/>
                <w:color w:val="000000"/>
                <w:kern w:val="0"/>
                <w:sz w:val="20"/>
                <w:szCs w:val="20"/>
              </w:rPr>
              <w:t>The teacher refers students to school health services for nutrition concerns.</w:t>
            </w:r>
            <w:bookmarkEnd w:id="8"/>
          </w:p>
        </w:tc>
        <w:tc>
          <w:tcPr>
            <w:tcW w:w="993" w:type="dxa"/>
            <w:noWrap/>
            <w:vAlign w:val="bottom"/>
            <w:hideMark/>
          </w:tcPr>
          <w:p w14:paraId="3739560C"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32</w:t>
            </w:r>
          </w:p>
        </w:tc>
        <w:tc>
          <w:tcPr>
            <w:tcW w:w="1182" w:type="dxa"/>
            <w:noWrap/>
            <w:vAlign w:val="bottom"/>
            <w:hideMark/>
          </w:tcPr>
          <w:p w14:paraId="2DA6E9BF"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15.00%</w:t>
            </w:r>
          </w:p>
        </w:tc>
        <w:tc>
          <w:tcPr>
            <w:tcW w:w="1005" w:type="dxa"/>
            <w:noWrap/>
            <w:vAlign w:val="bottom"/>
            <w:hideMark/>
          </w:tcPr>
          <w:p w14:paraId="776200A0"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15.00%</w:t>
            </w:r>
          </w:p>
        </w:tc>
        <w:tc>
          <w:tcPr>
            <w:tcW w:w="730" w:type="dxa"/>
            <w:noWrap/>
            <w:vAlign w:val="bottom"/>
            <w:hideMark/>
          </w:tcPr>
          <w:p w14:paraId="05BEFBD4"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3</w:t>
            </w:r>
          </w:p>
        </w:tc>
      </w:tr>
      <w:tr w:rsidR="00E34E6B" w:rsidRPr="00E34E6B" w14:paraId="3828E4EA"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DC64282"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collaborates with parents on student nutrition.</w:t>
            </w:r>
          </w:p>
        </w:tc>
        <w:tc>
          <w:tcPr>
            <w:tcW w:w="993" w:type="dxa"/>
            <w:noWrap/>
            <w:vAlign w:val="bottom"/>
            <w:hideMark/>
          </w:tcPr>
          <w:p w14:paraId="19F26D30"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54</w:t>
            </w:r>
          </w:p>
        </w:tc>
        <w:tc>
          <w:tcPr>
            <w:tcW w:w="1182" w:type="dxa"/>
            <w:noWrap/>
            <w:vAlign w:val="bottom"/>
            <w:hideMark/>
          </w:tcPr>
          <w:p w14:paraId="04539CDD"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25.00%</w:t>
            </w:r>
          </w:p>
        </w:tc>
        <w:tc>
          <w:tcPr>
            <w:tcW w:w="1005" w:type="dxa"/>
            <w:noWrap/>
            <w:vAlign w:val="bottom"/>
            <w:hideMark/>
          </w:tcPr>
          <w:p w14:paraId="16B57645"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40.00%</w:t>
            </w:r>
          </w:p>
        </w:tc>
        <w:tc>
          <w:tcPr>
            <w:tcW w:w="730" w:type="dxa"/>
            <w:noWrap/>
            <w:vAlign w:val="bottom"/>
            <w:hideMark/>
          </w:tcPr>
          <w:p w14:paraId="4A870072"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w:t>
            </w:r>
          </w:p>
        </w:tc>
      </w:tr>
      <w:tr w:rsidR="00E34E6B" w:rsidRPr="00E34E6B" w14:paraId="06597437"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3E2B423"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uses engaging teaching methods for nutrition education.</w:t>
            </w:r>
          </w:p>
        </w:tc>
        <w:tc>
          <w:tcPr>
            <w:tcW w:w="993" w:type="dxa"/>
            <w:noWrap/>
            <w:vAlign w:val="bottom"/>
            <w:hideMark/>
          </w:tcPr>
          <w:p w14:paraId="7B254EFF"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w:t>
            </w:r>
          </w:p>
        </w:tc>
        <w:tc>
          <w:tcPr>
            <w:tcW w:w="1182" w:type="dxa"/>
            <w:noWrap/>
            <w:vAlign w:val="bottom"/>
            <w:hideMark/>
          </w:tcPr>
          <w:p w14:paraId="615473E3"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0.40%</w:t>
            </w:r>
          </w:p>
        </w:tc>
        <w:tc>
          <w:tcPr>
            <w:tcW w:w="1005" w:type="dxa"/>
            <w:noWrap/>
            <w:vAlign w:val="bottom"/>
            <w:hideMark/>
          </w:tcPr>
          <w:p w14:paraId="7FEEB0F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40.40%</w:t>
            </w:r>
          </w:p>
        </w:tc>
        <w:tc>
          <w:tcPr>
            <w:tcW w:w="730" w:type="dxa"/>
            <w:noWrap/>
            <w:vAlign w:val="bottom"/>
            <w:hideMark/>
          </w:tcPr>
          <w:p w14:paraId="0308DED6"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9</w:t>
            </w:r>
          </w:p>
        </w:tc>
      </w:tr>
      <w:tr w:rsidR="00E34E6B" w:rsidRPr="00E34E6B" w14:paraId="59F73892"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0CC0580"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is knowledgeable about adolescent nutrition guidelines.</w:t>
            </w:r>
          </w:p>
        </w:tc>
        <w:tc>
          <w:tcPr>
            <w:tcW w:w="993" w:type="dxa"/>
            <w:noWrap/>
            <w:vAlign w:val="bottom"/>
            <w:hideMark/>
          </w:tcPr>
          <w:p w14:paraId="1DFBCDB8"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27</w:t>
            </w:r>
          </w:p>
        </w:tc>
        <w:tc>
          <w:tcPr>
            <w:tcW w:w="1182" w:type="dxa"/>
            <w:noWrap/>
            <w:vAlign w:val="bottom"/>
            <w:hideMark/>
          </w:tcPr>
          <w:p w14:paraId="600FC859"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12.50%</w:t>
            </w:r>
          </w:p>
        </w:tc>
        <w:tc>
          <w:tcPr>
            <w:tcW w:w="1005" w:type="dxa"/>
            <w:noWrap/>
            <w:vAlign w:val="bottom"/>
            <w:hideMark/>
          </w:tcPr>
          <w:p w14:paraId="5885DEE0"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52.90%</w:t>
            </w:r>
          </w:p>
        </w:tc>
        <w:tc>
          <w:tcPr>
            <w:tcW w:w="730" w:type="dxa"/>
            <w:noWrap/>
            <w:vAlign w:val="bottom"/>
            <w:hideMark/>
          </w:tcPr>
          <w:p w14:paraId="22C4261F"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4</w:t>
            </w:r>
          </w:p>
        </w:tc>
      </w:tr>
      <w:tr w:rsidR="00E34E6B" w:rsidRPr="00E34E6B" w14:paraId="713755AA"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7C42138D"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incorporates nutrition topics into biology lessons.</w:t>
            </w:r>
          </w:p>
        </w:tc>
        <w:tc>
          <w:tcPr>
            <w:tcW w:w="993" w:type="dxa"/>
            <w:noWrap/>
            <w:vAlign w:val="bottom"/>
            <w:hideMark/>
          </w:tcPr>
          <w:p w14:paraId="0DF4F240"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w:t>
            </w:r>
          </w:p>
        </w:tc>
        <w:tc>
          <w:tcPr>
            <w:tcW w:w="1182" w:type="dxa"/>
            <w:noWrap/>
            <w:vAlign w:val="bottom"/>
            <w:hideMark/>
          </w:tcPr>
          <w:p w14:paraId="08FE35A1"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1.00%</w:t>
            </w:r>
          </w:p>
        </w:tc>
        <w:tc>
          <w:tcPr>
            <w:tcW w:w="1005" w:type="dxa"/>
            <w:noWrap/>
            <w:vAlign w:val="bottom"/>
            <w:hideMark/>
          </w:tcPr>
          <w:p w14:paraId="1B5C13B1"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53.90%</w:t>
            </w:r>
          </w:p>
        </w:tc>
        <w:tc>
          <w:tcPr>
            <w:tcW w:w="730" w:type="dxa"/>
            <w:noWrap/>
            <w:vAlign w:val="bottom"/>
            <w:hideMark/>
          </w:tcPr>
          <w:p w14:paraId="366C3B9A"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`8</w:t>
            </w:r>
          </w:p>
        </w:tc>
      </w:tr>
      <w:tr w:rsidR="00E34E6B" w:rsidRPr="00E34E6B" w14:paraId="734B0083"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72DE48F9" w14:textId="77777777" w:rsidR="00E34E6B" w:rsidRPr="00E34E6B" w:rsidRDefault="00E34E6B" w:rsidP="00253CBB">
            <w:pPr>
              <w:jc w:val="both"/>
              <w:rPr>
                <w:rFonts w:eastAsia="Times New Roman" w:cs="Times New Roman"/>
                <w:b w:val="0"/>
                <w:bCs w:val="0"/>
                <w:color w:val="000000"/>
                <w:kern w:val="0"/>
                <w:sz w:val="20"/>
                <w:szCs w:val="20"/>
              </w:rPr>
            </w:pPr>
            <w:bookmarkStart w:id="9" w:name="_Hlk206688814"/>
            <w:r w:rsidRPr="00E34E6B">
              <w:rPr>
                <w:rFonts w:eastAsia="Times New Roman" w:cs="Times New Roman"/>
                <w:b w:val="0"/>
                <w:bCs w:val="0"/>
                <w:color w:val="000000"/>
                <w:kern w:val="0"/>
                <w:sz w:val="20"/>
                <w:szCs w:val="20"/>
              </w:rPr>
              <w:t>The teacher provides support to students with specific dietary needs.</w:t>
            </w:r>
            <w:bookmarkEnd w:id="9"/>
          </w:p>
        </w:tc>
        <w:tc>
          <w:tcPr>
            <w:tcW w:w="993" w:type="dxa"/>
            <w:noWrap/>
            <w:vAlign w:val="bottom"/>
            <w:hideMark/>
          </w:tcPr>
          <w:p w14:paraId="54A28027"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w:t>
            </w:r>
          </w:p>
        </w:tc>
        <w:tc>
          <w:tcPr>
            <w:tcW w:w="1182" w:type="dxa"/>
            <w:noWrap/>
            <w:vAlign w:val="bottom"/>
            <w:hideMark/>
          </w:tcPr>
          <w:p w14:paraId="791B3035"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1.10%</w:t>
            </w:r>
          </w:p>
        </w:tc>
        <w:tc>
          <w:tcPr>
            <w:tcW w:w="1005" w:type="dxa"/>
            <w:noWrap/>
            <w:vAlign w:val="bottom"/>
            <w:hideMark/>
          </w:tcPr>
          <w:p w14:paraId="23154B81"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55.00%</w:t>
            </w:r>
          </w:p>
        </w:tc>
        <w:tc>
          <w:tcPr>
            <w:tcW w:w="730" w:type="dxa"/>
            <w:noWrap/>
            <w:vAlign w:val="bottom"/>
            <w:hideMark/>
          </w:tcPr>
          <w:p w14:paraId="02FE5D39"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8</w:t>
            </w:r>
          </w:p>
        </w:tc>
      </w:tr>
      <w:tr w:rsidR="00E34E6B" w:rsidRPr="00E34E6B" w14:paraId="3C13645F"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1F5F9343" w14:textId="77777777" w:rsidR="00E34E6B" w:rsidRPr="00E34E6B" w:rsidRDefault="00E34E6B" w:rsidP="00253CBB">
            <w:pPr>
              <w:jc w:val="both"/>
              <w:rPr>
                <w:rFonts w:eastAsia="Times New Roman" w:cs="Times New Roman"/>
                <w:b w:val="0"/>
                <w:bCs w:val="0"/>
                <w:color w:val="000000"/>
                <w:kern w:val="0"/>
                <w:sz w:val="20"/>
                <w:szCs w:val="20"/>
              </w:rPr>
            </w:pPr>
            <w:bookmarkStart w:id="10" w:name="_Hlk206688804"/>
            <w:r w:rsidRPr="00E34E6B">
              <w:rPr>
                <w:rFonts w:eastAsia="Times New Roman" w:cs="Times New Roman"/>
                <w:b w:val="0"/>
                <w:bCs w:val="0"/>
                <w:color w:val="000000"/>
                <w:kern w:val="0"/>
                <w:sz w:val="20"/>
                <w:szCs w:val="20"/>
              </w:rPr>
              <w:t>A teacher is a positive role model for healthy eating.</w:t>
            </w:r>
            <w:bookmarkEnd w:id="10"/>
          </w:p>
        </w:tc>
        <w:tc>
          <w:tcPr>
            <w:tcW w:w="993" w:type="dxa"/>
            <w:noWrap/>
            <w:vAlign w:val="bottom"/>
            <w:hideMark/>
          </w:tcPr>
          <w:p w14:paraId="30A12A83"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3</w:t>
            </w:r>
          </w:p>
        </w:tc>
        <w:tc>
          <w:tcPr>
            <w:tcW w:w="1182" w:type="dxa"/>
            <w:noWrap/>
            <w:vAlign w:val="bottom"/>
            <w:hideMark/>
          </w:tcPr>
          <w:p w14:paraId="31E8ADC5"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1.52%</w:t>
            </w:r>
          </w:p>
        </w:tc>
        <w:tc>
          <w:tcPr>
            <w:tcW w:w="1005" w:type="dxa"/>
            <w:noWrap/>
            <w:vAlign w:val="bottom"/>
            <w:hideMark/>
          </w:tcPr>
          <w:p w14:paraId="465F31A9"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56.52%</w:t>
            </w:r>
          </w:p>
        </w:tc>
        <w:tc>
          <w:tcPr>
            <w:tcW w:w="730" w:type="dxa"/>
            <w:noWrap/>
            <w:vAlign w:val="bottom"/>
            <w:hideMark/>
          </w:tcPr>
          <w:p w14:paraId="4D010B18"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7</w:t>
            </w:r>
          </w:p>
        </w:tc>
      </w:tr>
      <w:tr w:rsidR="00E34E6B" w:rsidRPr="00E34E6B" w14:paraId="2B043407"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4EFE6362"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advises students on healthy eating habits.</w:t>
            </w:r>
          </w:p>
        </w:tc>
        <w:tc>
          <w:tcPr>
            <w:tcW w:w="993" w:type="dxa"/>
            <w:noWrap/>
            <w:vAlign w:val="bottom"/>
            <w:hideMark/>
          </w:tcPr>
          <w:p w14:paraId="10377C66"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51</w:t>
            </w:r>
          </w:p>
        </w:tc>
        <w:tc>
          <w:tcPr>
            <w:tcW w:w="1182" w:type="dxa"/>
            <w:noWrap/>
            <w:vAlign w:val="bottom"/>
            <w:hideMark/>
          </w:tcPr>
          <w:p w14:paraId="3BAC07B5"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23.50%</w:t>
            </w:r>
          </w:p>
        </w:tc>
        <w:tc>
          <w:tcPr>
            <w:tcW w:w="1005" w:type="dxa"/>
            <w:noWrap/>
            <w:vAlign w:val="bottom"/>
            <w:hideMark/>
          </w:tcPr>
          <w:p w14:paraId="51B07C80"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80.02%</w:t>
            </w:r>
          </w:p>
        </w:tc>
        <w:tc>
          <w:tcPr>
            <w:tcW w:w="730" w:type="dxa"/>
            <w:noWrap/>
            <w:vAlign w:val="bottom"/>
            <w:hideMark/>
          </w:tcPr>
          <w:p w14:paraId="7AA51ADB"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w:t>
            </w:r>
          </w:p>
        </w:tc>
      </w:tr>
      <w:tr w:rsidR="00E34E6B" w:rsidRPr="00E34E6B" w14:paraId="3FFBB8C2"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5B4CBCBE" w14:textId="77777777" w:rsidR="00E34E6B" w:rsidRPr="00E34E6B" w:rsidRDefault="00E34E6B" w:rsidP="00253CBB">
            <w:pPr>
              <w:jc w:val="both"/>
              <w:rPr>
                <w:rFonts w:eastAsia="Times New Roman" w:cs="Times New Roman"/>
                <w:b w:val="0"/>
                <w:bCs w:val="0"/>
                <w:color w:val="000000"/>
                <w:kern w:val="0"/>
                <w:sz w:val="20"/>
                <w:szCs w:val="20"/>
              </w:rPr>
            </w:pPr>
            <w:bookmarkStart w:id="11" w:name="_Hlk206688789"/>
            <w:r w:rsidRPr="00E34E6B">
              <w:rPr>
                <w:rFonts w:eastAsia="Times New Roman" w:cs="Times New Roman"/>
                <w:b w:val="0"/>
                <w:bCs w:val="0"/>
                <w:color w:val="000000"/>
                <w:kern w:val="0"/>
                <w:sz w:val="20"/>
                <w:szCs w:val="20"/>
              </w:rPr>
              <w:t>The teacher creates a supportive classroom environment for discussing nutrition.</w:t>
            </w:r>
            <w:bookmarkEnd w:id="11"/>
          </w:p>
        </w:tc>
        <w:tc>
          <w:tcPr>
            <w:tcW w:w="993" w:type="dxa"/>
            <w:noWrap/>
            <w:vAlign w:val="bottom"/>
            <w:hideMark/>
          </w:tcPr>
          <w:p w14:paraId="29F1BAD0"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26</w:t>
            </w:r>
          </w:p>
        </w:tc>
        <w:tc>
          <w:tcPr>
            <w:tcW w:w="1182" w:type="dxa"/>
            <w:noWrap/>
            <w:vAlign w:val="bottom"/>
            <w:hideMark/>
          </w:tcPr>
          <w:p w14:paraId="399885B8"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12.00%</w:t>
            </w:r>
          </w:p>
        </w:tc>
        <w:tc>
          <w:tcPr>
            <w:tcW w:w="1005" w:type="dxa"/>
            <w:noWrap/>
            <w:vAlign w:val="bottom"/>
            <w:hideMark/>
          </w:tcPr>
          <w:p w14:paraId="2B4EBA9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92.02%</w:t>
            </w:r>
          </w:p>
        </w:tc>
        <w:tc>
          <w:tcPr>
            <w:tcW w:w="730" w:type="dxa"/>
            <w:noWrap/>
            <w:vAlign w:val="bottom"/>
            <w:hideMark/>
          </w:tcPr>
          <w:p w14:paraId="0659D98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5</w:t>
            </w:r>
          </w:p>
        </w:tc>
      </w:tr>
      <w:tr w:rsidR="00E34E6B" w:rsidRPr="00E34E6B" w14:paraId="5691E9C5" w14:textId="77777777" w:rsidTr="00253CBB">
        <w:trPr>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6EBCFB5" w14:textId="77777777" w:rsidR="00E34E6B" w:rsidRPr="00E34E6B" w:rsidRDefault="00E34E6B" w:rsidP="00253CBB">
            <w:pPr>
              <w:jc w:val="both"/>
              <w:rPr>
                <w:rFonts w:eastAsia="Times New Roman" w:cs="Times New Roman"/>
                <w:b w:val="0"/>
                <w:bCs w:val="0"/>
                <w:color w:val="000000"/>
                <w:kern w:val="0"/>
                <w:sz w:val="20"/>
                <w:szCs w:val="20"/>
              </w:rPr>
            </w:pPr>
            <w:r w:rsidRPr="00E34E6B">
              <w:rPr>
                <w:rFonts w:eastAsia="Times New Roman" w:cs="Times New Roman"/>
                <w:b w:val="0"/>
                <w:bCs w:val="0"/>
                <w:color w:val="000000"/>
                <w:kern w:val="0"/>
                <w:sz w:val="20"/>
                <w:szCs w:val="20"/>
              </w:rPr>
              <w:t>The teacher encourages students to make healthy food choices at school.</w:t>
            </w:r>
          </w:p>
        </w:tc>
        <w:tc>
          <w:tcPr>
            <w:tcW w:w="993" w:type="dxa"/>
            <w:noWrap/>
            <w:vAlign w:val="bottom"/>
            <w:hideMark/>
          </w:tcPr>
          <w:p w14:paraId="0F8C1572"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17</w:t>
            </w:r>
          </w:p>
        </w:tc>
        <w:tc>
          <w:tcPr>
            <w:tcW w:w="1182" w:type="dxa"/>
            <w:noWrap/>
            <w:vAlign w:val="bottom"/>
            <w:hideMark/>
          </w:tcPr>
          <w:p w14:paraId="0C1F5CDB"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7.98%</w:t>
            </w:r>
          </w:p>
        </w:tc>
        <w:tc>
          <w:tcPr>
            <w:tcW w:w="1005" w:type="dxa"/>
            <w:noWrap/>
            <w:vAlign w:val="bottom"/>
            <w:hideMark/>
          </w:tcPr>
          <w:p w14:paraId="2A39F801"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100.00%</w:t>
            </w:r>
          </w:p>
        </w:tc>
        <w:tc>
          <w:tcPr>
            <w:tcW w:w="730" w:type="dxa"/>
            <w:noWrap/>
            <w:vAlign w:val="bottom"/>
            <w:hideMark/>
          </w:tcPr>
          <w:p w14:paraId="0CEC0BEB" w14:textId="77777777" w:rsidR="00E34E6B" w:rsidRPr="00E34E6B" w:rsidRDefault="00E34E6B" w:rsidP="00253CBB">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kern w:val="0"/>
                <w:sz w:val="20"/>
                <w:szCs w:val="20"/>
              </w:rPr>
            </w:pPr>
            <w:r w:rsidRPr="00E34E6B">
              <w:rPr>
                <w:rFonts w:ascii="Aptos Narrow" w:eastAsia="DengXian" w:hAnsi="Aptos Narrow" w:cs="Times New Roman"/>
                <w:color w:val="000000"/>
                <w:sz w:val="20"/>
                <w:szCs w:val="20"/>
              </w:rPr>
              <w:t>6</w:t>
            </w:r>
          </w:p>
        </w:tc>
      </w:tr>
      <w:tr w:rsidR="00E34E6B" w:rsidRPr="00E34E6B" w14:paraId="1CC12E1A" w14:textId="77777777" w:rsidTr="00253CBB">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7366" w:type="dxa"/>
            <w:noWrap/>
            <w:hideMark/>
          </w:tcPr>
          <w:p w14:paraId="36C21BA2" w14:textId="77777777" w:rsidR="00E34E6B" w:rsidRPr="00E34E6B" w:rsidRDefault="00E34E6B" w:rsidP="00253CBB">
            <w:pPr>
              <w:jc w:val="both"/>
              <w:rPr>
                <w:rFonts w:eastAsia="Times New Roman" w:cs="Times New Roman"/>
                <w:color w:val="000000"/>
                <w:kern w:val="0"/>
                <w:sz w:val="20"/>
                <w:szCs w:val="20"/>
              </w:rPr>
            </w:pPr>
            <w:r w:rsidRPr="00E34E6B">
              <w:rPr>
                <w:rFonts w:eastAsia="Times New Roman" w:cs="Times New Roman"/>
                <w:color w:val="000000"/>
                <w:kern w:val="0"/>
                <w:sz w:val="20"/>
                <w:szCs w:val="20"/>
              </w:rPr>
              <w:t>Total</w:t>
            </w:r>
          </w:p>
        </w:tc>
        <w:tc>
          <w:tcPr>
            <w:tcW w:w="993" w:type="dxa"/>
            <w:noWrap/>
            <w:vAlign w:val="bottom"/>
            <w:hideMark/>
          </w:tcPr>
          <w:p w14:paraId="4FAAF35D"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215</w:t>
            </w:r>
          </w:p>
        </w:tc>
        <w:tc>
          <w:tcPr>
            <w:tcW w:w="1182" w:type="dxa"/>
            <w:noWrap/>
            <w:vAlign w:val="bottom"/>
            <w:hideMark/>
          </w:tcPr>
          <w:p w14:paraId="6C4704A2"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r w:rsidRPr="00E34E6B">
              <w:rPr>
                <w:rFonts w:eastAsia="Times New Roman" w:cs="Times New Roman"/>
                <w:color w:val="000000"/>
                <w:kern w:val="0"/>
                <w:sz w:val="20"/>
                <w:szCs w:val="20"/>
              </w:rPr>
              <w:t>100.00%</w:t>
            </w:r>
          </w:p>
        </w:tc>
        <w:tc>
          <w:tcPr>
            <w:tcW w:w="1005" w:type="dxa"/>
            <w:noWrap/>
            <w:vAlign w:val="bottom"/>
            <w:hideMark/>
          </w:tcPr>
          <w:p w14:paraId="7B89B07C"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p>
        </w:tc>
        <w:tc>
          <w:tcPr>
            <w:tcW w:w="730" w:type="dxa"/>
            <w:noWrap/>
            <w:vAlign w:val="bottom"/>
            <w:hideMark/>
          </w:tcPr>
          <w:p w14:paraId="6C448C24" w14:textId="77777777" w:rsidR="00E34E6B" w:rsidRPr="00E34E6B" w:rsidRDefault="00E34E6B" w:rsidP="00253CBB">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kern w:val="0"/>
                <w:sz w:val="20"/>
                <w:szCs w:val="20"/>
              </w:rPr>
            </w:pPr>
          </w:p>
        </w:tc>
      </w:tr>
    </w:tbl>
    <w:p w14:paraId="3A125A03" w14:textId="77777777" w:rsidR="00E34E6B" w:rsidRPr="00F20F5A" w:rsidRDefault="00E34E6B" w:rsidP="00E34E6B">
      <w:pPr>
        <w:spacing w:line="360" w:lineRule="auto"/>
        <w:jc w:val="both"/>
        <w:rPr>
          <w:rFonts w:eastAsia="Calibri"/>
          <w:szCs w:val="22"/>
        </w:rPr>
      </w:pPr>
      <w:r w:rsidRPr="00F20F5A">
        <w:rPr>
          <w:rFonts w:eastAsia="Calibri"/>
          <w:szCs w:val="22"/>
        </w:rPr>
        <w:t>Source: Primary Data Collection, 2025</w:t>
      </w:r>
    </w:p>
    <w:p w14:paraId="6D13F243" w14:textId="77777777" w:rsidR="00E34E6B" w:rsidRPr="003856BD" w:rsidRDefault="00E34E6B" w:rsidP="00E34E6B">
      <w:pPr>
        <w:spacing w:before="100" w:beforeAutospacing="1" w:after="100" w:afterAutospacing="1" w:line="276" w:lineRule="auto"/>
        <w:jc w:val="both"/>
        <w:rPr>
          <w:rFonts w:ascii="Arial" w:hAnsi="Arial" w:cs="Arial"/>
          <w:b/>
          <w:bCs/>
          <w:sz w:val="22"/>
          <w:szCs w:val="22"/>
        </w:rPr>
      </w:pPr>
      <w:bookmarkStart w:id="12" w:name="_Hlk208422763"/>
      <w:r w:rsidRPr="003856BD">
        <w:rPr>
          <w:rFonts w:ascii="Arial" w:hAnsi="Arial" w:cs="Arial"/>
          <w:b/>
          <w:bCs/>
          <w:sz w:val="22"/>
          <w:szCs w:val="22"/>
        </w:rPr>
        <w:t>Logistic Regression Model for predicting the effect of nutritional care on nutritional practices</w:t>
      </w:r>
    </w:p>
    <w:bookmarkEnd w:id="12"/>
    <w:p w14:paraId="3141F7FD"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The logistic regression model in Table 3 below indicates that, for a sample size of 1174 observations, the LR chi</w:t>
      </w:r>
      <w:proofErr w:type="gramStart"/>
      <w:r w:rsidRPr="003856BD">
        <w:rPr>
          <w:rFonts w:ascii="Arial" w:hAnsi="Arial" w:cs="Arial"/>
        </w:rPr>
        <w:t>²(</w:t>
      </w:r>
      <w:proofErr w:type="gramEnd"/>
      <w:r w:rsidRPr="003856BD">
        <w:rPr>
          <w:rFonts w:ascii="Arial" w:hAnsi="Arial" w:cs="Arial"/>
        </w:rPr>
        <w:t xml:space="preserve">7) = 178.96, p &lt; 0.001, provides evidence of a good-fitting model. This suggests that the selected covariates significantly improve the model compared to the prediction over a null model. Additionally, the Pseudo R² = 0.5250 indicates that approximately 53% of the variation in nutritional practices is dependent on the care provided to students, teacher experience in years, and their educational level, as shown below. </w:t>
      </w:r>
    </w:p>
    <w:p w14:paraId="4AD3844B"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 xml:space="preserve">From the results in Table 3, it can also be seen that the odds of promoting nutritional practices among adolescents are predicted to increase 6.692283 times among those with excellent practices (controlling for education and experience) compared to those with poor nutritional care. This indicates that adolescents who already demonstrate strong nutritional habits are substantially more likely to encourage and adopt positive practices, suggesting that prior knowledge and behavior act as powerful predictors of continued health-promoting actions. </w:t>
      </w:r>
    </w:p>
    <w:p w14:paraId="2F8713DA"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Additionally, the odds of promoting nutritional practices among adolescents are predicted to increase 3.64728 times among those with good nutritional care (controlling for education and experience) compared to those with poor nutritional care. This suggests that even moderate improvements in nutritional behavior are associated with a significantly higher likelihood of promoting healthy practices, highlighting the importance of fostering consistent, good dietary habits as a stepping stone toward achieving excellent nutritional care.</w:t>
      </w:r>
    </w:p>
    <w:p w14:paraId="6C116D88"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 xml:space="preserve">Similarly, the odds of promoting nutritional practices among adolescents are predicted to increase 3.483628 times among those with fair nutritional care (controlling for education and experience) compared to those with poor nutritional care. This highlights the significant influence of even moderate nutritional support in shaping adolescents’ likelihood of adopting </w:t>
      </w:r>
      <w:r w:rsidRPr="003856BD">
        <w:rPr>
          <w:rFonts w:ascii="Arial" w:hAnsi="Arial" w:cs="Arial"/>
        </w:rPr>
        <w:lastRenderedPageBreak/>
        <w:t>healthier dietary practices, suggesting that improvements in nutritional care, even if not optimal, can substantially enhance positive health behaviors.</w:t>
      </w:r>
    </w:p>
    <w:p w14:paraId="73A3E45A"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For the highest education level, the odds of promoting nutritional practices among adolescents are predicted to increase 16.34995 times among those teachers with a PhD (controlling for experience and care) compared to those with a diploma and certificates. Therefore, higher academic attainment appears to strongly enhance the ability and likelihood of teachers to encourage healthy nutritional behaviors, suggesting that advanced education equips individuals with greater knowledge, skills, and confidence to effectively promote adolescent nutrition.</w:t>
      </w:r>
    </w:p>
    <w:p w14:paraId="717C4AE7" w14:textId="77777777" w:rsidR="00E34E6B" w:rsidRPr="003856BD" w:rsidRDefault="00E34E6B" w:rsidP="00E34E6B">
      <w:pPr>
        <w:spacing w:before="100" w:beforeAutospacing="1" w:after="100" w:afterAutospacing="1" w:line="276" w:lineRule="auto"/>
        <w:jc w:val="both"/>
        <w:rPr>
          <w:rFonts w:ascii="Arial" w:hAnsi="Arial" w:cs="Arial"/>
        </w:rPr>
      </w:pPr>
      <w:r w:rsidRPr="003856BD">
        <w:rPr>
          <w:rFonts w:ascii="Arial" w:hAnsi="Arial" w:cs="Arial"/>
        </w:rPr>
        <w:t>In the same vein, the odds of promoting nutritional practices among adolescents were predicted to increase 4.371893 times among teachers with a master's degree as their highest education (controlling for experience) compared to those with a diploma and certificates. In a nutshell, this reinforces the peculiar role of higher educational attainment in empowering teachers with the knowledge, skills, and confidence needed to effectively promote healthy nutritional behaviors among adolescents.</w:t>
      </w:r>
    </w:p>
    <w:p w14:paraId="485263A6" w14:textId="77777777" w:rsidR="00E34E6B" w:rsidRPr="003856BD" w:rsidRDefault="00E34E6B" w:rsidP="00E34E6B">
      <w:pPr>
        <w:spacing w:before="100" w:beforeAutospacing="1" w:after="100" w:afterAutospacing="1" w:line="276" w:lineRule="auto"/>
        <w:jc w:val="both"/>
        <w:rPr>
          <w:rFonts w:ascii="Arial" w:hAnsi="Arial" w:cs="Arial"/>
          <w:color w:val="000000"/>
        </w:rPr>
      </w:pPr>
      <w:r w:rsidRPr="003856BD">
        <w:rPr>
          <w:rFonts w:ascii="Arial" w:hAnsi="Arial" w:cs="Arial"/>
          <w:color w:val="000000"/>
        </w:rPr>
        <w:t>Lastly, results showed that the odds of promoting nutritional practices among adolescents are predicted to grow 1.999972 times larger (controlling for teacher education and level of nutritional care) with each additional year of teacher experience. Thus, accumulated teaching experience appears to play a crucial role in strengthening the effectiveness of nutritional promotion, as seasoned teachers may draw on their practical knowledge, refined skills, and credibility to better influence adolescent behaviors.</w:t>
      </w:r>
    </w:p>
    <w:p w14:paraId="1F4B0CC5" w14:textId="77777777" w:rsidR="00E34E6B" w:rsidRDefault="00E34E6B">
      <w:pPr>
        <w:rPr>
          <w:rFonts w:ascii="Times New Roman" w:eastAsiaTheme="minorEastAsia" w:hAnsi="Times New Roman" w:cstheme="minorBidi"/>
          <w:b/>
          <w:kern w:val="2"/>
          <w:sz w:val="24"/>
          <w:szCs w:val="24"/>
          <w:lang w:val="en" w:eastAsia="zh-CN"/>
        </w:rPr>
      </w:pPr>
      <w:r>
        <w:br w:type="page"/>
      </w:r>
    </w:p>
    <w:p w14:paraId="1BC5A828" w14:textId="797EFAEF" w:rsidR="00E34E6B" w:rsidRPr="005428D3" w:rsidRDefault="00E34E6B" w:rsidP="00E34E6B">
      <w:pPr>
        <w:pStyle w:val="NoSpacing"/>
        <w:rPr>
          <w:rFonts w:ascii="Arial" w:hAnsi="Arial" w:cs="Arial"/>
        </w:rPr>
      </w:pPr>
      <w:r w:rsidRPr="005428D3">
        <w:rPr>
          <w:rFonts w:ascii="Arial" w:hAnsi="Arial" w:cs="Arial"/>
        </w:rPr>
        <w:lastRenderedPageBreak/>
        <w:t xml:space="preserve">Table </w:t>
      </w:r>
      <w:r w:rsidRPr="005428D3">
        <w:rPr>
          <w:rFonts w:ascii="Arial" w:hAnsi="Arial" w:cs="Arial"/>
        </w:rPr>
        <w:fldChar w:fldCharType="begin"/>
      </w:r>
      <w:r w:rsidRPr="005428D3">
        <w:rPr>
          <w:rFonts w:ascii="Arial" w:hAnsi="Arial" w:cs="Arial"/>
        </w:rPr>
        <w:instrText xml:space="preserve"> SEQ Table \* ARABIC </w:instrText>
      </w:r>
      <w:r w:rsidRPr="005428D3">
        <w:rPr>
          <w:rFonts w:ascii="Arial" w:hAnsi="Arial" w:cs="Arial"/>
        </w:rPr>
        <w:fldChar w:fldCharType="separate"/>
      </w:r>
      <w:r w:rsidR="00E622FF" w:rsidRPr="005428D3">
        <w:rPr>
          <w:rFonts w:ascii="Arial" w:hAnsi="Arial" w:cs="Arial"/>
          <w:noProof/>
        </w:rPr>
        <w:t>4</w:t>
      </w:r>
      <w:r w:rsidRPr="005428D3">
        <w:rPr>
          <w:rFonts w:ascii="Arial" w:hAnsi="Arial" w:cs="Arial"/>
        </w:rPr>
        <w:fldChar w:fldCharType="end"/>
      </w:r>
      <w:r w:rsidRPr="005428D3">
        <w:rPr>
          <w:rFonts w:ascii="Arial" w:hAnsi="Arial" w:cs="Arial"/>
        </w:rPr>
        <w:t>: Logistic Regression Model for predicting the effect of nutritional care on nutritional practices</w:t>
      </w:r>
    </w:p>
    <w:tbl>
      <w:tblPr>
        <w:tblW w:w="9494" w:type="dxa"/>
        <w:tblLook w:val="04A0" w:firstRow="1" w:lastRow="0" w:firstColumn="1" w:lastColumn="0" w:noHBand="0" w:noVBand="1"/>
      </w:tblPr>
      <w:tblGrid>
        <w:gridCol w:w="2446"/>
        <w:gridCol w:w="1211"/>
        <w:gridCol w:w="1212"/>
        <w:gridCol w:w="1102"/>
        <w:gridCol w:w="1102"/>
        <w:gridCol w:w="1210"/>
        <w:gridCol w:w="1211"/>
      </w:tblGrid>
      <w:tr w:rsidR="00E34E6B" w:rsidRPr="005428D3" w14:paraId="72F911AA" w14:textId="77777777" w:rsidTr="00253CBB">
        <w:trPr>
          <w:trHeight w:val="299"/>
        </w:trPr>
        <w:tc>
          <w:tcPr>
            <w:tcW w:w="2446" w:type="dxa"/>
            <w:tcBorders>
              <w:top w:val="nil"/>
              <w:left w:val="nil"/>
              <w:bottom w:val="nil"/>
              <w:right w:val="nil"/>
            </w:tcBorders>
            <w:noWrap/>
            <w:vAlign w:val="bottom"/>
            <w:hideMark/>
          </w:tcPr>
          <w:p w14:paraId="08D0B9A3" w14:textId="77777777" w:rsidR="00E34E6B" w:rsidRPr="0090127C" w:rsidRDefault="00E34E6B" w:rsidP="00253CBB">
            <w:pPr>
              <w:rPr>
                <w:rFonts w:ascii="Arial" w:hAnsi="Arial" w:cs="Arial"/>
              </w:rPr>
            </w:pPr>
          </w:p>
        </w:tc>
        <w:tc>
          <w:tcPr>
            <w:tcW w:w="1211" w:type="dxa"/>
            <w:tcBorders>
              <w:top w:val="nil"/>
              <w:left w:val="nil"/>
              <w:bottom w:val="nil"/>
              <w:right w:val="nil"/>
            </w:tcBorders>
            <w:noWrap/>
            <w:vAlign w:val="bottom"/>
            <w:hideMark/>
          </w:tcPr>
          <w:p w14:paraId="4A6E510B"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052800FF"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6ABADCA0"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1DAEC37D"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548E5253"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xml:space="preserve">Number of obs </w:t>
            </w:r>
            <w:proofErr w:type="gramStart"/>
            <w:r w:rsidRPr="0090127C">
              <w:rPr>
                <w:rFonts w:ascii="Arial" w:hAnsi="Arial" w:cs="Arial"/>
                <w:color w:val="000000"/>
                <w:sz w:val="22"/>
                <w:szCs w:val="22"/>
              </w:rPr>
              <w:t>=  1,174</w:t>
            </w:r>
            <w:proofErr w:type="gramEnd"/>
          </w:p>
        </w:tc>
      </w:tr>
      <w:tr w:rsidR="00E34E6B" w:rsidRPr="005428D3" w14:paraId="040A8589" w14:textId="77777777" w:rsidTr="00253CBB">
        <w:trPr>
          <w:trHeight w:val="299"/>
        </w:trPr>
        <w:tc>
          <w:tcPr>
            <w:tcW w:w="2446" w:type="dxa"/>
            <w:tcBorders>
              <w:top w:val="nil"/>
              <w:left w:val="nil"/>
              <w:bottom w:val="nil"/>
              <w:right w:val="nil"/>
            </w:tcBorders>
            <w:noWrap/>
            <w:vAlign w:val="bottom"/>
            <w:hideMark/>
          </w:tcPr>
          <w:p w14:paraId="5827ACF4" w14:textId="77777777" w:rsidR="00E34E6B" w:rsidRPr="0090127C" w:rsidRDefault="00E34E6B" w:rsidP="00253CBB">
            <w:pPr>
              <w:rPr>
                <w:rFonts w:ascii="Arial" w:hAnsi="Arial" w:cs="Arial"/>
                <w:color w:val="000000"/>
                <w:sz w:val="22"/>
                <w:szCs w:val="22"/>
              </w:rPr>
            </w:pPr>
          </w:p>
        </w:tc>
        <w:tc>
          <w:tcPr>
            <w:tcW w:w="1211" w:type="dxa"/>
            <w:tcBorders>
              <w:top w:val="nil"/>
              <w:left w:val="nil"/>
              <w:bottom w:val="nil"/>
              <w:right w:val="nil"/>
            </w:tcBorders>
            <w:noWrap/>
            <w:vAlign w:val="bottom"/>
            <w:hideMark/>
          </w:tcPr>
          <w:p w14:paraId="0522F2C6"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28C83926"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24452885"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0C303542"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3077EEA2"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LR chi2(7)    = 178.96</w:t>
            </w:r>
          </w:p>
        </w:tc>
      </w:tr>
      <w:tr w:rsidR="00E34E6B" w:rsidRPr="005428D3" w14:paraId="7FC97988" w14:textId="77777777" w:rsidTr="00253CBB">
        <w:trPr>
          <w:trHeight w:val="299"/>
        </w:trPr>
        <w:tc>
          <w:tcPr>
            <w:tcW w:w="2446" w:type="dxa"/>
            <w:tcBorders>
              <w:top w:val="nil"/>
              <w:left w:val="nil"/>
              <w:bottom w:val="nil"/>
              <w:right w:val="nil"/>
            </w:tcBorders>
            <w:noWrap/>
            <w:vAlign w:val="bottom"/>
            <w:hideMark/>
          </w:tcPr>
          <w:p w14:paraId="22B19397" w14:textId="77777777" w:rsidR="00E34E6B" w:rsidRPr="0090127C" w:rsidRDefault="00E34E6B" w:rsidP="00253CBB">
            <w:pPr>
              <w:rPr>
                <w:rFonts w:ascii="Arial" w:hAnsi="Arial" w:cs="Arial"/>
                <w:color w:val="000000"/>
                <w:sz w:val="22"/>
                <w:szCs w:val="22"/>
              </w:rPr>
            </w:pPr>
          </w:p>
        </w:tc>
        <w:tc>
          <w:tcPr>
            <w:tcW w:w="1211" w:type="dxa"/>
            <w:tcBorders>
              <w:top w:val="nil"/>
              <w:left w:val="nil"/>
              <w:bottom w:val="nil"/>
              <w:right w:val="nil"/>
            </w:tcBorders>
            <w:noWrap/>
            <w:vAlign w:val="bottom"/>
            <w:hideMark/>
          </w:tcPr>
          <w:p w14:paraId="1177D1E3"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3CBBB6A0"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0859E4B5"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7BA7994A"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67B0AC28"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Prob &gt; chi2   = 0.0000</w:t>
            </w:r>
          </w:p>
        </w:tc>
      </w:tr>
      <w:tr w:rsidR="005428D3" w:rsidRPr="0090127C" w14:paraId="4D26CC8A" w14:textId="77777777" w:rsidTr="00253CBB">
        <w:trPr>
          <w:trHeight w:val="299"/>
        </w:trPr>
        <w:tc>
          <w:tcPr>
            <w:tcW w:w="3657" w:type="dxa"/>
            <w:gridSpan w:val="2"/>
            <w:tcBorders>
              <w:top w:val="nil"/>
              <w:left w:val="nil"/>
              <w:bottom w:val="nil"/>
              <w:right w:val="nil"/>
            </w:tcBorders>
            <w:noWrap/>
            <w:vAlign w:val="bottom"/>
            <w:hideMark/>
          </w:tcPr>
          <w:p w14:paraId="6F485209"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Log likelihood = -724.1067</w:t>
            </w:r>
          </w:p>
        </w:tc>
        <w:tc>
          <w:tcPr>
            <w:tcW w:w="1212" w:type="dxa"/>
            <w:tcBorders>
              <w:top w:val="nil"/>
              <w:left w:val="nil"/>
              <w:bottom w:val="nil"/>
              <w:right w:val="nil"/>
            </w:tcBorders>
            <w:noWrap/>
            <w:vAlign w:val="bottom"/>
            <w:hideMark/>
          </w:tcPr>
          <w:p w14:paraId="44801862" w14:textId="77777777" w:rsidR="00E34E6B" w:rsidRPr="0090127C" w:rsidRDefault="00E34E6B" w:rsidP="00253CBB">
            <w:pPr>
              <w:rPr>
                <w:rFonts w:ascii="Arial" w:hAnsi="Arial" w:cs="Arial"/>
                <w:color w:val="000000"/>
                <w:sz w:val="22"/>
                <w:szCs w:val="22"/>
              </w:rPr>
            </w:pPr>
          </w:p>
        </w:tc>
        <w:tc>
          <w:tcPr>
            <w:tcW w:w="1102" w:type="dxa"/>
            <w:tcBorders>
              <w:top w:val="nil"/>
              <w:left w:val="nil"/>
              <w:bottom w:val="nil"/>
              <w:right w:val="nil"/>
            </w:tcBorders>
            <w:noWrap/>
            <w:vAlign w:val="bottom"/>
            <w:hideMark/>
          </w:tcPr>
          <w:p w14:paraId="01343DD9"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4C3563EE" w14:textId="77777777" w:rsidR="00E34E6B" w:rsidRPr="0090127C" w:rsidRDefault="00E34E6B" w:rsidP="00253CBB">
            <w:pPr>
              <w:rPr>
                <w:rFonts w:ascii="Arial" w:hAnsi="Arial" w:cs="Arial"/>
              </w:rPr>
            </w:pPr>
          </w:p>
        </w:tc>
        <w:tc>
          <w:tcPr>
            <w:tcW w:w="2421" w:type="dxa"/>
            <w:gridSpan w:val="2"/>
            <w:tcBorders>
              <w:top w:val="nil"/>
              <w:left w:val="nil"/>
              <w:bottom w:val="nil"/>
              <w:right w:val="nil"/>
            </w:tcBorders>
            <w:noWrap/>
            <w:vAlign w:val="bottom"/>
            <w:hideMark/>
          </w:tcPr>
          <w:p w14:paraId="374780D9"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Pseudo R2     = 0.</w:t>
            </w:r>
            <w:r w:rsidRPr="005428D3">
              <w:rPr>
                <w:rFonts w:ascii="Arial" w:hAnsi="Arial" w:cs="Arial"/>
                <w:color w:val="000000"/>
                <w:sz w:val="22"/>
                <w:szCs w:val="22"/>
              </w:rPr>
              <w:t>525</w:t>
            </w:r>
            <w:r w:rsidRPr="0090127C">
              <w:rPr>
                <w:rFonts w:ascii="Arial" w:hAnsi="Arial" w:cs="Arial"/>
                <w:color w:val="000000"/>
                <w:sz w:val="22"/>
                <w:szCs w:val="22"/>
              </w:rPr>
              <w:t>0</w:t>
            </w:r>
          </w:p>
        </w:tc>
      </w:tr>
      <w:tr w:rsidR="00E34E6B" w:rsidRPr="005428D3" w14:paraId="7558B385" w14:textId="77777777" w:rsidTr="00253CBB">
        <w:trPr>
          <w:trHeight w:val="199"/>
        </w:trPr>
        <w:tc>
          <w:tcPr>
            <w:tcW w:w="2446" w:type="dxa"/>
            <w:tcBorders>
              <w:top w:val="nil"/>
              <w:left w:val="nil"/>
              <w:bottom w:val="nil"/>
              <w:right w:val="nil"/>
            </w:tcBorders>
            <w:noWrap/>
            <w:vAlign w:val="bottom"/>
            <w:hideMark/>
          </w:tcPr>
          <w:p w14:paraId="64819D73" w14:textId="77777777" w:rsidR="00E34E6B" w:rsidRPr="0090127C" w:rsidRDefault="00E34E6B" w:rsidP="00253CBB">
            <w:pPr>
              <w:rPr>
                <w:rFonts w:ascii="Arial" w:hAnsi="Arial" w:cs="Arial"/>
                <w:color w:val="000000"/>
                <w:sz w:val="22"/>
                <w:szCs w:val="22"/>
              </w:rPr>
            </w:pPr>
          </w:p>
        </w:tc>
        <w:tc>
          <w:tcPr>
            <w:tcW w:w="1211" w:type="dxa"/>
            <w:tcBorders>
              <w:top w:val="nil"/>
              <w:left w:val="nil"/>
              <w:bottom w:val="nil"/>
              <w:right w:val="nil"/>
            </w:tcBorders>
            <w:noWrap/>
            <w:vAlign w:val="bottom"/>
            <w:hideMark/>
          </w:tcPr>
          <w:p w14:paraId="5B824461" w14:textId="77777777" w:rsidR="00E34E6B" w:rsidRPr="0090127C" w:rsidRDefault="00E34E6B" w:rsidP="00253CBB">
            <w:pPr>
              <w:rPr>
                <w:rFonts w:ascii="Arial" w:hAnsi="Arial" w:cs="Arial"/>
              </w:rPr>
            </w:pPr>
          </w:p>
        </w:tc>
        <w:tc>
          <w:tcPr>
            <w:tcW w:w="1212" w:type="dxa"/>
            <w:tcBorders>
              <w:top w:val="nil"/>
              <w:left w:val="nil"/>
              <w:bottom w:val="nil"/>
              <w:right w:val="nil"/>
            </w:tcBorders>
            <w:noWrap/>
            <w:vAlign w:val="bottom"/>
            <w:hideMark/>
          </w:tcPr>
          <w:p w14:paraId="2F8623E4"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481BB5D3" w14:textId="77777777" w:rsidR="00E34E6B" w:rsidRPr="0090127C" w:rsidRDefault="00E34E6B" w:rsidP="00253CBB">
            <w:pPr>
              <w:rPr>
                <w:rFonts w:ascii="Arial" w:hAnsi="Arial" w:cs="Arial"/>
              </w:rPr>
            </w:pPr>
          </w:p>
        </w:tc>
        <w:tc>
          <w:tcPr>
            <w:tcW w:w="1102" w:type="dxa"/>
            <w:tcBorders>
              <w:top w:val="nil"/>
              <w:left w:val="nil"/>
              <w:bottom w:val="nil"/>
              <w:right w:val="nil"/>
            </w:tcBorders>
            <w:noWrap/>
            <w:vAlign w:val="bottom"/>
            <w:hideMark/>
          </w:tcPr>
          <w:p w14:paraId="6A1B2AE1" w14:textId="77777777" w:rsidR="00E34E6B" w:rsidRPr="0090127C" w:rsidRDefault="00E34E6B" w:rsidP="00253CBB">
            <w:pPr>
              <w:rPr>
                <w:rFonts w:ascii="Arial" w:hAnsi="Arial" w:cs="Arial"/>
              </w:rPr>
            </w:pPr>
          </w:p>
        </w:tc>
        <w:tc>
          <w:tcPr>
            <w:tcW w:w="1210" w:type="dxa"/>
            <w:tcBorders>
              <w:top w:val="nil"/>
              <w:left w:val="nil"/>
              <w:bottom w:val="nil"/>
              <w:right w:val="nil"/>
            </w:tcBorders>
            <w:noWrap/>
            <w:vAlign w:val="bottom"/>
            <w:hideMark/>
          </w:tcPr>
          <w:p w14:paraId="2F48E1AA" w14:textId="77777777" w:rsidR="00E34E6B" w:rsidRPr="0090127C" w:rsidRDefault="00E34E6B" w:rsidP="00253CBB">
            <w:pPr>
              <w:rPr>
                <w:rFonts w:ascii="Arial" w:hAnsi="Arial" w:cs="Arial"/>
              </w:rPr>
            </w:pPr>
          </w:p>
        </w:tc>
        <w:tc>
          <w:tcPr>
            <w:tcW w:w="1211" w:type="dxa"/>
            <w:tcBorders>
              <w:top w:val="nil"/>
              <w:left w:val="nil"/>
              <w:bottom w:val="nil"/>
              <w:right w:val="nil"/>
            </w:tcBorders>
            <w:noWrap/>
            <w:vAlign w:val="bottom"/>
            <w:hideMark/>
          </w:tcPr>
          <w:p w14:paraId="1A060E20" w14:textId="77777777" w:rsidR="00E34E6B" w:rsidRPr="0090127C" w:rsidRDefault="00E34E6B" w:rsidP="00253CBB">
            <w:pPr>
              <w:rPr>
                <w:rFonts w:ascii="Arial" w:hAnsi="Arial" w:cs="Arial"/>
              </w:rPr>
            </w:pPr>
          </w:p>
        </w:tc>
      </w:tr>
      <w:tr w:rsidR="00E34E6B" w:rsidRPr="005428D3" w14:paraId="0C711A06" w14:textId="77777777" w:rsidTr="00253CBB">
        <w:trPr>
          <w:trHeight w:val="599"/>
        </w:trPr>
        <w:tc>
          <w:tcPr>
            <w:tcW w:w="2446" w:type="dxa"/>
            <w:tcBorders>
              <w:top w:val="single" w:sz="4" w:space="0" w:color="auto"/>
              <w:left w:val="nil"/>
              <w:bottom w:val="single" w:sz="4" w:space="0" w:color="auto"/>
              <w:right w:val="single" w:sz="4" w:space="0" w:color="auto"/>
            </w:tcBorders>
            <w:noWrap/>
            <w:vAlign w:val="bottom"/>
            <w:hideMark/>
          </w:tcPr>
          <w:p w14:paraId="66EBE39C"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Nutritional Practices</w:t>
            </w:r>
          </w:p>
        </w:tc>
        <w:tc>
          <w:tcPr>
            <w:tcW w:w="1211" w:type="dxa"/>
            <w:tcBorders>
              <w:top w:val="single" w:sz="4" w:space="0" w:color="auto"/>
              <w:left w:val="nil"/>
              <w:bottom w:val="single" w:sz="4" w:space="0" w:color="auto"/>
              <w:right w:val="nil"/>
            </w:tcBorders>
            <w:noWrap/>
            <w:vAlign w:val="bottom"/>
            <w:hideMark/>
          </w:tcPr>
          <w:p w14:paraId="0287BFE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Odds ratio</w:t>
            </w:r>
          </w:p>
        </w:tc>
        <w:tc>
          <w:tcPr>
            <w:tcW w:w="1212" w:type="dxa"/>
            <w:tcBorders>
              <w:top w:val="single" w:sz="4" w:space="0" w:color="auto"/>
              <w:left w:val="nil"/>
              <w:bottom w:val="single" w:sz="4" w:space="0" w:color="auto"/>
              <w:right w:val="nil"/>
            </w:tcBorders>
            <w:noWrap/>
            <w:vAlign w:val="bottom"/>
            <w:hideMark/>
          </w:tcPr>
          <w:p w14:paraId="2CD9A76F"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 xml:space="preserve">Std. </w:t>
            </w:r>
            <w:proofErr w:type="gramStart"/>
            <w:r w:rsidRPr="0090127C">
              <w:rPr>
                <w:rFonts w:ascii="Arial" w:hAnsi="Arial" w:cs="Arial"/>
                <w:color w:val="000000"/>
                <w:sz w:val="22"/>
                <w:szCs w:val="22"/>
              </w:rPr>
              <w:t>err</w:t>
            </w:r>
            <w:proofErr w:type="gramEnd"/>
            <w:r w:rsidRPr="0090127C">
              <w:rPr>
                <w:rFonts w:ascii="Arial" w:hAnsi="Arial" w:cs="Arial"/>
                <w:color w:val="000000"/>
                <w:sz w:val="22"/>
                <w:szCs w:val="22"/>
              </w:rPr>
              <w:t>.</w:t>
            </w:r>
          </w:p>
        </w:tc>
        <w:tc>
          <w:tcPr>
            <w:tcW w:w="1102" w:type="dxa"/>
            <w:tcBorders>
              <w:top w:val="single" w:sz="4" w:space="0" w:color="auto"/>
              <w:left w:val="nil"/>
              <w:bottom w:val="single" w:sz="4" w:space="0" w:color="auto"/>
              <w:right w:val="nil"/>
            </w:tcBorders>
            <w:noWrap/>
            <w:vAlign w:val="bottom"/>
            <w:hideMark/>
          </w:tcPr>
          <w:p w14:paraId="34F90EB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z</w:t>
            </w:r>
          </w:p>
        </w:tc>
        <w:tc>
          <w:tcPr>
            <w:tcW w:w="1102" w:type="dxa"/>
            <w:tcBorders>
              <w:top w:val="single" w:sz="4" w:space="0" w:color="auto"/>
              <w:left w:val="nil"/>
              <w:bottom w:val="single" w:sz="4" w:space="0" w:color="auto"/>
              <w:right w:val="nil"/>
            </w:tcBorders>
            <w:noWrap/>
            <w:vAlign w:val="bottom"/>
            <w:hideMark/>
          </w:tcPr>
          <w:p w14:paraId="51B74918"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P&gt;z</w:t>
            </w:r>
          </w:p>
        </w:tc>
        <w:tc>
          <w:tcPr>
            <w:tcW w:w="1210" w:type="dxa"/>
            <w:tcBorders>
              <w:top w:val="single" w:sz="4" w:space="0" w:color="auto"/>
              <w:left w:val="nil"/>
              <w:bottom w:val="single" w:sz="4" w:space="0" w:color="auto"/>
              <w:right w:val="nil"/>
            </w:tcBorders>
            <w:noWrap/>
            <w:vAlign w:val="bottom"/>
            <w:hideMark/>
          </w:tcPr>
          <w:p w14:paraId="7F7BEECA"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[95% conf.</w:t>
            </w:r>
          </w:p>
        </w:tc>
        <w:tc>
          <w:tcPr>
            <w:tcW w:w="1211" w:type="dxa"/>
            <w:tcBorders>
              <w:top w:val="single" w:sz="4" w:space="0" w:color="auto"/>
              <w:left w:val="nil"/>
              <w:bottom w:val="single" w:sz="4" w:space="0" w:color="auto"/>
              <w:right w:val="nil"/>
            </w:tcBorders>
            <w:noWrap/>
            <w:vAlign w:val="bottom"/>
            <w:hideMark/>
          </w:tcPr>
          <w:p w14:paraId="5084A9C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interval]</w:t>
            </w:r>
          </w:p>
        </w:tc>
      </w:tr>
      <w:tr w:rsidR="00E34E6B" w:rsidRPr="005428D3" w14:paraId="399219D9" w14:textId="77777777" w:rsidTr="00253CBB">
        <w:trPr>
          <w:trHeight w:val="299"/>
        </w:trPr>
        <w:tc>
          <w:tcPr>
            <w:tcW w:w="2446" w:type="dxa"/>
            <w:tcBorders>
              <w:top w:val="nil"/>
              <w:left w:val="nil"/>
              <w:bottom w:val="nil"/>
              <w:right w:val="single" w:sz="4" w:space="0" w:color="auto"/>
            </w:tcBorders>
            <w:noWrap/>
            <w:vAlign w:val="bottom"/>
            <w:hideMark/>
          </w:tcPr>
          <w:p w14:paraId="6A00018A"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w:t>
            </w:r>
          </w:p>
        </w:tc>
        <w:tc>
          <w:tcPr>
            <w:tcW w:w="1211" w:type="dxa"/>
            <w:tcBorders>
              <w:top w:val="nil"/>
              <w:left w:val="nil"/>
              <w:bottom w:val="nil"/>
              <w:right w:val="nil"/>
            </w:tcBorders>
            <w:noWrap/>
            <w:vAlign w:val="bottom"/>
            <w:hideMark/>
          </w:tcPr>
          <w:p w14:paraId="1D47EF2A"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6BAEE48A"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2F826A82"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393CD81E"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6E3BB709"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03E9C0B2" w14:textId="77777777" w:rsidR="00E34E6B" w:rsidRPr="0090127C" w:rsidRDefault="00E34E6B" w:rsidP="00253CBB">
            <w:pPr>
              <w:jc w:val="right"/>
              <w:rPr>
                <w:rFonts w:ascii="Arial" w:hAnsi="Arial" w:cs="Arial"/>
              </w:rPr>
            </w:pPr>
          </w:p>
        </w:tc>
      </w:tr>
      <w:tr w:rsidR="00E34E6B" w:rsidRPr="005428D3" w14:paraId="7817F40B" w14:textId="77777777" w:rsidTr="00253CBB">
        <w:trPr>
          <w:trHeight w:val="299"/>
        </w:trPr>
        <w:tc>
          <w:tcPr>
            <w:tcW w:w="2446" w:type="dxa"/>
            <w:tcBorders>
              <w:top w:val="nil"/>
              <w:left w:val="nil"/>
              <w:bottom w:val="nil"/>
              <w:right w:val="single" w:sz="4" w:space="0" w:color="auto"/>
            </w:tcBorders>
            <w:noWrap/>
            <w:vAlign w:val="bottom"/>
            <w:hideMark/>
          </w:tcPr>
          <w:p w14:paraId="34F6619D" w14:textId="77777777" w:rsidR="00E34E6B" w:rsidRPr="0090127C" w:rsidRDefault="00E34E6B" w:rsidP="00253CBB">
            <w:pPr>
              <w:rPr>
                <w:rFonts w:ascii="Arial" w:hAnsi="Arial" w:cs="Arial"/>
                <w:b/>
                <w:bCs/>
                <w:color w:val="000000"/>
                <w:sz w:val="22"/>
                <w:szCs w:val="22"/>
              </w:rPr>
            </w:pPr>
            <w:r w:rsidRPr="0090127C">
              <w:rPr>
                <w:rFonts w:ascii="Arial" w:hAnsi="Arial" w:cs="Arial"/>
                <w:b/>
                <w:bCs/>
                <w:color w:val="000000"/>
                <w:sz w:val="22"/>
                <w:szCs w:val="22"/>
              </w:rPr>
              <w:t>Nutritional Care</w:t>
            </w:r>
          </w:p>
        </w:tc>
        <w:tc>
          <w:tcPr>
            <w:tcW w:w="1211" w:type="dxa"/>
            <w:tcBorders>
              <w:top w:val="nil"/>
              <w:left w:val="nil"/>
              <w:bottom w:val="nil"/>
              <w:right w:val="nil"/>
            </w:tcBorders>
            <w:noWrap/>
            <w:vAlign w:val="bottom"/>
            <w:hideMark/>
          </w:tcPr>
          <w:p w14:paraId="6B0B9E52"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37C5AB46"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35485D18"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34283231"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051A5ECA"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5FB32ED1" w14:textId="77777777" w:rsidR="00E34E6B" w:rsidRPr="0090127C" w:rsidRDefault="00E34E6B" w:rsidP="00253CBB">
            <w:pPr>
              <w:jc w:val="right"/>
              <w:rPr>
                <w:rFonts w:ascii="Arial" w:hAnsi="Arial" w:cs="Arial"/>
              </w:rPr>
            </w:pPr>
          </w:p>
        </w:tc>
      </w:tr>
      <w:tr w:rsidR="00E34E6B" w:rsidRPr="005428D3" w14:paraId="0365A7AC" w14:textId="77777777" w:rsidTr="00253CBB">
        <w:trPr>
          <w:trHeight w:val="299"/>
        </w:trPr>
        <w:tc>
          <w:tcPr>
            <w:tcW w:w="2446" w:type="dxa"/>
            <w:tcBorders>
              <w:top w:val="nil"/>
              <w:left w:val="nil"/>
              <w:bottom w:val="nil"/>
              <w:right w:val="single" w:sz="4" w:space="0" w:color="auto"/>
            </w:tcBorders>
            <w:noWrap/>
            <w:vAlign w:val="bottom"/>
            <w:hideMark/>
          </w:tcPr>
          <w:p w14:paraId="49FA4E52"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F</w:t>
            </w:r>
            <w:r w:rsidRPr="0090127C">
              <w:rPr>
                <w:rFonts w:ascii="Arial" w:hAnsi="Arial" w:cs="Arial"/>
                <w:color w:val="000000"/>
                <w:sz w:val="22"/>
                <w:szCs w:val="22"/>
              </w:rPr>
              <w:t>air</w:t>
            </w:r>
          </w:p>
        </w:tc>
        <w:tc>
          <w:tcPr>
            <w:tcW w:w="1211" w:type="dxa"/>
            <w:tcBorders>
              <w:top w:val="nil"/>
              <w:left w:val="nil"/>
              <w:bottom w:val="nil"/>
              <w:right w:val="nil"/>
            </w:tcBorders>
            <w:noWrap/>
            <w:vAlign w:val="bottom"/>
            <w:hideMark/>
          </w:tcPr>
          <w:p w14:paraId="229B713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3.483628</w:t>
            </w:r>
          </w:p>
        </w:tc>
        <w:tc>
          <w:tcPr>
            <w:tcW w:w="1212" w:type="dxa"/>
            <w:tcBorders>
              <w:top w:val="nil"/>
              <w:left w:val="nil"/>
              <w:bottom w:val="nil"/>
              <w:right w:val="nil"/>
            </w:tcBorders>
            <w:noWrap/>
            <w:vAlign w:val="bottom"/>
            <w:hideMark/>
          </w:tcPr>
          <w:p w14:paraId="4053F5A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4.163875</w:t>
            </w:r>
          </w:p>
        </w:tc>
        <w:tc>
          <w:tcPr>
            <w:tcW w:w="1102" w:type="dxa"/>
            <w:tcBorders>
              <w:top w:val="nil"/>
              <w:left w:val="nil"/>
              <w:bottom w:val="nil"/>
              <w:right w:val="nil"/>
            </w:tcBorders>
            <w:noWrap/>
            <w:vAlign w:val="bottom"/>
            <w:hideMark/>
          </w:tcPr>
          <w:p w14:paraId="7003958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3.06</w:t>
            </w:r>
          </w:p>
        </w:tc>
        <w:tc>
          <w:tcPr>
            <w:tcW w:w="1102" w:type="dxa"/>
            <w:tcBorders>
              <w:top w:val="nil"/>
              <w:left w:val="nil"/>
              <w:bottom w:val="nil"/>
              <w:right w:val="nil"/>
            </w:tcBorders>
            <w:noWrap/>
            <w:vAlign w:val="bottom"/>
            <w:hideMark/>
          </w:tcPr>
          <w:p w14:paraId="548C4D09"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0.0020</w:t>
            </w:r>
          </w:p>
        </w:tc>
        <w:tc>
          <w:tcPr>
            <w:tcW w:w="1210" w:type="dxa"/>
            <w:tcBorders>
              <w:top w:val="nil"/>
              <w:left w:val="nil"/>
              <w:bottom w:val="nil"/>
              <w:right w:val="nil"/>
            </w:tcBorders>
            <w:noWrap/>
            <w:vAlign w:val="bottom"/>
            <w:hideMark/>
          </w:tcPr>
          <w:p w14:paraId="257428D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1.976809</w:t>
            </w:r>
          </w:p>
        </w:tc>
        <w:tc>
          <w:tcPr>
            <w:tcW w:w="1211" w:type="dxa"/>
            <w:tcBorders>
              <w:top w:val="nil"/>
              <w:left w:val="nil"/>
              <w:bottom w:val="nil"/>
              <w:right w:val="nil"/>
            </w:tcBorders>
            <w:noWrap/>
            <w:vAlign w:val="bottom"/>
            <w:hideMark/>
          </w:tcPr>
          <w:p w14:paraId="744E8588"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22.65603</w:t>
            </w:r>
          </w:p>
        </w:tc>
      </w:tr>
      <w:tr w:rsidR="00E34E6B" w:rsidRPr="005428D3" w14:paraId="4BF73E49" w14:textId="77777777" w:rsidTr="00253CBB">
        <w:trPr>
          <w:trHeight w:val="299"/>
        </w:trPr>
        <w:tc>
          <w:tcPr>
            <w:tcW w:w="2446" w:type="dxa"/>
            <w:tcBorders>
              <w:top w:val="nil"/>
              <w:left w:val="nil"/>
              <w:bottom w:val="nil"/>
              <w:right w:val="single" w:sz="4" w:space="0" w:color="auto"/>
            </w:tcBorders>
            <w:noWrap/>
            <w:vAlign w:val="bottom"/>
            <w:hideMark/>
          </w:tcPr>
          <w:p w14:paraId="6DDE2F4C"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G</w:t>
            </w:r>
            <w:r w:rsidRPr="0090127C">
              <w:rPr>
                <w:rFonts w:ascii="Arial" w:hAnsi="Arial" w:cs="Arial"/>
                <w:color w:val="000000"/>
                <w:sz w:val="22"/>
                <w:szCs w:val="22"/>
              </w:rPr>
              <w:t>ood</w:t>
            </w:r>
          </w:p>
        </w:tc>
        <w:tc>
          <w:tcPr>
            <w:tcW w:w="1211" w:type="dxa"/>
            <w:tcBorders>
              <w:top w:val="nil"/>
              <w:left w:val="nil"/>
              <w:bottom w:val="nil"/>
              <w:right w:val="nil"/>
            </w:tcBorders>
            <w:noWrap/>
            <w:vAlign w:val="bottom"/>
            <w:hideMark/>
          </w:tcPr>
          <w:p w14:paraId="7FC9713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3.64728</w:t>
            </w:r>
          </w:p>
        </w:tc>
        <w:tc>
          <w:tcPr>
            <w:tcW w:w="1212" w:type="dxa"/>
            <w:tcBorders>
              <w:top w:val="nil"/>
              <w:left w:val="nil"/>
              <w:bottom w:val="nil"/>
              <w:right w:val="nil"/>
            </w:tcBorders>
            <w:noWrap/>
            <w:vAlign w:val="bottom"/>
            <w:hideMark/>
          </w:tcPr>
          <w:p w14:paraId="6E0844EE"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2.200031</w:t>
            </w:r>
          </w:p>
        </w:tc>
        <w:tc>
          <w:tcPr>
            <w:tcW w:w="1102" w:type="dxa"/>
            <w:tcBorders>
              <w:top w:val="nil"/>
              <w:left w:val="nil"/>
              <w:bottom w:val="nil"/>
              <w:right w:val="nil"/>
            </w:tcBorders>
            <w:noWrap/>
            <w:vAlign w:val="bottom"/>
            <w:hideMark/>
          </w:tcPr>
          <w:p w14:paraId="4E49607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2.15</w:t>
            </w:r>
          </w:p>
        </w:tc>
        <w:tc>
          <w:tcPr>
            <w:tcW w:w="1102" w:type="dxa"/>
            <w:tcBorders>
              <w:top w:val="nil"/>
              <w:left w:val="nil"/>
              <w:bottom w:val="nil"/>
              <w:right w:val="nil"/>
            </w:tcBorders>
            <w:noWrap/>
            <w:vAlign w:val="bottom"/>
            <w:hideMark/>
          </w:tcPr>
          <w:p w14:paraId="70066E66"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0.0320</w:t>
            </w:r>
          </w:p>
        </w:tc>
        <w:tc>
          <w:tcPr>
            <w:tcW w:w="1210" w:type="dxa"/>
            <w:tcBorders>
              <w:top w:val="nil"/>
              <w:left w:val="nil"/>
              <w:bottom w:val="nil"/>
              <w:right w:val="nil"/>
            </w:tcBorders>
            <w:noWrap/>
            <w:vAlign w:val="bottom"/>
            <w:hideMark/>
          </w:tcPr>
          <w:p w14:paraId="41C62F99"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1.118217</w:t>
            </w:r>
          </w:p>
        </w:tc>
        <w:tc>
          <w:tcPr>
            <w:tcW w:w="1211" w:type="dxa"/>
            <w:tcBorders>
              <w:top w:val="nil"/>
              <w:left w:val="nil"/>
              <w:bottom w:val="nil"/>
              <w:right w:val="nil"/>
            </w:tcBorders>
            <w:noWrap/>
            <w:vAlign w:val="bottom"/>
            <w:hideMark/>
          </w:tcPr>
          <w:p w14:paraId="6B1CD3D3"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11.8963</w:t>
            </w:r>
          </w:p>
        </w:tc>
      </w:tr>
      <w:tr w:rsidR="00E34E6B" w:rsidRPr="005428D3" w14:paraId="25BB02CB" w14:textId="77777777" w:rsidTr="00253CBB">
        <w:trPr>
          <w:trHeight w:val="299"/>
        </w:trPr>
        <w:tc>
          <w:tcPr>
            <w:tcW w:w="2446" w:type="dxa"/>
            <w:tcBorders>
              <w:top w:val="nil"/>
              <w:left w:val="nil"/>
              <w:bottom w:val="nil"/>
              <w:right w:val="single" w:sz="4" w:space="0" w:color="auto"/>
            </w:tcBorders>
            <w:noWrap/>
            <w:vAlign w:val="bottom"/>
            <w:hideMark/>
          </w:tcPr>
          <w:p w14:paraId="671D6171"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E</w:t>
            </w:r>
            <w:r w:rsidRPr="0090127C">
              <w:rPr>
                <w:rFonts w:ascii="Arial" w:hAnsi="Arial" w:cs="Arial"/>
                <w:color w:val="000000"/>
                <w:sz w:val="22"/>
                <w:szCs w:val="22"/>
              </w:rPr>
              <w:t>xcellent</w:t>
            </w:r>
          </w:p>
        </w:tc>
        <w:tc>
          <w:tcPr>
            <w:tcW w:w="1211" w:type="dxa"/>
            <w:tcBorders>
              <w:top w:val="nil"/>
              <w:left w:val="nil"/>
              <w:bottom w:val="nil"/>
              <w:right w:val="nil"/>
            </w:tcBorders>
            <w:noWrap/>
            <w:vAlign w:val="bottom"/>
            <w:hideMark/>
          </w:tcPr>
          <w:p w14:paraId="6D300D9B"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6.692283</w:t>
            </w:r>
          </w:p>
        </w:tc>
        <w:tc>
          <w:tcPr>
            <w:tcW w:w="1212" w:type="dxa"/>
            <w:tcBorders>
              <w:top w:val="nil"/>
              <w:left w:val="nil"/>
              <w:bottom w:val="nil"/>
              <w:right w:val="nil"/>
            </w:tcBorders>
            <w:noWrap/>
            <w:vAlign w:val="bottom"/>
            <w:hideMark/>
          </w:tcPr>
          <w:p w14:paraId="6786E02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2.067193</w:t>
            </w:r>
          </w:p>
        </w:tc>
        <w:tc>
          <w:tcPr>
            <w:tcW w:w="1102" w:type="dxa"/>
            <w:tcBorders>
              <w:top w:val="nil"/>
              <w:left w:val="nil"/>
              <w:bottom w:val="nil"/>
              <w:right w:val="nil"/>
            </w:tcBorders>
            <w:noWrap/>
            <w:vAlign w:val="bottom"/>
            <w:hideMark/>
          </w:tcPr>
          <w:p w14:paraId="3C531BB4"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2.1</w:t>
            </w:r>
          </w:p>
        </w:tc>
        <w:tc>
          <w:tcPr>
            <w:tcW w:w="1102" w:type="dxa"/>
            <w:tcBorders>
              <w:top w:val="nil"/>
              <w:left w:val="nil"/>
              <w:bottom w:val="nil"/>
              <w:right w:val="nil"/>
            </w:tcBorders>
            <w:noWrap/>
            <w:vAlign w:val="bottom"/>
            <w:hideMark/>
          </w:tcPr>
          <w:p w14:paraId="5B5A9DCF"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0.0350</w:t>
            </w:r>
          </w:p>
        </w:tc>
        <w:tc>
          <w:tcPr>
            <w:tcW w:w="1210" w:type="dxa"/>
            <w:tcBorders>
              <w:top w:val="nil"/>
              <w:left w:val="nil"/>
              <w:bottom w:val="nil"/>
              <w:right w:val="nil"/>
            </w:tcBorders>
            <w:noWrap/>
            <w:vAlign w:val="bottom"/>
            <w:hideMark/>
          </w:tcPr>
          <w:p w14:paraId="3E64EABC"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1.088746</w:t>
            </w:r>
          </w:p>
        </w:tc>
        <w:tc>
          <w:tcPr>
            <w:tcW w:w="1211" w:type="dxa"/>
            <w:tcBorders>
              <w:top w:val="nil"/>
              <w:left w:val="nil"/>
              <w:bottom w:val="nil"/>
              <w:right w:val="nil"/>
            </w:tcBorders>
            <w:noWrap/>
            <w:vAlign w:val="bottom"/>
            <w:hideMark/>
          </w:tcPr>
          <w:p w14:paraId="408E14A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11.14645</w:t>
            </w:r>
          </w:p>
        </w:tc>
      </w:tr>
      <w:tr w:rsidR="00E34E6B" w:rsidRPr="005428D3" w14:paraId="2B707929" w14:textId="77777777" w:rsidTr="00253CBB">
        <w:trPr>
          <w:trHeight w:val="299"/>
        </w:trPr>
        <w:tc>
          <w:tcPr>
            <w:tcW w:w="2446" w:type="dxa"/>
            <w:tcBorders>
              <w:top w:val="nil"/>
              <w:left w:val="nil"/>
              <w:bottom w:val="nil"/>
              <w:right w:val="single" w:sz="4" w:space="0" w:color="auto"/>
            </w:tcBorders>
            <w:noWrap/>
            <w:vAlign w:val="bottom"/>
            <w:hideMark/>
          </w:tcPr>
          <w:p w14:paraId="1266DB19"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w:t>
            </w:r>
          </w:p>
        </w:tc>
        <w:tc>
          <w:tcPr>
            <w:tcW w:w="1211" w:type="dxa"/>
            <w:tcBorders>
              <w:top w:val="nil"/>
              <w:left w:val="nil"/>
              <w:bottom w:val="nil"/>
              <w:right w:val="nil"/>
            </w:tcBorders>
            <w:noWrap/>
            <w:vAlign w:val="bottom"/>
            <w:hideMark/>
          </w:tcPr>
          <w:p w14:paraId="0EF00E26"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2A5B86E5"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1452D6C9"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49069D75"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1DD37370"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540052AC" w14:textId="77777777" w:rsidR="00E34E6B" w:rsidRPr="0090127C" w:rsidRDefault="00E34E6B" w:rsidP="00253CBB">
            <w:pPr>
              <w:jc w:val="right"/>
              <w:rPr>
                <w:rFonts w:ascii="Arial" w:hAnsi="Arial" w:cs="Arial"/>
              </w:rPr>
            </w:pPr>
          </w:p>
        </w:tc>
      </w:tr>
      <w:tr w:rsidR="00E34E6B" w:rsidRPr="005428D3" w14:paraId="752B4676" w14:textId="77777777" w:rsidTr="00253CBB">
        <w:trPr>
          <w:trHeight w:val="299"/>
        </w:trPr>
        <w:tc>
          <w:tcPr>
            <w:tcW w:w="2446" w:type="dxa"/>
            <w:tcBorders>
              <w:top w:val="nil"/>
              <w:left w:val="nil"/>
              <w:bottom w:val="nil"/>
              <w:right w:val="single" w:sz="4" w:space="0" w:color="auto"/>
            </w:tcBorders>
            <w:noWrap/>
            <w:vAlign w:val="bottom"/>
            <w:hideMark/>
          </w:tcPr>
          <w:p w14:paraId="14E4EA38" w14:textId="77777777" w:rsidR="00E34E6B" w:rsidRPr="0090127C" w:rsidRDefault="00E34E6B" w:rsidP="00253CBB">
            <w:pPr>
              <w:rPr>
                <w:rFonts w:ascii="Arial" w:hAnsi="Arial" w:cs="Arial"/>
                <w:b/>
                <w:bCs/>
                <w:color w:val="000000"/>
                <w:sz w:val="22"/>
                <w:szCs w:val="22"/>
              </w:rPr>
            </w:pPr>
            <w:r w:rsidRPr="0090127C">
              <w:rPr>
                <w:rFonts w:ascii="Arial" w:hAnsi="Arial" w:cs="Arial"/>
                <w:b/>
                <w:bCs/>
                <w:color w:val="000000"/>
                <w:sz w:val="22"/>
                <w:szCs w:val="22"/>
              </w:rPr>
              <w:t>Highest Education Level</w:t>
            </w:r>
          </w:p>
        </w:tc>
        <w:tc>
          <w:tcPr>
            <w:tcW w:w="1211" w:type="dxa"/>
            <w:tcBorders>
              <w:top w:val="nil"/>
              <w:left w:val="nil"/>
              <w:bottom w:val="nil"/>
              <w:right w:val="nil"/>
            </w:tcBorders>
            <w:noWrap/>
            <w:vAlign w:val="bottom"/>
            <w:hideMark/>
          </w:tcPr>
          <w:p w14:paraId="2CFA3565"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15DF2F5F"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2E291486"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79051751" w14:textId="77777777" w:rsidR="00E34E6B" w:rsidRPr="0090127C" w:rsidRDefault="00E34E6B" w:rsidP="00253CBB">
            <w:pPr>
              <w:jc w:val="right"/>
              <w:rPr>
                <w:rFonts w:ascii="Arial" w:hAnsi="Arial" w:cs="Arial"/>
              </w:rPr>
            </w:pPr>
          </w:p>
        </w:tc>
        <w:tc>
          <w:tcPr>
            <w:tcW w:w="1210" w:type="dxa"/>
            <w:tcBorders>
              <w:top w:val="nil"/>
              <w:left w:val="nil"/>
              <w:bottom w:val="nil"/>
              <w:right w:val="nil"/>
            </w:tcBorders>
            <w:noWrap/>
            <w:vAlign w:val="bottom"/>
            <w:hideMark/>
          </w:tcPr>
          <w:p w14:paraId="535C78EF"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1D984211" w14:textId="77777777" w:rsidR="00E34E6B" w:rsidRPr="0090127C" w:rsidRDefault="00E34E6B" w:rsidP="00253CBB">
            <w:pPr>
              <w:jc w:val="right"/>
              <w:rPr>
                <w:rFonts w:ascii="Arial" w:hAnsi="Arial" w:cs="Arial"/>
              </w:rPr>
            </w:pPr>
          </w:p>
        </w:tc>
      </w:tr>
      <w:tr w:rsidR="00E34E6B" w:rsidRPr="005428D3" w14:paraId="1F5C7E3E" w14:textId="77777777" w:rsidTr="00253CBB">
        <w:trPr>
          <w:trHeight w:val="299"/>
        </w:trPr>
        <w:tc>
          <w:tcPr>
            <w:tcW w:w="2446" w:type="dxa"/>
            <w:tcBorders>
              <w:top w:val="nil"/>
              <w:left w:val="nil"/>
              <w:bottom w:val="nil"/>
              <w:right w:val="single" w:sz="4" w:space="0" w:color="auto"/>
            </w:tcBorders>
            <w:noWrap/>
            <w:vAlign w:val="bottom"/>
            <w:hideMark/>
          </w:tcPr>
          <w:p w14:paraId="183B173A"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Bachelor’s Degree</w:t>
            </w:r>
          </w:p>
        </w:tc>
        <w:tc>
          <w:tcPr>
            <w:tcW w:w="1211" w:type="dxa"/>
            <w:tcBorders>
              <w:top w:val="nil"/>
              <w:left w:val="nil"/>
              <w:bottom w:val="nil"/>
              <w:right w:val="nil"/>
            </w:tcBorders>
            <w:noWrap/>
            <w:vAlign w:val="bottom"/>
            <w:hideMark/>
          </w:tcPr>
          <w:p w14:paraId="2DF6D76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0.578543</w:t>
            </w:r>
          </w:p>
        </w:tc>
        <w:tc>
          <w:tcPr>
            <w:tcW w:w="1212" w:type="dxa"/>
            <w:tcBorders>
              <w:top w:val="nil"/>
              <w:left w:val="nil"/>
              <w:bottom w:val="nil"/>
              <w:right w:val="nil"/>
            </w:tcBorders>
            <w:noWrap/>
            <w:vAlign w:val="bottom"/>
            <w:hideMark/>
          </w:tcPr>
          <w:p w14:paraId="71B1466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0.649438</w:t>
            </w:r>
          </w:p>
        </w:tc>
        <w:tc>
          <w:tcPr>
            <w:tcW w:w="1102" w:type="dxa"/>
            <w:tcBorders>
              <w:top w:val="nil"/>
              <w:left w:val="nil"/>
              <w:bottom w:val="nil"/>
              <w:right w:val="nil"/>
            </w:tcBorders>
            <w:noWrap/>
            <w:vAlign w:val="bottom"/>
            <w:hideMark/>
          </w:tcPr>
          <w:p w14:paraId="38E6D70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-0.49</w:t>
            </w:r>
          </w:p>
        </w:tc>
        <w:tc>
          <w:tcPr>
            <w:tcW w:w="1102" w:type="dxa"/>
            <w:tcBorders>
              <w:top w:val="nil"/>
              <w:left w:val="nil"/>
              <w:bottom w:val="nil"/>
              <w:right w:val="nil"/>
            </w:tcBorders>
            <w:noWrap/>
            <w:vAlign w:val="bottom"/>
            <w:hideMark/>
          </w:tcPr>
          <w:p w14:paraId="0AD3F9E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0.6260</w:t>
            </w:r>
          </w:p>
        </w:tc>
        <w:tc>
          <w:tcPr>
            <w:tcW w:w="1210" w:type="dxa"/>
            <w:tcBorders>
              <w:top w:val="nil"/>
              <w:left w:val="nil"/>
              <w:bottom w:val="nil"/>
              <w:right w:val="nil"/>
            </w:tcBorders>
            <w:noWrap/>
            <w:vAlign w:val="bottom"/>
            <w:hideMark/>
          </w:tcPr>
          <w:p w14:paraId="01266B3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0.064096</w:t>
            </w:r>
          </w:p>
        </w:tc>
        <w:tc>
          <w:tcPr>
            <w:tcW w:w="1211" w:type="dxa"/>
            <w:tcBorders>
              <w:top w:val="nil"/>
              <w:left w:val="nil"/>
              <w:bottom w:val="nil"/>
              <w:right w:val="nil"/>
            </w:tcBorders>
            <w:noWrap/>
            <w:vAlign w:val="bottom"/>
            <w:hideMark/>
          </w:tcPr>
          <w:p w14:paraId="39EB9FC1"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5.222081</w:t>
            </w:r>
          </w:p>
        </w:tc>
      </w:tr>
      <w:tr w:rsidR="00E34E6B" w:rsidRPr="005428D3" w14:paraId="2418C206" w14:textId="77777777" w:rsidTr="00253CBB">
        <w:trPr>
          <w:trHeight w:val="299"/>
        </w:trPr>
        <w:tc>
          <w:tcPr>
            <w:tcW w:w="2446" w:type="dxa"/>
            <w:tcBorders>
              <w:top w:val="nil"/>
              <w:left w:val="nil"/>
              <w:bottom w:val="nil"/>
              <w:right w:val="single" w:sz="4" w:space="0" w:color="auto"/>
            </w:tcBorders>
            <w:noWrap/>
            <w:vAlign w:val="bottom"/>
            <w:hideMark/>
          </w:tcPr>
          <w:p w14:paraId="3A63C845"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M</w:t>
            </w:r>
            <w:r w:rsidRPr="0090127C">
              <w:rPr>
                <w:rFonts w:ascii="Arial" w:hAnsi="Arial" w:cs="Arial"/>
                <w:color w:val="000000"/>
                <w:sz w:val="22"/>
                <w:szCs w:val="22"/>
              </w:rPr>
              <w:t>aster's</w:t>
            </w:r>
            <w:r w:rsidRPr="005428D3">
              <w:rPr>
                <w:rFonts w:ascii="Arial" w:hAnsi="Arial" w:cs="Arial"/>
                <w:color w:val="000000"/>
                <w:sz w:val="22"/>
                <w:szCs w:val="22"/>
              </w:rPr>
              <w:t xml:space="preserve"> Degree</w:t>
            </w:r>
          </w:p>
        </w:tc>
        <w:tc>
          <w:tcPr>
            <w:tcW w:w="1211" w:type="dxa"/>
            <w:tcBorders>
              <w:top w:val="nil"/>
              <w:left w:val="nil"/>
              <w:bottom w:val="nil"/>
              <w:right w:val="nil"/>
            </w:tcBorders>
            <w:noWrap/>
            <w:vAlign w:val="bottom"/>
            <w:hideMark/>
          </w:tcPr>
          <w:p w14:paraId="2106DE4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4.371893</w:t>
            </w:r>
          </w:p>
        </w:tc>
        <w:tc>
          <w:tcPr>
            <w:tcW w:w="1212" w:type="dxa"/>
            <w:tcBorders>
              <w:top w:val="nil"/>
              <w:left w:val="nil"/>
              <w:bottom w:val="nil"/>
              <w:right w:val="nil"/>
            </w:tcBorders>
            <w:noWrap/>
            <w:vAlign w:val="bottom"/>
            <w:hideMark/>
          </w:tcPr>
          <w:p w14:paraId="1F8B04A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0.578929</w:t>
            </w:r>
          </w:p>
        </w:tc>
        <w:tc>
          <w:tcPr>
            <w:tcW w:w="1102" w:type="dxa"/>
            <w:tcBorders>
              <w:top w:val="nil"/>
              <w:left w:val="nil"/>
              <w:bottom w:val="nil"/>
              <w:right w:val="nil"/>
            </w:tcBorders>
            <w:noWrap/>
            <w:vAlign w:val="bottom"/>
            <w:hideMark/>
          </w:tcPr>
          <w:p w14:paraId="333DEB29"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11.14</w:t>
            </w:r>
          </w:p>
        </w:tc>
        <w:tc>
          <w:tcPr>
            <w:tcW w:w="1102" w:type="dxa"/>
            <w:tcBorders>
              <w:top w:val="nil"/>
              <w:left w:val="nil"/>
              <w:bottom w:val="nil"/>
              <w:right w:val="nil"/>
            </w:tcBorders>
            <w:noWrap/>
            <w:vAlign w:val="bottom"/>
            <w:hideMark/>
          </w:tcPr>
          <w:p w14:paraId="697346BA"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0.0000</w:t>
            </w:r>
          </w:p>
        </w:tc>
        <w:tc>
          <w:tcPr>
            <w:tcW w:w="1210" w:type="dxa"/>
            <w:tcBorders>
              <w:top w:val="nil"/>
              <w:left w:val="nil"/>
              <w:bottom w:val="nil"/>
              <w:right w:val="nil"/>
            </w:tcBorders>
            <w:noWrap/>
            <w:vAlign w:val="bottom"/>
            <w:hideMark/>
          </w:tcPr>
          <w:p w14:paraId="066D4EA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3.372508</w:t>
            </w:r>
          </w:p>
        </w:tc>
        <w:tc>
          <w:tcPr>
            <w:tcW w:w="1211" w:type="dxa"/>
            <w:tcBorders>
              <w:top w:val="nil"/>
              <w:left w:val="nil"/>
              <w:bottom w:val="nil"/>
              <w:right w:val="nil"/>
            </w:tcBorders>
            <w:noWrap/>
            <w:vAlign w:val="bottom"/>
            <w:hideMark/>
          </w:tcPr>
          <w:p w14:paraId="2A6FF50D"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5.66743</w:t>
            </w:r>
          </w:p>
        </w:tc>
      </w:tr>
      <w:tr w:rsidR="00E34E6B" w:rsidRPr="005428D3" w14:paraId="4E434F1F" w14:textId="77777777" w:rsidTr="00253CBB">
        <w:trPr>
          <w:trHeight w:val="299"/>
        </w:trPr>
        <w:tc>
          <w:tcPr>
            <w:tcW w:w="2446" w:type="dxa"/>
            <w:tcBorders>
              <w:top w:val="nil"/>
              <w:left w:val="nil"/>
              <w:bottom w:val="nil"/>
              <w:right w:val="single" w:sz="4" w:space="0" w:color="auto"/>
            </w:tcBorders>
            <w:noWrap/>
            <w:vAlign w:val="bottom"/>
            <w:hideMark/>
          </w:tcPr>
          <w:p w14:paraId="64D832E6" w14:textId="77777777" w:rsidR="00E34E6B" w:rsidRPr="0090127C" w:rsidRDefault="00E34E6B" w:rsidP="00253CBB">
            <w:pPr>
              <w:rPr>
                <w:rFonts w:ascii="Arial" w:hAnsi="Arial" w:cs="Arial"/>
                <w:color w:val="000000"/>
                <w:sz w:val="22"/>
                <w:szCs w:val="22"/>
              </w:rPr>
            </w:pPr>
            <w:r w:rsidRPr="005428D3">
              <w:rPr>
                <w:rFonts w:ascii="Arial" w:hAnsi="Arial" w:cs="Arial"/>
                <w:color w:val="000000"/>
                <w:sz w:val="22"/>
                <w:szCs w:val="22"/>
              </w:rPr>
              <w:t>PhD</w:t>
            </w:r>
          </w:p>
        </w:tc>
        <w:tc>
          <w:tcPr>
            <w:tcW w:w="1211" w:type="dxa"/>
            <w:tcBorders>
              <w:top w:val="nil"/>
              <w:left w:val="nil"/>
              <w:bottom w:val="nil"/>
              <w:right w:val="nil"/>
            </w:tcBorders>
            <w:noWrap/>
            <w:vAlign w:val="bottom"/>
            <w:hideMark/>
          </w:tcPr>
          <w:p w14:paraId="55258FC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16.34995</w:t>
            </w:r>
          </w:p>
        </w:tc>
        <w:tc>
          <w:tcPr>
            <w:tcW w:w="1212" w:type="dxa"/>
            <w:tcBorders>
              <w:top w:val="nil"/>
              <w:left w:val="nil"/>
              <w:bottom w:val="nil"/>
              <w:right w:val="nil"/>
            </w:tcBorders>
            <w:noWrap/>
            <w:vAlign w:val="bottom"/>
            <w:hideMark/>
          </w:tcPr>
          <w:p w14:paraId="1D09803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17.5759</w:t>
            </w:r>
          </w:p>
        </w:tc>
        <w:tc>
          <w:tcPr>
            <w:tcW w:w="1102" w:type="dxa"/>
            <w:tcBorders>
              <w:top w:val="nil"/>
              <w:left w:val="nil"/>
              <w:bottom w:val="nil"/>
              <w:right w:val="nil"/>
            </w:tcBorders>
            <w:noWrap/>
            <w:vAlign w:val="bottom"/>
            <w:hideMark/>
          </w:tcPr>
          <w:p w14:paraId="1087827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2.6</w:t>
            </w:r>
          </w:p>
        </w:tc>
        <w:tc>
          <w:tcPr>
            <w:tcW w:w="1102" w:type="dxa"/>
            <w:tcBorders>
              <w:top w:val="nil"/>
              <w:left w:val="nil"/>
              <w:bottom w:val="nil"/>
              <w:right w:val="nil"/>
            </w:tcBorders>
            <w:noWrap/>
            <w:vAlign w:val="bottom"/>
            <w:hideMark/>
          </w:tcPr>
          <w:p w14:paraId="39A3C3BA"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0.0090</w:t>
            </w:r>
          </w:p>
        </w:tc>
        <w:tc>
          <w:tcPr>
            <w:tcW w:w="1210" w:type="dxa"/>
            <w:tcBorders>
              <w:top w:val="nil"/>
              <w:left w:val="nil"/>
              <w:bottom w:val="nil"/>
              <w:right w:val="nil"/>
            </w:tcBorders>
            <w:noWrap/>
            <w:vAlign w:val="bottom"/>
            <w:hideMark/>
          </w:tcPr>
          <w:p w14:paraId="5A988385"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1.988341</w:t>
            </w:r>
          </w:p>
        </w:tc>
        <w:tc>
          <w:tcPr>
            <w:tcW w:w="1211" w:type="dxa"/>
            <w:tcBorders>
              <w:top w:val="nil"/>
              <w:left w:val="nil"/>
              <w:bottom w:val="nil"/>
              <w:right w:val="nil"/>
            </w:tcBorders>
            <w:noWrap/>
            <w:vAlign w:val="bottom"/>
            <w:hideMark/>
          </w:tcPr>
          <w:p w14:paraId="27FA741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134.4443</w:t>
            </w:r>
          </w:p>
        </w:tc>
      </w:tr>
      <w:tr w:rsidR="00E34E6B" w:rsidRPr="005428D3" w14:paraId="3EB7FDD0" w14:textId="77777777" w:rsidTr="00253CBB">
        <w:trPr>
          <w:trHeight w:val="299"/>
        </w:trPr>
        <w:tc>
          <w:tcPr>
            <w:tcW w:w="2446" w:type="dxa"/>
            <w:tcBorders>
              <w:top w:val="nil"/>
              <w:left w:val="nil"/>
              <w:bottom w:val="nil"/>
              <w:right w:val="single" w:sz="4" w:space="0" w:color="auto"/>
            </w:tcBorders>
            <w:noWrap/>
            <w:vAlign w:val="bottom"/>
            <w:hideMark/>
          </w:tcPr>
          <w:p w14:paraId="073F32C7"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w:t>
            </w:r>
          </w:p>
        </w:tc>
        <w:tc>
          <w:tcPr>
            <w:tcW w:w="1211" w:type="dxa"/>
            <w:tcBorders>
              <w:top w:val="nil"/>
              <w:left w:val="nil"/>
              <w:bottom w:val="nil"/>
              <w:right w:val="nil"/>
            </w:tcBorders>
            <w:noWrap/>
            <w:vAlign w:val="bottom"/>
            <w:hideMark/>
          </w:tcPr>
          <w:p w14:paraId="1E8BBFF5" w14:textId="77777777" w:rsidR="00E34E6B" w:rsidRPr="0090127C" w:rsidRDefault="00E34E6B" w:rsidP="00253CBB">
            <w:pPr>
              <w:rPr>
                <w:rFonts w:ascii="Arial" w:hAnsi="Arial" w:cs="Arial"/>
                <w:color w:val="000000"/>
                <w:sz w:val="22"/>
                <w:szCs w:val="22"/>
              </w:rPr>
            </w:pPr>
          </w:p>
        </w:tc>
        <w:tc>
          <w:tcPr>
            <w:tcW w:w="1212" w:type="dxa"/>
            <w:tcBorders>
              <w:top w:val="nil"/>
              <w:left w:val="nil"/>
              <w:bottom w:val="nil"/>
              <w:right w:val="nil"/>
            </w:tcBorders>
            <w:noWrap/>
            <w:vAlign w:val="bottom"/>
            <w:hideMark/>
          </w:tcPr>
          <w:p w14:paraId="724FCE4D"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7AAA57EE" w14:textId="77777777" w:rsidR="00E34E6B" w:rsidRPr="0090127C" w:rsidRDefault="00E34E6B" w:rsidP="00253CBB">
            <w:pPr>
              <w:jc w:val="right"/>
              <w:rPr>
                <w:rFonts w:ascii="Arial" w:hAnsi="Arial" w:cs="Arial"/>
              </w:rPr>
            </w:pPr>
          </w:p>
        </w:tc>
        <w:tc>
          <w:tcPr>
            <w:tcW w:w="1102" w:type="dxa"/>
            <w:tcBorders>
              <w:top w:val="nil"/>
              <w:left w:val="nil"/>
              <w:bottom w:val="nil"/>
              <w:right w:val="nil"/>
            </w:tcBorders>
            <w:noWrap/>
            <w:vAlign w:val="bottom"/>
            <w:hideMark/>
          </w:tcPr>
          <w:p w14:paraId="73FC3E51" w14:textId="77777777" w:rsidR="00E34E6B" w:rsidRPr="0090127C" w:rsidRDefault="00E34E6B" w:rsidP="00253CBB">
            <w:pPr>
              <w:jc w:val="right"/>
              <w:rPr>
                <w:rFonts w:ascii="Arial" w:hAnsi="Arial" w:cs="Arial"/>
                <w:b/>
                <w:bCs/>
              </w:rPr>
            </w:pPr>
          </w:p>
        </w:tc>
        <w:tc>
          <w:tcPr>
            <w:tcW w:w="1210" w:type="dxa"/>
            <w:tcBorders>
              <w:top w:val="nil"/>
              <w:left w:val="nil"/>
              <w:bottom w:val="nil"/>
              <w:right w:val="nil"/>
            </w:tcBorders>
            <w:noWrap/>
            <w:vAlign w:val="bottom"/>
            <w:hideMark/>
          </w:tcPr>
          <w:p w14:paraId="2EEFA92E" w14:textId="77777777" w:rsidR="00E34E6B" w:rsidRPr="0090127C" w:rsidRDefault="00E34E6B" w:rsidP="00253CBB">
            <w:pPr>
              <w:jc w:val="right"/>
              <w:rPr>
                <w:rFonts w:ascii="Arial" w:hAnsi="Arial" w:cs="Arial"/>
              </w:rPr>
            </w:pPr>
          </w:p>
        </w:tc>
        <w:tc>
          <w:tcPr>
            <w:tcW w:w="1211" w:type="dxa"/>
            <w:tcBorders>
              <w:top w:val="nil"/>
              <w:left w:val="nil"/>
              <w:bottom w:val="nil"/>
              <w:right w:val="nil"/>
            </w:tcBorders>
            <w:noWrap/>
            <w:vAlign w:val="bottom"/>
            <w:hideMark/>
          </w:tcPr>
          <w:p w14:paraId="3B3A1803" w14:textId="77777777" w:rsidR="00E34E6B" w:rsidRPr="0090127C" w:rsidRDefault="00E34E6B" w:rsidP="00253CBB">
            <w:pPr>
              <w:jc w:val="right"/>
              <w:rPr>
                <w:rFonts w:ascii="Arial" w:hAnsi="Arial" w:cs="Arial"/>
              </w:rPr>
            </w:pPr>
          </w:p>
        </w:tc>
      </w:tr>
      <w:tr w:rsidR="00E34E6B" w:rsidRPr="005428D3" w14:paraId="2239270E" w14:textId="77777777" w:rsidTr="00253CBB">
        <w:trPr>
          <w:trHeight w:val="299"/>
        </w:trPr>
        <w:tc>
          <w:tcPr>
            <w:tcW w:w="2446" w:type="dxa"/>
            <w:tcBorders>
              <w:top w:val="nil"/>
              <w:left w:val="nil"/>
              <w:bottom w:val="nil"/>
              <w:right w:val="single" w:sz="4" w:space="0" w:color="auto"/>
            </w:tcBorders>
            <w:noWrap/>
            <w:vAlign w:val="bottom"/>
            <w:hideMark/>
          </w:tcPr>
          <w:p w14:paraId="3390DC6B" w14:textId="77777777" w:rsidR="00E34E6B" w:rsidRPr="0090127C" w:rsidRDefault="00E34E6B" w:rsidP="00253CBB">
            <w:pPr>
              <w:rPr>
                <w:rFonts w:ascii="Arial" w:hAnsi="Arial" w:cs="Arial"/>
                <w:b/>
                <w:bCs/>
                <w:color w:val="000000"/>
                <w:sz w:val="22"/>
                <w:szCs w:val="22"/>
              </w:rPr>
            </w:pPr>
            <w:r w:rsidRPr="0090127C">
              <w:rPr>
                <w:rFonts w:ascii="Arial" w:hAnsi="Arial" w:cs="Arial"/>
                <w:b/>
                <w:bCs/>
                <w:color w:val="000000"/>
                <w:sz w:val="22"/>
                <w:szCs w:val="22"/>
              </w:rPr>
              <w:t>Teacher experience</w:t>
            </w:r>
          </w:p>
        </w:tc>
        <w:tc>
          <w:tcPr>
            <w:tcW w:w="1211" w:type="dxa"/>
            <w:tcBorders>
              <w:top w:val="nil"/>
              <w:left w:val="nil"/>
              <w:bottom w:val="nil"/>
              <w:right w:val="nil"/>
            </w:tcBorders>
            <w:noWrap/>
            <w:vAlign w:val="bottom"/>
            <w:hideMark/>
          </w:tcPr>
          <w:p w14:paraId="5764D620" w14:textId="77777777" w:rsidR="00E34E6B" w:rsidRPr="0090127C" w:rsidRDefault="00E34E6B" w:rsidP="00253CBB">
            <w:pPr>
              <w:jc w:val="right"/>
              <w:rPr>
                <w:rFonts w:ascii="Arial" w:hAnsi="Arial" w:cs="Arial"/>
                <w:color w:val="000000"/>
                <w:sz w:val="22"/>
                <w:szCs w:val="22"/>
              </w:rPr>
            </w:pPr>
            <w:r w:rsidRPr="005428D3">
              <w:rPr>
                <w:rFonts w:ascii="Arial" w:hAnsi="Arial" w:cs="Arial"/>
                <w:color w:val="000000"/>
                <w:sz w:val="22"/>
                <w:szCs w:val="22"/>
              </w:rPr>
              <w:t>1</w:t>
            </w:r>
            <w:r w:rsidRPr="0090127C">
              <w:rPr>
                <w:rFonts w:ascii="Arial" w:hAnsi="Arial" w:cs="Arial"/>
                <w:color w:val="000000"/>
                <w:sz w:val="22"/>
                <w:szCs w:val="22"/>
              </w:rPr>
              <w:t>.999972</w:t>
            </w:r>
          </w:p>
        </w:tc>
        <w:tc>
          <w:tcPr>
            <w:tcW w:w="1212" w:type="dxa"/>
            <w:tcBorders>
              <w:top w:val="nil"/>
              <w:left w:val="nil"/>
              <w:bottom w:val="nil"/>
              <w:right w:val="nil"/>
            </w:tcBorders>
            <w:noWrap/>
            <w:vAlign w:val="bottom"/>
            <w:hideMark/>
          </w:tcPr>
          <w:p w14:paraId="527780FC"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0.011884</w:t>
            </w:r>
          </w:p>
        </w:tc>
        <w:tc>
          <w:tcPr>
            <w:tcW w:w="1102" w:type="dxa"/>
            <w:tcBorders>
              <w:top w:val="nil"/>
              <w:left w:val="nil"/>
              <w:bottom w:val="nil"/>
              <w:right w:val="nil"/>
            </w:tcBorders>
            <w:noWrap/>
            <w:vAlign w:val="bottom"/>
            <w:hideMark/>
          </w:tcPr>
          <w:p w14:paraId="4D9C2AF3"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w:t>
            </w:r>
          </w:p>
        </w:tc>
        <w:tc>
          <w:tcPr>
            <w:tcW w:w="1102" w:type="dxa"/>
            <w:tcBorders>
              <w:top w:val="nil"/>
              <w:left w:val="nil"/>
              <w:bottom w:val="nil"/>
              <w:right w:val="nil"/>
            </w:tcBorders>
            <w:noWrap/>
            <w:vAlign w:val="bottom"/>
            <w:hideMark/>
          </w:tcPr>
          <w:p w14:paraId="7B28793A" w14:textId="77777777" w:rsidR="00E34E6B" w:rsidRPr="0090127C" w:rsidRDefault="00E34E6B" w:rsidP="00253CBB">
            <w:pPr>
              <w:jc w:val="right"/>
              <w:rPr>
                <w:rFonts w:ascii="Arial" w:hAnsi="Arial" w:cs="Arial"/>
                <w:b/>
                <w:bCs/>
                <w:color w:val="000000"/>
                <w:sz w:val="22"/>
                <w:szCs w:val="22"/>
              </w:rPr>
            </w:pPr>
            <w:r w:rsidRPr="0090127C">
              <w:rPr>
                <w:rFonts w:ascii="Arial" w:hAnsi="Arial" w:cs="Arial"/>
                <w:b/>
                <w:bCs/>
                <w:color w:val="000000"/>
                <w:sz w:val="22"/>
                <w:szCs w:val="22"/>
              </w:rPr>
              <w:t>0.0080</w:t>
            </w:r>
          </w:p>
        </w:tc>
        <w:tc>
          <w:tcPr>
            <w:tcW w:w="1210" w:type="dxa"/>
            <w:tcBorders>
              <w:top w:val="nil"/>
              <w:left w:val="nil"/>
              <w:bottom w:val="nil"/>
              <w:right w:val="nil"/>
            </w:tcBorders>
            <w:noWrap/>
            <w:vAlign w:val="bottom"/>
            <w:hideMark/>
          </w:tcPr>
          <w:p w14:paraId="5ABF94D0"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0.976949</w:t>
            </w:r>
          </w:p>
        </w:tc>
        <w:tc>
          <w:tcPr>
            <w:tcW w:w="1211" w:type="dxa"/>
            <w:tcBorders>
              <w:top w:val="nil"/>
              <w:left w:val="nil"/>
              <w:bottom w:val="nil"/>
              <w:right w:val="nil"/>
            </w:tcBorders>
            <w:noWrap/>
            <w:vAlign w:val="bottom"/>
            <w:hideMark/>
          </w:tcPr>
          <w:p w14:paraId="02BCDB63"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1.023538</w:t>
            </w:r>
          </w:p>
        </w:tc>
      </w:tr>
      <w:tr w:rsidR="00E34E6B" w:rsidRPr="005428D3" w14:paraId="7780F57C" w14:textId="77777777" w:rsidTr="00253CBB">
        <w:trPr>
          <w:trHeight w:val="299"/>
        </w:trPr>
        <w:tc>
          <w:tcPr>
            <w:tcW w:w="2446" w:type="dxa"/>
            <w:tcBorders>
              <w:top w:val="nil"/>
              <w:left w:val="nil"/>
              <w:bottom w:val="single" w:sz="4" w:space="0" w:color="auto"/>
              <w:right w:val="single" w:sz="4" w:space="0" w:color="auto"/>
            </w:tcBorders>
            <w:noWrap/>
            <w:vAlign w:val="bottom"/>
            <w:hideMark/>
          </w:tcPr>
          <w:p w14:paraId="059BFF83"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_cons</w:t>
            </w:r>
          </w:p>
        </w:tc>
        <w:tc>
          <w:tcPr>
            <w:tcW w:w="1211" w:type="dxa"/>
            <w:tcBorders>
              <w:top w:val="nil"/>
              <w:left w:val="nil"/>
              <w:bottom w:val="single" w:sz="4" w:space="0" w:color="auto"/>
              <w:right w:val="nil"/>
            </w:tcBorders>
            <w:noWrap/>
            <w:vAlign w:val="bottom"/>
            <w:hideMark/>
          </w:tcPr>
          <w:p w14:paraId="4CA5EA4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0.122934</w:t>
            </w:r>
          </w:p>
        </w:tc>
        <w:tc>
          <w:tcPr>
            <w:tcW w:w="1212" w:type="dxa"/>
            <w:tcBorders>
              <w:top w:val="nil"/>
              <w:left w:val="nil"/>
              <w:bottom w:val="single" w:sz="4" w:space="0" w:color="auto"/>
              <w:right w:val="nil"/>
            </w:tcBorders>
            <w:noWrap/>
            <w:vAlign w:val="bottom"/>
            <w:hideMark/>
          </w:tcPr>
          <w:p w14:paraId="14198DA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0.074688</w:t>
            </w:r>
          </w:p>
        </w:tc>
        <w:tc>
          <w:tcPr>
            <w:tcW w:w="1102" w:type="dxa"/>
            <w:tcBorders>
              <w:top w:val="nil"/>
              <w:left w:val="nil"/>
              <w:bottom w:val="single" w:sz="4" w:space="0" w:color="auto"/>
              <w:right w:val="nil"/>
            </w:tcBorders>
            <w:noWrap/>
            <w:vAlign w:val="bottom"/>
            <w:hideMark/>
          </w:tcPr>
          <w:p w14:paraId="335BC357"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-3.45</w:t>
            </w:r>
          </w:p>
        </w:tc>
        <w:tc>
          <w:tcPr>
            <w:tcW w:w="1102" w:type="dxa"/>
            <w:tcBorders>
              <w:top w:val="nil"/>
              <w:left w:val="nil"/>
              <w:bottom w:val="single" w:sz="4" w:space="0" w:color="auto"/>
              <w:right w:val="nil"/>
            </w:tcBorders>
            <w:noWrap/>
            <w:vAlign w:val="bottom"/>
            <w:hideMark/>
          </w:tcPr>
          <w:p w14:paraId="6261B69F"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0.0010</w:t>
            </w:r>
          </w:p>
        </w:tc>
        <w:tc>
          <w:tcPr>
            <w:tcW w:w="1210" w:type="dxa"/>
            <w:tcBorders>
              <w:top w:val="nil"/>
              <w:left w:val="nil"/>
              <w:bottom w:val="single" w:sz="4" w:space="0" w:color="auto"/>
              <w:right w:val="nil"/>
            </w:tcBorders>
            <w:noWrap/>
            <w:vAlign w:val="bottom"/>
            <w:hideMark/>
          </w:tcPr>
          <w:p w14:paraId="59A7DFAE"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0.037371</w:t>
            </w:r>
          </w:p>
        </w:tc>
        <w:tc>
          <w:tcPr>
            <w:tcW w:w="1211" w:type="dxa"/>
            <w:tcBorders>
              <w:top w:val="nil"/>
              <w:left w:val="nil"/>
              <w:bottom w:val="single" w:sz="4" w:space="0" w:color="auto"/>
              <w:right w:val="nil"/>
            </w:tcBorders>
            <w:noWrap/>
            <w:vAlign w:val="bottom"/>
            <w:hideMark/>
          </w:tcPr>
          <w:p w14:paraId="183D01F6" w14:textId="77777777" w:rsidR="00E34E6B" w:rsidRPr="0090127C" w:rsidRDefault="00E34E6B" w:rsidP="00253CBB">
            <w:pPr>
              <w:jc w:val="right"/>
              <w:rPr>
                <w:rFonts w:ascii="Arial" w:hAnsi="Arial" w:cs="Arial"/>
                <w:color w:val="000000"/>
                <w:sz w:val="22"/>
                <w:szCs w:val="22"/>
              </w:rPr>
            </w:pPr>
            <w:r w:rsidRPr="0090127C">
              <w:rPr>
                <w:rFonts w:ascii="Arial" w:hAnsi="Arial" w:cs="Arial"/>
                <w:color w:val="000000"/>
                <w:sz w:val="22"/>
                <w:szCs w:val="22"/>
              </w:rPr>
              <w:t>0.404405</w:t>
            </w:r>
          </w:p>
        </w:tc>
      </w:tr>
      <w:tr w:rsidR="00E34E6B" w:rsidRPr="0090127C" w14:paraId="30B325E0" w14:textId="77777777" w:rsidTr="00253CBB">
        <w:trPr>
          <w:trHeight w:val="299"/>
        </w:trPr>
        <w:tc>
          <w:tcPr>
            <w:tcW w:w="4869" w:type="dxa"/>
            <w:gridSpan w:val="3"/>
            <w:tcBorders>
              <w:top w:val="nil"/>
              <w:left w:val="nil"/>
              <w:bottom w:val="nil"/>
              <w:right w:val="nil"/>
            </w:tcBorders>
            <w:noWrap/>
            <w:vAlign w:val="bottom"/>
            <w:hideMark/>
          </w:tcPr>
          <w:p w14:paraId="29567BF3" w14:textId="77777777" w:rsidR="00E34E6B" w:rsidRPr="0090127C" w:rsidRDefault="00E34E6B" w:rsidP="00253CBB">
            <w:pPr>
              <w:rPr>
                <w:rFonts w:ascii="Arial" w:hAnsi="Arial" w:cs="Arial"/>
                <w:color w:val="000000"/>
                <w:sz w:val="22"/>
                <w:szCs w:val="22"/>
              </w:rPr>
            </w:pPr>
            <w:r w:rsidRPr="0090127C">
              <w:rPr>
                <w:rFonts w:ascii="Arial" w:hAnsi="Arial" w:cs="Arial"/>
                <w:color w:val="000000"/>
                <w:sz w:val="22"/>
                <w:szCs w:val="22"/>
              </w:rPr>
              <w:t xml:space="preserve">Note: _cons </w:t>
            </w:r>
            <w:proofErr w:type="gramStart"/>
            <w:r w:rsidRPr="0090127C">
              <w:rPr>
                <w:rFonts w:ascii="Arial" w:hAnsi="Arial" w:cs="Arial"/>
                <w:color w:val="000000"/>
                <w:sz w:val="22"/>
                <w:szCs w:val="22"/>
              </w:rPr>
              <w:t>estimates</w:t>
            </w:r>
            <w:proofErr w:type="gramEnd"/>
            <w:r w:rsidRPr="0090127C">
              <w:rPr>
                <w:rFonts w:ascii="Arial" w:hAnsi="Arial" w:cs="Arial"/>
                <w:color w:val="000000"/>
                <w:sz w:val="22"/>
                <w:szCs w:val="22"/>
              </w:rPr>
              <w:t xml:space="preserve"> baseline odds.</w:t>
            </w:r>
          </w:p>
        </w:tc>
        <w:tc>
          <w:tcPr>
            <w:tcW w:w="1102" w:type="dxa"/>
            <w:tcBorders>
              <w:top w:val="nil"/>
              <w:left w:val="nil"/>
              <w:bottom w:val="nil"/>
              <w:right w:val="nil"/>
            </w:tcBorders>
            <w:noWrap/>
            <w:vAlign w:val="bottom"/>
            <w:hideMark/>
          </w:tcPr>
          <w:p w14:paraId="75DDF450" w14:textId="77777777" w:rsidR="00E34E6B" w:rsidRPr="0090127C" w:rsidRDefault="00E34E6B" w:rsidP="00253CBB">
            <w:pPr>
              <w:rPr>
                <w:rFonts w:ascii="Arial" w:hAnsi="Arial" w:cs="Arial"/>
                <w:color w:val="000000"/>
                <w:sz w:val="22"/>
                <w:szCs w:val="22"/>
              </w:rPr>
            </w:pPr>
          </w:p>
        </w:tc>
        <w:tc>
          <w:tcPr>
            <w:tcW w:w="1102" w:type="dxa"/>
            <w:tcBorders>
              <w:top w:val="nil"/>
              <w:left w:val="nil"/>
              <w:bottom w:val="nil"/>
              <w:right w:val="nil"/>
            </w:tcBorders>
            <w:noWrap/>
            <w:vAlign w:val="bottom"/>
            <w:hideMark/>
          </w:tcPr>
          <w:p w14:paraId="5EF29580" w14:textId="77777777" w:rsidR="00E34E6B" w:rsidRPr="0090127C" w:rsidRDefault="00E34E6B" w:rsidP="00253CBB">
            <w:pPr>
              <w:rPr>
                <w:rFonts w:ascii="Arial" w:hAnsi="Arial" w:cs="Arial"/>
              </w:rPr>
            </w:pPr>
          </w:p>
        </w:tc>
        <w:tc>
          <w:tcPr>
            <w:tcW w:w="1210" w:type="dxa"/>
            <w:tcBorders>
              <w:top w:val="nil"/>
              <w:left w:val="nil"/>
              <w:bottom w:val="nil"/>
              <w:right w:val="nil"/>
            </w:tcBorders>
            <w:noWrap/>
            <w:vAlign w:val="bottom"/>
            <w:hideMark/>
          </w:tcPr>
          <w:p w14:paraId="1B5E33D5" w14:textId="77777777" w:rsidR="00E34E6B" w:rsidRPr="0090127C" w:rsidRDefault="00E34E6B" w:rsidP="00253CBB">
            <w:pPr>
              <w:rPr>
                <w:rFonts w:ascii="Arial" w:hAnsi="Arial" w:cs="Arial"/>
              </w:rPr>
            </w:pPr>
          </w:p>
        </w:tc>
        <w:tc>
          <w:tcPr>
            <w:tcW w:w="1211" w:type="dxa"/>
            <w:tcBorders>
              <w:top w:val="nil"/>
              <w:left w:val="nil"/>
              <w:bottom w:val="nil"/>
              <w:right w:val="nil"/>
            </w:tcBorders>
            <w:noWrap/>
            <w:vAlign w:val="bottom"/>
            <w:hideMark/>
          </w:tcPr>
          <w:p w14:paraId="07F72E2D" w14:textId="77777777" w:rsidR="00E34E6B" w:rsidRPr="0090127C" w:rsidRDefault="00E34E6B" w:rsidP="00253CBB">
            <w:pPr>
              <w:rPr>
                <w:rFonts w:ascii="Arial" w:hAnsi="Arial" w:cs="Arial"/>
              </w:rPr>
            </w:pPr>
          </w:p>
        </w:tc>
      </w:tr>
    </w:tbl>
    <w:p w14:paraId="0D32ED47" w14:textId="77777777" w:rsidR="00790ADA" w:rsidRPr="00FB3A86" w:rsidRDefault="00790ADA" w:rsidP="00441B6F">
      <w:pPr>
        <w:pStyle w:val="Body"/>
        <w:spacing w:after="0"/>
        <w:rPr>
          <w:rFonts w:ascii="Arial" w:hAnsi="Arial" w:cs="Arial"/>
        </w:rPr>
      </w:pPr>
    </w:p>
    <w:p w14:paraId="75C57F5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FE4CB15" w14:textId="77777777" w:rsidR="00E34E6B" w:rsidRPr="00B15400" w:rsidRDefault="00E34E6B" w:rsidP="00E34E6B">
      <w:pPr>
        <w:spacing w:before="100" w:beforeAutospacing="1" w:after="100" w:afterAutospacing="1" w:line="276" w:lineRule="auto"/>
        <w:jc w:val="both"/>
      </w:pPr>
      <w:r w:rsidRPr="00B15400">
        <w:t>Results showed that most of the adolescents were girls, reflecting a greater interest in nutrition and health-related topics among female students. The majority were in their middle adolescent years, with fewer in the early and late stages, suggesting that nutritional engagement may peak during mid-adolescence. Most participants attended school as day scholars, and the distribution across academic classes was balanced. Boarding students were more represented than commuters, possibly indicating different exposure to structured nutritional environments. In terms of religious affiliation, Catholics formed the largest group, followed by Anglicans and Muslims. Altogether, the sample reflected a diverse and dynamic group of young people whose backgrounds may shape how they engage with nutrition. Furthermore, results showed that most teachers held a bachelor’s degree, which aligned with standard qualification requirements, while fewer had advanced degrees. Male teachers were noticeably more represented than females. The age range was broad, but most fell within mid-career years. Teaching experience varied widely, though many had spent over a decade in the profession, reflecting a workforce with both fresh perspectives and seasoned insight.</w:t>
      </w:r>
    </w:p>
    <w:p w14:paraId="574FA9C9" w14:textId="77777777" w:rsidR="00E34E6B" w:rsidRPr="00B15400" w:rsidRDefault="00E34E6B" w:rsidP="00E34E6B">
      <w:pPr>
        <w:spacing w:before="100" w:beforeAutospacing="1" w:after="100" w:afterAutospacing="1" w:line="276" w:lineRule="auto"/>
        <w:jc w:val="both"/>
      </w:pPr>
      <w:r w:rsidRPr="00B15400">
        <w:lastRenderedPageBreak/>
        <w:t xml:space="preserve">Findings from the qualitative approach indicated that the five key ways teachers support adolescent students in their nutrition were through active collaboration with parents, offering direct advice on healthy eating habits, referring students to school health services when needed, demonstrating strong knowledge of adolescent nutrition guidelines, and fostering open, supportive classroom environments where nutrition could be freely discussed. </w:t>
      </w:r>
    </w:p>
    <w:p w14:paraId="263176F6" w14:textId="77777777" w:rsidR="00E34E6B" w:rsidRDefault="00E34E6B" w:rsidP="008577F1">
      <w:pPr>
        <w:spacing w:before="100" w:beforeAutospacing="1" w:after="100" w:afterAutospacing="1" w:line="276" w:lineRule="auto"/>
        <w:jc w:val="both"/>
      </w:pPr>
      <w:r w:rsidRPr="00B15400">
        <w:t xml:space="preserve">The study found that adolescents with higher levels of nutritional care were substantially more likely to demonstrate positive nutritional practices, with those exhibiting excellent practices showing the greatest likelihood. Specifically, the odds of promoting nutritional practices increased progressively from fair to good and then to excellent nutritional care. Similarly, teacher education significantly influenced adolescent nutritional practices, with teachers holding a PhD showing the strongest effect, followed by those with a master's degree, compared to teachers with diplomas or certificates. Additionally, each additional year of teacher experience was associated with a huge increase in the odds of promoting positive nutritional practices among adolescents. </w:t>
      </w:r>
    </w:p>
    <w:p w14:paraId="4F903396" w14:textId="77777777" w:rsidR="00E34E6B" w:rsidRDefault="00E34E6B" w:rsidP="00E34E6B">
      <w:pPr>
        <w:spacing w:before="100" w:beforeAutospacing="1" w:after="100" w:afterAutospacing="1" w:line="276" w:lineRule="auto"/>
        <w:jc w:val="both"/>
      </w:pPr>
      <w:r w:rsidRPr="00B15400">
        <w:t>Based on the study findings, schools should enhance adolescent nutritional care programs to promote positive habits early, engage both genders across all adolescent stages, and provide structured support for boarding and day students. Teachers’ capacity should be strengthened through advanced education, specialized nutrition training, and mentorship, while experienced teachers should be leveraged to lead and sustain effective nutrition interventions.</w:t>
      </w:r>
    </w:p>
    <w:p w14:paraId="6A070A03" w14:textId="77777777" w:rsidR="005C784C" w:rsidRDefault="005C784C" w:rsidP="00441B6F">
      <w:pPr>
        <w:pStyle w:val="ReferHead"/>
        <w:spacing w:after="0"/>
        <w:jc w:val="both"/>
        <w:rPr>
          <w:rFonts w:ascii="Arial" w:hAnsi="Arial" w:cs="Arial"/>
          <w:b w:val="0"/>
          <w:caps w:val="0"/>
          <w:sz w:val="20"/>
        </w:rPr>
      </w:pPr>
    </w:p>
    <w:p w14:paraId="2B18009D" w14:textId="50C723E8"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19697E">
        <w:rPr>
          <w:rFonts w:ascii="Arial" w:hAnsi="Arial" w:cs="Arial"/>
          <w:bCs/>
        </w:rPr>
        <w:t xml:space="preserve">AND </w:t>
      </w:r>
      <w:r w:rsidR="0019697E" w:rsidRPr="0019697E">
        <w:rPr>
          <w:rFonts w:ascii="Arial" w:hAnsi="Arial" w:cs="Arial"/>
          <w:bCs/>
        </w:rPr>
        <w:t>CONSENT</w:t>
      </w:r>
    </w:p>
    <w:p w14:paraId="02B9569F" w14:textId="77777777" w:rsidR="0019697E" w:rsidRDefault="0019697E" w:rsidP="00441B6F">
      <w:pPr>
        <w:pStyle w:val="ReferHead"/>
        <w:spacing w:after="0"/>
        <w:jc w:val="both"/>
        <w:rPr>
          <w:rFonts w:ascii="Arial" w:hAnsi="Arial" w:cs="Arial"/>
          <w:bCs/>
        </w:rPr>
      </w:pPr>
    </w:p>
    <w:p w14:paraId="33CF53EA" w14:textId="6287D502" w:rsidR="0019697E" w:rsidRDefault="00C9634D" w:rsidP="0019697E">
      <w:pPr>
        <w:pStyle w:val="ReferHead"/>
        <w:spacing w:after="0"/>
        <w:jc w:val="both"/>
        <w:rPr>
          <w:rFonts w:ascii="Arial" w:hAnsi="Arial" w:cs="Arial"/>
          <w:b w:val="0"/>
          <w:caps w:val="0"/>
        </w:rPr>
      </w:pPr>
      <w:r w:rsidRPr="00C9634D">
        <w:rPr>
          <w:rFonts w:ascii="Arial" w:hAnsi="Arial" w:cs="Arial"/>
          <w:b w:val="0"/>
          <w:caps w:val="0"/>
        </w:rPr>
        <w:t xml:space="preserve">This study obtained official permission from the research and higher degrees’ committee of the School of Education, Makerere </w:t>
      </w:r>
      <w:proofErr w:type="spellStart"/>
      <w:r w:rsidRPr="00C9634D">
        <w:rPr>
          <w:rFonts w:ascii="Arial" w:hAnsi="Arial" w:cs="Arial"/>
          <w:b w:val="0"/>
          <w:caps w:val="0"/>
        </w:rPr>
        <w:t>University.</w:t>
      </w:r>
      <w:r w:rsidR="0019697E" w:rsidRPr="0019697E">
        <w:rPr>
          <w:rFonts w:ascii="Arial" w:hAnsi="Arial" w:cs="Arial"/>
          <w:b w:val="0"/>
          <w:caps w:val="0"/>
        </w:rPr>
        <w:t>This</w:t>
      </w:r>
      <w:proofErr w:type="spellEnd"/>
      <w:r w:rsidR="0019697E" w:rsidRPr="0019697E">
        <w:rPr>
          <w:rFonts w:ascii="Arial" w:hAnsi="Arial" w:cs="Arial"/>
          <w:b w:val="0"/>
          <w:caps w:val="0"/>
        </w:rPr>
        <w:t xml:space="preserve"> study obtained official permission from the research and higher degrees’ committee of the School of Education, Makerere University. Respect for participants’ autonomy was observed by informing teachers and adolescent students about the study’s purpose and obtaining their voluntary consent before participation. Confidentiality of responses was guaranteed, and participation was strictly voluntary to encourage openness and honest expression of views. Participants retained the right to withdraw at any time without consequences, and they were advised to discontinue participation if they experienced any form of discomfort or distress.</w:t>
      </w:r>
    </w:p>
    <w:p w14:paraId="4A083FE7" w14:textId="77777777" w:rsidR="00C9634D" w:rsidRDefault="00C9634D" w:rsidP="00441B6F">
      <w:pPr>
        <w:pStyle w:val="ReferHead"/>
        <w:spacing w:after="0"/>
        <w:jc w:val="both"/>
        <w:rPr>
          <w:rFonts w:ascii="Arial" w:hAnsi="Arial" w:cs="Arial"/>
        </w:rPr>
      </w:pPr>
    </w:p>
    <w:p w14:paraId="7F494AA9" w14:textId="065CD0B5" w:rsidR="00925994" w:rsidRPr="009420C1" w:rsidRDefault="009420C1" w:rsidP="00925994">
      <w:pPr>
        <w:spacing w:after="200" w:line="276" w:lineRule="auto"/>
        <w:rPr>
          <w:rFonts w:ascii="Calibri" w:eastAsia="Calibri" w:hAnsi="Calibri"/>
          <w:b/>
          <w:bCs/>
          <w:kern w:val="2"/>
          <w:sz w:val="22"/>
          <w:szCs w:val="22"/>
          <w14:ligatures w14:val="standardContextual"/>
        </w:rPr>
      </w:pPr>
      <w:bookmarkStart w:id="13" w:name="_Hlk190852809"/>
      <w:r w:rsidRPr="009420C1">
        <w:rPr>
          <w:rFonts w:ascii="Calibri" w:eastAsia="Calibri" w:hAnsi="Calibri"/>
          <w:b/>
          <w:bCs/>
          <w:kern w:val="2"/>
          <w:sz w:val="22"/>
          <w:szCs w:val="22"/>
          <w14:ligatures w14:val="standardContextual"/>
        </w:rPr>
        <w:t>DISCLAIMER (ARTIFICIAL INTELLIGENCE)</w:t>
      </w:r>
    </w:p>
    <w:p w14:paraId="6B8ED4BE" w14:textId="2B8D61EA" w:rsidR="00925994" w:rsidRPr="009420C1" w:rsidRDefault="009420C1" w:rsidP="00925994">
      <w:pPr>
        <w:spacing w:after="200" w:line="27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Authors hereby declare that NO generative AI technologies such as </w:t>
      </w:r>
      <w:r w:rsidR="00925994" w:rsidRPr="009420C1">
        <w:rPr>
          <w:rFonts w:ascii="Calibri" w:eastAsia="Calibri" w:hAnsi="Calibri"/>
          <w:kern w:val="2"/>
          <w:sz w:val="22"/>
          <w:szCs w:val="22"/>
          <w14:ligatures w14:val="standardContextual"/>
        </w:rPr>
        <w:t xml:space="preserve">Large Language Models (ChatGPT, COPILOT, etc.) and text-to-image generators have been used during the writing or editing of this manuscript. </w:t>
      </w:r>
    </w:p>
    <w:bookmarkEnd w:id="13"/>
    <w:p w14:paraId="706C7374" w14:textId="77777777" w:rsidR="009420C1" w:rsidRDefault="009420C1">
      <w:pPr>
        <w:rPr>
          <w:rFonts w:ascii="Arial" w:hAnsi="Arial" w:cs="Arial"/>
          <w:b/>
          <w:caps/>
          <w:sz w:val="22"/>
        </w:rPr>
      </w:pPr>
      <w:r>
        <w:rPr>
          <w:rFonts w:ascii="Arial" w:hAnsi="Arial" w:cs="Arial"/>
        </w:rPr>
        <w:br w:type="page"/>
      </w:r>
    </w:p>
    <w:p w14:paraId="662A53BB" w14:textId="165C5D1A"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00DB117E" w14:textId="77777777" w:rsidR="00790ADA" w:rsidRPr="00FB3A86" w:rsidRDefault="00790ADA" w:rsidP="00441B6F">
      <w:pPr>
        <w:pStyle w:val="ReferHead"/>
        <w:spacing w:after="0"/>
        <w:jc w:val="both"/>
        <w:rPr>
          <w:rFonts w:ascii="Arial" w:hAnsi="Arial" w:cs="Arial"/>
        </w:rPr>
      </w:pPr>
    </w:p>
    <w:p w14:paraId="68283F44" w14:textId="77777777" w:rsidR="008577F1" w:rsidRPr="008577F1" w:rsidRDefault="00E622FF" w:rsidP="008577F1">
      <w:pPr>
        <w:pStyle w:val="EndNoteBibliography"/>
        <w:ind w:left="720" w:hanging="720"/>
      </w:pPr>
      <w:r w:rsidRPr="00E622FF">
        <w:rPr>
          <w:rFonts w:ascii="Arial" w:hAnsi="Arial" w:cs="Arial"/>
          <w:b/>
          <w:bCs/>
          <w:kern w:val="36"/>
          <w:lang w:eastAsia="zh-CN"/>
        </w:rPr>
        <w:fldChar w:fldCharType="begin"/>
      </w:r>
      <w:r w:rsidRPr="00E622FF">
        <w:rPr>
          <w:rFonts w:ascii="Arial" w:hAnsi="Arial" w:cs="Arial"/>
          <w:b/>
          <w:bCs/>
          <w:kern w:val="36"/>
          <w:lang w:eastAsia="zh-CN"/>
        </w:rPr>
        <w:instrText xml:space="preserve"> ADDIN EN.REFLIST </w:instrText>
      </w:r>
      <w:r w:rsidRPr="00E622FF">
        <w:rPr>
          <w:rFonts w:ascii="Arial" w:hAnsi="Arial" w:cs="Arial"/>
          <w:b/>
          <w:bCs/>
          <w:kern w:val="36"/>
          <w:lang w:eastAsia="zh-CN"/>
        </w:rPr>
        <w:fldChar w:fldCharType="separate"/>
      </w:r>
      <w:r w:rsidR="008577F1" w:rsidRPr="008577F1">
        <w:t xml:space="preserve">Aydin, G., Margerison, C., Worsley, A., &amp; Booth, A. (2022). Parents’ communication with teachers about food and nutrition issues of primary school students. </w:t>
      </w:r>
      <w:r w:rsidR="008577F1" w:rsidRPr="008577F1">
        <w:rPr>
          <w:i/>
        </w:rPr>
        <w:t>Children</w:t>
      </w:r>
      <w:r w:rsidR="008577F1" w:rsidRPr="008577F1">
        <w:t>,</w:t>
      </w:r>
      <w:r w:rsidR="008577F1" w:rsidRPr="008577F1">
        <w:rPr>
          <w:i/>
        </w:rPr>
        <w:t xml:space="preserve"> 9</w:t>
      </w:r>
      <w:r w:rsidR="008577F1" w:rsidRPr="008577F1">
        <w:t xml:space="preserve">(4), 510. </w:t>
      </w:r>
    </w:p>
    <w:p w14:paraId="232B5C8C" w14:textId="77777777" w:rsidR="008577F1" w:rsidRPr="008577F1" w:rsidRDefault="008577F1" w:rsidP="008577F1">
      <w:pPr>
        <w:pStyle w:val="EndNoteBibliography"/>
        <w:ind w:left="720" w:hanging="720"/>
      </w:pPr>
      <w:r w:rsidRPr="008577F1">
        <w:t xml:space="preserve">Bowen, D. J., Barrington, W. E., &amp; Beresford, S. A. (2015). Identifying the effects of environmental and policy change interventions on healthy eating. </w:t>
      </w:r>
      <w:r w:rsidRPr="008577F1">
        <w:rPr>
          <w:i/>
        </w:rPr>
        <w:t>Annual review of public health</w:t>
      </w:r>
      <w:r w:rsidRPr="008577F1">
        <w:t>,</w:t>
      </w:r>
      <w:r w:rsidRPr="008577F1">
        <w:rPr>
          <w:i/>
        </w:rPr>
        <w:t xml:space="preserve"> 36</w:t>
      </w:r>
      <w:r w:rsidRPr="008577F1">
        <w:t xml:space="preserve">(1), 289-306. </w:t>
      </w:r>
    </w:p>
    <w:p w14:paraId="11000403" w14:textId="46C0FC80" w:rsidR="008577F1" w:rsidRPr="008577F1" w:rsidRDefault="008577F1" w:rsidP="008577F1">
      <w:pPr>
        <w:pStyle w:val="EndNoteBibliography"/>
        <w:ind w:left="720" w:hanging="720"/>
      </w:pPr>
      <w:r w:rsidRPr="008577F1">
        <w:t xml:space="preserve">Carbert, N., Brussoni, M., Geller, J., &amp; Mâsse, L. (2019). Moderating effects of family environment on overweight/obese adolescents’ dietary behaviours. </w:t>
      </w:r>
      <w:r w:rsidRPr="008577F1">
        <w:rPr>
          <w:i/>
        </w:rPr>
        <w:t>Appetite</w:t>
      </w:r>
      <w:r w:rsidRPr="008577F1">
        <w:t>,</w:t>
      </w:r>
      <w:r w:rsidRPr="008577F1">
        <w:rPr>
          <w:i/>
        </w:rPr>
        <w:t xml:space="preserve"> 134</w:t>
      </w:r>
      <w:r w:rsidRPr="008577F1">
        <w:t xml:space="preserve">, 69-77. </w:t>
      </w:r>
      <w:hyperlink r:id="rId14" w:history="1">
        <w:r w:rsidRPr="008577F1">
          <w:rPr>
            <w:rStyle w:val="Hyperlink"/>
          </w:rPr>
          <w:t>https://doi.org/10.1016/j.appet.2018.12.034</w:t>
        </w:r>
      </w:hyperlink>
      <w:r w:rsidRPr="008577F1">
        <w:t xml:space="preserve"> </w:t>
      </w:r>
    </w:p>
    <w:p w14:paraId="5FF452BB" w14:textId="16856D34" w:rsidR="008577F1" w:rsidRPr="008577F1" w:rsidRDefault="008577F1" w:rsidP="008577F1">
      <w:pPr>
        <w:pStyle w:val="EndNoteBibliography"/>
        <w:ind w:left="720" w:hanging="720"/>
      </w:pPr>
      <w:r w:rsidRPr="008577F1">
        <w:t xml:space="preserve">Cardenas, D. (2023). Nutritional care ethics: A time for reflection. </w:t>
      </w:r>
      <w:r w:rsidRPr="008577F1">
        <w:rPr>
          <w:i/>
        </w:rPr>
        <w:t>Clinical Nutrition Open Science</w:t>
      </w:r>
      <w:r w:rsidRPr="008577F1">
        <w:t>,</w:t>
      </w:r>
      <w:r w:rsidRPr="008577F1">
        <w:rPr>
          <w:i/>
        </w:rPr>
        <w:t xml:space="preserve"> 51</w:t>
      </w:r>
      <w:r w:rsidRPr="008577F1">
        <w:t xml:space="preserve">, 67-71. </w:t>
      </w:r>
      <w:hyperlink r:id="rId15" w:history="1">
        <w:r w:rsidRPr="008577F1">
          <w:rPr>
            <w:rStyle w:val="Hyperlink"/>
          </w:rPr>
          <w:t>https://doi.org/https://doi.org/10.1016/j.nutos.2023.08.009</w:t>
        </w:r>
      </w:hyperlink>
      <w:r w:rsidRPr="008577F1">
        <w:t xml:space="preserve"> </w:t>
      </w:r>
    </w:p>
    <w:p w14:paraId="74360C27" w14:textId="77777777" w:rsidR="008577F1" w:rsidRPr="008577F1" w:rsidRDefault="008577F1" w:rsidP="008577F1">
      <w:pPr>
        <w:pStyle w:val="EndNoteBibliography"/>
        <w:ind w:left="720" w:hanging="720"/>
      </w:pPr>
      <w:r w:rsidRPr="008577F1">
        <w:t xml:space="preserve">Creswell, J. W. (1999). Mixed-method research: Introduction and application. In </w:t>
      </w:r>
      <w:r w:rsidRPr="008577F1">
        <w:rPr>
          <w:i/>
        </w:rPr>
        <w:t>Handbook of educational policy</w:t>
      </w:r>
      <w:r w:rsidRPr="008577F1">
        <w:t xml:space="preserve"> (pp. 455-472). Elsevier. </w:t>
      </w:r>
    </w:p>
    <w:p w14:paraId="4D5164B4" w14:textId="286EA54A" w:rsidR="008577F1" w:rsidRPr="008577F1" w:rsidRDefault="008577F1" w:rsidP="008577F1">
      <w:pPr>
        <w:pStyle w:val="EndNoteBibliography"/>
        <w:ind w:left="720" w:hanging="720"/>
      </w:pPr>
      <w:r w:rsidRPr="008577F1">
        <w:t xml:space="preserve">de Man, F., Barazonni, R., Garel, P., van Ginkel-Res, A., Green, C., Koltai, T., Pichard, C., Roller-Wirnsberger, R., Sieber, C., Smeets, M., &amp; Ljungqvist, O. (2020). Towards optimal nutritional care for all: A multi-disciplinary patient centred approach to a complex challenge. </w:t>
      </w:r>
      <w:r w:rsidRPr="008577F1">
        <w:rPr>
          <w:i/>
        </w:rPr>
        <w:t>Clinical Nutrition</w:t>
      </w:r>
      <w:r w:rsidRPr="008577F1">
        <w:t>,</w:t>
      </w:r>
      <w:r w:rsidRPr="008577F1">
        <w:rPr>
          <w:i/>
        </w:rPr>
        <w:t xml:space="preserve"> 39</w:t>
      </w:r>
      <w:r w:rsidRPr="008577F1">
        <w:t xml:space="preserve">(5), 1309-1314. </w:t>
      </w:r>
      <w:hyperlink r:id="rId16" w:history="1">
        <w:r w:rsidRPr="008577F1">
          <w:rPr>
            <w:rStyle w:val="Hyperlink"/>
          </w:rPr>
          <w:t>https://doi.org/https://doi.org/10.1016/j.clnu.2020.03.020</w:t>
        </w:r>
      </w:hyperlink>
      <w:r w:rsidRPr="008577F1">
        <w:t xml:space="preserve"> </w:t>
      </w:r>
    </w:p>
    <w:p w14:paraId="48394403" w14:textId="75A5A59D" w:rsidR="008577F1" w:rsidRPr="008577F1" w:rsidRDefault="008577F1" w:rsidP="008577F1">
      <w:pPr>
        <w:pStyle w:val="EndNoteBibliography"/>
        <w:ind w:left="720" w:hanging="720"/>
      </w:pPr>
      <w:r w:rsidRPr="008577F1">
        <w:t xml:space="preserve">Downs, S., &amp; Demmler, K. (2020). Food environment interventions targeting children and adolescents: A scoping review. </w:t>
      </w:r>
      <w:r w:rsidRPr="008577F1">
        <w:rPr>
          <w:i/>
        </w:rPr>
        <w:t>Global Food Security</w:t>
      </w:r>
      <w:r w:rsidRPr="008577F1">
        <w:t>,</w:t>
      </w:r>
      <w:r w:rsidRPr="008577F1">
        <w:rPr>
          <w:i/>
        </w:rPr>
        <w:t xml:space="preserve"> 27</w:t>
      </w:r>
      <w:r w:rsidRPr="008577F1">
        <w:t xml:space="preserve">, 100403. </w:t>
      </w:r>
      <w:hyperlink r:id="rId17" w:history="1">
        <w:r w:rsidRPr="008577F1">
          <w:rPr>
            <w:rStyle w:val="Hyperlink"/>
          </w:rPr>
          <w:t>https://doi.org/10.1016/j.gfs.2020.100403</w:t>
        </w:r>
      </w:hyperlink>
      <w:r w:rsidRPr="008577F1">
        <w:t xml:space="preserve"> </w:t>
      </w:r>
    </w:p>
    <w:p w14:paraId="0136987C" w14:textId="77777777" w:rsidR="008577F1" w:rsidRPr="008577F1" w:rsidRDefault="008577F1" w:rsidP="008577F1">
      <w:pPr>
        <w:pStyle w:val="EndNoteBibliography"/>
        <w:ind w:left="720" w:hanging="720"/>
      </w:pPr>
      <w:r w:rsidRPr="008577F1">
        <w:t xml:space="preserve">Everitt, T., Engler-Stringer, R., &amp; Martin, W. (2022). Determining promising practices for Canadian school food programs: a scoping review. </w:t>
      </w:r>
      <w:r w:rsidRPr="008577F1">
        <w:rPr>
          <w:i/>
        </w:rPr>
        <w:t>Journal of Hunger &amp; Environmental Nutrition</w:t>
      </w:r>
      <w:r w:rsidRPr="008577F1">
        <w:t>,</w:t>
      </w:r>
      <w:r w:rsidRPr="008577F1">
        <w:rPr>
          <w:i/>
        </w:rPr>
        <w:t xml:space="preserve"> 17</w:t>
      </w:r>
      <w:r w:rsidRPr="008577F1">
        <w:t xml:space="preserve">(6), 743-762. </w:t>
      </w:r>
    </w:p>
    <w:p w14:paraId="6EEB9034" w14:textId="77777777" w:rsidR="008577F1" w:rsidRPr="008577F1" w:rsidRDefault="008577F1" w:rsidP="008577F1">
      <w:pPr>
        <w:pStyle w:val="EndNoteBibliography"/>
        <w:ind w:left="720" w:hanging="720"/>
      </w:pPr>
      <w:r w:rsidRPr="008577F1">
        <w:t xml:space="preserve">Hargreaves, D., Mates, E., Menon, P., Alderman, H., Devakumar, D., Fawzi, W., Greenfield, G., Hammoudeh, W., He, S., &amp; Lahiri, A. (2022). Strategies and interventions for healthy adolescent growth, nutrition, and development. </w:t>
      </w:r>
      <w:r w:rsidRPr="008577F1">
        <w:rPr>
          <w:i/>
        </w:rPr>
        <w:t>The Lancet</w:t>
      </w:r>
      <w:r w:rsidRPr="008577F1">
        <w:t>,</w:t>
      </w:r>
      <w:r w:rsidRPr="008577F1">
        <w:rPr>
          <w:i/>
        </w:rPr>
        <w:t xml:space="preserve"> 399</w:t>
      </w:r>
      <w:r w:rsidRPr="008577F1">
        <w:t xml:space="preserve">(10320), 198-210. </w:t>
      </w:r>
    </w:p>
    <w:p w14:paraId="2A2AEB5A" w14:textId="77777777" w:rsidR="008577F1" w:rsidRPr="008577F1" w:rsidRDefault="008577F1" w:rsidP="008577F1">
      <w:pPr>
        <w:pStyle w:val="EndNoteBibliography"/>
        <w:ind w:left="720" w:hanging="720"/>
      </w:pPr>
      <w:r w:rsidRPr="008577F1">
        <w:t>Ickes, S. B., Heymsfield, G. A., Wright, T. W., &amp; Baguma, C. (2017). “Generally the young mom suffers much:” Socio</w:t>
      </w:r>
      <w:r w:rsidRPr="008577F1">
        <w:rPr>
          <w:rFonts w:ascii="Cambria Math" w:hAnsi="Cambria Math" w:cs="Cambria Math"/>
        </w:rPr>
        <w:t>‐</w:t>
      </w:r>
      <w:r w:rsidRPr="008577F1">
        <w:t xml:space="preserve">cultural influences of maternal capabilities and nutrition care in Uganda. </w:t>
      </w:r>
      <w:r w:rsidRPr="008577F1">
        <w:rPr>
          <w:i/>
        </w:rPr>
        <w:t>Maternal &amp; Child Nutrition</w:t>
      </w:r>
      <w:r w:rsidRPr="008577F1">
        <w:t>,</w:t>
      </w:r>
      <w:r w:rsidRPr="008577F1">
        <w:rPr>
          <w:i/>
        </w:rPr>
        <w:t xml:space="preserve"> 13</w:t>
      </w:r>
      <w:r w:rsidRPr="008577F1">
        <w:t xml:space="preserve">(3), e12365. </w:t>
      </w:r>
    </w:p>
    <w:p w14:paraId="32EF645F" w14:textId="77777777" w:rsidR="008577F1" w:rsidRPr="008577F1" w:rsidRDefault="008577F1" w:rsidP="008577F1">
      <w:pPr>
        <w:pStyle w:val="EndNoteBibliography"/>
        <w:ind w:left="720" w:hanging="720"/>
      </w:pPr>
      <w:r w:rsidRPr="008577F1">
        <w:t xml:space="preserve">Kajjura, R. B., Veldman, F. J., &amp; Kassier, S. M. (2019). Effect of nutrition education on knowledge, complementary feeding, and hygiene practices of mothers with moderate acutely malnourished children in Uganda. </w:t>
      </w:r>
      <w:r w:rsidRPr="008577F1">
        <w:rPr>
          <w:i/>
        </w:rPr>
        <w:t>Food and nutrition bulletin</w:t>
      </w:r>
      <w:r w:rsidRPr="008577F1">
        <w:t>,</w:t>
      </w:r>
      <w:r w:rsidRPr="008577F1">
        <w:rPr>
          <w:i/>
        </w:rPr>
        <w:t xml:space="preserve"> 40</w:t>
      </w:r>
      <w:r w:rsidRPr="008577F1">
        <w:t xml:space="preserve">(2), 221-230. </w:t>
      </w:r>
    </w:p>
    <w:p w14:paraId="074D2E13" w14:textId="472173A7" w:rsidR="008577F1" w:rsidRPr="008577F1" w:rsidRDefault="008577F1" w:rsidP="008577F1">
      <w:pPr>
        <w:pStyle w:val="EndNoteBibliography"/>
        <w:ind w:left="720" w:hanging="720"/>
      </w:pPr>
      <w:r w:rsidRPr="008577F1">
        <w:t xml:space="preserve">Mackenbach, J., Nelissen, K., Dijkstra, S., Poelman, M., Daams, J., Leijssen, J., &amp; Nicolaou, M. (2019). A Systematic Review on Socioeconomic Differences in the Association between the Food Environment and Dietary Behaviors. </w:t>
      </w:r>
      <w:r w:rsidRPr="008577F1">
        <w:rPr>
          <w:i/>
        </w:rPr>
        <w:t>Nutrients</w:t>
      </w:r>
      <w:r w:rsidRPr="008577F1">
        <w:t>,</w:t>
      </w:r>
      <w:r w:rsidRPr="008577F1">
        <w:rPr>
          <w:i/>
        </w:rPr>
        <w:t xml:space="preserve"> 11</w:t>
      </w:r>
      <w:r w:rsidRPr="008577F1">
        <w:t xml:space="preserve">. </w:t>
      </w:r>
      <w:hyperlink r:id="rId18" w:history="1">
        <w:r w:rsidRPr="008577F1">
          <w:rPr>
            <w:rStyle w:val="Hyperlink"/>
          </w:rPr>
          <w:t>https://doi.org/10.3390/nu11092215</w:t>
        </w:r>
      </w:hyperlink>
      <w:r w:rsidRPr="008577F1">
        <w:t xml:space="preserve"> </w:t>
      </w:r>
    </w:p>
    <w:p w14:paraId="779F93A5" w14:textId="77777777" w:rsidR="008577F1" w:rsidRPr="008577F1" w:rsidRDefault="008577F1" w:rsidP="008577F1">
      <w:pPr>
        <w:pStyle w:val="EndNoteBibliography"/>
        <w:ind w:left="720" w:hanging="720"/>
      </w:pPr>
      <w:r w:rsidRPr="008577F1">
        <w:t xml:space="preserve">McIsaac, J.-L. D., Spencer, R., Chiasson, K., Kontak, J., &amp; Kirk, S. F. (2019). Factors influencing the implementation of nutrition policies in schools: a scoping review. </w:t>
      </w:r>
      <w:r w:rsidRPr="008577F1">
        <w:rPr>
          <w:i/>
        </w:rPr>
        <w:t>Health Education &amp; Behavior</w:t>
      </w:r>
      <w:r w:rsidRPr="008577F1">
        <w:t>,</w:t>
      </w:r>
      <w:r w:rsidRPr="008577F1">
        <w:rPr>
          <w:i/>
        </w:rPr>
        <w:t xml:space="preserve"> 46</w:t>
      </w:r>
      <w:r w:rsidRPr="008577F1">
        <w:t xml:space="preserve">(2), 224-250. </w:t>
      </w:r>
    </w:p>
    <w:p w14:paraId="10A558CB" w14:textId="77777777" w:rsidR="008577F1" w:rsidRPr="008577F1" w:rsidRDefault="008577F1" w:rsidP="008577F1">
      <w:pPr>
        <w:pStyle w:val="EndNoteBibliography"/>
        <w:ind w:left="720" w:hanging="720"/>
      </w:pPr>
      <w:r w:rsidRPr="008577F1">
        <w:t xml:space="preserve">Mescoloto, S. B., Pongiluppi, G., &amp; Domene, S. M. Á. (2024). Ultra-processed food consumption and children and adolescents’ health. </w:t>
      </w:r>
      <w:r w:rsidRPr="008577F1">
        <w:rPr>
          <w:i/>
        </w:rPr>
        <w:t>Jornal de pediatria</w:t>
      </w:r>
      <w:r w:rsidRPr="008577F1">
        <w:t>,</w:t>
      </w:r>
      <w:r w:rsidRPr="008577F1">
        <w:rPr>
          <w:i/>
        </w:rPr>
        <w:t xml:space="preserve"> 100</w:t>
      </w:r>
      <w:r w:rsidRPr="008577F1">
        <w:t xml:space="preserve">, S18-S30. </w:t>
      </w:r>
    </w:p>
    <w:p w14:paraId="69A34D5F" w14:textId="77777777" w:rsidR="008577F1" w:rsidRPr="008577F1" w:rsidRDefault="008577F1" w:rsidP="008577F1">
      <w:pPr>
        <w:pStyle w:val="EndNoteBibliography"/>
        <w:ind w:left="720" w:hanging="720"/>
      </w:pPr>
      <w:r w:rsidRPr="008577F1">
        <w:t xml:space="preserve">Muggaga, C., Ongeng, D., Mugonola, B., Okello-Uma, I., Kaaya, N., &amp; Taylor, D. (2017). Influence of sociocultural practices on food and nutrition security in Karamoja subregion of Uganda. </w:t>
      </w:r>
      <w:r w:rsidRPr="008577F1">
        <w:rPr>
          <w:i/>
        </w:rPr>
        <w:t>Ecology of food and nutrition</w:t>
      </w:r>
      <w:r w:rsidRPr="008577F1">
        <w:t>,</w:t>
      </w:r>
      <w:r w:rsidRPr="008577F1">
        <w:rPr>
          <w:i/>
        </w:rPr>
        <w:t xml:space="preserve"> 56</w:t>
      </w:r>
      <w:r w:rsidRPr="008577F1">
        <w:t xml:space="preserve">(5), 424-447. </w:t>
      </w:r>
    </w:p>
    <w:p w14:paraId="6EF20E18" w14:textId="77777777" w:rsidR="008577F1" w:rsidRPr="008577F1" w:rsidRDefault="008577F1" w:rsidP="008577F1">
      <w:pPr>
        <w:pStyle w:val="EndNoteBibliography"/>
        <w:ind w:left="720" w:hanging="720"/>
      </w:pPr>
      <w:r w:rsidRPr="008577F1">
        <w:t xml:space="preserve">Nabugoomu, J., Namutebi, A., Kaaya, A. N., &amp; Nasinyama, G. (2015). Nutrition education influences child feeding knowledge attitudes and practices of caregivers in Uganda. </w:t>
      </w:r>
      <w:r w:rsidRPr="008577F1">
        <w:rPr>
          <w:i/>
        </w:rPr>
        <w:t>American Journal of Health Research</w:t>
      </w:r>
      <w:r w:rsidRPr="008577F1">
        <w:t>,</w:t>
      </w:r>
      <w:r w:rsidRPr="008577F1">
        <w:rPr>
          <w:i/>
        </w:rPr>
        <w:t xml:space="preserve"> 3</w:t>
      </w:r>
      <w:r w:rsidRPr="008577F1">
        <w:t xml:space="preserve">(2), 82-90. </w:t>
      </w:r>
    </w:p>
    <w:p w14:paraId="659A082A" w14:textId="77777777" w:rsidR="008577F1" w:rsidRPr="008577F1" w:rsidRDefault="008577F1" w:rsidP="008577F1">
      <w:pPr>
        <w:pStyle w:val="EndNoteBibliography"/>
        <w:ind w:left="720" w:hanging="720"/>
      </w:pPr>
      <w:r w:rsidRPr="008577F1">
        <w:t>Nassanga, P., Okello</w:t>
      </w:r>
      <w:r w:rsidRPr="008577F1">
        <w:rPr>
          <w:rFonts w:ascii="Cambria Math" w:hAnsi="Cambria Math" w:cs="Cambria Math"/>
        </w:rPr>
        <w:t>‐</w:t>
      </w:r>
      <w:r w:rsidRPr="008577F1">
        <w:t>Uma, I., &amp; Ongeng, D. (2018). The status of nutritional knowledge, attitude and practices associated with complementary feeding in a post</w:t>
      </w:r>
      <w:r w:rsidRPr="008577F1">
        <w:rPr>
          <w:rFonts w:ascii="Cambria Math" w:hAnsi="Cambria Math" w:cs="Cambria Math"/>
        </w:rPr>
        <w:t>‐</w:t>
      </w:r>
      <w:r w:rsidRPr="008577F1">
        <w:t xml:space="preserve">conflict </w:t>
      </w:r>
      <w:r w:rsidRPr="008577F1">
        <w:lastRenderedPageBreak/>
        <w:t>development phase setting: The case of Acholi sub</w:t>
      </w:r>
      <w:r w:rsidRPr="008577F1">
        <w:rPr>
          <w:rFonts w:ascii="Cambria Math" w:hAnsi="Cambria Math" w:cs="Cambria Math"/>
        </w:rPr>
        <w:t>‐</w:t>
      </w:r>
      <w:r w:rsidRPr="008577F1">
        <w:t xml:space="preserve">region of Uganda. </w:t>
      </w:r>
      <w:r w:rsidRPr="008577F1">
        <w:rPr>
          <w:i/>
        </w:rPr>
        <w:t>Food science &amp; nutrition</w:t>
      </w:r>
      <w:r w:rsidRPr="008577F1">
        <w:t>,</w:t>
      </w:r>
      <w:r w:rsidRPr="008577F1">
        <w:rPr>
          <w:i/>
        </w:rPr>
        <w:t xml:space="preserve"> 6</w:t>
      </w:r>
      <w:r w:rsidRPr="008577F1">
        <w:t xml:space="preserve">(8), 2374-2385. </w:t>
      </w:r>
    </w:p>
    <w:p w14:paraId="46D30B9B" w14:textId="77777777" w:rsidR="008577F1" w:rsidRPr="008577F1" w:rsidRDefault="008577F1" w:rsidP="008577F1">
      <w:pPr>
        <w:pStyle w:val="EndNoteBibliography"/>
        <w:ind w:left="720" w:hanging="720"/>
      </w:pPr>
      <w:r w:rsidRPr="008577F1">
        <w:t xml:space="preserve">Rathi, N., Riddell, L., &amp; Worsley, A. (2018). Barriers to nutrition promotion in private secondary schools in Kolkata, India: perspectives of parents and teachers. </w:t>
      </w:r>
      <w:r w:rsidRPr="008577F1">
        <w:rPr>
          <w:i/>
        </w:rPr>
        <w:t>International Journal of Environmental Research and Public Health</w:t>
      </w:r>
      <w:r w:rsidRPr="008577F1">
        <w:t>,</w:t>
      </w:r>
      <w:r w:rsidRPr="008577F1">
        <w:rPr>
          <w:i/>
        </w:rPr>
        <w:t xml:space="preserve"> 15</w:t>
      </w:r>
      <w:r w:rsidRPr="008577F1">
        <w:t xml:space="preserve">(6), 1139. </w:t>
      </w:r>
    </w:p>
    <w:p w14:paraId="728B03E1" w14:textId="77777777" w:rsidR="008577F1" w:rsidRPr="008577F1" w:rsidRDefault="008577F1" w:rsidP="008577F1">
      <w:pPr>
        <w:pStyle w:val="EndNoteBibliography"/>
        <w:ind w:left="720" w:hanging="720"/>
      </w:pPr>
      <w:r w:rsidRPr="008577F1">
        <w:t xml:space="preserve">Ruthsatz, M., &amp; Candeias, V. (2020). Non-communicable disease prevention, nutrition and aging. </w:t>
      </w:r>
      <w:r w:rsidRPr="008577F1">
        <w:rPr>
          <w:i/>
        </w:rPr>
        <w:t>Acta Bio Medica: Atenei Parmensis</w:t>
      </w:r>
      <w:r w:rsidRPr="008577F1">
        <w:t>,</w:t>
      </w:r>
      <w:r w:rsidRPr="008577F1">
        <w:rPr>
          <w:i/>
        </w:rPr>
        <w:t xml:space="preserve"> 91</w:t>
      </w:r>
      <w:r w:rsidRPr="008577F1">
        <w:t xml:space="preserve">(2), 379. </w:t>
      </w:r>
    </w:p>
    <w:p w14:paraId="4E24228A" w14:textId="77777777" w:rsidR="008577F1" w:rsidRPr="008577F1" w:rsidRDefault="008577F1" w:rsidP="008577F1">
      <w:pPr>
        <w:pStyle w:val="EndNoteBibliography"/>
        <w:ind w:left="720" w:hanging="720"/>
      </w:pPr>
      <w:r w:rsidRPr="008577F1">
        <w:t xml:space="preserve">Sando, D., Sachin, S., Moshi, G., Sando, M. M., Yussuf, M., Mwakitalima, A., &amp; Fawzi, W. (2025). School health and nutrition services for children and adolescents in Tanzania: A review of policies and programmes. </w:t>
      </w:r>
      <w:r w:rsidRPr="008577F1">
        <w:rPr>
          <w:i/>
        </w:rPr>
        <w:t>Maternal &amp; Child Nutrition</w:t>
      </w:r>
      <w:r w:rsidRPr="008577F1">
        <w:t>,</w:t>
      </w:r>
      <w:r w:rsidRPr="008577F1">
        <w:rPr>
          <w:i/>
        </w:rPr>
        <w:t xml:space="preserve"> 21</w:t>
      </w:r>
      <w:r w:rsidRPr="008577F1">
        <w:t xml:space="preserve">, e13544. </w:t>
      </w:r>
    </w:p>
    <w:p w14:paraId="423EEC9A" w14:textId="77777777" w:rsidR="008577F1" w:rsidRPr="008577F1" w:rsidRDefault="008577F1" w:rsidP="008577F1">
      <w:pPr>
        <w:pStyle w:val="EndNoteBibliography"/>
        <w:ind w:left="720" w:hanging="720"/>
      </w:pPr>
      <w:r w:rsidRPr="008577F1">
        <w:t xml:space="preserve">Scott, S. K., &amp; Saginak, K. A. (2016). Adolescence: Physical and cognitive development. </w:t>
      </w:r>
      <w:r w:rsidRPr="008577F1">
        <w:rPr>
          <w:i/>
        </w:rPr>
        <w:t>Human growth and development across the lifespan: Applications for counselors</w:t>
      </w:r>
      <w:r w:rsidRPr="008577F1">
        <w:t xml:space="preserve">, 307-346. </w:t>
      </w:r>
    </w:p>
    <w:p w14:paraId="08FBF2BE" w14:textId="130853F9" w:rsidR="008577F1" w:rsidRPr="008577F1" w:rsidRDefault="008577F1" w:rsidP="008577F1">
      <w:pPr>
        <w:pStyle w:val="EndNoteBibliography"/>
        <w:ind w:left="720" w:hanging="720"/>
      </w:pPr>
      <w:r w:rsidRPr="008577F1">
        <w:t xml:space="preserve">Shaw, S., Barrett, M., Shand, C., Cooper, C., Crozier, S., Smith, D., Barker, M., &amp; Vogel, C. (2023). Influences of the community and consumer nutrition environment on the food purchases and dietary behaviors of adolescents: A systematic review. </w:t>
      </w:r>
      <w:r w:rsidRPr="008577F1">
        <w:rPr>
          <w:i/>
        </w:rPr>
        <w:t>Obesity Reviews</w:t>
      </w:r>
      <w:r w:rsidRPr="008577F1">
        <w:t>,</w:t>
      </w:r>
      <w:r w:rsidRPr="008577F1">
        <w:rPr>
          <w:i/>
        </w:rPr>
        <w:t xml:space="preserve"> 24</w:t>
      </w:r>
      <w:r w:rsidRPr="008577F1">
        <w:t xml:space="preserve">. </w:t>
      </w:r>
      <w:hyperlink r:id="rId19" w:history="1">
        <w:r w:rsidRPr="008577F1">
          <w:rPr>
            <w:rStyle w:val="Hyperlink"/>
          </w:rPr>
          <w:t>https://doi.org/10.1111/obr.13569</w:t>
        </w:r>
      </w:hyperlink>
      <w:r w:rsidRPr="008577F1">
        <w:t xml:space="preserve"> </w:t>
      </w:r>
    </w:p>
    <w:p w14:paraId="036B10FC" w14:textId="0352F4E6" w:rsidR="008577F1" w:rsidRPr="008577F1" w:rsidRDefault="008577F1" w:rsidP="008577F1">
      <w:pPr>
        <w:pStyle w:val="EndNoteBibliography"/>
        <w:ind w:left="720" w:hanging="720"/>
      </w:pPr>
      <w:r w:rsidRPr="008577F1">
        <w:t xml:space="preserve">Soloveva, M., Barnett, A., Mellecker, R., Sit, C., Lai, P., Zhang, C. J. P., Sallis, J., &amp; Cerin, E. (2025). Neighbourhood, school and home food environment associations with dietary behaviours in Hong Kong adolescents: the iHealth study. </w:t>
      </w:r>
      <w:r w:rsidRPr="008577F1">
        <w:rPr>
          <w:i/>
        </w:rPr>
        <w:t>Health &amp; place</w:t>
      </w:r>
      <w:r w:rsidRPr="008577F1">
        <w:t>,</w:t>
      </w:r>
      <w:r w:rsidRPr="008577F1">
        <w:rPr>
          <w:i/>
        </w:rPr>
        <w:t xml:space="preserve"> 93</w:t>
      </w:r>
      <w:r w:rsidRPr="008577F1">
        <w:t xml:space="preserve">, 103472. </w:t>
      </w:r>
      <w:hyperlink r:id="rId20" w:history="1">
        <w:r w:rsidRPr="008577F1">
          <w:rPr>
            <w:rStyle w:val="Hyperlink"/>
          </w:rPr>
          <w:t>https://doi.org/10.1016/j.healthplace.2025.103472</w:t>
        </w:r>
      </w:hyperlink>
      <w:r w:rsidRPr="008577F1">
        <w:t xml:space="preserve"> </w:t>
      </w:r>
    </w:p>
    <w:p w14:paraId="78342997" w14:textId="5614936A" w:rsidR="008577F1" w:rsidRPr="008577F1" w:rsidRDefault="008577F1" w:rsidP="008577F1">
      <w:pPr>
        <w:pStyle w:val="EndNoteBibliography"/>
        <w:ind w:left="720" w:hanging="720"/>
      </w:pPr>
      <w:r w:rsidRPr="008577F1">
        <w:t xml:space="preserve">Tabbakh, T., &amp; Freeland-Graves, J. (2016). The home environment: A mediator of nutrition knowledge and diet quality in adolescents. </w:t>
      </w:r>
      <w:r w:rsidRPr="008577F1">
        <w:rPr>
          <w:i/>
        </w:rPr>
        <w:t>Appetite</w:t>
      </w:r>
      <w:r w:rsidRPr="008577F1">
        <w:t>,</w:t>
      </w:r>
      <w:r w:rsidRPr="008577F1">
        <w:rPr>
          <w:i/>
        </w:rPr>
        <w:t xml:space="preserve"> 105</w:t>
      </w:r>
      <w:r w:rsidRPr="008577F1">
        <w:t xml:space="preserve">, 46-52. </w:t>
      </w:r>
      <w:hyperlink r:id="rId21" w:history="1">
        <w:r w:rsidRPr="008577F1">
          <w:rPr>
            <w:rStyle w:val="Hyperlink"/>
          </w:rPr>
          <w:t>https://doi.org/10.1016/j.appet.2016.05.002</w:t>
        </w:r>
      </w:hyperlink>
      <w:r w:rsidRPr="008577F1">
        <w:t xml:space="preserve"> </w:t>
      </w:r>
    </w:p>
    <w:p w14:paraId="75B74B98" w14:textId="3B97A07F" w:rsidR="008577F1" w:rsidRPr="008577F1" w:rsidRDefault="008577F1" w:rsidP="008577F1">
      <w:pPr>
        <w:pStyle w:val="EndNoteBibliography"/>
        <w:ind w:left="720" w:hanging="720"/>
      </w:pPr>
      <w:r w:rsidRPr="008577F1">
        <w:t xml:space="preserve">Verstraeten, R., Leroy, J., Pieniak, Z., Ochoa-Avilés, A., Holdsworth, M., Verbeke, W., Maes, L., &amp; Kolsteren, P. (2016). Individual and Environmental Factors Influencing Adolescents’ Dietary Behavior in Low- and Middle-Income Settings. </w:t>
      </w:r>
      <w:r w:rsidRPr="008577F1">
        <w:rPr>
          <w:i/>
        </w:rPr>
        <w:t>PLoS ONE</w:t>
      </w:r>
      <w:r w:rsidRPr="008577F1">
        <w:t>,</w:t>
      </w:r>
      <w:r w:rsidRPr="008577F1">
        <w:rPr>
          <w:i/>
        </w:rPr>
        <w:t xml:space="preserve"> 11</w:t>
      </w:r>
      <w:r w:rsidRPr="008577F1">
        <w:t xml:space="preserve">. </w:t>
      </w:r>
      <w:hyperlink r:id="rId22" w:history="1">
        <w:r w:rsidRPr="008577F1">
          <w:rPr>
            <w:rStyle w:val="Hyperlink"/>
          </w:rPr>
          <w:t>https://doi.org/10.1371/journal.pone.0157744</w:t>
        </w:r>
      </w:hyperlink>
      <w:r w:rsidRPr="008577F1">
        <w:t xml:space="preserve"> </w:t>
      </w:r>
    </w:p>
    <w:p w14:paraId="6AC0B840" w14:textId="77777777" w:rsidR="008577F1" w:rsidRPr="008577F1" w:rsidRDefault="008577F1" w:rsidP="008577F1">
      <w:pPr>
        <w:pStyle w:val="EndNoteBibliography"/>
        <w:ind w:left="720" w:hanging="720"/>
      </w:pPr>
      <w:r w:rsidRPr="008577F1">
        <w:t xml:space="preserve">Vidhya, C., Sree, P. N., Rani, K. S., Srivastava, P., Banu, A. R., Sahu, P., &amp; Rajpal, C. (2023). Maternal Nutritional Understanding, Attitudes, and Practices: Implications for Children's Eating Habits. </w:t>
      </w:r>
      <w:r w:rsidRPr="008577F1">
        <w:rPr>
          <w:i/>
        </w:rPr>
        <w:t>Children</w:t>
      </w:r>
      <w:r w:rsidRPr="008577F1">
        <w:t>,</w:t>
      </w:r>
      <w:r w:rsidRPr="008577F1">
        <w:rPr>
          <w:i/>
        </w:rPr>
        <w:t xml:space="preserve"> 1</w:t>
      </w:r>
      <w:r w:rsidRPr="008577F1">
        <w:t xml:space="preserve">, 5. </w:t>
      </w:r>
    </w:p>
    <w:p w14:paraId="3A86FDA7" w14:textId="77777777" w:rsidR="008577F1" w:rsidRPr="008577F1" w:rsidRDefault="008577F1" w:rsidP="008577F1">
      <w:pPr>
        <w:pStyle w:val="EndNoteBibliography"/>
        <w:ind w:left="720" w:hanging="720"/>
      </w:pPr>
      <w:r w:rsidRPr="008577F1">
        <w:t xml:space="preserve">Waldner, I., Mittischek, L., &amp; Klinger, S. (2021). The role of influencers on young people and its consequences for the development of teaching competence in nutrition and consumer education. Conference Proceedings of the STS Conference Graz, </w:t>
      </w:r>
    </w:p>
    <w:p w14:paraId="30075D5E" w14:textId="77777777" w:rsidR="008577F1" w:rsidRPr="008577F1" w:rsidRDefault="008577F1" w:rsidP="008577F1">
      <w:pPr>
        <w:pStyle w:val="EndNoteBibliography"/>
        <w:ind w:left="720" w:hanging="720"/>
      </w:pPr>
      <w:r w:rsidRPr="008577F1">
        <w:t xml:space="preserve">Welker, E., Lott, M., &amp; Story, M. (2016). The school food environment and obesity prevention: progress over the last decade. </w:t>
      </w:r>
      <w:r w:rsidRPr="008577F1">
        <w:rPr>
          <w:i/>
        </w:rPr>
        <w:t>Current obesity reports</w:t>
      </w:r>
      <w:r w:rsidRPr="008577F1">
        <w:t>,</w:t>
      </w:r>
      <w:r w:rsidRPr="008577F1">
        <w:rPr>
          <w:i/>
        </w:rPr>
        <w:t xml:space="preserve"> 5</w:t>
      </w:r>
      <w:r w:rsidRPr="008577F1">
        <w:t xml:space="preserve">(2), 145-155. </w:t>
      </w:r>
    </w:p>
    <w:p w14:paraId="13359493" w14:textId="77777777" w:rsidR="008577F1" w:rsidRPr="008577F1" w:rsidRDefault="008577F1" w:rsidP="008577F1">
      <w:pPr>
        <w:pStyle w:val="EndNoteBibliography"/>
        <w:ind w:left="720" w:hanging="720"/>
      </w:pPr>
      <w:r w:rsidRPr="008577F1">
        <w:t xml:space="preserve">Yee, A. Z., Lwin, M. O., &amp; Ho, S. S. (2017). The influence of parental practices on child promotive and preventive food consumption behaviors: a systematic review and meta-analysis. </w:t>
      </w:r>
      <w:r w:rsidRPr="008577F1">
        <w:rPr>
          <w:i/>
        </w:rPr>
        <w:t>International Journal of Behavioral Nutrition and Physical Activity</w:t>
      </w:r>
      <w:r w:rsidRPr="008577F1">
        <w:t>,</w:t>
      </w:r>
      <w:r w:rsidRPr="008577F1">
        <w:rPr>
          <w:i/>
        </w:rPr>
        <w:t xml:space="preserve"> 14</w:t>
      </w:r>
      <w:r w:rsidRPr="008577F1">
        <w:t xml:space="preserve">(1), 47. </w:t>
      </w:r>
    </w:p>
    <w:p w14:paraId="255BAEC0" w14:textId="796E3008" w:rsidR="00B01FCD" w:rsidRPr="00E622FF" w:rsidRDefault="00E622FF" w:rsidP="00E622FF">
      <w:pPr>
        <w:spacing w:before="100" w:beforeAutospacing="1" w:after="100" w:afterAutospacing="1" w:line="276" w:lineRule="auto"/>
        <w:jc w:val="both"/>
        <w:outlineLvl w:val="0"/>
        <w:rPr>
          <w:rFonts w:ascii="Times New Roman" w:hAnsi="Times New Roman"/>
          <w:b/>
          <w:bCs/>
          <w:kern w:val="36"/>
          <w:sz w:val="48"/>
          <w:szCs w:val="48"/>
          <w:lang w:eastAsia="zh-CN"/>
        </w:rPr>
      </w:pPr>
      <w:r w:rsidRPr="00E622FF">
        <w:rPr>
          <w:rFonts w:ascii="Arial" w:hAnsi="Arial" w:cs="Arial"/>
          <w:b/>
          <w:bCs/>
          <w:kern w:val="36"/>
          <w:lang w:eastAsia="zh-CN"/>
        </w:rPr>
        <w:fldChar w:fldCharType="end"/>
      </w:r>
    </w:p>
    <w:sectPr w:rsidR="00B01FCD" w:rsidRPr="00E622FF" w:rsidSect="00FB4D30">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128B7" w14:textId="77777777" w:rsidR="007143A9" w:rsidRDefault="007143A9" w:rsidP="00C37E61">
      <w:r>
        <w:separator/>
      </w:r>
    </w:p>
  </w:endnote>
  <w:endnote w:type="continuationSeparator" w:id="0">
    <w:p w14:paraId="76B8D48C" w14:textId="77777777" w:rsidR="007143A9" w:rsidRDefault="007143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2599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F4DDB" w14:textId="77777777" w:rsidR="007143A9" w:rsidRDefault="007143A9" w:rsidP="00C37E61">
      <w:r>
        <w:separator/>
      </w:r>
    </w:p>
  </w:footnote>
  <w:footnote w:type="continuationSeparator" w:id="0">
    <w:p w14:paraId="5BE5C7BE" w14:textId="77777777" w:rsidR="007143A9" w:rsidRDefault="007143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02089" w14:textId="75809D03" w:rsidR="00FB4D30" w:rsidRDefault="007143A9">
    <w:pPr>
      <w:pStyle w:val="Header"/>
    </w:pPr>
    <w:r>
      <w:rPr>
        <w:noProof/>
      </w:rPr>
      <w:pict w14:anchorId="6DDA9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BAF7" w14:textId="40C76266" w:rsidR="00FB4D30" w:rsidRDefault="007143A9">
    <w:pPr>
      <w:pStyle w:val="Header"/>
    </w:pPr>
    <w:r>
      <w:rPr>
        <w:noProof/>
      </w:rPr>
      <w:pict w14:anchorId="65E943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4E9B4" w14:textId="232DFDAF" w:rsidR="00296529" w:rsidRPr="00296529" w:rsidRDefault="007143A9" w:rsidP="00296529">
    <w:pPr>
      <w:ind w:left="2160"/>
      <w:jc w:val="center"/>
      <w:rPr>
        <w:rFonts w:ascii="Times New Roman" w:eastAsia="Calibri" w:hAnsi="Times New Roman"/>
        <w:i/>
        <w:sz w:val="18"/>
        <w:szCs w:val="22"/>
      </w:rPr>
    </w:pPr>
    <w:r>
      <w:rPr>
        <w:noProof/>
      </w:rPr>
      <w:pict w14:anchorId="3FC27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F657E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A9858D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953B6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14854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4AE5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56AD0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04D4C" w14:textId="15F45F61" w:rsidR="00FB4D30" w:rsidRDefault="007143A9">
    <w:pPr>
      <w:pStyle w:val="Header"/>
    </w:pPr>
    <w:r>
      <w:rPr>
        <w:noProof/>
      </w:rPr>
      <w:pict w14:anchorId="1A99B6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127E2" w14:textId="11571063" w:rsidR="00FB4D30" w:rsidRDefault="007143A9">
    <w:pPr>
      <w:pStyle w:val="Header"/>
    </w:pPr>
    <w:r>
      <w:rPr>
        <w:noProof/>
      </w:rPr>
      <w:pict w14:anchorId="6CE11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1B334" w14:textId="6FB416E6" w:rsidR="00FB4D30" w:rsidRDefault="007143A9">
    <w:pPr>
      <w:pStyle w:val="Header"/>
    </w:pPr>
    <w:r>
      <w:rPr>
        <w:noProof/>
      </w:rPr>
      <w:pict w14:anchorId="105D8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757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8572C0"/>
    <w:multiLevelType w:val="hybridMultilevel"/>
    <w:tmpl w:val="E10C3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990pt9r5ppp9errx2522v65fxfs2xpx5e2&quot;&gt;NC EndNote Library&lt;record-ids&gt;&lt;item&gt;1&lt;/item&gt;&lt;item&gt;2&lt;/item&gt;&lt;item&gt;3&lt;/item&gt;&lt;item&gt;5&lt;/item&gt;&lt;item&gt;10&lt;/item&gt;&lt;item&gt;14&lt;/item&gt;&lt;item&gt;17&lt;/item&gt;&lt;item&gt;18&lt;/item&gt;&lt;item&gt;19&lt;/item&gt;&lt;item&gt;21&lt;/item&gt;&lt;item&gt;25&lt;/item&gt;&lt;item&gt;28&lt;/item&gt;&lt;item&gt;32&lt;/item&gt;&lt;item&gt;37&lt;/item&gt;&lt;item&gt;38&lt;/item&gt;&lt;item&gt;39&lt;/item&gt;&lt;item&gt;41&lt;/item&gt;&lt;item&gt;42&lt;/item&gt;&lt;item&gt;43&lt;/item&gt;&lt;item&gt;44&lt;/item&gt;&lt;item&gt;45&lt;/item&gt;&lt;item&gt;48&lt;/item&gt;&lt;item&gt;49&lt;/item&gt;&lt;item&gt;50&lt;/item&gt;&lt;item&gt;51&lt;/item&gt;&lt;item&gt;52&lt;/item&gt;&lt;item&gt;53&lt;/item&gt;&lt;item&gt;54&lt;/item&gt;&lt;item&gt;55&lt;/item&gt;&lt;/record-ids&gt;&lt;/item&gt;&lt;/Libraries&gt;"/>
  </w:docVars>
  <w:rsids>
    <w:rsidRoot w:val="00AA6219"/>
    <w:rsid w:val="00000F8F"/>
    <w:rsid w:val="00014E54"/>
    <w:rsid w:val="00030174"/>
    <w:rsid w:val="0004579C"/>
    <w:rsid w:val="00096783"/>
    <w:rsid w:val="000A47FA"/>
    <w:rsid w:val="000A65D3"/>
    <w:rsid w:val="000B1E33"/>
    <w:rsid w:val="000B3412"/>
    <w:rsid w:val="000D689F"/>
    <w:rsid w:val="000E7B7B"/>
    <w:rsid w:val="000E7D62"/>
    <w:rsid w:val="00103357"/>
    <w:rsid w:val="00123C9F"/>
    <w:rsid w:val="00126190"/>
    <w:rsid w:val="00130F17"/>
    <w:rsid w:val="001320BF"/>
    <w:rsid w:val="00163BC4"/>
    <w:rsid w:val="00176D1E"/>
    <w:rsid w:val="00191062"/>
    <w:rsid w:val="00191F23"/>
    <w:rsid w:val="00192B72"/>
    <w:rsid w:val="0019697E"/>
    <w:rsid w:val="001A29D8"/>
    <w:rsid w:val="001A5CAA"/>
    <w:rsid w:val="001B0427"/>
    <w:rsid w:val="001D3A51"/>
    <w:rsid w:val="001E10D2"/>
    <w:rsid w:val="001E1F1E"/>
    <w:rsid w:val="001E25B4"/>
    <w:rsid w:val="001E44FE"/>
    <w:rsid w:val="00200595"/>
    <w:rsid w:val="00204835"/>
    <w:rsid w:val="00231920"/>
    <w:rsid w:val="0023195C"/>
    <w:rsid w:val="0024282C"/>
    <w:rsid w:val="002460DC"/>
    <w:rsid w:val="00250985"/>
    <w:rsid w:val="002556F6"/>
    <w:rsid w:val="00283105"/>
    <w:rsid w:val="00284C4C"/>
    <w:rsid w:val="00287E68"/>
    <w:rsid w:val="002955EE"/>
    <w:rsid w:val="00296529"/>
    <w:rsid w:val="002B27FB"/>
    <w:rsid w:val="002B685A"/>
    <w:rsid w:val="002C57D2"/>
    <w:rsid w:val="002E0D56"/>
    <w:rsid w:val="00315186"/>
    <w:rsid w:val="0033249E"/>
    <w:rsid w:val="0033343E"/>
    <w:rsid w:val="0034347F"/>
    <w:rsid w:val="003512C2"/>
    <w:rsid w:val="00371FB6"/>
    <w:rsid w:val="003763C1"/>
    <w:rsid w:val="00376BBE"/>
    <w:rsid w:val="003856BD"/>
    <w:rsid w:val="0039224F"/>
    <w:rsid w:val="003A43A4"/>
    <w:rsid w:val="003A7E18"/>
    <w:rsid w:val="003B5D9E"/>
    <w:rsid w:val="003C4C86"/>
    <w:rsid w:val="003C6258"/>
    <w:rsid w:val="003E2904"/>
    <w:rsid w:val="00401927"/>
    <w:rsid w:val="0041027F"/>
    <w:rsid w:val="00412402"/>
    <w:rsid w:val="00412475"/>
    <w:rsid w:val="00423789"/>
    <w:rsid w:val="00440F43"/>
    <w:rsid w:val="00441B6F"/>
    <w:rsid w:val="00446221"/>
    <w:rsid w:val="00450E62"/>
    <w:rsid w:val="004539DB"/>
    <w:rsid w:val="00471A80"/>
    <w:rsid w:val="00493803"/>
    <w:rsid w:val="004B6E51"/>
    <w:rsid w:val="004D305E"/>
    <w:rsid w:val="004D4277"/>
    <w:rsid w:val="00502516"/>
    <w:rsid w:val="00503680"/>
    <w:rsid w:val="00505F06"/>
    <w:rsid w:val="00506387"/>
    <w:rsid w:val="00506828"/>
    <w:rsid w:val="005174C9"/>
    <w:rsid w:val="0053056E"/>
    <w:rsid w:val="005428D3"/>
    <w:rsid w:val="00554FDA"/>
    <w:rsid w:val="00560079"/>
    <w:rsid w:val="005C784C"/>
    <w:rsid w:val="005D17F6"/>
    <w:rsid w:val="005E5539"/>
    <w:rsid w:val="00602BF5"/>
    <w:rsid w:val="00617FDD"/>
    <w:rsid w:val="00633614"/>
    <w:rsid w:val="00633F68"/>
    <w:rsid w:val="00636EB2"/>
    <w:rsid w:val="006375B8"/>
    <w:rsid w:val="0066510A"/>
    <w:rsid w:val="00673F9F"/>
    <w:rsid w:val="00681E7A"/>
    <w:rsid w:val="00686953"/>
    <w:rsid w:val="00687DEA"/>
    <w:rsid w:val="00687E67"/>
    <w:rsid w:val="006967F7"/>
    <w:rsid w:val="006A250C"/>
    <w:rsid w:val="006A4B86"/>
    <w:rsid w:val="006B1D06"/>
    <w:rsid w:val="006B21D3"/>
    <w:rsid w:val="006B57D0"/>
    <w:rsid w:val="006D30FF"/>
    <w:rsid w:val="006D6940"/>
    <w:rsid w:val="006F11EC"/>
    <w:rsid w:val="0070082C"/>
    <w:rsid w:val="007143A9"/>
    <w:rsid w:val="007369E6"/>
    <w:rsid w:val="00746E59"/>
    <w:rsid w:val="00754C9A"/>
    <w:rsid w:val="0075599A"/>
    <w:rsid w:val="00761D52"/>
    <w:rsid w:val="0077749E"/>
    <w:rsid w:val="00790ADA"/>
    <w:rsid w:val="007D1C20"/>
    <w:rsid w:val="007D2288"/>
    <w:rsid w:val="007D4055"/>
    <w:rsid w:val="007E088F"/>
    <w:rsid w:val="007F7B32"/>
    <w:rsid w:val="00804BC2"/>
    <w:rsid w:val="0081431A"/>
    <w:rsid w:val="0083216F"/>
    <w:rsid w:val="00833165"/>
    <w:rsid w:val="008577F1"/>
    <w:rsid w:val="00860000"/>
    <w:rsid w:val="00863BD3"/>
    <w:rsid w:val="008641ED"/>
    <w:rsid w:val="00866D66"/>
    <w:rsid w:val="008671C6"/>
    <w:rsid w:val="00875803"/>
    <w:rsid w:val="008948CF"/>
    <w:rsid w:val="008B459E"/>
    <w:rsid w:val="008B46B4"/>
    <w:rsid w:val="008E13AE"/>
    <w:rsid w:val="008E1506"/>
    <w:rsid w:val="008E710C"/>
    <w:rsid w:val="008F69D6"/>
    <w:rsid w:val="00902823"/>
    <w:rsid w:val="00915CA6"/>
    <w:rsid w:val="00925994"/>
    <w:rsid w:val="00927834"/>
    <w:rsid w:val="009420C1"/>
    <w:rsid w:val="009500A6"/>
    <w:rsid w:val="00957C18"/>
    <w:rsid w:val="009659BA"/>
    <w:rsid w:val="00983040"/>
    <w:rsid w:val="009941AA"/>
    <w:rsid w:val="009B3FB9"/>
    <w:rsid w:val="009C2465"/>
    <w:rsid w:val="009D35A0"/>
    <w:rsid w:val="009D7EB7"/>
    <w:rsid w:val="009E048A"/>
    <w:rsid w:val="009E08E9"/>
    <w:rsid w:val="009E3DB9"/>
    <w:rsid w:val="009E6E35"/>
    <w:rsid w:val="009F0EDA"/>
    <w:rsid w:val="00A03B96"/>
    <w:rsid w:val="00A05B19"/>
    <w:rsid w:val="00A1134E"/>
    <w:rsid w:val="00A17619"/>
    <w:rsid w:val="00A24E7E"/>
    <w:rsid w:val="00A258C3"/>
    <w:rsid w:val="00A347C0"/>
    <w:rsid w:val="00A51431"/>
    <w:rsid w:val="00A539AD"/>
    <w:rsid w:val="00A94063"/>
    <w:rsid w:val="00AA6219"/>
    <w:rsid w:val="00AA74E0"/>
    <w:rsid w:val="00AB703F"/>
    <w:rsid w:val="00AC6BB8"/>
    <w:rsid w:val="00AE008F"/>
    <w:rsid w:val="00AF1112"/>
    <w:rsid w:val="00B01FCD"/>
    <w:rsid w:val="00B1776C"/>
    <w:rsid w:val="00B52583"/>
    <w:rsid w:val="00B52896"/>
    <w:rsid w:val="00B95236"/>
    <w:rsid w:val="00B96BD9"/>
    <w:rsid w:val="00BA1B01"/>
    <w:rsid w:val="00BA2641"/>
    <w:rsid w:val="00BB37AA"/>
    <w:rsid w:val="00BB4943"/>
    <w:rsid w:val="00BC53A0"/>
    <w:rsid w:val="00BE62AD"/>
    <w:rsid w:val="00BF121F"/>
    <w:rsid w:val="00BF1F80"/>
    <w:rsid w:val="00C166EF"/>
    <w:rsid w:val="00C17EB0"/>
    <w:rsid w:val="00C27F5F"/>
    <w:rsid w:val="00C30A0F"/>
    <w:rsid w:val="00C37CCC"/>
    <w:rsid w:val="00C37E61"/>
    <w:rsid w:val="00C70F1B"/>
    <w:rsid w:val="00C71A47"/>
    <w:rsid w:val="00C7464C"/>
    <w:rsid w:val="00C85588"/>
    <w:rsid w:val="00C9634D"/>
    <w:rsid w:val="00CD6755"/>
    <w:rsid w:val="00CD6856"/>
    <w:rsid w:val="00CE0089"/>
    <w:rsid w:val="00CE793C"/>
    <w:rsid w:val="00CF193C"/>
    <w:rsid w:val="00D173F1"/>
    <w:rsid w:val="00D3657C"/>
    <w:rsid w:val="00D66DB7"/>
    <w:rsid w:val="00D74CB0"/>
    <w:rsid w:val="00D8295D"/>
    <w:rsid w:val="00DC2A65"/>
    <w:rsid w:val="00DD5F5B"/>
    <w:rsid w:val="00DE15F0"/>
    <w:rsid w:val="00DE5663"/>
    <w:rsid w:val="00DE78AA"/>
    <w:rsid w:val="00E053D0"/>
    <w:rsid w:val="00E15994"/>
    <w:rsid w:val="00E3114E"/>
    <w:rsid w:val="00E31A70"/>
    <w:rsid w:val="00E34E6B"/>
    <w:rsid w:val="00E35B02"/>
    <w:rsid w:val="00E622FF"/>
    <w:rsid w:val="00E66496"/>
    <w:rsid w:val="00E66B35"/>
    <w:rsid w:val="00E66E10"/>
    <w:rsid w:val="00E769F6"/>
    <w:rsid w:val="00E8027C"/>
    <w:rsid w:val="00E8407C"/>
    <w:rsid w:val="00E84F3C"/>
    <w:rsid w:val="00EA012C"/>
    <w:rsid w:val="00EC6A55"/>
    <w:rsid w:val="00ED0288"/>
    <w:rsid w:val="00EE52CB"/>
    <w:rsid w:val="00EF18FB"/>
    <w:rsid w:val="00EF581D"/>
    <w:rsid w:val="00EF7FD8"/>
    <w:rsid w:val="00F06F59"/>
    <w:rsid w:val="00F17988"/>
    <w:rsid w:val="00F26713"/>
    <w:rsid w:val="00F469F0"/>
    <w:rsid w:val="00F53273"/>
    <w:rsid w:val="00F755E4"/>
    <w:rsid w:val="00F77D02"/>
    <w:rsid w:val="00FB3A86"/>
    <w:rsid w:val="00FB4D30"/>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6CDEE3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E34E6B"/>
    <w:rPr>
      <w:rFonts w:eastAsiaTheme="minorEastAsia" w:cstheme="minorBidi"/>
      <w:b/>
      <w:kern w:val="2"/>
      <w:sz w:val="24"/>
      <w:szCs w:val="24"/>
      <w:lang w:val="en" w:eastAsia="zh-CN"/>
    </w:rPr>
  </w:style>
  <w:style w:type="table" w:customStyle="1" w:styleId="TableGridLight1">
    <w:name w:val="Table Grid Light1"/>
    <w:basedOn w:val="TableNormal"/>
    <w:next w:val="TableNormal"/>
    <w:uiPriority w:val="40"/>
    <w:rsid w:val="00E34E6B"/>
    <w:rPr>
      <w:rFonts w:asciiTheme="minorHAnsi" w:eastAsia="Calibri" w:hAnsiTheme="minorHAns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next w:val="NoSpacing"/>
    <w:uiPriority w:val="1"/>
    <w:qFormat/>
    <w:rsid w:val="00E34E6B"/>
    <w:pPr>
      <w:spacing w:line="360" w:lineRule="auto"/>
      <w:jc w:val="both"/>
    </w:pPr>
    <w:rPr>
      <w:rFonts w:eastAsiaTheme="minorEastAsia" w:cstheme="minorBidi"/>
      <w:b/>
      <w:kern w:val="2"/>
      <w:sz w:val="24"/>
      <w:szCs w:val="24"/>
      <w:lang w:val="en"/>
    </w:rPr>
  </w:style>
  <w:style w:type="table" w:customStyle="1" w:styleId="PlainTable24">
    <w:name w:val="Plain Table 24"/>
    <w:basedOn w:val="TableNormal"/>
    <w:next w:val="PlainTable2"/>
    <w:uiPriority w:val="42"/>
    <w:rsid w:val="00E34E6B"/>
    <w:rPr>
      <w:rFonts w:asciiTheme="minorHAnsi" w:eastAsiaTheme="minorEastAsia" w:hAnsiTheme="minorHAnsi" w:cstheme="minorBidi"/>
      <w:kern w:val="2"/>
      <w:sz w:val="24"/>
      <w:szCs w:val="24"/>
      <w:lang w:val="e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unhideWhenUsed/>
    <w:qFormat/>
    <w:rsid w:val="00E34E6B"/>
    <w:pPr>
      <w:spacing w:after="200"/>
    </w:pPr>
    <w:rPr>
      <w:rFonts w:ascii="Times New Roman" w:eastAsiaTheme="minorEastAsia" w:hAnsi="Times New Roman" w:cstheme="minorBidi"/>
      <w:i/>
      <w:iCs/>
      <w:color w:val="1F497D" w:themeColor="text2"/>
      <w:kern w:val="2"/>
      <w:sz w:val="18"/>
      <w:szCs w:val="18"/>
      <w:lang w:val="en" w:eastAsia="zh-CN"/>
    </w:rPr>
  </w:style>
  <w:style w:type="table" w:styleId="PlainTable2">
    <w:name w:val="Plain Table 2"/>
    <w:basedOn w:val="TableNormal"/>
    <w:uiPriority w:val="42"/>
    <w:rsid w:val="00E34E6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3B5D9E"/>
    <w:pPr>
      <w:spacing w:after="200" w:line="276" w:lineRule="auto"/>
      <w:ind w:left="720"/>
      <w:contextualSpacing/>
    </w:pPr>
    <w:rPr>
      <w:rFonts w:asciiTheme="minorHAnsi" w:eastAsiaTheme="minorHAnsi" w:hAnsiTheme="minorHAnsi" w:cstheme="minorBidi"/>
      <w:sz w:val="22"/>
      <w:szCs w:val="22"/>
    </w:rPr>
  </w:style>
  <w:style w:type="paragraph" w:customStyle="1" w:styleId="EndNoteBibliographyTitle">
    <w:name w:val="EndNote Bibliography Title"/>
    <w:basedOn w:val="Normal"/>
    <w:link w:val="EndNoteBibliographyTitleChar"/>
    <w:rsid w:val="008577F1"/>
    <w:pPr>
      <w:jc w:val="center"/>
    </w:pPr>
    <w:rPr>
      <w:rFonts w:cs="Helvetica"/>
      <w:noProof/>
    </w:rPr>
  </w:style>
  <w:style w:type="character" w:customStyle="1" w:styleId="EndNoteBibliographyTitleChar">
    <w:name w:val="EndNote Bibliography Title Char"/>
    <w:basedOn w:val="DefaultParagraphFont"/>
    <w:link w:val="EndNoteBibliographyTitle"/>
    <w:rsid w:val="008577F1"/>
    <w:rPr>
      <w:rFonts w:ascii="Helvetica" w:hAnsi="Helvetica" w:cs="Helvetica"/>
      <w:noProof/>
    </w:rPr>
  </w:style>
  <w:style w:type="paragraph" w:customStyle="1" w:styleId="EndNoteBibliography">
    <w:name w:val="EndNote Bibliography"/>
    <w:basedOn w:val="Normal"/>
    <w:link w:val="EndNoteBibliographyChar"/>
    <w:rsid w:val="008577F1"/>
    <w:pPr>
      <w:jc w:val="both"/>
    </w:pPr>
    <w:rPr>
      <w:rFonts w:cs="Helvetica"/>
      <w:noProof/>
    </w:rPr>
  </w:style>
  <w:style w:type="character" w:customStyle="1" w:styleId="EndNoteBibliographyChar">
    <w:name w:val="EndNote Bibliography Char"/>
    <w:basedOn w:val="DefaultParagraphFont"/>
    <w:link w:val="EndNoteBibliography"/>
    <w:rsid w:val="008577F1"/>
    <w:rPr>
      <w:rFonts w:ascii="Helvetica" w:hAnsi="Helvetica" w:cs="Helvetic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hyperlink" Target="https://doi.org/10.3390/nu11092215"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16/j.appet.2016.05.002"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doi.org/10.1016/j.gfs.2020.10040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https://doi.org/10.1016/j.clnu.2020.03.020" TargetMode="External"/><Relationship Id="rId20" Type="http://schemas.openxmlformats.org/officeDocument/2006/relationships/hyperlink" Target="https://doi.org/10.1016/j.healthplace.2025.1034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https://doi.org/10.1016/j.nutos.2023.08.009"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doi.org/10.1111/obr.1356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appet.2018.12.034" TargetMode="External"/><Relationship Id="rId22" Type="http://schemas.openxmlformats.org/officeDocument/2006/relationships/hyperlink" Target="https://doi.org/10.1371/journal.pone.0157744"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2B22-4C48-4E5B-81DC-5C86349B1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15</Pages>
  <Words>10054</Words>
  <Characters>57308</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67228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15</cp:revision>
  <cp:lastPrinted>2025-09-10T18:29:00Z</cp:lastPrinted>
  <dcterms:created xsi:type="dcterms:W3CDTF">2025-09-13T16:19:00Z</dcterms:created>
  <dcterms:modified xsi:type="dcterms:W3CDTF">2025-09-19T10:03:00Z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d15c5763-edd6-4d91-a288-f76d53624a8d</vt:lpwstr>
  </property>
</Properties>
</file>