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5E473" w14:textId="77777777" w:rsidR="00754C9A" w:rsidRDefault="00754C9A" w:rsidP="00441B6F">
      <w:pPr>
        <w:pStyle w:val="Title"/>
        <w:spacing w:after="0"/>
        <w:jc w:val="both"/>
        <w:rPr>
          <w:rFonts w:ascii="Arial" w:hAnsi="Arial" w:cs="Arial"/>
        </w:rPr>
      </w:pPr>
    </w:p>
    <w:p w14:paraId="11C9D8C3" w14:textId="74A96AE6" w:rsidR="00163BC4" w:rsidRPr="00163BC4" w:rsidRDefault="000121D3" w:rsidP="00441B6F">
      <w:pPr>
        <w:pStyle w:val="Author"/>
        <w:spacing w:line="240" w:lineRule="auto"/>
        <w:rPr>
          <w:rFonts w:ascii="Arial" w:hAnsi="Arial" w:cs="Arial"/>
          <w:bCs/>
          <w:iCs/>
          <w:kern w:val="28"/>
          <w:sz w:val="36"/>
        </w:rPr>
      </w:pPr>
      <w:r w:rsidRPr="000121D3">
        <w:rPr>
          <w:rFonts w:ascii="Arial" w:hAnsi="Arial" w:cs="Arial"/>
          <w:bCs/>
          <w:iCs/>
          <w:kern w:val="28"/>
          <w:sz w:val="36"/>
        </w:rPr>
        <w:t>EFFECT OF GUAVA (</w:t>
      </w:r>
      <w:r w:rsidRPr="0070116C">
        <w:rPr>
          <w:rFonts w:ascii="Arial" w:hAnsi="Arial" w:cs="Arial"/>
          <w:bCs/>
          <w:i/>
          <w:kern w:val="28"/>
          <w:sz w:val="36"/>
        </w:rPr>
        <w:t>Psidium guajava</w:t>
      </w:r>
      <w:r w:rsidRPr="000121D3">
        <w:rPr>
          <w:rFonts w:ascii="Arial" w:hAnsi="Arial" w:cs="Arial"/>
          <w:bCs/>
          <w:iCs/>
          <w:kern w:val="28"/>
          <w:sz w:val="36"/>
        </w:rPr>
        <w:t>) LEAVES FLOUR ON THE GROWTH AND SURVIVAL OF WHITELEG SHRIMP (</w:t>
      </w:r>
      <w:proofErr w:type="spellStart"/>
      <w:r w:rsidRPr="0070116C">
        <w:rPr>
          <w:rFonts w:ascii="Arial" w:hAnsi="Arial" w:cs="Arial"/>
          <w:bCs/>
          <w:i/>
          <w:kern w:val="28"/>
          <w:sz w:val="36"/>
        </w:rPr>
        <w:t>Litopenaeus</w:t>
      </w:r>
      <w:proofErr w:type="spellEnd"/>
      <w:r w:rsidRPr="0070116C">
        <w:rPr>
          <w:rFonts w:ascii="Arial" w:hAnsi="Arial" w:cs="Arial"/>
          <w:bCs/>
          <w:i/>
          <w:kern w:val="28"/>
          <w:sz w:val="36"/>
        </w:rPr>
        <w:t xml:space="preserve"> </w:t>
      </w:r>
      <w:proofErr w:type="spellStart"/>
      <w:r w:rsidRPr="0070116C">
        <w:rPr>
          <w:rFonts w:ascii="Arial" w:hAnsi="Arial" w:cs="Arial"/>
          <w:bCs/>
          <w:i/>
          <w:kern w:val="28"/>
          <w:sz w:val="36"/>
        </w:rPr>
        <w:t>vannamei</w:t>
      </w:r>
      <w:proofErr w:type="spellEnd"/>
      <w:r w:rsidRPr="000121D3">
        <w:rPr>
          <w:rFonts w:ascii="Arial" w:hAnsi="Arial" w:cs="Arial"/>
          <w:bCs/>
          <w:iCs/>
          <w:kern w:val="28"/>
          <w:sz w:val="36"/>
        </w:rPr>
        <w:t xml:space="preserve">) INFECTED </w:t>
      </w:r>
      <w:r w:rsidRPr="0070116C">
        <w:rPr>
          <w:rFonts w:ascii="Arial" w:hAnsi="Arial" w:cs="Arial"/>
          <w:bCs/>
          <w:i/>
          <w:kern w:val="28"/>
          <w:sz w:val="36"/>
        </w:rPr>
        <w:t>Vibrio parahaemolyticus</w:t>
      </w:r>
    </w:p>
    <w:p w14:paraId="078D612C" w14:textId="77777777" w:rsidR="00A258C3" w:rsidRPr="00790ADA" w:rsidRDefault="00A258C3" w:rsidP="00441B6F">
      <w:pPr>
        <w:pStyle w:val="Author"/>
        <w:spacing w:line="240" w:lineRule="auto"/>
        <w:jc w:val="both"/>
        <w:rPr>
          <w:rFonts w:ascii="Arial" w:hAnsi="Arial" w:cs="Arial"/>
          <w:sz w:val="36"/>
        </w:rPr>
      </w:pPr>
    </w:p>
    <w:p w14:paraId="1F5DF174" w14:textId="77777777" w:rsidR="00790ADA" w:rsidRDefault="00790ADA" w:rsidP="00441B6F">
      <w:pPr>
        <w:pStyle w:val="Affiliation"/>
        <w:spacing w:after="0" w:line="240" w:lineRule="auto"/>
        <w:jc w:val="both"/>
        <w:rPr>
          <w:rFonts w:ascii="Arial" w:hAnsi="Arial" w:cs="Arial"/>
        </w:rPr>
      </w:pPr>
    </w:p>
    <w:p w14:paraId="7204A8AF" w14:textId="77777777" w:rsidR="002C57D2" w:rsidRPr="00FB3A86" w:rsidRDefault="002C57D2" w:rsidP="00441B6F">
      <w:pPr>
        <w:pStyle w:val="Affiliation"/>
        <w:spacing w:after="0" w:line="240" w:lineRule="auto"/>
        <w:jc w:val="both"/>
        <w:rPr>
          <w:rFonts w:ascii="Arial" w:hAnsi="Arial" w:cs="Arial"/>
        </w:rPr>
      </w:pPr>
    </w:p>
    <w:p w14:paraId="37C82E99" w14:textId="2B6AD3F1" w:rsidR="00B01FCD" w:rsidRPr="00FB3A86" w:rsidRDefault="0025292D" w:rsidP="00441B6F">
      <w:pPr>
        <w:pStyle w:val="Copyright"/>
        <w:spacing w:after="0" w:line="240" w:lineRule="auto"/>
        <w:jc w:val="both"/>
        <w:rPr>
          <w:rFonts w:ascii="Arial" w:hAnsi="Arial" w:cs="Arial"/>
        </w:rPr>
        <w:sectPr w:rsidR="00B01FCD" w:rsidRPr="00FB3A86" w:rsidSect="005627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936B947" wp14:editId="2E37BD6D">
                <wp:extent cx="5303520" cy="635"/>
                <wp:effectExtent l="9525" t="12700" r="11430" b="15875"/>
                <wp:docPr id="12995927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A2F0A6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B06226" w14:textId="62FB6DF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AB218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E82705" w14:textId="77777777" w:rsidTr="001E44FE">
        <w:tc>
          <w:tcPr>
            <w:tcW w:w="9576" w:type="dxa"/>
            <w:shd w:val="clear" w:color="auto" w:fill="F2F2F2"/>
          </w:tcPr>
          <w:p w14:paraId="5FDAAAFF" w14:textId="2CA547F4" w:rsidR="00BA1B01" w:rsidRPr="00BA1B01" w:rsidRDefault="00BA1B01" w:rsidP="000121D3">
            <w:pPr>
              <w:pStyle w:val="Body"/>
              <w:spacing w:after="0"/>
              <w:rPr>
                <w:rFonts w:ascii="Arial" w:eastAsia="Calibri" w:hAnsi="Arial" w:cs="Arial"/>
                <w:szCs w:val="22"/>
              </w:rPr>
            </w:pPr>
            <w:r w:rsidRPr="00BA1B01">
              <w:rPr>
                <w:rFonts w:ascii="Arial" w:eastAsia="Calibri" w:hAnsi="Arial" w:cs="Arial"/>
                <w:b/>
                <w:szCs w:val="22"/>
              </w:rPr>
              <w:t>Aims:</w:t>
            </w:r>
            <w:r w:rsidR="000121D3">
              <w:rPr>
                <w:rFonts w:ascii="Arial" w:eastAsia="Calibri" w:hAnsi="Arial" w:cs="Arial"/>
                <w:b/>
                <w:szCs w:val="22"/>
              </w:rPr>
              <w:t xml:space="preserve"> </w:t>
            </w:r>
            <w:r w:rsidR="002D02FE">
              <w:rPr>
                <w:rFonts w:ascii="Arial" w:eastAsia="Calibri" w:hAnsi="Arial" w:cs="Arial"/>
                <w:szCs w:val="22"/>
              </w:rPr>
              <w:t>T</w:t>
            </w:r>
            <w:r w:rsidR="00012918" w:rsidRPr="000121D3">
              <w:rPr>
                <w:rFonts w:ascii="Arial" w:eastAsia="Calibri" w:hAnsi="Arial" w:cs="Arial"/>
                <w:szCs w:val="22"/>
              </w:rPr>
              <w:t xml:space="preserve">o evaluate the improvement of the immune system of </w:t>
            </w:r>
            <w:proofErr w:type="spellStart"/>
            <w:r w:rsidR="00012918" w:rsidRPr="00A94D06">
              <w:rPr>
                <w:rFonts w:ascii="Arial" w:eastAsia="Calibri" w:hAnsi="Arial" w:cs="Arial"/>
                <w:szCs w:val="22"/>
              </w:rPr>
              <w:t>vannamei</w:t>
            </w:r>
            <w:proofErr w:type="spellEnd"/>
            <w:r w:rsidR="00012918" w:rsidRPr="000121D3">
              <w:rPr>
                <w:rFonts w:ascii="Arial" w:eastAsia="Calibri" w:hAnsi="Arial" w:cs="Arial"/>
                <w:szCs w:val="22"/>
              </w:rPr>
              <w:t xml:space="preserve"> shrimp with the addition of guava (</w:t>
            </w:r>
            <w:r w:rsidR="00012918" w:rsidRPr="00012918">
              <w:rPr>
                <w:rFonts w:ascii="Arial" w:eastAsia="Calibri" w:hAnsi="Arial" w:cs="Arial"/>
                <w:i/>
                <w:iCs/>
                <w:szCs w:val="22"/>
              </w:rPr>
              <w:t>Psidium guajava</w:t>
            </w:r>
            <w:r w:rsidR="00012918" w:rsidRPr="000121D3">
              <w:rPr>
                <w:rFonts w:ascii="Arial" w:eastAsia="Calibri" w:hAnsi="Arial" w:cs="Arial"/>
                <w:szCs w:val="22"/>
              </w:rPr>
              <w:t xml:space="preserve">) </w:t>
            </w:r>
            <w:r w:rsidR="00012918">
              <w:rPr>
                <w:rFonts w:ascii="Arial" w:eastAsia="Calibri" w:hAnsi="Arial" w:cs="Arial"/>
                <w:szCs w:val="22"/>
              </w:rPr>
              <w:t xml:space="preserve">leaves </w:t>
            </w:r>
            <w:r w:rsidR="00012918" w:rsidRPr="000121D3">
              <w:rPr>
                <w:rFonts w:ascii="Arial" w:eastAsia="Calibri" w:hAnsi="Arial" w:cs="Arial"/>
                <w:szCs w:val="22"/>
              </w:rPr>
              <w:t xml:space="preserve">in feed infected with </w:t>
            </w:r>
            <w:r w:rsidR="00012918" w:rsidRPr="00012918">
              <w:rPr>
                <w:rFonts w:ascii="Arial" w:eastAsia="Calibri" w:hAnsi="Arial" w:cs="Arial"/>
                <w:i/>
                <w:iCs/>
                <w:szCs w:val="22"/>
              </w:rPr>
              <w:t>Vibrio parahaemolyticus</w:t>
            </w:r>
            <w:r w:rsidR="00012918" w:rsidRPr="000121D3">
              <w:rPr>
                <w:rFonts w:ascii="Arial" w:eastAsia="Calibri" w:hAnsi="Arial" w:cs="Arial"/>
                <w:szCs w:val="22"/>
              </w:rPr>
              <w:t xml:space="preserve"> bacteria.</w:t>
            </w:r>
          </w:p>
          <w:p w14:paraId="62DEDAB7" w14:textId="4DAB2D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12918">
              <w:rPr>
                <w:rFonts w:ascii="Arial" w:eastAsia="Calibri" w:hAnsi="Arial" w:cs="Arial"/>
                <w:szCs w:val="22"/>
              </w:rPr>
              <w:t>Quantitative Experimental.</w:t>
            </w:r>
          </w:p>
          <w:p w14:paraId="1A7995C5" w14:textId="25A6DA8B" w:rsidR="00BA1B01" w:rsidRPr="00006816" w:rsidRDefault="00BA1B01" w:rsidP="00006816">
            <w:pPr>
              <w:pStyle w:val="BodyText"/>
              <w:spacing w:before="1"/>
              <w:ind w:right="107"/>
              <w:jc w:val="both"/>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06816">
              <w:t>This study was conducted over a period of 60 days, from January to March, at the Fish Health Laboratory, Aquaculture Study Program, University of Mataram,</w:t>
            </w:r>
            <w:r w:rsidR="00006816">
              <w:rPr>
                <w:spacing w:val="-1"/>
              </w:rPr>
              <w:t xml:space="preserve"> </w:t>
            </w:r>
            <w:r w:rsidR="00006816">
              <w:t>West Nusa Tenggara, Indonesia.</w:t>
            </w:r>
          </w:p>
          <w:p w14:paraId="457360A3" w14:textId="18A5E1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06816" w:rsidRPr="00623E07">
              <w:t>The research was conducted for 60 days using the Completely Randomized Design (CRD) method consisting of 5 treatments and 3 replicates. Parameters observed included survival rate (SR), feed conversion ratio (FCR), specific weight and length growth, blood glucose levels, phagocytosis activity (AF), and water quality</w:t>
            </w:r>
            <w:r w:rsidR="00006816">
              <w:t>.</w:t>
            </w:r>
          </w:p>
          <w:p w14:paraId="764F1E49" w14:textId="005642E3" w:rsidR="00BA1B01" w:rsidRPr="00BA1B01" w:rsidRDefault="00BA1B01" w:rsidP="00006816">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06816" w:rsidRPr="00623E07">
              <w:t>The results showed that the addition of guava lea</w:t>
            </w:r>
            <w:r w:rsidR="00006816">
              <w:t>ves</w:t>
            </w:r>
            <w:r w:rsidR="00006816" w:rsidRPr="00623E07">
              <w:t xml:space="preserve"> flour had a significant effect on almost all parameters observed. The best treatment was obtained at a dose of 6% (P5) with the results of SR 94.67%, FCR 1.13, specific weight growth 1.37, specific length 4.37, glucose, phagocytosis activity 65%.</w:t>
            </w:r>
          </w:p>
          <w:p w14:paraId="2D1327BC" w14:textId="74D6D66D" w:rsidR="00505F06" w:rsidRPr="00BA1B01" w:rsidRDefault="00BA1B01" w:rsidP="00006816">
            <w:pPr>
              <w:pStyle w:val="Body"/>
              <w:spacing w:after="0"/>
              <w:rPr>
                <w:rFonts w:ascii="Arial" w:eastAsia="Calibri" w:hAnsi="Arial" w:cs="Arial"/>
                <w:szCs w:val="22"/>
              </w:rPr>
            </w:pPr>
            <w:r w:rsidRPr="00BA1B01">
              <w:rPr>
                <w:rFonts w:ascii="Arial" w:eastAsia="Calibri" w:hAnsi="Arial" w:cs="Arial"/>
                <w:b/>
                <w:bCs/>
                <w:szCs w:val="22"/>
              </w:rPr>
              <w:t>Conclusion:</w:t>
            </w:r>
            <w:r w:rsidR="00006816">
              <w:rPr>
                <w:rFonts w:ascii="Arial" w:eastAsia="Calibri" w:hAnsi="Arial" w:cs="Arial"/>
                <w:b/>
                <w:bCs/>
                <w:szCs w:val="22"/>
              </w:rPr>
              <w:t xml:space="preserve"> </w:t>
            </w:r>
            <w:r w:rsidR="00006816">
              <w:t>This study showed that the addition of 6% guava (</w:t>
            </w:r>
            <w:r w:rsidR="00006816" w:rsidRPr="00584E16">
              <w:rPr>
                <w:i/>
                <w:iCs/>
              </w:rPr>
              <w:t>Psidium guajava</w:t>
            </w:r>
            <w:r w:rsidR="00006816" w:rsidRPr="00584E16">
              <w:t xml:space="preserve">) </w:t>
            </w:r>
            <w:r w:rsidR="00006816">
              <w:t xml:space="preserve">leaves flour </w:t>
            </w:r>
            <w:r w:rsidR="00006816" w:rsidRPr="00584E16">
              <w:t xml:space="preserve">in feed had a significant effect on the growth and survival of </w:t>
            </w:r>
            <w:r w:rsidR="00006816">
              <w:t>whiteleg</w:t>
            </w:r>
            <w:r w:rsidR="00006816" w:rsidRPr="00584E16">
              <w:t xml:space="preserve"> shrimp (</w:t>
            </w:r>
            <w:r w:rsidR="00006816" w:rsidRPr="00584E16">
              <w:rPr>
                <w:i/>
                <w:iCs/>
              </w:rPr>
              <w:t>Litopenaeus vannamei</w:t>
            </w:r>
            <w:r w:rsidR="00006816" w:rsidRPr="00584E16">
              <w:t xml:space="preserve">) infected with </w:t>
            </w:r>
            <w:r w:rsidR="00006816" w:rsidRPr="00584E16">
              <w:rPr>
                <w:i/>
                <w:iCs/>
              </w:rPr>
              <w:t>Vibrio parahaemolyticus</w:t>
            </w:r>
            <w:r w:rsidR="00006816" w:rsidRPr="00584E16">
              <w:t>.</w:t>
            </w:r>
          </w:p>
        </w:tc>
      </w:tr>
    </w:tbl>
    <w:p w14:paraId="2F2DCED9" w14:textId="77777777" w:rsidR="00636EB2" w:rsidRDefault="00636EB2" w:rsidP="00441B6F">
      <w:pPr>
        <w:pStyle w:val="Body"/>
        <w:spacing w:after="0"/>
        <w:rPr>
          <w:rFonts w:ascii="Arial" w:hAnsi="Arial" w:cs="Arial"/>
          <w:i/>
        </w:rPr>
      </w:pPr>
    </w:p>
    <w:p w14:paraId="0B65211E" w14:textId="76B5AAA8" w:rsidR="00A24E7E" w:rsidRDefault="00A24E7E" w:rsidP="00441B6F">
      <w:pPr>
        <w:pStyle w:val="Body"/>
        <w:spacing w:after="0"/>
        <w:rPr>
          <w:rFonts w:ascii="Arial" w:hAnsi="Arial" w:cs="Arial"/>
          <w:i/>
        </w:rPr>
      </w:pPr>
      <w:r>
        <w:rPr>
          <w:rFonts w:ascii="Arial" w:hAnsi="Arial" w:cs="Arial"/>
          <w:i/>
        </w:rPr>
        <w:t xml:space="preserve">Keywords: </w:t>
      </w:r>
      <w:r w:rsidR="00006816" w:rsidRPr="00006816">
        <w:rPr>
          <w:rFonts w:ascii="Arial" w:hAnsi="Arial" w:cs="Arial"/>
          <w:i/>
        </w:rPr>
        <w:t>Flour, Guava Leaves, Immune System, Litopenaeus vannamei, Vibrio parahaemolyticus.</w:t>
      </w:r>
    </w:p>
    <w:p w14:paraId="6561D1A8" w14:textId="77777777" w:rsidR="0024282C" w:rsidRDefault="0024282C" w:rsidP="00441B6F">
      <w:pPr>
        <w:pStyle w:val="Body"/>
        <w:spacing w:after="0"/>
        <w:rPr>
          <w:rFonts w:ascii="Arial" w:hAnsi="Arial" w:cs="Arial"/>
          <w:i/>
          <w:sz w:val="18"/>
        </w:rPr>
      </w:pPr>
    </w:p>
    <w:p w14:paraId="74B504CD" w14:textId="77777777" w:rsidR="00505F06" w:rsidRPr="00A24E7E" w:rsidRDefault="00505F06" w:rsidP="00441B6F">
      <w:pPr>
        <w:pStyle w:val="Body"/>
        <w:spacing w:after="0"/>
        <w:rPr>
          <w:rFonts w:ascii="Arial" w:hAnsi="Arial" w:cs="Arial"/>
          <w:i/>
        </w:rPr>
      </w:pPr>
    </w:p>
    <w:p w14:paraId="5F862674" w14:textId="3092782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7E2541" w14:textId="77777777" w:rsidR="00790ADA" w:rsidRPr="00FB3A86" w:rsidRDefault="00790ADA" w:rsidP="00441B6F">
      <w:pPr>
        <w:pStyle w:val="AbstHead"/>
        <w:spacing w:after="0"/>
        <w:jc w:val="both"/>
        <w:rPr>
          <w:rFonts w:ascii="Arial" w:hAnsi="Arial" w:cs="Arial"/>
        </w:rPr>
      </w:pPr>
    </w:p>
    <w:p w14:paraId="4CD82981" w14:textId="4569DAE9" w:rsidR="00006816" w:rsidRPr="00006816" w:rsidRDefault="0066510A" w:rsidP="00006816">
      <w:pPr>
        <w:pStyle w:val="Body"/>
        <w:rPr>
          <w:rFonts w:ascii="Arial" w:eastAsia="Calibri" w:hAnsi="Arial" w:cs="Arial"/>
          <w:szCs w:val="22"/>
        </w:rPr>
      </w:pPr>
      <w:r>
        <w:rPr>
          <w:rFonts w:ascii="Arial" w:eastAsia="Calibri" w:hAnsi="Arial" w:cs="Arial"/>
          <w:szCs w:val="22"/>
        </w:rPr>
        <w:t xml:space="preserve"> </w:t>
      </w:r>
      <w:r w:rsidR="00006816" w:rsidRPr="00006816">
        <w:rPr>
          <w:rFonts w:ascii="Arial" w:eastAsia="Calibri" w:hAnsi="Arial" w:cs="Arial"/>
          <w:szCs w:val="22"/>
        </w:rPr>
        <w:t>Whiteleg shrimp (</w:t>
      </w:r>
      <w:r w:rsidR="00006816" w:rsidRPr="0070116C">
        <w:rPr>
          <w:rFonts w:ascii="Arial" w:eastAsia="Calibri" w:hAnsi="Arial" w:cs="Arial"/>
          <w:i/>
          <w:iCs/>
          <w:szCs w:val="22"/>
        </w:rPr>
        <w:t>Litopenaeus vannamei</w:t>
      </w:r>
      <w:r w:rsidR="00006816" w:rsidRPr="00006816">
        <w:rPr>
          <w:rFonts w:ascii="Arial" w:eastAsia="Calibri" w:hAnsi="Arial" w:cs="Arial"/>
          <w:szCs w:val="22"/>
        </w:rPr>
        <w:t>) is one of the fishery commodities that has high economic value and is in great demand in Indonesia. Based on statistical data from the Ministry of Maritime Affairs and Fisheries (KKP) in 2024, national whiteleg shrimp production will reach 1,134,017 tons. West Nusa Tenggara Province (NTB) is the largest producer of 186,368 tons, followed by West Java with 128,778 tons. This high production is also accompanied by significant export value. In 2022, Indonesia's Whiteleg shrimp exports accounted for around 60% of total shrimp exports, with the United States as the main destination country. The export value reached USD 6,242.09 million, making Indonesia the world's third-largest shrimp exporter after Thailand and India (Ramadhani &amp; Ruchba, 2024; Directorate of KKP, 2024).</w:t>
      </w:r>
    </w:p>
    <w:p w14:paraId="1BBD10B5"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 xml:space="preserve">The high market demand for whiteleg shrimp has encouraged people to cultivate it on a large scale. This shrimp is known to have advantages in the form of resistance to temperature changes, the ability to grow in high density, and a good level of adaptation to the bottom of the water. However, one of the main obstacles in whiteleg shrimp cultivation is the high risk of disease attacks. Diseases in whiteleg shrimp can be caused by various pathogenic agents such as viruses, bacteria, parasites, and pests. Some of the diseases that commonly occur in cultivation include White Spot Syndrome Virus (WSSV), Infectious Myonecrosis Virus (IMNV), Taura Syndrome Virus (TSV), Infectious Hypodermal and Hematopoietic Necrosis </w:t>
      </w:r>
      <w:r w:rsidRPr="00006816">
        <w:rPr>
          <w:rFonts w:ascii="Arial" w:eastAsia="Calibri" w:hAnsi="Arial" w:cs="Arial"/>
          <w:szCs w:val="22"/>
        </w:rPr>
        <w:lastRenderedPageBreak/>
        <w:t xml:space="preserve">Virus (IHHNV), Early Mortality Syndrome (EMS) or Acute Hepatopancreatic Necrosis Disease (AHPND), and White Feces Syndrome (WFS) (Amrillah et al., 2015). </w:t>
      </w:r>
    </w:p>
    <w:p w14:paraId="3F36B73C"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One of the diseases of particular concern is AHPND caused by Vibrio parahaemolyticus. This bacterium is pathogenic and can cause damage to the hepatopancreatic tissue, lysis of blood cells, discoloration of the body to redness, and mass death. In addition to being economically detrimental, the presence of this bacteria is also a risk to human health if infected shrimp are consumed (Azhar et al., 2025).</w:t>
      </w:r>
    </w:p>
    <w:p w14:paraId="31205D94" w14:textId="77777777" w:rsidR="00006816" w:rsidRPr="00006816" w:rsidRDefault="00006816" w:rsidP="00006816">
      <w:pPr>
        <w:pStyle w:val="Body"/>
        <w:rPr>
          <w:rFonts w:ascii="Arial" w:eastAsia="Calibri" w:hAnsi="Arial" w:cs="Arial"/>
          <w:szCs w:val="22"/>
        </w:rPr>
      </w:pPr>
      <w:r w:rsidRPr="00006816">
        <w:rPr>
          <w:rFonts w:ascii="Arial" w:eastAsia="Calibri" w:hAnsi="Arial" w:cs="Arial"/>
          <w:szCs w:val="22"/>
        </w:rPr>
        <w:t>To overcome this problem, the approach that has begun to be developed is to strengthen the immune system of shrimp through the provision of natural ingredients in feed. Natural ingredients such as plant extracts have been shown to have bioactive compounds that are able to increase the immune response of shrimp so that their growth becomes good. However, the long-term use of extracts tends to increase production costs. Therefore, the method of flouring natural ingredients is a more efficient and economical alternative, because it still maintains the content of active compounds such as flavonoids, tannins, and saponins that are antibacterial, immunostimulant and growth promoter (Basir et al., 2022).</w:t>
      </w:r>
    </w:p>
    <w:p w14:paraId="16D28F50" w14:textId="41B2B601" w:rsidR="00B01FCD" w:rsidRDefault="00006816" w:rsidP="00006816">
      <w:pPr>
        <w:pStyle w:val="Body"/>
        <w:spacing w:after="0"/>
        <w:rPr>
          <w:rFonts w:ascii="Arial" w:hAnsi="Arial" w:cs="Arial"/>
        </w:rPr>
      </w:pPr>
      <w:r w:rsidRPr="00006816">
        <w:rPr>
          <w:rFonts w:ascii="Arial" w:eastAsia="Calibri" w:hAnsi="Arial" w:cs="Arial"/>
          <w:szCs w:val="22"/>
        </w:rPr>
        <w:t>One potential natural ingredient is guava leaves (</w:t>
      </w:r>
      <w:r w:rsidRPr="0070116C">
        <w:rPr>
          <w:rFonts w:ascii="Arial" w:eastAsia="Calibri" w:hAnsi="Arial" w:cs="Arial"/>
          <w:i/>
          <w:iCs/>
          <w:szCs w:val="22"/>
        </w:rPr>
        <w:t>Psidium guajava</w:t>
      </w:r>
      <w:r w:rsidRPr="00006816">
        <w:rPr>
          <w:rFonts w:ascii="Arial" w:eastAsia="Calibri" w:hAnsi="Arial" w:cs="Arial"/>
          <w:szCs w:val="22"/>
        </w:rPr>
        <w:t xml:space="preserve"> L.). This plant is known to be rich in vitamin C, antioxidants, and bioactive compounds such as flavonoids, tannins, saponins, terpenoids and alkaloids. These compounds play a role in inhibiting bacterial activity and strengthening the shrimp's immune system (Santi et al., 2017). In addition, the administration of guava leaves in feed has been proven to be able to maintain cellular integrity and protect shrimp tissue from damage due to environmental stress and pathogens so that survival is maintained.</w:t>
      </w:r>
    </w:p>
    <w:p w14:paraId="26D0ABEF" w14:textId="77777777" w:rsidR="00790ADA" w:rsidRPr="00FB3A86" w:rsidRDefault="00790ADA" w:rsidP="00441B6F">
      <w:pPr>
        <w:pStyle w:val="Body"/>
        <w:spacing w:after="0"/>
        <w:rPr>
          <w:rFonts w:ascii="Arial" w:hAnsi="Arial" w:cs="Arial"/>
        </w:rPr>
      </w:pPr>
    </w:p>
    <w:p w14:paraId="4D2629FB" w14:textId="5D24E8B5" w:rsidR="00790ADA" w:rsidRPr="00FB3A86" w:rsidRDefault="00902823" w:rsidP="000216EB">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F1554A6" w14:textId="68D4AA1D" w:rsidR="00834FE4" w:rsidRPr="00834FE4" w:rsidRDefault="00834FE4" w:rsidP="00834FE4">
      <w:pPr>
        <w:pStyle w:val="Body"/>
        <w:rPr>
          <w:rFonts w:ascii="Arial" w:hAnsi="Arial" w:cs="Arial"/>
          <w:b/>
          <w:bCs/>
          <w:sz w:val="22"/>
          <w:szCs w:val="22"/>
        </w:rPr>
      </w:pPr>
      <w:r w:rsidRPr="00834FE4">
        <w:rPr>
          <w:rFonts w:ascii="Arial" w:hAnsi="Arial" w:cs="Arial"/>
          <w:b/>
          <w:bCs/>
          <w:sz w:val="22"/>
          <w:szCs w:val="22"/>
        </w:rPr>
        <w:t xml:space="preserve">2.1 Time and Place </w:t>
      </w:r>
    </w:p>
    <w:p w14:paraId="76F491B3" w14:textId="6CFCE530" w:rsidR="00790ADA" w:rsidRPr="00FB3A86" w:rsidRDefault="00834FE4" w:rsidP="00834FE4">
      <w:pPr>
        <w:pStyle w:val="Body"/>
        <w:rPr>
          <w:rFonts w:ascii="Arial" w:hAnsi="Arial" w:cs="Arial"/>
        </w:rPr>
      </w:pPr>
      <w:r w:rsidRPr="00834FE4">
        <w:rPr>
          <w:rFonts w:ascii="Arial" w:hAnsi="Arial" w:cs="Arial"/>
        </w:rPr>
        <w:t>This research was carried out for 60 days, of which 45 days of maintenance, 10 days of challenge tests and 5 days of data collection. Shrimp maintenance takes place at the Production and Reproduction Laboratory, immune system tests take place at the Fish Health Laboratory of the Aquaculture Study Program, University of Mataram.</w:t>
      </w:r>
    </w:p>
    <w:p w14:paraId="1F868840" w14:textId="4BCC0283" w:rsidR="00AA74E0" w:rsidRDefault="00AA74E0" w:rsidP="00834FE4">
      <w:pPr>
        <w:pStyle w:val="Body"/>
        <w:spacing w:after="0"/>
        <w:rPr>
          <w:rFonts w:ascii="Arial" w:hAnsi="Arial" w:cs="Arial"/>
          <w:b/>
          <w:sz w:val="22"/>
        </w:rPr>
      </w:pPr>
      <w:r w:rsidRPr="00C30A0F">
        <w:rPr>
          <w:rFonts w:ascii="Arial" w:hAnsi="Arial" w:cs="Arial"/>
          <w:b/>
          <w:caps/>
          <w:sz w:val="22"/>
        </w:rPr>
        <w:t>2.</w:t>
      </w:r>
      <w:r w:rsidR="00834FE4">
        <w:rPr>
          <w:rFonts w:ascii="Arial" w:hAnsi="Arial" w:cs="Arial"/>
          <w:b/>
          <w:caps/>
          <w:sz w:val="22"/>
        </w:rPr>
        <w:t>2</w:t>
      </w:r>
      <w:r w:rsidRPr="00C30A0F">
        <w:rPr>
          <w:rFonts w:ascii="Arial" w:hAnsi="Arial" w:cs="Arial"/>
          <w:b/>
          <w:caps/>
          <w:sz w:val="22"/>
        </w:rPr>
        <w:t xml:space="preserve"> </w:t>
      </w:r>
      <w:r w:rsidR="00834FE4" w:rsidRPr="00834FE4">
        <w:rPr>
          <w:rFonts w:ascii="Arial" w:hAnsi="Arial" w:cs="Arial"/>
          <w:b/>
          <w:sz w:val="22"/>
        </w:rPr>
        <w:t>Research Design</w:t>
      </w:r>
    </w:p>
    <w:p w14:paraId="07000A20" w14:textId="77777777" w:rsidR="00834FE4" w:rsidRPr="00834FE4" w:rsidRDefault="00834FE4" w:rsidP="00834FE4">
      <w:pPr>
        <w:pStyle w:val="Body"/>
        <w:rPr>
          <w:rFonts w:ascii="Arial" w:hAnsi="Arial" w:cs="Arial"/>
        </w:rPr>
      </w:pPr>
      <w:r w:rsidRPr="00834FE4">
        <w:rPr>
          <w:rFonts w:ascii="Arial" w:hAnsi="Arial" w:cs="Arial"/>
        </w:rPr>
        <w:t>The research design used in this study was a Complete Randomized Design (CRD) with 5 treatments and 3 replicates, resulting in 15 experimental units. The dosage of this study is based on the results of preliminary tests.</w:t>
      </w:r>
    </w:p>
    <w:p w14:paraId="27913230" w14:textId="77777777" w:rsidR="00834FE4" w:rsidRPr="00834FE4" w:rsidRDefault="00834FE4" w:rsidP="00834FE4">
      <w:pPr>
        <w:pStyle w:val="Body"/>
        <w:rPr>
          <w:rFonts w:ascii="Arial" w:hAnsi="Arial" w:cs="Arial"/>
        </w:rPr>
      </w:pPr>
      <w:r w:rsidRPr="00834FE4">
        <w:rPr>
          <w:rFonts w:ascii="Arial" w:hAnsi="Arial" w:cs="Arial"/>
        </w:rPr>
        <w:t xml:space="preserve">P1 = Feed without guava leaves flour + bacterial infection </w:t>
      </w:r>
    </w:p>
    <w:p w14:paraId="083F16A2" w14:textId="77777777" w:rsidR="00834FE4" w:rsidRPr="00834FE4" w:rsidRDefault="00834FE4" w:rsidP="00834FE4">
      <w:pPr>
        <w:pStyle w:val="Body"/>
        <w:rPr>
          <w:rFonts w:ascii="Arial" w:hAnsi="Arial" w:cs="Arial"/>
        </w:rPr>
      </w:pPr>
      <w:r w:rsidRPr="00834FE4">
        <w:rPr>
          <w:rFonts w:ascii="Arial" w:hAnsi="Arial" w:cs="Arial"/>
        </w:rPr>
        <w:t>P2 = Feed without guava leaves flour + NaCl infection 0.9%</w:t>
      </w:r>
    </w:p>
    <w:p w14:paraId="77540B5B" w14:textId="77777777" w:rsidR="00834FE4" w:rsidRPr="00834FE4" w:rsidRDefault="00834FE4" w:rsidP="00834FE4">
      <w:pPr>
        <w:pStyle w:val="Body"/>
        <w:rPr>
          <w:rFonts w:ascii="Arial" w:hAnsi="Arial" w:cs="Arial"/>
        </w:rPr>
      </w:pPr>
      <w:r w:rsidRPr="00834FE4">
        <w:rPr>
          <w:rFonts w:ascii="Arial" w:hAnsi="Arial" w:cs="Arial"/>
        </w:rPr>
        <w:t xml:space="preserve">P3 = Feed + guava leaves flour 2% + bacterial infection  </w:t>
      </w:r>
    </w:p>
    <w:p w14:paraId="6E449F56" w14:textId="77777777" w:rsidR="00834FE4" w:rsidRPr="00834FE4" w:rsidRDefault="00834FE4" w:rsidP="00834FE4">
      <w:pPr>
        <w:pStyle w:val="Body"/>
        <w:rPr>
          <w:rFonts w:ascii="Arial" w:hAnsi="Arial" w:cs="Arial"/>
        </w:rPr>
      </w:pPr>
      <w:r w:rsidRPr="00834FE4">
        <w:rPr>
          <w:rFonts w:ascii="Arial" w:hAnsi="Arial" w:cs="Arial"/>
        </w:rPr>
        <w:t xml:space="preserve">P4 = Feed + guava leaves flour 4% + bacterial infection </w:t>
      </w:r>
    </w:p>
    <w:p w14:paraId="59A19B0E" w14:textId="77777777" w:rsidR="00834FE4" w:rsidRDefault="00834FE4" w:rsidP="00834FE4">
      <w:pPr>
        <w:pStyle w:val="Body"/>
        <w:rPr>
          <w:rFonts w:ascii="Arial" w:hAnsi="Arial" w:cs="Arial"/>
        </w:rPr>
      </w:pPr>
      <w:r w:rsidRPr="00834FE4">
        <w:rPr>
          <w:rFonts w:ascii="Arial" w:hAnsi="Arial" w:cs="Arial"/>
        </w:rPr>
        <w:t>P5 = Feed + guava leaves flour 6% + bacterial infection</w:t>
      </w:r>
    </w:p>
    <w:p w14:paraId="3BF5E3B3" w14:textId="20FCC810" w:rsidR="00834FE4" w:rsidRDefault="00834FE4" w:rsidP="00834FE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3 </w:t>
      </w:r>
      <w:r w:rsidRPr="00834FE4">
        <w:rPr>
          <w:rFonts w:ascii="Arial" w:hAnsi="Arial" w:cs="Arial"/>
          <w:b/>
          <w:sz w:val="22"/>
        </w:rPr>
        <w:t>Research Procedure</w:t>
      </w:r>
    </w:p>
    <w:p w14:paraId="4D93CC3D" w14:textId="63C4EF9C" w:rsidR="00AA74E0" w:rsidRDefault="00AA74E0" w:rsidP="00C30D7F">
      <w:pPr>
        <w:pStyle w:val="Body"/>
        <w:spacing w:after="0"/>
        <w:rPr>
          <w:rFonts w:ascii="Arial" w:hAnsi="Arial" w:cs="Arial"/>
        </w:rPr>
      </w:pPr>
      <w:r w:rsidRPr="00834FE4">
        <w:rPr>
          <w:rFonts w:ascii="Arial" w:hAnsi="Arial" w:cs="Arial"/>
          <w:b/>
        </w:rPr>
        <w:t>2.</w:t>
      </w:r>
      <w:r w:rsidR="00834FE4" w:rsidRPr="00834FE4">
        <w:rPr>
          <w:rFonts w:ascii="Arial" w:hAnsi="Arial" w:cs="Arial"/>
          <w:b/>
        </w:rPr>
        <w:t>3.1</w:t>
      </w:r>
      <w:r w:rsidRPr="00834FE4">
        <w:rPr>
          <w:rFonts w:ascii="Arial" w:hAnsi="Arial" w:cs="Arial"/>
          <w:b/>
        </w:rPr>
        <w:t xml:space="preserve"> </w:t>
      </w:r>
      <w:r w:rsidR="00C30D7F" w:rsidRPr="00C30D7F">
        <w:rPr>
          <w:rFonts w:ascii="Arial" w:hAnsi="Arial" w:cs="Arial"/>
          <w:b/>
        </w:rPr>
        <w:t>Container preparation</w:t>
      </w:r>
      <w:r w:rsidRPr="00FB3A86">
        <w:rPr>
          <w:rFonts w:ascii="Arial" w:hAnsi="Arial" w:cs="Arial"/>
        </w:rPr>
        <w:t xml:space="preserve"> </w:t>
      </w:r>
    </w:p>
    <w:p w14:paraId="04D8DA4E" w14:textId="77777777" w:rsidR="00C30D7F" w:rsidRDefault="00C30D7F" w:rsidP="00C30D7F">
      <w:pPr>
        <w:jc w:val="both"/>
        <w:rPr>
          <w:rFonts w:asciiTheme="minorBidi" w:hAnsiTheme="minorBidi" w:cstheme="minorBidi"/>
        </w:rPr>
      </w:pPr>
      <w:r w:rsidRPr="00C30D7F">
        <w:rPr>
          <w:rFonts w:asciiTheme="minorBidi" w:hAnsiTheme="minorBidi" w:cstheme="minorBidi"/>
        </w:rPr>
        <w:t>The container used for growing whiteleg shrimp during this study was a container with a size of 40×30×28 cm as many as 15 pieces and water volume 25 liters. The container is first brushed using detergent to clean the bacteria, then dried for 24 hours. The containers are then placed according to a complete random plan that has been put together. Next, the container is filled with seawater and closed so that the shrimp do not jump out of the container.</w:t>
      </w:r>
    </w:p>
    <w:p w14:paraId="4724270B" w14:textId="1A5B8875"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2</w:t>
      </w:r>
      <w:r w:rsidRPr="00834FE4">
        <w:rPr>
          <w:rFonts w:ascii="Arial" w:hAnsi="Arial" w:cs="Arial"/>
          <w:b/>
        </w:rPr>
        <w:t xml:space="preserve"> </w:t>
      </w:r>
      <w:r w:rsidRPr="00C30D7F">
        <w:rPr>
          <w:rFonts w:ascii="Arial" w:hAnsi="Arial" w:cs="Arial"/>
          <w:b/>
        </w:rPr>
        <w:t>Test Animal Preparation</w:t>
      </w:r>
    </w:p>
    <w:p w14:paraId="7D64AE2A" w14:textId="4BAE8FE5" w:rsidR="00C30D7F" w:rsidRDefault="00C30D7F" w:rsidP="00C30D7F">
      <w:pPr>
        <w:jc w:val="both"/>
        <w:rPr>
          <w:rFonts w:asciiTheme="minorBidi" w:hAnsiTheme="minorBidi" w:cstheme="minorBidi"/>
        </w:rPr>
      </w:pPr>
      <w:r w:rsidRPr="00C30D7F">
        <w:rPr>
          <w:rFonts w:asciiTheme="minorBidi" w:hAnsiTheme="minorBidi" w:cstheme="minorBidi"/>
        </w:rPr>
        <w:t>The test animal used is PL-10 in size from PT. Anugrah Agung Sumbawa. The shrimp are acclimatized shrimp for 10 days so that they can adapt to the new environment. Next, the shrimp are put into a container tank with a stocking density of 25 fish per container. During the growing season, shrimp are fed 4 times a day in the form of commercial feed with a protein content of 40%.</w:t>
      </w:r>
    </w:p>
    <w:p w14:paraId="40207C46" w14:textId="2E576FB3" w:rsidR="00C30D7F" w:rsidRDefault="00C30D7F" w:rsidP="00C30D7F">
      <w:pPr>
        <w:pStyle w:val="Body"/>
        <w:spacing w:after="0"/>
        <w:rPr>
          <w:rFonts w:ascii="Arial" w:hAnsi="Arial" w:cs="Arial"/>
          <w:b/>
        </w:rPr>
      </w:pPr>
      <w:r w:rsidRPr="00834FE4">
        <w:rPr>
          <w:rFonts w:ascii="Arial" w:hAnsi="Arial" w:cs="Arial"/>
          <w:b/>
        </w:rPr>
        <w:t>2.3.</w:t>
      </w:r>
      <w:r>
        <w:rPr>
          <w:rFonts w:ascii="Arial" w:hAnsi="Arial" w:cs="Arial"/>
          <w:b/>
        </w:rPr>
        <w:t xml:space="preserve">3 </w:t>
      </w:r>
      <w:r w:rsidRPr="00C30D7F">
        <w:rPr>
          <w:rFonts w:ascii="Arial" w:hAnsi="Arial" w:cs="Arial"/>
          <w:b/>
        </w:rPr>
        <w:t>Feed Preparation and Test Materials</w:t>
      </w:r>
    </w:p>
    <w:p w14:paraId="01DF906D" w14:textId="07CE664F" w:rsidR="00C30D7F" w:rsidRPr="00C30D7F" w:rsidRDefault="00C30D7F" w:rsidP="00C30D7F">
      <w:pPr>
        <w:pStyle w:val="Body"/>
        <w:spacing w:after="0"/>
        <w:rPr>
          <w:rFonts w:asciiTheme="minorBidi" w:hAnsiTheme="minorBidi" w:cstheme="minorBidi"/>
        </w:rPr>
      </w:pPr>
      <w:r w:rsidRPr="00C30D7F">
        <w:rPr>
          <w:rFonts w:asciiTheme="minorBidi" w:hAnsiTheme="minorBidi" w:cstheme="minorBidi"/>
        </w:rPr>
        <w:t>The feed used during the study was in the form of commercial feed made by adding guava leaves flour with a dose of 0%, 2%, 4%, 6% based on preliminary tests. The making of guava leaves flour is carried out by weighing 500 grams of guava leaves to produce 100 grams of flour, then washed thoroughly, after washing, the leaves are dried using an oven with a maximum temperature of 60</w:t>
      </w:r>
      <w:r w:rsidRPr="00C30D7F">
        <w:rPr>
          <w:rFonts w:asciiTheme="minorBidi" w:hAnsiTheme="minorBidi" w:cstheme="minorBidi"/>
          <w:vertAlign w:val="superscript"/>
        </w:rPr>
        <w:t>O</w:t>
      </w:r>
      <w:r w:rsidRPr="00C30D7F">
        <w:rPr>
          <w:rFonts w:asciiTheme="minorBidi" w:hAnsiTheme="minorBidi" w:cstheme="minorBidi"/>
        </w:rPr>
        <w:t>C. Leaves that</w:t>
      </w:r>
      <w:r w:rsidRPr="00C30D7F">
        <w:rPr>
          <w:rFonts w:asciiTheme="minorBidi" w:hAnsiTheme="minorBidi" w:cstheme="minorBidi"/>
          <w:vertAlign w:val="superscript"/>
        </w:rPr>
        <w:t xml:space="preserve"> </w:t>
      </w:r>
      <w:r w:rsidRPr="00C30D7F">
        <w:rPr>
          <w:rFonts w:asciiTheme="minorBidi" w:hAnsiTheme="minorBidi" w:cstheme="minorBidi"/>
        </w:rPr>
        <w:t>It has dried and then blended until smooth to obtain leaves particles in powder form. After that, the powder is sifted or filtered using an 80-mesh sieve. The filtration process aims to obtain a finer powder.</w:t>
      </w:r>
    </w:p>
    <w:p w14:paraId="430DF7C2" w14:textId="46BFE056" w:rsidR="00C30D7F" w:rsidRDefault="00C30D7F" w:rsidP="00C30D7F">
      <w:pPr>
        <w:pStyle w:val="Body"/>
        <w:spacing w:after="0"/>
        <w:rPr>
          <w:rFonts w:ascii="Arial" w:hAnsi="Arial" w:cs="Arial"/>
          <w:b/>
        </w:rPr>
      </w:pPr>
      <w:r w:rsidRPr="00834FE4">
        <w:rPr>
          <w:rFonts w:ascii="Arial" w:hAnsi="Arial" w:cs="Arial"/>
          <w:b/>
        </w:rPr>
        <w:lastRenderedPageBreak/>
        <w:t>2.3.</w:t>
      </w:r>
      <w:r w:rsidR="000216EB">
        <w:rPr>
          <w:rFonts w:ascii="Arial" w:hAnsi="Arial" w:cs="Arial"/>
          <w:b/>
        </w:rPr>
        <w:t xml:space="preserve">4 </w:t>
      </w:r>
      <w:r w:rsidRPr="00C30D7F">
        <w:rPr>
          <w:rFonts w:ascii="Arial" w:hAnsi="Arial" w:cs="Arial"/>
          <w:b/>
        </w:rPr>
        <w:t>Feeding and Water Change</w:t>
      </w:r>
    </w:p>
    <w:p w14:paraId="0C4A0652" w14:textId="507DB831" w:rsidR="00C30D7F" w:rsidRPr="00C30D7F" w:rsidRDefault="00C30D7F" w:rsidP="00C30D7F">
      <w:pPr>
        <w:jc w:val="both"/>
        <w:rPr>
          <w:rFonts w:asciiTheme="minorBidi" w:hAnsiTheme="minorBidi" w:cstheme="minorBidi"/>
        </w:rPr>
      </w:pPr>
      <w:r w:rsidRPr="00C30D7F">
        <w:rPr>
          <w:rFonts w:asciiTheme="minorBidi" w:hAnsiTheme="minorBidi" w:cstheme="minorBidi"/>
        </w:rPr>
        <w:t>Commercial feed is mixed using guava leaves flour with a dose of 0%, 2%, 4%, 6%, each made as much as 100 grams. After that, 3.5 grams of egg whites are weighed to be used as an adhesive and also 10 liters of water, then mixed until evenly distributed. after that, in the oven at 50</w:t>
      </w:r>
      <w:r w:rsidRPr="00C30D7F">
        <w:rPr>
          <w:rFonts w:asciiTheme="minorBidi" w:hAnsiTheme="minorBidi" w:cstheme="minorBidi"/>
          <w:vertAlign w:val="superscript"/>
        </w:rPr>
        <w:t>o</w:t>
      </w:r>
      <w:r w:rsidRPr="00C30D7F">
        <w:rPr>
          <w:rFonts w:asciiTheme="minorBidi" w:hAnsiTheme="minorBidi" w:cstheme="minorBidi"/>
        </w:rPr>
        <w:t>C</w:t>
      </w:r>
      <w:r w:rsidRPr="00C30D7F">
        <w:rPr>
          <w:rFonts w:asciiTheme="minorBidi" w:hAnsiTheme="minorBidi" w:cstheme="minorBidi"/>
          <w:vertAlign w:val="superscript"/>
        </w:rPr>
        <w:t xml:space="preserve"> </w:t>
      </w:r>
      <w:r w:rsidRPr="00C30D7F">
        <w:rPr>
          <w:rFonts w:asciiTheme="minorBidi" w:hAnsiTheme="minorBidi" w:cstheme="minorBidi"/>
        </w:rPr>
        <w:t xml:space="preserve">until dry. The time needed for shrimp farming is 60 days. The frequency of feeding is 4 times a day at 06.30, 10.30, 14.30 and 18.30 local time. Water quality management is carried out by spraying once a day in the morning or evening, as much as 10% of the volume of the container tub. </w:t>
      </w:r>
    </w:p>
    <w:p w14:paraId="1322190B" w14:textId="1F554DC5"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5</w:t>
      </w:r>
      <w:r w:rsidRPr="00834FE4">
        <w:rPr>
          <w:rFonts w:ascii="Arial" w:hAnsi="Arial" w:cs="Arial"/>
          <w:b/>
        </w:rPr>
        <w:t xml:space="preserve"> </w:t>
      </w:r>
      <w:r w:rsidRPr="00C30D7F">
        <w:rPr>
          <w:rFonts w:ascii="Arial" w:hAnsi="Arial" w:cs="Arial"/>
          <w:b/>
        </w:rPr>
        <w:t>Preparation of Test Bacteria</w:t>
      </w:r>
    </w:p>
    <w:p w14:paraId="107DFF96" w14:textId="239B4B5F" w:rsidR="000216EB" w:rsidRPr="000216EB" w:rsidRDefault="000216EB" w:rsidP="000216EB">
      <w:pPr>
        <w:jc w:val="both"/>
        <w:rPr>
          <w:rFonts w:asciiTheme="minorBidi" w:hAnsiTheme="minorBidi" w:cstheme="minorBidi"/>
        </w:rPr>
      </w:pPr>
      <w:r w:rsidRPr="000216EB">
        <w:rPr>
          <w:rFonts w:asciiTheme="minorBidi" w:hAnsiTheme="minorBidi" w:cstheme="minorBidi"/>
          <w:i/>
          <w:iCs/>
        </w:rPr>
        <w:t>Vibrio parahaemolyticus</w:t>
      </w:r>
      <w:r w:rsidRPr="000216EB">
        <w:rPr>
          <w:rFonts w:asciiTheme="minorBidi" w:hAnsiTheme="minorBidi" w:cstheme="minorBidi"/>
        </w:rPr>
        <w:t xml:space="preserve"> bacteria</w:t>
      </w:r>
      <w:r w:rsidRPr="000216EB">
        <w:rPr>
          <w:rFonts w:asciiTheme="minorBidi" w:hAnsiTheme="minorBidi" w:cstheme="minorBidi"/>
          <w:i/>
          <w:iCs/>
        </w:rPr>
        <w:t xml:space="preserve"> </w:t>
      </w:r>
      <w:r w:rsidRPr="000216EB">
        <w:rPr>
          <w:rFonts w:asciiTheme="minorBidi" w:hAnsiTheme="minorBidi" w:cstheme="minorBidi"/>
        </w:rPr>
        <w:t>were obtained from the Fish Health Laboratory, Aquaculture Study Program, University of Mataram. The bacteria are re-cultured and purified and then re-characterized. The rejuvenation process is carried out on TSB (Trypticase Soy Broth) media for 24 hours.</w:t>
      </w:r>
    </w:p>
    <w:p w14:paraId="16DF041F" w14:textId="1FCBC348" w:rsidR="00C30D7F" w:rsidRDefault="00C30D7F" w:rsidP="00C30D7F">
      <w:pPr>
        <w:pStyle w:val="Body"/>
        <w:spacing w:after="0"/>
        <w:rPr>
          <w:rFonts w:ascii="Arial" w:hAnsi="Arial" w:cs="Arial"/>
          <w:b/>
        </w:rPr>
      </w:pPr>
      <w:r w:rsidRPr="00834FE4">
        <w:rPr>
          <w:rFonts w:ascii="Arial" w:hAnsi="Arial" w:cs="Arial"/>
          <w:b/>
        </w:rPr>
        <w:t>2.3.</w:t>
      </w:r>
      <w:r w:rsidR="000216EB">
        <w:rPr>
          <w:rFonts w:ascii="Arial" w:hAnsi="Arial" w:cs="Arial"/>
          <w:b/>
        </w:rPr>
        <w:t>6</w:t>
      </w:r>
      <w:r w:rsidRPr="00834FE4">
        <w:rPr>
          <w:rFonts w:ascii="Arial" w:hAnsi="Arial" w:cs="Arial"/>
          <w:b/>
        </w:rPr>
        <w:t xml:space="preserve"> </w:t>
      </w:r>
      <w:r w:rsidRPr="00C30D7F">
        <w:rPr>
          <w:rFonts w:ascii="Arial" w:hAnsi="Arial" w:cs="Arial"/>
          <w:b/>
        </w:rPr>
        <w:t>Test Challenge</w:t>
      </w:r>
    </w:p>
    <w:p w14:paraId="7C0450FD" w14:textId="1BA93A5D" w:rsidR="000216EB" w:rsidRPr="000216EB" w:rsidRDefault="000216EB" w:rsidP="000216EB">
      <w:pPr>
        <w:jc w:val="both"/>
        <w:rPr>
          <w:rFonts w:asciiTheme="minorBidi" w:hAnsiTheme="minorBidi" w:cstheme="minorBidi"/>
        </w:rPr>
      </w:pPr>
      <w:r w:rsidRPr="000216EB">
        <w:rPr>
          <w:rFonts w:asciiTheme="minorBidi" w:hAnsiTheme="minorBidi" w:cstheme="minorBidi"/>
        </w:rPr>
        <w:t xml:space="preserve">The challenge test was carried out for 10 days at the end of the treatment, which was the 51st day. Shrimp that have been treated are fasted for one day, then infected </w:t>
      </w:r>
      <w:r w:rsidRPr="000216EB">
        <w:rPr>
          <w:rFonts w:asciiTheme="minorBidi" w:hAnsiTheme="minorBidi" w:cstheme="minorBidi"/>
          <w:i/>
          <w:iCs/>
        </w:rPr>
        <w:t>with V. parahaemolyticus</w:t>
      </w:r>
      <w:r w:rsidRPr="000216EB">
        <w:rPr>
          <w:rFonts w:asciiTheme="minorBidi" w:hAnsiTheme="minorBidi" w:cstheme="minorBidi"/>
        </w:rPr>
        <w:t>. Injection was carried out intramuscularly in the dorsal area between the second and third segments at 100 μL/head with a bacterial density of 10</w:t>
      </w:r>
      <w:r w:rsidRPr="000216EB">
        <w:rPr>
          <w:rFonts w:asciiTheme="minorBidi" w:hAnsiTheme="minorBidi" w:cstheme="minorBidi"/>
          <w:vertAlign w:val="superscript"/>
        </w:rPr>
        <w:t>6</w:t>
      </w:r>
      <w:r w:rsidRPr="000216EB">
        <w:rPr>
          <w:rFonts w:asciiTheme="minorBidi" w:hAnsiTheme="minorBidi" w:cstheme="minorBidi"/>
        </w:rPr>
        <w:t xml:space="preserve"> CFU/ml. In this challenge test, immune response data was taken and the number of dead shrimp was calculated.</w:t>
      </w:r>
    </w:p>
    <w:p w14:paraId="4625A55A" w14:textId="77777777" w:rsidR="00790ADA" w:rsidRPr="00FB3A86" w:rsidRDefault="00790ADA" w:rsidP="00441B6F">
      <w:pPr>
        <w:pStyle w:val="Body"/>
        <w:spacing w:after="0"/>
        <w:rPr>
          <w:rFonts w:ascii="Arial" w:hAnsi="Arial" w:cs="Arial"/>
        </w:rPr>
      </w:pPr>
    </w:p>
    <w:p w14:paraId="2D45546C" w14:textId="1339C2FB" w:rsidR="00902823" w:rsidRDefault="000216EB" w:rsidP="00441B6F">
      <w:pPr>
        <w:pStyle w:val="Head1"/>
        <w:spacing w:after="0"/>
        <w:jc w:val="both"/>
        <w:rPr>
          <w:rFonts w:ascii="Arial" w:hAnsi="Arial" w:cs="Arial"/>
        </w:rPr>
      </w:pPr>
      <w:r>
        <w:rPr>
          <w:rFonts w:ascii="Arial" w:hAnsi="Arial" w:cs="Arial"/>
        </w:rPr>
        <w:t>2.4</w:t>
      </w:r>
      <w:r w:rsidR="00902823">
        <w:rPr>
          <w:rFonts w:ascii="Arial" w:hAnsi="Arial" w:cs="Arial"/>
        </w:rPr>
        <w:t xml:space="preserve"> </w:t>
      </w:r>
      <w:r w:rsidRPr="000216EB">
        <w:rPr>
          <w:rFonts w:ascii="Arial" w:hAnsi="Arial" w:cs="Arial"/>
        </w:rPr>
        <w:t>Research Parameters</w:t>
      </w:r>
    </w:p>
    <w:p w14:paraId="023D7ED7" w14:textId="5CC9C2C5"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2.4.1 </w:t>
      </w:r>
      <w:r w:rsidRPr="000216EB">
        <w:rPr>
          <w:rFonts w:asciiTheme="minorBidi" w:hAnsiTheme="minorBidi" w:cstheme="minorBidi"/>
          <w:b/>
          <w:bCs/>
        </w:rPr>
        <w:t>Specific Weight Growth</w:t>
      </w:r>
    </w:p>
    <w:p w14:paraId="0C37A539"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The specific weight growth rate is the % of the difference between the final weight and the initial weight, divided by the length of the maintenance time. According to Scabra et al</w:t>
      </w:r>
      <w:r w:rsidRPr="000216EB">
        <w:rPr>
          <w:rFonts w:asciiTheme="minorBidi" w:hAnsiTheme="minorBidi" w:cstheme="minorBidi"/>
          <w:i/>
          <w:iCs/>
        </w:rPr>
        <w:t>.</w:t>
      </w:r>
      <w:r w:rsidRPr="000216EB">
        <w:rPr>
          <w:rFonts w:asciiTheme="minorBidi" w:hAnsiTheme="minorBidi" w:cstheme="minorBidi"/>
        </w:rPr>
        <w:t xml:space="preserve"> (2023) The formula for calculating the specific growth rate is:</w:t>
      </w:r>
    </w:p>
    <w:p w14:paraId="4DCA2824" w14:textId="77777777" w:rsidR="000216EB" w:rsidRPr="000216EB" w:rsidRDefault="000216EB" w:rsidP="000216EB">
      <w:pPr>
        <w:jc w:val="both"/>
        <w:rPr>
          <w:rFonts w:asciiTheme="minorBidi" w:hAnsiTheme="minorBidi" w:cstheme="minorBidi"/>
          <w:b/>
          <w:iCs/>
        </w:rPr>
      </w:pPr>
      <m:oMathPara>
        <m:oMath>
          <m:r>
            <m:rPr>
              <m:sty m:val="p"/>
            </m:rPr>
            <w:rPr>
              <w:rFonts w:ascii="Cambria Math" w:hAnsi="Cambria Math" w:cstheme="minorBidi"/>
            </w:rPr>
            <m:t xml:space="preserve">SWG= </m:t>
          </m:r>
          <m:f>
            <m:fPr>
              <m:ctrlPr>
                <w:rPr>
                  <w:rFonts w:ascii="Cambria Math" w:hAnsi="Cambria Math" w:cstheme="minorBidi"/>
                  <w:iCs/>
                </w:rPr>
              </m:ctrlPr>
            </m:fPr>
            <m:num>
              <m:r>
                <m:rPr>
                  <m:sty m:val="p"/>
                </m:rPr>
                <w:rPr>
                  <w:rFonts w:ascii="Cambria Math" w:hAnsi="Cambria Math" w:cstheme="minorBidi"/>
                </w:rPr>
                <m:t>LnWt-LnWo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5F72D2E5"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Where: SWG = Growth rate of specific weight (%/day), Wo = Average weight of shrimp at the beginning of the study (g), Wt = Average weight of shrimp on day t (g), t = Length of maintenance (days).</w:t>
      </w:r>
    </w:p>
    <w:p w14:paraId="53118657" w14:textId="66C54D9B"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2.4.2 </w:t>
      </w:r>
      <w:r w:rsidRPr="000216EB">
        <w:rPr>
          <w:rFonts w:asciiTheme="minorBidi" w:hAnsiTheme="minorBidi" w:cstheme="minorBidi"/>
          <w:b/>
          <w:bCs/>
        </w:rPr>
        <w:t>Specific Length Growth</w:t>
      </w:r>
    </w:p>
    <w:p w14:paraId="625B87B4" w14:textId="77777777" w:rsidR="000216EB" w:rsidRPr="000216EB" w:rsidRDefault="000216EB" w:rsidP="000216EB">
      <w:pPr>
        <w:ind w:firstLine="720"/>
        <w:jc w:val="both"/>
        <w:rPr>
          <w:rFonts w:asciiTheme="minorBidi" w:hAnsiTheme="minorBidi" w:cstheme="minorBidi"/>
          <w:b/>
          <w:bCs/>
        </w:rPr>
      </w:pPr>
      <w:r w:rsidRPr="000216EB">
        <w:rPr>
          <w:rFonts w:asciiTheme="minorBidi" w:hAnsiTheme="minorBidi" w:cstheme="minorBidi"/>
        </w:rPr>
        <w:t xml:space="preserve">The daily specific length growth rate is % of the difference between the final length and the initial length, divided by the length of the maintenance time.  According to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{"citationItems":[{"id":"ITEM-1","itemData":{"author":[{"dropping-particle":"","family":"Putra","given":"Prananda","non-dropping-particle":"","parse-names":false,"suffix":""}],"id":"ITEM-1","issued":{"date-parts":[["2018"]]},"publisher":"Institut Pertanian Bogor","title":"Kinerja Produksi Udang Vaname ( Litopenaeus vannamei) Dalam Sistem Keramba Jaring Apung Di Laut Dengan Berbagai Tingkat Pemberian Pakan Prananda Putra.","type":"thesis"},"uris":["http://www.mendeley.com/documents/?uuid=6ed00bb1-5a93-4ff0-875f-9bcc32d72849","http://www.mendeley.com/documents/?uuid=ac36ff9e-f4b3-42f0-b377-f38a093eee50"]}],"mendeley":{"formattedCitation":"(Putra, 2018)","manualFormatting":"Putra (2018)","plainTextFormattedCitation":"(Putra, 2018)","previouslyFormattedCitation":"(Putra, 2018)"},"properties":{"noteIndex":0},"schema":"https://github.com/citation-style-language/schema/raw/master/csl-citation.json"}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Scabra et al. (2024)</w:t>
      </w:r>
      <w:r w:rsidRPr="000216EB">
        <w:rPr>
          <w:rFonts w:asciiTheme="minorBidi" w:hAnsiTheme="minorBidi" w:cstheme="minorBidi"/>
        </w:rPr>
        <w:fldChar w:fldCharType="end"/>
      </w:r>
      <w:r w:rsidRPr="000216EB">
        <w:rPr>
          <w:rFonts w:asciiTheme="minorBidi" w:hAnsiTheme="minorBidi" w:cstheme="minorBidi"/>
        </w:rPr>
        <w:t>, the formula for calculating the specific growth rate of specific length is:</w:t>
      </w:r>
    </w:p>
    <w:p w14:paraId="6C71E4E5" w14:textId="77777777" w:rsidR="000216EB" w:rsidRPr="000216EB" w:rsidRDefault="000216EB" w:rsidP="000216EB">
      <w:pPr>
        <w:jc w:val="both"/>
        <w:rPr>
          <w:rFonts w:asciiTheme="minorBidi" w:hAnsiTheme="minorBidi" w:cstheme="minorBidi"/>
          <w:iCs/>
        </w:rPr>
      </w:pPr>
      <m:oMathPara>
        <m:oMath>
          <m:r>
            <m:rPr>
              <m:sty m:val="p"/>
            </m:rPr>
            <w:rPr>
              <w:rFonts w:ascii="Cambria Math" w:hAnsi="Cambria Math" w:cstheme="minorBidi"/>
            </w:rPr>
            <m:t xml:space="preserve">SLG= </m:t>
          </m:r>
          <m:f>
            <m:fPr>
              <m:ctrlPr>
                <w:rPr>
                  <w:rFonts w:ascii="Cambria Math" w:hAnsi="Cambria Math" w:cstheme="minorBidi"/>
                  <w:iCs/>
                </w:rPr>
              </m:ctrlPr>
            </m:fPr>
            <m:num>
              <m:r>
                <m:rPr>
                  <m:sty m:val="p"/>
                </m:rPr>
                <w:rPr>
                  <w:rFonts w:ascii="Cambria Math" w:hAnsi="Cambria Math" w:cstheme="minorBidi"/>
                </w:rPr>
                <m:t>LnLt-LnLo</m:t>
              </m:r>
            </m:num>
            <m:den>
              <m:r>
                <m:rPr>
                  <m:sty m:val="p"/>
                </m:rPr>
                <w:rPr>
                  <w:rFonts w:ascii="Cambria Math" w:hAnsi="Cambria Math" w:cstheme="minorBidi"/>
                </w:rPr>
                <m:t>t</m:t>
              </m:r>
            </m:den>
          </m:f>
          <m:r>
            <m:rPr>
              <m:sty m:val="p"/>
            </m:rPr>
            <w:rPr>
              <w:rFonts w:ascii="Cambria Math" w:hAnsi="Cambria Math" w:cstheme="minorBidi"/>
            </w:rPr>
            <m:t xml:space="preserve"> x 100%</m:t>
          </m:r>
        </m:oMath>
      </m:oMathPara>
    </w:p>
    <w:p w14:paraId="68672398" w14:textId="77777777" w:rsidR="000216EB" w:rsidRPr="000216EB" w:rsidRDefault="000216EB" w:rsidP="000216EB">
      <w:pPr>
        <w:jc w:val="both"/>
        <w:rPr>
          <w:rFonts w:asciiTheme="minorBidi" w:hAnsiTheme="minorBidi" w:cstheme="minorBidi"/>
        </w:rPr>
      </w:pPr>
      <w:r w:rsidRPr="000216EB">
        <w:rPr>
          <w:rFonts w:asciiTheme="minorBidi" w:hAnsiTheme="minorBidi" w:cstheme="minorBidi"/>
        </w:rPr>
        <w:t>Where: SLG = Specific growth rate (%/day), Wt = Average length of shrimp at the end of the study (g), Wo = Average length of shrimp at the beginning of the study (g), t = maintenance time (days).</w:t>
      </w:r>
    </w:p>
    <w:p w14:paraId="57CD688A" w14:textId="4E1BF092"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2.4.3 </w:t>
      </w:r>
      <w:r w:rsidRPr="000216EB">
        <w:rPr>
          <w:rFonts w:asciiTheme="minorBidi" w:hAnsiTheme="minorBidi" w:cstheme="minorBidi"/>
          <w:b/>
          <w:bCs/>
        </w:rPr>
        <w:t>Feed Conversion Ratio (FCR)</w:t>
      </w:r>
    </w:p>
    <w:p w14:paraId="7E306CAA"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color w:val="000000"/>
        </w:rPr>
        <w:t>Feed Conversion Ratio</w:t>
      </w:r>
      <w:r w:rsidRPr="000216EB">
        <w:rPr>
          <w:rFonts w:asciiTheme="minorBidi" w:hAnsiTheme="minorBidi" w:cstheme="minorBidi"/>
          <w:i/>
          <w:iCs/>
          <w:color w:val="000000"/>
        </w:rPr>
        <w:t xml:space="preserve"> </w:t>
      </w:r>
      <w:r w:rsidRPr="000216EB">
        <w:rPr>
          <w:rFonts w:asciiTheme="minorBidi" w:hAnsiTheme="minorBidi" w:cstheme="minorBidi"/>
          <w:color w:val="000000"/>
        </w:rPr>
        <w:t xml:space="preserve">(FCR) is a comparison of the amount of feed and shrimp meat produced. The FCR calculation is carried out at the end of maintenance. </w:t>
      </w:r>
      <w:r w:rsidRPr="000216EB">
        <w:rPr>
          <w:rFonts w:asciiTheme="minorBidi" w:hAnsiTheme="minorBidi" w:cstheme="minorBidi"/>
        </w:rPr>
        <w:t xml:space="preserve">The calculation of the feed conversion ratio was carried out using </w:t>
      </w:r>
      <w:r w:rsidRPr="000216EB">
        <w:rPr>
          <w:rFonts w:asciiTheme="minorBidi" w:hAnsiTheme="minorBidi" w:cstheme="minorBidi"/>
          <w:color w:val="000000"/>
        </w:rPr>
        <w:t xml:space="preserve">the formula Supono et al. (2021) </w:t>
      </w:r>
      <w:r w:rsidRPr="000216EB">
        <w:rPr>
          <w:rFonts w:asciiTheme="minorBidi" w:hAnsiTheme="minorBidi" w:cstheme="minorBidi"/>
        </w:rPr>
        <w:t xml:space="preserve">as follows: </w:t>
      </w:r>
    </w:p>
    <w:p w14:paraId="22C5C399" w14:textId="77777777" w:rsidR="000216EB" w:rsidRPr="00670731" w:rsidRDefault="000216EB" w:rsidP="000216EB">
      <w:pPr>
        <w:pStyle w:val="ListParagraph"/>
        <w:tabs>
          <w:tab w:val="left" w:pos="-142"/>
        </w:tabs>
        <w:ind w:left="0"/>
        <w:jc w:val="center"/>
        <w:rPr>
          <w:rFonts w:asciiTheme="minorBidi" w:hAnsiTheme="minorBidi" w:cstheme="minorBidi"/>
          <w:sz w:val="20"/>
          <w:szCs w:val="20"/>
          <w:lang w:val="en-IN"/>
        </w:rPr>
      </w:pPr>
      <w:r w:rsidRPr="000216EB">
        <w:rPr>
          <w:rFonts w:asciiTheme="minorBidi" w:hAnsiTheme="minorBidi" w:cstheme="minorBidi"/>
          <w:sz w:val="20"/>
          <w:szCs w:val="20"/>
        </w:rPr>
        <w:t xml:space="preserve">FCR = </w:t>
      </w:r>
      <m:oMath>
        <m:f>
          <m:fPr>
            <m:ctrlPr>
              <w:rPr>
                <w:rFonts w:ascii="Cambria Math" w:hAnsi="Cambria Math" w:cstheme="minorBidi"/>
                <w:iCs/>
                <w:sz w:val="20"/>
                <w:szCs w:val="20"/>
              </w:rPr>
            </m:ctrlPr>
          </m:fPr>
          <m:num>
            <m:r>
              <m:rPr>
                <m:sty m:val="p"/>
              </m:rPr>
              <w:rPr>
                <w:rFonts w:ascii="Cambria Math" w:hAnsi="Cambria Math" w:cstheme="minorBidi"/>
                <w:sz w:val="20"/>
                <w:szCs w:val="20"/>
              </w:rPr>
              <m:t>F</m:t>
            </m:r>
          </m:num>
          <m:den>
            <m:d>
              <m:dPr>
                <m:ctrlPr>
                  <w:rPr>
                    <w:rFonts w:ascii="Cambria Math" w:hAnsi="Cambria Math" w:cstheme="minorBidi"/>
                    <w:iCs/>
                    <w:sz w:val="20"/>
                    <w:szCs w:val="20"/>
                  </w:rPr>
                </m:ctrlPr>
              </m:dPr>
              <m:e>
                <m:r>
                  <m:rPr>
                    <m:sty m:val="p"/>
                  </m:rPr>
                  <w:rPr>
                    <w:rFonts w:ascii="Cambria Math" w:hAnsi="Cambria Math" w:cstheme="minorBidi"/>
                    <w:sz w:val="20"/>
                    <w:szCs w:val="20"/>
                  </w:rPr>
                  <m:t>Wt</m:t>
                </m:r>
                <m:r>
                  <m:rPr>
                    <m:sty m:val="p"/>
                  </m:rPr>
                  <w:rPr>
                    <w:rFonts w:ascii="Cambria Math" w:hAnsi="Cambria Math" w:cstheme="minorBidi"/>
                    <w:sz w:val="20"/>
                    <w:szCs w:val="20"/>
                    <w:lang w:val="en-IN"/>
                  </w:rPr>
                  <m:t>+D</m:t>
                </m:r>
              </m:e>
            </m:d>
            <m:r>
              <m:rPr>
                <m:sty m:val="p"/>
              </m:rPr>
              <w:rPr>
                <w:rFonts w:ascii="Cambria Math" w:hAnsi="Cambria Math" w:cstheme="minorBidi"/>
                <w:sz w:val="20"/>
                <w:szCs w:val="20"/>
                <w:lang w:val="en-IN"/>
              </w:rPr>
              <m:t>-</m:t>
            </m:r>
            <m:r>
              <m:rPr>
                <m:sty m:val="p"/>
              </m:rPr>
              <w:rPr>
                <w:rFonts w:ascii="Cambria Math" w:hAnsi="Cambria Math" w:cstheme="minorBidi"/>
                <w:sz w:val="20"/>
                <w:szCs w:val="20"/>
              </w:rPr>
              <m:t>Wo</m:t>
            </m:r>
          </m:den>
        </m:f>
      </m:oMath>
    </w:p>
    <w:p w14:paraId="17ED9894" w14:textId="77777777" w:rsidR="000216EB" w:rsidRPr="00670731" w:rsidRDefault="000216EB" w:rsidP="000216EB">
      <w:pPr>
        <w:tabs>
          <w:tab w:val="left" w:pos="-142"/>
        </w:tabs>
        <w:jc w:val="both"/>
        <w:rPr>
          <w:rFonts w:asciiTheme="minorBidi" w:hAnsiTheme="minorBidi" w:cstheme="minorBidi"/>
          <w:lang w:val="en-IN"/>
        </w:rPr>
      </w:pPr>
      <w:r w:rsidRPr="000216EB">
        <w:rPr>
          <w:rFonts w:asciiTheme="minorBidi" w:hAnsiTheme="minorBidi" w:cstheme="minorBidi"/>
        </w:rPr>
        <w:t>Where: FCR = Feed Convertion Ratio, Wt = Final shrimp weight (g), Wo = Initial shrimp weight (g), F = Feed given (g), D = Weight of dead shrimp during rearing (g).</w:t>
      </w:r>
    </w:p>
    <w:p w14:paraId="110330FF" w14:textId="02A9549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iCs/>
        </w:rPr>
        <w:t xml:space="preserve">2.4.4 </w:t>
      </w:r>
      <w:r w:rsidRPr="000216EB">
        <w:rPr>
          <w:rFonts w:asciiTheme="minorBidi" w:hAnsiTheme="minorBidi" w:cstheme="minorBidi"/>
          <w:b/>
          <w:bCs/>
          <w:iCs/>
        </w:rPr>
        <w:t>Survival Rate</w:t>
      </w:r>
      <w:r w:rsidRPr="000216EB">
        <w:rPr>
          <w:rFonts w:asciiTheme="minorBidi" w:hAnsiTheme="minorBidi" w:cstheme="minorBidi"/>
          <w:b/>
          <w:bCs/>
        </w:rPr>
        <w:t xml:space="preserve"> (SR)</w:t>
      </w:r>
    </w:p>
    <w:p w14:paraId="427B6833"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rPr>
        <w:t xml:space="preserve">One of the parameters observed every day from the beginning to the end of the study is the survival rate. It is calculated with the following formula (Amrillah et al., 2015). </w:t>
      </w:r>
    </w:p>
    <w:p w14:paraId="135943E6" w14:textId="77777777" w:rsidR="000216EB" w:rsidRPr="000216EB" w:rsidRDefault="000216EB" w:rsidP="000216EB">
      <w:pPr>
        <w:jc w:val="center"/>
        <w:rPr>
          <w:rFonts w:asciiTheme="minorBidi" w:hAnsiTheme="minorBidi" w:cstheme="minorBidi"/>
          <w:lang w:val="fi-FI"/>
        </w:rPr>
      </w:pPr>
      <m:oMathPara>
        <m:oMath>
          <m:r>
            <m:rPr>
              <m:sty m:val="p"/>
            </m:rPr>
            <w:rPr>
              <w:rFonts w:ascii="Cambria Math" w:hAnsi="Cambria Math" w:cstheme="minorBidi"/>
              <w:lang w:val="fi-FI"/>
            </w:rPr>
            <m:t xml:space="preserve">SR </m:t>
          </m:r>
          <m:r>
            <w:rPr>
              <w:rFonts w:ascii="Cambria Math" w:hAnsi="Cambria Math" w:cstheme="minorBidi"/>
              <w:lang w:val="fi-FI"/>
            </w:rPr>
            <m:t>=</m:t>
          </m:r>
          <m:f>
            <m:fPr>
              <m:ctrlPr>
                <w:rPr>
                  <w:rFonts w:ascii="Cambria Math" w:hAnsi="Cambria Math" w:cstheme="minorBidi"/>
                </w:rPr>
              </m:ctrlPr>
            </m:fPr>
            <m:num>
              <m:r>
                <m:rPr>
                  <m:sty m:val="p"/>
                </m:rPr>
                <w:rPr>
                  <w:rFonts w:ascii="Cambria Math" w:hAnsi="Cambria Math" w:cstheme="minorBidi"/>
                  <w:lang w:val="fi-FI"/>
                </w:rPr>
                <m:t>Nt</m:t>
              </m:r>
            </m:num>
            <m:den>
              <m:r>
                <m:rPr>
                  <m:sty m:val="p"/>
                </m:rPr>
                <w:rPr>
                  <w:rFonts w:ascii="Cambria Math" w:hAnsi="Cambria Math" w:cstheme="minorBidi"/>
                  <w:lang w:val="fi-FI"/>
                </w:rPr>
                <m:t>No</m:t>
              </m:r>
            </m:den>
          </m:f>
          <m:r>
            <w:rPr>
              <w:rFonts w:ascii="Cambria Math" w:hAnsi="Cambria Math" w:cstheme="minorBidi"/>
            </w:rPr>
            <m:t>x</m:t>
          </m:r>
          <m:r>
            <w:rPr>
              <w:rFonts w:ascii="Cambria Math" w:hAnsi="Cambria Math" w:cstheme="minorBidi"/>
              <w:lang w:val="fi-FI"/>
            </w:rPr>
            <m:t xml:space="preserve"> 100%</m:t>
          </m:r>
        </m:oMath>
      </m:oMathPara>
    </w:p>
    <w:p w14:paraId="628E7A16" w14:textId="77777777" w:rsidR="000216EB" w:rsidRPr="000216EB" w:rsidRDefault="000216EB" w:rsidP="000216EB">
      <w:pPr>
        <w:rPr>
          <w:rFonts w:asciiTheme="minorBidi" w:hAnsiTheme="minorBidi" w:cstheme="minorBidi"/>
          <w:lang w:val="fi-FI"/>
        </w:rPr>
      </w:pPr>
      <w:r w:rsidRPr="000216EB">
        <w:rPr>
          <w:rFonts w:asciiTheme="minorBidi" w:hAnsiTheme="minorBidi" w:cstheme="minorBidi"/>
        </w:rPr>
        <w:t>Where: SR = survival rate (%), No = number of cultivants at the beginning of the study, Nt = number of cultivators at the end of the study.</w:t>
      </w:r>
    </w:p>
    <w:p w14:paraId="0EEE8C4A" w14:textId="5A7C5CAE" w:rsidR="000216EB" w:rsidRPr="000216EB" w:rsidRDefault="000216EB" w:rsidP="000216EB">
      <w:pPr>
        <w:rPr>
          <w:rFonts w:asciiTheme="minorBidi" w:hAnsiTheme="minorBidi" w:cstheme="minorBidi"/>
          <w:b/>
          <w:bCs/>
          <w:lang w:val="fi-FI"/>
        </w:rPr>
      </w:pPr>
      <w:r>
        <w:rPr>
          <w:rFonts w:asciiTheme="minorBidi" w:hAnsiTheme="minorBidi" w:cstheme="minorBidi"/>
          <w:b/>
          <w:bCs/>
        </w:rPr>
        <w:t xml:space="preserve">2.4.5 </w:t>
      </w:r>
      <w:r w:rsidRPr="000216EB">
        <w:rPr>
          <w:rFonts w:asciiTheme="minorBidi" w:hAnsiTheme="minorBidi" w:cstheme="minorBidi"/>
          <w:b/>
          <w:bCs/>
        </w:rPr>
        <w:t>Phagocytosis Activity (PA)</w:t>
      </w:r>
    </w:p>
    <w:p w14:paraId="7088B4BE" w14:textId="77777777" w:rsidR="000216EB" w:rsidRPr="000216EB" w:rsidRDefault="000216EB" w:rsidP="000216EB">
      <w:pPr>
        <w:ind w:firstLine="720"/>
        <w:jc w:val="both"/>
        <w:rPr>
          <w:rFonts w:asciiTheme="minorBidi" w:hAnsiTheme="minorBidi" w:cstheme="minorBidi"/>
          <w:lang w:val="fi-FI"/>
        </w:rPr>
      </w:pPr>
      <w:r w:rsidRPr="000216EB">
        <w:rPr>
          <w:rFonts w:asciiTheme="minorBidi" w:hAnsiTheme="minorBidi" w:cstheme="minorBidi"/>
          <w:lang w:val="fi-FI"/>
        </w:rPr>
        <w:t>PA</w:t>
      </w:r>
      <w:r w:rsidRPr="000216EB">
        <w:rPr>
          <w:rFonts w:asciiTheme="minorBidi" w:hAnsiTheme="minorBidi" w:cstheme="minorBidi"/>
        </w:rPr>
        <w:t xml:space="preserve"> was observed by taking 0.1 ml of hemolym and then adding 50 μl of bacteria </w:t>
      </w:r>
      <w:r w:rsidRPr="000216EB">
        <w:rPr>
          <w:rStyle w:val="Emphasis"/>
          <w:rFonts w:asciiTheme="minorBidi" w:hAnsiTheme="minorBidi" w:cstheme="minorBidi"/>
          <w:bCs/>
          <w:shd w:val="clear" w:color="auto" w:fill="FFFFFF"/>
        </w:rPr>
        <w:t>Streptococcus sp. (10</w:t>
      </w:r>
      <w:r w:rsidRPr="000216EB">
        <w:rPr>
          <w:rStyle w:val="Emphasis"/>
          <w:rFonts w:asciiTheme="minorBidi" w:hAnsiTheme="minorBidi" w:cstheme="minorBidi"/>
          <w:bCs/>
          <w:shd w:val="clear" w:color="auto" w:fill="FFFFFF"/>
          <w:vertAlign w:val="superscript"/>
        </w:rPr>
        <w:t>7</w:t>
      </w:r>
      <w:r w:rsidRPr="000216EB">
        <w:rPr>
          <w:rStyle w:val="Emphasis"/>
          <w:rFonts w:asciiTheme="minorBidi" w:hAnsiTheme="minorBidi" w:cstheme="minorBidi"/>
          <w:bCs/>
          <w:shd w:val="clear" w:color="auto" w:fill="FFFFFF"/>
        </w:rPr>
        <w:t xml:space="preserve"> CFU mL</w:t>
      </w:r>
      <w:r w:rsidRPr="000216EB">
        <w:rPr>
          <w:rStyle w:val="Emphasis"/>
          <w:rFonts w:asciiTheme="minorBidi" w:hAnsiTheme="minorBidi" w:cstheme="minorBidi"/>
          <w:bCs/>
          <w:shd w:val="clear" w:color="auto" w:fill="FFFFFF"/>
          <w:vertAlign w:val="superscript"/>
        </w:rPr>
        <w:t>-1</w:t>
      </w:r>
      <w:r w:rsidRPr="000216EB">
        <w:rPr>
          <w:rStyle w:val="Emphasis"/>
          <w:rFonts w:asciiTheme="minorBidi" w:hAnsiTheme="minorBidi" w:cstheme="minorBidi"/>
          <w:bCs/>
          <w:shd w:val="clear" w:color="auto" w:fill="FFFFFF"/>
        </w:rPr>
        <w:t>)</w:t>
      </w:r>
      <w:r w:rsidRPr="000216EB">
        <w:rPr>
          <w:rFonts w:asciiTheme="minorBidi" w:hAnsiTheme="minorBidi" w:cstheme="minorBidi"/>
        </w:rPr>
        <w:t xml:space="preserve">, incubated for 20 minutes. Next, 10 μl of the mixture is taken, then prepared for review and fixed in methanol for 5-10 minutes then dried. The mixture is then soaked with giemsa and then let it sit for 15-20 minutes and then rinsed with water until the color fades. Next, it is observed under a microscope with a magnification of 40x </w:t>
      </w:r>
      <w:r w:rsidRPr="000216EB">
        <w:rPr>
          <w:rFonts w:asciiTheme="minorBidi" w:hAnsiTheme="minorBidi" w:cstheme="minorBidi"/>
        </w:rPr>
        <w:fldChar w:fldCharType="begin" w:fldLock="1"/>
      </w:r>
      <w:r w:rsidRPr="000216EB">
        <w:rPr>
          <w:rFonts w:asciiTheme="minorBidi" w:hAnsiTheme="minorBidi" w:cstheme="minorBidi"/>
        </w:rPr>
        <w:instrText>ADDIN CSL_CITATION {"citationItems":[{"id":"ITEM-1","itemData":{"author":[{"dropping-particle":"","family":"Pujianti","given":"Astri.","non-dropping-particle":"","parse-names":false,"suffix":""},{"dropping-particle":"","family":"Sarjito.","given":"","non-dropping-particle":"","parse-names":false,"suffix":""},{"dropping-particle":"","family":"Suminto.","given":"","non-dropping-particle":"","parse-names":false,"suffix":""}],"container-title":"Journal of Aquaculture Management and Technology","id":"ITEM-1","issue":"1","issued":{"date-parts":[["2013"]]},"page":"66-74","title":"Pengaruh Penambahan Tepung Cacing Tanah ( Lumbricus rubellus ) dalam Pakan Buatan Terhadap Jumlah Total Hemosit dan Aktivitas Fagositosis , Udang Vanname ( Litopenaeus vannamei ) The Effect of Earthworm Meal ( Lumbricus rubellus ) Addition to Artificial D","type":"article-journal","volume":"2"},"uris":["http://www.mendeley.com/documents/?uuid=7cc95b64-5d99-4897-b66d-24bb45824cd1","http://www.mendeley.com/documents/?uuid=b6d6aeda-6932-4cb0-bc31-113a40cc10df"]}],"mendeley":{"formattedCitation":"(Pujianti et al., 2013)","manualFormatting":"(Pujianti et al., 2013)","plainTextFormattedCitation":"(Pujianti et al., 2013)","previouslyFormattedCitation":"(Pujianti et al., 2013)"},"properties":{"noteIndex":0},"schema":"https://github.com/citation-style-language/schema/raw/master/csl-citation.json"}</w:instrText>
      </w:r>
      <w:r w:rsidRPr="000216EB">
        <w:rPr>
          <w:rFonts w:asciiTheme="minorBidi" w:hAnsiTheme="minorBidi" w:cstheme="minorBidi"/>
        </w:rPr>
        <w:fldChar w:fldCharType="separate"/>
      </w:r>
      <w:r w:rsidRPr="000216EB">
        <w:rPr>
          <w:rFonts w:asciiTheme="minorBidi" w:hAnsiTheme="minorBidi" w:cstheme="minorBidi"/>
          <w:noProof/>
        </w:rPr>
        <w:t>(Pujiati, 2013)</w:t>
      </w:r>
      <w:r w:rsidRPr="000216EB">
        <w:rPr>
          <w:rFonts w:asciiTheme="minorBidi" w:hAnsiTheme="minorBidi" w:cstheme="minorBidi"/>
        </w:rPr>
        <w:fldChar w:fldCharType="end"/>
      </w:r>
      <w:r w:rsidRPr="000216EB">
        <w:rPr>
          <w:rFonts w:asciiTheme="minorBidi" w:hAnsiTheme="minorBidi" w:cstheme="minorBidi"/>
        </w:rPr>
        <w:t>:</w:t>
      </w:r>
    </w:p>
    <w:p w14:paraId="478AD043" w14:textId="77777777" w:rsidR="000216EB" w:rsidRPr="000216EB" w:rsidRDefault="000216EB" w:rsidP="000216EB">
      <w:pPr>
        <w:ind w:firstLine="720"/>
        <w:jc w:val="center"/>
        <w:rPr>
          <w:rFonts w:asciiTheme="minorBidi" w:hAnsiTheme="minorBidi" w:cstheme="minorBidi"/>
        </w:rPr>
      </w:pPr>
      <m:oMathPara>
        <m:oMath>
          <m:r>
            <m:rPr>
              <m:sty m:val="p"/>
            </m:rPr>
            <w:rPr>
              <w:rFonts w:ascii="Cambria Math" w:hAnsi="Cambria Math" w:cstheme="minorBidi"/>
            </w:rPr>
            <m:t xml:space="preserve">PA </m:t>
          </m:r>
          <m:r>
            <w:rPr>
              <w:rFonts w:ascii="Cambria Math" w:hAnsi="Cambria Math" w:cstheme="minorBidi"/>
            </w:rPr>
            <m:t>=</m:t>
          </m:r>
          <m:f>
            <m:fPr>
              <m:ctrlPr>
                <w:rPr>
                  <w:rFonts w:ascii="Cambria Math" w:hAnsi="Cambria Math" w:cstheme="minorBidi"/>
                  <w:iCs/>
                </w:rPr>
              </m:ctrlPr>
            </m:fPr>
            <m:num>
              <m:r>
                <m:rPr>
                  <m:sty m:val="p"/>
                </m:rPr>
                <w:rPr>
                  <w:rFonts w:ascii="Cambria Math" w:hAnsi="Cambria Math" w:cstheme="minorBidi"/>
                </w:rPr>
                <m:t>Number of cells performing phagocytosis</m:t>
              </m:r>
            </m:num>
            <m:den>
              <m:r>
                <m:rPr>
                  <m:sty m:val="p"/>
                </m:rPr>
                <w:rPr>
                  <w:rFonts w:ascii="Cambria Math" w:hAnsi="Cambria Math" w:cstheme="minorBidi"/>
                </w:rPr>
                <m:t>Number of phagocyte cells</m:t>
              </m:r>
            </m:den>
          </m:f>
          <m:r>
            <m:rPr>
              <m:sty m:val="p"/>
            </m:rPr>
            <w:rPr>
              <w:rFonts w:ascii="Cambria Math" w:hAnsi="Cambria Math" w:cstheme="minorBidi"/>
            </w:rPr>
            <m:t>X</m:t>
          </m:r>
          <m:r>
            <w:rPr>
              <w:rFonts w:ascii="Cambria Math" w:hAnsi="Cambria Math" w:cstheme="minorBidi"/>
            </w:rPr>
            <m:t xml:space="preserve"> 100%</m:t>
          </m:r>
        </m:oMath>
      </m:oMathPara>
    </w:p>
    <w:p w14:paraId="33648244" w14:textId="4F2D0842" w:rsidR="000216EB" w:rsidRPr="000216EB" w:rsidRDefault="000216EB" w:rsidP="000216EB">
      <w:pPr>
        <w:jc w:val="both"/>
        <w:rPr>
          <w:rFonts w:asciiTheme="minorBidi" w:hAnsiTheme="minorBidi" w:cstheme="minorBidi"/>
          <w:b/>
          <w:bCs/>
          <w:lang w:val="fi-FI"/>
        </w:rPr>
      </w:pPr>
      <w:r>
        <w:rPr>
          <w:rFonts w:asciiTheme="minorBidi" w:hAnsiTheme="minorBidi" w:cstheme="minorBidi"/>
          <w:b/>
          <w:bCs/>
        </w:rPr>
        <w:t xml:space="preserve">2.4.6 </w:t>
      </w:r>
      <w:r w:rsidRPr="000216EB">
        <w:rPr>
          <w:rFonts w:asciiTheme="minorBidi" w:hAnsiTheme="minorBidi" w:cstheme="minorBidi"/>
          <w:b/>
          <w:bCs/>
        </w:rPr>
        <w:t>Glucose</w:t>
      </w:r>
    </w:p>
    <w:p w14:paraId="31E64212" w14:textId="5646AE24" w:rsidR="000216EB" w:rsidRPr="000216EB" w:rsidRDefault="000216EB" w:rsidP="00A94D06">
      <w:pPr>
        <w:ind w:firstLine="720"/>
        <w:jc w:val="both"/>
        <w:rPr>
          <w:rFonts w:asciiTheme="minorBidi" w:hAnsiTheme="minorBidi" w:cstheme="minorBidi"/>
          <w:color w:val="000000"/>
        </w:rPr>
      </w:pPr>
      <w:r w:rsidRPr="000216EB">
        <w:rPr>
          <w:rFonts w:asciiTheme="minorBidi" w:hAnsiTheme="minorBidi" w:cstheme="minorBidi"/>
        </w:rPr>
        <w:t>The description of shrimp blood can be known through the blood glucose of the shrimp. Blood sugar concentration is used as the main indicator of fish or shrimp experiencing stress. In shrimp, a glucose concentration of more than 150 mg/dL indicates that shrimp require more energy during the molting process and in the process maintain high glucose concentration homeostasis in the</w:t>
      </w:r>
      <w:r w:rsidRPr="00A94D06">
        <w:rPr>
          <w:rFonts w:asciiTheme="minorBidi" w:hAnsiTheme="minorBidi" w:cstheme="minorBidi"/>
        </w:rPr>
        <w:t xml:space="preserve"> </w:t>
      </w:r>
      <w:r w:rsidR="00A94D06" w:rsidRPr="00A94D06">
        <w:rPr>
          <w:rFonts w:asciiTheme="minorBidi" w:hAnsiTheme="minorBidi" w:cstheme="minorBidi"/>
        </w:rPr>
        <w:t>hemolymp</w:t>
      </w:r>
      <w:r w:rsidR="00A94D06">
        <w:rPr>
          <w:rFonts w:asciiTheme="minorBidi" w:hAnsiTheme="minorBidi" w:cstheme="minorBidi"/>
        </w:rPr>
        <w:t>h</w:t>
      </w:r>
      <w:r w:rsidR="00A94D06" w:rsidRPr="00A94D06">
        <w:rPr>
          <w:rFonts w:asciiTheme="minorBidi" w:hAnsiTheme="minorBidi" w:cstheme="minorBidi"/>
        </w:rPr>
        <w:t xml:space="preserve"> </w:t>
      </w:r>
      <w:r w:rsidRPr="000216EB">
        <w:rPr>
          <w:rFonts w:asciiTheme="minorBidi" w:hAnsiTheme="minorBidi" w:cstheme="minorBidi"/>
        </w:rPr>
        <w:t>Extreme environmental changes make shrimp more susceptible to stress and increase the amount of glucose in shrimp hemol</w:t>
      </w:r>
      <w:r w:rsidR="00A94D06">
        <w:rPr>
          <w:rFonts w:asciiTheme="minorBidi" w:hAnsiTheme="minorBidi" w:cstheme="minorBidi"/>
        </w:rPr>
        <w:t xml:space="preserve">ymph </w:t>
      </w:r>
      <w:r w:rsidR="00C62AB4">
        <w:rPr>
          <w:rFonts w:asciiTheme="minorBidi" w:hAnsiTheme="minorBidi" w:cstheme="minorBidi"/>
        </w:rPr>
        <w:t>(</w:t>
      </w:r>
      <w:proofErr w:type="spellStart"/>
      <w:r w:rsidR="00C62AB4">
        <w:rPr>
          <w:rFonts w:asciiTheme="minorBidi" w:hAnsiTheme="minorBidi" w:cstheme="minorBidi"/>
        </w:rPr>
        <w:t>Mariyani</w:t>
      </w:r>
      <w:proofErr w:type="spellEnd"/>
      <w:r w:rsidR="00C62AB4">
        <w:rPr>
          <w:rFonts w:asciiTheme="minorBidi" w:hAnsiTheme="minorBidi" w:cstheme="minorBidi"/>
        </w:rPr>
        <w:t xml:space="preserve"> </w:t>
      </w:r>
      <w:r w:rsidR="00611EE6">
        <w:rPr>
          <w:rFonts w:asciiTheme="minorBidi" w:hAnsiTheme="minorBidi" w:cstheme="minorBidi"/>
        </w:rPr>
        <w:t xml:space="preserve">&amp; </w:t>
      </w:r>
      <w:proofErr w:type="spellStart"/>
      <w:r w:rsidR="00611EE6">
        <w:rPr>
          <w:rFonts w:asciiTheme="minorBidi" w:hAnsiTheme="minorBidi" w:cstheme="minorBidi"/>
        </w:rPr>
        <w:t>Hendriana</w:t>
      </w:r>
      <w:proofErr w:type="spellEnd"/>
      <w:r w:rsidR="00611EE6">
        <w:rPr>
          <w:rFonts w:asciiTheme="minorBidi" w:hAnsiTheme="minorBidi" w:cstheme="minorBidi"/>
        </w:rPr>
        <w:t xml:space="preserve">, 2020). </w:t>
      </w:r>
      <w:r w:rsidRPr="000216EB">
        <w:rPr>
          <w:rFonts w:asciiTheme="minorBidi" w:hAnsiTheme="minorBidi" w:cstheme="minorBidi"/>
        </w:rPr>
        <w:t xml:space="preserve"> </w:t>
      </w:r>
      <w:r w:rsidRPr="000216EB">
        <w:rPr>
          <w:rFonts w:asciiTheme="minorBidi" w:hAnsiTheme="minorBidi" w:cstheme="minorBidi"/>
          <w:color w:val="000000"/>
        </w:rPr>
        <w:t xml:space="preserve"> </w:t>
      </w:r>
    </w:p>
    <w:p w14:paraId="69817E6F" w14:textId="41AED40E" w:rsidR="000216EB" w:rsidRPr="000216EB" w:rsidRDefault="000216EB" w:rsidP="000216EB">
      <w:pPr>
        <w:jc w:val="both"/>
        <w:rPr>
          <w:rFonts w:asciiTheme="minorBidi" w:hAnsiTheme="minorBidi" w:cstheme="minorBidi"/>
          <w:b/>
          <w:bCs/>
          <w:lang w:val="id-ID"/>
        </w:rPr>
      </w:pPr>
      <w:r>
        <w:rPr>
          <w:rFonts w:asciiTheme="minorBidi" w:hAnsiTheme="minorBidi" w:cstheme="minorBidi"/>
          <w:b/>
          <w:bCs/>
        </w:rPr>
        <w:lastRenderedPageBreak/>
        <w:t xml:space="preserve">2.4.7 </w:t>
      </w:r>
      <w:r w:rsidRPr="000216EB">
        <w:rPr>
          <w:rFonts w:asciiTheme="minorBidi" w:hAnsiTheme="minorBidi" w:cstheme="minorBidi"/>
          <w:b/>
          <w:bCs/>
        </w:rPr>
        <w:t>Phytochemical Tests</w:t>
      </w:r>
    </w:p>
    <w:p w14:paraId="27DC569F" w14:textId="550D9C38" w:rsidR="000216EB" w:rsidRPr="000216EB" w:rsidRDefault="000216EB" w:rsidP="000216EB">
      <w:pPr>
        <w:ind w:firstLine="720"/>
        <w:jc w:val="both"/>
        <w:rPr>
          <w:rFonts w:asciiTheme="minorBidi" w:hAnsiTheme="minorBidi" w:cstheme="minorBidi"/>
          <w:color w:val="000000"/>
        </w:rPr>
      </w:pPr>
      <w:r w:rsidRPr="000216EB">
        <w:rPr>
          <w:rFonts w:asciiTheme="minorBidi" w:hAnsiTheme="minorBidi" w:cstheme="minorBidi"/>
          <w:color w:val="000000"/>
        </w:rPr>
        <w:t>Phytochemical tests aim to detect the presence of certain phytochemical compounds or secondary metabolites in a sample. This identification process is the initial stage to determine the content of primary and secondary metabolites in the test material extract (</w:t>
      </w:r>
      <w:proofErr w:type="spellStart"/>
      <w:proofErr w:type="gramStart"/>
      <w:r w:rsidR="00A94D06">
        <w:rPr>
          <w:rFonts w:asciiTheme="minorBidi" w:hAnsiTheme="minorBidi" w:cstheme="minorBidi"/>
          <w:color w:val="000000"/>
        </w:rPr>
        <w:t>Qomariah</w:t>
      </w:r>
      <w:proofErr w:type="spellEnd"/>
      <w:r w:rsidR="00A94D06">
        <w:rPr>
          <w:rFonts w:asciiTheme="minorBidi" w:hAnsiTheme="minorBidi" w:cstheme="minorBidi"/>
          <w:color w:val="000000"/>
        </w:rPr>
        <w:t xml:space="preserve"> </w:t>
      </w:r>
      <w:r w:rsidRPr="000216EB">
        <w:rPr>
          <w:rFonts w:asciiTheme="minorBidi" w:hAnsiTheme="minorBidi" w:cstheme="minorBidi"/>
          <w:color w:val="000000"/>
        </w:rPr>
        <w:t xml:space="preserve"> et al.</w:t>
      </w:r>
      <w:proofErr w:type="gramEnd"/>
      <w:r w:rsidRPr="000216EB">
        <w:rPr>
          <w:rFonts w:asciiTheme="minorBidi" w:hAnsiTheme="minorBidi" w:cstheme="minorBidi"/>
          <w:color w:val="000000"/>
        </w:rPr>
        <w:t>, 2023). Phytochemical testing typically includes testing for flavonoid</w:t>
      </w:r>
      <w:r w:rsidR="00A94D06">
        <w:rPr>
          <w:rFonts w:asciiTheme="minorBidi" w:hAnsiTheme="minorBidi" w:cstheme="minorBidi"/>
          <w:color w:val="000000"/>
        </w:rPr>
        <w:t>s</w:t>
      </w:r>
      <w:r w:rsidRPr="000216EB">
        <w:rPr>
          <w:rFonts w:asciiTheme="minorBidi" w:hAnsiTheme="minorBidi" w:cstheme="minorBidi"/>
          <w:color w:val="000000"/>
        </w:rPr>
        <w:t xml:space="preserve">, tannins, saponins, alkaloids, terpenoids, and </w:t>
      </w:r>
      <w:r w:rsidRPr="000216EB">
        <w:rPr>
          <w:rFonts w:asciiTheme="minorBidi" w:hAnsiTheme="minorBidi" w:cstheme="minorBidi"/>
        </w:rPr>
        <w:t>fatty acid.</w:t>
      </w:r>
    </w:p>
    <w:p w14:paraId="4AF3D3A0"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put into a test tube, then added with magnesium powder and 2-4 drops of concentrated HCl. Then the mixture was shaken. The formation of orange to red color indicates the presence of flavonoids (Rahayu et al., 2015).</w:t>
      </w:r>
    </w:p>
    <w:p w14:paraId="070A6E01"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As much as 1 mL of guava leaf flour was added with 10 drops of FeCl</w:t>
      </w:r>
      <w:r w:rsidRPr="000216EB">
        <w:rPr>
          <w:rFonts w:asciiTheme="minorBidi" w:hAnsiTheme="minorBidi" w:cstheme="minorBidi"/>
          <w:vertAlign w:val="subscript"/>
        </w:rPr>
        <w:t>3</w:t>
      </w:r>
      <w:r w:rsidRPr="000216EB">
        <w:rPr>
          <w:rFonts w:asciiTheme="minorBidi" w:hAnsiTheme="minorBidi" w:cstheme="minorBidi"/>
        </w:rPr>
        <w:t xml:space="preserve"> 1%. The change in solution to blackish blue or blackish green indicated that the sample was positive for containing tannin compounds (Maulida et al., 2020).</w:t>
      </w:r>
    </w:p>
    <w:p w14:paraId="362ADDC7"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Identification of the presence of saponin compounds was done by pouring 1 mL guava leaf flour into a test tube, adding 10 mL of hot water, cooling and then shaking for 10 seconds until a stable foam was formed, then adding 1 drop of HCl through the wall of the test tube. Foam that did not disappear when added 1 drop of HCl indicated the presence of saponin in the sample (Nugraha et al., 2024).</w:t>
      </w:r>
    </w:p>
    <w:p w14:paraId="258AE4BA"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A volume of 4 mL of guava leaf flour was mixed using 3 mL of methanol and 5 mL of ammonia, then the mixture was filtered. Furthermore, 2 mL of HCl solution was added to the filtrate and shaken. The results obtained were then put into 4 test tubes each containing 5 drops. Tube 1 contains a blank solution, while tubes 2, 3, and 4 will be mixed with 1 drop of Mayer, Wagner, Dragendorff reagent in each tube. Positive results in this test were indicated by each solution having white, brown or orange deposits (Oktavia &amp; Sutoyo, 2021).</w:t>
      </w:r>
    </w:p>
    <w:p w14:paraId="5C756758" w14:textId="38B2868F"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 xml:space="preserve">The terpenoid test was carried out by taking 1 mL of guava leaf flour sample then adding </w:t>
      </w:r>
      <w:proofErr w:type="spellStart"/>
      <w:r w:rsidRPr="000216EB">
        <w:rPr>
          <w:rFonts w:asciiTheme="minorBidi" w:hAnsiTheme="minorBidi" w:cstheme="minorBidi"/>
        </w:rPr>
        <w:t>Liebermen</w:t>
      </w:r>
      <w:r w:rsidR="00A94D06">
        <w:rPr>
          <w:rFonts w:asciiTheme="minorBidi" w:hAnsiTheme="minorBidi" w:cstheme="minorBidi"/>
        </w:rPr>
        <w:t>n</w:t>
      </w:r>
      <w:proofErr w:type="spellEnd"/>
      <w:r w:rsidRPr="000216EB">
        <w:rPr>
          <w:rFonts w:asciiTheme="minorBidi" w:hAnsiTheme="minorBidi" w:cstheme="minorBidi"/>
        </w:rPr>
        <w:t>-Burchard reagent consisting of 2 mL of chloroform, 10 drops of acetic anhydride, and 3 drops of concentrated sulfuric acid. After that, it was shaken slowly and left for a few minutes then the changes that occur were observed. A positive test result indicating the presence of terpenoids is if a red or purple color appeared and a brownish ring was formed (Azalia et al., 2023).</w:t>
      </w:r>
    </w:p>
    <w:p w14:paraId="1F0A8884" w14:textId="77777777" w:rsidR="000216EB" w:rsidRPr="000216EB" w:rsidRDefault="000216EB" w:rsidP="000216EB">
      <w:pPr>
        <w:ind w:firstLine="720"/>
        <w:jc w:val="both"/>
        <w:rPr>
          <w:rFonts w:asciiTheme="minorBidi" w:hAnsiTheme="minorBidi" w:cstheme="minorBidi"/>
        </w:rPr>
      </w:pPr>
      <w:r w:rsidRPr="000216EB">
        <w:rPr>
          <w:rFonts w:asciiTheme="minorBidi" w:hAnsiTheme="minorBidi" w:cstheme="minorBidi"/>
        </w:rPr>
        <w:t>Fatty acid analysis begins with lipid extraction using organic solvents (chloroform–methanol), followed by derivatization into FAME (Fatty Acid Methyl Esters) through a transesterification reaction using either acid or base catalysts. The resulting FAME is then purified using a non-polar solvent and analyzed using gas chromatography (GC) equipped with either a flame ionization detector (FID) or mass spectrometry (GC-MS) for identification and quantification. In addition to GC, alternative methods such as LC, NIR, and NMR are also available for rapid analysis, although GC remains the most accurate technique for profiling fatty acids (Wu et al., 2017).</w:t>
      </w:r>
    </w:p>
    <w:p w14:paraId="7223F8DB" w14:textId="2F4155B9" w:rsidR="000216EB" w:rsidRPr="000216EB" w:rsidRDefault="000216EB" w:rsidP="000216EB">
      <w:pPr>
        <w:jc w:val="both"/>
        <w:rPr>
          <w:rFonts w:asciiTheme="minorBidi" w:hAnsiTheme="minorBidi" w:cstheme="minorBidi"/>
          <w:b/>
          <w:bCs/>
        </w:rPr>
      </w:pPr>
      <w:r>
        <w:rPr>
          <w:rFonts w:asciiTheme="minorBidi" w:hAnsiTheme="minorBidi" w:cstheme="minorBidi"/>
          <w:b/>
          <w:bCs/>
        </w:rPr>
        <w:t xml:space="preserve">2.4.8 </w:t>
      </w:r>
      <w:r w:rsidRPr="000216EB">
        <w:rPr>
          <w:rFonts w:asciiTheme="minorBidi" w:hAnsiTheme="minorBidi" w:cstheme="minorBidi"/>
          <w:b/>
          <w:bCs/>
        </w:rPr>
        <w:t>Water Quality</w:t>
      </w:r>
    </w:p>
    <w:p w14:paraId="690EDFA5" w14:textId="77777777" w:rsidR="000216EB" w:rsidRPr="000216EB" w:rsidRDefault="000216EB" w:rsidP="000216EB">
      <w:pPr>
        <w:ind w:firstLine="426"/>
        <w:jc w:val="both"/>
        <w:rPr>
          <w:rFonts w:asciiTheme="minorBidi" w:hAnsiTheme="minorBidi" w:cstheme="minorBidi"/>
          <w:lang w:val="id-ID"/>
        </w:rPr>
      </w:pPr>
      <w:r w:rsidRPr="000216EB">
        <w:rPr>
          <w:rFonts w:asciiTheme="minorBidi" w:hAnsiTheme="minorBidi" w:cstheme="minorBidi"/>
        </w:rPr>
        <w:t>The water quality to be measured during the study is DO, temperature, pH, Ammonia, Salinity, DO, temperature, pH and Ammonia Water Quality measurements were carried out in all research experiments with the frequency of water quality measurement carried out 3 times during the study, namely the beginning, middle and end.</w:t>
      </w:r>
    </w:p>
    <w:p w14:paraId="7AA6A0F8" w14:textId="2A34CB10" w:rsidR="000216EB" w:rsidRPr="000216EB" w:rsidRDefault="000216EB" w:rsidP="000216EB">
      <w:pPr>
        <w:rPr>
          <w:rFonts w:asciiTheme="minorBidi" w:hAnsiTheme="minorBidi" w:cstheme="minorBidi"/>
          <w:b/>
          <w:bCs/>
        </w:rPr>
      </w:pPr>
      <w:r>
        <w:rPr>
          <w:rFonts w:asciiTheme="minorBidi" w:hAnsiTheme="minorBidi" w:cstheme="minorBidi"/>
          <w:b/>
          <w:bCs/>
        </w:rPr>
        <w:t xml:space="preserve">2.4.9 </w:t>
      </w:r>
      <w:r w:rsidRPr="000216EB">
        <w:rPr>
          <w:rFonts w:asciiTheme="minorBidi" w:hAnsiTheme="minorBidi" w:cstheme="minorBidi"/>
          <w:b/>
          <w:bCs/>
        </w:rPr>
        <w:t>Data Analysis</w:t>
      </w:r>
    </w:p>
    <w:p w14:paraId="657A36BD" w14:textId="77777777" w:rsidR="000216EB" w:rsidRDefault="000216EB" w:rsidP="000216EB">
      <w:pPr>
        <w:ind w:firstLine="720"/>
        <w:jc w:val="both"/>
        <w:rPr>
          <w:rFonts w:asciiTheme="minorBidi" w:hAnsiTheme="minorBidi" w:cstheme="minorBidi"/>
        </w:rPr>
      </w:pPr>
      <w:r w:rsidRPr="000216EB">
        <w:rPr>
          <w:rFonts w:asciiTheme="minorBidi" w:hAnsiTheme="minorBidi" w:cstheme="minorBidi"/>
        </w:rPr>
        <w:t>The results of this study were analyzed descriptively and statistically using SPSS (Version 16.0). The anova test was conducted at a confidence level of 95% (P&lt;0.05). If the results are different, further tests will be carried out using Duncan.</w:t>
      </w:r>
    </w:p>
    <w:p w14:paraId="7D01762F" w14:textId="77777777" w:rsidR="00AE2CC6" w:rsidRDefault="00AE2CC6" w:rsidP="000216EB">
      <w:pPr>
        <w:ind w:firstLine="720"/>
        <w:jc w:val="both"/>
        <w:rPr>
          <w:rFonts w:asciiTheme="minorBidi" w:hAnsiTheme="minorBidi" w:cstheme="minorBidi"/>
        </w:rPr>
      </w:pPr>
    </w:p>
    <w:p w14:paraId="4B25B7AA" w14:textId="6AB335D6" w:rsidR="00863BD3" w:rsidRPr="00EE6119" w:rsidRDefault="00AE2CC6" w:rsidP="00EE6119">
      <w:pPr>
        <w:pStyle w:val="Head1"/>
        <w:spacing w:after="0"/>
        <w:jc w:val="both"/>
        <w:rPr>
          <w:rFonts w:asciiTheme="minorBidi" w:hAnsiTheme="minorBidi" w:cstheme="minorBidi"/>
        </w:rPr>
      </w:pPr>
      <w:r w:rsidRPr="00EE6119">
        <w:rPr>
          <w:rFonts w:asciiTheme="minorBidi" w:hAnsiTheme="minorBidi" w:cstheme="minorBidi"/>
        </w:rPr>
        <w:t>3. RESULTS and  discussion</w:t>
      </w:r>
    </w:p>
    <w:p w14:paraId="0103DA37" w14:textId="4A3EC454" w:rsidR="00C30A0F" w:rsidRPr="00EE6119" w:rsidRDefault="00C30A0F"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3.1 </w:t>
      </w:r>
      <w:r w:rsidR="00AE2CC6" w:rsidRPr="00EE6119">
        <w:rPr>
          <w:rFonts w:asciiTheme="minorBidi" w:hAnsiTheme="minorBidi" w:cstheme="minorBidi"/>
          <w:b/>
          <w:sz w:val="22"/>
        </w:rPr>
        <w:t>Specific Weight Growth</w:t>
      </w:r>
    </w:p>
    <w:p w14:paraId="48211B97" w14:textId="4A13960A" w:rsidR="00AE2CC6" w:rsidRPr="00EE6119" w:rsidRDefault="00AE2CC6" w:rsidP="00EE6119">
      <w:pPr>
        <w:jc w:val="both"/>
        <w:rPr>
          <w:rFonts w:asciiTheme="minorBidi" w:hAnsiTheme="minorBidi" w:cstheme="minorBidi"/>
          <w:noProof/>
        </w:rPr>
      </w:pPr>
      <w:r w:rsidRPr="00EE6119">
        <w:rPr>
          <w:rFonts w:asciiTheme="minorBidi" w:hAnsiTheme="minorBidi" w:cstheme="minorBidi"/>
          <w:noProof/>
        </w:rPr>
        <w:t>Specific weight growth is described by the daily weight growth of the shrimp expressed by (%/day). The results of specific weight growth in this study are presented in Figure 1 as follows. Specific weight growth is the growth of shrimp during the maintenance period and shows an increase in daily body weight (%/day). In P1, the lowest cepceptic weight was 0.67%/day, and the highest specific weight was 1.37%/day. Weight growth is closely related to the food consumed, when shrimp grow large, there are growth activities in the shrimp that are raised and there is feed given as nutrient intake. The high growth of specific weight in P5 was due to the addition of 6% guava leaves flour in the feed during maintenance. The existence of guava leaves flour provides good benefits for shrimp health so that shrimp have a good performance in their life during the maintenance period. The content of active substances in guava leaves flour can increase the immune system of shrimp so that shrimp have a good immune system to support their growth. In accordance with Affandi &amp; Setyono (2024), the content in natural plant products acts as antistress, stimulates growth, stimulates appetite, tonics and immunostimulants, and antimicrobials for fish and shrimp. The main components in natural plants that have such functions include alkaloids, flavonoids, pigments, phenolics, terpenoids, steroids, essential oils, and polysaccharide sulfates. P1 can be seen to provide the lowest specific growth results, which is 0.67%/day from other treatments. The low growth specific weight in P1 is due to the absence of the addition of guava leaves flour in the feed during maintenance. This research is in line with the findings of Wulan et al. (2022), shrimp fed with an additional 5% extract of natural ingredients containing flavonoids and tannins showed the highest SGR of 1.32%/day, while treatment without addition only reached 0.70%/day.</w:t>
      </w:r>
    </w:p>
    <w:p w14:paraId="3D1E5304" w14:textId="4547243B" w:rsidR="00AE2CC6" w:rsidRPr="00EE6119" w:rsidRDefault="00AE2CC6" w:rsidP="00EE6119">
      <w:pPr>
        <w:jc w:val="center"/>
        <w:rPr>
          <w:rFonts w:asciiTheme="minorBidi" w:hAnsiTheme="minorBidi" w:cstheme="minorBidi"/>
          <w:b/>
          <w:lang w:val="id-ID"/>
        </w:rPr>
      </w:pPr>
      <w:r w:rsidRPr="00EE6119">
        <w:rPr>
          <w:rFonts w:asciiTheme="minorBidi" w:hAnsiTheme="minorBidi" w:cstheme="minorBidi"/>
          <w:noProof/>
        </w:rPr>
        <w:lastRenderedPageBreak/>
        <w:drawing>
          <wp:inline distT="0" distB="0" distL="0" distR="0" wp14:anchorId="5545D621" wp14:editId="7334A300">
            <wp:extent cx="3393586" cy="1969477"/>
            <wp:effectExtent l="0" t="0" r="16510" b="12065"/>
            <wp:docPr id="792618097" name="Chart 1">
              <a:extLst xmlns:a="http://schemas.openxmlformats.org/drawingml/2006/main">
                <a:ext uri="{FF2B5EF4-FFF2-40B4-BE49-F238E27FC236}">
                  <a16:creationId xmlns:a16="http://schemas.microsoft.com/office/drawing/2014/main" id="{49BC9A92-BCEF-9F69-5764-2D657FF468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EA972DD" w14:textId="25687627" w:rsidR="00AE2CC6" w:rsidRPr="00EE6119" w:rsidRDefault="00AE2CC6" w:rsidP="00EE6119">
      <w:pPr>
        <w:jc w:val="center"/>
        <w:rPr>
          <w:rFonts w:asciiTheme="minorBidi" w:hAnsiTheme="minorBidi" w:cstheme="minorBidi"/>
        </w:rPr>
      </w:pPr>
      <w:r w:rsidRPr="00EE6119">
        <w:rPr>
          <w:rFonts w:asciiTheme="minorBidi" w:hAnsiTheme="minorBidi" w:cstheme="minorBidi"/>
        </w:rPr>
        <w:t>Figure 1. Specific Weight Growth</w:t>
      </w:r>
    </w:p>
    <w:p w14:paraId="5962E019" w14:textId="77777777" w:rsidR="00AE2CC6" w:rsidRPr="00EE6119" w:rsidRDefault="00AE2CC6" w:rsidP="00EE6119">
      <w:pPr>
        <w:pStyle w:val="Body"/>
        <w:spacing w:after="0"/>
        <w:rPr>
          <w:rFonts w:asciiTheme="minorBidi" w:hAnsiTheme="minorBidi" w:cstheme="minorBidi"/>
        </w:rPr>
      </w:pPr>
    </w:p>
    <w:p w14:paraId="5A452544" w14:textId="1BF2D6F3"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3.2 </w:t>
      </w:r>
      <w:r w:rsidRPr="00EE6119">
        <w:rPr>
          <w:rFonts w:asciiTheme="minorBidi" w:hAnsiTheme="minorBidi" w:cstheme="minorBidi"/>
          <w:b/>
          <w:sz w:val="22"/>
        </w:rPr>
        <w:t>Specific Length Growth</w:t>
      </w:r>
    </w:p>
    <w:p w14:paraId="2D2B8342" w14:textId="2732A685" w:rsidR="00AE2CC6" w:rsidRDefault="00AE2CC6" w:rsidP="00EE6119">
      <w:pPr>
        <w:ind w:firstLine="720"/>
        <w:jc w:val="both"/>
        <w:rPr>
          <w:rFonts w:asciiTheme="minorBidi" w:hAnsiTheme="minorBidi" w:cstheme="minorBidi"/>
        </w:rPr>
      </w:pPr>
      <w:r w:rsidRPr="00EE6119">
        <w:rPr>
          <w:rFonts w:asciiTheme="minorBidi" w:hAnsiTheme="minorBidi" w:cstheme="minorBidi"/>
          <w:noProof/>
        </w:rPr>
        <w:t xml:space="preserve">Specific weight growth is described by the daily weight growth of the shrimp expressed by (%/day). The results of specific weight growth in this study are presented in Figure 1 as follows. </w:t>
      </w:r>
      <w:r w:rsidRPr="00EE6119">
        <w:rPr>
          <w:rFonts w:asciiTheme="minorBidi" w:hAnsiTheme="minorBidi" w:cstheme="minorBidi"/>
        </w:rPr>
        <w:t>Specific length growth can be interpreted as the addition of the daily length of the shrimp body during maintenance (%/day). In this study, it can be seen that P5 gives the highest specific length growth result of 4.37%/day and the lowest P1 of 3.99%/day. These results show that guava leaves flour containing various bioactive compounds, such as flavonoids, tannins, and saponins, can improve the health of the shrimp body, accelerate metabolism, and support a more efficient digestive process, so that more energy is used for growth. This is in line with the opinion of Uyun et al. (2021) which stated that the increase in the specific growth performance of whiteleg shrimp was caused by an increase in immune system health factors strengthened by the administration of immunostimulants from natural ingredients, in his research, the highest specific length growth was also obtained in treatment with a dose of kersen leaves extract of 2%, with a value of 6 %/day, while the lowest (without treatment) was 5.1 %/day.</w:t>
      </w:r>
    </w:p>
    <w:p w14:paraId="5D2B0D76" w14:textId="19295E49" w:rsidR="00644933" w:rsidRDefault="00644933" w:rsidP="00EE6119">
      <w:pPr>
        <w:ind w:firstLine="720"/>
        <w:jc w:val="both"/>
        <w:rPr>
          <w:rFonts w:asciiTheme="minorBidi" w:hAnsiTheme="minorBidi" w:cstheme="minorBidi"/>
        </w:rPr>
      </w:pPr>
    </w:p>
    <w:p w14:paraId="6312D9F4" w14:textId="648A3F7B" w:rsidR="00644933" w:rsidRDefault="00644933" w:rsidP="00EE6119">
      <w:pPr>
        <w:ind w:firstLine="720"/>
        <w:jc w:val="both"/>
        <w:rPr>
          <w:rFonts w:asciiTheme="minorBidi" w:hAnsiTheme="minorBidi" w:cstheme="minorBidi"/>
        </w:rPr>
      </w:pPr>
    </w:p>
    <w:p w14:paraId="26B23B2F" w14:textId="61678231" w:rsidR="00644933" w:rsidRDefault="00644933" w:rsidP="00644933">
      <w:pPr>
        <w:ind w:firstLine="720"/>
        <w:jc w:val="center"/>
        <w:rPr>
          <w:rFonts w:asciiTheme="minorBidi" w:hAnsiTheme="minorBidi" w:cstheme="minorBidi"/>
        </w:rPr>
      </w:pPr>
      <w:r>
        <w:rPr>
          <w:noProof/>
        </w:rPr>
        <w:drawing>
          <wp:inline distT="0" distB="0" distL="0" distR="0" wp14:anchorId="5AFA6C63" wp14:editId="541D02F5">
            <wp:extent cx="3365500" cy="1870710"/>
            <wp:effectExtent l="0" t="0" r="6350" b="15240"/>
            <wp:docPr id="1754039003" name="Chart 1">
              <a:extLst xmlns:a="http://schemas.openxmlformats.org/drawingml/2006/main">
                <a:ext uri="{FF2B5EF4-FFF2-40B4-BE49-F238E27FC236}">
                  <a16:creationId xmlns:a16="http://schemas.microsoft.com/office/drawing/2014/main" id="{3CDF07F1-8766-781C-95F0-028F225C63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D3BFF0" w14:textId="53C36377" w:rsidR="00EE6119" w:rsidRDefault="00EE6119" w:rsidP="00EE6119">
      <w:pPr>
        <w:ind w:firstLine="720"/>
        <w:jc w:val="center"/>
        <w:rPr>
          <w:noProof/>
        </w:rPr>
      </w:pPr>
    </w:p>
    <w:p w14:paraId="09CBAEEA" w14:textId="652B461B" w:rsidR="00644933" w:rsidRDefault="00644933" w:rsidP="00EE6119">
      <w:pPr>
        <w:ind w:firstLine="720"/>
        <w:jc w:val="center"/>
        <w:rPr>
          <w:noProof/>
        </w:rPr>
      </w:pPr>
    </w:p>
    <w:p w14:paraId="482D549F" w14:textId="3D809819" w:rsidR="00644933" w:rsidRDefault="00644933" w:rsidP="00EE6119">
      <w:pPr>
        <w:ind w:firstLine="720"/>
        <w:jc w:val="center"/>
        <w:rPr>
          <w:noProof/>
        </w:rPr>
      </w:pPr>
      <w:r w:rsidRPr="00644933">
        <w:rPr>
          <w:noProof/>
        </w:rPr>
        <w:t>Figure 2. Specific Growth Length</w:t>
      </w:r>
    </w:p>
    <w:p w14:paraId="4C9FBC00" w14:textId="012D8EBD" w:rsidR="00644933" w:rsidRDefault="00644933" w:rsidP="00EE6119">
      <w:pPr>
        <w:ind w:firstLine="720"/>
        <w:jc w:val="center"/>
        <w:rPr>
          <w:noProof/>
        </w:rPr>
      </w:pPr>
    </w:p>
    <w:p w14:paraId="4BC98D73" w14:textId="77C73BA5" w:rsidR="00644933" w:rsidRDefault="00644933" w:rsidP="00EE6119">
      <w:pPr>
        <w:ind w:firstLine="720"/>
        <w:jc w:val="center"/>
        <w:rPr>
          <w:noProof/>
        </w:rPr>
      </w:pPr>
    </w:p>
    <w:p w14:paraId="3148172A" w14:textId="7DF9CEB0" w:rsidR="00644933" w:rsidRDefault="00644933" w:rsidP="00EE6119">
      <w:pPr>
        <w:ind w:firstLine="720"/>
        <w:jc w:val="center"/>
        <w:rPr>
          <w:noProof/>
        </w:rPr>
      </w:pPr>
    </w:p>
    <w:p w14:paraId="737B4293" w14:textId="77777777" w:rsidR="00644933" w:rsidRDefault="00644933" w:rsidP="00EE6119">
      <w:pPr>
        <w:ind w:firstLine="720"/>
        <w:jc w:val="center"/>
        <w:rPr>
          <w:rFonts w:asciiTheme="minorBidi" w:hAnsiTheme="minorBidi" w:cstheme="minorBidi"/>
          <w:lang w:val="id-ID"/>
        </w:rPr>
      </w:pPr>
    </w:p>
    <w:p w14:paraId="316B6E8E" w14:textId="77777777" w:rsidR="00EE6119" w:rsidRPr="00EE6119" w:rsidRDefault="00EE6119" w:rsidP="00EE6119">
      <w:pPr>
        <w:ind w:firstLine="720"/>
        <w:jc w:val="center"/>
        <w:rPr>
          <w:rFonts w:asciiTheme="minorBidi" w:hAnsiTheme="minorBidi" w:cstheme="minorBidi"/>
          <w:lang w:val="id-ID"/>
        </w:rPr>
      </w:pPr>
    </w:p>
    <w:p w14:paraId="673ECFFB" w14:textId="443606F2"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3.3 </w:t>
      </w:r>
      <w:r w:rsidRPr="00EE6119">
        <w:rPr>
          <w:rFonts w:asciiTheme="minorBidi" w:hAnsiTheme="minorBidi" w:cstheme="minorBidi"/>
          <w:b/>
          <w:sz w:val="22"/>
        </w:rPr>
        <w:t>Feed Conversion Ratio (FCR)</w:t>
      </w:r>
    </w:p>
    <w:p w14:paraId="7E3A4586" w14:textId="062EEA7D" w:rsidR="00AE2CC6" w:rsidRDefault="00AE2CC6" w:rsidP="00EE6119">
      <w:pPr>
        <w:ind w:firstLine="567"/>
        <w:jc w:val="both"/>
        <w:rPr>
          <w:rFonts w:asciiTheme="minorBidi" w:hAnsiTheme="minorBidi" w:cstheme="minorBidi"/>
        </w:rPr>
      </w:pPr>
      <w:r w:rsidRPr="00EE6119">
        <w:rPr>
          <w:rFonts w:asciiTheme="minorBidi" w:hAnsiTheme="minorBidi" w:cstheme="minorBidi"/>
        </w:rPr>
        <w:t>Feed conversion ratio or often called feed conversion ratio is an overview of the amount of feed to increase the amount of meat, fish or shrimp. The feed conversion ratio in this study is presented in Figure 3 as follows. Feed conversion ratio or is a description of the percentage of the amount of feed used and the percentage of shrimp meat produced. Value feed conversion ratio</w:t>
      </w:r>
      <w:r w:rsidRPr="00EE6119">
        <w:rPr>
          <w:rFonts w:asciiTheme="minorBidi" w:hAnsiTheme="minorBidi" w:cstheme="minorBidi"/>
          <w:i/>
          <w:iCs/>
        </w:rPr>
        <w:t xml:space="preserve"> </w:t>
      </w:r>
      <w:r w:rsidRPr="00EE6119">
        <w:rPr>
          <w:rFonts w:asciiTheme="minorBidi" w:hAnsiTheme="minorBidi" w:cstheme="minorBidi"/>
        </w:rPr>
        <w:t>good is marked with the lowest value in the results obtained, while the value of Feed conversion ratio</w:t>
      </w:r>
      <w:r w:rsidRPr="00EE6119">
        <w:rPr>
          <w:rFonts w:asciiTheme="minorBidi" w:hAnsiTheme="minorBidi" w:cstheme="minorBidi"/>
          <w:i/>
          <w:iCs/>
        </w:rPr>
        <w:t xml:space="preserve"> </w:t>
      </w:r>
      <w:r w:rsidRPr="00EE6119">
        <w:rPr>
          <w:rFonts w:asciiTheme="minorBidi" w:hAnsiTheme="minorBidi" w:cstheme="minorBidi"/>
        </w:rPr>
        <w:t>the bad ones are marked with the highest scores. In this study, feed conversion ratio the lowest was obtained at P5 of 1.13, while the highest at P1 was 1.99. Low Feed conversion ratio</w:t>
      </w:r>
      <w:r w:rsidRPr="00EE6119">
        <w:rPr>
          <w:rFonts w:asciiTheme="minorBidi" w:hAnsiTheme="minorBidi" w:cstheme="minorBidi"/>
          <w:i/>
          <w:iCs/>
        </w:rPr>
        <w:t xml:space="preserve"> </w:t>
      </w:r>
      <w:r w:rsidRPr="00EE6119">
        <w:rPr>
          <w:rFonts w:asciiTheme="minorBidi" w:hAnsiTheme="minorBidi" w:cstheme="minorBidi"/>
        </w:rPr>
        <w:t xml:space="preserve">P5 feed indicates that the feed is well utilized by the shrimp that are raised so that it becomes meat. Meanwhile, the high value of feed conversion ratio at P1 indicates that shrimp do not utilize feed for growth. This shows that feed with the addition of natural ingredients can increase feed efficiency and the growth of whiteleg shrimp, the content of terpenoid flavonoids, saponins, and vitamin C in guava leaves has strong </w:t>
      </w:r>
      <w:r w:rsidRPr="00EE6119">
        <w:rPr>
          <w:rFonts w:asciiTheme="minorBidi" w:hAnsiTheme="minorBidi" w:cstheme="minorBidi"/>
        </w:rPr>
        <w:lastRenderedPageBreak/>
        <w:t xml:space="preserve">antioxidant activity so that the health of shrimp is maintained and causes high digestibility. The high digestibility of the feed indicates that the energy allocation for growth is greater than for metabolic activities, thus affecting the growth of weight and length of shrimp. This can be seen from the value of Feed conversion ratio produced. This is in line with Scabra et al. (2025), high feed growth and efficiency will affect the low feed conversion value, feed that can be used well will be used as energy by shrimp in the growth process. </w:t>
      </w:r>
      <w:r w:rsidRPr="00EE6119">
        <w:rPr>
          <w:rFonts w:asciiTheme="minorBidi" w:hAnsiTheme="minorBidi" w:cstheme="minorBidi"/>
          <w:noProof/>
          <w:color w:val="000000" w:themeColor="text1"/>
        </w:rPr>
        <w:t>Akbaru</w:t>
      </w:r>
      <w:r w:rsidR="00A94D06">
        <w:rPr>
          <w:rFonts w:asciiTheme="minorBidi" w:hAnsiTheme="minorBidi" w:cstheme="minorBidi"/>
          <w:noProof/>
          <w:color w:val="000000" w:themeColor="text1"/>
        </w:rPr>
        <w:t>l Rasyid</w:t>
      </w:r>
      <w:r w:rsidRPr="00EE6119">
        <w:rPr>
          <w:rFonts w:asciiTheme="minorBidi" w:hAnsiTheme="minorBidi" w:cstheme="minorBidi"/>
          <w:noProof/>
          <w:color w:val="000000" w:themeColor="text1"/>
        </w:rPr>
        <w:t xml:space="preserve"> et al. (2023)</w:t>
      </w:r>
      <w:r w:rsidRPr="00EE6119">
        <w:rPr>
          <w:rFonts w:asciiTheme="minorBidi" w:hAnsiTheme="minorBidi" w:cstheme="minorBidi"/>
        </w:rPr>
        <w:t xml:space="preserve"> In general, the FCR level in whiteleg shrimp ponds ranges from 1.1 - 1.5. This research is in line with Pratiwi et al. (2021) which found that the FCR value of whiteleg shrimp given natural ingredient extracts of 3% resulted in an FCR of 0.74, while in the control it was 1.00. This shows that the provision of natural ingredients can improve the digestibility and health of shrimp so that feed can be more effectively converted into biomass.</w:t>
      </w:r>
    </w:p>
    <w:p w14:paraId="5461C612" w14:textId="1685D8C3" w:rsidR="00EE6119" w:rsidRDefault="00EE6119" w:rsidP="00EE6119">
      <w:pPr>
        <w:ind w:firstLine="567"/>
        <w:jc w:val="center"/>
        <w:rPr>
          <w:rFonts w:asciiTheme="minorBidi" w:hAnsiTheme="minorBidi" w:cstheme="minorBidi"/>
          <w:lang w:val="nb-NO"/>
        </w:rPr>
      </w:pPr>
      <w:r>
        <w:rPr>
          <w:noProof/>
        </w:rPr>
        <w:drawing>
          <wp:inline distT="0" distB="0" distL="0" distR="0" wp14:anchorId="27D96405" wp14:editId="59DEC99D">
            <wp:extent cx="3316703" cy="1849902"/>
            <wp:effectExtent l="0" t="0" r="17145" b="17145"/>
            <wp:docPr id="898658493" name="Chart 1">
              <a:extLst xmlns:a="http://schemas.openxmlformats.org/drawingml/2006/main">
                <a:ext uri="{FF2B5EF4-FFF2-40B4-BE49-F238E27FC236}">
                  <a16:creationId xmlns:a16="http://schemas.microsoft.com/office/drawing/2014/main" id="{C27D8373-3FF2-24EC-BC39-CC8F4BF2BE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12DA01" w14:textId="173BF635" w:rsidR="00EE6119" w:rsidRPr="00EE6119" w:rsidRDefault="00EE6119" w:rsidP="00EE6119">
      <w:pPr>
        <w:jc w:val="center"/>
        <w:rPr>
          <w:rFonts w:asciiTheme="minorBidi" w:hAnsiTheme="minorBidi" w:cstheme="minorBidi"/>
        </w:rPr>
      </w:pPr>
      <w:r w:rsidRPr="00EE6119">
        <w:rPr>
          <w:rFonts w:asciiTheme="minorBidi" w:hAnsiTheme="minorBidi" w:cstheme="minorBidi"/>
        </w:rPr>
        <w:t>Figure 3. Feed Conversion Ratio (FCR)</w:t>
      </w:r>
    </w:p>
    <w:p w14:paraId="1E81C578" w14:textId="54390FB7"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3.4 </w:t>
      </w:r>
      <w:r w:rsidRPr="00EE6119">
        <w:rPr>
          <w:rFonts w:asciiTheme="minorBidi" w:hAnsiTheme="minorBidi" w:cstheme="minorBidi"/>
          <w:b/>
          <w:sz w:val="22"/>
        </w:rPr>
        <w:t>Survival Rate (SR)</w:t>
      </w:r>
    </w:p>
    <w:p w14:paraId="2F53CDD5" w14:textId="6CBDC58B" w:rsidR="00EE6119" w:rsidRDefault="00EE6119" w:rsidP="001111D0">
      <w:pPr>
        <w:pStyle w:val="Body"/>
        <w:spacing w:after="0"/>
        <w:rPr>
          <w:rFonts w:asciiTheme="minorBidi" w:hAnsiTheme="minorBidi" w:cstheme="minorBidi"/>
        </w:rPr>
      </w:pPr>
      <w:r w:rsidRPr="00EE6119">
        <w:rPr>
          <w:rFonts w:asciiTheme="minorBidi" w:hAnsiTheme="minorBidi" w:cstheme="minorBidi"/>
        </w:rPr>
        <w:t>The survival rate or often called survival rate is the percentage of the number of fish at the beginning of the study with the number of live fish at the end of the study and expressed by (%). The level of continuity in this study is presented in Figure 4 as follows.</w:t>
      </w:r>
      <w:r>
        <w:rPr>
          <w:rFonts w:asciiTheme="minorBidi" w:hAnsiTheme="minorBidi" w:cstheme="minorBidi"/>
        </w:rPr>
        <w:t xml:space="preserve"> </w:t>
      </w:r>
      <w:r w:rsidRPr="00EE6119">
        <w:rPr>
          <w:rFonts w:asciiTheme="minorBidi" w:hAnsiTheme="minorBidi" w:cstheme="minorBidi"/>
        </w:rPr>
        <w:t xml:space="preserve">Survival rate is an important indicator of the success of cultivation. In this study, the highest survival rate was achieved at P5 at 94.67%, while the lowest at P1 was 68.00%. The high survival rate in P5 is thought to be due to the addition of 6% guava leaves flour in the feed, which functions as an immunostimulant. The content of bioactive compounds such as flavonoids, tannins, terpenoids, and saponins in guava leaves is able to improve the non-specific immune system of shrimp by stimulating the activity of hemocytes, phagocytosis, as well as the production of defense enzymes such as </w:t>
      </w:r>
      <w:proofErr w:type="spellStart"/>
      <w:r w:rsidRPr="00EE6119">
        <w:rPr>
          <w:rFonts w:asciiTheme="minorBidi" w:hAnsiTheme="minorBidi" w:cstheme="minorBidi"/>
        </w:rPr>
        <w:t>phenolooxidase</w:t>
      </w:r>
      <w:proofErr w:type="spellEnd"/>
      <w:r w:rsidRPr="00EE6119">
        <w:rPr>
          <w:rFonts w:asciiTheme="minorBidi" w:hAnsiTheme="minorBidi" w:cstheme="minorBidi"/>
        </w:rPr>
        <w:t xml:space="preserve"> and lysozyme. This compound also activates the </w:t>
      </w:r>
      <w:proofErr w:type="spellStart"/>
      <w:r w:rsidR="00DF48CF" w:rsidRPr="00DF48CF">
        <w:rPr>
          <w:rFonts w:asciiTheme="minorBidi" w:hAnsiTheme="minorBidi" w:cstheme="minorBidi"/>
        </w:rPr>
        <w:t>phenoloxidase</w:t>
      </w:r>
      <w:proofErr w:type="spellEnd"/>
      <w:r w:rsidR="00DF48CF">
        <w:rPr>
          <w:rFonts w:asciiTheme="minorBidi" w:hAnsiTheme="minorBidi" w:cstheme="minorBidi"/>
        </w:rPr>
        <w:t xml:space="preserve"> </w:t>
      </w:r>
      <w:r w:rsidRPr="00EE6119">
        <w:rPr>
          <w:rFonts w:asciiTheme="minorBidi" w:hAnsiTheme="minorBidi" w:cstheme="minorBidi"/>
        </w:rPr>
        <w:t xml:space="preserve">pathway that produces </w:t>
      </w:r>
      <w:proofErr w:type="spellStart"/>
      <w:r w:rsidRPr="00EE6119">
        <w:rPr>
          <w:rFonts w:asciiTheme="minorBidi" w:hAnsiTheme="minorBidi" w:cstheme="minorBidi"/>
        </w:rPr>
        <w:t>phenoloxiase</w:t>
      </w:r>
      <w:proofErr w:type="spellEnd"/>
      <w:r w:rsidRPr="00EE6119">
        <w:rPr>
          <w:rFonts w:asciiTheme="minorBidi" w:hAnsiTheme="minorBidi" w:cstheme="minorBidi"/>
        </w:rPr>
        <w:t xml:space="preserve">, plays a role in pathogenic melanination, and promotes the work of lysozyme enzymes in destroying bacterial cell walls. This is in line with the opinion of Santi et al. (2017) which states that the tannins and flavonoids contained in guava leaves are reported to work as natural immunostimulants, which can increase the number and activity of hemocyte cells that play a role as a major component of the non-specific immune system of shrimp that play a role in the clotting of hemolymph and phagocytosis.  In addition, the content of flavonoids and vitamin C acts as antioxidants, which protect cells from damage caused by oxidative stress. This is in agreement with Scabra et al. (2025), which states that vitamin C functions as an antioxidant that protects shrimp cells from damage caused by free radicals and oxidative stress. This protection maintains the metabolic and immune stability of the shrimp, so that the risk of death decreases and the survival rate increases as in P5. This research is in line with </w:t>
      </w:r>
      <w:r w:rsidR="001111D0" w:rsidRPr="001111D0">
        <w:rPr>
          <w:rFonts w:asciiTheme="minorBidi" w:hAnsiTheme="minorBidi" w:cstheme="minorBidi"/>
        </w:rPr>
        <w:t xml:space="preserve">Santi et al. (2017) examined the effect of giving guava leaf extract to </w:t>
      </w:r>
      <w:proofErr w:type="spellStart"/>
      <w:r w:rsidR="001111D0" w:rsidRPr="001111D0">
        <w:rPr>
          <w:rFonts w:asciiTheme="minorBidi" w:hAnsiTheme="minorBidi" w:cstheme="minorBidi"/>
        </w:rPr>
        <w:t>vannamei</w:t>
      </w:r>
      <w:proofErr w:type="spellEnd"/>
      <w:r w:rsidR="001111D0" w:rsidRPr="001111D0">
        <w:rPr>
          <w:rFonts w:asciiTheme="minorBidi" w:hAnsiTheme="minorBidi" w:cstheme="minorBidi"/>
        </w:rPr>
        <w:t xml:space="preserve"> shrimp infected with Vibrio </w:t>
      </w:r>
      <w:proofErr w:type="spellStart"/>
      <w:r w:rsidR="001111D0" w:rsidRPr="001111D0">
        <w:rPr>
          <w:rFonts w:asciiTheme="minorBidi" w:hAnsiTheme="minorBidi" w:cstheme="minorBidi"/>
        </w:rPr>
        <w:t>harveyi</w:t>
      </w:r>
      <w:proofErr w:type="spellEnd"/>
      <w:r w:rsidR="001111D0" w:rsidRPr="001111D0">
        <w:rPr>
          <w:rFonts w:asciiTheme="minorBidi" w:hAnsiTheme="minorBidi" w:cstheme="minorBidi"/>
        </w:rPr>
        <w:t xml:space="preserve"> and found that guava leaf extract can inhibit the growth of Vibrio </w:t>
      </w:r>
      <w:proofErr w:type="spellStart"/>
      <w:r w:rsidR="001111D0" w:rsidRPr="001111D0">
        <w:rPr>
          <w:rFonts w:asciiTheme="minorBidi" w:hAnsiTheme="minorBidi" w:cstheme="minorBidi"/>
        </w:rPr>
        <w:t>harveyi</w:t>
      </w:r>
      <w:proofErr w:type="spellEnd"/>
      <w:r w:rsidR="001111D0" w:rsidRPr="001111D0">
        <w:rPr>
          <w:rFonts w:asciiTheme="minorBidi" w:hAnsiTheme="minorBidi" w:cstheme="minorBidi"/>
        </w:rPr>
        <w:t xml:space="preserve"> bacteria by 3.2 cm with a dose of 5250 ppm.</w:t>
      </w:r>
      <w:r w:rsidR="001111D0">
        <w:rPr>
          <w:rFonts w:asciiTheme="minorBidi" w:hAnsiTheme="minorBidi" w:cstheme="minorBidi"/>
        </w:rPr>
        <w:t xml:space="preserve"> </w:t>
      </w:r>
    </w:p>
    <w:p w14:paraId="55ACE90F" w14:textId="7F67D4AF" w:rsidR="006B5ED5" w:rsidRDefault="006B5ED5" w:rsidP="00EE6119">
      <w:pPr>
        <w:pStyle w:val="Body"/>
        <w:spacing w:after="0"/>
        <w:rPr>
          <w:rFonts w:asciiTheme="minorBidi" w:hAnsiTheme="minorBidi" w:cstheme="minorBidi"/>
        </w:rPr>
      </w:pPr>
    </w:p>
    <w:p w14:paraId="4D5728A5" w14:textId="3BA0F488" w:rsidR="006B5ED5" w:rsidRDefault="006B5ED5" w:rsidP="00EE6119">
      <w:pPr>
        <w:pStyle w:val="Body"/>
        <w:spacing w:after="0"/>
        <w:rPr>
          <w:rFonts w:asciiTheme="minorBidi" w:hAnsiTheme="minorBidi" w:cstheme="minorBidi"/>
        </w:rPr>
      </w:pPr>
    </w:p>
    <w:p w14:paraId="28D1D91A" w14:textId="6DCBD6C1" w:rsidR="006B5ED5" w:rsidRDefault="006B5ED5" w:rsidP="00EE6119">
      <w:pPr>
        <w:pStyle w:val="Body"/>
        <w:spacing w:after="0"/>
        <w:rPr>
          <w:rFonts w:asciiTheme="minorBidi" w:hAnsiTheme="minorBidi" w:cstheme="minorBidi"/>
        </w:rPr>
      </w:pPr>
    </w:p>
    <w:p w14:paraId="3FFAA90B" w14:textId="5D7E1791" w:rsidR="006B5ED5" w:rsidRDefault="006B5ED5" w:rsidP="00EE6119">
      <w:pPr>
        <w:pStyle w:val="Body"/>
        <w:spacing w:after="0"/>
        <w:rPr>
          <w:rFonts w:asciiTheme="minorBidi" w:hAnsiTheme="minorBidi" w:cstheme="minorBidi"/>
        </w:rPr>
      </w:pPr>
      <w:r w:rsidRPr="00EE6119">
        <w:rPr>
          <w:noProof/>
        </w:rPr>
        <w:drawing>
          <wp:anchor distT="0" distB="0" distL="114300" distR="114300" simplePos="0" relativeHeight="251659264" behindDoc="0" locked="0" layoutInCell="1" allowOverlap="1" wp14:anchorId="17D4F8B7" wp14:editId="4F4B135C">
            <wp:simplePos x="0" y="0"/>
            <wp:positionH relativeFrom="margin">
              <wp:posOffset>1828800</wp:posOffset>
            </wp:positionH>
            <wp:positionV relativeFrom="paragraph">
              <wp:posOffset>288925</wp:posOffset>
            </wp:positionV>
            <wp:extent cx="3752215" cy="1912620"/>
            <wp:effectExtent l="0" t="0" r="635" b="11430"/>
            <wp:wrapTopAndBottom/>
            <wp:docPr id="6" name="Chart 6">
              <a:extLst xmlns:a="http://schemas.openxmlformats.org/drawingml/2006/main">
                <a:ext uri="{FF2B5EF4-FFF2-40B4-BE49-F238E27FC236}">
                  <a16:creationId xmlns:a16="http://schemas.microsoft.com/office/drawing/2014/main" id="{CA99DB03-8E5E-C7BB-37EC-6318458520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0CC9D3D" w14:textId="40B7928E" w:rsidR="006B5ED5" w:rsidRDefault="006B5ED5" w:rsidP="00EE6119">
      <w:pPr>
        <w:pStyle w:val="Body"/>
        <w:spacing w:after="0"/>
        <w:rPr>
          <w:rFonts w:asciiTheme="minorBidi" w:hAnsiTheme="minorBidi" w:cstheme="minorBidi"/>
        </w:rPr>
      </w:pPr>
    </w:p>
    <w:p w14:paraId="6A985194" w14:textId="0300AC13" w:rsidR="00EE6119" w:rsidRDefault="00EE6119" w:rsidP="00EE6119">
      <w:pPr>
        <w:jc w:val="center"/>
        <w:rPr>
          <w:rFonts w:asciiTheme="minorBidi" w:hAnsiTheme="minorBidi" w:cstheme="minorBidi"/>
        </w:rPr>
      </w:pPr>
      <w:r w:rsidRPr="00EE6119">
        <w:rPr>
          <w:rFonts w:asciiTheme="minorBidi" w:hAnsiTheme="minorBidi" w:cstheme="minorBidi"/>
        </w:rPr>
        <w:t>Figure 4. Survival Rate (SR)</w:t>
      </w:r>
    </w:p>
    <w:p w14:paraId="4BD60036" w14:textId="77777777" w:rsidR="006B5ED5" w:rsidRPr="00EE6119" w:rsidRDefault="006B5ED5" w:rsidP="00EE6119">
      <w:pPr>
        <w:jc w:val="center"/>
        <w:rPr>
          <w:rFonts w:asciiTheme="minorBidi" w:hAnsiTheme="minorBidi" w:cstheme="minorBidi"/>
        </w:rPr>
      </w:pPr>
    </w:p>
    <w:p w14:paraId="7DDC58EB" w14:textId="77777777" w:rsidR="00EE6119" w:rsidRPr="00EE6119" w:rsidRDefault="00EE6119" w:rsidP="00EE6119">
      <w:pPr>
        <w:jc w:val="center"/>
      </w:pPr>
    </w:p>
    <w:p w14:paraId="0D37EB20" w14:textId="4F79835C"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3.5 </w:t>
      </w:r>
      <w:r w:rsidRPr="00EE6119">
        <w:rPr>
          <w:rFonts w:asciiTheme="minorBidi" w:hAnsiTheme="minorBidi" w:cstheme="minorBidi"/>
          <w:b/>
          <w:sz w:val="22"/>
        </w:rPr>
        <w:t>Phagocytosis Activity</w:t>
      </w:r>
    </w:p>
    <w:p w14:paraId="1F35A81A" w14:textId="6F6C179A" w:rsidR="00EE6119" w:rsidRDefault="00EE6119" w:rsidP="00EE6119">
      <w:pPr>
        <w:keepNext/>
        <w:jc w:val="both"/>
        <w:rPr>
          <w:rFonts w:asciiTheme="minorBidi" w:hAnsiTheme="minorBidi" w:cstheme="minorBidi"/>
        </w:rPr>
      </w:pPr>
      <w:r w:rsidRPr="00EE6119">
        <w:rPr>
          <w:rFonts w:asciiTheme="minorBidi" w:hAnsiTheme="minorBidi" w:cstheme="minorBidi"/>
        </w:rPr>
        <w:t>Phagocytosis activity in whiteleg Shrimp is the process by which hemocytes capture and digest pathogens such as bacteria, viruses, or foreign particles as part of a non-specific immune system. Phagocytosis is carried out mainly by hyalinocytes and granulocytes, which play a role in protecting shrimp from infection. Phagocytosis activity in this study is presented in Figure 5.</w:t>
      </w:r>
      <w:r>
        <w:rPr>
          <w:rFonts w:asciiTheme="minorBidi" w:hAnsiTheme="minorBidi" w:cstheme="minorBidi"/>
        </w:rPr>
        <w:t xml:space="preserve"> </w:t>
      </w:r>
      <w:r w:rsidRPr="00EE6119">
        <w:rPr>
          <w:rFonts w:asciiTheme="minorBidi" w:hAnsiTheme="minorBidi" w:cstheme="minorBidi"/>
        </w:rPr>
        <w:t xml:space="preserve">Phagocytosis activity can be used as a cellular indicator of body defense that shows the ability of shrimp to respond to the entry of foreign objects into the body. This process is the first defense carried out by hemocyte cells in the face of pathogenic infections such as bacteria Vibrio parahaemolyticus. In this study, the lowest value of phagocytosis activity was obtained at P1 at 42% and the highest P5 at 65%. It can be seen that the highest percentage of values is obtained in the treatment of adding guava leaves flour in shrimp feed during maintenance. The high value of phagocytosis activity in this study is in line with the high total number of hemocytes and the suspected good performance of guava leaves flour as an immunostimulant that enters the shrimp's body in stimulating hemocyte cells to perform phagocyte activity in inhibiting bacterial activity. </w:t>
      </w:r>
      <w:r w:rsidR="00E8382D" w:rsidRPr="0006641E">
        <w:rPr>
          <w:rFonts w:asciiTheme="majorBidi" w:hAnsiTheme="majorBidi" w:cstheme="majorBidi"/>
          <w:lang w:val="nb-NO"/>
        </w:rPr>
        <w:t>Apsani</w:t>
      </w:r>
      <w:r w:rsidR="00E8382D" w:rsidRPr="00223E1D">
        <w:rPr>
          <w:lang w:val="id-ID"/>
        </w:rPr>
        <w:t xml:space="preserve"> </w:t>
      </w:r>
      <w:r w:rsidR="00E8382D">
        <w:fldChar w:fldCharType="begin" w:fldLock="1"/>
      </w:r>
      <w:r w:rsidR="00E8382D">
        <w:rPr>
          <w:lang w:val="id-ID"/>
        </w:rPr>
        <w:instrText>ADDIN CSL_CITATION {"citationItems":[{"id":"ITEM-1","itemData":{"abstract":"… Ekstrak rumput laut merupakan salah satu bahan yang dapat digunakan sebagai imunostimulan … Dinding sel alga laut kaya akan polisakarida sulfat seperti karagenan yang … banyak senyawa bioaktif menguntungkan sebagai antikoagulan, antioksidan, anti kanker, aktivasi …","author":[{"dropping-particle":"","family":"Satyantini","given":"Woro Hastuti","non-dropping-particle":"","parse-names":false,"suffix":""},{"dropping-particle":"","family":"Kurniawan","given":"Ananta","non-dropping-particle":"","parse-names":false,"suffix":""},{"dropping-particle":"","family":"Kusdarwati","given":"Rahayu","non-dropping-particle":"","parse-names":false,"suffix":""},{"dropping-particle":"","family":"Studi","given":"Program","non-dropping-particle":"","parse-names":false,"suffix":""},{"dropping-particle":"","family":"Perairan","given":"Budidaya","non-dropping-particle":"","parse-names":false,"suffix":""},{"dropping-particle":"","family":"Perikanan","given":"Fakultas","non-dropping-particle":"","parse-names":false,"suffix":""},{"dropping-particle":"","family":"Kelautan","given":"Dan","non-dropping-particle":"","parse-names":false,"suffix":""}],"container-title":"Jurnal Akuatika Indonesia","id":"ITEM-1","issue":"2","issued":{"date-parts":[["2016"]]},"page":"120-129","title":"Penambahan Ekstrak Gracilaria verrucosa Terhadap Peningkatan Total Hemosit, Kelangsungan Hidup dan Respon Fisiologi Udang Galah (Macrobrachium rosenbergii)","type":"article-journal","volume":"I"},"uris":["http://www.mendeley.com/documents/?uuid=cb664c50-9e98-41a5-b7fc-501ed90138ca","http://www.mendeley.com/documents/?uuid=3fc0bb30-d4e1-47ce-9e27-a3ccff16e711"]}],"mendeley":{"formattedCitation":"(Satyantini et al., 2016)","manualFormatting":"Satyantini et al. (2016)","plainTextFormattedCitation":"(Satyantini et al., 2016)","previouslyFormattedCitation":"(Satyantini et al., 2016)"},"properties":{"noteIndex":0},"schema":"https://github.com/citation-style-language/schema/raw/master/csl-citation.json"}</w:instrText>
      </w:r>
      <w:r w:rsidR="00E8382D">
        <w:fldChar w:fldCharType="separate"/>
      </w:r>
      <w:r w:rsidR="00E8382D" w:rsidRPr="00223E1D">
        <w:rPr>
          <w:noProof/>
          <w:lang w:val="id-ID"/>
        </w:rPr>
        <w:t>et al. (2022)</w:t>
      </w:r>
      <w:r w:rsidR="00E8382D">
        <w:fldChar w:fldCharType="end"/>
      </w:r>
      <w:r w:rsidR="00E8382D">
        <w:t xml:space="preserve"> </w:t>
      </w:r>
      <w:r w:rsidRPr="00EE6119">
        <w:rPr>
          <w:rFonts w:asciiTheme="minorBidi" w:hAnsiTheme="minorBidi" w:cstheme="minorBidi"/>
        </w:rPr>
        <w:t xml:space="preserve">) That the total number of hemocytes describes the ability of cells to respond to foreign bodies that enter their body, the higher the total number of hemocytes, the phagocytosis activity produced by the cell in fighting foreign microorganisms will also increase. The administration of immunostimulants in shrimp is very good to be applied to organisms that do not have memory cells in their immune system so that they can stimulate or maximize non-specific immune responses. This research is in line with </w:t>
      </w:r>
      <w:proofErr w:type="spellStart"/>
      <w:r w:rsidRPr="00EE6119">
        <w:rPr>
          <w:rFonts w:asciiTheme="minorBidi" w:hAnsiTheme="minorBidi" w:cstheme="minorBidi"/>
        </w:rPr>
        <w:t>Dewi</w:t>
      </w:r>
      <w:proofErr w:type="spellEnd"/>
      <w:r w:rsidRPr="00EE6119">
        <w:rPr>
          <w:rFonts w:asciiTheme="minorBidi" w:hAnsiTheme="minorBidi" w:cstheme="minorBidi"/>
        </w:rPr>
        <w:t xml:space="preserve"> et al. (2021), which showed that the administration of guava leaves extract as much as 5g/kg of feed was able to increase phagocytosis activity in whiteleg shrimp tested for infection Vibrio parahaemolyticus, where there was an increase in phagocytosis activity of up to 64.7% in the highest treatment, while in the control treatment it was 42%.</w:t>
      </w:r>
    </w:p>
    <w:p w14:paraId="2F73DBC5" w14:textId="4AEB1929" w:rsidR="00EE6119" w:rsidRDefault="00EE6119" w:rsidP="00EE6119">
      <w:pPr>
        <w:keepNext/>
        <w:jc w:val="center"/>
        <w:rPr>
          <w:rFonts w:asciiTheme="minorBidi" w:hAnsiTheme="minorBidi" w:cstheme="minorBidi"/>
          <w:lang w:val="id-ID"/>
        </w:rPr>
      </w:pPr>
      <w:r>
        <w:rPr>
          <w:noProof/>
        </w:rPr>
        <w:drawing>
          <wp:inline distT="0" distB="0" distL="0" distR="0" wp14:anchorId="383128DD" wp14:editId="50F98080">
            <wp:extent cx="3312258" cy="1821766"/>
            <wp:effectExtent l="0" t="0" r="2540" b="7620"/>
            <wp:docPr id="1316473791" name="Chart 1">
              <a:extLst xmlns:a="http://schemas.openxmlformats.org/drawingml/2006/main">
                <a:ext uri="{FF2B5EF4-FFF2-40B4-BE49-F238E27FC236}">
                  <a16:creationId xmlns:a16="http://schemas.microsoft.com/office/drawing/2014/main" id="{7854D330-49AC-5F1F-8C7E-174E00638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05ECEF" w14:textId="77777777" w:rsidR="00EE6119" w:rsidRPr="00670731" w:rsidRDefault="00EE6119" w:rsidP="00EE6119">
      <w:pPr>
        <w:jc w:val="center"/>
        <w:rPr>
          <w:rFonts w:asciiTheme="minorBidi" w:hAnsiTheme="minorBidi" w:cstheme="minorBidi"/>
          <w:lang w:val="en-IN"/>
        </w:rPr>
      </w:pPr>
      <w:r w:rsidRPr="00EE6119">
        <w:rPr>
          <w:rFonts w:asciiTheme="minorBidi" w:hAnsiTheme="minorBidi" w:cstheme="minorBidi"/>
        </w:rPr>
        <w:t>Figure 5. Phagocytosis Activity</w:t>
      </w:r>
    </w:p>
    <w:p w14:paraId="6E292D6E" w14:textId="77777777" w:rsidR="00EE6119" w:rsidRPr="00EE6119" w:rsidRDefault="00EE6119" w:rsidP="00EE6119">
      <w:pPr>
        <w:keepNext/>
        <w:jc w:val="center"/>
        <w:rPr>
          <w:rFonts w:asciiTheme="minorBidi" w:hAnsiTheme="minorBidi" w:cstheme="minorBidi"/>
          <w:lang w:val="id-ID"/>
        </w:rPr>
      </w:pPr>
    </w:p>
    <w:p w14:paraId="03DC645D" w14:textId="0CB7E58F"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3.6 </w:t>
      </w:r>
      <w:r w:rsidRPr="00EE6119">
        <w:rPr>
          <w:rFonts w:asciiTheme="minorBidi" w:hAnsiTheme="minorBidi" w:cstheme="minorBidi"/>
          <w:b/>
          <w:sz w:val="22"/>
        </w:rPr>
        <w:t>Glucose</w:t>
      </w:r>
    </w:p>
    <w:p w14:paraId="4FF4066C" w14:textId="20D257B3" w:rsidR="00EE6119" w:rsidRDefault="00EE6119" w:rsidP="00EE6119">
      <w:pPr>
        <w:jc w:val="both"/>
        <w:rPr>
          <w:rFonts w:asciiTheme="minorBidi" w:hAnsiTheme="minorBidi" w:cstheme="minorBidi"/>
        </w:rPr>
      </w:pPr>
      <w:r w:rsidRPr="00EE6119">
        <w:rPr>
          <w:rFonts w:asciiTheme="minorBidi" w:hAnsiTheme="minorBidi" w:cstheme="minorBidi"/>
        </w:rPr>
        <w:t>Glucose levels in shrimp hemolymph indicate a level of stress in shrimp, Low stress levels are characterized by low glucose levels in shrimp body fluids. Glucose levels in this study are presented in Figure 6 as follows.</w:t>
      </w:r>
      <w:r>
        <w:rPr>
          <w:rFonts w:asciiTheme="minorBidi" w:hAnsiTheme="minorBidi" w:cstheme="minorBidi"/>
        </w:rPr>
        <w:t xml:space="preserve"> </w:t>
      </w:r>
      <w:r w:rsidRPr="00EE6119">
        <w:rPr>
          <w:rFonts w:asciiTheme="minorBidi" w:hAnsiTheme="minorBidi" w:cstheme="minorBidi"/>
        </w:rPr>
        <w:t xml:space="preserve">Glucose levels in shrimp hemolymph are an important indicator to assess the level of physiological stress experienced by shrimp during the rearing process. Glucose plays a role as the main source of energy in metabolic processes and its increased levels often occur in response to stressors, both environmental in nature, such as changes in temperature, water quality, and biological such as pathogenic infections. According to </w:t>
      </w:r>
      <w:proofErr w:type="spellStart"/>
      <w:r w:rsidR="00611EE6">
        <w:rPr>
          <w:rFonts w:asciiTheme="minorBidi" w:hAnsiTheme="minorBidi" w:cstheme="minorBidi"/>
        </w:rPr>
        <w:t>Mariyani</w:t>
      </w:r>
      <w:proofErr w:type="spellEnd"/>
      <w:r w:rsidR="00611EE6">
        <w:rPr>
          <w:rFonts w:asciiTheme="minorBidi" w:hAnsiTheme="minorBidi" w:cstheme="minorBidi"/>
        </w:rPr>
        <w:t xml:space="preserve"> &amp; </w:t>
      </w:r>
      <w:proofErr w:type="spellStart"/>
      <w:r w:rsidR="00611EE6">
        <w:rPr>
          <w:rFonts w:asciiTheme="minorBidi" w:hAnsiTheme="minorBidi" w:cstheme="minorBidi"/>
        </w:rPr>
        <w:t>Hendriana</w:t>
      </w:r>
      <w:proofErr w:type="spellEnd"/>
      <w:r w:rsidR="00611EE6">
        <w:rPr>
          <w:rFonts w:asciiTheme="minorBidi" w:hAnsiTheme="minorBidi" w:cstheme="minorBidi"/>
        </w:rPr>
        <w:t xml:space="preserve"> (2020) </w:t>
      </w:r>
      <w:r w:rsidRPr="00EE6119">
        <w:rPr>
          <w:rFonts w:asciiTheme="minorBidi" w:hAnsiTheme="minorBidi" w:cstheme="minorBidi"/>
        </w:rPr>
        <w:t xml:space="preserve"> (2011), under normal circumstances, shrimp hemolymphatic glucose levels range from 20–80 mg/dL, while values above 150 mg/dL indicate severe stress, such as during the moulting process or when shrimp are under the pressure of pathogenic infections. In this study, the results of measuring the highest blood glucose level at P1 were 44.3 mg/dL, and the lowest at P5 was 12.3 mg/dL. This low glucose level can be attributed to the positive influence of the bioactive compounds found in guava leaves, especially flavonoids and saponins, which are known to have antioxidant and immunostimulant properties. Flavonoids work by stabilizing cell membranes and decreasing the activity of stress hormones (e.g. catecholamines), thereby inhibiting the increase in glucose in hemolymph.</w:t>
      </w:r>
    </w:p>
    <w:p w14:paraId="4E4F9DF7" w14:textId="5F6BF302" w:rsidR="00562718" w:rsidRDefault="00562718" w:rsidP="00EE6119">
      <w:pPr>
        <w:jc w:val="both"/>
        <w:rPr>
          <w:rFonts w:asciiTheme="minorBidi" w:hAnsiTheme="minorBidi" w:cstheme="minorBidi"/>
        </w:rPr>
      </w:pPr>
    </w:p>
    <w:p w14:paraId="4B566B3E" w14:textId="4D5D095B" w:rsidR="00562718" w:rsidRDefault="00562718" w:rsidP="00EE6119">
      <w:pPr>
        <w:jc w:val="both"/>
        <w:rPr>
          <w:rFonts w:asciiTheme="minorBidi" w:hAnsiTheme="minorBidi" w:cstheme="minorBidi"/>
        </w:rPr>
      </w:pPr>
    </w:p>
    <w:p w14:paraId="053CCE1D" w14:textId="77777777" w:rsidR="00562718" w:rsidRDefault="00562718" w:rsidP="00EE6119">
      <w:pPr>
        <w:jc w:val="both"/>
        <w:rPr>
          <w:rFonts w:asciiTheme="minorBidi" w:hAnsiTheme="minorBidi" w:cstheme="minorBidi"/>
        </w:rPr>
      </w:pPr>
    </w:p>
    <w:p w14:paraId="598C1FD8" w14:textId="7240C3E8" w:rsidR="00610646" w:rsidRDefault="00610646" w:rsidP="00EE6119">
      <w:pPr>
        <w:jc w:val="both"/>
        <w:rPr>
          <w:rFonts w:asciiTheme="minorBidi" w:hAnsiTheme="minorBidi" w:cstheme="minorBidi"/>
        </w:rPr>
      </w:pPr>
    </w:p>
    <w:p w14:paraId="39A87D70" w14:textId="2A41E52F" w:rsidR="00610646" w:rsidRDefault="00610646" w:rsidP="00EE6119">
      <w:pPr>
        <w:jc w:val="both"/>
        <w:rPr>
          <w:rFonts w:asciiTheme="minorBidi" w:hAnsiTheme="minorBidi" w:cstheme="minorBidi"/>
        </w:rPr>
      </w:pPr>
    </w:p>
    <w:p w14:paraId="3D020355" w14:textId="36399A61" w:rsidR="00610646" w:rsidRDefault="00610646" w:rsidP="00EE6119">
      <w:pPr>
        <w:jc w:val="both"/>
        <w:rPr>
          <w:rFonts w:asciiTheme="minorBidi" w:hAnsiTheme="minorBidi" w:cstheme="minorBidi"/>
        </w:rPr>
      </w:pPr>
    </w:p>
    <w:p w14:paraId="5AE45886" w14:textId="7423B1F0" w:rsidR="00610646" w:rsidRDefault="00610646" w:rsidP="00610646">
      <w:pPr>
        <w:jc w:val="center"/>
        <w:rPr>
          <w:rFonts w:asciiTheme="minorBidi" w:hAnsiTheme="minorBidi" w:cstheme="minorBidi"/>
        </w:rPr>
      </w:pPr>
      <w:r>
        <w:rPr>
          <w:noProof/>
        </w:rPr>
        <w:lastRenderedPageBreak/>
        <w:drawing>
          <wp:inline distT="0" distB="0" distL="0" distR="0" wp14:anchorId="186E3362" wp14:editId="56B5FF5B">
            <wp:extent cx="3376295" cy="1746825"/>
            <wp:effectExtent l="0" t="0" r="14605" b="6350"/>
            <wp:docPr id="595197681" name="Chart 1">
              <a:extLst xmlns:a="http://schemas.openxmlformats.org/drawingml/2006/main">
                <a:ext uri="{FF2B5EF4-FFF2-40B4-BE49-F238E27FC236}">
                  <a16:creationId xmlns:a16="http://schemas.microsoft.com/office/drawing/2014/main" id="{1C221A7B-F5F2-639A-4FC2-677E5600E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8F3C716" w14:textId="2DA075FE" w:rsidR="00610646" w:rsidRDefault="00610646" w:rsidP="00EE6119">
      <w:pPr>
        <w:jc w:val="both"/>
        <w:rPr>
          <w:rFonts w:asciiTheme="minorBidi" w:hAnsiTheme="minorBidi" w:cstheme="minorBidi"/>
        </w:rPr>
      </w:pPr>
      <w:r>
        <w:rPr>
          <w:rFonts w:asciiTheme="minorBidi" w:hAnsiTheme="minorBidi" w:cstheme="minorBidi"/>
        </w:rPr>
        <w:t xml:space="preserve">                                                                                           </w:t>
      </w:r>
    </w:p>
    <w:p w14:paraId="6019677B" w14:textId="17C29C30" w:rsidR="00610646" w:rsidRDefault="00610646" w:rsidP="00EE6119">
      <w:pPr>
        <w:jc w:val="both"/>
        <w:rPr>
          <w:rFonts w:asciiTheme="minorBidi" w:hAnsiTheme="minorBidi" w:cstheme="minorBidi"/>
        </w:rPr>
      </w:pPr>
    </w:p>
    <w:p w14:paraId="1FEE890C" w14:textId="2C4296DB" w:rsidR="00610646" w:rsidRDefault="00610646" w:rsidP="00EE6119">
      <w:pPr>
        <w:jc w:val="both"/>
        <w:rPr>
          <w:rFonts w:asciiTheme="minorBidi" w:hAnsiTheme="minorBidi" w:cstheme="minorBidi"/>
        </w:rPr>
      </w:pPr>
    </w:p>
    <w:p w14:paraId="11A21A91" w14:textId="140D4466" w:rsidR="00610646" w:rsidRDefault="00610646" w:rsidP="00610646">
      <w:pPr>
        <w:jc w:val="center"/>
        <w:rPr>
          <w:rFonts w:asciiTheme="minorBidi" w:hAnsiTheme="minorBidi" w:cstheme="minorBidi"/>
        </w:rPr>
      </w:pPr>
      <w:r w:rsidRPr="00610646">
        <w:rPr>
          <w:rFonts w:asciiTheme="minorBidi" w:hAnsiTheme="minorBidi" w:cstheme="minorBidi"/>
        </w:rPr>
        <w:t>Figure 6. Glucose</w:t>
      </w:r>
    </w:p>
    <w:p w14:paraId="6E15A953" w14:textId="77777777" w:rsidR="00610646" w:rsidRDefault="00610646" w:rsidP="00EE6119">
      <w:pPr>
        <w:jc w:val="both"/>
        <w:rPr>
          <w:rFonts w:asciiTheme="minorBidi" w:hAnsiTheme="minorBidi" w:cstheme="minorBidi"/>
        </w:rPr>
      </w:pPr>
    </w:p>
    <w:p w14:paraId="149D7298" w14:textId="245C30CC" w:rsidR="00EE6119" w:rsidRDefault="00EE6119" w:rsidP="00EE6119">
      <w:pPr>
        <w:jc w:val="center"/>
        <w:rPr>
          <w:rFonts w:asciiTheme="minorBidi" w:hAnsiTheme="minorBidi" w:cstheme="minorBidi"/>
          <w:lang w:val="id-ID"/>
        </w:rPr>
      </w:pPr>
    </w:p>
    <w:p w14:paraId="38620869" w14:textId="77777777" w:rsidR="00EE6119" w:rsidRPr="00EE6119" w:rsidRDefault="00EE6119" w:rsidP="00EE6119">
      <w:pPr>
        <w:jc w:val="center"/>
        <w:rPr>
          <w:rFonts w:asciiTheme="minorBidi" w:hAnsiTheme="minorBidi" w:cstheme="minorBidi"/>
          <w:lang w:val="id-ID"/>
        </w:rPr>
      </w:pPr>
    </w:p>
    <w:p w14:paraId="14F48BCB" w14:textId="57DEA4ED" w:rsidR="00AE2CC6" w:rsidRDefault="00AE2CC6" w:rsidP="00EE6119">
      <w:pPr>
        <w:pStyle w:val="Body"/>
        <w:spacing w:after="0"/>
        <w:rPr>
          <w:rFonts w:asciiTheme="minorBidi" w:hAnsiTheme="minorBidi" w:cstheme="minorBidi"/>
          <w:b/>
          <w:sz w:val="22"/>
        </w:rPr>
      </w:pPr>
      <w:r w:rsidRPr="00EE6119">
        <w:rPr>
          <w:rFonts w:asciiTheme="minorBidi" w:hAnsiTheme="minorBidi" w:cstheme="minorBidi"/>
          <w:b/>
          <w:caps/>
          <w:sz w:val="22"/>
        </w:rPr>
        <w:t xml:space="preserve">3.7 </w:t>
      </w:r>
      <w:r w:rsidRPr="00EE6119">
        <w:rPr>
          <w:rFonts w:asciiTheme="minorBidi" w:hAnsiTheme="minorBidi" w:cstheme="minorBidi"/>
          <w:b/>
          <w:sz w:val="22"/>
        </w:rPr>
        <w:t>Phytochemical Tests</w:t>
      </w:r>
    </w:p>
    <w:p w14:paraId="1F8C87D7" w14:textId="407B1F1B" w:rsidR="00EE6119" w:rsidRPr="00EE6119" w:rsidRDefault="00EE6119" w:rsidP="00EE6119">
      <w:pPr>
        <w:ind w:firstLine="720"/>
        <w:jc w:val="both"/>
        <w:rPr>
          <w:rFonts w:asciiTheme="minorBidi" w:hAnsiTheme="minorBidi" w:cstheme="minorBidi"/>
          <w:lang w:val="id-ID"/>
        </w:rPr>
      </w:pPr>
      <w:r w:rsidRPr="00EE6119">
        <w:rPr>
          <w:rFonts w:asciiTheme="minorBidi" w:hAnsiTheme="minorBidi" w:cstheme="minorBidi"/>
        </w:rPr>
        <w:t xml:space="preserve">The flavonoids in guava leaves act as antibacterials by damaging cell walls and inhibiting bacterial essential enzymes, effectively fighting </w:t>
      </w:r>
      <w:r w:rsidRPr="00EE6119">
        <w:rPr>
          <w:rFonts w:asciiTheme="minorBidi" w:hAnsiTheme="minorBidi" w:cstheme="minorBidi"/>
          <w:i/>
          <w:iCs/>
        </w:rPr>
        <w:t>Vibrio parahaemolyticus</w:t>
      </w:r>
      <w:r w:rsidRPr="00EE6119">
        <w:rPr>
          <w:rFonts w:asciiTheme="minorBidi" w:hAnsiTheme="minorBidi" w:cstheme="minorBidi"/>
        </w:rPr>
        <w:t xml:space="preserve">. Tira et al. (2022) reported that guava leaves extract with a concentration of 225 ppm produced an inhibition zone of 12.31 mm. Tannins contribute by precipitating proteins and damaging bacterial cell membranes. Santi et al. (2017) recorded an inhibition zone of 3.2 cm against </w:t>
      </w:r>
      <w:r w:rsidRPr="00EE6119">
        <w:rPr>
          <w:rFonts w:asciiTheme="minorBidi" w:hAnsiTheme="minorBidi" w:cstheme="minorBidi"/>
          <w:i/>
          <w:iCs/>
        </w:rPr>
        <w:t>Vibrio harveyi</w:t>
      </w:r>
      <w:r w:rsidRPr="00EE6119">
        <w:rPr>
          <w:rFonts w:asciiTheme="minorBidi" w:hAnsiTheme="minorBidi" w:cstheme="minorBidi"/>
        </w:rPr>
        <w:t xml:space="preserve"> at a concentration of 5250 ppm. Saponins serve as natural surfactants that increase membrane permeability and stimulate phagocytosis. Indriyani et al</w:t>
      </w:r>
      <w:r w:rsidRPr="00EE6119">
        <w:rPr>
          <w:rFonts w:asciiTheme="minorBidi" w:hAnsiTheme="minorBidi" w:cstheme="minorBidi"/>
          <w:i/>
          <w:iCs/>
        </w:rPr>
        <w:t>.</w:t>
      </w:r>
      <w:r w:rsidRPr="00EE6119">
        <w:rPr>
          <w:rFonts w:asciiTheme="minorBidi" w:hAnsiTheme="minorBidi" w:cstheme="minorBidi"/>
        </w:rPr>
        <w:t xml:space="preserve"> (2019) showed an increase in the total number of hemocytes, hyalin, and granular cells in whiteleg shrimp after administration of guava leaves extract. Alkaloids inhibit the synthesis of microbial DNA/RNA and support adaptive immunity, while terpenoids act as antibacterial and anti-inflammatory by disrupting bacterial metabolic enzymes. Apsani (2022) states that alkaloids inhibit the formation of peptidoglycan, while terpenoids damage the outer membrane of bacteria through strong polymer bonds. Essential fatty acids such as hexadecanoic acid methyl ester, octadecadienoic acid, and octadecatrienoic acid also play a role in strengthening shrimp cell membranes and supporting eicosanoid synthesis. Ramadhani et al. (2025) reported its ability to kill pathogenic bacteria.</w:t>
      </w:r>
    </w:p>
    <w:p w14:paraId="7292E923" w14:textId="0179A5DC" w:rsidR="00EE6119" w:rsidRPr="00EE6119" w:rsidRDefault="00EE6119" w:rsidP="00EE6119">
      <w:pPr>
        <w:jc w:val="both"/>
        <w:rPr>
          <w:rFonts w:asciiTheme="minorBidi" w:hAnsiTheme="minorBidi" w:cstheme="minorBidi"/>
        </w:rPr>
      </w:pPr>
      <w:r w:rsidRPr="00EE6119">
        <w:rPr>
          <w:rFonts w:asciiTheme="minorBidi" w:hAnsiTheme="minorBidi" w:cstheme="minorBidi"/>
        </w:rPr>
        <w:t>Table 1. Results of Identification of Guava Leaves Flour Compounds Using Phytochemicals</w:t>
      </w:r>
    </w:p>
    <w:tbl>
      <w:tblPr>
        <w:tblStyle w:val="TableGrid"/>
        <w:tblW w:w="5000" w:type="pct"/>
        <w:tblLook w:val="04A0" w:firstRow="1" w:lastRow="0" w:firstColumn="1" w:lastColumn="0" w:noHBand="0" w:noVBand="1"/>
      </w:tblPr>
      <w:tblGrid>
        <w:gridCol w:w="2342"/>
        <w:gridCol w:w="2770"/>
        <w:gridCol w:w="1896"/>
        <w:gridCol w:w="1896"/>
        <w:gridCol w:w="1896"/>
      </w:tblGrid>
      <w:tr w:rsidR="00EE6119" w:rsidRPr="00EE6119" w14:paraId="1A2EEAB2" w14:textId="77777777" w:rsidTr="00843755">
        <w:tc>
          <w:tcPr>
            <w:tcW w:w="1084" w:type="pct"/>
            <w:tcBorders>
              <w:top w:val="single" w:sz="4" w:space="0" w:color="auto"/>
              <w:left w:val="nil"/>
              <w:bottom w:val="single" w:sz="4" w:space="0" w:color="auto"/>
              <w:right w:val="nil"/>
            </w:tcBorders>
          </w:tcPr>
          <w:p w14:paraId="3DDCAF2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Compound Groups</w:t>
            </w:r>
          </w:p>
        </w:tc>
        <w:tc>
          <w:tcPr>
            <w:tcW w:w="1282" w:type="pct"/>
            <w:tcBorders>
              <w:top w:val="single" w:sz="4" w:space="0" w:color="auto"/>
              <w:left w:val="nil"/>
              <w:bottom w:val="single" w:sz="4" w:space="0" w:color="auto"/>
              <w:right w:val="nil"/>
            </w:tcBorders>
            <w:vAlign w:val="center"/>
          </w:tcPr>
          <w:p w14:paraId="5638478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Guava Leaves Flour</w:t>
            </w:r>
          </w:p>
        </w:tc>
        <w:tc>
          <w:tcPr>
            <w:tcW w:w="878" w:type="pct"/>
            <w:tcBorders>
              <w:top w:val="single" w:sz="4" w:space="0" w:color="auto"/>
              <w:left w:val="nil"/>
              <w:bottom w:val="single" w:sz="4" w:space="0" w:color="auto"/>
              <w:right w:val="nil"/>
            </w:tcBorders>
          </w:tcPr>
          <w:p w14:paraId="481DEB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3ECD45B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2%</w:t>
            </w:r>
          </w:p>
        </w:tc>
        <w:tc>
          <w:tcPr>
            <w:tcW w:w="878" w:type="pct"/>
            <w:tcBorders>
              <w:top w:val="single" w:sz="4" w:space="0" w:color="auto"/>
              <w:left w:val="nil"/>
              <w:bottom w:val="single" w:sz="4" w:space="0" w:color="auto"/>
              <w:right w:val="nil"/>
            </w:tcBorders>
          </w:tcPr>
          <w:p w14:paraId="63F8CB8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w:t>
            </w:r>
          </w:p>
          <w:p w14:paraId="5AA50D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4%</w:t>
            </w:r>
          </w:p>
        </w:tc>
        <w:tc>
          <w:tcPr>
            <w:tcW w:w="878" w:type="pct"/>
            <w:tcBorders>
              <w:top w:val="single" w:sz="4" w:space="0" w:color="auto"/>
              <w:left w:val="nil"/>
              <w:bottom w:val="single" w:sz="4" w:space="0" w:color="auto"/>
              <w:right w:val="nil"/>
            </w:tcBorders>
          </w:tcPr>
          <w:p w14:paraId="091232A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Treatment 6%</w:t>
            </w:r>
          </w:p>
        </w:tc>
      </w:tr>
      <w:tr w:rsidR="00EE6119" w:rsidRPr="00EE6119" w14:paraId="32EB7D14" w14:textId="77777777" w:rsidTr="00843755">
        <w:tc>
          <w:tcPr>
            <w:tcW w:w="1084" w:type="pct"/>
            <w:tcBorders>
              <w:top w:val="single" w:sz="4" w:space="0" w:color="auto"/>
              <w:left w:val="nil"/>
              <w:bottom w:val="nil"/>
              <w:right w:val="nil"/>
            </w:tcBorders>
          </w:tcPr>
          <w:p w14:paraId="14EE6BF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Flavonoid</w:t>
            </w:r>
          </w:p>
        </w:tc>
        <w:tc>
          <w:tcPr>
            <w:tcW w:w="1282" w:type="pct"/>
            <w:tcBorders>
              <w:top w:val="single" w:sz="4" w:space="0" w:color="auto"/>
              <w:left w:val="nil"/>
              <w:bottom w:val="nil"/>
              <w:right w:val="nil"/>
            </w:tcBorders>
          </w:tcPr>
          <w:p w14:paraId="19B05FD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1E585ED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F3A50DE"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single" w:sz="4" w:space="0" w:color="auto"/>
              <w:left w:val="nil"/>
              <w:bottom w:val="nil"/>
              <w:right w:val="nil"/>
            </w:tcBorders>
          </w:tcPr>
          <w:p w14:paraId="3B3D1F6D"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B7ECB1D" w14:textId="77777777" w:rsidTr="00843755">
        <w:tc>
          <w:tcPr>
            <w:tcW w:w="1084" w:type="pct"/>
            <w:tcBorders>
              <w:top w:val="nil"/>
              <w:left w:val="nil"/>
              <w:bottom w:val="nil"/>
              <w:right w:val="nil"/>
            </w:tcBorders>
          </w:tcPr>
          <w:p w14:paraId="0F2A320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Tanin</w:t>
            </w:r>
          </w:p>
        </w:tc>
        <w:tc>
          <w:tcPr>
            <w:tcW w:w="1282" w:type="pct"/>
            <w:tcBorders>
              <w:top w:val="nil"/>
              <w:left w:val="nil"/>
              <w:bottom w:val="nil"/>
              <w:right w:val="nil"/>
            </w:tcBorders>
          </w:tcPr>
          <w:p w14:paraId="60CCD34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CD2749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20CF428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A384368"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8E20FDF" w14:textId="77777777" w:rsidTr="00843755">
        <w:tc>
          <w:tcPr>
            <w:tcW w:w="1084" w:type="pct"/>
            <w:tcBorders>
              <w:top w:val="nil"/>
              <w:left w:val="nil"/>
              <w:bottom w:val="nil"/>
              <w:right w:val="nil"/>
            </w:tcBorders>
          </w:tcPr>
          <w:p w14:paraId="7A430BAC"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Saponin</w:t>
            </w:r>
          </w:p>
        </w:tc>
        <w:tc>
          <w:tcPr>
            <w:tcW w:w="1282" w:type="pct"/>
            <w:tcBorders>
              <w:top w:val="nil"/>
              <w:left w:val="nil"/>
              <w:bottom w:val="nil"/>
              <w:right w:val="nil"/>
            </w:tcBorders>
          </w:tcPr>
          <w:p w14:paraId="7923B44D"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9C8E0B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A609D5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47823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672578DF" w14:textId="77777777" w:rsidTr="00843755">
        <w:tc>
          <w:tcPr>
            <w:tcW w:w="1084" w:type="pct"/>
            <w:tcBorders>
              <w:top w:val="nil"/>
              <w:left w:val="nil"/>
              <w:bottom w:val="nil"/>
              <w:right w:val="nil"/>
            </w:tcBorders>
          </w:tcPr>
          <w:p w14:paraId="4387BE3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Alkaloid</w:t>
            </w:r>
          </w:p>
        </w:tc>
        <w:tc>
          <w:tcPr>
            <w:tcW w:w="1282" w:type="pct"/>
            <w:tcBorders>
              <w:top w:val="nil"/>
              <w:left w:val="nil"/>
              <w:bottom w:val="nil"/>
              <w:right w:val="nil"/>
            </w:tcBorders>
          </w:tcPr>
          <w:p w14:paraId="49994CE0"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192701BF"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087AC419"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8C1A009" w14:textId="77777777" w:rsidR="00EE6119" w:rsidRPr="00EE6119" w:rsidRDefault="00EE6119" w:rsidP="00EE6119">
            <w:pPr>
              <w:jc w:val="center"/>
              <w:rPr>
                <w:rFonts w:asciiTheme="minorBidi" w:hAnsiTheme="minorBidi" w:cstheme="minorBidi"/>
                <w:sz w:val="20"/>
                <w:szCs w:val="20"/>
                <w:lang w:val="nb-NO"/>
              </w:rPr>
            </w:pPr>
            <w:r w:rsidRPr="00EE6119">
              <w:rPr>
                <w:rFonts w:asciiTheme="minorBidi" w:hAnsiTheme="minorBidi" w:cstheme="minorBidi"/>
                <w:sz w:val="20"/>
                <w:szCs w:val="20"/>
              </w:rPr>
              <w:t>+</w:t>
            </w:r>
          </w:p>
        </w:tc>
      </w:tr>
      <w:tr w:rsidR="00EE6119" w:rsidRPr="00EE6119" w14:paraId="606533F9" w14:textId="77777777" w:rsidTr="00843755">
        <w:tc>
          <w:tcPr>
            <w:tcW w:w="1084" w:type="pct"/>
            <w:tcBorders>
              <w:top w:val="nil"/>
              <w:left w:val="nil"/>
              <w:bottom w:val="nil"/>
              <w:right w:val="nil"/>
            </w:tcBorders>
          </w:tcPr>
          <w:p w14:paraId="239AE9AA"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Terpenoid</w:t>
            </w:r>
          </w:p>
        </w:tc>
        <w:tc>
          <w:tcPr>
            <w:tcW w:w="1282" w:type="pct"/>
            <w:tcBorders>
              <w:top w:val="nil"/>
              <w:left w:val="nil"/>
              <w:bottom w:val="nil"/>
              <w:right w:val="nil"/>
            </w:tcBorders>
          </w:tcPr>
          <w:p w14:paraId="0902F2C2"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5127A15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78656E87"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nil"/>
              <w:right w:val="nil"/>
            </w:tcBorders>
          </w:tcPr>
          <w:p w14:paraId="664E2EC5"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r w:rsidR="00EE6119" w:rsidRPr="00EE6119" w14:paraId="5F33BE4A" w14:textId="77777777" w:rsidTr="00843755">
        <w:tc>
          <w:tcPr>
            <w:tcW w:w="1084" w:type="pct"/>
            <w:tcBorders>
              <w:top w:val="nil"/>
              <w:left w:val="nil"/>
              <w:bottom w:val="single" w:sz="4" w:space="0" w:color="auto"/>
              <w:right w:val="nil"/>
            </w:tcBorders>
          </w:tcPr>
          <w:p w14:paraId="2587D3B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Fatty Acids (Lipids)</w:t>
            </w:r>
          </w:p>
        </w:tc>
        <w:tc>
          <w:tcPr>
            <w:tcW w:w="1282" w:type="pct"/>
            <w:tcBorders>
              <w:top w:val="nil"/>
              <w:left w:val="nil"/>
              <w:bottom w:val="single" w:sz="4" w:space="0" w:color="auto"/>
              <w:right w:val="nil"/>
            </w:tcBorders>
            <w:vAlign w:val="center"/>
          </w:tcPr>
          <w:p w14:paraId="66D0E6E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7737B95B"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FCEDF28"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c>
          <w:tcPr>
            <w:tcW w:w="878" w:type="pct"/>
            <w:tcBorders>
              <w:top w:val="nil"/>
              <w:left w:val="nil"/>
              <w:bottom w:val="single" w:sz="4" w:space="0" w:color="auto"/>
              <w:right w:val="nil"/>
            </w:tcBorders>
            <w:vAlign w:val="center"/>
          </w:tcPr>
          <w:p w14:paraId="2E53C831" w14:textId="77777777" w:rsidR="00EE6119" w:rsidRPr="00EE6119" w:rsidRDefault="00EE6119" w:rsidP="00EE6119">
            <w:pPr>
              <w:jc w:val="center"/>
              <w:rPr>
                <w:rFonts w:asciiTheme="minorBidi" w:hAnsiTheme="minorBidi" w:cstheme="minorBidi"/>
                <w:sz w:val="20"/>
                <w:szCs w:val="20"/>
              </w:rPr>
            </w:pPr>
            <w:r w:rsidRPr="00EE6119">
              <w:rPr>
                <w:rFonts w:asciiTheme="minorBidi" w:hAnsiTheme="minorBidi" w:cstheme="minorBidi"/>
                <w:sz w:val="20"/>
                <w:szCs w:val="20"/>
              </w:rPr>
              <w:t>+</w:t>
            </w:r>
          </w:p>
        </w:tc>
      </w:tr>
    </w:tbl>
    <w:p w14:paraId="0335B9B7" w14:textId="77777777" w:rsidR="00EE6119" w:rsidRPr="00EE6119" w:rsidRDefault="00EE6119" w:rsidP="00EE6119">
      <w:pPr>
        <w:pStyle w:val="Body"/>
        <w:spacing w:after="0"/>
        <w:rPr>
          <w:rFonts w:asciiTheme="minorBidi" w:hAnsiTheme="minorBidi" w:cstheme="minorBidi"/>
          <w:b/>
        </w:rPr>
      </w:pPr>
    </w:p>
    <w:p w14:paraId="4726E51C" w14:textId="58006B00" w:rsidR="00AE2CC6" w:rsidRPr="00EE6119" w:rsidRDefault="00AE2CC6" w:rsidP="00EE6119">
      <w:pPr>
        <w:pStyle w:val="Body"/>
        <w:spacing w:after="0"/>
        <w:rPr>
          <w:rFonts w:asciiTheme="minorBidi" w:hAnsiTheme="minorBidi" w:cstheme="minorBidi"/>
          <w:b/>
          <w:sz w:val="22"/>
        </w:rPr>
      </w:pPr>
      <w:r w:rsidRPr="00EE6119">
        <w:rPr>
          <w:rFonts w:asciiTheme="minorBidi" w:hAnsiTheme="minorBidi" w:cstheme="minorBidi"/>
          <w:b/>
          <w:sz w:val="22"/>
        </w:rPr>
        <w:t>3.8 Water Quality</w:t>
      </w:r>
    </w:p>
    <w:p w14:paraId="033EFB5B"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The quality of the waters as a living medium (growth and development) of the shrimp that are kept is one of the parameters that must be considered and must be maintained in balance. The water quality of the living media of shrimp in this study is presented in the following table.</w:t>
      </w:r>
      <w:r>
        <w:rPr>
          <w:rFonts w:asciiTheme="minorBidi" w:hAnsiTheme="minorBidi" w:cstheme="minorBidi"/>
        </w:rPr>
        <w:t xml:space="preserve"> </w:t>
      </w:r>
      <w:r w:rsidRPr="00EE6119">
        <w:rPr>
          <w:rFonts w:asciiTheme="minorBidi" w:hAnsiTheme="minorBidi" w:cstheme="minorBidi"/>
        </w:rPr>
        <w:t>Water quality is one of the limiting factors whose range values must be appropriate for the purpose of supporting the life of the biota that are maintained. The quality of water as a living medium is one of the most important factors and its condition is maintained. Things that can be done to maintain the value of water quality so that it remains good in supporting maintenance activities is to carry out routine water quality checks, regular water changes (siphon), provide feed with good quality and easy to digest. The water quality measured in this study is dissolved oxygen (DO), acidity degree (pH), temperature (temperature), and ammonia, all within the optimal value range for whiteleg shrimp cultivation. Optimal water quality affects the growth and survival of shrimp. This is in line with the opinion of Apsani et al. (2022), which states that suboptimal water quality has an effect on the increase in pathogenic bacteria in waters that can lower the shrimp's immune system and even cause mass death.</w:t>
      </w:r>
    </w:p>
    <w:p w14:paraId="223D9439" w14:textId="77777777" w:rsidR="00EE6119" w:rsidRPr="00EE6119" w:rsidRDefault="00EE6119" w:rsidP="00EE6119">
      <w:pPr>
        <w:keepNext/>
        <w:jc w:val="both"/>
        <w:rPr>
          <w:rFonts w:asciiTheme="minorBidi" w:hAnsiTheme="minorBidi" w:cstheme="minorBidi"/>
        </w:rPr>
      </w:pPr>
      <w:r w:rsidRPr="00EE6119">
        <w:rPr>
          <w:rFonts w:asciiTheme="minorBidi" w:hAnsiTheme="minorBidi" w:cstheme="minorBidi"/>
        </w:rPr>
        <w:t xml:space="preserve">Less than optimal water quality is caused by the accumulation of waste at the bottom of the water, so that the quality of feed and consumption efficiency by shrimp greatly affect water quality during the cultivation process. Feed that is optimally consumed by shrimp will produce a small amount of organic waste on the bottom of the water, such as uneaten feed residue and shrimp droppings. On the other hand, if the feed given is not eaten completely or the feed is of low quality and difficult to digest, there will be an accumulation of organic waste that has the potential to increase ammonia and nitrite levels in the water. An increase in these toxic compounds will negatively impact water quality, lower dissolved oxygen levels, and disrupt </w:t>
      </w:r>
      <w:r w:rsidRPr="00EE6119">
        <w:rPr>
          <w:rFonts w:asciiTheme="minorBidi" w:hAnsiTheme="minorBidi" w:cstheme="minorBidi"/>
        </w:rPr>
        <w:lastRenderedPageBreak/>
        <w:t xml:space="preserve">the metabolic process of shrimp, so that their growth and survival rate decrease. This is in agreement with Scabra et al. (2024) The factor that determines the graduation of shrimp life in aquaculture activities is water quality management. In this study, feed enriched with guava leaves flour not only showed an increase in shrimp growth efficiency, but also had the potential to reduce feed waste due to its better digestibility and natural antibacterial properties, which helped keep water quality stable. </w:t>
      </w:r>
    </w:p>
    <w:p w14:paraId="2C4D9DF4" w14:textId="2F6C1119" w:rsidR="00EE6119" w:rsidRPr="00670731" w:rsidRDefault="00EE6119" w:rsidP="00EE6119">
      <w:pPr>
        <w:keepNext/>
        <w:jc w:val="both"/>
        <w:rPr>
          <w:rFonts w:asciiTheme="minorBidi" w:hAnsiTheme="minorBidi" w:cstheme="minorBidi"/>
          <w:lang w:val="en-IN"/>
        </w:rPr>
      </w:pPr>
      <w:r w:rsidRPr="00EE6119">
        <w:rPr>
          <w:rFonts w:asciiTheme="minorBidi" w:hAnsiTheme="minorBidi" w:cstheme="minorBidi"/>
        </w:rPr>
        <w:t>According to Scabra &amp; Hermawan (2022), the more feed that is not used properly, the higher the load of pollutants entering the waters. This is in line with the statement of Suantika et al. (2015) that low feed efficiency accelerates the decline in water quality due to the increase in inorganic nitrogen compounds such as ammonia and nitrates. In this study, the use of feed enriched with guava leaves flour was proven to be able to increase the efficiency of feed utilization by whiteleg shrimp, which was shown by a lower feed conversion ratio (FCR) value at P5. A lower FCR value indicates that the amount of feed needed to produce less shrimp weight gain, so the resulting feed waste is also smaller. Thus, the use of guava leaves flour in feed not only supports shrimp growth, but also indirectly maintains pond water quality and creates a more sustainable cultivation environment.</w:t>
      </w:r>
    </w:p>
    <w:p w14:paraId="14F9A362" w14:textId="01EB036E" w:rsidR="00EE6119" w:rsidRPr="00EE6119" w:rsidRDefault="00EE6119" w:rsidP="00EE6119">
      <w:pPr>
        <w:keepNext/>
        <w:jc w:val="both"/>
        <w:rPr>
          <w:rFonts w:asciiTheme="minorBidi" w:hAnsiTheme="minorBidi" w:cstheme="minorBidi"/>
          <w:b/>
          <w:bCs/>
          <w:lang w:val="nb-NO"/>
        </w:rPr>
      </w:pPr>
      <w:r w:rsidRPr="00EE6119">
        <w:rPr>
          <w:rFonts w:asciiTheme="minorBidi" w:hAnsiTheme="minorBidi" w:cstheme="minorBidi"/>
        </w:rPr>
        <w:t>Table 2. Water Quality</w:t>
      </w:r>
    </w:p>
    <w:tbl>
      <w:tblPr>
        <w:tblStyle w:val="PlainTable2"/>
        <w:tblW w:w="5000" w:type="pct"/>
        <w:tblLook w:val="0620" w:firstRow="1" w:lastRow="0" w:firstColumn="0" w:lastColumn="0" w:noHBand="1" w:noVBand="1"/>
      </w:tblPr>
      <w:tblGrid>
        <w:gridCol w:w="3562"/>
        <w:gridCol w:w="3065"/>
        <w:gridCol w:w="4173"/>
      </w:tblGrid>
      <w:tr w:rsidR="00EE6119" w:rsidRPr="00EE6119" w14:paraId="7E634F23" w14:textId="77777777" w:rsidTr="00843755">
        <w:trPr>
          <w:cnfStyle w:val="100000000000" w:firstRow="1" w:lastRow="0" w:firstColumn="0" w:lastColumn="0" w:oddVBand="0" w:evenVBand="0" w:oddHBand="0" w:evenHBand="0" w:firstRowFirstColumn="0" w:firstRowLastColumn="0" w:lastRowFirstColumn="0" w:lastRowLastColumn="0"/>
          <w:trHeight w:val="54"/>
          <w:tblHeader/>
        </w:trPr>
        <w:tc>
          <w:tcPr>
            <w:tcW w:w="1649" w:type="pct"/>
            <w:vAlign w:val="center"/>
          </w:tcPr>
          <w:p w14:paraId="10E0A4E7"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Parameters</w:t>
            </w:r>
          </w:p>
        </w:tc>
        <w:tc>
          <w:tcPr>
            <w:tcW w:w="1419" w:type="pct"/>
          </w:tcPr>
          <w:p w14:paraId="1522DF41" w14:textId="77777777" w:rsidR="00EE6119" w:rsidRPr="00EE6119" w:rsidRDefault="00EE6119" w:rsidP="00843755">
            <w:pPr>
              <w:jc w:val="center"/>
              <w:rPr>
                <w:rFonts w:asciiTheme="minorBidi" w:hAnsiTheme="minorBidi"/>
                <w:b w:val="0"/>
                <w:sz w:val="20"/>
                <w:szCs w:val="20"/>
                <w:lang w:val="nb-NO"/>
              </w:rPr>
            </w:pPr>
            <w:r w:rsidRPr="00EE6119">
              <w:rPr>
                <w:rFonts w:asciiTheme="minorBidi" w:hAnsiTheme="minorBidi"/>
                <w:b w:val="0"/>
                <w:sz w:val="20"/>
                <w:szCs w:val="20"/>
              </w:rPr>
              <w:t>Research Value (Range)</w:t>
            </w:r>
          </w:p>
        </w:tc>
        <w:tc>
          <w:tcPr>
            <w:tcW w:w="1932" w:type="pct"/>
          </w:tcPr>
          <w:p w14:paraId="75DB6FF7" w14:textId="77777777" w:rsidR="00EE6119" w:rsidRPr="00EE6119" w:rsidRDefault="00EE6119" w:rsidP="00843755">
            <w:pPr>
              <w:jc w:val="center"/>
              <w:rPr>
                <w:rFonts w:asciiTheme="minorBidi" w:hAnsiTheme="minorBidi"/>
                <w:b w:val="0"/>
                <w:sz w:val="20"/>
                <w:szCs w:val="20"/>
              </w:rPr>
            </w:pPr>
            <w:r w:rsidRPr="00EE6119">
              <w:rPr>
                <w:rFonts w:asciiTheme="minorBidi" w:hAnsiTheme="minorBidi"/>
                <w:b w:val="0"/>
                <w:sz w:val="20"/>
                <w:szCs w:val="20"/>
              </w:rPr>
              <w:t>Reference</w:t>
            </w:r>
          </w:p>
        </w:tc>
      </w:tr>
      <w:tr w:rsidR="00EE6119" w:rsidRPr="00EE6119" w14:paraId="4503AC89" w14:textId="77777777" w:rsidTr="00843755">
        <w:trPr>
          <w:trHeight w:val="54"/>
        </w:trPr>
        <w:tc>
          <w:tcPr>
            <w:tcW w:w="1649" w:type="pct"/>
          </w:tcPr>
          <w:p w14:paraId="42DFEE05"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Dissolved Oxygen</w:t>
            </w:r>
            <w:r w:rsidRPr="00EE6119">
              <w:rPr>
                <w:rFonts w:asciiTheme="minorBidi" w:hAnsiTheme="minorBidi"/>
                <w:i/>
                <w:iCs/>
                <w:sz w:val="20"/>
                <w:szCs w:val="20"/>
              </w:rPr>
              <w:t xml:space="preserve"> </w:t>
            </w:r>
            <w:r w:rsidRPr="00EE6119">
              <w:rPr>
                <w:rFonts w:asciiTheme="minorBidi" w:hAnsiTheme="minorBidi"/>
                <w:sz w:val="20"/>
                <w:szCs w:val="20"/>
              </w:rPr>
              <w:t>(mg/L)</w:t>
            </w:r>
          </w:p>
        </w:tc>
        <w:tc>
          <w:tcPr>
            <w:tcW w:w="1419" w:type="pct"/>
          </w:tcPr>
          <w:p w14:paraId="23BB1CD8"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6-7</w:t>
            </w:r>
          </w:p>
        </w:tc>
        <w:tc>
          <w:tcPr>
            <w:tcW w:w="1932" w:type="pct"/>
          </w:tcPr>
          <w:p w14:paraId="5C4E5AF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&gt; 4 </w:t>
            </w:r>
            <w:r w:rsidRPr="00EE6119">
              <w:rPr>
                <w:rFonts w:asciiTheme="minorBidi" w:hAnsiTheme="minorBidi"/>
                <w:color w:val="000000"/>
                <w:sz w:val="20"/>
                <w:szCs w:val="20"/>
              </w:rPr>
              <w:t xml:space="preserve">(Tangguda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2018)</w:t>
            </w:r>
          </w:p>
        </w:tc>
      </w:tr>
      <w:tr w:rsidR="00EE6119" w:rsidRPr="00EE6119" w14:paraId="465C2AD6" w14:textId="77777777" w:rsidTr="00843755">
        <w:trPr>
          <w:trHeight w:val="64"/>
        </w:trPr>
        <w:tc>
          <w:tcPr>
            <w:tcW w:w="1649" w:type="pct"/>
          </w:tcPr>
          <w:p w14:paraId="38FEED9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pH </w:t>
            </w:r>
          </w:p>
        </w:tc>
        <w:tc>
          <w:tcPr>
            <w:tcW w:w="1419" w:type="pct"/>
          </w:tcPr>
          <w:p w14:paraId="26ECBFC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8.2-8.7</w:t>
            </w:r>
          </w:p>
        </w:tc>
        <w:tc>
          <w:tcPr>
            <w:tcW w:w="1932" w:type="pct"/>
          </w:tcPr>
          <w:p w14:paraId="6386D311"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7.4 – 8.9 </w:t>
            </w:r>
            <w:r w:rsidRPr="00EE6119">
              <w:rPr>
                <w:rFonts w:asciiTheme="minorBidi" w:hAnsiTheme="minorBidi"/>
                <w:color w:val="000000"/>
                <w:sz w:val="20"/>
                <w:szCs w:val="20"/>
              </w:rPr>
              <w:t xml:space="preserve">(Lestari </w:t>
            </w:r>
            <w:r w:rsidRPr="00EE6119">
              <w:rPr>
                <w:rFonts w:asciiTheme="minorBidi" w:hAnsiTheme="minorBidi"/>
                <w:iCs/>
                <w:color w:val="000000"/>
                <w:sz w:val="20"/>
                <w:szCs w:val="20"/>
              </w:rPr>
              <w:t xml:space="preserve">et al., </w:t>
            </w:r>
            <w:r w:rsidRPr="00EE6119">
              <w:rPr>
                <w:rFonts w:asciiTheme="minorBidi" w:hAnsiTheme="minorBidi"/>
                <w:color w:val="000000"/>
                <w:sz w:val="20"/>
                <w:szCs w:val="20"/>
              </w:rPr>
              <w:t>2017)</w:t>
            </w:r>
          </w:p>
        </w:tc>
      </w:tr>
      <w:tr w:rsidR="00EE6119" w:rsidRPr="00EE6119" w14:paraId="6B465FD2" w14:textId="77777777" w:rsidTr="00843755">
        <w:trPr>
          <w:trHeight w:val="64"/>
        </w:trPr>
        <w:tc>
          <w:tcPr>
            <w:tcW w:w="1649" w:type="pct"/>
          </w:tcPr>
          <w:p w14:paraId="58E430A7"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Temperature (</w:t>
            </w:r>
            <w:r w:rsidRPr="00EE6119">
              <w:rPr>
                <w:rFonts w:asciiTheme="minorBidi" w:hAnsiTheme="minorBidi"/>
                <w:sz w:val="20"/>
                <w:szCs w:val="20"/>
                <w:vertAlign w:val="superscript"/>
              </w:rPr>
              <w:t>O</w:t>
            </w:r>
            <w:r w:rsidRPr="00EE6119">
              <w:rPr>
                <w:rFonts w:asciiTheme="minorBidi" w:hAnsiTheme="minorBidi"/>
                <w:sz w:val="20"/>
                <w:szCs w:val="20"/>
              </w:rPr>
              <w:t>C)</w:t>
            </w:r>
          </w:p>
        </w:tc>
        <w:tc>
          <w:tcPr>
            <w:tcW w:w="1419" w:type="pct"/>
          </w:tcPr>
          <w:p w14:paraId="452B5980"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28-29.5</w:t>
            </w:r>
          </w:p>
        </w:tc>
        <w:tc>
          <w:tcPr>
            <w:tcW w:w="1932" w:type="pct"/>
          </w:tcPr>
          <w:p w14:paraId="2B154D62"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28 – 31 </w:t>
            </w:r>
            <w:sdt>
              <w:sdtPr>
                <w:rPr>
                  <w:rFonts w:asciiTheme="minorBidi" w:hAnsiTheme="minorBidi"/>
                  <w:color w:val="000000"/>
                </w:rPr>
                <w:tag w:val="MENDELEY_CITATION_v3_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"/>
                <w:id w:val="-333386869"/>
                <w:placeholder>
                  <w:docPart w:val="BCDEC64C573C4093A39E779F33628218"/>
                </w:placeholder>
              </w:sdtPr>
              <w:sdtEndPr/>
              <w:sdtContent>
                <w:r w:rsidRPr="00EE6119">
                  <w:rPr>
                    <w:rFonts w:asciiTheme="minorBidi" w:hAnsiTheme="minorBidi"/>
                    <w:color w:val="000000"/>
                    <w:sz w:val="20"/>
                    <w:szCs w:val="20"/>
                  </w:rPr>
                  <w:t>(Arsad</w:t>
                </w:r>
                <w:r w:rsidRPr="00EE6119">
                  <w:rPr>
                    <w:rFonts w:asciiTheme="minorBidi" w:hAnsiTheme="minorBidi"/>
                    <w:i/>
                    <w:color w:val="000000"/>
                    <w:sz w:val="20"/>
                    <w:szCs w:val="20"/>
                  </w:rPr>
                  <w:t xml:space="preserve"> </w:t>
                </w:r>
                <w:r w:rsidRPr="00EE6119">
                  <w:rPr>
                    <w:rFonts w:asciiTheme="minorBidi" w:hAnsiTheme="minorBidi"/>
                    <w:iCs/>
                    <w:color w:val="000000"/>
                    <w:sz w:val="20"/>
                    <w:szCs w:val="20"/>
                  </w:rPr>
                  <w:t>et al.,</w:t>
                </w:r>
                <w:r w:rsidRPr="00EE6119">
                  <w:rPr>
                    <w:rFonts w:asciiTheme="minorBidi" w:hAnsiTheme="minorBidi"/>
                    <w:i/>
                    <w:color w:val="000000"/>
                    <w:sz w:val="20"/>
                    <w:szCs w:val="20"/>
                  </w:rPr>
                  <w:t xml:space="preserve"> </w:t>
                </w:r>
                <w:r w:rsidRPr="00EE6119">
                  <w:rPr>
                    <w:rFonts w:asciiTheme="minorBidi" w:hAnsiTheme="minorBidi"/>
                    <w:color w:val="000000"/>
                    <w:sz w:val="20"/>
                    <w:szCs w:val="20"/>
                  </w:rPr>
                  <w:t>2017)</w:t>
                </w:r>
              </w:sdtContent>
            </w:sdt>
          </w:p>
        </w:tc>
      </w:tr>
      <w:tr w:rsidR="00EE6119" w:rsidRPr="00EE6119" w14:paraId="3BBB977A" w14:textId="77777777" w:rsidTr="00843755">
        <w:trPr>
          <w:trHeight w:val="64"/>
        </w:trPr>
        <w:tc>
          <w:tcPr>
            <w:tcW w:w="1649" w:type="pct"/>
          </w:tcPr>
          <w:p w14:paraId="05D6F67A"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Ammonia (mg/L)</w:t>
            </w:r>
          </w:p>
        </w:tc>
        <w:tc>
          <w:tcPr>
            <w:tcW w:w="1419" w:type="pct"/>
          </w:tcPr>
          <w:p w14:paraId="22BA4B1D"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0.09-0.2</w:t>
            </w:r>
          </w:p>
        </w:tc>
        <w:tc>
          <w:tcPr>
            <w:tcW w:w="1932" w:type="pct"/>
          </w:tcPr>
          <w:p w14:paraId="5FE05221" w14:textId="77777777" w:rsidR="00EE6119" w:rsidRPr="00EE6119" w:rsidRDefault="00EE6119" w:rsidP="00843755">
            <w:pPr>
              <w:jc w:val="both"/>
              <w:rPr>
                <w:rFonts w:asciiTheme="minorBidi" w:hAnsiTheme="minorBidi"/>
                <w:sz w:val="20"/>
                <w:szCs w:val="20"/>
              </w:rPr>
            </w:pPr>
            <w:r w:rsidRPr="00EE6119">
              <w:rPr>
                <w:rFonts w:asciiTheme="minorBidi" w:hAnsiTheme="minorBidi"/>
                <w:sz w:val="20"/>
                <w:szCs w:val="20"/>
              </w:rPr>
              <w:t xml:space="preserve">&lt;0.1 </w:t>
            </w:r>
            <w:sdt>
              <w:sdtPr>
                <w:rPr>
                  <w:rFonts w:asciiTheme="minorBidi" w:hAnsiTheme="minorBidi"/>
                </w:rPr>
                <w:tag w:val="MENDELEY_CITATION_v3_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"/>
                <w:id w:val="1915736811"/>
                <w:placeholder>
                  <w:docPart w:val="6D9C404598ED4A8993A70AF6EA26E6C1"/>
                </w:placeholder>
              </w:sdtPr>
              <w:sdtEndPr/>
              <w:sdtContent>
                <w:r w:rsidRPr="00EE6119">
                  <w:rPr>
                    <w:rFonts w:asciiTheme="minorBidi" w:eastAsia="Times New Roman" w:hAnsiTheme="minorBidi"/>
                    <w:sz w:val="20"/>
                    <w:szCs w:val="20"/>
                  </w:rPr>
                  <w:t xml:space="preserve">(Sigh, 2016) </w:t>
                </w:r>
              </w:sdtContent>
            </w:sdt>
          </w:p>
        </w:tc>
      </w:tr>
      <w:tr w:rsidR="00EE6119" w:rsidRPr="00EE6119" w14:paraId="74146EE4" w14:textId="77777777" w:rsidTr="00843755">
        <w:trPr>
          <w:trHeight w:val="64"/>
        </w:trPr>
        <w:tc>
          <w:tcPr>
            <w:tcW w:w="1649" w:type="pct"/>
          </w:tcPr>
          <w:p w14:paraId="26AEF4D8"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Salinity (ppt)</w:t>
            </w:r>
          </w:p>
        </w:tc>
        <w:tc>
          <w:tcPr>
            <w:tcW w:w="1419" w:type="pct"/>
          </w:tcPr>
          <w:p w14:paraId="20F3CDEC" w14:textId="77777777" w:rsidR="00EE6119" w:rsidRPr="00EE6119" w:rsidRDefault="00EE6119" w:rsidP="00843755">
            <w:pPr>
              <w:jc w:val="center"/>
              <w:rPr>
                <w:rFonts w:asciiTheme="minorBidi" w:hAnsiTheme="minorBidi"/>
                <w:sz w:val="20"/>
                <w:szCs w:val="20"/>
                <w:lang w:val="nb-NO"/>
              </w:rPr>
            </w:pPr>
            <w:r w:rsidRPr="00EE6119">
              <w:rPr>
                <w:rFonts w:asciiTheme="minorBidi" w:hAnsiTheme="minorBidi"/>
                <w:sz w:val="20"/>
                <w:szCs w:val="20"/>
              </w:rPr>
              <w:t>31-35</w:t>
            </w:r>
          </w:p>
        </w:tc>
        <w:tc>
          <w:tcPr>
            <w:tcW w:w="1932" w:type="pct"/>
          </w:tcPr>
          <w:p w14:paraId="442FAD34" w14:textId="77777777" w:rsidR="00EE6119" w:rsidRPr="00EE6119" w:rsidRDefault="00EE6119" w:rsidP="00843755">
            <w:pPr>
              <w:jc w:val="both"/>
              <w:rPr>
                <w:rFonts w:asciiTheme="minorBidi" w:hAnsiTheme="minorBidi"/>
                <w:sz w:val="20"/>
                <w:szCs w:val="20"/>
                <w:lang w:val="nb-NO"/>
              </w:rPr>
            </w:pPr>
            <w:r w:rsidRPr="00EE6119">
              <w:rPr>
                <w:rFonts w:asciiTheme="minorBidi" w:hAnsiTheme="minorBidi"/>
                <w:sz w:val="20"/>
                <w:szCs w:val="20"/>
              </w:rPr>
              <w:t xml:space="preserve">15-35 </w:t>
            </w:r>
            <w:r w:rsidRPr="00EE6119">
              <w:rPr>
                <w:rFonts w:asciiTheme="minorBidi" w:eastAsia="Times New Roman" w:hAnsiTheme="minorBidi"/>
                <w:sz w:val="20"/>
                <w:szCs w:val="20"/>
              </w:rPr>
              <w:t xml:space="preserve">(Pebrianto </w:t>
            </w:r>
            <w:r w:rsidRPr="00EE6119">
              <w:rPr>
                <w:rFonts w:asciiTheme="minorBidi" w:hAnsiTheme="minorBidi"/>
                <w:iCs/>
                <w:color w:val="000000"/>
                <w:sz w:val="20"/>
                <w:szCs w:val="20"/>
              </w:rPr>
              <w:t xml:space="preserve">et al., </w:t>
            </w:r>
            <w:r w:rsidRPr="00EE6119">
              <w:rPr>
                <w:rFonts w:asciiTheme="minorBidi" w:eastAsia="Times New Roman" w:hAnsiTheme="minorBidi"/>
                <w:sz w:val="20"/>
                <w:szCs w:val="20"/>
              </w:rPr>
              <w:t>2023)</w:t>
            </w:r>
          </w:p>
        </w:tc>
      </w:tr>
    </w:tbl>
    <w:p w14:paraId="1DE09F20" w14:textId="77777777" w:rsidR="00EE6119" w:rsidRPr="00EE6119" w:rsidRDefault="00EE6119" w:rsidP="00EE6119">
      <w:pPr>
        <w:keepNext/>
        <w:jc w:val="both"/>
        <w:rPr>
          <w:rFonts w:asciiTheme="minorBidi" w:hAnsiTheme="minorBidi" w:cstheme="minorBidi"/>
        </w:rPr>
      </w:pPr>
    </w:p>
    <w:p w14:paraId="0BD72136" w14:textId="77777777" w:rsidR="00505F06" w:rsidRDefault="00505F06" w:rsidP="00441B6F">
      <w:pPr>
        <w:pStyle w:val="Body"/>
        <w:spacing w:after="0"/>
        <w:rPr>
          <w:rFonts w:ascii="Arial" w:hAnsi="Arial" w:cs="Arial"/>
        </w:rPr>
      </w:pPr>
    </w:p>
    <w:p w14:paraId="53BD054C" w14:textId="77777777" w:rsidR="00E053D0" w:rsidRDefault="00E053D0" w:rsidP="00441B6F">
      <w:pPr>
        <w:pStyle w:val="Body"/>
        <w:spacing w:after="0"/>
        <w:rPr>
          <w:rFonts w:ascii="Arial" w:hAnsi="Arial" w:cs="Arial"/>
        </w:rPr>
      </w:pPr>
    </w:p>
    <w:p w14:paraId="15812947" w14:textId="77777777" w:rsidR="00790ADA" w:rsidRPr="00FB3A86" w:rsidRDefault="00790ADA" w:rsidP="00441B6F">
      <w:pPr>
        <w:pStyle w:val="Body"/>
        <w:spacing w:after="0"/>
        <w:rPr>
          <w:rFonts w:ascii="Arial" w:hAnsi="Arial" w:cs="Arial"/>
        </w:rPr>
      </w:pPr>
    </w:p>
    <w:p w14:paraId="171935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D18E106" w14:textId="77777777" w:rsidR="00790ADA" w:rsidRPr="00FB3A86" w:rsidRDefault="00790ADA" w:rsidP="00441B6F">
      <w:pPr>
        <w:pStyle w:val="ConcHead"/>
        <w:spacing w:after="0"/>
        <w:jc w:val="both"/>
        <w:rPr>
          <w:rFonts w:ascii="Arial" w:hAnsi="Arial" w:cs="Arial"/>
        </w:rPr>
      </w:pPr>
    </w:p>
    <w:p w14:paraId="7E7D846F" w14:textId="6D6E9F4F" w:rsidR="00B01FCD" w:rsidRDefault="00EE6119" w:rsidP="00441B6F">
      <w:pPr>
        <w:pStyle w:val="Body"/>
        <w:spacing w:after="0"/>
        <w:rPr>
          <w:rFonts w:ascii="Arial" w:hAnsi="Arial" w:cs="Arial"/>
        </w:rPr>
      </w:pPr>
      <w:r w:rsidRPr="00EE6119">
        <w:rPr>
          <w:rFonts w:ascii="Arial" w:hAnsi="Arial" w:cs="Arial"/>
        </w:rPr>
        <w:t>This study showed that the addition of 6% guava (Psidium guajava) leaves flour in feed had a significant effect on the growth and survival of whiteleg shrimp (</w:t>
      </w:r>
      <w:r w:rsidRPr="0070116C">
        <w:rPr>
          <w:rFonts w:ascii="Arial" w:hAnsi="Arial" w:cs="Arial"/>
          <w:i/>
          <w:iCs/>
        </w:rPr>
        <w:t>Litopenaeus vannamei</w:t>
      </w:r>
      <w:r w:rsidRPr="00EE6119">
        <w:rPr>
          <w:rFonts w:ascii="Arial" w:hAnsi="Arial" w:cs="Arial"/>
        </w:rPr>
        <w:t>) infected with Vibrio parahaemolyticus. The best treatment was P5 which resulted in a specific weight growth of 1.37%/day, specific length growth of 4.37%/day, Feed Conversion Ratio of 1.13, survival rate of 94.64%, phagocytosis activity of 65%, and glucose of 12.3 mg/dL.</w:t>
      </w:r>
    </w:p>
    <w:p w14:paraId="5BA155F8" w14:textId="77777777" w:rsidR="00285614" w:rsidRPr="009A24EF" w:rsidRDefault="00285614" w:rsidP="00441B6F">
      <w:pPr>
        <w:pStyle w:val="Body"/>
        <w:spacing w:after="0"/>
        <w:rPr>
          <w:rFonts w:ascii="Arial" w:hAnsi="Arial" w:cs="Arial"/>
        </w:rPr>
      </w:pPr>
    </w:p>
    <w:p w14:paraId="169D6202" w14:textId="77777777" w:rsidR="00285614" w:rsidRPr="009A24EF" w:rsidRDefault="00285614" w:rsidP="00285614">
      <w:pPr>
        <w:pStyle w:val="Body"/>
        <w:rPr>
          <w:rFonts w:ascii="Arial" w:hAnsi="Arial" w:cs="Arial"/>
        </w:rPr>
      </w:pPr>
      <w:r w:rsidRPr="009A24EF">
        <w:rPr>
          <w:rFonts w:ascii="Arial" w:hAnsi="Arial" w:cs="Arial"/>
        </w:rPr>
        <w:t>DISCLAIMER (ARTIFICIAL INTELLIGENCE)</w:t>
      </w:r>
    </w:p>
    <w:p w14:paraId="60AA1187" w14:textId="2EC5B03C" w:rsidR="00285614" w:rsidRPr="0070116C" w:rsidRDefault="00285614" w:rsidP="00285614">
      <w:pPr>
        <w:pStyle w:val="Body"/>
        <w:spacing w:after="0"/>
        <w:rPr>
          <w:rFonts w:ascii="Arial" w:hAnsi="Arial" w:cs="Arial"/>
        </w:rPr>
      </w:pPr>
      <w:r w:rsidRPr="009A24EF">
        <w:rPr>
          <w:rFonts w:ascii="Arial" w:hAnsi="Arial" w:cs="Arial"/>
        </w:rPr>
        <w:t>Author(s) hereby declare that NO generative AI technologies such as Large Language Models (</w:t>
      </w:r>
      <w:proofErr w:type="spellStart"/>
      <w:r w:rsidRPr="009A24EF">
        <w:rPr>
          <w:rFonts w:ascii="Arial" w:hAnsi="Arial" w:cs="Arial"/>
        </w:rPr>
        <w:t>ChatGPT</w:t>
      </w:r>
      <w:proofErr w:type="spellEnd"/>
      <w:r w:rsidRPr="009A24EF">
        <w:rPr>
          <w:rFonts w:ascii="Arial" w:hAnsi="Arial" w:cs="Arial"/>
        </w:rPr>
        <w:t xml:space="preserve">, COPILOT, </w:t>
      </w:r>
      <w:proofErr w:type="spellStart"/>
      <w:r w:rsidRPr="009A24EF">
        <w:rPr>
          <w:rFonts w:ascii="Arial" w:hAnsi="Arial" w:cs="Arial"/>
        </w:rPr>
        <w:t>etc</w:t>
      </w:r>
      <w:proofErr w:type="spellEnd"/>
      <w:r w:rsidRPr="009A24EF">
        <w:rPr>
          <w:rFonts w:ascii="Arial" w:hAnsi="Arial" w:cs="Arial"/>
        </w:rPr>
        <w:t>) and text-to-image generators have been used during writing or editing of this manuscript.</w:t>
      </w:r>
    </w:p>
    <w:p w14:paraId="304E8DB0" w14:textId="77777777" w:rsidR="00790ADA" w:rsidRPr="00FB3A86" w:rsidRDefault="00790ADA" w:rsidP="00441B6F">
      <w:pPr>
        <w:pStyle w:val="Body"/>
        <w:spacing w:after="0"/>
        <w:rPr>
          <w:rFonts w:ascii="Arial" w:hAnsi="Arial" w:cs="Arial"/>
        </w:rPr>
      </w:pPr>
    </w:p>
    <w:p w14:paraId="00204120" w14:textId="77777777" w:rsidR="00860000" w:rsidRDefault="00860000" w:rsidP="00441B6F">
      <w:pPr>
        <w:pStyle w:val="ReferHead"/>
        <w:spacing w:after="0"/>
        <w:jc w:val="both"/>
        <w:rPr>
          <w:rFonts w:ascii="Arial" w:hAnsi="Arial" w:cs="Arial"/>
        </w:rPr>
      </w:pPr>
    </w:p>
    <w:p w14:paraId="5A08E259" w14:textId="2BA463DC" w:rsidR="00284C4C" w:rsidRDefault="00B01FCD" w:rsidP="0025292D">
      <w:pPr>
        <w:pStyle w:val="ReferHead"/>
        <w:spacing w:after="0"/>
        <w:jc w:val="both"/>
        <w:rPr>
          <w:rFonts w:ascii="Arial" w:hAnsi="Arial" w:cs="Arial"/>
        </w:rPr>
      </w:pPr>
      <w:r w:rsidRPr="00FB3A86">
        <w:rPr>
          <w:rFonts w:ascii="Arial" w:hAnsi="Arial" w:cs="Arial"/>
        </w:rPr>
        <w:t>References</w:t>
      </w:r>
    </w:p>
    <w:p w14:paraId="5159CB44" w14:textId="77777777" w:rsidR="0025292D" w:rsidRPr="0025292D" w:rsidRDefault="0025292D" w:rsidP="0025292D">
      <w:pPr>
        <w:pStyle w:val="ReferHead"/>
        <w:spacing w:after="0"/>
        <w:jc w:val="both"/>
        <w:rPr>
          <w:rFonts w:ascii="Arial" w:hAnsi="Arial" w:cs="Arial"/>
        </w:rPr>
      </w:pPr>
    </w:p>
    <w:p w14:paraId="269E1014" w14:textId="55E466A5"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color w:val="000000" w:themeColor="text1"/>
        </w:rPr>
      </w:pPr>
      <w:r w:rsidRPr="00977766">
        <w:rPr>
          <w:rFonts w:asciiTheme="minorBidi" w:hAnsiTheme="minorBidi" w:cstheme="minorBidi"/>
          <w:noProof/>
        </w:rPr>
        <w:t>Affandi, R.</w:t>
      </w:r>
      <w:r w:rsidR="00285614" w:rsidRPr="00977766">
        <w:rPr>
          <w:rFonts w:asciiTheme="minorBidi" w:hAnsiTheme="minorBidi" w:cstheme="minorBidi"/>
          <w:noProof/>
        </w:rPr>
        <w:t xml:space="preserve"> </w:t>
      </w:r>
      <w:r w:rsidRPr="00977766">
        <w:rPr>
          <w:rFonts w:asciiTheme="minorBidi" w:hAnsiTheme="minorBidi" w:cstheme="minorBidi"/>
          <w:noProof/>
        </w:rPr>
        <w:t>I., Setyono, B.</w:t>
      </w:r>
      <w:r w:rsidR="00285614" w:rsidRPr="00977766">
        <w:rPr>
          <w:rFonts w:asciiTheme="minorBidi" w:hAnsiTheme="minorBidi" w:cstheme="minorBidi"/>
          <w:noProof/>
        </w:rPr>
        <w:t xml:space="preserve"> </w:t>
      </w:r>
      <w:r w:rsidRPr="00977766">
        <w:rPr>
          <w:rFonts w:asciiTheme="minorBidi" w:hAnsiTheme="minorBidi" w:cstheme="minorBidi"/>
          <w:noProof/>
        </w:rPr>
        <w:t>D.</w:t>
      </w:r>
      <w:r w:rsidR="00285614" w:rsidRPr="00977766">
        <w:rPr>
          <w:rFonts w:asciiTheme="minorBidi" w:hAnsiTheme="minorBidi" w:cstheme="minorBidi"/>
          <w:noProof/>
        </w:rPr>
        <w:t xml:space="preserve"> </w:t>
      </w:r>
      <w:r w:rsidRPr="00977766">
        <w:rPr>
          <w:rFonts w:asciiTheme="minorBidi" w:hAnsiTheme="minorBidi" w:cstheme="minorBidi"/>
          <w:noProof/>
        </w:rPr>
        <w:t>H., (2024). The Potential of the Sambiloto Plant (</w:t>
      </w:r>
      <w:r w:rsidRPr="00977766">
        <w:rPr>
          <w:rFonts w:asciiTheme="minorBidi" w:hAnsiTheme="minorBidi" w:cstheme="minorBidi"/>
          <w:i/>
          <w:iCs/>
          <w:noProof/>
        </w:rPr>
        <w:t>Andrographis paniculata</w:t>
      </w:r>
      <w:r w:rsidRPr="00977766">
        <w:rPr>
          <w:rFonts w:asciiTheme="minorBidi" w:hAnsiTheme="minorBidi" w:cstheme="minorBidi"/>
          <w:noProof/>
        </w:rPr>
        <w:t xml:space="preserve">) as an Immunostimulant in Shrimp. </w:t>
      </w:r>
      <w:r w:rsidRPr="00977766">
        <w:rPr>
          <w:rFonts w:asciiTheme="minorBidi" w:hAnsiTheme="minorBidi" w:cstheme="minorBidi"/>
          <w:i/>
          <w:iCs/>
          <w:noProof/>
        </w:rPr>
        <w:t>Journal of Vocational Fisheries Sciences (JVIP)</w:t>
      </w:r>
      <w:r w:rsidRPr="00977766">
        <w:rPr>
          <w:rFonts w:asciiTheme="minorBidi" w:hAnsiTheme="minorBidi" w:cstheme="minorBidi"/>
          <w:noProof/>
        </w:rPr>
        <w:t>,</w:t>
      </w:r>
      <w:r w:rsidRPr="00977766">
        <w:rPr>
          <w:rFonts w:asciiTheme="minorBidi" w:hAnsiTheme="minorBidi" w:cstheme="minorBidi"/>
          <w:i/>
          <w:iCs/>
          <w:noProof/>
        </w:rPr>
        <w:t xml:space="preserve"> </w:t>
      </w:r>
      <w:r w:rsidRPr="00977766">
        <w:rPr>
          <w:rFonts w:asciiTheme="minorBidi" w:hAnsiTheme="minorBidi" w:cstheme="minorBidi"/>
          <w:noProof/>
        </w:rPr>
        <w:t>5, 09-21. http://dx.doi.org/10.35726/jvip.v5i1.7333</w:t>
      </w:r>
    </w:p>
    <w:p w14:paraId="18DB8704" w14:textId="1E5A9532"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color w:val="000000" w:themeColor="text1"/>
        </w:rPr>
      </w:pPr>
      <w:r w:rsidRPr="00977766">
        <w:rPr>
          <w:rFonts w:asciiTheme="minorBidi" w:hAnsiTheme="minorBidi" w:cstheme="minorBidi"/>
          <w:noProof/>
          <w:color w:val="000000" w:themeColor="text1"/>
        </w:rPr>
        <w:t>Akbarurrasyid, M., Prajayati, V.</w:t>
      </w:r>
      <w:r w:rsidR="00285614" w:rsidRPr="00977766">
        <w:rPr>
          <w:rFonts w:asciiTheme="minorBidi" w:hAnsiTheme="minorBidi" w:cstheme="minorBidi"/>
          <w:noProof/>
          <w:color w:val="000000" w:themeColor="text1"/>
        </w:rPr>
        <w:t xml:space="preserve"> </w:t>
      </w:r>
      <w:r w:rsidRPr="00977766">
        <w:rPr>
          <w:rFonts w:asciiTheme="minorBidi" w:hAnsiTheme="minorBidi" w:cstheme="minorBidi"/>
          <w:noProof/>
          <w:color w:val="000000" w:themeColor="text1"/>
        </w:rPr>
        <w:t>T.</w:t>
      </w:r>
      <w:r w:rsidR="00285614" w:rsidRPr="00977766">
        <w:rPr>
          <w:rFonts w:asciiTheme="minorBidi" w:hAnsiTheme="minorBidi" w:cstheme="minorBidi"/>
          <w:noProof/>
          <w:color w:val="000000" w:themeColor="text1"/>
        </w:rPr>
        <w:t xml:space="preserve"> </w:t>
      </w:r>
      <w:r w:rsidRPr="00977766">
        <w:rPr>
          <w:rFonts w:asciiTheme="minorBidi" w:hAnsiTheme="minorBidi" w:cstheme="minorBidi"/>
          <w:noProof/>
          <w:color w:val="000000" w:themeColor="text1"/>
        </w:rPr>
        <w:t>F., Astiyani, W.P., Nurkamalia, I., (2023). Cultivation white shrimp (</w:t>
      </w:r>
      <w:r w:rsidRPr="00977766">
        <w:rPr>
          <w:rFonts w:asciiTheme="minorBidi" w:hAnsiTheme="minorBidi" w:cstheme="minorBidi"/>
          <w:i/>
          <w:iCs/>
          <w:noProof/>
          <w:color w:val="000000" w:themeColor="text1"/>
        </w:rPr>
        <w:t>Litopenaeus vannamei</w:t>
      </w:r>
      <w:r w:rsidRPr="00977766">
        <w:rPr>
          <w:rFonts w:asciiTheme="minorBidi" w:hAnsiTheme="minorBidi" w:cstheme="minorBidi"/>
          <w:noProof/>
          <w:color w:val="000000" w:themeColor="text1"/>
        </w:rPr>
        <w:t>) with intensive system to growth rate, survival rate, and feed conversion ratio. </w:t>
      </w:r>
      <w:r w:rsidRPr="00977766">
        <w:rPr>
          <w:rFonts w:asciiTheme="minorBidi" w:hAnsiTheme="minorBidi" w:cstheme="minorBidi"/>
          <w:i/>
          <w:iCs/>
          <w:noProof/>
          <w:color w:val="000000" w:themeColor="text1"/>
        </w:rPr>
        <w:t>Journal of Fisheries and Marine</w:t>
      </w:r>
      <w:r w:rsidRPr="00977766">
        <w:rPr>
          <w:rFonts w:asciiTheme="minorBidi" w:hAnsiTheme="minorBidi" w:cstheme="minorBidi"/>
          <w:noProof/>
          <w:color w:val="000000" w:themeColor="text1"/>
        </w:rPr>
        <w:t>, 28, 1-6.</w:t>
      </w:r>
    </w:p>
    <w:p w14:paraId="38D75D53" w14:textId="6A8033AA"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lang w:val="en-IN"/>
        </w:rPr>
      </w:pPr>
      <w:proofErr w:type="spellStart"/>
      <w:r w:rsidRPr="00977766">
        <w:rPr>
          <w:rFonts w:asciiTheme="minorBidi" w:hAnsiTheme="minorBidi" w:cstheme="minorBidi"/>
        </w:rPr>
        <w:t>Apsani</w:t>
      </w:r>
      <w:proofErr w:type="spellEnd"/>
      <w:r w:rsidRPr="00977766">
        <w:rPr>
          <w:rFonts w:asciiTheme="minorBidi" w:hAnsiTheme="minorBidi" w:cstheme="minorBidi"/>
        </w:rPr>
        <w:t xml:space="preserve">, W.P., </w:t>
      </w:r>
      <w:proofErr w:type="spellStart"/>
      <w:r w:rsidRPr="00977766">
        <w:rPr>
          <w:rFonts w:asciiTheme="minorBidi" w:hAnsiTheme="minorBidi" w:cstheme="minorBidi"/>
        </w:rPr>
        <w:t>Azhar</w:t>
      </w:r>
      <w:proofErr w:type="spellEnd"/>
      <w:r w:rsidRPr="00977766">
        <w:rPr>
          <w:rFonts w:asciiTheme="minorBidi" w:hAnsiTheme="minorBidi" w:cstheme="minorBidi"/>
        </w:rPr>
        <w:t>, F., Lestari, D.P., (2022). Effect of Feeding Added White Turmeric Extract (</w:t>
      </w:r>
      <w:r w:rsidRPr="00977766">
        <w:rPr>
          <w:rFonts w:asciiTheme="minorBidi" w:hAnsiTheme="minorBidi" w:cstheme="minorBidi"/>
          <w:i/>
          <w:iCs/>
        </w:rPr>
        <w:t>Curcuma Zedoaria</w:t>
      </w:r>
      <w:r w:rsidRPr="00977766">
        <w:rPr>
          <w:rFonts w:asciiTheme="minorBidi" w:hAnsiTheme="minorBidi" w:cstheme="minorBidi"/>
        </w:rPr>
        <w:t>) at a Dose of 1% with Different Frequencies on the Immune System of Vannamei Shrimp (</w:t>
      </w:r>
      <w:r w:rsidRPr="00977766">
        <w:rPr>
          <w:rFonts w:asciiTheme="minorBidi" w:hAnsiTheme="minorBidi" w:cstheme="minorBidi"/>
          <w:i/>
          <w:iCs/>
        </w:rPr>
        <w:t>Litopenaeus vannamei</w:t>
      </w:r>
      <w:r w:rsidRPr="00977766">
        <w:rPr>
          <w:rFonts w:asciiTheme="minorBidi" w:hAnsiTheme="minorBidi" w:cstheme="minorBidi"/>
        </w:rPr>
        <w:t xml:space="preserve">) Infected with </w:t>
      </w:r>
      <w:r w:rsidRPr="00977766">
        <w:rPr>
          <w:rFonts w:asciiTheme="minorBidi" w:hAnsiTheme="minorBidi" w:cstheme="minorBidi"/>
          <w:i/>
          <w:iCs/>
        </w:rPr>
        <w:t>Vibrio parahaemolyticus Bacteria</w:t>
      </w:r>
      <w:r w:rsidRPr="00977766">
        <w:rPr>
          <w:rFonts w:asciiTheme="minorBidi" w:hAnsiTheme="minorBidi" w:cstheme="minorBidi"/>
        </w:rPr>
        <w:t>.</w:t>
      </w:r>
      <w:r w:rsidR="00ED4D8E" w:rsidRPr="00977766">
        <w:rPr>
          <w:rFonts w:asciiTheme="minorBidi" w:hAnsiTheme="minorBidi" w:cstheme="minorBidi"/>
        </w:rPr>
        <w:t xml:space="preserve"> https://eprints.unram.ac.id/32966/2/JURNAL%20Wahyu%20Purnawira%20Apsani.pdf</w:t>
      </w:r>
    </w:p>
    <w:p w14:paraId="39240DD2" w14:textId="3537BB74"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lang w:val="en-IN"/>
        </w:rPr>
        <w:t xml:space="preserve">Arsad, S., Afandy, A., Purwadhi, A.P., Saputra, D.K., Retno, N., (2017). </w:t>
      </w:r>
      <w:r w:rsidRPr="00977766">
        <w:rPr>
          <w:rFonts w:asciiTheme="minorBidi" w:hAnsiTheme="minorBidi" w:cstheme="minorBidi"/>
          <w:noProof/>
        </w:rPr>
        <w:t xml:space="preserve">Study of Vannamei Shrimp Farming Activities with Different Maintenance. </w:t>
      </w:r>
      <w:r w:rsidRPr="00977766">
        <w:rPr>
          <w:rFonts w:asciiTheme="minorBidi" w:hAnsiTheme="minorBidi" w:cstheme="minorBidi"/>
          <w:i/>
          <w:iCs/>
          <w:noProof/>
        </w:rPr>
        <w:t>Scientific Journal of Fisheries and Marine Affairs</w:t>
      </w:r>
      <w:r w:rsidRPr="00977766">
        <w:rPr>
          <w:rFonts w:asciiTheme="minorBidi" w:hAnsiTheme="minorBidi" w:cstheme="minorBidi"/>
          <w:noProof/>
        </w:rPr>
        <w:t>,</w:t>
      </w:r>
      <w:r w:rsidRPr="00977766">
        <w:rPr>
          <w:rFonts w:asciiTheme="minorBidi" w:hAnsiTheme="minorBidi" w:cstheme="minorBidi"/>
          <w:i/>
          <w:iCs/>
          <w:noProof/>
        </w:rPr>
        <w:t xml:space="preserve"> </w:t>
      </w:r>
      <w:r w:rsidRPr="00977766">
        <w:rPr>
          <w:rFonts w:asciiTheme="minorBidi" w:hAnsiTheme="minorBidi" w:cstheme="minorBidi"/>
          <w:noProof/>
        </w:rPr>
        <w:t>6, 22-28.</w:t>
      </w:r>
      <w:r w:rsidR="00ED4D8E" w:rsidRPr="00977766">
        <w:rPr>
          <w:rFonts w:asciiTheme="minorBidi" w:hAnsiTheme="minorBidi" w:cstheme="minorBidi"/>
          <w:noProof/>
        </w:rPr>
        <w:t xml:space="preserve"> </w:t>
      </w:r>
      <w:hyperlink r:id="rId20" w:history="1">
        <w:r w:rsidR="00C94EBB" w:rsidRPr="00977766">
          <w:rPr>
            <w:rStyle w:val="Hyperlink"/>
            <w:rFonts w:asciiTheme="minorBidi" w:hAnsiTheme="minorBidi" w:cstheme="minorBidi"/>
            <w:noProof/>
          </w:rPr>
          <w:t>https://www.proquest.com/docview/3126696985?pq-origsite=gscholar&amp;fromopenview=true&amp;sourcetype=Scholarly%20Journals</w:t>
        </w:r>
      </w:hyperlink>
      <w:r w:rsidR="00C94EBB" w:rsidRPr="00977766">
        <w:rPr>
          <w:rFonts w:asciiTheme="minorBidi" w:hAnsiTheme="minorBidi" w:cstheme="minorBidi"/>
          <w:noProof/>
        </w:rPr>
        <w:t xml:space="preserve"> </w:t>
      </w:r>
    </w:p>
    <w:p w14:paraId="373314DF" w14:textId="5ECFD5D3"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lang w:val="it-IT"/>
        </w:rPr>
        <w:t xml:space="preserve">Azalia, D., Rachmawati I., Zahira S., Andriyani F., Sanini T.M., Supriyatin, Aulya N. R., </w:t>
      </w:r>
      <w:r w:rsidR="00AE646B" w:rsidRPr="00977766">
        <w:rPr>
          <w:rFonts w:asciiTheme="minorBidi" w:hAnsiTheme="minorBidi" w:cstheme="minorBidi"/>
          <w:noProof/>
          <w:lang w:val="it-IT"/>
        </w:rPr>
        <w:t>(</w:t>
      </w:r>
      <w:r w:rsidRPr="00977766">
        <w:rPr>
          <w:rFonts w:asciiTheme="minorBidi" w:hAnsiTheme="minorBidi" w:cstheme="minorBidi"/>
          <w:noProof/>
          <w:lang w:val="it-IT"/>
        </w:rPr>
        <w:t>2023</w:t>
      </w:r>
      <w:r w:rsidR="00AE646B" w:rsidRPr="00977766">
        <w:rPr>
          <w:rFonts w:asciiTheme="minorBidi" w:hAnsiTheme="minorBidi" w:cstheme="minorBidi"/>
          <w:noProof/>
          <w:lang w:val="it-IT"/>
        </w:rPr>
        <w:t>).</w:t>
      </w:r>
      <w:r w:rsidRPr="00977766">
        <w:rPr>
          <w:rFonts w:asciiTheme="minorBidi" w:hAnsiTheme="minorBidi" w:cstheme="minorBidi"/>
          <w:noProof/>
          <w:lang w:val="it-IT"/>
        </w:rPr>
        <w:t xml:space="preserve"> </w:t>
      </w:r>
      <w:r w:rsidRPr="00977766">
        <w:rPr>
          <w:rFonts w:asciiTheme="minorBidi" w:hAnsiTheme="minorBidi" w:cstheme="minorBidi"/>
          <w:noProof/>
        </w:rPr>
        <w:t xml:space="preserve">[Qualitative test of active compounds flavonoids and terpenoids on several plants of Fabaceae and Apocynaceae in TNGGP Bodogol area]. BIOMA: </w:t>
      </w:r>
      <w:r w:rsidRPr="00977766">
        <w:rPr>
          <w:rFonts w:asciiTheme="minorBidi" w:hAnsiTheme="minorBidi" w:cstheme="minorBidi"/>
          <w:i/>
          <w:iCs/>
          <w:noProof/>
        </w:rPr>
        <w:t>Jurnal Biologi Makassar</w:t>
      </w:r>
      <w:r w:rsidRPr="00977766">
        <w:rPr>
          <w:rFonts w:asciiTheme="minorBidi" w:hAnsiTheme="minorBidi" w:cstheme="minorBidi"/>
          <w:noProof/>
        </w:rPr>
        <w:t xml:space="preserve">., 8 :32-43. [in </w:t>
      </w:r>
      <w:r w:rsidRPr="00977766">
        <w:rPr>
          <w:rFonts w:asciiTheme="minorBidi" w:hAnsiTheme="minorBidi" w:cstheme="minorBidi"/>
          <w:noProof/>
        </w:rPr>
        <w:lastRenderedPageBreak/>
        <w:t>Indonesian]</w:t>
      </w:r>
    </w:p>
    <w:p w14:paraId="3DB471D9" w14:textId="3C77FBD5"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Azhar, F., Scabra, A.</w:t>
      </w:r>
      <w:r w:rsidR="00285614" w:rsidRPr="00977766">
        <w:rPr>
          <w:rFonts w:asciiTheme="minorBidi" w:hAnsiTheme="minorBidi" w:cstheme="minorBidi"/>
          <w:noProof/>
        </w:rPr>
        <w:t xml:space="preserve"> </w:t>
      </w:r>
      <w:r w:rsidRPr="00977766">
        <w:rPr>
          <w:rFonts w:asciiTheme="minorBidi" w:hAnsiTheme="minorBidi" w:cstheme="minorBidi"/>
          <w:noProof/>
        </w:rPr>
        <w:t>R., Muahiddah, N., Affandi, R.</w:t>
      </w:r>
      <w:r w:rsidR="00285614" w:rsidRPr="00977766">
        <w:rPr>
          <w:rFonts w:asciiTheme="minorBidi" w:hAnsiTheme="minorBidi" w:cstheme="minorBidi"/>
          <w:noProof/>
        </w:rPr>
        <w:t xml:space="preserve"> </w:t>
      </w:r>
      <w:r w:rsidRPr="00977766">
        <w:rPr>
          <w:rFonts w:asciiTheme="minorBidi" w:hAnsiTheme="minorBidi" w:cstheme="minorBidi"/>
          <w:noProof/>
        </w:rPr>
        <w:t>I., (2025). Efficiency of Using Kappa-Carrageenan as an Immunostimulant Agent in the Non-Specific Immune System of Vannamei (</w:t>
      </w:r>
      <w:r w:rsidRPr="00977766">
        <w:rPr>
          <w:rFonts w:asciiTheme="minorBidi" w:hAnsiTheme="minorBidi" w:cstheme="minorBidi"/>
          <w:i/>
          <w:iCs/>
          <w:noProof/>
        </w:rPr>
        <w:t>Litopenaeus vannamei</w:t>
      </w:r>
      <w:r w:rsidRPr="00977766">
        <w:rPr>
          <w:rFonts w:asciiTheme="minorBidi" w:hAnsiTheme="minorBidi" w:cstheme="minorBidi"/>
          <w:noProof/>
        </w:rPr>
        <w:t>) Infected with AHPND (</w:t>
      </w:r>
      <w:r w:rsidRPr="00977766">
        <w:rPr>
          <w:rFonts w:asciiTheme="minorBidi" w:hAnsiTheme="minorBidi" w:cstheme="minorBidi"/>
          <w:i/>
          <w:iCs/>
          <w:noProof/>
        </w:rPr>
        <w:t>Acute Hepatopancreatic Necrosis Disease</w:t>
      </w:r>
      <w:r w:rsidRPr="00977766">
        <w:rPr>
          <w:rFonts w:asciiTheme="minorBidi" w:hAnsiTheme="minorBidi" w:cstheme="minorBidi"/>
          <w:noProof/>
        </w:rPr>
        <w:t>). </w:t>
      </w:r>
      <w:r w:rsidRPr="00977766">
        <w:rPr>
          <w:rFonts w:asciiTheme="minorBidi" w:hAnsiTheme="minorBidi" w:cstheme="minorBidi"/>
          <w:i/>
          <w:iCs/>
          <w:noProof/>
        </w:rPr>
        <w:t>Journal of Fish Health</w:t>
      </w:r>
      <w:r w:rsidRPr="00977766">
        <w:rPr>
          <w:rFonts w:asciiTheme="minorBidi" w:hAnsiTheme="minorBidi" w:cstheme="minorBidi"/>
          <w:noProof/>
        </w:rPr>
        <w:t xml:space="preserve">, </w:t>
      </w:r>
      <w:r w:rsidRPr="00977766">
        <w:rPr>
          <w:rFonts w:asciiTheme="minorBidi" w:hAnsiTheme="minorBidi" w:cstheme="minorBidi"/>
          <w:i/>
          <w:iCs/>
          <w:noProof/>
        </w:rPr>
        <w:t>5</w:t>
      </w:r>
      <w:r w:rsidRPr="00977766">
        <w:rPr>
          <w:rFonts w:asciiTheme="minorBidi" w:hAnsiTheme="minorBidi" w:cstheme="minorBidi"/>
          <w:noProof/>
        </w:rPr>
        <w:t>, 76-85.</w:t>
      </w:r>
    </w:p>
    <w:p w14:paraId="7FEF76C2" w14:textId="2DBCF7B4" w:rsidR="00673136" w:rsidRPr="00673136" w:rsidRDefault="00A168F8" w:rsidP="00087907">
      <w:pPr>
        <w:pStyle w:val="ListParagraph"/>
        <w:widowControl w:val="0"/>
        <w:numPr>
          <w:ilvl w:val="0"/>
          <w:numId w:val="31"/>
        </w:numPr>
        <w:autoSpaceDE w:val="0"/>
        <w:autoSpaceDN w:val="0"/>
        <w:adjustRightInd w:val="0"/>
        <w:jc w:val="both"/>
        <w:rPr>
          <w:rFonts w:asciiTheme="minorBidi" w:hAnsiTheme="minorBidi" w:cstheme="minorBidi"/>
          <w:lang w:val="id-ID"/>
        </w:rPr>
      </w:pPr>
      <w:proofErr w:type="spellStart"/>
      <w:r w:rsidRPr="00673136">
        <w:rPr>
          <w:rFonts w:asciiTheme="minorBidi" w:hAnsiTheme="minorBidi" w:cstheme="minorBidi"/>
        </w:rPr>
        <w:t>Basir</w:t>
      </w:r>
      <w:proofErr w:type="spellEnd"/>
      <w:r w:rsidRPr="00673136">
        <w:rPr>
          <w:rFonts w:asciiTheme="minorBidi" w:hAnsiTheme="minorBidi" w:cstheme="minorBidi"/>
        </w:rPr>
        <w:t xml:space="preserve">, B., Nursyahran, N., Jufiyati, J., Apriliani, I., (2022). </w:t>
      </w:r>
      <w:r w:rsidR="00673136" w:rsidRPr="00673136">
        <w:rPr>
          <w:rFonts w:asciiTheme="minorBidi" w:hAnsiTheme="minorBidi" w:cstheme="minorBidi"/>
        </w:rPr>
        <w:t xml:space="preserve">Optimization of </w:t>
      </w:r>
      <w:proofErr w:type="spellStart"/>
      <w:r w:rsidR="00673136" w:rsidRPr="00673136">
        <w:rPr>
          <w:rFonts w:asciiTheme="minorBidi" w:hAnsiTheme="minorBidi" w:cstheme="minorBidi"/>
        </w:rPr>
        <w:t>Whiteleg</w:t>
      </w:r>
      <w:proofErr w:type="spellEnd"/>
      <w:r w:rsidR="00673136" w:rsidRPr="00673136">
        <w:rPr>
          <w:rFonts w:asciiTheme="minorBidi" w:hAnsiTheme="minorBidi" w:cstheme="minorBidi"/>
        </w:rPr>
        <w:t xml:space="preserve"> Shrimp (</w:t>
      </w:r>
      <w:proofErr w:type="spellStart"/>
      <w:r w:rsidR="00673136" w:rsidRPr="00673136">
        <w:rPr>
          <w:rFonts w:asciiTheme="minorBidi" w:hAnsiTheme="minorBidi" w:cstheme="minorBidi"/>
        </w:rPr>
        <w:t>Litopenaeus</w:t>
      </w:r>
      <w:proofErr w:type="spellEnd"/>
      <w:r w:rsidR="00673136" w:rsidRPr="00673136">
        <w:rPr>
          <w:rFonts w:asciiTheme="minorBidi" w:hAnsiTheme="minorBidi" w:cstheme="minorBidi"/>
        </w:rPr>
        <w:t xml:space="preserve"> </w:t>
      </w:r>
      <w:proofErr w:type="spellStart"/>
      <w:r w:rsidR="00673136" w:rsidRPr="00673136">
        <w:rPr>
          <w:rFonts w:asciiTheme="minorBidi" w:hAnsiTheme="minorBidi" w:cstheme="minorBidi"/>
        </w:rPr>
        <w:t>vannamei</w:t>
      </w:r>
      <w:proofErr w:type="spellEnd"/>
      <w:r w:rsidR="00673136" w:rsidRPr="00673136">
        <w:rPr>
          <w:rFonts w:asciiTheme="minorBidi" w:hAnsiTheme="minorBidi" w:cstheme="minorBidi"/>
        </w:rPr>
        <w:t>) Performance with Moringa Leaf and Probiotic Supplementation in Feed</w:t>
      </w:r>
      <w:r w:rsidRPr="00673136">
        <w:rPr>
          <w:rFonts w:asciiTheme="minorBidi" w:hAnsiTheme="minorBidi" w:cstheme="minorBidi"/>
        </w:rPr>
        <w:t>. </w:t>
      </w:r>
      <w:r w:rsidRPr="00673136">
        <w:rPr>
          <w:rFonts w:asciiTheme="minorBidi" w:hAnsiTheme="minorBidi" w:cstheme="minorBidi"/>
          <w:i/>
          <w:iCs/>
        </w:rPr>
        <w:t>Journal of Fisheries and Aquaculture Sciences</w:t>
      </w:r>
      <w:r w:rsidRPr="00673136">
        <w:rPr>
          <w:rFonts w:asciiTheme="minorBidi" w:hAnsiTheme="minorBidi" w:cstheme="minorBidi"/>
        </w:rPr>
        <w:t>, 17, 78-87.</w:t>
      </w:r>
      <w:r w:rsidR="00B54669" w:rsidRPr="00673136">
        <w:rPr>
          <w:rFonts w:asciiTheme="minorBidi" w:hAnsiTheme="minorBidi" w:cstheme="minorBidi"/>
        </w:rPr>
        <w:t xml:space="preserve"> </w:t>
      </w:r>
      <w:hyperlink r:id="rId21" w:history="1">
        <w:r w:rsidR="00673136" w:rsidRPr="007A0CBE">
          <w:rPr>
            <w:rStyle w:val="Hyperlink"/>
            <w:rFonts w:asciiTheme="minorBidi" w:hAnsiTheme="minorBidi" w:cstheme="minorBidi"/>
          </w:rPr>
          <w:t>https://www.researchgate.net/publication/362581752_Optimasi_Kinerja_Udang_Vaname_Litopenaeus_vannamei_dengan_Suplementasi_Daun_Kelor_dan_Probiotik_pada_Pakan</w:t>
        </w:r>
      </w:hyperlink>
      <w:r w:rsidR="00673136">
        <w:rPr>
          <w:rFonts w:asciiTheme="minorBidi" w:hAnsiTheme="minorBidi" w:cstheme="minorBidi"/>
          <w:lang w:val="en-GB"/>
        </w:rPr>
        <w:t xml:space="preserve"> </w:t>
      </w:r>
      <w:bookmarkStart w:id="0" w:name="_GoBack"/>
      <w:bookmarkEnd w:id="0"/>
    </w:p>
    <w:p w14:paraId="2FD1F59B" w14:textId="2A9A63B2" w:rsidR="00A168F8" w:rsidRPr="00673136" w:rsidRDefault="00A168F8" w:rsidP="00087907">
      <w:pPr>
        <w:pStyle w:val="ListParagraph"/>
        <w:widowControl w:val="0"/>
        <w:numPr>
          <w:ilvl w:val="0"/>
          <w:numId w:val="31"/>
        </w:numPr>
        <w:autoSpaceDE w:val="0"/>
        <w:autoSpaceDN w:val="0"/>
        <w:adjustRightInd w:val="0"/>
        <w:jc w:val="both"/>
        <w:rPr>
          <w:rFonts w:asciiTheme="minorBidi" w:hAnsiTheme="minorBidi" w:cstheme="minorBidi"/>
          <w:lang w:val="id-ID"/>
        </w:rPr>
      </w:pPr>
      <w:proofErr w:type="spellStart"/>
      <w:r w:rsidRPr="00673136">
        <w:rPr>
          <w:rFonts w:asciiTheme="minorBidi" w:hAnsiTheme="minorBidi" w:cstheme="minorBidi"/>
        </w:rPr>
        <w:t>Dewi</w:t>
      </w:r>
      <w:proofErr w:type="spellEnd"/>
      <w:r w:rsidRPr="00673136">
        <w:rPr>
          <w:rFonts w:asciiTheme="minorBidi" w:hAnsiTheme="minorBidi" w:cstheme="minorBidi"/>
        </w:rPr>
        <w:t>, N.R., Huang, H.-T., Wu, Y.-S., Liao, Z.H., (2021). Guava (</w:t>
      </w:r>
      <w:r w:rsidRPr="00673136">
        <w:rPr>
          <w:rFonts w:asciiTheme="minorBidi" w:hAnsiTheme="minorBidi" w:cstheme="minorBidi"/>
          <w:i/>
          <w:iCs/>
        </w:rPr>
        <w:t>Psidium guajava</w:t>
      </w:r>
      <w:r w:rsidRPr="00673136">
        <w:rPr>
          <w:rFonts w:asciiTheme="minorBidi" w:hAnsiTheme="minorBidi" w:cstheme="minorBidi"/>
        </w:rPr>
        <w:t xml:space="preserve">) leaf extract enhances immunity, growth, and resistance against </w:t>
      </w:r>
      <w:r w:rsidRPr="00673136">
        <w:rPr>
          <w:rFonts w:asciiTheme="minorBidi" w:hAnsiTheme="minorBidi" w:cstheme="minorBidi"/>
          <w:i/>
          <w:iCs/>
        </w:rPr>
        <w:t>Vibrio parahaemolyticus</w:t>
      </w:r>
      <w:r w:rsidRPr="00673136">
        <w:rPr>
          <w:rFonts w:asciiTheme="minorBidi" w:hAnsiTheme="minorBidi" w:cstheme="minorBidi"/>
        </w:rPr>
        <w:t xml:space="preserve"> in white shrimp </w:t>
      </w:r>
      <w:r w:rsidRPr="00673136">
        <w:rPr>
          <w:rFonts w:asciiTheme="minorBidi" w:hAnsiTheme="minorBidi" w:cstheme="minorBidi"/>
          <w:i/>
          <w:iCs/>
        </w:rPr>
        <w:t>Penaeus vannamei</w:t>
      </w:r>
      <w:r w:rsidRPr="00673136">
        <w:rPr>
          <w:rFonts w:asciiTheme="minorBidi" w:hAnsiTheme="minorBidi" w:cstheme="minorBidi"/>
        </w:rPr>
        <w:t xml:space="preserve">. </w:t>
      </w:r>
      <w:r w:rsidRPr="00673136">
        <w:rPr>
          <w:rFonts w:asciiTheme="minorBidi" w:hAnsiTheme="minorBidi" w:cstheme="minorBidi"/>
          <w:i/>
          <w:iCs/>
        </w:rPr>
        <w:t>Fish &amp; Shellfish Immunology</w:t>
      </w:r>
      <w:r w:rsidRPr="00673136">
        <w:rPr>
          <w:rFonts w:asciiTheme="minorBidi" w:hAnsiTheme="minorBidi" w:cstheme="minorBidi"/>
        </w:rPr>
        <w:t xml:space="preserve">, 5, 118-132. https://doi.org/10.1016/j.fsi.2021.08.017 </w:t>
      </w:r>
    </w:p>
    <w:p w14:paraId="24C8099C" w14:textId="0555289C" w:rsidR="00A168F8" w:rsidRPr="0067313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bookmarkStart w:id="1" w:name="_Hlk202697415"/>
      <w:r w:rsidRPr="00673136">
        <w:rPr>
          <w:rFonts w:asciiTheme="minorBidi" w:hAnsiTheme="minorBidi" w:cstheme="minorBidi"/>
          <w:noProof/>
        </w:rPr>
        <w:t xml:space="preserve">Directorate, G.A., (2024). Performance report of the Directorate General of Aquaculture Fisheries in 2024. Ministry of Maritime Affairs and Fisheries of the Republic of Indonesia. </w:t>
      </w:r>
      <w:hyperlink r:id="rId22" w:history="1">
        <w:r w:rsidR="00673136" w:rsidRPr="00673136">
          <w:rPr>
            <w:rStyle w:val="Hyperlink"/>
            <w:rFonts w:asciiTheme="minorBidi" w:hAnsiTheme="minorBidi" w:cstheme="minorBidi"/>
            <w:noProof/>
          </w:rPr>
          <w:t>https://kkp.go.id/download-pdf-akuntabilitas-kinerja/akuntabilitas-kinerja-pelaporan-kinerja-laporan-kinerja-direktorat-jenderal-perikanan-budi-daya-tahun-2024.pdf</w:t>
        </w:r>
      </w:hyperlink>
      <w:r w:rsidR="00673136" w:rsidRPr="00673136">
        <w:rPr>
          <w:rFonts w:asciiTheme="minorBidi" w:hAnsiTheme="minorBidi" w:cstheme="minorBidi"/>
          <w:noProof/>
          <w:lang w:val="en-GB"/>
        </w:rPr>
        <w:t xml:space="preserve"> </w:t>
      </w:r>
    </w:p>
    <w:bookmarkEnd w:id="1"/>
    <w:p w14:paraId="29257865" w14:textId="5939FDCB"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lang w:val="it-IT"/>
        </w:rPr>
        <w:t xml:space="preserve">Lestari, I., Suminto, Yuniarti, T., (2017). </w:t>
      </w:r>
      <w:r w:rsidRPr="00977766">
        <w:rPr>
          <w:rFonts w:asciiTheme="minorBidi" w:hAnsiTheme="minorBidi" w:cstheme="minorBidi"/>
          <w:noProof/>
        </w:rPr>
        <w:t>The use of Copepoda, Oithona sp. As a Substitution for Artemia sp., Towards the Growth and Survival of Vannamei Shrimp Larvae (</w:t>
      </w:r>
      <w:r w:rsidRPr="00977766">
        <w:rPr>
          <w:rFonts w:asciiTheme="minorBidi" w:hAnsiTheme="minorBidi" w:cstheme="minorBidi"/>
          <w:i/>
          <w:iCs/>
          <w:noProof/>
        </w:rPr>
        <w:t>Litopenaeus vannamei</w:t>
      </w:r>
      <w:r w:rsidRPr="00977766">
        <w:rPr>
          <w:rFonts w:asciiTheme="minorBidi" w:hAnsiTheme="minorBidi" w:cstheme="minorBidi"/>
          <w:noProof/>
        </w:rPr>
        <w:t xml:space="preserve">). </w:t>
      </w:r>
      <w:r w:rsidRPr="00977766">
        <w:rPr>
          <w:rFonts w:asciiTheme="minorBidi" w:hAnsiTheme="minorBidi" w:cstheme="minorBidi"/>
          <w:i/>
          <w:iCs/>
          <w:noProof/>
        </w:rPr>
        <w:t>Journal of Aquaculture Management and Technology</w:t>
      </w:r>
      <w:r w:rsidRPr="00977766">
        <w:rPr>
          <w:rFonts w:asciiTheme="minorBidi" w:hAnsiTheme="minorBidi" w:cstheme="minorBidi"/>
          <w:noProof/>
        </w:rPr>
        <w:t>,</w:t>
      </w:r>
      <w:r w:rsidRPr="00977766">
        <w:rPr>
          <w:rFonts w:asciiTheme="minorBidi" w:hAnsiTheme="minorBidi" w:cstheme="minorBidi"/>
          <w:i/>
          <w:iCs/>
          <w:noProof/>
        </w:rPr>
        <w:t xml:space="preserve"> </w:t>
      </w:r>
      <w:r w:rsidRPr="00977766">
        <w:rPr>
          <w:rFonts w:asciiTheme="minorBidi" w:hAnsiTheme="minorBidi" w:cstheme="minorBidi"/>
          <w:noProof/>
        </w:rPr>
        <w:t>4, 95–100.</w:t>
      </w:r>
      <w:r w:rsidR="00B54669" w:rsidRPr="00977766">
        <w:rPr>
          <w:rFonts w:asciiTheme="minorBidi" w:hAnsiTheme="minorBidi" w:cstheme="minorBidi"/>
          <w:noProof/>
        </w:rPr>
        <w:t xml:space="preserve"> https://ejournal3.undip.ac.id/index.php/jamt/article/view/20373</w:t>
      </w:r>
    </w:p>
    <w:p w14:paraId="20849C16" w14:textId="3F3625DA" w:rsidR="00611EE6" w:rsidRPr="00977766" w:rsidRDefault="00611EE6"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Mariyani, N., &amp; Hendriana, A. (2020). Aplikasi tepung daun kayu manis sebagai suplemen pakan terhadap kualitas daging udang vaname (</w:t>
      </w:r>
      <w:r w:rsidRPr="00977766">
        <w:rPr>
          <w:rFonts w:asciiTheme="minorBidi" w:hAnsiTheme="minorBidi" w:cstheme="minorBidi"/>
          <w:i/>
          <w:iCs/>
          <w:noProof/>
        </w:rPr>
        <w:t>Litopenaeus vannamei</w:t>
      </w:r>
      <w:r w:rsidRPr="00977766">
        <w:rPr>
          <w:rFonts w:asciiTheme="minorBidi" w:hAnsiTheme="minorBidi" w:cstheme="minorBidi"/>
          <w:noProof/>
        </w:rPr>
        <w:t xml:space="preserve">). </w:t>
      </w:r>
      <w:r w:rsidRPr="00977766">
        <w:rPr>
          <w:rFonts w:asciiTheme="minorBidi" w:hAnsiTheme="minorBidi" w:cstheme="minorBidi"/>
          <w:i/>
          <w:iCs/>
          <w:noProof/>
        </w:rPr>
        <w:t>Jurnal Sains Terapan: Wahana Informasi dan Alih Teknologi Pertanian, 10</w:t>
      </w:r>
      <w:r w:rsidRPr="00977766">
        <w:rPr>
          <w:rFonts w:asciiTheme="minorBidi" w:hAnsiTheme="minorBidi" w:cstheme="minorBidi"/>
          <w:noProof/>
        </w:rPr>
        <w:t>(2), 30-40.</w:t>
      </w:r>
    </w:p>
    <w:p w14:paraId="1905161E" w14:textId="6FC2649D"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 xml:space="preserve">Maulida, S., Hakim A.R., Mohtar M.S., </w:t>
      </w:r>
      <w:r w:rsidR="00AE646B" w:rsidRPr="00977766">
        <w:rPr>
          <w:rFonts w:asciiTheme="minorBidi" w:hAnsiTheme="minorBidi" w:cstheme="minorBidi"/>
          <w:noProof/>
        </w:rPr>
        <w:t>(</w:t>
      </w:r>
      <w:r w:rsidRPr="00977766">
        <w:rPr>
          <w:rFonts w:asciiTheme="minorBidi" w:hAnsiTheme="minorBidi" w:cstheme="minorBidi"/>
          <w:noProof/>
        </w:rPr>
        <w:t>2020</w:t>
      </w:r>
      <w:r w:rsidR="00AE646B" w:rsidRPr="00977766">
        <w:rPr>
          <w:rFonts w:asciiTheme="minorBidi" w:hAnsiTheme="minorBidi" w:cstheme="minorBidi"/>
          <w:noProof/>
        </w:rPr>
        <w:t>).</w:t>
      </w:r>
      <w:r w:rsidRPr="00977766">
        <w:rPr>
          <w:rFonts w:asciiTheme="minorBidi" w:hAnsiTheme="minorBidi" w:cstheme="minorBidi"/>
          <w:noProof/>
        </w:rPr>
        <w:t xml:space="preserve"> [Analysis of tanin content of ethanol extract of candlenelux (</w:t>
      </w:r>
      <w:r w:rsidRPr="00977766">
        <w:rPr>
          <w:rFonts w:asciiTheme="minorBidi" w:hAnsiTheme="minorBidi" w:cstheme="minorBidi"/>
          <w:i/>
          <w:iCs/>
          <w:noProof/>
        </w:rPr>
        <w:t>Aleurites moluccana</w:t>
      </w:r>
      <w:r w:rsidRPr="00977766">
        <w:rPr>
          <w:rFonts w:asciiTheme="minorBidi" w:hAnsiTheme="minorBidi" w:cstheme="minorBidi"/>
          <w:noProof/>
        </w:rPr>
        <w:t xml:space="preserve"> (L.) Willd) stem bark using titrimetric method]. </w:t>
      </w:r>
      <w:r w:rsidRPr="00977766">
        <w:rPr>
          <w:rFonts w:asciiTheme="minorBidi" w:hAnsiTheme="minorBidi" w:cstheme="minorBidi"/>
          <w:i/>
          <w:iCs/>
          <w:noProof/>
        </w:rPr>
        <w:t>Journal of Pharmaceutical Care and Science</w:t>
      </w:r>
      <w:r w:rsidRPr="00977766">
        <w:rPr>
          <w:rFonts w:asciiTheme="minorBidi" w:hAnsiTheme="minorBidi" w:cstheme="minorBidi"/>
          <w:noProof/>
        </w:rPr>
        <w:t>, 1, 85-93. [in Indonesian]</w:t>
      </w:r>
      <w:r w:rsidR="00660C8C" w:rsidRPr="00977766">
        <w:rPr>
          <w:rFonts w:asciiTheme="minorBidi" w:hAnsiTheme="minorBidi" w:cstheme="minorBidi"/>
          <w:noProof/>
        </w:rPr>
        <w:t xml:space="preserve"> https://download.garuda.kemdikbud.go.id/article.php?article=2823788&amp;val=25320&amp;title=Analisis%20Kadar%20Tanin%20Ekstrak%20Etanol%20Kulit%20Batang%20Kemiri%20Aleurites%20moluccana%20L%20Willd%20dengan%20Metode%20Titrimetri</w:t>
      </w:r>
    </w:p>
    <w:p w14:paraId="732E4DE5" w14:textId="0F9ADA57"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Nugraha, N.D., Sanjiwani N.M.S., Udayani N.N.W., (2024)</w:t>
      </w:r>
      <w:r w:rsidR="002A156A" w:rsidRPr="00977766">
        <w:rPr>
          <w:rFonts w:asciiTheme="minorBidi" w:hAnsiTheme="minorBidi" w:cstheme="minorBidi"/>
          <w:noProof/>
        </w:rPr>
        <w:t>.</w:t>
      </w:r>
      <w:r w:rsidRPr="00977766">
        <w:rPr>
          <w:rFonts w:asciiTheme="minorBidi" w:hAnsiTheme="minorBidi" w:cstheme="minorBidi"/>
          <w:noProof/>
        </w:rPr>
        <w:t xml:space="preserve"> [Phytochemical identification and determination of saponin compound content in the ethanol extract of butterfly pea flower (Clitoria ternatea L.)]. USADHA: </w:t>
      </w:r>
      <w:r w:rsidRPr="00977766">
        <w:rPr>
          <w:rFonts w:asciiTheme="minorBidi" w:hAnsiTheme="minorBidi" w:cstheme="minorBidi"/>
          <w:i/>
          <w:iCs/>
          <w:noProof/>
        </w:rPr>
        <w:t>Jurnal Integrasi Obat Tradisional</w:t>
      </w:r>
      <w:r w:rsidRPr="00977766">
        <w:rPr>
          <w:rFonts w:asciiTheme="minorBidi" w:hAnsiTheme="minorBidi" w:cstheme="minorBidi"/>
          <w:noProof/>
        </w:rPr>
        <w:t>, 3, 8</w:t>
      </w:r>
      <w:r w:rsidR="00AE646B" w:rsidRPr="00977766">
        <w:rPr>
          <w:rFonts w:asciiTheme="minorBidi" w:hAnsiTheme="minorBidi" w:cstheme="minorBidi"/>
          <w:noProof/>
        </w:rPr>
        <w:t>-</w:t>
      </w:r>
      <w:r w:rsidRPr="00977766">
        <w:rPr>
          <w:rFonts w:asciiTheme="minorBidi" w:hAnsiTheme="minorBidi" w:cstheme="minorBidi"/>
          <w:noProof/>
        </w:rPr>
        <w:t xml:space="preserve">13. [in Indonesian]  </w:t>
      </w:r>
      <w:hyperlink r:id="rId23" w:history="1">
        <w:r w:rsidR="00660C8C" w:rsidRPr="00977766">
          <w:rPr>
            <w:rStyle w:val="Hyperlink"/>
            <w:rFonts w:asciiTheme="minorBidi" w:hAnsiTheme="minorBidi" w:cstheme="minorBidi"/>
            <w:noProof/>
          </w:rPr>
          <w:t>https://doi.org/10.36733/usadha.v3i1.7345</w:t>
        </w:r>
      </w:hyperlink>
    </w:p>
    <w:p w14:paraId="526F3197" w14:textId="42B70676"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 xml:space="preserve">Oktavia, F.D., Sutoyo S., (2021). [Phytochemical screening, total flavonoid content, and antioxidant activity of ethanol extract of Selaginella doederleinii]. </w:t>
      </w:r>
      <w:r w:rsidRPr="00977766">
        <w:rPr>
          <w:rFonts w:asciiTheme="minorBidi" w:hAnsiTheme="minorBidi" w:cstheme="minorBidi"/>
          <w:i/>
          <w:iCs/>
          <w:noProof/>
        </w:rPr>
        <w:t>Jurnal Kimia Riset</w:t>
      </w:r>
      <w:r w:rsidRPr="00977766">
        <w:rPr>
          <w:rFonts w:asciiTheme="minorBidi" w:hAnsiTheme="minorBidi" w:cstheme="minorBidi"/>
          <w:noProof/>
        </w:rPr>
        <w:t>, 6,141-153. [in Indonesian]</w:t>
      </w:r>
      <w:r w:rsidR="00660C8C" w:rsidRPr="00977766">
        <w:rPr>
          <w:rFonts w:asciiTheme="minorBidi" w:hAnsiTheme="minorBidi" w:cstheme="minorBidi"/>
          <w:noProof/>
        </w:rPr>
        <w:t xml:space="preserve"> https://e-journal.unair.ac.id/JKR/article/view/30904</w:t>
      </w:r>
    </w:p>
    <w:p w14:paraId="0ECE612C" w14:textId="027FA1F5" w:rsidR="00A168F8" w:rsidRPr="00977766" w:rsidRDefault="00A168F8" w:rsidP="00977766">
      <w:pPr>
        <w:pStyle w:val="ListParagraph"/>
        <w:widowControl w:val="0"/>
        <w:numPr>
          <w:ilvl w:val="0"/>
          <w:numId w:val="31"/>
        </w:numPr>
        <w:autoSpaceDE w:val="0"/>
        <w:autoSpaceDN w:val="0"/>
        <w:adjustRightInd w:val="0"/>
        <w:rPr>
          <w:rFonts w:asciiTheme="minorBidi" w:hAnsiTheme="minorBidi" w:cstheme="minorBidi"/>
          <w:noProof/>
        </w:rPr>
      </w:pPr>
      <w:r w:rsidRPr="00977766">
        <w:rPr>
          <w:rFonts w:asciiTheme="minorBidi" w:hAnsiTheme="minorBidi" w:cstheme="minorBidi"/>
          <w:noProof/>
        </w:rPr>
        <w:t>Pebrianto, D. H., Sumahiradewi, L.G., Rahmawati, A., Rizal, L.S.</w:t>
      </w:r>
      <w:r w:rsidR="00AE646B" w:rsidRPr="00977766">
        <w:rPr>
          <w:rFonts w:asciiTheme="minorBidi" w:hAnsiTheme="minorBidi" w:cstheme="minorBidi"/>
          <w:noProof/>
        </w:rPr>
        <w:t>,</w:t>
      </w:r>
      <w:r w:rsidRPr="00977766">
        <w:rPr>
          <w:rFonts w:asciiTheme="minorBidi" w:hAnsiTheme="minorBidi" w:cstheme="minorBidi"/>
          <w:noProof/>
        </w:rPr>
        <w:t xml:space="preserve"> (2023). Effect </w:t>
      </w:r>
      <w:r w:rsidRPr="00977766">
        <w:rPr>
          <w:rFonts w:asciiTheme="minorBidi" w:hAnsiTheme="minorBidi" w:cstheme="minorBidi"/>
          <w:i/>
          <w:iCs/>
          <w:noProof/>
        </w:rPr>
        <w:t>of Salinity on Growth of Vannamei Shrimp (Litopenaeus vannamei</w:t>
      </w:r>
      <w:r w:rsidRPr="00977766">
        <w:rPr>
          <w:rFonts w:asciiTheme="minorBidi" w:hAnsiTheme="minorBidi" w:cstheme="minorBidi"/>
          <w:noProof/>
        </w:rPr>
        <w:t xml:space="preserve">). Al-Qalbu: </w:t>
      </w:r>
      <w:r w:rsidRPr="00977766">
        <w:rPr>
          <w:rFonts w:asciiTheme="minorBidi" w:hAnsiTheme="minorBidi" w:cstheme="minorBidi"/>
          <w:i/>
          <w:iCs/>
          <w:noProof/>
        </w:rPr>
        <w:t>Journal of Education, Social and Science</w:t>
      </w:r>
      <w:r w:rsidRPr="00977766">
        <w:rPr>
          <w:rFonts w:asciiTheme="minorBidi" w:hAnsiTheme="minorBidi" w:cstheme="minorBidi"/>
          <w:noProof/>
        </w:rPr>
        <w:t>,</w:t>
      </w:r>
      <w:r w:rsidRPr="00977766">
        <w:rPr>
          <w:rFonts w:asciiTheme="minorBidi" w:hAnsiTheme="minorBidi" w:cstheme="minorBidi"/>
          <w:i/>
          <w:iCs/>
          <w:noProof/>
        </w:rPr>
        <w:t xml:space="preserve"> </w:t>
      </w:r>
      <w:r w:rsidRPr="00977766">
        <w:rPr>
          <w:rFonts w:asciiTheme="minorBidi" w:hAnsiTheme="minorBidi" w:cstheme="minorBidi"/>
          <w:noProof/>
        </w:rPr>
        <w:t>1, 52-57.</w:t>
      </w:r>
      <w:r w:rsidR="00660C8C" w:rsidRPr="00977766">
        <w:rPr>
          <w:rFonts w:asciiTheme="minorBidi" w:hAnsiTheme="minorBidi" w:cstheme="minorBidi"/>
          <w:noProof/>
        </w:rPr>
        <w:t xml:space="preserve"> https://jurnal.yalamqa.com/index.php/qalbu/article/view/29</w:t>
      </w:r>
    </w:p>
    <w:p w14:paraId="1E729D5E" w14:textId="7574D33F"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bookmarkStart w:id="2" w:name="_Hlk202697512"/>
      <w:r w:rsidRPr="00977766">
        <w:rPr>
          <w:rFonts w:asciiTheme="minorBidi" w:hAnsiTheme="minorBidi" w:cstheme="minorBidi"/>
          <w:noProof/>
          <w:lang w:val="it-IT"/>
        </w:rPr>
        <w:t>Pratama, P.N., Prayitno, S.B.</w:t>
      </w:r>
      <w:r w:rsidR="00AE646B" w:rsidRPr="00977766">
        <w:rPr>
          <w:rFonts w:asciiTheme="minorBidi" w:hAnsiTheme="minorBidi" w:cstheme="minorBidi"/>
          <w:noProof/>
          <w:lang w:val="it-IT"/>
        </w:rPr>
        <w:t>,</w:t>
      </w:r>
      <w:r w:rsidRPr="00977766">
        <w:rPr>
          <w:rFonts w:asciiTheme="minorBidi" w:hAnsiTheme="minorBidi" w:cstheme="minorBidi"/>
          <w:noProof/>
          <w:lang w:val="it-IT"/>
        </w:rPr>
        <w:t xml:space="preserve"> (2014). </w:t>
      </w:r>
      <w:r w:rsidRPr="00977766">
        <w:rPr>
          <w:rFonts w:asciiTheme="minorBidi" w:hAnsiTheme="minorBidi" w:cstheme="minorBidi"/>
          <w:noProof/>
        </w:rPr>
        <w:t>Utilization of Binahong Leaf Extract (</w:t>
      </w:r>
      <w:r w:rsidRPr="00977766">
        <w:rPr>
          <w:rFonts w:asciiTheme="minorBidi" w:hAnsiTheme="minorBidi" w:cstheme="minorBidi"/>
          <w:i/>
          <w:iCs/>
          <w:noProof/>
        </w:rPr>
        <w:t>Anredera cordifolia</w:t>
      </w:r>
      <w:r w:rsidRPr="00977766">
        <w:rPr>
          <w:rFonts w:asciiTheme="minorBidi" w:hAnsiTheme="minorBidi" w:cstheme="minorBidi"/>
          <w:noProof/>
        </w:rPr>
        <w:t>) for the Prevention of Bacterial Diseases (</w:t>
      </w:r>
      <w:r w:rsidRPr="00977766">
        <w:rPr>
          <w:rFonts w:asciiTheme="minorBidi" w:hAnsiTheme="minorBidi" w:cstheme="minorBidi"/>
          <w:i/>
          <w:iCs/>
          <w:noProof/>
        </w:rPr>
        <w:t>Vibrio harveyi</w:t>
      </w:r>
      <w:r w:rsidRPr="00977766">
        <w:rPr>
          <w:rFonts w:asciiTheme="minorBidi" w:hAnsiTheme="minorBidi" w:cstheme="minorBidi"/>
          <w:noProof/>
        </w:rPr>
        <w:t>) in Windu Shrimp. </w:t>
      </w:r>
      <w:r w:rsidRPr="00977766">
        <w:rPr>
          <w:rFonts w:asciiTheme="minorBidi" w:hAnsiTheme="minorBidi" w:cstheme="minorBidi"/>
          <w:i/>
          <w:iCs/>
          <w:noProof/>
        </w:rPr>
        <w:t>Journal of Aquaculture Management and Technology</w:t>
      </w:r>
      <w:r w:rsidRPr="00977766">
        <w:rPr>
          <w:rFonts w:asciiTheme="minorBidi" w:hAnsiTheme="minorBidi" w:cstheme="minorBidi"/>
          <w:noProof/>
        </w:rPr>
        <w:t>, 3, 281-288.</w:t>
      </w:r>
      <w:bookmarkEnd w:id="2"/>
      <w:r w:rsidR="00660C8C" w:rsidRPr="00977766">
        <w:rPr>
          <w:rFonts w:asciiTheme="minorBidi" w:hAnsiTheme="minorBidi" w:cstheme="minorBidi"/>
          <w:noProof/>
        </w:rPr>
        <w:t xml:space="preserve"> https://ejournal3.undip.ac.id/index.php/jamt/article/view/7344</w:t>
      </w:r>
    </w:p>
    <w:p w14:paraId="2E0BE475" w14:textId="0F8D051A" w:rsidR="00A168F8" w:rsidRPr="0067313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673136">
        <w:rPr>
          <w:rFonts w:asciiTheme="minorBidi" w:hAnsiTheme="minorBidi" w:cstheme="minorBidi"/>
          <w:noProof/>
        </w:rPr>
        <w:t>Rahayu, S., Kurniasih N., Amalia V., (2015), Extraction and identification of flavonoid compounds from red onion skin waste as a natural antioxidant. al Kimiya: Jurnal Ilmu Kimia dan Terapan., 2:1-8. [in Indonesian]</w:t>
      </w:r>
      <w:r w:rsidR="00673136" w:rsidRPr="00673136">
        <w:t xml:space="preserve"> </w:t>
      </w:r>
      <w:hyperlink r:id="rId24" w:history="1">
        <w:r w:rsidR="00673136" w:rsidRPr="00673136">
          <w:rPr>
            <w:rStyle w:val="Hyperlink"/>
            <w:rFonts w:asciiTheme="minorBidi" w:hAnsiTheme="minorBidi" w:cstheme="minorBidi"/>
            <w:noProof/>
          </w:rPr>
          <w:t>https://journal.uinsgd.ac.id/index.php/ak/article/view/345</w:t>
        </w:r>
      </w:hyperlink>
      <w:r w:rsidR="00673136" w:rsidRPr="00673136">
        <w:rPr>
          <w:rFonts w:asciiTheme="minorBidi" w:hAnsiTheme="minorBidi" w:cstheme="minorBidi"/>
          <w:noProof/>
          <w:lang w:val="en-GB"/>
        </w:rPr>
        <w:t xml:space="preserve"> </w:t>
      </w:r>
    </w:p>
    <w:p w14:paraId="02737E7B" w14:textId="25990AB6" w:rsidR="00A168F8" w:rsidRPr="0067313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673136">
        <w:rPr>
          <w:rFonts w:asciiTheme="minorBidi" w:hAnsiTheme="minorBidi" w:cstheme="minorBidi"/>
          <w:noProof/>
        </w:rPr>
        <w:t>Santi, Nur, I., Agus, K. (2017). The Use of Active Ingredients of Guava Leaf Extract (</w:t>
      </w:r>
      <w:r w:rsidRPr="00673136">
        <w:rPr>
          <w:rFonts w:asciiTheme="minorBidi" w:hAnsiTheme="minorBidi" w:cstheme="minorBidi"/>
          <w:i/>
          <w:iCs/>
          <w:noProof/>
        </w:rPr>
        <w:t>Psidium guajava L</w:t>
      </w:r>
      <w:r w:rsidRPr="00673136">
        <w:rPr>
          <w:rFonts w:asciiTheme="minorBidi" w:hAnsiTheme="minorBidi" w:cstheme="minorBidi"/>
          <w:noProof/>
        </w:rPr>
        <w:t xml:space="preserve">) to Inhibit the Growth of </w:t>
      </w:r>
      <w:r w:rsidRPr="00673136">
        <w:rPr>
          <w:rFonts w:asciiTheme="minorBidi" w:hAnsiTheme="minorBidi" w:cstheme="minorBidi"/>
          <w:i/>
          <w:iCs/>
          <w:noProof/>
        </w:rPr>
        <w:t>Vibrio harveyi</w:t>
      </w:r>
      <w:r w:rsidRPr="00673136">
        <w:rPr>
          <w:rFonts w:asciiTheme="minorBidi" w:hAnsiTheme="minorBidi" w:cstheme="minorBidi"/>
          <w:noProof/>
        </w:rPr>
        <w:t xml:space="preserve"> Bacteria  Causing Disease in Vannamei Shrimp </w:t>
      </w:r>
      <w:r w:rsidRPr="00673136">
        <w:rPr>
          <w:rFonts w:asciiTheme="minorBidi" w:hAnsiTheme="minorBidi" w:cstheme="minorBidi"/>
          <w:noProof/>
        </w:rPr>
        <w:lastRenderedPageBreak/>
        <w:t>(</w:t>
      </w:r>
      <w:r w:rsidRPr="00673136">
        <w:rPr>
          <w:rFonts w:asciiTheme="minorBidi" w:hAnsiTheme="minorBidi" w:cstheme="minorBidi"/>
          <w:i/>
          <w:iCs/>
          <w:noProof/>
        </w:rPr>
        <w:t>Litopenaeus vannamei</w:t>
      </w:r>
      <w:r w:rsidRPr="00673136">
        <w:rPr>
          <w:rFonts w:asciiTheme="minorBidi" w:hAnsiTheme="minorBidi" w:cstheme="minorBidi"/>
          <w:noProof/>
        </w:rPr>
        <w:t xml:space="preserve">) in Vitro. </w:t>
      </w:r>
      <w:r w:rsidRPr="00673136">
        <w:rPr>
          <w:rFonts w:asciiTheme="minorBidi" w:hAnsiTheme="minorBidi" w:cstheme="minorBidi"/>
          <w:i/>
          <w:iCs/>
          <w:noProof/>
        </w:rPr>
        <w:t xml:space="preserve">Journal of Fisheries Science and Innovation, </w:t>
      </w:r>
      <w:r w:rsidRPr="00673136">
        <w:rPr>
          <w:rFonts w:asciiTheme="minorBidi" w:hAnsiTheme="minorBidi" w:cstheme="minorBidi"/>
          <w:noProof/>
        </w:rPr>
        <w:t>1, 10-15.</w:t>
      </w:r>
      <w:r w:rsidR="00E8382D" w:rsidRPr="00673136">
        <w:rPr>
          <w:rFonts w:asciiTheme="minorBidi" w:hAnsiTheme="minorBidi" w:cstheme="minorBidi"/>
          <w:noProof/>
        </w:rPr>
        <w:t xml:space="preserve"> </w:t>
      </w:r>
      <w:hyperlink r:id="rId25" w:history="1">
        <w:r w:rsidR="00673136" w:rsidRPr="00673136">
          <w:rPr>
            <w:rStyle w:val="Hyperlink"/>
            <w:rFonts w:asciiTheme="minorBidi" w:hAnsiTheme="minorBidi" w:cstheme="minorBidi"/>
            <w:noProof/>
          </w:rPr>
          <w:t>https://www.researchgate.net/publication/334488765_Penggunaan_Bahan_Aktif_Ekstrak_Daun_Jambu_Biji_Psidium_guajava_L_untuk_Menghambat_Pertumbuhan_Bakteri_Vibrio_harveyi_Penyebab_Penyakit_pada_Udang_Vaname_Litopenaeus_vannamei_Secara_in_Vitro</w:t>
        </w:r>
      </w:hyperlink>
      <w:r w:rsidR="00673136" w:rsidRPr="00673136">
        <w:rPr>
          <w:rFonts w:asciiTheme="minorBidi" w:hAnsiTheme="minorBidi" w:cstheme="minorBidi"/>
          <w:noProof/>
          <w:lang w:val="en-GB"/>
        </w:rPr>
        <w:t xml:space="preserve"> </w:t>
      </w:r>
    </w:p>
    <w:p w14:paraId="23C7E8FC" w14:textId="52BD4E08"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lang w:val="it-IT"/>
        </w:rPr>
        <w:t>Sarjito, S., Apriliani, M., Afriani, D., Haditomo, A.C.</w:t>
      </w:r>
      <w:r w:rsidR="00AE646B" w:rsidRPr="00977766">
        <w:rPr>
          <w:rFonts w:asciiTheme="minorBidi" w:hAnsiTheme="minorBidi" w:cstheme="minorBidi"/>
          <w:noProof/>
          <w:lang w:val="it-IT"/>
        </w:rPr>
        <w:t>,</w:t>
      </w:r>
      <w:r w:rsidRPr="00977766">
        <w:rPr>
          <w:rFonts w:asciiTheme="minorBidi" w:hAnsiTheme="minorBidi" w:cstheme="minorBidi"/>
          <w:noProof/>
          <w:lang w:val="it-IT"/>
        </w:rPr>
        <w:t xml:space="preserve"> (2016). </w:t>
      </w:r>
      <w:r w:rsidRPr="00977766">
        <w:rPr>
          <w:rFonts w:asciiTheme="minorBidi" w:hAnsiTheme="minorBidi" w:cstheme="minorBidi"/>
          <w:noProof/>
        </w:rPr>
        <w:t>Causative Agent of Vibriosis in Vannamei Shrimp (</w:t>
      </w:r>
      <w:r w:rsidRPr="00977766">
        <w:rPr>
          <w:rFonts w:asciiTheme="minorBidi" w:hAnsiTheme="minorBidi" w:cstheme="minorBidi"/>
          <w:i/>
          <w:iCs/>
          <w:noProof/>
        </w:rPr>
        <w:t>Litopenaus vanamei</w:t>
      </w:r>
      <w:r w:rsidRPr="00977766">
        <w:rPr>
          <w:rFonts w:asciiTheme="minorBidi" w:hAnsiTheme="minorBidi" w:cstheme="minorBidi"/>
          <w:noProof/>
        </w:rPr>
        <w:t xml:space="preserve">) Intensively Cultivated in Kendal. </w:t>
      </w:r>
      <w:r w:rsidRPr="00977766">
        <w:rPr>
          <w:rFonts w:asciiTheme="minorBidi" w:hAnsiTheme="minorBidi" w:cstheme="minorBidi"/>
          <w:i/>
          <w:iCs/>
          <w:noProof/>
        </w:rPr>
        <w:t xml:space="preserve">Journal of Tropical Oceans, </w:t>
      </w:r>
      <w:r w:rsidRPr="00977766">
        <w:rPr>
          <w:rFonts w:asciiTheme="minorBidi" w:hAnsiTheme="minorBidi" w:cstheme="minorBidi"/>
          <w:noProof/>
        </w:rPr>
        <w:t>18, 189-196.</w:t>
      </w:r>
      <w:r w:rsidR="00E8382D" w:rsidRPr="00977766">
        <w:rPr>
          <w:rFonts w:ascii="PT Sans" w:hAnsi="PT Sans"/>
          <w:color w:val="000000"/>
          <w:sz w:val="21"/>
          <w:szCs w:val="21"/>
          <w:shd w:val="clear" w:color="auto" w:fill="FFFFFF"/>
        </w:rPr>
        <w:t xml:space="preserve"> </w:t>
      </w:r>
      <w:r w:rsidR="00E8382D" w:rsidRPr="00977766">
        <w:rPr>
          <w:rFonts w:asciiTheme="minorBidi" w:hAnsiTheme="minorBidi" w:cstheme="minorBidi"/>
          <w:noProof/>
        </w:rPr>
        <w:t> </w:t>
      </w:r>
      <w:hyperlink r:id="rId26" w:history="1">
        <w:r w:rsidR="00E8382D" w:rsidRPr="00977766">
          <w:rPr>
            <w:rStyle w:val="Hyperlink"/>
            <w:rFonts w:asciiTheme="minorBidi" w:hAnsiTheme="minorBidi" w:cstheme="minorBidi"/>
            <w:noProof/>
          </w:rPr>
          <w:t>https://doi.org/10.14710/jkt.v18i3.533</w:t>
        </w:r>
      </w:hyperlink>
      <w:r w:rsidR="00E8382D" w:rsidRPr="00977766">
        <w:rPr>
          <w:rFonts w:asciiTheme="minorBidi" w:hAnsiTheme="minorBidi" w:cstheme="minorBidi"/>
          <w:noProof/>
        </w:rPr>
        <w:t xml:space="preserve"> </w:t>
      </w:r>
    </w:p>
    <w:p w14:paraId="44CDBDDE" w14:textId="0D7234BE"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Scabra, A.R., Hermawan, D.</w:t>
      </w:r>
      <w:r w:rsidR="00AE646B" w:rsidRPr="00977766">
        <w:rPr>
          <w:rFonts w:asciiTheme="minorBidi" w:hAnsiTheme="minorBidi" w:cstheme="minorBidi"/>
          <w:noProof/>
        </w:rPr>
        <w:t>,</w:t>
      </w:r>
      <w:r w:rsidRPr="00977766">
        <w:rPr>
          <w:rFonts w:asciiTheme="minorBidi" w:hAnsiTheme="minorBidi" w:cstheme="minorBidi"/>
          <w:noProof/>
        </w:rPr>
        <w:t xml:space="preserve"> (2022). Feeding Different Types of Feed on Vannamei Shrimp (</w:t>
      </w:r>
      <w:r w:rsidRPr="00977766">
        <w:rPr>
          <w:rFonts w:asciiTheme="minorBidi" w:hAnsiTheme="minorBidi" w:cstheme="minorBidi"/>
          <w:i/>
          <w:iCs/>
          <w:noProof/>
        </w:rPr>
        <w:t>Litopenaeus vannamei</w:t>
      </w:r>
      <w:r w:rsidRPr="00977766">
        <w:rPr>
          <w:rFonts w:asciiTheme="minorBidi" w:hAnsiTheme="minorBidi" w:cstheme="minorBidi"/>
          <w:noProof/>
        </w:rPr>
        <w:t>) Maintaining with Low Salinity Media. </w:t>
      </w:r>
      <w:r w:rsidRPr="00977766">
        <w:rPr>
          <w:rFonts w:asciiTheme="minorBidi" w:hAnsiTheme="minorBidi" w:cstheme="minorBidi"/>
          <w:i/>
          <w:iCs/>
          <w:noProof/>
        </w:rPr>
        <w:t>Indonesian Journal Of Aquaculture Medium</w:t>
      </w:r>
      <w:r w:rsidRPr="00977766">
        <w:rPr>
          <w:rFonts w:asciiTheme="minorBidi" w:hAnsiTheme="minorBidi" w:cstheme="minorBidi"/>
          <w:noProof/>
        </w:rPr>
        <w:t>, 2: 31-45.</w:t>
      </w:r>
    </w:p>
    <w:p w14:paraId="23F9B6EE" w14:textId="2ECA2CCF"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Scabra, A.R., Azhar, F., Muahiddah, N., Affandi, R.I., Hafizah, I.</w:t>
      </w:r>
      <w:r w:rsidR="002A156A" w:rsidRPr="00977766">
        <w:rPr>
          <w:rFonts w:asciiTheme="minorBidi" w:hAnsiTheme="minorBidi" w:cstheme="minorBidi"/>
          <w:noProof/>
        </w:rPr>
        <w:t>,</w:t>
      </w:r>
      <w:r w:rsidRPr="00977766">
        <w:rPr>
          <w:rFonts w:asciiTheme="minorBidi" w:hAnsiTheme="minorBidi" w:cstheme="minorBidi"/>
          <w:noProof/>
        </w:rPr>
        <w:t xml:space="preserve"> (2025). Efforts to Increase Vannamei Shrimp Production in Round Ponds in Rempek Village, North Lombok Regency Through Complex Vitamin Supplementation. </w:t>
      </w:r>
      <w:r w:rsidRPr="00977766">
        <w:rPr>
          <w:rFonts w:asciiTheme="minorBidi" w:hAnsiTheme="minorBidi" w:cstheme="minorBidi"/>
          <w:i/>
          <w:iCs/>
          <w:noProof/>
        </w:rPr>
        <w:t>Journal of Padua</w:t>
      </w:r>
      <w:r w:rsidRPr="00977766">
        <w:rPr>
          <w:rFonts w:asciiTheme="minorBidi" w:hAnsiTheme="minorBidi" w:cstheme="minorBidi"/>
          <w:noProof/>
        </w:rPr>
        <w:t>,</w:t>
      </w:r>
      <w:r w:rsidRPr="00977766">
        <w:rPr>
          <w:rFonts w:asciiTheme="minorBidi" w:hAnsiTheme="minorBidi" w:cstheme="minorBidi"/>
          <w:i/>
          <w:iCs/>
          <w:noProof/>
        </w:rPr>
        <w:t xml:space="preserve"> </w:t>
      </w:r>
      <w:r w:rsidRPr="00977766">
        <w:rPr>
          <w:rFonts w:asciiTheme="minorBidi" w:hAnsiTheme="minorBidi" w:cstheme="minorBidi"/>
          <w:noProof/>
        </w:rPr>
        <w:t>6, 235-248.</w:t>
      </w:r>
      <w:r w:rsidR="00611EE6" w:rsidRPr="00977766">
        <w:rPr>
          <w:rFonts w:asciiTheme="minorBidi" w:hAnsiTheme="minorBidi" w:cstheme="minorBidi"/>
          <w:noProof/>
        </w:rPr>
        <w:t xml:space="preserve"> </w:t>
      </w:r>
      <w:hyperlink r:id="rId27" w:history="1">
        <w:r w:rsidR="00611EE6" w:rsidRPr="00977766">
          <w:rPr>
            <w:rStyle w:val="Hyperlink"/>
            <w:rFonts w:asciiTheme="minorBidi" w:hAnsiTheme="minorBidi" w:cstheme="minorBidi"/>
            <w:noProof/>
          </w:rPr>
          <w:t>10.29303/pepadu.v6i2.7479</w:t>
        </w:r>
      </w:hyperlink>
    </w:p>
    <w:p w14:paraId="3DEB94AA" w14:textId="21F68D3D"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Scabra, A.R., Junaidi, M., Hafizi, A.</w:t>
      </w:r>
      <w:r w:rsidR="002A156A" w:rsidRPr="00977766">
        <w:rPr>
          <w:rFonts w:asciiTheme="minorBidi" w:hAnsiTheme="minorBidi" w:cstheme="minorBidi"/>
          <w:noProof/>
        </w:rPr>
        <w:t>,</w:t>
      </w:r>
      <w:r w:rsidRPr="00977766">
        <w:rPr>
          <w:rFonts w:asciiTheme="minorBidi" w:hAnsiTheme="minorBidi" w:cstheme="minorBidi"/>
          <w:noProof/>
        </w:rPr>
        <w:t xml:space="preserve"> (2024). Growth of Vannamei Shrimp (</w:t>
      </w:r>
      <w:r w:rsidRPr="00977766">
        <w:rPr>
          <w:rFonts w:asciiTheme="minorBidi" w:hAnsiTheme="minorBidi" w:cstheme="minorBidi"/>
          <w:i/>
          <w:iCs/>
          <w:noProof/>
        </w:rPr>
        <w:t>Litopeneaus vannamei</w:t>
      </w:r>
      <w:r w:rsidRPr="00977766">
        <w:rPr>
          <w:rFonts w:asciiTheme="minorBidi" w:hAnsiTheme="minorBidi" w:cstheme="minorBidi"/>
          <w:noProof/>
        </w:rPr>
        <w:t>) in Rearing Media with Different Salinities. </w:t>
      </w:r>
      <w:r w:rsidRPr="00977766">
        <w:rPr>
          <w:rFonts w:asciiTheme="minorBidi" w:hAnsiTheme="minorBidi" w:cstheme="minorBidi"/>
          <w:i/>
          <w:iCs/>
          <w:noProof/>
        </w:rPr>
        <w:t>Journal of Tropical Biology</w:t>
      </w:r>
      <w:r w:rsidRPr="00977766">
        <w:rPr>
          <w:rFonts w:asciiTheme="minorBidi" w:hAnsiTheme="minorBidi" w:cstheme="minorBidi"/>
          <w:noProof/>
        </w:rPr>
        <w:t>, 24, 26-36.</w:t>
      </w:r>
    </w:p>
    <w:p w14:paraId="11B30D2F" w14:textId="0D8D1C2C"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Scabra, A.R., Murtadha, H.M., Diniariwisan, D.D.</w:t>
      </w:r>
      <w:r w:rsidR="00AE646B" w:rsidRPr="00977766">
        <w:rPr>
          <w:rFonts w:asciiTheme="minorBidi" w:hAnsiTheme="minorBidi" w:cstheme="minorBidi"/>
          <w:noProof/>
        </w:rPr>
        <w:t>,</w:t>
      </w:r>
      <w:r w:rsidRPr="00977766">
        <w:rPr>
          <w:rFonts w:asciiTheme="minorBidi" w:hAnsiTheme="minorBidi" w:cstheme="minorBidi"/>
          <w:noProof/>
        </w:rPr>
        <w:t xml:space="preserve"> </w:t>
      </w:r>
      <w:r w:rsidR="0025292D" w:rsidRPr="00977766">
        <w:rPr>
          <w:rFonts w:asciiTheme="minorBidi" w:hAnsiTheme="minorBidi" w:cstheme="minorBidi"/>
          <w:noProof/>
        </w:rPr>
        <w:t>(</w:t>
      </w:r>
      <w:r w:rsidRPr="00977766">
        <w:rPr>
          <w:rFonts w:asciiTheme="minorBidi" w:hAnsiTheme="minorBidi" w:cstheme="minorBidi"/>
          <w:noProof/>
        </w:rPr>
        <w:t>2024</w:t>
      </w:r>
      <w:r w:rsidR="0025292D" w:rsidRPr="00977766">
        <w:rPr>
          <w:rFonts w:asciiTheme="minorBidi" w:hAnsiTheme="minorBidi" w:cstheme="minorBidi"/>
          <w:noProof/>
        </w:rPr>
        <w:t>)</w:t>
      </w:r>
      <w:r w:rsidRPr="00977766">
        <w:rPr>
          <w:rFonts w:asciiTheme="minorBidi" w:hAnsiTheme="minorBidi" w:cstheme="minorBidi"/>
          <w:noProof/>
        </w:rPr>
        <w:t>. The Effect of Adding Shrimp Shell Meal in Feed As An Additional Mineral Source in Aquaculture Vannamei Shrimp (</w:t>
      </w:r>
      <w:r w:rsidRPr="00977766">
        <w:rPr>
          <w:rFonts w:asciiTheme="minorBidi" w:hAnsiTheme="minorBidi" w:cstheme="minorBidi"/>
          <w:i/>
          <w:iCs/>
          <w:noProof/>
        </w:rPr>
        <w:t>Litopenaeus vannamei</w:t>
      </w:r>
      <w:r w:rsidRPr="00977766">
        <w:rPr>
          <w:rFonts w:asciiTheme="minorBidi" w:hAnsiTheme="minorBidi" w:cstheme="minorBidi"/>
          <w:noProof/>
        </w:rPr>
        <w:t>) in Freshwater. </w:t>
      </w:r>
      <w:r w:rsidRPr="00977766">
        <w:rPr>
          <w:rFonts w:asciiTheme="minorBidi" w:hAnsiTheme="minorBidi" w:cstheme="minorBidi"/>
          <w:i/>
          <w:iCs/>
          <w:noProof/>
        </w:rPr>
        <w:t>Tropical Aquaculture Science: Indonesian Journal of Tropical Aquaculture</w:t>
      </w:r>
      <w:r w:rsidRPr="00977766">
        <w:rPr>
          <w:rFonts w:asciiTheme="minorBidi" w:hAnsiTheme="minorBidi" w:cstheme="minorBidi"/>
          <w:noProof/>
        </w:rPr>
        <w:t>, 9</w:t>
      </w:r>
      <w:r w:rsidR="0025292D" w:rsidRPr="00977766">
        <w:rPr>
          <w:rFonts w:asciiTheme="minorBidi" w:hAnsiTheme="minorBidi" w:cstheme="minorBidi"/>
          <w:noProof/>
        </w:rPr>
        <w:t>,</w:t>
      </w:r>
      <w:r w:rsidRPr="00977766">
        <w:rPr>
          <w:rFonts w:asciiTheme="minorBidi" w:hAnsiTheme="minorBidi" w:cstheme="minorBidi"/>
          <w:noProof/>
        </w:rPr>
        <w:t xml:space="preserve"> 15-26. </w:t>
      </w:r>
    </w:p>
    <w:p w14:paraId="1D0D8C3C" w14:textId="168BEDC8"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lang w:val="it-IT"/>
        </w:rPr>
        <w:t xml:space="preserve">Tangguda, S., Fadjar, M., Sanoesi, E., </w:t>
      </w:r>
      <w:r w:rsidR="0025292D" w:rsidRPr="00977766">
        <w:rPr>
          <w:rFonts w:asciiTheme="minorBidi" w:hAnsiTheme="minorBidi" w:cstheme="minorBidi"/>
          <w:noProof/>
          <w:lang w:val="it-IT"/>
        </w:rPr>
        <w:t>(</w:t>
      </w:r>
      <w:r w:rsidRPr="00977766">
        <w:rPr>
          <w:rFonts w:asciiTheme="minorBidi" w:hAnsiTheme="minorBidi" w:cstheme="minorBidi"/>
          <w:noProof/>
          <w:lang w:val="it-IT"/>
        </w:rPr>
        <w:t>2018</w:t>
      </w:r>
      <w:r w:rsidR="0025292D" w:rsidRPr="00977766">
        <w:rPr>
          <w:rFonts w:asciiTheme="minorBidi" w:hAnsiTheme="minorBidi" w:cstheme="minorBidi"/>
          <w:noProof/>
          <w:lang w:val="it-IT"/>
        </w:rPr>
        <w:t>)</w:t>
      </w:r>
      <w:r w:rsidRPr="00977766">
        <w:rPr>
          <w:rFonts w:asciiTheme="minorBidi" w:hAnsiTheme="minorBidi" w:cstheme="minorBidi"/>
          <w:noProof/>
          <w:lang w:val="it-IT"/>
        </w:rPr>
        <w:t xml:space="preserve">. </w:t>
      </w:r>
      <w:r w:rsidRPr="00977766">
        <w:rPr>
          <w:rFonts w:asciiTheme="minorBidi" w:hAnsiTheme="minorBidi" w:cstheme="minorBidi"/>
          <w:noProof/>
        </w:rPr>
        <w:t xml:space="preserve">The Effect of Different Aquaculture Technologies on Water Quality in Intensive Shrimp Ponds. </w:t>
      </w:r>
      <w:r w:rsidRPr="00977766">
        <w:rPr>
          <w:rFonts w:asciiTheme="minorBidi" w:hAnsiTheme="minorBidi" w:cstheme="minorBidi"/>
          <w:i/>
          <w:iCs/>
          <w:noProof/>
        </w:rPr>
        <w:t xml:space="preserve">Indonesian Swamp Aquaculture Journal., </w:t>
      </w:r>
      <w:r w:rsidRPr="00977766">
        <w:rPr>
          <w:rFonts w:asciiTheme="minorBidi" w:hAnsiTheme="minorBidi" w:cstheme="minorBidi"/>
          <w:noProof/>
        </w:rPr>
        <w:t>6</w:t>
      </w:r>
      <w:r w:rsidR="002A156A" w:rsidRPr="00977766">
        <w:rPr>
          <w:rFonts w:asciiTheme="minorBidi" w:hAnsiTheme="minorBidi" w:cstheme="minorBidi"/>
          <w:noProof/>
        </w:rPr>
        <w:t>,</w:t>
      </w:r>
      <w:r w:rsidRPr="00977766">
        <w:rPr>
          <w:rFonts w:asciiTheme="minorBidi" w:hAnsiTheme="minorBidi" w:cstheme="minorBidi"/>
          <w:noProof/>
        </w:rPr>
        <w:t xml:space="preserve"> 12-27. </w:t>
      </w:r>
      <w:hyperlink r:id="rId28" w:history="1">
        <w:r w:rsidR="00611EE6" w:rsidRPr="00977766">
          <w:rPr>
            <w:rStyle w:val="Hyperlink"/>
            <w:rFonts w:asciiTheme="minorBidi" w:hAnsiTheme="minorBidi" w:cstheme="minorBidi"/>
            <w:noProof/>
          </w:rPr>
          <w:t>https://www.researchgate.net/publication/337417794_PENGARUH_TEKNOLOGI_BUDIDAYA_YANG_BERBEDA_TERHADAP_KUALITAS_AIR_PADA_TAMBAK_UDANG_INTENSIF</w:t>
        </w:r>
      </w:hyperlink>
      <w:r w:rsidR="00611EE6" w:rsidRPr="00977766">
        <w:rPr>
          <w:rFonts w:asciiTheme="minorBidi" w:hAnsiTheme="minorBidi" w:cstheme="minorBidi"/>
          <w:noProof/>
        </w:rPr>
        <w:t xml:space="preserve"> </w:t>
      </w:r>
    </w:p>
    <w:p w14:paraId="6DC7AD67" w14:textId="0AF88893"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 xml:space="preserve">Wiranti, O.V., </w:t>
      </w:r>
      <w:r w:rsidR="0025292D" w:rsidRPr="00977766">
        <w:rPr>
          <w:rFonts w:asciiTheme="minorBidi" w:hAnsiTheme="minorBidi" w:cstheme="minorBidi"/>
          <w:noProof/>
        </w:rPr>
        <w:t>(</w:t>
      </w:r>
      <w:r w:rsidRPr="00977766">
        <w:rPr>
          <w:rFonts w:asciiTheme="minorBidi" w:hAnsiTheme="minorBidi" w:cstheme="minorBidi"/>
          <w:noProof/>
        </w:rPr>
        <w:t>2022</w:t>
      </w:r>
      <w:r w:rsidR="0025292D" w:rsidRPr="00977766">
        <w:rPr>
          <w:rFonts w:asciiTheme="minorBidi" w:hAnsiTheme="minorBidi" w:cstheme="minorBidi"/>
          <w:noProof/>
        </w:rPr>
        <w:t>)</w:t>
      </w:r>
      <w:r w:rsidRPr="00977766">
        <w:rPr>
          <w:rFonts w:asciiTheme="minorBidi" w:hAnsiTheme="minorBidi" w:cstheme="minorBidi"/>
          <w:noProof/>
        </w:rPr>
        <w:t>. Effect of Frequency of Feeding Added to Meniran Plant Extract (</w:t>
      </w:r>
      <w:r w:rsidRPr="00977766">
        <w:rPr>
          <w:rFonts w:asciiTheme="minorBidi" w:hAnsiTheme="minorBidi" w:cstheme="minorBidi"/>
          <w:i/>
          <w:iCs/>
          <w:noProof/>
        </w:rPr>
        <w:t>Phyllanthus nuturi L</w:t>
      </w:r>
      <w:r w:rsidRPr="00977766">
        <w:rPr>
          <w:rFonts w:asciiTheme="minorBidi" w:hAnsiTheme="minorBidi" w:cstheme="minorBidi"/>
          <w:noProof/>
        </w:rPr>
        <w:t>.) Against the Immune System of Vannamei Shrimp (</w:t>
      </w:r>
      <w:r w:rsidRPr="00977766">
        <w:rPr>
          <w:rFonts w:asciiTheme="minorBidi" w:hAnsiTheme="minorBidi" w:cstheme="minorBidi"/>
          <w:i/>
          <w:iCs/>
          <w:noProof/>
        </w:rPr>
        <w:t>Litopenaeus vannnamei</w:t>
      </w:r>
      <w:r w:rsidRPr="00977766">
        <w:rPr>
          <w:rFonts w:asciiTheme="minorBidi" w:hAnsiTheme="minorBidi" w:cstheme="minorBidi"/>
          <w:noProof/>
        </w:rPr>
        <w:t xml:space="preserve">) Tested Challenged with </w:t>
      </w:r>
      <w:r w:rsidRPr="00977766">
        <w:rPr>
          <w:rFonts w:asciiTheme="minorBidi" w:hAnsiTheme="minorBidi" w:cstheme="minorBidi"/>
          <w:i/>
          <w:iCs/>
          <w:noProof/>
        </w:rPr>
        <w:t>Vibrio Parahaemolyticus</w:t>
      </w:r>
      <w:r w:rsidRPr="00977766">
        <w:rPr>
          <w:rFonts w:asciiTheme="minorBidi" w:hAnsiTheme="minorBidi" w:cstheme="minorBidi"/>
          <w:noProof/>
        </w:rPr>
        <w:t xml:space="preserve">. </w:t>
      </w:r>
      <w:r w:rsidRPr="00977766">
        <w:rPr>
          <w:rFonts w:asciiTheme="minorBidi" w:hAnsiTheme="minorBidi" w:cstheme="minorBidi"/>
          <w:i/>
          <w:iCs/>
          <w:noProof/>
        </w:rPr>
        <w:t>Thesis</w:t>
      </w:r>
      <w:r w:rsidRPr="00977766">
        <w:rPr>
          <w:rFonts w:asciiTheme="minorBidi" w:hAnsiTheme="minorBidi" w:cstheme="minorBidi"/>
          <w:noProof/>
        </w:rPr>
        <w:t>. Faculty of Agriculture. University of Mataram: Mataram.</w:t>
      </w:r>
      <w:r w:rsidR="00D31865" w:rsidRPr="00977766">
        <w:rPr>
          <w:rFonts w:asciiTheme="minorBidi" w:hAnsiTheme="minorBidi" w:cstheme="minorBidi"/>
          <w:noProof/>
        </w:rPr>
        <w:t xml:space="preserve"> </w:t>
      </w:r>
      <w:hyperlink r:id="rId29" w:history="1">
        <w:r w:rsidR="00C62AB4" w:rsidRPr="00977766">
          <w:rPr>
            <w:rStyle w:val="Hyperlink"/>
            <w:rFonts w:asciiTheme="minorBidi" w:hAnsiTheme="minorBidi" w:cstheme="minorBidi"/>
            <w:noProof/>
          </w:rPr>
          <w:t>http://eprints.unram.ac.id/id/eprint/32921</w:t>
        </w:r>
      </w:hyperlink>
    </w:p>
    <w:p w14:paraId="20543152" w14:textId="6E36FA64" w:rsidR="00A168F8" w:rsidRPr="00977766" w:rsidRDefault="00A168F8" w:rsidP="00977766">
      <w:pPr>
        <w:pStyle w:val="ListParagraph"/>
        <w:widowControl w:val="0"/>
        <w:numPr>
          <w:ilvl w:val="0"/>
          <w:numId w:val="31"/>
        </w:numPr>
        <w:autoSpaceDE w:val="0"/>
        <w:autoSpaceDN w:val="0"/>
        <w:adjustRightInd w:val="0"/>
        <w:jc w:val="both"/>
        <w:rPr>
          <w:rFonts w:asciiTheme="minorBidi" w:hAnsiTheme="minorBidi" w:cstheme="minorBidi"/>
          <w:noProof/>
        </w:rPr>
      </w:pPr>
      <w:r w:rsidRPr="00977766">
        <w:rPr>
          <w:rFonts w:asciiTheme="minorBidi" w:hAnsiTheme="minorBidi" w:cstheme="minorBidi"/>
          <w:noProof/>
        </w:rPr>
        <w:t>Wu, Z., Zhang, Q.L.N., Pu, Y., Wang, B., Zhang, T.</w:t>
      </w:r>
      <w:r w:rsidR="002A156A" w:rsidRPr="00977766">
        <w:rPr>
          <w:rFonts w:asciiTheme="minorBidi" w:hAnsiTheme="minorBidi" w:cstheme="minorBidi"/>
          <w:noProof/>
        </w:rPr>
        <w:t>,</w:t>
      </w:r>
      <w:r w:rsidRPr="00977766">
        <w:rPr>
          <w:rFonts w:asciiTheme="minorBidi" w:hAnsiTheme="minorBidi" w:cstheme="minorBidi"/>
          <w:noProof/>
        </w:rPr>
        <w:t xml:space="preserve"> </w:t>
      </w:r>
      <w:r w:rsidR="0025292D" w:rsidRPr="00977766">
        <w:rPr>
          <w:rFonts w:asciiTheme="minorBidi" w:hAnsiTheme="minorBidi" w:cstheme="minorBidi"/>
          <w:noProof/>
        </w:rPr>
        <w:t>(</w:t>
      </w:r>
      <w:r w:rsidRPr="00977766">
        <w:rPr>
          <w:rFonts w:asciiTheme="minorBidi" w:hAnsiTheme="minorBidi" w:cstheme="minorBidi"/>
          <w:noProof/>
        </w:rPr>
        <w:t>2017</w:t>
      </w:r>
      <w:r w:rsidR="0025292D" w:rsidRPr="00977766">
        <w:rPr>
          <w:rFonts w:asciiTheme="minorBidi" w:hAnsiTheme="minorBidi" w:cstheme="minorBidi"/>
          <w:noProof/>
        </w:rPr>
        <w:t>)</w:t>
      </w:r>
      <w:r w:rsidRPr="00977766">
        <w:rPr>
          <w:rFonts w:asciiTheme="minorBidi" w:hAnsiTheme="minorBidi" w:cstheme="minorBidi"/>
          <w:noProof/>
        </w:rPr>
        <w:t>. Comparison of critical methods developed for fatty acid analysis: a review. </w:t>
      </w:r>
      <w:r w:rsidRPr="00977766">
        <w:rPr>
          <w:rFonts w:asciiTheme="minorBidi" w:hAnsiTheme="minorBidi" w:cstheme="minorBidi"/>
          <w:i/>
          <w:iCs/>
          <w:noProof/>
        </w:rPr>
        <w:t>Journal of separation science</w:t>
      </w:r>
      <w:r w:rsidRPr="00977766">
        <w:rPr>
          <w:rFonts w:asciiTheme="minorBidi" w:hAnsiTheme="minorBidi" w:cstheme="minorBidi"/>
          <w:noProof/>
        </w:rPr>
        <w:t>, 40</w:t>
      </w:r>
      <w:r w:rsidR="0025292D" w:rsidRPr="00977766">
        <w:rPr>
          <w:rFonts w:asciiTheme="minorBidi" w:hAnsiTheme="minorBidi" w:cstheme="minorBidi"/>
          <w:noProof/>
        </w:rPr>
        <w:t>,</w:t>
      </w:r>
      <w:r w:rsidRPr="00977766">
        <w:rPr>
          <w:rFonts w:asciiTheme="minorBidi" w:hAnsiTheme="minorBidi" w:cstheme="minorBidi"/>
          <w:noProof/>
        </w:rPr>
        <w:t xml:space="preserve"> 288-298.</w:t>
      </w:r>
    </w:p>
    <w:p w14:paraId="34119117" w14:textId="77777777" w:rsidR="00284C4C" w:rsidRDefault="00284C4C" w:rsidP="000D689F">
      <w:pPr>
        <w:pStyle w:val="Body"/>
        <w:spacing w:after="0"/>
      </w:pPr>
    </w:p>
    <w:p w14:paraId="277B1DE6" w14:textId="0BF8F6E2" w:rsidR="00B01FCD" w:rsidRPr="00A168F8" w:rsidRDefault="00B01FCD" w:rsidP="00A168F8">
      <w:pPr>
        <w:pStyle w:val="Body"/>
        <w:spacing w:after="0"/>
        <w:rPr>
          <w:rFonts w:ascii="Arial" w:hAnsi="Arial" w:cs="Arial"/>
          <w:sz w:val="24"/>
        </w:rPr>
      </w:pPr>
    </w:p>
    <w:sectPr w:rsidR="00B01FCD" w:rsidRPr="00A168F8" w:rsidSect="00562718">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348F38" w16cex:dateUtc="2025-08-27T06:42:00Z"/>
  <w16cex:commentExtensible w16cex:durableId="4A46D89E" w16cex:dateUtc="2025-08-27T06:42:00Z"/>
  <w16cex:commentExtensible w16cex:durableId="4583B6C1" w16cex:dateUtc="2025-08-27T06:41:00Z"/>
  <w16cex:commentExtensible w16cex:durableId="3F0EC696" w16cex:dateUtc="2025-08-27T07:09:00Z"/>
  <w16cex:commentExtensible w16cex:durableId="3BBF7F29" w16cex:dateUtc="2025-08-27T07:10:00Z"/>
  <w16cex:commentExtensible w16cex:durableId="66BEDDCD" w16cex:dateUtc="2025-08-27T07:11:00Z"/>
  <w16cex:commentExtensible w16cex:durableId="0DEC09A6" w16cex:dateUtc="2025-08-27T07:27:00Z"/>
  <w16cex:commentExtensible w16cex:durableId="316D7F40" w16cex:dateUtc="2025-08-27T07:41:00Z"/>
  <w16cex:commentExtensible w16cex:durableId="0AFA68CA" w16cex:dateUtc="2025-08-27T07:42:00Z"/>
  <w16cex:commentExtensible w16cex:durableId="2014E1D7" w16cex:dateUtc="2025-08-27T07:43:00Z"/>
  <w16cex:commentExtensible w16cex:durableId="3D444498" w16cex:dateUtc="2025-08-27T0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FC4E4" w14:textId="77777777" w:rsidR="00F53A43" w:rsidRDefault="00F53A43" w:rsidP="00C37E61">
      <w:r>
        <w:separator/>
      </w:r>
    </w:p>
  </w:endnote>
  <w:endnote w:type="continuationSeparator" w:id="0">
    <w:p w14:paraId="5BEDFFC3" w14:textId="77777777" w:rsidR="00F53A43" w:rsidRDefault="00F53A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036BC" w14:textId="77777777" w:rsidR="00562718" w:rsidRDefault="00562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876A" w14:textId="77777777" w:rsidR="00562718" w:rsidRDefault="00562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2E0DC" w14:textId="65E1122F" w:rsidR="00754C9A" w:rsidRPr="00D34F2B" w:rsidRDefault="00754C9A" w:rsidP="00D34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94B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4D5E" w14:textId="77777777" w:rsidR="00F53A43" w:rsidRDefault="00F53A43" w:rsidP="00C37E61">
      <w:r>
        <w:separator/>
      </w:r>
    </w:p>
  </w:footnote>
  <w:footnote w:type="continuationSeparator" w:id="0">
    <w:p w14:paraId="79E876A5" w14:textId="77777777" w:rsidR="00F53A43" w:rsidRDefault="00F53A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6915" w14:textId="6164F04F" w:rsidR="00562718" w:rsidRDefault="00673136">
    <w:pPr>
      <w:pStyle w:val="Header"/>
    </w:pPr>
    <w:r>
      <w:rPr>
        <w:noProof/>
      </w:rPr>
      <w:pict w14:anchorId="4C65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8708" w14:textId="3140F5F4" w:rsidR="00562718" w:rsidRDefault="00673136">
    <w:pPr>
      <w:pStyle w:val="Header"/>
    </w:pPr>
    <w:r>
      <w:rPr>
        <w:noProof/>
      </w:rPr>
      <w:pict w14:anchorId="0FAE6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087D" w14:textId="76FBEC69" w:rsidR="00296529" w:rsidRPr="00296529" w:rsidRDefault="00673136" w:rsidP="00296529">
    <w:pPr>
      <w:ind w:left="2160"/>
      <w:jc w:val="center"/>
      <w:rPr>
        <w:rFonts w:ascii="Times New Roman" w:eastAsia="Calibri" w:hAnsi="Times New Roman"/>
        <w:i/>
        <w:sz w:val="18"/>
        <w:szCs w:val="22"/>
      </w:rPr>
    </w:pPr>
    <w:r>
      <w:rPr>
        <w:noProof/>
      </w:rPr>
      <w:pict w14:anchorId="6D79DC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666E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A0EBC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8269F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29054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D0E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D4A3F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E3CAE" w14:textId="43419715" w:rsidR="00562718" w:rsidRDefault="00673136">
    <w:pPr>
      <w:pStyle w:val="Header"/>
    </w:pPr>
    <w:r>
      <w:rPr>
        <w:noProof/>
      </w:rPr>
      <w:pict w14:anchorId="6F0F9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6A0F" w14:textId="1816A921" w:rsidR="00562718" w:rsidRDefault="00673136">
    <w:pPr>
      <w:pStyle w:val="Header"/>
    </w:pPr>
    <w:r>
      <w:rPr>
        <w:noProof/>
      </w:rPr>
      <w:pict w14:anchorId="6C948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646AC" w14:textId="5E320735" w:rsidR="00562718" w:rsidRDefault="00673136">
    <w:pPr>
      <w:pStyle w:val="Header"/>
    </w:pPr>
    <w:r>
      <w:rPr>
        <w:noProof/>
      </w:rPr>
      <w:pict w14:anchorId="1A9842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364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F6356C"/>
    <w:multiLevelType w:val="hybridMultilevel"/>
    <w:tmpl w:val="6BE0CF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816"/>
    <w:rsid w:val="000121D3"/>
    <w:rsid w:val="00012918"/>
    <w:rsid w:val="000166EB"/>
    <w:rsid w:val="000216EB"/>
    <w:rsid w:val="00030174"/>
    <w:rsid w:val="0004579C"/>
    <w:rsid w:val="00067398"/>
    <w:rsid w:val="000A47FA"/>
    <w:rsid w:val="000A65D3"/>
    <w:rsid w:val="000B1E33"/>
    <w:rsid w:val="000C6923"/>
    <w:rsid w:val="000D689F"/>
    <w:rsid w:val="000E7B7B"/>
    <w:rsid w:val="000E7D62"/>
    <w:rsid w:val="00103357"/>
    <w:rsid w:val="001111D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92D"/>
    <w:rsid w:val="002556F6"/>
    <w:rsid w:val="00283105"/>
    <w:rsid w:val="00284C4C"/>
    <w:rsid w:val="00285614"/>
    <w:rsid w:val="00287E68"/>
    <w:rsid w:val="00296529"/>
    <w:rsid w:val="002A156A"/>
    <w:rsid w:val="002B1111"/>
    <w:rsid w:val="002B27FB"/>
    <w:rsid w:val="002B685A"/>
    <w:rsid w:val="002C57D2"/>
    <w:rsid w:val="002C6E36"/>
    <w:rsid w:val="002D02FE"/>
    <w:rsid w:val="002E0D56"/>
    <w:rsid w:val="00315186"/>
    <w:rsid w:val="0033343E"/>
    <w:rsid w:val="003512C2"/>
    <w:rsid w:val="00371FB6"/>
    <w:rsid w:val="003763C1"/>
    <w:rsid w:val="00376BBE"/>
    <w:rsid w:val="0038347B"/>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A2CE4"/>
    <w:rsid w:val="004A6F1B"/>
    <w:rsid w:val="004B006C"/>
    <w:rsid w:val="004B1306"/>
    <w:rsid w:val="004C09EE"/>
    <w:rsid w:val="004D305E"/>
    <w:rsid w:val="004D4277"/>
    <w:rsid w:val="00502516"/>
    <w:rsid w:val="00505F06"/>
    <w:rsid w:val="00506828"/>
    <w:rsid w:val="0053056E"/>
    <w:rsid w:val="00554FDA"/>
    <w:rsid w:val="00562718"/>
    <w:rsid w:val="005C784C"/>
    <w:rsid w:val="005D17F6"/>
    <w:rsid w:val="005E5539"/>
    <w:rsid w:val="00602BF5"/>
    <w:rsid w:val="00610646"/>
    <w:rsid w:val="00611EE6"/>
    <w:rsid w:val="00617FDD"/>
    <w:rsid w:val="00633614"/>
    <w:rsid w:val="00633F68"/>
    <w:rsid w:val="00636EB2"/>
    <w:rsid w:val="006375B8"/>
    <w:rsid w:val="00644933"/>
    <w:rsid w:val="00660C8C"/>
    <w:rsid w:val="0066510A"/>
    <w:rsid w:val="00670731"/>
    <w:rsid w:val="00673136"/>
    <w:rsid w:val="00673F9F"/>
    <w:rsid w:val="00686953"/>
    <w:rsid w:val="00687DEA"/>
    <w:rsid w:val="00687E67"/>
    <w:rsid w:val="006967F7"/>
    <w:rsid w:val="006A05F2"/>
    <w:rsid w:val="006A250C"/>
    <w:rsid w:val="006B21D3"/>
    <w:rsid w:val="006B57D0"/>
    <w:rsid w:val="006B5ED5"/>
    <w:rsid w:val="006D30FF"/>
    <w:rsid w:val="006D6138"/>
    <w:rsid w:val="006D6940"/>
    <w:rsid w:val="006F11EC"/>
    <w:rsid w:val="0070082C"/>
    <w:rsid w:val="0070116C"/>
    <w:rsid w:val="00706923"/>
    <w:rsid w:val="007369E6"/>
    <w:rsid w:val="00746E59"/>
    <w:rsid w:val="00753DD7"/>
    <w:rsid w:val="00754C9A"/>
    <w:rsid w:val="0075599A"/>
    <w:rsid w:val="00761D52"/>
    <w:rsid w:val="007750A8"/>
    <w:rsid w:val="0077749E"/>
    <w:rsid w:val="00790ADA"/>
    <w:rsid w:val="007D2288"/>
    <w:rsid w:val="007E088F"/>
    <w:rsid w:val="007F5EC2"/>
    <w:rsid w:val="007F7B32"/>
    <w:rsid w:val="00804BC2"/>
    <w:rsid w:val="0081431A"/>
    <w:rsid w:val="0083216F"/>
    <w:rsid w:val="00834FE4"/>
    <w:rsid w:val="00860000"/>
    <w:rsid w:val="00863BD3"/>
    <w:rsid w:val="008641ED"/>
    <w:rsid w:val="00866D66"/>
    <w:rsid w:val="008671C6"/>
    <w:rsid w:val="00875803"/>
    <w:rsid w:val="008B459E"/>
    <w:rsid w:val="008D611A"/>
    <w:rsid w:val="008E13AE"/>
    <w:rsid w:val="008E1506"/>
    <w:rsid w:val="008E710C"/>
    <w:rsid w:val="008F69D6"/>
    <w:rsid w:val="00902823"/>
    <w:rsid w:val="00915CA6"/>
    <w:rsid w:val="00927834"/>
    <w:rsid w:val="009500A6"/>
    <w:rsid w:val="00957C18"/>
    <w:rsid w:val="009659BA"/>
    <w:rsid w:val="00977766"/>
    <w:rsid w:val="00983040"/>
    <w:rsid w:val="009A24EF"/>
    <w:rsid w:val="009B3FB9"/>
    <w:rsid w:val="009C2465"/>
    <w:rsid w:val="009D35A0"/>
    <w:rsid w:val="009D7EB7"/>
    <w:rsid w:val="009E048A"/>
    <w:rsid w:val="009E08E9"/>
    <w:rsid w:val="009E3DB9"/>
    <w:rsid w:val="009E6E35"/>
    <w:rsid w:val="009F0EDA"/>
    <w:rsid w:val="00A03B96"/>
    <w:rsid w:val="00A05B19"/>
    <w:rsid w:val="00A1134E"/>
    <w:rsid w:val="00A124BB"/>
    <w:rsid w:val="00A168F8"/>
    <w:rsid w:val="00A24E7E"/>
    <w:rsid w:val="00A258C3"/>
    <w:rsid w:val="00A347C0"/>
    <w:rsid w:val="00A51431"/>
    <w:rsid w:val="00A539AD"/>
    <w:rsid w:val="00A83590"/>
    <w:rsid w:val="00A83D8A"/>
    <w:rsid w:val="00A94063"/>
    <w:rsid w:val="00A94D06"/>
    <w:rsid w:val="00AA6219"/>
    <w:rsid w:val="00AA74E0"/>
    <w:rsid w:val="00AB3D5F"/>
    <w:rsid w:val="00AB6601"/>
    <w:rsid w:val="00AB703F"/>
    <w:rsid w:val="00AC6BB8"/>
    <w:rsid w:val="00AE008F"/>
    <w:rsid w:val="00AE2CC6"/>
    <w:rsid w:val="00AE646B"/>
    <w:rsid w:val="00B01FCD"/>
    <w:rsid w:val="00B1776C"/>
    <w:rsid w:val="00B52583"/>
    <w:rsid w:val="00B52896"/>
    <w:rsid w:val="00B54669"/>
    <w:rsid w:val="00B87F5D"/>
    <w:rsid w:val="00B95236"/>
    <w:rsid w:val="00B96BD9"/>
    <w:rsid w:val="00BA1B01"/>
    <w:rsid w:val="00BA2641"/>
    <w:rsid w:val="00BB37AA"/>
    <w:rsid w:val="00BC53A0"/>
    <w:rsid w:val="00BE62AD"/>
    <w:rsid w:val="00BF121F"/>
    <w:rsid w:val="00BF1F80"/>
    <w:rsid w:val="00C166EF"/>
    <w:rsid w:val="00C17EB0"/>
    <w:rsid w:val="00C27F5F"/>
    <w:rsid w:val="00C30A0F"/>
    <w:rsid w:val="00C30D7F"/>
    <w:rsid w:val="00C37E61"/>
    <w:rsid w:val="00C552B3"/>
    <w:rsid w:val="00C62AB4"/>
    <w:rsid w:val="00C70F1B"/>
    <w:rsid w:val="00C71A47"/>
    <w:rsid w:val="00C7464C"/>
    <w:rsid w:val="00C85588"/>
    <w:rsid w:val="00C94EBB"/>
    <w:rsid w:val="00CD6755"/>
    <w:rsid w:val="00CD6856"/>
    <w:rsid w:val="00CE0089"/>
    <w:rsid w:val="00CE793C"/>
    <w:rsid w:val="00CF193C"/>
    <w:rsid w:val="00D173F1"/>
    <w:rsid w:val="00D31865"/>
    <w:rsid w:val="00D34F2B"/>
    <w:rsid w:val="00D74CB0"/>
    <w:rsid w:val="00D8295D"/>
    <w:rsid w:val="00DB7532"/>
    <w:rsid w:val="00DC2A65"/>
    <w:rsid w:val="00DE15F0"/>
    <w:rsid w:val="00DE517B"/>
    <w:rsid w:val="00DE5663"/>
    <w:rsid w:val="00DE78AA"/>
    <w:rsid w:val="00DF48CF"/>
    <w:rsid w:val="00DF4E51"/>
    <w:rsid w:val="00E053D0"/>
    <w:rsid w:val="00E15994"/>
    <w:rsid w:val="00E3114E"/>
    <w:rsid w:val="00E31A70"/>
    <w:rsid w:val="00E35B02"/>
    <w:rsid w:val="00E66496"/>
    <w:rsid w:val="00E66B35"/>
    <w:rsid w:val="00E66E10"/>
    <w:rsid w:val="00E769F6"/>
    <w:rsid w:val="00E8382D"/>
    <w:rsid w:val="00E8407C"/>
    <w:rsid w:val="00E84F3C"/>
    <w:rsid w:val="00E97915"/>
    <w:rsid w:val="00EA012C"/>
    <w:rsid w:val="00EB3E7C"/>
    <w:rsid w:val="00EC6A55"/>
    <w:rsid w:val="00ED0288"/>
    <w:rsid w:val="00ED4D8E"/>
    <w:rsid w:val="00EE52CB"/>
    <w:rsid w:val="00EE6119"/>
    <w:rsid w:val="00EF581D"/>
    <w:rsid w:val="00EF7FD8"/>
    <w:rsid w:val="00F06F59"/>
    <w:rsid w:val="00F17988"/>
    <w:rsid w:val="00F469F0"/>
    <w:rsid w:val="00F53273"/>
    <w:rsid w:val="00F53A43"/>
    <w:rsid w:val="00F755E4"/>
    <w:rsid w:val="00F77D02"/>
    <w:rsid w:val="00FB3A86"/>
    <w:rsid w:val="00FB75FA"/>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AC97F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B3E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unhideWhenUsed/>
    <w:rsid w:val="00006816"/>
    <w:pPr>
      <w:spacing w:after="120"/>
    </w:pPr>
  </w:style>
  <w:style w:type="character" w:customStyle="1" w:styleId="BodyTextChar">
    <w:name w:val="Body Text Char"/>
    <w:basedOn w:val="DefaultParagraphFont"/>
    <w:link w:val="BodyText"/>
    <w:rsid w:val="00006816"/>
    <w:rPr>
      <w:rFonts w:ascii="Helvetica" w:hAnsi="Helvetica"/>
    </w:rPr>
  </w:style>
  <w:style w:type="paragraph" w:styleId="ListParagraph">
    <w:name w:val="List Paragraph"/>
    <w:aliases w:val="Tabel,kepala,point-point,List Paragraph1,Judul super kecil,no subbab,Body Buku,Citation List,Graphic,Table of contents numbered,List Paragraph (bulleted list),Bullet 1 List,Body of text"/>
    <w:basedOn w:val="Normal"/>
    <w:link w:val="ListParagraphChar"/>
    <w:uiPriority w:val="34"/>
    <w:qFormat/>
    <w:rsid w:val="000216EB"/>
    <w:pPr>
      <w:ind w:left="720"/>
      <w:contextualSpacing/>
    </w:pPr>
    <w:rPr>
      <w:rFonts w:ascii="Times New Roman" w:hAnsi="Times New Roman"/>
      <w:sz w:val="24"/>
      <w:szCs w:val="24"/>
      <w:lang w:val="x-none" w:eastAsia="x-none"/>
    </w:rPr>
  </w:style>
  <w:style w:type="character" w:customStyle="1" w:styleId="ListParagraphChar">
    <w:name w:val="List Paragraph Char"/>
    <w:aliases w:val="Tabel Char,kepala Char,point-point Char,List Paragraph1 Char,Judul super kecil Char,no subbab Char,Body Buku Char,Citation List Char,Graphic Char,Table of contents numbered Char,List Paragraph (bulleted list) Char,Bullet 1 List Char"/>
    <w:link w:val="ListParagraph"/>
    <w:uiPriority w:val="34"/>
    <w:locked/>
    <w:rsid w:val="000216EB"/>
    <w:rPr>
      <w:sz w:val="24"/>
      <w:szCs w:val="24"/>
      <w:lang w:val="x-none" w:eastAsia="x-none"/>
    </w:rPr>
  </w:style>
  <w:style w:type="table" w:styleId="PlainTable2">
    <w:name w:val="Plain Table 2"/>
    <w:basedOn w:val="TableNormal"/>
    <w:uiPriority w:val="42"/>
    <w:rsid w:val="00EE6119"/>
    <w:rPr>
      <w:rFonts w:asciiTheme="minorHAnsi" w:eastAsiaTheme="minorHAnsi" w:hAnsiTheme="minorHAnsi" w:cstheme="minorBidi"/>
      <w:kern w:val="2"/>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semiHidden/>
    <w:rsid w:val="00EB3E7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70731"/>
    <w:rPr>
      <w:rFonts w:ascii="Helvetica" w:hAnsi="Helvetica"/>
    </w:rPr>
  </w:style>
  <w:style w:type="paragraph" w:styleId="CommentSubject">
    <w:name w:val="annotation subject"/>
    <w:basedOn w:val="CommentText"/>
    <w:next w:val="CommentText"/>
    <w:link w:val="CommentSubjectChar"/>
    <w:semiHidden/>
    <w:unhideWhenUsed/>
    <w:rsid w:val="00670731"/>
    <w:rPr>
      <w:rFonts w:ascii="Helvetica" w:hAnsi="Helvetica"/>
      <w:b/>
      <w:bCs/>
      <w:lang w:val="en-US" w:eastAsia="en-US"/>
    </w:rPr>
  </w:style>
  <w:style w:type="character" w:customStyle="1" w:styleId="CommentSubjectChar">
    <w:name w:val="Comment Subject Char"/>
    <w:basedOn w:val="CommentTextChar"/>
    <w:link w:val="CommentSubject"/>
    <w:semiHidden/>
    <w:rsid w:val="00670731"/>
    <w:rPr>
      <w:rFonts w:ascii="Helvetica" w:hAnsi="Helvetica"/>
      <w:b/>
      <w:bCs/>
      <w:lang w:val="nb-NO" w:eastAsia="nb-NO"/>
    </w:rPr>
  </w:style>
  <w:style w:type="character" w:customStyle="1" w:styleId="UnresolvedMention2">
    <w:name w:val="Unresolved Mention2"/>
    <w:basedOn w:val="DefaultParagraphFont"/>
    <w:uiPriority w:val="99"/>
    <w:semiHidden/>
    <w:unhideWhenUsed/>
    <w:rsid w:val="00C552B3"/>
    <w:rPr>
      <w:color w:val="605E5C"/>
      <w:shd w:val="clear" w:color="auto" w:fill="E1DFDD"/>
    </w:rPr>
  </w:style>
  <w:style w:type="character" w:styleId="UnresolvedMention">
    <w:name w:val="Unresolved Mention"/>
    <w:basedOn w:val="DefaultParagraphFont"/>
    <w:uiPriority w:val="99"/>
    <w:semiHidden/>
    <w:unhideWhenUsed/>
    <w:rsid w:val="00673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96306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9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14710/jkt.v18i3.533" TargetMode="External"/><Relationship Id="rId21" Type="http://schemas.openxmlformats.org/officeDocument/2006/relationships/hyperlink" Target="https://www.researchgate.net/publication/362581752_Optimasi_Kinerja_Udang_Vaname_Litopenaeus_vannamei_dengan_Suplementasi_Daun_Kelor_dan_Probiotik_pada_Paka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www.researchgate.net/publication/334488765_Penggunaan_Bahan_Aktif_Ekstrak_Daun_Jambu_Biji_Psidium_guajava_L_untuk_Menghambat_Pertumbuhan_Bakteri_Vibrio_harveyi_Penyebab_Penyakit_pada_Udang_Vaname_Litopenaeus_vannamei_Secara_in_Vitro"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proquest.com/docview/3126696985?pq-origsite=gscholar&amp;fromopenview=true&amp;sourcetype=Scholarly%20Journals" TargetMode="External"/><Relationship Id="rId29" Type="http://schemas.openxmlformats.org/officeDocument/2006/relationships/hyperlink" Target="https://eprints.unram.ac.id/id/eprint/329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uinsgd.ac.id/index.php/ak/article/view/345" TargetMode="External"/><Relationship Id="rId32" Type="http://schemas.openxmlformats.org/officeDocument/2006/relationships/footer" Target="footer4.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6733/usadha.v3i1.7345" TargetMode="External"/><Relationship Id="rId28" Type="http://schemas.openxmlformats.org/officeDocument/2006/relationships/hyperlink" Target="https://www.researchgate.net/publication/337417794_PENGARUH_TEKNOLOGI_BUDIDAYA_YANG_BERBEDA_TERHADAP_KUALITAS_AIR_PADA_TAMBAK_UDANG_INTENSI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kkp.go.id/download-pdf-akuntabilitas-kinerja/akuntabilitas-kinerja-pelaporan-kinerja-laporan-kinerja-direktorat-jenderal-perikanan-budi-daya-tahun-2024.pdf" TargetMode="External"/><Relationship Id="rId27" Type="http://schemas.openxmlformats.org/officeDocument/2006/relationships/hyperlink" Target="https://doi.org/10.29303/pepadu.v6i2.7479" TargetMode="External"/><Relationship Id="rId30" Type="http://schemas.openxmlformats.org/officeDocument/2006/relationships/header" Target="header4.xml"/><Relationship Id="rId35" Type="http://schemas.openxmlformats.org/officeDocument/2006/relationships/glossaryDocument" Target="glossary/document.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Videos\campuran\kumpul\BERDOALAH\Data%20Penelitian%20Skripsi%20Agius%202025%20DOC%2045%20DATA%20SEBENARNY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ownloads\Data%20Penelitian%20Skripsi%20Agius%202025%20DOC%2045(AutoRecovered).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9426186996089"/>
          <c:y val="9.0293453724604969E-2"/>
          <c:w val="0.77879555848932058"/>
          <c:h val="0.65616476270037349"/>
        </c:manualLayout>
      </c:layout>
      <c:barChart>
        <c:barDir val="col"/>
        <c:grouping val="clustered"/>
        <c:varyColors val="0"/>
        <c:ser>
          <c:idx val="0"/>
          <c:order val="0"/>
          <c:tx>
            <c:strRef>
              <c:f>'Berat Spesifik'!$K$3</c:f>
              <c:strCache>
                <c:ptCount val="1"/>
                <c:pt idx="0">
                  <c:v>Rata-Rata</c:v>
                </c:pt>
              </c:strCache>
            </c:strRef>
          </c:tx>
          <c:spPr>
            <a:pattFill prst="pct5">
              <a:fgClr>
                <a:schemeClr val="tx1"/>
              </a:fgClr>
              <a:bgClr>
                <a:schemeClr val="bg1"/>
              </a:bgClr>
            </a:pattFill>
            <a:ln w="3175" cmpd="sng">
              <a:solidFill>
                <a:sysClr val="windowText" lastClr="000000"/>
              </a:solidFill>
            </a:ln>
            <a:effectLst/>
          </c:spPr>
          <c:invertIfNegative val="0"/>
          <c:dPt>
            <c:idx val="0"/>
            <c:invertIfNegative val="0"/>
            <c:bubble3D val="0"/>
            <c:spPr>
              <a:pattFill prst="wdDnDiag">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1-0209-433C-B082-C02A0B79910B}"/>
              </c:ext>
            </c:extLst>
          </c:dPt>
          <c:dPt>
            <c:idx val="1"/>
            <c:invertIfNegative val="0"/>
            <c:bubble3D val="0"/>
            <c:spPr>
              <a:pattFill prst="dotGrid">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3-0209-433C-B082-C02A0B79910B}"/>
              </c:ext>
            </c:extLst>
          </c:dPt>
          <c:dPt>
            <c:idx val="2"/>
            <c:invertIfNegative val="0"/>
            <c:bubble3D val="0"/>
            <c:spPr>
              <a:pattFill prst="dkHorz">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5-0209-433C-B082-C02A0B79910B}"/>
              </c:ext>
            </c:extLst>
          </c:dPt>
          <c:dPt>
            <c:idx val="4"/>
            <c:invertIfNegative val="0"/>
            <c:bubble3D val="0"/>
            <c:spPr>
              <a:pattFill prst="dkVert">
                <a:fgClr>
                  <a:schemeClr val="tx1"/>
                </a:fgClr>
                <a:bgClr>
                  <a:schemeClr val="bg1"/>
                </a:bgClr>
              </a:pattFill>
              <a:ln w="3175" cmpd="sng">
                <a:solidFill>
                  <a:sysClr val="windowText" lastClr="000000"/>
                </a:solidFill>
              </a:ln>
              <a:effectLst/>
            </c:spPr>
            <c:extLst>
              <c:ext xmlns:c16="http://schemas.microsoft.com/office/drawing/2014/chart" uri="{C3380CC4-5D6E-409C-BE32-E72D297353CC}">
                <c16:uniqueId val="{00000007-0209-433C-B082-C02A0B79910B}"/>
              </c:ext>
            </c:extLst>
          </c:dPt>
          <c:dLbls>
            <c:dLbl>
              <c:idx val="0"/>
              <c:layout>
                <c:manualLayout>
                  <c:x val="-2.7840516369237152E-3"/>
                  <c:y val="-9.2117748943383093E-2"/>
                </c:manualLayout>
              </c:layout>
              <c:tx>
                <c:rich>
                  <a:bodyPr/>
                  <a:lstStyle/>
                  <a:p>
                    <a:fld id="{6DBADC16-BDA8-4488-B7D6-29EA06C8CBF4}" type="VALUE">
                      <a:rPr lang="en-US"/>
                      <a:pPr/>
                      <a:t>[VALUE]</a:t>
                    </a:fld>
                    <a:r>
                      <a:rPr lang="en-US" sz="900" b="0" i="0" u="none" strike="noStrike" kern="1200" baseline="0">
                        <a:solidFill>
                          <a:sysClr val="windowText" lastClr="000000">
                            <a:lumMod val="75000"/>
                            <a:lumOff val="25000"/>
                          </a:sysClr>
                        </a:solidFill>
                      </a:rPr>
                      <a:t>±0.24</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209-433C-B082-C02A0B79910B}"/>
                </c:ext>
              </c:extLst>
            </c:dLbl>
            <c:dLbl>
              <c:idx val="1"/>
              <c:layout>
                <c:manualLayout>
                  <c:x val="2.7926010868323786E-3"/>
                  <c:y val="-5.936706612090218E-2"/>
                </c:manualLayout>
              </c:layout>
              <c:tx>
                <c:rich>
                  <a:bodyPr/>
                  <a:lstStyle/>
                  <a:p>
                    <a:fld id="{4DF6EAA8-3324-4534-B243-14EA6B5903DF}" type="VALUE">
                      <a:rPr lang="en-US"/>
                      <a:pPr/>
                      <a:t>[VALUE]</a:t>
                    </a:fld>
                    <a:r>
                      <a:rPr lang="en-US" sz="900" b="0" i="0" u="none" strike="noStrike" kern="1200" baseline="0">
                        <a:solidFill>
                          <a:sysClr val="windowText" lastClr="000000">
                            <a:lumMod val="75000"/>
                            <a:lumOff val="25000"/>
                          </a:sysClr>
                        </a:solidFill>
                      </a:rPr>
                      <a:t>±0.15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209-433C-B082-C02A0B79910B}"/>
                </c:ext>
              </c:extLst>
            </c:dLbl>
            <c:dLbl>
              <c:idx val="2"/>
              <c:layout>
                <c:manualLayout>
                  <c:x val="2.7956701201329241E-3"/>
                  <c:y val="-1.9353668736722895E-2"/>
                </c:manualLayout>
              </c:layout>
              <c:tx>
                <c:rich>
                  <a:bodyPr/>
                  <a:lstStyle/>
                  <a:p>
                    <a:fld id="{31D5C745-E995-4AA7-8E66-ACE71B9E82AA}"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209-433C-B082-C02A0B79910B}"/>
                </c:ext>
              </c:extLst>
            </c:dLbl>
            <c:dLbl>
              <c:idx val="3"/>
              <c:layout>
                <c:manualLayout>
                  <c:x val="0"/>
                  <c:y val="-4.6949658505928804E-2"/>
                </c:manualLayout>
              </c:layout>
              <c:tx>
                <c:rich>
                  <a:bodyPr/>
                  <a:lstStyle/>
                  <a:p>
                    <a:fld id="{D9FA7941-0205-473E-B9D7-1D4BB4953B5B}" type="VALUE">
                      <a:rPr lang="en-US"/>
                      <a:pPr/>
                      <a:t>[VALUE]</a:t>
                    </a:fld>
                    <a:r>
                      <a:rPr lang="en-US" sz="900" b="0" i="0" u="none" strike="noStrike" kern="1200" baseline="0">
                        <a:solidFill>
                          <a:sysClr val="windowText" lastClr="000000">
                            <a:lumMod val="75000"/>
                            <a:lumOff val="25000"/>
                          </a:sysClr>
                        </a:solidFill>
                      </a:rPr>
                      <a:t>±0.16</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209-433C-B082-C02A0B79910B}"/>
                </c:ext>
              </c:extLst>
            </c:dLbl>
            <c:dLbl>
              <c:idx val="4"/>
              <c:layout>
                <c:manualLayout>
                  <c:x val="0"/>
                  <c:y val="-1.8800749069214879E-2"/>
                </c:manualLayout>
              </c:layout>
              <c:tx>
                <c:rich>
                  <a:bodyPr/>
                  <a:lstStyle/>
                  <a:p>
                    <a:fld id="{03489326-9FC0-49F2-A211-02CAD7BE87CC}"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209-433C-B082-C02A0B79910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plus>
            <c:minus>
              <c:numRef>
                <c:f>'Berat Spesifik'!$L$4:$L$8</c:f>
                <c:numCache>
                  <c:formatCode>General</c:formatCode>
                  <c:ptCount val="5"/>
                  <c:pt idx="0">
                    <c:v>0.23500317891162675</c:v>
                  </c:pt>
                  <c:pt idx="1">
                    <c:v>0.14523901887586094</c:v>
                  </c:pt>
                  <c:pt idx="2">
                    <c:v>5.0243021426978347E-2</c:v>
                  </c:pt>
                  <c:pt idx="3">
                    <c:v>0.15723977616255705</c:v>
                  </c:pt>
                  <c:pt idx="4">
                    <c:v>5.0295075788847295E-2</c:v>
                  </c:pt>
                </c:numCache>
              </c:numRef>
            </c:minus>
            <c:spPr>
              <a:noFill/>
              <a:ln w="9525" cap="flat" cmpd="sng" algn="ctr">
                <a:solidFill>
                  <a:schemeClr val="tx1">
                    <a:lumMod val="65000"/>
                    <a:lumOff val="35000"/>
                  </a:schemeClr>
                </a:solidFill>
                <a:round/>
              </a:ln>
              <a:effectLst/>
            </c:spPr>
          </c:errBars>
          <c:cat>
            <c:strRef>
              <c:f>'Berat Spesifik'!$J$4:$J$8</c:f>
              <c:strCache>
                <c:ptCount val="5"/>
                <c:pt idx="0">
                  <c:v>P1</c:v>
                </c:pt>
                <c:pt idx="1">
                  <c:v>P2</c:v>
                </c:pt>
                <c:pt idx="2">
                  <c:v>P3</c:v>
                </c:pt>
                <c:pt idx="3">
                  <c:v>P4</c:v>
                </c:pt>
                <c:pt idx="4">
                  <c:v>P5</c:v>
                </c:pt>
              </c:strCache>
            </c:strRef>
          </c:cat>
          <c:val>
            <c:numRef>
              <c:f>'Berat Spesifik'!$K$4:$K$8</c:f>
              <c:numCache>
                <c:formatCode>0.00</c:formatCode>
                <c:ptCount val="5"/>
                <c:pt idx="0">
                  <c:v>0.66999248024916647</c:v>
                </c:pt>
                <c:pt idx="1">
                  <c:v>0.88346055252523537</c:v>
                </c:pt>
                <c:pt idx="2">
                  <c:v>1.1488177891340832</c:v>
                </c:pt>
                <c:pt idx="3">
                  <c:v>1.2532865384357585</c:v>
                </c:pt>
                <c:pt idx="4">
                  <c:v>1.3676052288745784</c:v>
                </c:pt>
              </c:numCache>
            </c:numRef>
          </c:val>
          <c:extLst>
            <c:ext xmlns:c16="http://schemas.microsoft.com/office/drawing/2014/chart" uri="{C3380CC4-5D6E-409C-BE32-E72D297353CC}">
              <c16:uniqueId val="{00000009-0209-433C-B082-C02A0B79910B}"/>
            </c:ext>
          </c:extLst>
        </c:ser>
        <c:dLbls>
          <c:dLblPos val="outEnd"/>
          <c:showLegendKey val="0"/>
          <c:showVal val="1"/>
          <c:showCatName val="0"/>
          <c:showSerName val="0"/>
          <c:showPercent val="0"/>
          <c:showBubbleSize val="0"/>
        </c:dLbls>
        <c:gapWidth val="219"/>
        <c:overlap val="-27"/>
        <c:axId val="1049872255"/>
        <c:axId val="1049872735"/>
      </c:barChart>
      <c:catAx>
        <c:axId val="104987225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id-ID"/>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735"/>
        <c:crosses val="autoZero"/>
        <c:auto val="1"/>
        <c:lblAlgn val="ctr"/>
        <c:lblOffset val="100"/>
        <c:noMultiLvlLbl val="0"/>
      </c:catAx>
      <c:valAx>
        <c:axId val="104987273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800" b="0" i="0" u="none" strike="noStrike" baseline="0"/>
                  <a:t>Specific Weight</a:t>
                </a:r>
                <a:r>
                  <a:rPr lang="id-ID" sz="800" b="0" i="0" u="none" strike="noStrike" baseline="0"/>
                  <a:t> </a:t>
                </a:r>
                <a:r>
                  <a:rPr lang="en-US" sz="800"/>
                  <a:t>(%</a:t>
                </a:r>
                <a:r>
                  <a:rPr lang="id-ID" sz="800"/>
                  <a:t>/day</a:t>
                </a:r>
                <a:r>
                  <a:rPr lang="en-US" sz="800"/>
                  <a:t>)</a:t>
                </a:r>
                <a:endParaRPr lang="id-ID" sz="800"/>
              </a:p>
            </c:rich>
          </c:tx>
          <c:layout>
            <c:manualLayout>
              <c:xMode val="edge"/>
              <c:yMode val="edge"/>
              <c:x val="2.619760479041916E-2"/>
              <c:y val="0.123196733591145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049872255"/>
        <c:crosses val="autoZero"/>
        <c:crossBetween val="between"/>
      </c:valAx>
      <c:spPr>
        <a:noFill/>
        <a:ln w="3175">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87431288070125"/>
          <c:y val="8.4483204732580336E-2"/>
          <c:w val="0.82409630820172208"/>
          <c:h val="0.74078147006499051"/>
        </c:manualLayout>
      </c:layout>
      <c:barChart>
        <c:barDir val="col"/>
        <c:grouping val="clustered"/>
        <c:varyColors val="0"/>
        <c:ser>
          <c:idx val="0"/>
          <c:order val="0"/>
          <c:tx>
            <c:strRef>
              <c:f>'Panjang Spesifik'!$K$3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zigZ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F42-43F4-8F23-898DF67FCB00}"/>
              </c:ext>
            </c:extLst>
          </c:dPt>
          <c:dPt>
            <c:idx val="1"/>
            <c:invertIfNegative val="0"/>
            <c:bubble3D val="0"/>
            <c:spPr>
              <a:pattFill prst="dk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F42-43F4-8F23-898DF67FCB00}"/>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F42-43F4-8F23-898DF67FCB00}"/>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F42-43F4-8F23-898DF67FCB00}"/>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F42-43F4-8F23-898DF67FCB00}"/>
              </c:ext>
            </c:extLst>
          </c:dPt>
          <c:dLbls>
            <c:dLbl>
              <c:idx val="0"/>
              <c:layout>
                <c:manualLayout>
                  <c:x val="-2.546568771427733E-17"/>
                  <c:y val="-2.8383613902809895E-2"/>
                </c:manualLayout>
              </c:layout>
              <c:tx>
                <c:rich>
                  <a:bodyPr/>
                  <a:lstStyle/>
                  <a:p>
                    <a:fld id="{20554019-9476-4E15-84A1-7F4B657930D1}" type="VALUE">
                      <a:rPr lang="en-US"/>
                      <a:pPr/>
                      <a:t>[VALUE]</a:t>
                    </a:fld>
                    <a:r>
                      <a:rPr lang="en-US" sz="900" b="0" i="0" u="none" strike="noStrike" kern="1200" baseline="0">
                        <a:solidFill>
                          <a:sysClr val="windowText" lastClr="000000">
                            <a:lumMod val="75000"/>
                            <a:lumOff val="25000"/>
                          </a:sysClr>
                        </a:solidFill>
                      </a:rPr>
                      <a:t>±0.01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F42-43F4-8F23-898DF67FCB00}"/>
                </c:ext>
              </c:extLst>
            </c:dLbl>
            <c:dLbl>
              <c:idx val="1"/>
              <c:layout>
                <c:manualLayout>
                  <c:x val="0"/>
                  <c:y val="-2.5685828167315981E-2"/>
                </c:manualLayout>
              </c:layout>
              <c:tx>
                <c:rich>
                  <a:bodyPr/>
                  <a:lstStyle/>
                  <a:p>
                    <a:fld id="{E003808B-6D73-4636-9CF7-D26FE10209E0}" type="VALUE">
                      <a:rPr lang="en-US"/>
                      <a:pPr/>
                      <a:t>[VALUE]</a:t>
                    </a:fld>
                    <a:r>
                      <a:rPr lang="en-US" sz="900" b="0" i="0" u="none" strike="noStrike" kern="1200" baseline="0">
                        <a:solidFill>
                          <a:sysClr val="windowText" lastClr="000000">
                            <a:lumMod val="75000"/>
                            <a:lumOff val="25000"/>
                          </a:sysClr>
                        </a:solidFill>
                      </a:rPr>
                      <a:t>±0.03</a:t>
                    </a:r>
                    <a:r>
                      <a:rPr lang="en-US" sz="12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42-43F4-8F23-898DF67FCB00}"/>
                </c:ext>
              </c:extLst>
            </c:dLbl>
            <c:dLbl>
              <c:idx val="2"/>
              <c:layout>
                <c:manualLayout>
                  <c:x val="0"/>
                  <c:y val="-3.0774047848267549E-2"/>
                </c:manualLayout>
              </c:layout>
              <c:tx>
                <c:rich>
                  <a:bodyPr/>
                  <a:lstStyle/>
                  <a:p>
                    <a:fld id="{B2F06D28-C60A-452F-8C6F-4886B1F8CF84}" type="VALUE">
                      <a:rPr lang="en-US"/>
                      <a:pPr/>
                      <a:t>[VALUE]</a:t>
                    </a:fld>
                    <a:r>
                      <a:rPr lang="en-US" sz="900" b="0" i="0" u="none" strike="noStrike" kern="1200" baseline="0">
                        <a:solidFill>
                          <a:sysClr val="windowText" lastClr="000000">
                            <a:lumMod val="75000"/>
                            <a:lumOff val="25000"/>
                          </a:sysClr>
                        </a:solidFill>
                      </a:rPr>
                      <a:t>±0.1</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42-43F4-8F23-898DF67FCB00}"/>
                </c:ext>
              </c:extLst>
            </c:dLbl>
            <c:dLbl>
              <c:idx val="3"/>
              <c:layout>
                <c:manualLayout>
                  <c:x val="8.3486850185096433E-3"/>
                  <c:y val="-8.5703515778243575E-2"/>
                </c:manualLayout>
              </c:layout>
              <c:tx>
                <c:rich>
                  <a:bodyPr/>
                  <a:lstStyle/>
                  <a:p>
                    <a:fld id="{D9DF992E-3F43-42D2-B92A-88103AE42ADF}" type="VALUE">
                      <a:rPr lang="en-US"/>
                      <a:pPr/>
                      <a:t>[VALUE]</a:t>
                    </a:fld>
                    <a:r>
                      <a:rPr lang="en-US" sz="900" b="0" i="0" u="none" strike="noStrike" kern="1200" baseline="0">
                        <a:solidFill>
                          <a:sysClr val="windowText" lastClr="000000">
                            <a:lumMod val="75000"/>
                            <a:lumOff val="25000"/>
                          </a:sysClr>
                        </a:solidFill>
                      </a:rPr>
                      <a:t>±0.10</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42-43F4-8F23-898DF67FCB00}"/>
                </c:ext>
              </c:extLst>
            </c:dLbl>
            <c:dLbl>
              <c:idx val="4"/>
              <c:tx>
                <c:rich>
                  <a:bodyPr/>
                  <a:lstStyle/>
                  <a:p>
                    <a:fld id="{989947B8-79C3-42E9-A0F1-4B1C59DAC657}" type="VALUE">
                      <a:rPr lang="en-US"/>
                      <a:pPr/>
                      <a:t>[VALUE]</a:t>
                    </a:fld>
                    <a:r>
                      <a:rPr lang="en-US" sz="900" b="0" i="0" u="none" strike="noStrike" kern="1200" baseline="0">
                        <a:solidFill>
                          <a:sysClr val="windowText" lastClr="000000">
                            <a:lumMod val="75000"/>
                            <a:lumOff val="25000"/>
                          </a:sysClr>
                        </a:solidFill>
                      </a:rPr>
                      <a:t>±0.02</a:t>
                    </a:r>
                    <a:r>
                      <a:rPr lang="en-US" sz="12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F42-43F4-8F23-898DF67FCB00}"/>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plus>
            <c:minus>
              <c:numRef>
                <c:f>'Panjang Spesifik'!$L$4:$L$8</c:f>
                <c:numCache>
                  <c:formatCode>General</c:formatCode>
                  <c:ptCount val="5"/>
                  <c:pt idx="0">
                    <c:v>1.4176946437391136E-2</c:v>
                  </c:pt>
                  <c:pt idx="1">
                    <c:v>2.7298914935988801E-2</c:v>
                  </c:pt>
                  <c:pt idx="2">
                    <c:v>1.3434683993662674E-2</c:v>
                  </c:pt>
                  <c:pt idx="3">
                    <c:v>0.10086886712115829</c:v>
                  </c:pt>
                  <c:pt idx="4">
                    <c:v>2.3982017836209752E-2</c:v>
                  </c:pt>
                </c:numCache>
              </c:numRef>
            </c:minus>
            <c:spPr>
              <a:noFill/>
              <a:ln w="9525" cap="flat" cmpd="sng" algn="ctr">
                <a:solidFill>
                  <a:schemeClr val="tx1">
                    <a:lumMod val="65000"/>
                    <a:lumOff val="35000"/>
                  </a:schemeClr>
                </a:solidFill>
                <a:round/>
              </a:ln>
              <a:effectLst/>
            </c:spPr>
          </c:errBars>
          <c:cat>
            <c:strRef>
              <c:f>'Panjang Spesifik'!$J$4:$J$8</c:f>
              <c:strCache>
                <c:ptCount val="5"/>
                <c:pt idx="0">
                  <c:v>P1</c:v>
                </c:pt>
                <c:pt idx="1">
                  <c:v>P2</c:v>
                </c:pt>
                <c:pt idx="2">
                  <c:v>P3</c:v>
                </c:pt>
                <c:pt idx="3">
                  <c:v>P4</c:v>
                </c:pt>
                <c:pt idx="4">
                  <c:v>P5</c:v>
                </c:pt>
              </c:strCache>
            </c:strRef>
          </c:cat>
          <c:val>
            <c:numRef>
              <c:f>'Panjang Spesifik'!$K$4:$K$8</c:f>
              <c:numCache>
                <c:formatCode>0.00</c:formatCode>
                <c:ptCount val="5"/>
                <c:pt idx="0">
                  <c:v>3.9898727732375932</c:v>
                </c:pt>
                <c:pt idx="1">
                  <c:v>4.0860760541094132</c:v>
                </c:pt>
                <c:pt idx="2">
                  <c:v>4.1173501268367287</c:v>
                </c:pt>
                <c:pt idx="3">
                  <c:v>4.2068795358691666</c:v>
                </c:pt>
                <c:pt idx="4">
                  <c:v>4.373000700039908</c:v>
                </c:pt>
              </c:numCache>
            </c:numRef>
          </c:val>
          <c:extLst>
            <c:ext xmlns:c16="http://schemas.microsoft.com/office/drawing/2014/chart" uri="{C3380CC4-5D6E-409C-BE32-E72D297353CC}">
              <c16:uniqueId val="{0000000A-8F42-43F4-8F23-898DF67FCB00}"/>
            </c:ext>
          </c:extLst>
        </c:ser>
        <c:dLbls>
          <c:dLblPos val="outEnd"/>
          <c:showLegendKey val="0"/>
          <c:showVal val="1"/>
          <c:showCatName val="0"/>
          <c:showSerName val="0"/>
          <c:showPercent val="0"/>
          <c:showBubbleSize val="0"/>
        </c:dLbls>
        <c:gapWidth val="219"/>
        <c:overlap val="-27"/>
        <c:axId val="1050675359"/>
        <c:axId val="1050672959"/>
      </c:barChart>
      <c:catAx>
        <c:axId val="105067535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2959"/>
        <c:crosses val="autoZero"/>
        <c:auto val="1"/>
        <c:lblAlgn val="ctr"/>
        <c:lblOffset val="100"/>
        <c:noMultiLvlLbl val="0"/>
      </c:catAx>
      <c:valAx>
        <c:axId val="105067295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0" i="0" u="none" strike="noStrike" baseline="0"/>
                  <a:t>Specific Length (%/day)</a:t>
                </a:r>
                <a:endParaRPr lang="id-ID" sz="800">
                  <a:solidFill>
                    <a:sysClr val="windowText" lastClr="000000"/>
                  </a:solidFill>
                </a:endParaRPr>
              </a:p>
            </c:rich>
          </c:tx>
          <c:layout>
            <c:manualLayout>
              <c:xMode val="edge"/>
              <c:yMode val="edge"/>
              <c:x val="1.0078740157480314E-2"/>
              <c:y val="0.1828400384576625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506753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FCR!$N$3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8B1F-4638-BB90-1A282E26132C}"/>
              </c:ext>
            </c:extLst>
          </c:dPt>
          <c:dPt>
            <c:idx val="1"/>
            <c:invertIfNegative val="0"/>
            <c:bubble3D val="0"/>
            <c:spPr>
              <a:pattFill prst="dash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8B1F-4638-BB90-1A282E26132C}"/>
              </c:ext>
            </c:extLst>
          </c:dPt>
          <c:dPt>
            <c:idx val="2"/>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8B1F-4638-BB90-1A282E26132C}"/>
              </c:ext>
            </c:extLst>
          </c:dPt>
          <c:dPt>
            <c:idx val="3"/>
            <c:invertIfNegative val="0"/>
            <c:bubble3D val="0"/>
            <c:spPr>
              <a:pattFill prst="horz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8B1F-4638-BB90-1A282E26132C}"/>
              </c:ext>
            </c:extLst>
          </c:dPt>
          <c:dPt>
            <c:idx val="4"/>
            <c:invertIfNegative val="0"/>
            <c:bubble3D val="0"/>
            <c:spPr>
              <a:pattFill prst="pct75">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8B1F-4638-BB90-1A282E26132C}"/>
              </c:ext>
            </c:extLst>
          </c:dPt>
          <c:dLbls>
            <c:dLbl>
              <c:idx val="0"/>
              <c:layout>
                <c:manualLayout>
                  <c:x val="0"/>
                  <c:y val="-8.3580353635725121E-2"/>
                </c:manualLayout>
              </c:layout>
              <c:tx>
                <c:rich>
                  <a:bodyPr/>
                  <a:lstStyle/>
                  <a:p>
                    <a:fld id="{2C753D2C-F82A-4865-94CA-551289C1A703}" type="VALUE">
                      <a:rPr lang="en-US"/>
                      <a:pPr/>
                      <a:t>[VALUE]</a:t>
                    </a:fld>
                    <a:r>
                      <a:rPr lang="en-US" sz="900" b="0" i="0" u="none" strike="noStrike" kern="1200" baseline="0">
                        <a:solidFill>
                          <a:sysClr val="windowText" lastClr="000000">
                            <a:lumMod val="75000"/>
                            <a:lumOff val="25000"/>
                          </a:sysClr>
                        </a:solidFill>
                      </a:rPr>
                      <a:t>±0.31</a:t>
                    </a:r>
                    <a:r>
                      <a:rPr lang="en-US" sz="1200" b="0" i="0" u="none" strike="noStrike" kern="1200" baseline="30000">
                        <a:solidFill>
                          <a:sysClr val="windowText" lastClr="000000">
                            <a:lumMod val="75000"/>
                            <a:lumOff val="25000"/>
                          </a:sysClr>
                        </a:solidFill>
                      </a:rPr>
                      <a:t>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B1F-4638-BB90-1A282E26132C}"/>
                </c:ext>
              </c:extLst>
            </c:dLbl>
            <c:dLbl>
              <c:idx val="1"/>
              <c:layout>
                <c:manualLayout>
                  <c:x val="0"/>
                  <c:y val="-6.4582910478382216E-2"/>
                </c:manualLayout>
              </c:layout>
              <c:tx>
                <c:rich>
                  <a:bodyPr/>
                  <a:lstStyle/>
                  <a:p>
                    <a:fld id="{EC21D9AB-DB7D-4612-8AD1-28010582C744}" type="VALUE">
                      <a:rPr lang="en-US"/>
                      <a:pPr/>
                      <a:t>[VALUE]</a:t>
                    </a:fld>
                    <a:r>
                      <a:rPr lang="en-US" sz="900" b="0" i="0" u="none" strike="noStrike" kern="1200" baseline="0">
                        <a:solidFill>
                          <a:sysClr val="windowText" lastClr="000000">
                            <a:lumMod val="75000"/>
                            <a:lumOff val="25000"/>
                          </a:sysClr>
                        </a:solidFill>
                      </a:rPr>
                      <a:t>±0.25</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B1F-4638-BB90-1A282E26132C}"/>
                </c:ext>
              </c:extLst>
            </c:dLbl>
            <c:dLbl>
              <c:idx val="2"/>
              <c:layout>
                <c:manualLayout>
                  <c:x val="0"/>
                  <c:y val="-5.2145824717327462E-2"/>
                </c:manualLayout>
              </c:layout>
              <c:tx>
                <c:rich>
                  <a:bodyPr/>
                  <a:lstStyle/>
                  <a:p>
                    <a:fld id="{9FC15F70-087D-4E93-9226-6227B05D9472}" type="VALUE">
                      <a:rPr lang="en-US"/>
                      <a:pPr/>
                      <a:t>[VALUE]</a:t>
                    </a:fld>
                    <a:r>
                      <a:rPr lang="en-US" sz="900" b="0" i="0" u="none" strike="noStrike" kern="1200" baseline="0">
                        <a:solidFill>
                          <a:sysClr val="windowText" lastClr="000000">
                            <a:lumMod val="75000"/>
                            <a:lumOff val="25000"/>
                          </a:sysClr>
                        </a:solidFill>
                      </a:rPr>
                      <a:t>±0.08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B1F-4638-BB90-1A282E26132C}"/>
                </c:ext>
              </c:extLst>
            </c:dLbl>
            <c:dLbl>
              <c:idx val="3"/>
              <c:layout>
                <c:manualLayout>
                  <c:x val="-2.7709057907107518E-3"/>
                  <c:y val="-3.5977196980140611E-2"/>
                </c:manualLayout>
              </c:layout>
              <c:tx>
                <c:rich>
                  <a:bodyPr/>
                  <a:lstStyle/>
                  <a:p>
                    <a:fld id="{AB30B996-9B05-4B90-8448-7C4C7812A65A}" type="VALUE">
                      <a:rPr lang="en-US"/>
                      <a:pPr/>
                      <a:t>[VALUE]</a:t>
                    </a:fld>
                    <a:r>
                      <a:rPr lang="en-US" sz="900" b="0" i="0" u="none" strike="noStrike" kern="1200" baseline="0">
                        <a:solidFill>
                          <a:sysClr val="windowText" lastClr="000000">
                            <a:lumMod val="75000"/>
                            <a:lumOff val="25000"/>
                          </a:sysClr>
                        </a:solidFill>
                      </a:rPr>
                      <a:t>±0.18</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B1F-4638-BB90-1A282E26132C}"/>
                </c:ext>
              </c:extLst>
            </c:dLbl>
            <c:dLbl>
              <c:idx val="4"/>
              <c:layout>
                <c:manualLayout>
                  <c:x val="0"/>
                  <c:y val="-1.3754136312875448E-2"/>
                </c:manualLayout>
              </c:layout>
              <c:tx>
                <c:rich>
                  <a:bodyPr/>
                  <a:lstStyle/>
                  <a:p>
                    <a:fld id="{187A30A7-40DF-4626-9CE6-19CEB9090A8B}" type="VALUE">
                      <a:rPr lang="en-US"/>
                      <a:pPr/>
                      <a:t>[VALUE]</a:t>
                    </a:fld>
                    <a:r>
                      <a:rPr lang="en-US" sz="900" b="0" i="0" u="none" strike="noStrike" kern="1200" baseline="0">
                        <a:solidFill>
                          <a:sysClr val="windowText" lastClr="000000">
                            <a:lumMod val="75000"/>
                            <a:lumOff val="25000"/>
                          </a:sysClr>
                        </a:solidFill>
                      </a:rPr>
                      <a:t>±0.05</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B1F-4638-BB90-1A282E26132C}"/>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FCR!$O$4:$O$8</c:f>
                <c:numCache>
                  <c:formatCode>General</c:formatCode>
                  <c:ptCount val="5"/>
                  <c:pt idx="0">
                    <c:v>0.31343555068559958</c:v>
                  </c:pt>
                  <c:pt idx="1">
                    <c:v>0.2475689795702799</c:v>
                  </c:pt>
                  <c:pt idx="2">
                    <c:v>7.5373561412055062E-2</c:v>
                  </c:pt>
                  <c:pt idx="3">
                    <c:v>0.18409531635298493</c:v>
                  </c:pt>
                  <c:pt idx="4">
                    <c:v>4.8986465935913236E-2</c:v>
                  </c:pt>
                </c:numCache>
              </c:numRef>
            </c:plus>
            <c:minus>
              <c:numRef>
                <c:f>FCR!$O$4:$O$8</c:f>
                <c:numCache>
                  <c:formatCode>General</c:formatCode>
                  <c:ptCount val="5"/>
                  <c:pt idx="0">
                    <c:v>0.31343555068559958</c:v>
                  </c:pt>
                  <c:pt idx="1">
                    <c:v>0.2475689795702799</c:v>
                  </c:pt>
                  <c:pt idx="2">
                    <c:v>7.5373561412055062E-2</c:v>
                  </c:pt>
                  <c:pt idx="3">
                    <c:v>0.18409531635298493</c:v>
                  </c:pt>
                  <c:pt idx="4">
                    <c:v>4.8986465935913236E-2</c:v>
                  </c:pt>
                </c:numCache>
              </c:numRef>
            </c:minus>
            <c:spPr>
              <a:noFill/>
              <a:ln w="9525" cap="flat" cmpd="sng" algn="ctr">
                <a:solidFill>
                  <a:schemeClr val="tx1">
                    <a:lumMod val="65000"/>
                    <a:lumOff val="35000"/>
                  </a:schemeClr>
                </a:solidFill>
                <a:round/>
              </a:ln>
              <a:effectLst/>
            </c:spPr>
          </c:errBars>
          <c:cat>
            <c:strRef>
              <c:f>FCR!$M$4:$M$8</c:f>
              <c:strCache>
                <c:ptCount val="5"/>
                <c:pt idx="0">
                  <c:v>P1</c:v>
                </c:pt>
                <c:pt idx="1">
                  <c:v>P2</c:v>
                </c:pt>
                <c:pt idx="2">
                  <c:v>P3</c:v>
                </c:pt>
                <c:pt idx="3">
                  <c:v>P4</c:v>
                </c:pt>
                <c:pt idx="4">
                  <c:v>P5</c:v>
                </c:pt>
              </c:strCache>
            </c:strRef>
          </c:cat>
          <c:val>
            <c:numRef>
              <c:f>FCR!$N$4:$N$8</c:f>
              <c:numCache>
                <c:formatCode>0.00</c:formatCode>
                <c:ptCount val="5"/>
                <c:pt idx="0">
                  <c:v>1.988182762614785</c:v>
                </c:pt>
                <c:pt idx="1">
                  <c:v>1.627841760436467</c:v>
                </c:pt>
                <c:pt idx="2">
                  <c:v>1.3699708585960522</c:v>
                </c:pt>
                <c:pt idx="3">
                  <c:v>1.2624791801487554</c:v>
                </c:pt>
                <c:pt idx="4">
                  <c:v>1.1303740214148352</c:v>
                </c:pt>
              </c:numCache>
            </c:numRef>
          </c:val>
          <c:extLst>
            <c:ext xmlns:c16="http://schemas.microsoft.com/office/drawing/2014/chart" uri="{C3380CC4-5D6E-409C-BE32-E72D297353CC}">
              <c16:uniqueId val="{0000000A-8B1F-4638-BB90-1A282E26132C}"/>
            </c:ext>
          </c:extLst>
        </c:ser>
        <c:dLbls>
          <c:dLblPos val="outEnd"/>
          <c:showLegendKey val="0"/>
          <c:showVal val="1"/>
          <c:showCatName val="0"/>
          <c:showSerName val="0"/>
          <c:showPercent val="0"/>
          <c:showBubbleSize val="0"/>
        </c:dLbls>
        <c:gapWidth val="219"/>
        <c:overlap val="-27"/>
        <c:axId val="951354399"/>
        <c:axId val="951353919"/>
      </c:barChart>
      <c:catAx>
        <c:axId val="95135439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3919"/>
        <c:crosses val="autoZero"/>
        <c:auto val="1"/>
        <c:lblAlgn val="ctr"/>
        <c:lblOffset val="100"/>
        <c:noMultiLvlLbl val="0"/>
      </c:catAx>
      <c:valAx>
        <c:axId val="951353919"/>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F</a:t>
                </a:r>
                <a:r>
                  <a:rPr lang="id-ID" sz="800">
                    <a:solidFill>
                      <a:sysClr val="windowText" lastClr="000000"/>
                    </a:solidFill>
                  </a:rPr>
                  <a:t>ee</a:t>
                </a:r>
                <a:r>
                  <a:rPr lang="en-US" sz="800">
                    <a:solidFill>
                      <a:sysClr val="windowText" lastClr="000000"/>
                    </a:solidFill>
                  </a:rPr>
                  <a:t>d Conver</a:t>
                </a:r>
                <a:r>
                  <a:rPr lang="id-ID" sz="800">
                    <a:solidFill>
                      <a:sysClr val="windowText" lastClr="000000"/>
                    </a:solidFill>
                  </a:rPr>
                  <a:t>s</a:t>
                </a:r>
                <a:r>
                  <a:rPr lang="en-US" sz="800">
                    <a:solidFill>
                      <a:sysClr val="windowText" lastClr="000000"/>
                    </a:solidFill>
                  </a:rPr>
                  <a:t>ion Ratio </a:t>
                </a:r>
                <a:endParaRPr lang="id-ID" sz="800">
                  <a:solidFill>
                    <a:sysClr val="windowText" lastClr="000000"/>
                  </a:solidFill>
                </a:endParaRPr>
              </a:p>
            </c:rich>
          </c:tx>
          <c:layout>
            <c:manualLayout>
              <c:xMode val="edge"/>
              <c:yMode val="edge"/>
              <c:x val="3.4462952326249283E-2"/>
              <c:y val="0.13238347781192644"/>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43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53717545775467"/>
          <c:y val="0.14608233731739709"/>
          <c:w val="0.72952045035861102"/>
          <c:h val="0.64600495655174572"/>
        </c:manualLayout>
      </c:layout>
      <c:barChart>
        <c:barDir val="col"/>
        <c:grouping val="clustered"/>
        <c:varyColors val="0"/>
        <c:ser>
          <c:idx val="0"/>
          <c:order val="0"/>
          <c:tx>
            <c:strRef>
              <c:f>SR!$K$3</c:f>
              <c:strCache>
                <c:ptCount val="1"/>
                <c:pt idx="0">
                  <c:v>Rata-Rata</c:v>
                </c:pt>
              </c:strCache>
            </c:strRef>
          </c:tx>
          <c:spPr>
            <a:solidFill>
              <a:schemeClr val="accent1"/>
            </a:solidFill>
            <a:ln>
              <a:solidFill>
                <a:sysClr val="windowText" lastClr="000000"/>
              </a:solidFill>
            </a:ln>
            <a:effectLst/>
          </c:spPr>
          <c:invertIfNegative val="0"/>
          <c:dPt>
            <c:idx val="0"/>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6C45-4E20-B338-2D3BD232842A}"/>
              </c:ext>
            </c:extLst>
          </c:dPt>
          <c:dPt>
            <c:idx val="1"/>
            <c:invertIfNegative val="0"/>
            <c:bubble3D val="0"/>
            <c:spPr>
              <a:pattFill prst="diagBrick">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6C45-4E20-B338-2D3BD232842A}"/>
              </c:ext>
            </c:extLst>
          </c:dPt>
          <c:dPt>
            <c:idx val="2"/>
            <c:invertIfNegative val="0"/>
            <c:bubble3D val="0"/>
            <c:spPr>
              <a:pattFill prst="smGrid">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6C45-4E20-B338-2D3BD232842A}"/>
              </c:ext>
            </c:extLst>
          </c:dPt>
          <c:dPt>
            <c:idx val="3"/>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6C45-4E20-B338-2D3BD232842A}"/>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6C45-4E20-B338-2D3BD232842A}"/>
              </c:ext>
            </c:extLst>
          </c:dPt>
          <c:dLbls>
            <c:dLbl>
              <c:idx val="0"/>
              <c:layout>
                <c:manualLayout>
                  <c:x val="0"/>
                  <c:y val="-1.5193295061224977E-2"/>
                </c:manualLayout>
              </c:layout>
              <c:tx>
                <c:rich>
                  <a:bodyPr/>
                  <a:lstStyle/>
                  <a:p>
                    <a:fld id="{08CB8AF8-A33F-405A-A4D1-4C4ACC9CA0A1}" type="VALUE">
                      <a:rPr lang="en-US" sz="800"/>
                      <a:pPr/>
                      <a:t>[VALUE]</a:t>
                    </a:fld>
                    <a:r>
                      <a:rPr lang="en-US" sz="800" b="0" i="0" u="none" strike="noStrike" kern="1200" baseline="0">
                        <a:solidFill>
                          <a:sysClr val="windowText" lastClr="000000">
                            <a:lumMod val="75000"/>
                            <a:lumOff val="25000"/>
                          </a:sysClr>
                        </a:solidFill>
                      </a:rPr>
                      <a:t>±6.93</a:t>
                    </a:r>
                    <a:r>
                      <a:rPr lang="en-US" sz="8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C45-4E20-B338-2D3BD232842A}"/>
                </c:ext>
              </c:extLst>
            </c:dLbl>
            <c:dLbl>
              <c:idx val="1"/>
              <c:layout>
                <c:manualLayout>
                  <c:x val="-2.7385118926980074E-3"/>
                  <c:y val="-3.4285953299662275E-2"/>
                </c:manualLayout>
              </c:layout>
              <c:tx>
                <c:rich>
                  <a:bodyPr/>
                  <a:lstStyle/>
                  <a:p>
                    <a:fld id="{97F60AA6-8D97-4F15-B14E-E053A971B965}" type="VALUE">
                      <a:rPr lang="en-US" sz="800"/>
                      <a:pPr/>
                      <a:t>[VALUE]</a:t>
                    </a:fld>
                    <a:r>
                      <a:rPr lang="en-US" sz="800" b="0" i="0" u="none" strike="noStrike" kern="1200" baseline="0">
                        <a:solidFill>
                          <a:sysClr val="windowText" lastClr="000000">
                            <a:lumMod val="75000"/>
                            <a:lumOff val="25000"/>
                          </a:sysClr>
                        </a:solidFill>
                      </a:rPr>
                      <a:t>±4.62</a:t>
                    </a:r>
                    <a:r>
                      <a:rPr lang="en-US" sz="8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45-4E20-B338-2D3BD232842A}"/>
                </c:ext>
              </c:extLst>
            </c:dLbl>
            <c:dLbl>
              <c:idx val="2"/>
              <c:layout>
                <c:manualLayout>
                  <c:x val="-7.0430739713979221E-17"/>
                  <c:y val="-4.2340872729554252E-2"/>
                </c:manualLayout>
              </c:layout>
              <c:tx>
                <c:rich>
                  <a:bodyPr/>
                  <a:lstStyle/>
                  <a:p>
                    <a:fld id="{B3BD9C05-7E90-42C3-A380-74D187DD1CCC}" type="VALUE">
                      <a:rPr lang="en-US"/>
                      <a:pPr/>
                      <a:t>[VALUE]</a:t>
                    </a:fld>
                    <a:r>
                      <a:rPr lang="en-US" sz="900" b="0" i="0" u="none" strike="noStrike" kern="1200" baseline="0">
                        <a:solidFill>
                          <a:sysClr val="windowText" lastClr="000000">
                            <a:lumMod val="75000"/>
                            <a:lumOff val="25000"/>
                          </a:sysClr>
                        </a:solidFill>
                      </a:rPr>
                      <a:t>±4.62</a:t>
                    </a:r>
                    <a:r>
                      <a:rPr lang="en-US" sz="12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C45-4E20-B338-2D3BD232842A}"/>
                </c:ext>
              </c:extLst>
            </c:dLbl>
            <c:dLbl>
              <c:idx val="3"/>
              <c:layout>
                <c:manualLayout>
                  <c:x val="0"/>
                  <c:y val="-8.6616264600391096E-2"/>
                </c:manualLayout>
              </c:layout>
              <c:tx>
                <c:rich>
                  <a:bodyPr/>
                  <a:lstStyle/>
                  <a:p>
                    <a:fld id="{D589C435-7848-4C58-9C1C-B3F81B942433}" type="VALUE">
                      <a:rPr lang="en-US" sz="800"/>
                      <a:pPr/>
                      <a:t>[VALUE]</a:t>
                    </a:fld>
                    <a:r>
                      <a:rPr lang="en-US" sz="800" b="0" i="0" u="none" strike="noStrike" kern="1200" baseline="0">
                        <a:solidFill>
                          <a:sysClr val="windowText" lastClr="000000">
                            <a:lumMod val="75000"/>
                            <a:lumOff val="25000"/>
                          </a:sysClr>
                        </a:solidFill>
                      </a:rPr>
                      <a:t>±8.33</a:t>
                    </a:r>
                    <a:r>
                      <a:rPr lang="en-US" sz="8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C45-4E20-B338-2D3BD232842A}"/>
                </c:ext>
              </c:extLst>
            </c:dLbl>
            <c:dLbl>
              <c:idx val="4"/>
              <c:layout>
                <c:manualLayout>
                  <c:x val="2.2067208944251287E-3"/>
                  <c:y val="-0.14493574259392875"/>
                </c:manualLayout>
              </c:layout>
              <c:tx>
                <c:rich>
                  <a:bodyPr/>
                  <a:lstStyle/>
                  <a:p>
                    <a:fld id="{B4E53049-8472-42C2-B5A1-2E4A99D9BCFE}" type="VALUE">
                      <a:rPr lang="en-US" sz="800"/>
                      <a:pPr/>
                      <a:t>[VALUE]</a:t>
                    </a:fld>
                    <a:r>
                      <a:rPr lang="en-US" sz="800" b="0" i="0" u="none" strike="noStrike" kern="1200" baseline="0">
                        <a:solidFill>
                          <a:sysClr val="windowText" lastClr="000000">
                            <a:lumMod val="75000"/>
                            <a:lumOff val="25000"/>
                          </a:sysClr>
                        </a:solidFill>
                      </a:rPr>
                      <a:t>±2.31</a:t>
                    </a:r>
                    <a:r>
                      <a:rPr lang="en-US" sz="8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6C45-4E20-B338-2D3BD232842A}"/>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SR!$L$4:$L$8</c:f>
                <c:numCache>
                  <c:formatCode>General</c:formatCode>
                  <c:ptCount val="5"/>
                  <c:pt idx="0">
                    <c:v>6.9282032302755088</c:v>
                  </c:pt>
                  <c:pt idx="1">
                    <c:v>4.6188021535170058</c:v>
                  </c:pt>
                  <c:pt idx="2">
                    <c:v>4.6188021535170058</c:v>
                  </c:pt>
                  <c:pt idx="3">
                    <c:v>8.3266639978645323</c:v>
                  </c:pt>
                  <c:pt idx="4">
                    <c:v>2.3094010767585034</c:v>
                  </c:pt>
                </c:numCache>
              </c:numRef>
            </c:plus>
            <c:minus>
              <c:numRef>
                <c:f>SR!$L$4:$L$8</c:f>
                <c:numCache>
                  <c:formatCode>General</c:formatCode>
                  <c:ptCount val="5"/>
                  <c:pt idx="0">
                    <c:v>6.9282032302755088</c:v>
                  </c:pt>
                  <c:pt idx="1">
                    <c:v>4.6188021535170058</c:v>
                  </c:pt>
                  <c:pt idx="2">
                    <c:v>4.6188021535170058</c:v>
                  </c:pt>
                  <c:pt idx="3">
                    <c:v>8.3266639978645323</c:v>
                  </c:pt>
                  <c:pt idx="4">
                    <c:v>2.3094010767585034</c:v>
                  </c:pt>
                </c:numCache>
              </c:numRef>
            </c:minus>
            <c:spPr>
              <a:noFill/>
              <a:ln w="9525" cap="flat" cmpd="sng" algn="ctr">
                <a:solidFill>
                  <a:schemeClr val="tx1">
                    <a:lumMod val="65000"/>
                    <a:lumOff val="35000"/>
                  </a:schemeClr>
                </a:solidFill>
                <a:round/>
              </a:ln>
              <a:effectLst/>
            </c:spPr>
          </c:errBars>
          <c:cat>
            <c:strRef>
              <c:f>SR!$J$4:$J$8</c:f>
              <c:strCache>
                <c:ptCount val="5"/>
                <c:pt idx="0">
                  <c:v>P1</c:v>
                </c:pt>
                <c:pt idx="1">
                  <c:v>P2</c:v>
                </c:pt>
                <c:pt idx="2">
                  <c:v>P3</c:v>
                </c:pt>
                <c:pt idx="3">
                  <c:v>P4</c:v>
                </c:pt>
                <c:pt idx="4">
                  <c:v>P5</c:v>
                </c:pt>
              </c:strCache>
            </c:strRef>
          </c:cat>
          <c:val>
            <c:numRef>
              <c:f>SR!$K$4:$K$8</c:f>
              <c:numCache>
                <c:formatCode>0.00</c:formatCode>
                <c:ptCount val="5"/>
                <c:pt idx="0">
                  <c:v>68</c:v>
                </c:pt>
                <c:pt idx="1">
                  <c:v>74.666666666666671</c:v>
                </c:pt>
                <c:pt idx="2">
                  <c:v>82.666666666666671</c:v>
                </c:pt>
                <c:pt idx="3">
                  <c:v>89.333333333333329</c:v>
                </c:pt>
                <c:pt idx="4">
                  <c:v>94.666666666666671</c:v>
                </c:pt>
              </c:numCache>
            </c:numRef>
          </c:val>
          <c:extLst>
            <c:ext xmlns:c16="http://schemas.microsoft.com/office/drawing/2014/chart" uri="{C3380CC4-5D6E-409C-BE32-E72D297353CC}">
              <c16:uniqueId val="{0000000A-6C45-4E20-B338-2D3BD232842A}"/>
            </c:ext>
          </c:extLst>
        </c:ser>
        <c:dLbls>
          <c:dLblPos val="outEnd"/>
          <c:showLegendKey val="0"/>
          <c:showVal val="1"/>
          <c:showCatName val="0"/>
          <c:showSerName val="0"/>
          <c:showPercent val="0"/>
          <c:showBubbleSize val="0"/>
        </c:dLbls>
        <c:gapWidth val="219"/>
        <c:overlap val="-27"/>
        <c:axId val="1041578495"/>
        <c:axId val="951355359"/>
      </c:barChart>
      <c:catAx>
        <c:axId val="104157849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id-ID"/>
              </a:p>
            </c:rich>
          </c:tx>
          <c:layout>
            <c:manualLayout>
              <c:xMode val="edge"/>
              <c:yMode val="edge"/>
              <c:x val="0.46111512760866469"/>
              <c:y val="0.903718459495351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51355359"/>
        <c:crosses val="autoZero"/>
        <c:auto val="1"/>
        <c:lblAlgn val="ctr"/>
        <c:lblOffset val="100"/>
        <c:noMultiLvlLbl val="0"/>
      </c:catAx>
      <c:valAx>
        <c:axId val="95135535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Survival Rate (%)</a:t>
                </a:r>
                <a:endParaRPr lang="id-ID"/>
              </a:p>
            </c:rich>
          </c:tx>
          <c:layout>
            <c:manualLayout>
              <c:xMode val="edge"/>
              <c:yMode val="edge"/>
              <c:x val="1.9553072625698324E-2"/>
              <c:y val="0.237450608446671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4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Times New Roman" panose="02020603050405020304" pitchFamily="18" charset="0"/>
          <a:ea typeface="+mn-ea"/>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AF!$G$4</c:f>
              <c:strCache>
                <c:ptCount val="1"/>
                <c:pt idx="0">
                  <c:v>Rata-Rata</c:v>
                </c:pt>
              </c:strCache>
            </c:strRef>
          </c:tx>
          <c:spPr>
            <a:pattFill prst="pct5">
              <a:fgClr>
                <a:schemeClr val="tx1"/>
              </a:fgClr>
              <a:bgClr>
                <a:schemeClr val="bg1"/>
              </a:bgClr>
            </a:pattFill>
            <a:ln>
              <a:solidFill>
                <a:sysClr val="windowText" lastClr="000000"/>
              </a:solidFill>
            </a:ln>
            <a:effectLst/>
          </c:spPr>
          <c:invertIfNegative val="0"/>
          <c:dPt>
            <c:idx val="0"/>
            <c:invertIfNegative val="0"/>
            <c:bubble3D val="0"/>
            <c:spPr>
              <a:pattFill prst="dkUp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EDC1-4E09-AA3B-E0A0BA1D6A11}"/>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EDC1-4E09-AA3B-E0A0BA1D6A11}"/>
              </c:ext>
            </c:extLst>
          </c:dPt>
          <c:dPt>
            <c:idx val="2"/>
            <c:invertIfNegative val="0"/>
            <c:bubble3D val="0"/>
            <c:spPr>
              <a:pattFill prst="lt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EDC1-4E09-AA3B-E0A0BA1D6A11}"/>
              </c:ext>
            </c:extLst>
          </c:dPt>
          <c:dPt>
            <c:idx val="3"/>
            <c:invertIfNegative val="0"/>
            <c:bubble3D val="0"/>
            <c:spPr>
              <a:pattFill prst="dash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EDC1-4E09-AA3B-E0A0BA1D6A11}"/>
              </c:ext>
            </c:extLst>
          </c:dPt>
          <c:dPt>
            <c:idx val="4"/>
            <c:invertIfNegative val="0"/>
            <c:bubble3D val="0"/>
            <c:spPr>
              <a:pattFill prst="dk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EDC1-4E09-AA3B-E0A0BA1D6A11}"/>
              </c:ext>
            </c:extLst>
          </c:dPt>
          <c:dLbls>
            <c:dLbl>
              <c:idx val="0"/>
              <c:layout>
                <c:manualLayout>
                  <c:x val="-2.5462668816039986E-17"/>
                  <c:y val="-2.7777777777777776E-2"/>
                </c:manualLayout>
              </c:layout>
              <c:tx>
                <c:rich>
                  <a:bodyPr/>
                  <a:lstStyle/>
                  <a:p>
                    <a:fld id="{9C50B293-9C51-4409-8084-63435035C2E7}" type="VALUE">
                      <a:rPr lang="en-US"/>
                      <a:pPr/>
                      <a:t>[VALUE]</a:t>
                    </a:fld>
                    <a:r>
                      <a:rPr lang="en-US" sz="9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DC1-4E09-AA3B-E0A0BA1D6A11}"/>
                </c:ext>
              </c:extLst>
            </c:dLbl>
            <c:dLbl>
              <c:idx val="1"/>
              <c:layout>
                <c:manualLayout>
                  <c:x val="-5.0925337632079971E-17"/>
                  <c:y val="-2.7777777777777776E-2"/>
                </c:manualLayout>
              </c:layout>
              <c:tx>
                <c:rich>
                  <a:bodyPr/>
                  <a:lstStyle/>
                  <a:p>
                    <a:fld id="{6C06C7E7-6B89-44DD-B510-01845D4B7C09}" type="VALUE">
                      <a:rPr lang="en-US"/>
                      <a:pPr/>
                      <a:t>[VALUE]</a:t>
                    </a:fld>
                    <a:r>
                      <a:rPr lang="en-US" sz="900" b="0" i="0" u="none" strike="noStrike" kern="1200" baseline="30000">
                        <a:solidFill>
                          <a:sysClr val="windowText" lastClr="000000">
                            <a:lumMod val="75000"/>
                            <a:lumOff val="25000"/>
                          </a:sysClr>
                        </a:solidFill>
                      </a:rPr>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DC1-4E09-AA3B-E0A0BA1D6A11}"/>
                </c:ext>
              </c:extLst>
            </c:dLbl>
            <c:dLbl>
              <c:idx val="2"/>
              <c:layout>
                <c:manualLayout>
                  <c:x val="0"/>
                  <c:y val="-3.2407407407407406E-2"/>
                </c:manualLayout>
              </c:layout>
              <c:tx>
                <c:rich>
                  <a:bodyPr/>
                  <a:lstStyle/>
                  <a:p>
                    <a:fld id="{7AF23FE6-1A99-4231-93F4-97ED5712EB38}" type="VALUE">
                      <a:rPr lang="en-US"/>
                      <a:pPr/>
                      <a:t>[VALUE]</a:t>
                    </a:fld>
                    <a:r>
                      <a:rPr lang="en-US" sz="900" b="0" i="0" u="none" strike="noStrike" kern="1200" baseline="30000">
                        <a:solidFill>
                          <a:sysClr val="windowText" lastClr="000000">
                            <a:lumMod val="75000"/>
                            <a:lumOff val="25000"/>
                          </a:sysClr>
                        </a:solidFill>
                      </a:rPr>
                      <a:t>bc</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DC1-4E09-AA3B-E0A0BA1D6A11}"/>
                </c:ext>
              </c:extLst>
            </c:dLbl>
            <c:dLbl>
              <c:idx val="3"/>
              <c:layout>
                <c:manualLayout>
                  <c:x val="-1.0185067526415994E-16"/>
                  <c:y val="-2.3148148148148168E-2"/>
                </c:manualLayout>
              </c:layout>
              <c:tx>
                <c:rich>
                  <a:bodyPr/>
                  <a:lstStyle/>
                  <a:p>
                    <a:fld id="{27E8B2A3-B287-486A-83C7-67DBF5B704D0}" type="VALUE">
                      <a:rPr lang="en-US"/>
                      <a:pPr/>
                      <a:t>[VALUE]</a:t>
                    </a:fld>
                    <a:r>
                      <a:rPr lang="en-US" sz="900" b="0" i="0" u="none" strike="noStrike" kern="1200" baseline="30000">
                        <a:solidFill>
                          <a:sysClr val="windowText" lastClr="000000">
                            <a:lumMod val="75000"/>
                            <a:lumOff val="25000"/>
                          </a:sysClr>
                        </a:solidFill>
                      </a:rPr>
                      <a:t>cd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DC1-4E09-AA3B-E0A0BA1D6A11}"/>
                </c:ext>
              </c:extLst>
            </c:dLbl>
            <c:dLbl>
              <c:idx val="4"/>
              <c:layout>
                <c:manualLayout>
                  <c:x val="1.0185067526415994E-16"/>
                  <c:y val="-2.7777777777777801E-2"/>
                </c:manualLayout>
              </c:layout>
              <c:tx>
                <c:rich>
                  <a:bodyPr/>
                  <a:lstStyle/>
                  <a:p>
                    <a:fld id="{174AED97-8AFB-4EF7-92D9-4318DAD4AF66}" type="VALUE">
                      <a:rPr lang="en-US"/>
                      <a:pPr/>
                      <a:t>[VALUE]</a:t>
                    </a:fld>
                    <a:r>
                      <a:rPr lang="en-US" sz="900" b="0" i="0" u="none" strike="noStrike" kern="1200" baseline="30000">
                        <a:solidFill>
                          <a:sysClr val="windowText" lastClr="000000">
                            <a:lumMod val="75000"/>
                            <a:lumOff val="25000"/>
                          </a:sysClr>
                        </a:solidFill>
                      </a:rPr>
                      <a:t>d</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EDC1-4E09-AA3B-E0A0BA1D6A1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AF!$F$5:$F$9</c:f>
              <c:strCache>
                <c:ptCount val="5"/>
                <c:pt idx="0">
                  <c:v>P1</c:v>
                </c:pt>
                <c:pt idx="1">
                  <c:v>P2</c:v>
                </c:pt>
                <c:pt idx="2">
                  <c:v>P3</c:v>
                </c:pt>
                <c:pt idx="3">
                  <c:v>P4</c:v>
                </c:pt>
                <c:pt idx="4">
                  <c:v>P5</c:v>
                </c:pt>
              </c:strCache>
            </c:strRef>
          </c:cat>
          <c:val>
            <c:numRef>
              <c:f>AF!$G$5:$G$9</c:f>
              <c:numCache>
                <c:formatCode>0.0</c:formatCode>
                <c:ptCount val="5"/>
                <c:pt idx="0">
                  <c:v>42</c:v>
                </c:pt>
                <c:pt idx="1">
                  <c:v>50</c:v>
                </c:pt>
                <c:pt idx="2">
                  <c:v>57</c:v>
                </c:pt>
                <c:pt idx="3">
                  <c:v>62</c:v>
                </c:pt>
                <c:pt idx="4">
                  <c:v>65</c:v>
                </c:pt>
              </c:numCache>
            </c:numRef>
          </c:val>
          <c:extLst>
            <c:ext xmlns:c16="http://schemas.microsoft.com/office/drawing/2014/chart" uri="{C3380CC4-5D6E-409C-BE32-E72D297353CC}">
              <c16:uniqueId val="{0000000A-EDC1-4E09-AA3B-E0A0BA1D6A11}"/>
            </c:ext>
          </c:extLst>
        </c:ser>
        <c:dLbls>
          <c:dLblPos val="outEnd"/>
          <c:showLegendKey val="0"/>
          <c:showVal val="1"/>
          <c:showCatName val="0"/>
          <c:showSerName val="0"/>
          <c:showPercent val="0"/>
          <c:showBubbleSize val="0"/>
        </c:dLbls>
        <c:gapWidth val="219"/>
        <c:overlap val="-27"/>
        <c:axId val="79368160"/>
        <c:axId val="79368640"/>
      </c:barChart>
      <c:catAx>
        <c:axId val="79368160"/>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u="none" strike="noStrike" baseline="0"/>
                  <a:t>Treatment</a:t>
                </a:r>
                <a:endParaRPr lang="en-US">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640"/>
        <c:crosses val="autoZero"/>
        <c:auto val="1"/>
        <c:lblAlgn val="ctr"/>
        <c:lblOffset val="100"/>
        <c:noMultiLvlLbl val="0"/>
      </c:catAx>
      <c:valAx>
        <c:axId val="793686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rPr>
                  <a:t>Phagocytosis Activity</a:t>
                </a:r>
                <a:r>
                  <a:rPr lang="id-ID" sz="800">
                    <a:solidFill>
                      <a:sysClr val="windowText" lastClr="000000"/>
                    </a:solidFill>
                  </a:rPr>
                  <a:t> </a:t>
                </a:r>
                <a:r>
                  <a:rPr lang="id-ID"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r>
                  <a:rPr lang="en-US" sz="800" b="0" i="0" u="none" strike="noStrike" kern="1200" baseline="0">
                    <a:solidFill>
                      <a:sysClr val="windowText" lastClr="000000"/>
                    </a:solidFill>
                    <a:latin typeface="Times New Roman" panose="02020603050405020304" pitchFamily="18" charset="0"/>
                    <a:cs typeface="Times New Roman" panose="02020603050405020304" pitchFamily="18" charset="0"/>
                  </a:rPr>
                  <a:t>)</a:t>
                </a:r>
                <a:endParaRPr lang="en-US" sz="800">
                  <a:solidFill>
                    <a:sysClr val="windowText" lastClr="000000"/>
                  </a:solidFill>
                </a:endParaRPr>
              </a:p>
            </c:rich>
          </c:tx>
          <c:layout>
            <c:manualLayout>
              <c:xMode val="edge"/>
              <c:yMode val="edge"/>
              <c:x val="3.0674846625766871E-2"/>
              <c:y val="0.124244171361424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9368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21225041058321"/>
          <c:y val="0.10541110330288124"/>
          <c:w val="0.79441103339607466"/>
          <c:h val="0.62535731873993616"/>
        </c:manualLayout>
      </c:layout>
      <c:barChart>
        <c:barDir val="col"/>
        <c:grouping val="clustered"/>
        <c:varyColors val="0"/>
        <c:ser>
          <c:idx val="0"/>
          <c:order val="0"/>
          <c:tx>
            <c:strRef>
              <c:f>'[Data Penelitian Skripsi Agius 2025 DOC 45.xlsx]Glukosa Darah'!$I$3</c:f>
              <c:strCache>
                <c:ptCount val="1"/>
                <c:pt idx="0">
                  <c:v>Rata-Rata</c:v>
                </c:pt>
              </c:strCache>
            </c:strRef>
          </c:tx>
          <c:spPr>
            <a:pattFill prst="pct25">
              <a:fgClr>
                <a:schemeClr val="tx1"/>
              </a:fgClr>
              <a:bgClr>
                <a:schemeClr val="bg1"/>
              </a:bgClr>
            </a:pattFill>
            <a:ln>
              <a:solidFill>
                <a:sysClr val="windowText" lastClr="000000"/>
              </a:solidFill>
            </a:ln>
            <a:effectLst/>
          </c:spPr>
          <c:invertIfNegative val="0"/>
          <c:dPt>
            <c:idx val="0"/>
            <c:invertIfNegative val="0"/>
            <c:bubble3D val="0"/>
            <c:spPr>
              <a:pattFill prst="ltVert">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1-2398-427A-9404-F6C29394E423}"/>
              </c:ext>
            </c:extLst>
          </c:dPt>
          <c:dPt>
            <c:idx val="1"/>
            <c:invertIfNegative val="0"/>
            <c:bubble3D val="0"/>
            <c:spPr>
              <a:pattFill prst="wdDnDiag">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3-2398-427A-9404-F6C29394E423}"/>
              </c:ext>
            </c:extLst>
          </c:dPt>
          <c:dPt>
            <c:idx val="2"/>
            <c:invertIfNegative val="0"/>
            <c:bubble3D val="0"/>
            <c:spPr>
              <a:pattFill prst="pct7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5-2398-427A-9404-F6C29394E423}"/>
              </c:ext>
            </c:extLst>
          </c:dPt>
          <c:dPt>
            <c:idx val="3"/>
            <c:invertIfNegative val="0"/>
            <c:bubble3D val="0"/>
            <c:spPr>
              <a:pattFill prst="pct20">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7-2398-427A-9404-F6C29394E423}"/>
              </c:ext>
            </c:extLst>
          </c:dPt>
          <c:dPt>
            <c:idx val="4"/>
            <c:invertIfNegative val="0"/>
            <c:bubble3D val="0"/>
            <c:spPr>
              <a:pattFill prst="dkHorz">
                <a:fgClr>
                  <a:schemeClr val="tx1"/>
                </a:fgClr>
                <a:bgClr>
                  <a:schemeClr val="bg1"/>
                </a:bgClr>
              </a:pattFill>
              <a:ln>
                <a:solidFill>
                  <a:sysClr val="windowText" lastClr="000000"/>
                </a:solidFill>
              </a:ln>
              <a:effectLst/>
            </c:spPr>
            <c:extLst>
              <c:ext xmlns:c16="http://schemas.microsoft.com/office/drawing/2014/chart" uri="{C3380CC4-5D6E-409C-BE32-E72D297353CC}">
                <c16:uniqueId val="{00000009-2398-427A-9404-F6C29394E423}"/>
              </c:ext>
            </c:extLst>
          </c:dPt>
          <c:dLbls>
            <c:dLbl>
              <c:idx val="0"/>
              <c:layout>
                <c:manualLayout>
                  <c:x val="3.739715781600564E-3"/>
                  <c:y val="-0.10483116268421364"/>
                </c:manualLayout>
              </c:layout>
              <c:tx>
                <c:rich>
                  <a:bodyPr/>
                  <a:lstStyle/>
                  <a:p>
                    <a:r>
                      <a:rPr lang="en-US"/>
                      <a:t>44.3</a:t>
                    </a:r>
                    <a:r>
                      <a:rPr lang="en-US" sz="900" b="0" i="0" u="none" strike="noStrike" kern="1200" baseline="0">
                        <a:solidFill>
                          <a:sysClr val="windowText" lastClr="000000">
                            <a:lumMod val="75000"/>
                            <a:lumOff val="25000"/>
                          </a:sysClr>
                        </a:solidFill>
                      </a:rPr>
                      <a:t>±13.0</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98-427A-9404-F6C29394E423}"/>
                </c:ext>
              </c:extLst>
            </c:dLbl>
            <c:dLbl>
              <c:idx val="1"/>
              <c:layout>
                <c:manualLayout>
                  <c:x val="1.7939783105445121E-3"/>
                  <c:y val="-0.11479130814902529"/>
                </c:manualLayout>
              </c:layout>
              <c:tx>
                <c:rich>
                  <a:bodyPr/>
                  <a:lstStyle/>
                  <a:p>
                    <a:r>
                      <a:rPr lang="en-US"/>
                      <a:t>24.7</a:t>
                    </a:r>
                    <a:r>
                      <a:rPr lang="en-US" sz="900" b="0" i="0" u="none" strike="noStrike" kern="1200" baseline="0">
                        <a:solidFill>
                          <a:sysClr val="windowText" lastClr="000000">
                            <a:lumMod val="75000"/>
                            <a:lumOff val="25000"/>
                          </a:sysClr>
                        </a:solidFill>
                      </a:rPr>
                      <a:t>±12.4</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98-427A-9404-F6C29394E423}"/>
                </c:ext>
              </c:extLst>
            </c:dLbl>
            <c:dLbl>
              <c:idx val="2"/>
              <c:layout>
                <c:manualLayout>
                  <c:x val="0"/>
                  <c:y val="-0.13319707653578725"/>
                </c:manualLayout>
              </c:layout>
              <c:tx>
                <c:rich>
                  <a:bodyPr/>
                  <a:lstStyle/>
                  <a:p>
                    <a:r>
                      <a:rPr lang="en-US"/>
                      <a:t>30.7</a:t>
                    </a:r>
                    <a:r>
                      <a:rPr lang="en-US" sz="900" b="0" i="0" u="none" strike="noStrike" kern="1200" baseline="0">
                        <a:solidFill>
                          <a:sysClr val="windowText" lastClr="000000">
                            <a:lumMod val="75000"/>
                            <a:lumOff val="25000"/>
                          </a:sysClr>
                        </a:solidFill>
                      </a:rPr>
                      <a:t>±8.5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398-427A-9404-F6C29394E423}"/>
                </c:ext>
              </c:extLst>
            </c:dLbl>
            <c:dLbl>
              <c:idx val="3"/>
              <c:layout>
                <c:manualLayout>
                  <c:x val="9.3170176184247926E-3"/>
                  <c:y val="-0.15797223344271005"/>
                </c:manualLayout>
              </c:layout>
              <c:tx>
                <c:rich>
                  <a:bodyPr/>
                  <a:lstStyle/>
                  <a:p>
                    <a:r>
                      <a:rPr lang="en-US"/>
                      <a:t>28.0</a:t>
                    </a:r>
                    <a:r>
                      <a:rPr lang="en-US" sz="900" b="0" i="0" u="none" strike="noStrike" kern="1200" baseline="0">
                        <a:solidFill>
                          <a:sysClr val="windowText" lastClr="000000">
                            <a:lumMod val="75000"/>
                            <a:lumOff val="25000"/>
                          </a:sysClr>
                        </a:solidFill>
                      </a:rPr>
                      <a:t>±17.5</a:t>
                    </a:r>
                    <a:r>
                      <a:rPr lang="en-US" sz="1200" b="0" i="0" u="none" strike="noStrike" kern="1200" baseline="30000">
                        <a:solidFill>
                          <a:sysClr val="windowText" lastClr="000000">
                            <a:lumMod val="75000"/>
                            <a:lumOff val="25000"/>
                          </a:sysClr>
                        </a:solidFill>
                      </a:rPr>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398-427A-9404-F6C29394E423}"/>
                </c:ext>
              </c:extLst>
            </c:dLbl>
            <c:dLbl>
              <c:idx val="4"/>
              <c:layout>
                <c:manualLayout>
                  <c:x val="0"/>
                  <c:y val="-0.10552621374606742"/>
                </c:manualLayout>
              </c:layout>
              <c:tx>
                <c:rich>
                  <a:bodyPr/>
                  <a:lstStyle/>
                  <a:p>
                    <a:r>
                      <a:rPr lang="en-US"/>
                      <a:t>12.3</a:t>
                    </a:r>
                    <a:r>
                      <a:rPr lang="en-US" sz="900" b="0" i="0" u="none" strike="noStrike" kern="1200" baseline="0">
                        <a:solidFill>
                          <a:sysClr val="windowText" lastClr="000000">
                            <a:lumMod val="75000"/>
                            <a:lumOff val="25000"/>
                          </a:sysClr>
                        </a:solidFill>
                      </a:rPr>
                      <a:t>±2.1</a:t>
                    </a:r>
                    <a:r>
                      <a:rPr lang="en-US" sz="1200" b="0" i="0" u="none" strike="noStrike" kern="1200" baseline="30000">
                        <a:solidFill>
                          <a:sysClr val="windowText" lastClr="000000">
                            <a:lumMod val="75000"/>
                            <a:lumOff val="25000"/>
                          </a:sysClr>
                        </a:solidFill>
                      </a:rPr>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398-427A-9404-F6C29394E42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plus>
            <c:minus>
              <c:numRef>
                <c:f>'[Data Penelitian Skripsi Agius 2025 DOC 45.xlsx]Glukosa Darah'!$J$4:$J$8</c:f>
                <c:numCache>
                  <c:formatCode>General</c:formatCode>
                  <c:ptCount val="5"/>
                  <c:pt idx="0">
                    <c:v>13.012814197295429</c:v>
                  </c:pt>
                  <c:pt idx="1">
                    <c:v>12.423096769056151</c:v>
                  </c:pt>
                  <c:pt idx="2">
                    <c:v>8.5049005481153781</c:v>
                  </c:pt>
                  <c:pt idx="3">
                    <c:v>17.521415467935231</c:v>
                  </c:pt>
                  <c:pt idx="4">
                    <c:v>2.0816659994661348</c:v>
                  </c:pt>
                </c:numCache>
              </c:numRef>
            </c:minus>
            <c:spPr>
              <a:noFill/>
              <a:ln w="9525" cap="flat" cmpd="sng" algn="ctr">
                <a:solidFill>
                  <a:schemeClr val="tx1">
                    <a:lumMod val="65000"/>
                    <a:lumOff val="35000"/>
                  </a:schemeClr>
                </a:solidFill>
                <a:round/>
              </a:ln>
              <a:effectLst/>
            </c:spPr>
          </c:errBars>
          <c:cat>
            <c:strRef>
              <c:f>'[Data Penelitian Skripsi Agius 2025 DOC 45.xlsx]Glukosa Darah'!$H$4:$H$8</c:f>
              <c:strCache>
                <c:ptCount val="5"/>
                <c:pt idx="0">
                  <c:v>P1</c:v>
                </c:pt>
                <c:pt idx="1">
                  <c:v>P2</c:v>
                </c:pt>
                <c:pt idx="2">
                  <c:v>P3</c:v>
                </c:pt>
                <c:pt idx="3">
                  <c:v>P4</c:v>
                </c:pt>
                <c:pt idx="4">
                  <c:v>P5</c:v>
                </c:pt>
              </c:strCache>
            </c:strRef>
          </c:cat>
          <c:val>
            <c:numRef>
              <c:f>'[Data Penelitian Skripsi Agius 2025 DOC 45.xlsx]Glukosa Darah'!$I$4:$I$8</c:f>
              <c:numCache>
                <c:formatCode>General</c:formatCode>
                <c:ptCount val="5"/>
                <c:pt idx="0">
                  <c:v>44.3</c:v>
                </c:pt>
                <c:pt idx="1">
                  <c:v>24.7</c:v>
                </c:pt>
                <c:pt idx="2">
                  <c:v>30.7</c:v>
                </c:pt>
                <c:pt idx="3">
                  <c:v>28</c:v>
                </c:pt>
                <c:pt idx="4">
                  <c:v>12.3</c:v>
                </c:pt>
              </c:numCache>
            </c:numRef>
          </c:val>
          <c:extLst>
            <c:ext xmlns:c16="http://schemas.microsoft.com/office/drawing/2014/chart" uri="{C3380CC4-5D6E-409C-BE32-E72D297353CC}">
              <c16:uniqueId val="{0000000A-2398-427A-9404-F6C29394E423}"/>
            </c:ext>
          </c:extLst>
        </c:ser>
        <c:dLbls>
          <c:dLblPos val="outEnd"/>
          <c:showLegendKey val="0"/>
          <c:showVal val="1"/>
          <c:showCatName val="0"/>
          <c:showSerName val="0"/>
          <c:showPercent val="0"/>
          <c:showBubbleSize val="0"/>
        </c:dLbls>
        <c:gapWidth val="219"/>
        <c:overlap val="-27"/>
        <c:axId val="1041576575"/>
        <c:axId val="1041578975"/>
      </c:barChart>
      <c:catAx>
        <c:axId val="1041576575"/>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id-ID">
                    <a:solidFill>
                      <a:sysClr val="windowText" lastClr="000000"/>
                    </a:solidFill>
                  </a:rPr>
                  <a:t>Treatment</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8975"/>
        <c:crosses val="autoZero"/>
        <c:auto val="1"/>
        <c:lblAlgn val="ctr"/>
        <c:lblOffset val="100"/>
        <c:noMultiLvlLbl val="0"/>
      </c:catAx>
      <c:valAx>
        <c:axId val="1041578975"/>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rPr>
                  <a:t>Glucose </a:t>
                </a:r>
                <a:r>
                  <a:rPr lang="id-ID">
                    <a:solidFill>
                      <a:sysClr val="windowText" lastClr="000000"/>
                    </a:solidFill>
                  </a:rPr>
                  <a:t> (mg/dL)</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1576575"/>
        <c:crosses val="autoZero"/>
        <c:crossBetween val="between"/>
      </c:valAx>
      <c:spPr>
        <a:pattFill prst="pct20">
          <a:fgClr>
            <a:schemeClr val="lt1"/>
          </a:fgClr>
          <a:bgClr>
            <a:schemeClr val="bg1"/>
          </a:bgClr>
        </a:pattFill>
        <a:ln w="9525" cap="flat" cmpd="sng" algn="ctr">
          <a:solidFill>
            <a:sysClr val="windowText" lastClr="000000"/>
          </a:solidFill>
          <a:prstDash val="solid"/>
          <a:miter lim="800000"/>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DEC64C573C4093A39E779F33628218"/>
        <w:category>
          <w:name w:val="General"/>
          <w:gallery w:val="placeholder"/>
        </w:category>
        <w:types>
          <w:type w:val="bbPlcHdr"/>
        </w:types>
        <w:behaviors>
          <w:behavior w:val="content"/>
        </w:behaviors>
        <w:guid w:val="{4DC3C44F-5C38-4D2F-8A03-D5A58C9DA683}"/>
      </w:docPartPr>
      <w:docPartBody>
        <w:p w:rsidR="00E07D5A" w:rsidRDefault="002E0341" w:rsidP="002E0341">
          <w:pPr>
            <w:pStyle w:val="BCDEC64C573C4093A39E779F33628218"/>
          </w:pPr>
          <w:r w:rsidRPr="00833DFF">
            <w:rPr>
              <w:rStyle w:val="PlaceholderText"/>
            </w:rPr>
            <w:t>Klik atau ketuk di sini untuk memasukkan teks.</w:t>
          </w:r>
        </w:p>
      </w:docPartBody>
    </w:docPart>
    <w:docPart>
      <w:docPartPr>
        <w:name w:val="6D9C404598ED4A8993A70AF6EA26E6C1"/>
        <w:category>
          <w:name w:val="General"/>
          <w:gallery w:val="placeholder"/>
        </w:category>
        <w:types>
          <w:type w:val="bbPlcHdr"/>
        </w:types>
        <w:behaviors>
          <w:behavior w:val="content"/>
        </w:behaviors>
        <w:guid w:val="{6511166C-7B30-48AE-893F-8369C9D710FA}"/>
      </w:docPartPr>
      <w:docPartBody>
        <w:p w:rsidR="00E07D5A" w:rsidRDefault="002E0341" w:rsidP="002E0341">
          <w:pPr>
            <w:pStyle w:val="6D9C404598ED4A8993A70AF6EA26E6C1"/>
          </w:pPr>
          <w:r w:rsidRPr="00833DF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T Sans">
    <w:altName w:val="Arial"/>
    <w:charset w:val="00"/>
    <w:family w:val="swiss"/>
    <w:pitch w:val="variable"/>
    <w:sig w:usb0="A00002EF" w:usb1="5000204B" w:usb2="00000000" w:usb3="00000000" w:csb0="00000097"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41"/>
    <w:rsid w:val="00084961"/>
    <w:rsid w:val="002566FB"/>
    <w:rsid w:val="002E0341"/>
    <w:rsid w:val="0038347B"/>
    <w:rsid w:val="003D44DF"/>
    <w:rsid w:val="00526039"/>
    <w:rsid w:val="005E0538"/>
    <w:rsid w:val="006347C5"/>
    <w:rsid w:val="00667573"/>
    <w:rsid w:val="00795CAB"/>
    <w:rsid w:val="007C50A4"/>
    <w:rsid w:val="008D611A"/>
    <w:rsid w:val="00A124BB"/>
    <w:rsid w:val="00B25580"/>
    <w:rsid w:val="00BD4EAE"/>
    <w:rsid w:val="00CA7D7B"/>
    <w:rsid w:val="00DD3EFF"/>
    <w:rsid w:val="00E07D5A"/>
    <w:rsid w:val="00E9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E0341"/>
    <w:rPr>
      <w:color w:val="666666"/>
    </w:rPr>
  </w:style>
  <w:style w:type="paragraph" w:customStyle="1" w:styleId="3569D60892C744C295C2A21821B6978B">
    <w:name w:val="3569D60892C744C295C2A21821B6978B"/>
    <w:rsid w:val="002E0341"/>
  </w:style>
  <w:style w:type="paragraph" w:customStyle="1" w:styleId="BCDEC64C573C4093A39E779F33628218">
    <w:name w:val="BCDEC64C573C4093A39E779F33628218"/>
    <w:rsid w:val="002E0341"/>
  </w:style>
  <w:style w:type="paragraph" w:customStyle="1" w:styleId="6D9C404598ED4A8993A70AF6EA26E6C1">
    <w:name w:val="6D9C404598ED4A8993A70AF6EA26E6C1"/>
    <w:rsid w:val="002E03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94F12-B089-4A1E-B4F5-0CD5EA97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11</Pages>
  <Words>6285</Words>
  <Characters>40276</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11</cp:revision>
  <cp:lastPrinted>1999-07-06T11:00:00Z</cp:lastPrinted>
  <dcterms:created xsi:type="dcterms:W3CDTF">2025-08-30T02:42:00Z</dcterms:created>
  <dcterms:modified xsi:type="dcterms:W3CDTF">2025-09-02T10:28:00Z</dcterms:modified>
</cp:coreProperties>
</file>