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49A8" w14:textId="77777777" w:rsidR="00C23BD4" w:rsidRDefault="00C23BD4">
      <w:pPr>
        <w:pStyle w:val="Title"/>
        <w:spacing w:after="0"/>
        <w:jc w:val="both"/>
        <w:rPr>
          <w:rFonts w:ascii="Arial" w:hAnsi="Arial" w:cs="Arial"/>
        </w:rPr>
      </w:pPr>
    </w:p>
    <w:p w14:paraId="0129F8E6" w14:textId="0EBF2754" w:rsidR="00C23BD4" w:rsidRDefault="00564361" w:rsidP="003F0A68">
      <w:pPr>
        <w:pStyle w:val="Author"/>
        <w:spacing w:line="240" w:lineRule="auto"/>
        <w:jc w:val="both"/>
        <w:rPr>
          <w:rFonts w:ascii="Arial" w:hAnsi="Arial" w:cs="Arial"/>
          <w:sz w:val="36"/>
        </w:rPr>
      </w:pPr>
      <w:r w:rsidRPr="003F0A68">
        <w:rPr>
          <w:rFonts w:ascii="Arial" w:hAnsi="Arial" w:cs="Arial"/>
          <w:sz w:val="36"/>
        </w:rPr>
        <w:t xml:space="preserve">Satisfaction </w:t>
      </w:r>
      <w:r>
        <w:rPr>
          <w:rFonts w:ascii="Arial" w:hAnsi="Arial" w:cs="Arial"/>
          <w:sz w:val="36"/>
        </w:rPr>
        <w:t>o</w:t>
      </w:r>
      <w:r w:rsidRPr="003F0A68">
        <w:rPr>
          <w:rFonts w:ascii="Arial" w:hAnsi="Arial" w:cs="Arial"/>
          <w:sz w:val="36"/>
        </w:rPr>
        <w:t xml:space="preserve">n Students’ Services </w:t>
      </w:r>
      <w:r>
        <w:rPr>
          <w:rFonts w:ascii="Arial" w:hAnsi="Arial" w:cs="Arial"/>
          <w:sz w:val="36"/>
        </w:rPr>
        <w:t>i</w:t>
      </w:r>
      <w:r w:rsidRPr="003F0A68">
        <w:rPr>
          <w:rFonts w:ascii="Arial" w:hAnsi="Arial" w:cs="Arial"/>
          <w:sz w:val="36"/>
        </w:rPr>
        <w:t xml:space="preserve">n Davao Oriental State University </w:t>
      </w:r>
      <w:proofErr w:type="spellStart"/>
      <w:r w:rsidRPr="003F0A68">
        <w:rPr>
          <w:rFonts w:ascii="Arial" w:hAnsi="Arial" w:cs="Arial"/>
          <w:sz w:val="36"/>
        </w:rPr>
        <w:t>Cateel</w:t>
      </w:r>
      <w:proofErr w:type="spellEnd"/>
      <w:r w:rsidRPr="003F0A68">
        <w:rPr>
          <w:rFonts w:ascii="Arial" w:hAnsi="Arial" w:cs="Arial"/>
          <w:sz w:val="36"/>
        </w:rPr>
        <w:t xml:space="preserve"> Campus</w:t>
      </w:r>
    </w:p>
    <w:p w14:paraId="58FA7420" w14:textId="77777777" w:rsidR="003F0A68" w:rsidRDefault="003F0A68" w:rsidP="003F0A68">
      <w:pPr>
        <w:pStyle w:val="Author"/>
        <w:spacing w:line="240" w:lineRule="auto"/>
        <w:jc w:val="both"/>
        <w:rPr>
          <w:rFonts w:ascii="Arial" w:hAnsi="Arial" w:cs="Arial"/>
          <w:sz w:val="36"/>
        </w:rPr>
      </w:pPr>
    </w:p>
    <w:p w14:paraId="7C7629BC" w14:textId="77777777" w:rsidR="00C23BD4" w:rsidRDefault="00C23BD4">
      <w:pPr>
        <w:pStyle w:val="Affiliation"/>
        <w:spacing w:after="0" w:line="240" w:lineRule="auto"/>
        <w:jc w:val="both"/>
        <w:rPr>
          <w:rFonts w:ascii="Arial" w:hAnsi="Arial" w:cs="Arial"/>
        </w:rPr>
      </w:pPr>
    </w:p>
    <w:p w14:paraId="5C2BFD6B" w14:textId="77777777" w:rsidR="00C23BD4" w:rsidRDefault="00073637">
      <w:pPr>
        <w:pStyle w:val="Copyright"/>
        <w:spacing w:after="0" w:line="240" w:lineRule="auto"/>
        <w:jc w:val="both"/>
        <w:rPr>
          <w:rFonts w:ascii="Arial" w:hAnsi="Arial" w:cs="Arial"/>
        </w:rPr>
        <w:sectPr w:rsidR="00C23BD4" w:rsidSect="00BA514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0D18DC" wp14:editId="317F8591">
                <wp:extent cx="5303520" cy="635"/>
                <wp:effectExtent l="0" t="0" r="11430" b="18415"/>
                <wp:docPr id="610256598"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SS8qDQAAAAAgEAAA8AAAAAAAAAAQAgAAAAIgAAAGRycy9kb3ducmV2LnhtbFBLAQIUABQAAAAI&#10;AIdO4kCVoFGHvAEAAIADAAAOAAAAAAAAAAEAIAAAAB8BAABkcnMvZTJvRG9jLnhtbFBLBQYAAAAA&#10;BgAGAFkBAABNBQAAAAA=&#10;">
                <v:fill on="f" focussize="0,0"/>
                <v:stroke weight="1.5pt" color="#000000" joinstyle="round"/>
                <v:imagedata o:title=""/>
                <o:lock v:ext="edit" aspectratio="f"/>
                <w10:wrap type="none"/>
                <w10:anchorlock/>
              </v:shape>
            </w:pict>
          </mc:Fallback>
        </mc:AlternateContent>
      </w:r>
      <w:r>
        <w:rPr>
          <w:rFonts w:ascii="Arial" w:hAnsi="Arial" w:cs="Arial"/>
        </w:rPr>
        <w:t>.</w:t>
      </w:r>
    </w:p>
    <w:p w14:paraId="1EA5CFE9" w14:textId="77777777" w:rsidR="00C23BD4" w:rsidRDefault="00073637">
      <w:pPr>
        <w:pStyle w:val="AbstHead"/>
        <w:spacing w:after="0"/>
        <w:jc w:val="both"/>
        <w:rPr>
          <w:rFonts w:ascii="Arial" w:hAnsi="Arial" w:cs="Arial"/>
        </w:rPr>
      </w:pPr>
      <w:r>
        <w:rPr>
          <w:rFonts w:ascii="Arial" w:hAnsi="Arial" w:cs="Arial"/>
        </w:rPr>
        <w:t>ABSTRACT</w:t>
      </w:r>
    </w:p>
    <w:p w14:paraId="5A25CF8C" w14:textId="77777777" w:rsidR="00C23BD4" w:rsidRDefault="00C23BD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23BD4" w14:paraId="1E43F183" w14:textId="77777777">
        <w:tc>
          <w:tcPr>
            <w:tcW w:w="9576" w:type="dxa"/>
            <w:shd w:val="clear" w:color="auto" w:fill="F2F2F2"/>
          </w:tcPr>
          <w:p w14:paraId="779806A5" w14:textId="4AF945F5" w:rsidR="00C23BD4" w:rsidRDefault="005A55BF">
            <w:pPr>
              <w:pStyle w:val="Body"/>
              <w:spacing w:after="0"/>
              <w:rPr>
                <w:rFonts w:ascii="Arial" w:eastAsia="Calibri" w:hAnsi="Arial" w:cs="Arial"/>
                <w:b/>
                <w:bCs/>
                <w:szCs w:val="22"/>
              </w:rPr>
            </w:pPr>
            <w:r>
              <w:rPr>
                <w:rFonts w:ascii="Arial" w:eastAsia="Calibri" w:hAnsi="Arial" w:cs="Arial"/>
                <w:szCs w:val="22"/>
              </w:rPr>
              <w:t>This study assessed the level of satisfaction of students toward academic and non-academic services at Davao Oriental State University–</w:t>
            </w:r>
            <w:proofErr w:type="spellStart"/>
            <w:r>
              <w:rPr>
                <w:rFonts w:ascii="Arial" w:eastAsia="Calibri" w:hAnsi="Arial" w:cs="Arial"/>
                <w:szCs w:val="22"/>
              </w:rPr>
              <w:t>Cateel</w:t>
            </w:r>
            <w:proofErr w:type="spellEnd"/>
            <w:r>
              <w:rPr>
                <w:rFonts w:ascii="Arial" w:eastAsia="Calibri" w:hAnsi="Arial" w:cs="Arial"/>
                <w:szCs w:val="22"/>
              </w:rPr>
              <w:t xml:space="preserve"> Campus, employing a quantitative descriptive–correlational design. Using stratified random sampling, 307 students from various courses and year levels were surveyed. Findings revealed a high level of satisfaction in both academic services (admission and enrollment, instructional practices, teaching facilities) and non-academic services (administrative support, clinic services, campus security). The highest satisfaction scores were observed in the cleanliness of clinical facilities and the professionalism of faculty, while the lowest were in enrollment procedures and annual physical checkups.</w:t>
            </w:r>
            <w:r w:rsidR="00073637">
              <w:rPr>
                <w:rFonts w:ascii="Arial" w:eastAsia="Calibri" w:hAnsi="Arial" w:cs="Arial"/>
                <w:szCs w:val="22"/>
              </w:rPr>
              <w:t xml:space="preserve"> </w:t>
            </w:r>
            <w:r w:rsidR="002244B2">
              <w:rPr>
                <w:rFonts w:ascii="Arial" w:eastAsia="Calibri" w:hAnsi="Arial" w:cs="Arial"/>
                <w:szCs w:val="22"/>
              </w:rPr>
              <w:t>Statistical results showed no significant difference in satisfaction across courses, but a significant difference was found across year levels</w:t>
            </w:r>
            <w:r w:rsidR="00C665B5">
              <w:rPr>
                <w:rFonts w:ascii="Arial" w:eastAsia="Calibri" w:hAnsi="Arial" w:cs="Arial"/>
                <w:szCs w:val="22"/>
              </w:rPr>
              <w:t>.</w:t>
            </w:r>
            <w:r w:rsidR="002244B2">
              <w:rPr>
                <w:rFonts w:ascii="Arial" w:eastAsia="Calibri" w:hAnsi="Arial" w:cs="Arial"/>
                <w:szCs w:val="22"/>
              </w:rPr>
              <w:t xml:space="preserve"> The study concluded that effective service delivery contributes significantly to student satisfaction and emphasized the need for continuous improvement in both academic and support services. Recommendations include enhancing administrative procedures, improving feedback mechanisms, and upgrading instructional and support facilities to sustain and increase student satisfaction.</w:t>
            </w:r>
          </w:p>
        </w:tc>
      </w:tr>
    </w:tbl>
    <w:p w14:paraId="2F94F4F3" w14:textId="77777777" w:rsidR="00C23BD4" w:rsidRDefault="00C23BD4">
      <w:pPr>
        <w:pStyle w:val="Body"/>
        <w:spacing w:after="0"/>
        <w:rPr>
          <w:rFonts w:ascii="Arial" w:hAnsi="Arial" w:cs="Arial"/>
          <w:i/>
        </w:rPr>
      </w:pPr>
    </w:p>
    <w:p w14:paraId="0085D743" w14:textId="77777777" w:rsidR="00C23BD4" w:rsidRDefault="00073637">
      <w:pPr>
        <w:pStyle w:val="Body"/>
        <w:spacing w:after="0"/>
        <w:rPr>
          <w:rFonts w:ascii="Arial" w:hAnsi="Arial" w:cs="Arial"/>
          <w:i/>
        </w:rPr>
      </w:pPr>
      <w:r>
        <w:rPr>
          <w:rFonts w:ascii="Arial" w:hAnsi="Arial" w:cs="Arial"/>
          <w:i/>
        </w:rPr>
        <w:t>Keywords: student satisfaction, academic services, non- academic services, student support, higher education quality, service delivery</w:t>
      </w:r>
    </w:p>
    <w:p w14:paraId="299FD5AC" w14:textId="77777777" w:rsidR="00C23BD4" w:rsidRDefault="00C23BD4">
      <w:pPr>
        <w:pStyle w:val="Body"/>
        <w:spacing w:after="0"/>
        <w:rPr>
          <w:rFonts w:ascii="Arial" w:hAnsi="Arial" w:cs="Arial"/>
          <w:i/>
        </w:rPr>
      </w:pPr>
    </w:p>
    <w:p w14:paraId="73D4E107" w14:textId="77777777" w:rsidR="00C23BD4" w:rsidRDefault="00073637">
      <w:pPr>
        <w:pStyle w:val="AbstHead"/>
        <w:spacing w:after="0"/>
        <w:jc w:val="both"/>
        <w:rPr>
          <w:rFonts w:ascii="Arial" w:hAnsi="Arial" w:cs="Arial"/>
        </w:rPr>
      </w:pPr>
      <w:r>
        <w:rPr>
          <w:rFonts w:ascii="Arial" w:hAnsi="Arial" w:cs="Arial"/>
        </w:rPr>
        <w:t>1. INTRODUCTION</w:t>
      </w:r>
    </w:p>
    <w:p w14:paraId="48C9C211" w14:textId="77777777" w:rsidR="00C23BD4" w:rsidRDefault="00C23BD4">
      <w:pPr>
        <w:pStyle w:val="AbstHead"/>
        <w:spacing w:after="0"/>
        <w:jc w:val="both"/>
        <w:rPr>
          <w:rFonts w:ascii="Arial" w:hAnsi="Arial" w:cs="Arial"/>
        </w:rPr>
      </w:pPr>
    </w:p>
    <w:p w14:paraId="7F26D36C" w14:textId="77777777" w:rsidR="00C23BD4" w:rsidRDefault="00073637">
      <w:pPr>
        <w:pStyle w:val="Body"/>
        <w:spacing w:after="0"/>
        <w:rPr>
          <w:rFonts w:ascii="Arial" w:hAnsi="Arial" w:cs="Arial"/>
        </w:rPr>
      </w:pPr>
      <w:r>
        <w:rPr>
          <w:rFonts w:ascii="Arial" w:hAnsi="Arial" w:cs="Arial"/>
        </w:rPr>
        <w:t>There are several critical issues affecting the overall educational experience. Among the major problems identified are the lack of adequate technological resources, poor maintenance of facilities and laboratories, and insufficient academic services (</w:t>
      </w:r>
      <w:proofErr w:type="spellStart"/>
      <w:r>
        <w:rPr>
          <w:rFonts w:ascii="Arial" w:hAnsi="Arial" w:cs="Arial"/>
        </w:rPr>
        <w:t>Almaiah</w:t>
      </w:r>
      <w:proofErr w:type="spellEnd"/>
      <w:r>
        <w:rPr>
          <w:rFonts w:ascii="Arial" w:hAnsi="Arial" w:cs="Arial"/>
        </w:rPr>
        <w:t xml:space="preserve"> et al., 2020). Academic services may include teaching and learning support, classroom and laboratory access, and library resources. Non-academic services, such as academic guidance, counseling, and student support, also play a vital role in university life (García-</w:t>
      </w:r>
      <w:proofErr w:type="spellStart"/>
      <w:r>
        <w:rPr>
          <w:rFonts w:ascii="Arial" w:hAnsi="Arial" w:cs="Arial"/>
        </w:rPr>
        <w:t>Aracil</w:t>
      </w:r>
      <w:proofErr w:type="spellEnd"/>
      <w:r>
        <w:rPr>
          <w:rFonts w:ascii="Arial" w:hAnsi="Arial" w:cs="Arial"/>
        </w:rPr>
        <w:t xml:space="preserve"> &amp; </w:t>
      </w:r>
      <w:proofErr w:type="spellStart"/>
      <w:r>
        <w:rPr>
          <w:rFonts w:ascii="Arial" w:hAnsi="Arial" w:cs="Arial"/>
        </w:rPr>
        <w:t>Palomares</w:t>
      </w:r>
      <w:proofErr w:type="spellEnd"/>
      <w:r>
        <w:rPr>
          <w:rFonts w:ascii="Arial" w:hAnsi="Arial" w:cs="Arial"/>
        </w:rPr>
        <w:t>-Montero, 2017). Together, these services shape the quality of education and strongly influence students’ perception of the institution.</w:t>
      </w:r>
    </w:p>
    <w:p w14:paraId="0F89E0DB" w14:textId="77777777" w:rsidR="00C23BD4" w:rsidRDefault="00C23BD4">
      <w:pPr>
        <w:pStyle w:val="Body"/>
        <w:spacing w:after="0"/>
        <w:rPr>
          <w:rFonts w:ascii="Arial" w:hAnsi="Arial" w:cs="Arial"/>
        </w:rPr>
      </w:pPr>
    </w:p>
    <w:p w14:paraId="3783E689" w14:textId="77777777" w:rsidR="00C23BD4" w:rsidRDefault="00073637">
      <w:pPr>
        <w:pStyle w:val="Body"/>
        <w:spacing w:after="0"/>
        <w:rPr>
          <w:rFonts w:ascii="Arial" w:hAnsi="Arial" w:cs="Arial"/>
        </w:rPr>
      </w:pPr>
      <w:r>
        <w:rPr>
          <w:rFonts w:ascii="Arial" w:hAnsi="Arial" w:cs="Arial"/>
        </w:rPr>
        <w:t>The increased use of technology, globalization, and changing student demographics have intensified competition among higher education institutions. In the United Kingdom, universities have responded by incorporating modern digital learning resources and expanding support services to attract both local and international students (Alves et al., 2017). Similarly, Australian universities have placed greater emphasis on non-academic services such as counseling, career guidance, and student support to enhance satisfaction and retention (Elliot &amp; Healy, 2019).</w:t>
      </w:r>
    </w:p>
    <w:p w14:paraId="5A2FD95B" w14:textId="77777777" w:rsidR="00C23BD4" w:rsidRDefault="00C23BD4">
      <w:pPr>
        <w:pStyle w:val="Body"/>
        <w:spacing w:after="0"/>
        <w:rPr>
          <w:rFonts w:ascii="Arial" w:hAnsi="Arial" w:cs="Arial"/>
        </w:rPr>
      </w:pPr>
    </w:p>
    <w:p w14:paraId="78B24BC0" w14:textId="52FE608C" w:rsidR="00C23BD4" w:rsidRDefault="00073637">
      <w:pPr>
        <w:pStyle w:val="Body"/>
        <w:spacing w:after="0"/>
        <w:rPr>
          <w:rFonts w:ascii="Arial" w:hAnsi="Arial" w:cs="Arial"/>
        </w:rPr>
      </w:pPr>
      <w:r>
        <w:rPr>
          <w:rFonts w:ascii="Arial" w:hAnsi="Arial" w:cs="Arial"/>
        </w:rPr>
        <w:t xml:space="preserve">The situation in the Philippines reflects these global trends. Local universities are under growing pressure to adapt their service delivery to meet rising expectations and the needs of a diverse student population. Increasing competition, both locally and internationally, has </w:t>
      </w:r>
      <w:r>
        <w:rPr>
          <w:rFonts w:ascii="Arial" w:hAnsi="Arial" w:cs="Arial"/>
        </w:rPr>
        <w:lastRenderedPageBreak/>
        <w:t>prompted institutions to invest in technology, improve support services, and encourage greater student participation to boost enrollment and academic performance (</w:t>
      </w:r>
      <w:proofErr w:type="spellStart"/>
      <w:r w:rsidR="00385476" w:rsidRPr="00385476">
        <w:rPr>
          <w:rFonts w:ascii="Arial" w:hAnsi="Arial" w:cs="Arial"/>
        </w:rPr>
        <w:t>Sarsale</w:t>
      </w:r>
      <w:proofErr w:type="spellEnd"/>
      <w:r>
        <w:rPr>
          <w:rFonts w:ascii="Arial" w:hAnsi="Arial" w:cs="Arial"/>
        </w:rPr>
        <w:t>, 2020).</w:t>
      </w:r>
    </w:p>
    <w:p w14:paraId="6B1100D4" w14:textId="77777777" w:rsidR="00C23BD4" w:rsidRDefault="00C23BD4">
      <w:pPr>
        <w:pStyle w:val="Body"/>
        <w:spacing w:after="0"/>
        <w:rPr>
          <w:rFonts w:ascii="Arial" w:hAnsi="Arial" w:cs="Arial"/>
        </w:rPr>
      </w:pPr>
    </w:p>
    <w:p w14:paraId="0659BD6E" w14:textId="2FA5697C" w:rsidR="00C23BD4" w:rsidRDefault="00073637">
      <w:pPr>
        <w:pStyle w:val="Body"/>
        <w:spacing w:after="0"/>
        <w:rPr>
          <w:rFonts w:ascii="Arial" w:hAnsi="Arial" w:cs="Arial"/>
        </w:rPr>
      </w:pPr>
      <w:r>
        <w:rPr>
          <w:rFonts w:ascii="Arial" w:hAnsi="Arial" w:cs="Arial"/>
        </w:rPr>
        <w:t>Despite these efforts, many universities still struggle to provide adequate academic and non-academic services, particularly in areas such as digital resources and psychological support, which became more essential during the pandemic (Tang et al., 2020). Research shows that institutions offering comprehensive support services achieve higher student satisfaction and retention, which in turn leads to stronger academic outcomes (</w:t>
      </w:r>
      <w:proofErr w:type="spellStart"/>
      <w:r w:rsidR="00385476" w:rsidRPr="00385476">
        <w:rPr>
          <w:rFonts w:ascii="Arial" w:hAnsi="Arial" w:cs="Arial"/>
        </w:rPr>
        <w:t>Sarsale</w:t>
      </w:r>
      <w:proofErr w:type="spellEnd"/>
      <w:r w:rsidR="00385476" w:rsidRPr="00385476">
        <w:rPr>
          <w:rFonts w:ascii="Arial" w:hAnsi="Arial" w:cs="Arial"/>
        </w:rPr>
        <w:t>, 2020</w:t>
      </w:r>
      <w:r>
        <w:rPr>
          <w:rFonts w:ascii="Arial" w:hAnsi="Arial" w:cs="Arial"/>
        </w:rPr>
        <w:t>; Cheng et al., 2021).</w:t>
      </w:r>
    </w:p>
    <w:p w14:paraId="3BC4D48A" w14:textId="77777777" w:rsidR="00C23BD4" w:rsidRDefault="00C23BD4">
      <w:pPr>
        <w:pStyle w:val="Body"/>
        <w:spacing w:after="0"/>
        <w:rPr>
          <w:rFonts w:ascii="Arial" w:hAnsi="Arial" w:cs="Arial"/>
        </w:rPr>
      </w:pPr>
    </w:p>
    <w:p w14:paraId="091A9917" w14:textId="77777777" w:rsidR="00C23BD4" w:rsidRDefault="00073637">
      <w:pPr>
        <w:pStyle w:val="Body"/>
        <w:spacing w:after="0"/>
        <w:rPr>
          <w:rFonts w:ascii="Arial" w:hAnsi="Arial" w:cs="Arial"/>
        </w:rPr>
      </w:pPr>
      <w:r>
        <w:rPr>
          <w:rFonts w:ascii="Arial" w:hAnsi="Arial" w:cs="Arial"/>
        </w:rPr>
        <w:t>However, while international studies highlight the importance of academic and non-academic services, fewer local studies in the Philippines have examined how effectively these services meet students’ needs. Lai and Yap (2020) emphasized that support services must be adapted to the specific cultural and social context of students, as one-size-fits-all approaches may not be effective. This suggests that more localized research is necessary to understand student expectations and improve institutional service quality.</w:t>
      </w:r>
    </w:p>
    <w:p w14:paraId="5C6FAA7F" w14:textId="77777777" w:rsidR="00C23BD4" w:rsidRDefault="00C23BD4">
      <w:pPr>
        <w:pStyle w:val="Body"/>
        <w:spacing w:after="0"/>
        <w:rPr>
          <w:rFonts w:ascii="Arial" w:hAnsi="Arial" w:cs="Arial"/>
        </w:rPr>
      </w:pPr>
    </w:p>
    <w:p w14:paraId="42ECAB3E" w14:textId="77777777" w:rsidR="00C23BD4" w:rsidRDefault="00073637">
      <w:pPr>
        <w:pStyle w:val="Body"/>
        <w:spacing w:after="0"/>
        <w:rPr>
          <w:rFonts w:ascii="Arial" w:hAnsi="Arial" w:cs="Arial"/>
        </w:rPr>
      </w:pPr>
      <w:r>
        <w:rPr>
          <w:rFonts w:ascii="Arial" w:hAnsi="Arial" w:cs="Arial"/>
        </w:rPr>
        <w:t>In this context, identifying the determinants of student satisfaction in Philippine universities is highly relevant. Such research not only contributes to service improvement but also supports the broader goal of enhancing education quality, developing graduate employability, and strengthening institutional competitiveness (Gao et al., 2020). Therefore, this study seeks to evaluate the effectiveness of academic and non-academic support services in Philippine universities, with the aim of identifying strategies that improve student satisfaction and retention.</w:t>
      </w:r>
    </w:p>
    <w:p w14:paraId="18017E77" w14:textId="77777777" w:rsidR="000C5675" w:rsidRDefault="000C5675">
      <w:pPr>
        <w:pStyle w:val="Body"/>
        <w:spacing w:after="0"/>
        <w:rPr>
          <w:rFonts w:ascii="Arial" w:hAnsi="Arial" w:cs="Arial"/>
        </w:rPr>
      </w:pPr>
    </w:p>
    <w:p w14:paraId="75A96481" w14:textId="7E81A876" w:rsidR="000C5675" w:rsidRDefault="000C5675">
      <w:pPr>
        <w:pStyle w:val="Body"/>
        <w:spacing w:after="0"/>
        <w:rPr>
          <w:rFonts w:ascii="Arial" w:hAnsi="Arial" w:cs="Arial"/>
        </w:rPr>
      </w:pPr>
      <w:r>
        <w:rPr>
          <w:rFonts w:ascii="Arial" w:hAnsi="Arial" w:cs="Arial"/>
        </w:rPr>
        <w:t>This study is important because it provides empirical evidence on how service quality affects student satisfaction in a regional Philippine university. The findings can guide institutional leaders in designing more student-centered policies, especially in rural campuses where resources are limited. It also adds to the scarce body of localized research on higher education services in the Philippines, offering practical insights for improving both academic and non-academic support. By doing so, the study supports the broader goals of enhancing education quality, improving student retention, and ensuring institutional competitiveness in a globalized academic environment.</w:t>
      </w:r>
    </w:p>
    <w:p w14:paraId="0C7252F3" w14:textId="77777777" w:rsidR="00C23BD4" w:rsidRDefault="00C23BD4">
      <w:pPr>
        <w:pStyle w:val="Body"/>
        <w:spacing w:after="0"/>
        <w:rPr>
          <w:rFonts w:ascii="Arial" w:hAnsi="Arial" w:cs="Arial"/>
        </w:rPr>
      </w:pPr>
    </w:p>
    <w:p w14:paraId="18E4FD8F" w14:textId="77777777" w:rsidR="00C23BD4" w:rsidRDefault="00073637">
      <w:pPr>
        <w:pStyle w:val="AbstHead"/>
        <w:spacing w:after="0"/>
        <w:jc w:val="both"/>
        <w:rPr>
          <w:rFonts w:ascii="Arial" w:hAnsi="Arial" w:cs="Arial"/>
        </w:rPr>
      </w:pPr>
      <w:r>
        <w:rPr>
          <w:rFonts w:ascii="Arial" w:hAnsi="Arial" w:cs="Arial"/>
        </w:rPr>
        <w:t xml:space="preserve">2. material and methods </w:t>
      </w:r>
    </w:p>
    <w:p w14:paraId="23E02327" w14:textId="77777777" w:rsidR="00C23BD4" w:rsidRDefault="00C23BD4">
      <w:pPr>
        <w:pStyle w:val="Body"/>
        <w:spacing w:after="0"/>
        <w:rPr>
          <w:rFonts w:ascii="Arial" w:hAnsi="Arial" w:cs="Arial"/>
        </w:rPr>
      </w:pPr>
    </w:p>
    <w:p w14:paraId="68B15E97" w14:textId="77777777" w:rsidR="00C23BD4" w:rsidRDefault="00073637">
      <w:pPr>
        <w:pStyle w:val="Body"/>
        <w:spacing w:after="0"/>
        <w:rPr>
          <w:rFonts w:ascii="Arial" w:hAnsi="Arial" w:cs="Arial"/>
          <w:b/>
          <w:bCs/>
          <w:sz w:val="22"/>
          <w:szCs w:val="22"/>
        </w:rPr>
      </w:pPr>
      <w:r>
        <w:rPr>
          <w:rFonts w:ascii="Arial" w:hAnsi="Arial" w:cs="Arial"/>
          <w:b/>
          <w:caps/>
          <w:sz w:val="22"/>
          <w:szCs w:val="22"/>
        </w:rPr>
        <w:t xml:space="preserve">2.1 </w:t>
      </w:r>
      <w:r>
        <w:rPr>
          <w:rFonts w:ascii="Arial" w:hAnsi="Arial" w:cs="Arial"/>
          <w:b/>
          <w:bCs/>
          <w:sz w:val="22"/>
          <w:szCs w:val="22"/>
        </w:rPr>
        <w:t>Research Locale and Duration</w:t>
      </w:r>
    </w:p>
    <w:p w14:paraId="7786B55F" w14:textId="77777777" w:rsidR="00C23BD4" w:rsidRDefault="00C23BD4">
      <w:pPr>
        <w:pStyle w:val="Body"/>
        <w:spacing w:after="0"/>
        <w:rPr>
          <w:rFonts w:ascii="Arial" w:hAnsi="Arial" w:cs="Arial"/>
          <w:b/>
          <w:bCs/>
          <w:sz w:val="22"/>
          <w:szCs w:val="22"/>
        </w:rPr>
      </w:pPr>
    </w:p>
    <w:p w14:paraId="05E8FAA5" w14:textId="77777777" w:rsidR="00C23BD4" w:rsidRDefault="00073637">
      <w:pPr>
        <w:pStyle w:val="Body"/>
        <w:spacing w:after="0"/>
        <w:rPr>
          <w:rFonts w:ascii="Arial" w:hAnsi="Arial" w:cs="Arial"/>
        </w:rPr>
      </w:pPr>
      <w:r>
        <w:rPr>
          <w:rFonts w:ascii="Arial" w:hAnsi="Arial" w:cs="Arial"/>
        </w:rPr>
        <w:t xml:space="preserve">The study was conducted at Davao Oriental State University – </w:t>
      </w:r>
      <w:proofErr w:type="spellStart"/>
      <w:r>
        <w:rPr>
          <w:rFonts w:ascii="Arial" w:hAnsi="Arial" w:cs="Arial"/>
        </w:rPr>
        <w:t>Cateel</w:t>
      </w:r>
      <w:proofErr w:type="spellEnd"/>
      <w:r>
        <w:rPr>
          <w:rFonts w:ascii="Arial" w:hAnsi="Arial" w:cs="Arial"/>
        </w:rPr>
        <w:t xml:space="preserve"> Campus, Mahan-</w:t>
      </w:r>
      <w:proofErr w:type="spellStart"/>
      <w:r>
        <w:rPr>
          <w:rFonts w:ascii="Arial" w:hAnsi="Arial" w:cs="Arial"/>
        </w:rPr>
        <w:t>ob</w:t>
      </w:r>
      <w:proofErr w:type="spellEnd"/>
      <w:r>
        <w:rPr>
          <w:rFonts w:ascii="Arial" w:hAnsi="Arial" w:cs="Arial"/>
        </w:rPr>
        <w:t xml:space="preserve">, </w:t>
      </w:r>
      <w:proofErr w:type="spellStart"/>
      <w:r>
        <w:rPr>
          <w:rFonts w:ascii="Arial" w:hAnsi="Arial" w:cs="Arial"/>
        </w:rPr>
        <w:t>Mainit</w:t>
      </w:r>
      <w:proofErr w:type="spellEnd"/>
      <w:r>
        <w:rPr>
          <w:rFonts w:ascii="Arial" w:hAnsi="Arial" w:cs="Arial"/>
        </w:rPr>
        <w:t xml:space="preserve">, </w:t>
      </w:r>
      <w:proofErr w:type="spellStart"/>
      <w:r>
        <w:rPr>
          <w:rFonts w:ascii="Arial" w:hAnsi="Arial" w:cs="Arial"/>
        </w:rPr>
        <w:t>Cateel</w:t>
      </w:r>
      <w:proofErr w:type="spellEnd"/>
      <w:r>
        <w:rPr>
          <w:rFonts w:ascii="Arial" w:hAnsi="Arial" w:cs="Arial"/>
        </w:rPr>
        <w:t>, Davao Oriental, Philippines. This was conducted in the first semester of the school year 2024-2025</w:t>
      </w:r>
    </w:p>
    <w:p w14:paraId="55E44C9A" w14:textId="77777777" w:rsidR="00C23BD4" w:rsidRDefault="00C23BD4">
      <w:pPr>
        <w:pStyle w:val="Body"/>
        <w:spacing w:after="0"/>
        <w:rPr>
          <w:rFonts w:ascii="Arial" w:hAnsi="Arial" w:cs="Arial"/>
        </w:rPr>
      </w:pPr>
    </w:p>
    <w:p w14:paraId="325BA6C8" w14:textId="77777777" w:rsidR="00C23BD4" w:rsidRDefault="00073637">
      <w:pPr>
        <w:pStyle w:val="Body"/>
        <w:spacing w:after="0"/>
        <w:rPr>
          <w:rFonts w:ascii="Arial" w:hAnsi="Arial" w:cs="Arial"/>
          <w:b/>
          <w:bCs/>
          <w:sz w:val="22"/>
          <w:szCs w:val="22"/>
        </w:rPr>
      </w:pPr>
      <w:r>
        <w:rPr>
          <w:rFonts w:ascii="Arial" w:hAnsi="Arial" w:cs="Arial"/>
          <w:b/>
          <w:bCs/>
          <w:sz w:val="22"/>
          <w:szCs w:val="22"/>
        </w:rPr>
        <w:t>2.2 Research Design</w:t>
      </w:r>
    </w:p>
    <w:p w14:paraId="011A23A5" w14:textId="77777777" w:rsidR="00C23BD4" w:rsidRDefault="00C23BD4">
      <w:pPr>
        <w:pStyle w:val="Body"/>
        <w:spacing w:after="0"/>
        <w:rPr>
          <w:rFonts w:ascii="Arial" w:hAnsi="Arial" w:cs="Arial"/>
          <w:b/>
          <w:bCs/>
          <w:sz w:val="22"/>
          <w:szCs w:val="22"/>
        </w:rPr>
      </w:pPr>
    </w:p>
    <w:p w14:paraId="4EA432FF" w14:textId="72438923" w:rsidR="00C23BD4" w:rsidRDefault="00AE3962">
      <w:pPr>
        <w:pStyle w:val="Body"/>
        <w:spacing w:after="0"/>
        <w:rPr>
          <w:rFonts w:ascii="Arial" w:hAnsi="Arial" w:cs="Arial"/>
        </w:rPr>
      </w:pPr>
      <w:r>
        <w:rPr>
          <w:rFonts w:ascii="Arial" w:hAnsi="Arial" w:cs="Arial"/>
        </w:rPr>
        <w:t xml:space="preserve">The study used a descriptive–correlational research design, providing a detailed account of students’ perceptions and experiences related to the services offered. Descriptive research was used to describe the characteristics of the population, while correlation analysis examined relationships between variables without implying causation (Gay, Mills, &amp; </w:t>
      </w:r>
      <w:proofErr w:type="spellStart"/>
      <w:r>
        <w:rPr>
          <w:rFonts w:ascii="Arial" w:hAnsi="Arial" w:cs="Arial"/>
        </w:rPr>
        <w:t>Airasian</w:t>
      </w:r>
      <w:proofErr w:type="spellEnd"/>
      <w:r>
        <w:rPr>
          <w:rFonts w:ascii="Arial" w:hAnsi="Arial" w:cs="Arial"/>
        </w:rPr>
        <w:t>, 2012). To test group differences, Analysis of Variance (ANOVA) was applied to determine whether satisfaction levels varied significantly by course or year level.</w:t>
      </w:r>
    </w:p>
    <w:p w14:paraId="0C454A10" w14:textId="77777777" w:rsidR="00C23BD4" w:rsidRDefault="00073637">
      <w:pPr>
        <w:pStyle w:val="Body"/>
        <w:spacing w:after="0"/>
        <w:rPr>
          <w:rFonts w:ascii="Arial" w:hAnsi="Arial" w:cs="Arial"/>
          <w:b/>
          <w:bCs/>
          <w:sz w:val="22"/>
          <w:szCs w:val="22"/>
        </w:rPr>
      </w:pPr>
      <w:r>
        <w:rPr>
          <w:rFonts w:ascii="Arial" w:hAnsi="Arial" w:cs="Arial"/>
          <w:b/>
          <w:bCs/>
          <w:sz w:val="22"/>
          <w:szCs w:val="22"/>
        </w:rPr>
        <w:t>2.3 Research Respondents and Sampling Procedure</w:t>
      </w:r>
    </w:p>
    <w:p w14:paraId="59371117" w14:textId="77777777" w:rsidR="00C23BD4" w:rsidRDefault="00C23BD4">
      <w:pPr>
        <w:pStyle w:val="Body"/>
        <w:spacing w:after="0"/>
        <w:rPr>
          <w:rFonts w:ascii="Arial" w:hAnsi="Arial" w:cs="Arial"/>
          <w:b/>
          <w:bCs/>
          <w:sz w:val="22"/>
          <w:szCs w:val="22"/>
        </w:rPr>
      </w:pPr>
    </w:p>
    <w:p w14:paraId="309791EC" w14:textId="77777777" w:rsidR="00C23BD4" w:rsidRDefault="00073637">
      <w:pPr>
        <w:pStyle w:val="Body"/>
        <w:spacing w:after="0"/>
        <w:rPr>
          <w:rFonts w:ascii="Arial" w:hAnsi="Arial" w:cs="Arial"/>
        </w:rPr>
      </w:pPr>
      <w:r>
        <w:rPr>
          <w:rFonts w:ascii="Arial" w:hAnsi="Arial" w:cs="Arial"/>
        </w:rPr>
        <w:lastRenderedPageBreak/>
        <w:t>The participants of the study were Bachelor of Science in Business Administration, Bachelor of Science in Business Management, Bachelor of Agricultural Technology, Bachelor of Science in Agriculture- Animal Science and Bachelor of Science in Criminology students from various degree programs, across different year levels (first-year to senior year) of Davao Oriental State University-</w:t>
      </w:r>
      <w:proofErr w:type="spellStart"/>
      <w:r>
        <w:rPr>
          <w:rFonts w:ascii="Arial" w:hAnsi="Arial" w:cs="Arial"/>
        </w:rPr>
        <w:t>Cateel</w:t>
      </w:r>
      <w:proofErr w:type="spellEnd"/>
      <w:r>
        <w:rPr>
          <w:rFonts w:ascii="Arial" w:hAnsi="Arial" w:cs="Arial"/>
        </w:rPr>
        <w:t xml:space="preserve"> Campus. These respondents provided insights into their satisfaction with the services provided by the university, such as admission and enrollment services, quality of instructional practices, quality of teaching facilities, lecture quality, administrative service quality, registrar office services, students welfare services, office of students’ affairs services, clinical services, library services, security services, quality of computer laboratory services, maintenance services, and accounting office services.</w:t>
      </w:r>
    </w:p>
    <w:p w14:paraId="41C5DA29" w14:textId="77777777" w:rsidR="00C23BD4" w:rsidRDefault="00C23BD4">
      <w:pPr>
        <w:pStyle w:val="Body"/>
        <w:spacing w:after="0"/>
        <w:rPr>
          <w:rFonts w:ascii="Arial" w:hAnsi="Arial" w:cs="Arial"/>
        </w:rPr>
      </w:pPr>
    </w:p>
    <w:p w14:paraId="5E4F1F0D" w14:textId="77777777" w:rsidR="00C23BD4" w:rsidRDefault="00073637">
      <w:pPr>
        <w:pStyle w:val="Body"/>
        <w:spacing w:after="0"/>
        <w:rPr>
          <w:rFonts w:ascii="Arial" w:hAnsi="Arial" w:cs="Arial"/>
        </w:rPr>
      </w:pPr>
      <w:r>
        <w:rPr>
          <w:rFonts w:ascii="Arial" w:hAnsi="Arial" w:cs="Arial"/>
        </w:rPr>
        <w:t>The study used Stratified Random Sampling as the sampling technique to ensure representativeness and inclusivity across different student groups. This method ensures that all relevant groups within the university are represented proportionally in the sample, allowing for a more accurate reflection of the overall satisfaction levels. The sample size was determined using a stratified sampling formula to ensure that each subgroup is represented proportionally in the sample, which enhances the precision of estimates for the entire population (Creswell, 2014).</w:t>
      </w:r>
    </w:p>
    <w:p w14:paraId="1C670C7E" w14:textId="77777777" w:rsidR="00C23BD4" w:rsidRDefault="00C23BD4">
      <w:pPr>
        <w:pStyle w:val="Body"/>
        <w:spacing w:after="0"/>
        <w:rPr>
          <w:rFonts w:ascii="Arial" w:hAnsi="Arial" w:cs="Arial"/>
        </w:rPr>
      </w:pPr>
    </w:p>
    <w:p w14:paraId="3856FE4A" w14:textId="77777777" w:rsidR="00C23BD4" w:rsidRDefault="00073637">
      <w:pPr>
        <w:pStyle w:val="Body"/>
        <w:spacing w:after="0"/>
        <w:rPr>
          <w:rFonts w:ascii="Arial" w:hAnsi="Arial" w:cs="Arial"/>
          <w:b/>
          <w:bCs/>
          <w:sz w:val="22"/>
          <w:szCs w:val="22"/>
        </w:rPr>
      </w:pPr>
      <w:r>
        <w:rPr>
          <w:rFonts w:ascii="Arial" w:hAnsi="Arial" w:cs="Arial"/>
          <w:b/>
          <w:bCs/>
          <w:sz w:val="22"/>
          <w:szCs w:val="22"/>
        </w:rPr>
        <w:t>2.4 Research Instrument</w:t>
      </w:r>
    </w:p>
    <w:p w14:paraId="7C661F6A" w14:textId="77777777" w:rsidR="00C23BD4" w:rsidRDefault="00C23BD4">
      <w:pPr>
        <w:pStyle w:val="Body"/>
        <w:spacing w:after="0"/>
        <w:rPr>
          <w:rFonts w:ascii="Arial" w:hAnsi="Arial" w:cs="Arial"/>
          <w:b/>
          <w:bCs/>
          <w:sz w:val="22"/>
          <w:szCs w:val="22"/>
        </w:rPr>
      </w:pPr>
    </w:p>
    <w:p w14:paraId="74D03119" w14:textId="69EED544" w:rsidR="00C23BD4" w:rsidRDefault="00313A97">
      <w:pPr>
        <w:pStyle w:val="Body"/>
        <w:spacing w:after="0"/>
        <w:rPr>
          <w:rFonts w:ascii="Arial" w:hAnsi="Arial" w:cs="Arial"/>
        </w:rPr>
      </w:pPr>
      <w:r>
        <w:rPr>
          <w:rFonts w:ascii="Arial" w:hAnsi="Arial" w:cs="Arial"/>
        </w:rPr>
        <w:t xml:space="preserve">The two adapted questionnaires from Carmi </w:t>
      </w:r>
      <w:proofErr w:type="spellStart"/>
      <w:r>
        <w:rPr>
          <w:rFonts w:ascii="Arial" w:hAnsi="Arial" w:cs="Arial"/>
        </w:rPr>
        <w:t>Portajada-Ejercito</w:t>
      </w:r>
      <w:proofErr w:type="spellEnd"/>
      <w:r>
        <w:rPr>
          <w:rFonts w:ascii="Arial" w:hAnsi="Arial" w:cs="Arial"/>
        </w:rPr>
        <w:t xml:space="preserve"> (2023) on “Level of Satisfaction of Students on the School Services, Faculty and Facilities” and from Field (2009) on “Educational Service Quality and Students’ Satisfaction in Public Universities in Kenya” were the main research instruments used in the study. A questionnaire for a structured survey represented the research instrument. Participants received a questionnaire with two sections: (1) their demographic data and (2) their satisfaction with certain student services. Using a Likert scale, respondents ranked each service (1 = strongly disagree to 5 = strongly agree). Students at Davao Oriental State University – </w:t>
      </w:r>
      <w:proofErr w:type="spellStart"/>
      <w:r>
        <w:rPr>
          <w:rFonts w:ascii="Arial" w:hAnsi="Arial" w:cs="Arial"/>
        </w:rPr>
        <w:t>Cateel</w:t>
      </w:r>
      <w:proofErr w:type="spellEnd"/>
      <w:r>
        <w:rPr>
          <w:rFonts w:ascii="Arial" w:hAnsi="Arial" w:cs="Arial"/>
        </w:rPr>
        <w:t xml:space="preserve"> Campus completed this survey in person to provide information on how satisfied they were with different services.</w:t>
      </w:r>
    </w:p>
    <w:p w14:paraId="71F87534" w14:textId="77777777" w:rsidR="00C23BD4" w:rsidRDefault="00C23BD4">
      <w:pPr>
        <w:pStyle w:val="Body"/>
        <w:spacing w:after="0"/>
        <w:rPr>
          <w:rFonts w:ascii="Arial" w:hAnsi="Arial" w:cs="Arial"/>
        </w:rPr>
      </w:pPr>
    </w:p>
    <w:p w14:paraId="63B54619" w14:textId="77777777" w:rsidR="00C23BD4" w:rsidRDefault="00073637">
      <w:pPr>
        <w:pStyle w:val="Body"/>
        <w:spacing w:after="0"/>
        <w:rPr>
          <w:rFonts w:ascii="Arial" w:hAnsi="Arial" w:cs="Arial"/>
          <w:b/>
          <w:bCs/>
          <w:sz w:val="22"/>
          <w:szCs w:val="22"/>
        </w:rPr>
      </w:pPr>
      <w:r>
        <w:rPr>
          <w:rFonts w:ascii="Arial" w:hAnsi="Arial" w:cs="Arial"/>
          <w:b/>
          <w:bCs/>
          <w:sz w:val="22"/>
          <w:szCs w:val="22"/>
        </w:rPr>
        <w:t>2.5 Data Gathering Procedure</w:t>
      </w:r>
    </w:p>
    <w:p w14:paraId="3C4F10D0" w14:textId="77777777" w:rsidR="00C23BD4" w:rsidRDefault="00C23BD4">
      <w:pPr>
        <w:pStyle w:val="Body"/>
        <w:spacing w:after="0"/>
        <w:rPr>
          <w:rFonts w:ascii="Arial" w:hAnsi="Arial" w:cs="Arial"/>
          <w:b/>
          <w:bCs/>
          <w:sz w:val="22"/>
          <w:szCs w:val="22"/>
        </w:rPr>
      </w:pPr>
    </w:p>
    <w:p w14:paraId="4044CC56" w14:textId="7BA0DD55" w:rsidR="00C23BD4" w:rsidRDefault="00817EF2">
      <w:pPr>
        <w:pStyle w:val="Body"/>
        <w:spacing w:after="0"/>
        <w:rPr>
          <w:rFonts w:ascii="Arial" w:hAnsi="Arial" w:cs="Arial"/>
        </w:rPr>
      </w:pPr>
      <w:r>
        <w:rPr>
          <w:rFonts w:ascii="Arial" w:hAnsi="Arial" w:cs="Arial"/>
        </w:rPr>
        <w:t xml:space="preserve">The researchers first sought ethical clearance from the Research Ethics Committee of Davao Oriental State University – </w:t>
      </w:r>
      <w:proofErr w:type="spellStart"/>
      <w:r>
        <w:rPr>
          <w:rFonts w:ascii="Arial" w:hAnsi="Arial" w:cs="Arial"/>
        </w:rPr>
        <w:t>Cateel</w:t>
      </w:r>
      <w:proofErr w:type="spellEnd"/>
      <w:r>
        <w:rPr>
          <w:rFonts w:ascii="Arial" w:hAnsi="Arial" w:cs="Arial"/>
        </w:rPr>
        <w:t xml:space="preserve"> Campus to conduct the study. After approval, informed consent forms were distributed to the respondents, ensuring they understood the purpose of the study, their rights, and the confidentiality of their responses. Questionnaires were then administered to the selected participants, who were assured of voluntary participation. Once accomplished, the questionnaires were retrieved, tallied, and submitted to a statistician for analysis and interpretation.</w:t>
      </w:r>
    </w:p>
    <w:p w14:paraId="2A5FD1BD" w14:textId="77777777" w:rsidR="00C23BD4" w:rsidRDefault="00C23BD4">
      <w:pPr>
        <w:pStyle w:val="Body"/>
        <w:spacing w:after="0"/>
        <w:rPr>
          <w:rFonts w:ascii="Arial" w:hAnsi="Arial" w:cs="Arial"/>
        </w:rPr>
      </w:pPr>
    </w:p>
    <w:p w14:paraId="38FE18FA" w14:textId="77777777" w:rsidR="00C23BD4" w:rsidRDefault="00073637">
      <w:pPr>
        <w:pStyle w:val="Body"/>
        <w:spacing w:after="0"/>
        <w:rPr>
          <w:rFonts w:ascii="Arial" w:hAnsi="Arial" w:cs="Arial"/>
          <w:b/>
          <w:bCs/>
          <w:sz w:val="22"/>
          <w:szCs w:val="22"/>
        </w:rPr>
      </w:pPr>
      <w:r>
        <w:rPr>
          <w:rFonts w:ascii="Arial" w:hAnsi="Arial" w:cs="Arial"/>
          <w:b/>
          <w:bCs/>
          <w:sz w:val="22"/>
          <w:szCs w:val="22"/>
        </w:rPr>
        <w:t>2.6 Data Analysis</w:t>
      </w:r>
    </w:p>
    <w:p w14:paraId="0710F615" w14:textId="77777777" w:rsidR="00C23BD4" w:rsidRDefault="00C23BD4">
      <w:pPr>
        <w:pStyle w:val="Body"/>
        <w:spacing w:after="0"/>
        <w:rPr>
          <w:rFonts w:ascii="Arial" w:hAnsi="Arial" w:cs="Arial"/>
          <w:b/>
          <w:bCs/>
          <w:sz w:val="22"/>
          <w:szCs w:val="22"/>
        </w:rPr>
      </w:pPr>
    </w:p>
    <w:p w14:paraId="038F55E4" w14:textId="3EF8BC35" w:rsidR="00554A1E" w:rsidRDefault="00C03F41">
      <w:pPr>
        <w:pStyle w:val="Body"/>
        <w:spacing w:after="0"/>
        <w:rPr>
          <w:rFonts w:ascii="Arial" w:hAnsi="Arial" w:cs="Arial"/>
        </w:rPr>
      </w:pPr>
      <w:r>
        <w:rPr>
          <w:rFonts w:ascii="Arial" w:hAnsi="Arial" w:cs="Arial"/>
        </w:rPr>
        <w:t>When conducting data analysis, the researchers followed a systematic process to ensure accurate interpretation of the collected data. The data were analyzed using descriptive statistics (mean and standard deviation) and ANOVA to evaluate student satisfaction levels with various university services and to determine whether there were significant differences in satisfaction based on course and year level.</w:t>
      </w:r>
    </w:p>
    <w:p w14:paraId="7597E4F3" w14:textId="77777777" w:rsidR="00554A1E" w:rsidRDefault="00554A1E">
      <w:pPr>
        <w:pStyle w:val="Body"/>
        <w:spacing w:after="0"/>
        <w:rPr>
          <w:rFonts w:ascii="Arial" w:hAnsi="Arial" w:cs="Arial"/>
        </w:rPr>
      </w:pPr>
    </w:p>
    <w:p w14:paraId="1F4FD9F4" w14:textId="2CDEACCC" w:rsidR="00295CCF" w:rsidRDefault="00295CCF">
      <w:pPr>
        <w:pStyle w:val="Body"/>
        <w:spacing w:after="0"/>
        <w:rPr>
          <w:rFonts w:ascii="Arial" w:hAnsi="Arial" w:cs="Arial"/>
        </w:rPr>
      </w:pPr>
      <w:r>
        <w:rPr>
          <w:rFonts w:ascii="Arial" w:hAnsi="Arial" w:cs="Arial"/>
        </w:rPr>
        <w:t>The following scale was used to interpret the mean scores:</w:t>
      </w:r>
    </w:p>
    <w:p w14:paraId="55691CC9" w14:textId="77777777" w:rsidR="00295CCF" w:rsidRDefault="00295CCF">
      <w:pPr>
        <w:pStyle w:val="Body"/>
        <w:spacing w:after="0"/>
        <w:rPr>
          <w:rFonts w:ascii="Arial" w:hAnsi="Arial" w:cs="Arial"/>
        </w:rPr>
      </w:pPr>
      <w:r>
        <w:rPr>
          <w:rFonts w:ascii="Arial" w:hAnsi="Arial" w:cs="Arial"/>
        </w:rPr>
        <w:t>4.21–5.00 = Very High</w:t>
      </w:r>
    </w:p>
    <w:p w14:paraId="3C823F3C" w14:textId="77777777" w:rsidR="00295CCF" w:rsidRDefault="00295CCF">
      <w:pPr>
        <w:pStyle w:val="Body"/>
        <w:spacing w:after="0"/>
        <w:rPr>
          <w:rFonts w:ascii="Arial" w:hAnsi="Arial" w:cs="Arial"/>
        </w:rPr>
      </w:pPr>
      <w:r>
        <w:rPr>
          <w:rFonts w:ascii="Arial" w:hAnsi="Arial" w:cs="Arial"/>
        </w:rPr>
        <w:t>3.41–4.20 = High</w:t>
      </w:r>
    </w:p>
    <w:p w14:paraId="6BC0B012" w14:textId="77777777" w:rsidR="00295CCF" w:rsidRDefault="00295CCF">
      <w:pPr>
        <w:pStyle w:val="Body"/>
        <w:spacing w:after="0"/>
        <w:rPr>
          <w:rFonts w:ascii="Arial" w:hAnsi="Arial" w:cs="Arial"/>
        </w:rPr>
      </w:pPr>
      <w:r>
        <w:rPr>
          <w:rFonts w:ascii="Arial" w:hAnsi="Arial" w:cs="Arial"/>
        </w:rPr>
        <w:t>2.61–3.40 = Moderate</w:t>
      </w:r>
    </w:p>
    <w:p w14:paraId="5A2F831F" w14:textId="77777777" w:rsidR="00295CCF" w:rsidRDefault="00295CCF">
      <w:pPr>
        <w:pStyle w:val="Body"/>
        <w:spacing w:after="0"/>
        <w:rPr>
          <w:rFonts w:ascii="Arial" w:hAnsi="Arial" w:cs="Arial"/>
        </w:rPr>
      </w:pPr>
      <w:r>
        <w:rPr>
          <w:rFonts w:ascii="Arial" w:hAnsi="Arial" w:cs="Arial"/>
        </w:rPr>
        <w:lastRenderedPageBreak/>
        <w:t>1.81–2.60 = Low</w:t>
      </w:r>
    </w:p>
    <w:p w14:paraId="677BED38" w14:textId="77777777" w:rsidR="0051516D" w:rsidRDefault="00295CCF">
      <w:pPr>
        <w:pStyle w:val="Body"/>
        <w:spacing w:after="0"/>
        <w:rPr>
          <w:rFonts w:ascii="Arial" w:hAnsi="Arial" w:cs="Arial"/>
        </w:rPr>
      </w:pPr>
      <w:r>
        <w:rPr>
          <w:rFonts w:ascii="Arial" w:hAnsi="Arial" w:cs="Arial"/>
        </w:rPr>
        <w:t>1.00–1.80 = Very Low</w:t>
      </w:r>
    </w:p>
    <w:p w14:paraId="2AEC303F" w14:textId="77777777" w:rsidR="0051516D" w:rsidRDefault="0051516D">
      <w:pPr>
        <w:pStyle w:val="Body"/>
        <w:spacing w:after="0"/>
        <w:rPr>
          <w:rFonts w:ascii="Arial" w:hAnsi="Arial" w:cs="Arial"/>
        </w:rPr>
      </w:pPr>
    </w:p>
    <w:p w14:paraId="25A3BC9E" w14:textId="6C3465C3" w:rsidR="00C23BD4" w:rsidRDefault="00311F92">
      <w:pPr>
        <w:pStyle w:val="Body"/>
        <w:spacing w:after="0"/>
        <w:rPr>
          <w:rFonts w:ascii="Arial" w:hAnsi="Arial" w:cs="Arial"/>
        </w:rPr>
      </w:pPr>
      <w:r>
        <w:rPr>
          <w:rFonts w:ascii="Arial" w:hAnsi="Arial" w:cs="Arial"/>
        </w:rPr>
        <w:t>The results of the data analysis were interpreted based on the research objectives. Key findings included which services students were most and least satisfied with, whether there were significant differences in satisfaction based on demographic factors, and which services contributed most to overall satisfaction. Practical recommendations for improving student services were derived from these findings.</w:t>
      </w:r>
    </w:p>
    <w:p w14:paraId="1587BC2A" w14:textId="77777777" w:rsidR="00C23BD4" w:rsidRDefault="00C23BD4">
      <w:pPr>
        <w:pStyle w:val="Body"/>
        <w:spacing w:after="0"/>
        <w:rPr>
          <w:rFonts w:ascii="Arial" w:hAnsi="Arial" w:cs="Arial"/>
        </w:rPr>
      </w:pPr>
    </w:p>
    <w:p w14:paraId="134A44AB" w14:textId="77777777" w:rsidR="00C23BD4" w:rsidRDefault="00073637">
      <w:pPr>
        <w:pStyle w:val="Head1"/>
        <w:spacing w:after="0"/>
        <w:jc w:val="both"/>
        <w:rPr>
          <w:rFonts w:ascii="Arial" w:hAnsi="Arial" w:cs="Arial"/>
        </w:rPr>
      </w:pPr>
      <w:r>
        <w:rPr>
          <w:rFonts w:ascii="Arial" w:hAnsi="Arial" w:cs="Arial"/>
        </w:rPr>
        <w:t>3. results and discussion</w:t>
      </w:r>
    </w:p>
    <w:p w14:paraId="23390A72" w14:textId="77777777" w:rsidR="00C23BD4" w:rsidRDefault="00C23BD4">
      <w:pPr>
        <w:pStyle w:val="Body"/>
        <w:spacing w:after="0"/>
        <w:rPr>
          <w:rFonts w:ascii="Arial" w:hAnsi="Arial" w:cs="Arial"/>
        </w:rPr>
      </w:pPr>
    </w:p>
    <w:p w14:paraId="5E528557" w14:textId="77777777" w:rsidR="00C23BD4" w:rsidRDefault="00073637">
      <w:pPr>
        <w:jc w:val="both"/>
        <w:rPr>
          <w:rFonts w:ascii="Arial" w:hAnsi="Arial" w:cs="Arial"/>
          <w:b/>
          <w:bCs/>
          <w:sz w:val="22"/>
          <w:szCs w:val="22"/>
          <w:u w:val="single"/>
          <w:lang w:val="en-GB" w:eastAsia="en-GB"/>
        </w:rPr>
      </w:pPr>
      <w:r>
        <w:rPr>
          <w:rFonts w:ascii="Arial" w:hAnsi="Arial" w:cs="Arial"/>
          <w:b/>
          <w:bCs/>
          <w:sz w:val="22"/>
          <w:szCs w:val="22"/>
          <w:lang w:val="en-GB" w:eastAsia="en-GB"/>
        </w:rPr>
        <w:t>3.1 Profile of</w:t>
      </w:r>
      <w:r>
        <w:rPr>
          <w:rFonts w:ascii="Arial" w:hAnsi="Arial" w:cs="Arial"/>
          <w:b/>
          <w:bCs/>
          <w:sz w:val="22"/>
          <w:szCs w:val="22"/>
          <w:lang w:eastAsia="en-GB"/>
        </w:rPr>
        <w:t xml:space="preserve"> the</w:t>
      </w:r>
      <w:r>
        <w:rPr>
          <w:rFonts w:ascii="Arial" w:hAnsi="Arial" w:cs="Arial"/>
          <w:b/>
          <w:bCs/>
          <w:sz w:val="22"/>
          <w:szCs w:val="22"/>
          <w:lang w:val="en-GB" w:eastAsia="en-GB"/>
        </w:rPr>
        <w:t xml:space="preserve"> Respondents</w:t>
      </w:r>
      <w:r>
        <w:rPr>
          <w:rFonts w:ascii="Arial" w:hAnsi="Arial" w:cs="Arial"/>
          <w:b/>
          <w:bCs/>
          <w:sz w:val="22"/>
          <w:szCs w:val="22"/>
          <w:u w:val="single"/>
          <w:lang w:val="en-GB" w:eastAsia="en-GB"/>
        </w:rPr>
        <w:t xml:space="preserve"> </w:t>
      </w:r>
      <w:r>
        <w:rPr>
          <w:rFonts w:ascii="Arial" w:hAnsi="Arial" w:cs="Arial"/>
        </w:rPr>
        <w:t xml:space="preserve"> </w:t>
      </w:r>
    </w:p>
    <w:p w14:paraId="1ED230DA" w14:textId="77777777" w:rsidR="00C23BD4" w:rsidRDefault="00C23BD4">
      <w:pPr>
        <w:pStyle w:val="Body"/>
        <w:spacing w:after="0"/>
        <w:rPr>
          <w:rFonts w:ascii="Arial" w:hAnsi="Arial" w:cs="Arial"/>
        </w:rPr>
      </w:pPr>
    </w:p>
    <w:p w14:paraId="00A8D14C" w14:textId="77777777" w:rsidR="00C23BD4" w:rsidRDefault="00073637">
      <w:pPr>
        <w:tabs>
          <w:tab w:val="left" w:pos="1080"/>
        </w:tabs>
        <w:jc w:val="center"/>
        <w:rPr>
          <w:rFonts w:ascii="Arial" w:hAnsi="Arial"/>
          <w:b/>
        </w:rPr>
      </w:pPr>
      <w:r>
        <w:rPr>
          <w:rFonts w:ascii="Arial" w:hAnsi="Arial"/>
          <w:b/>
        </w:rPr>
        <w:t>Table 1. Profile of the Respondents</w:t>
      </w:r>
    </w:p>
    <w:p w14:paraId="677209A1" w14:textId="77777777" w:rsidR="00C23BD4" w:rsidRDefault="00C23BD4">
      <w:pPr>
        <w:tabs>
          <w:tab w:val="left" w:pos="1080"/>
        </w:tabs>
        <w:jc w:val="center"/>
        <w:rPr>
          <w:rFonts w:ascii="Arial" w:hAnsi="Arial"/>
          <w:b/>
        </w:rPr>
      </w:pPr>
    </w:p>
    <w:p w14:paraId="1CE84819" w14:textId="77777777" w:rsidR="00C23BD4" w:rsidRDefault="00C23BD4">
      <w:pPr>
        <w:tabs>
          <w:tab w:val="left" w:pos="1080"/>
        </w:tabs>
        <w:jc w:val="center"/>
        <w:rPr>
          <w:rFonts w:ascii="Arial" w:hAnsi="Arial"/>
          <w:b/>
        </w:rPr>
      </w:pPr>
    </w:p>
    <w:tbl>
      <w:tblPr>
        <w:tblStyle w:val="PlainTable41"/>
        <w:tblW w:w="8647" w:type="dxa"/>
        <w:jc w:val="center"/>
        <w:tblLook w:val="04A0" w:firstRow="1" w:lastRow="0" w:firstColumn="1" w:lastColumn="0" w:noHBand="0" w:noVBand="1"/>
      </w:tblPr>
      <w:tblGrid>
        <w:gridCol w:w="2835"/>
        <w:gridCol w:w="2977"/>
        <w:gridCol w:w="2835"/>
      </w:tblGrid>
      <w:tr w:rsidR="00C23BD4" w14:paraId="4A817B3F" w14:textId="77777777" w:rsidTr="009C156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47" w:type="dxa"/>
            <w:gridSpan w:val="3"/>
            <w:tcBorders>
              <w:top w:val="single" w:sz="12" w:space="0" w:color="auto"/>
              <w:bottom w:val="single" w:sz="12" w:space="0" w:color="auto"/>
            </w:tcBorders>
          </w:tcPr>
          <w:p w14:paraId="1622A786" w14:textId="77777777" w:rsidR="00C23BD4" w:rsidRDefault="00073637">
            <w:pPr>
              <w:rPr>
                <w:rFonts w:ascii="Arial" w:hAnsi="Arial" w:cs="Arial"/>
              </w:rPr>
            </w:pPr>
            <w:r>
              <w:rPr>
                <w:rFonts w:ascii="Arial" w:hAnsi="Arial" w:cs="Arial"/>
              </w:rPr>
              <w:t xml:space="preserve">             Program                             Frequency                                Percent</w:t>
            </w:r>
          </w:p>
        </w:tc>
      </w:tr>
      <w:tr w:rsidR="00C23BD4" w14:paraId="0E334635" w14:textId="77777777" w:rsidTr="009C156C">
        <w:trPr>
          <w:trHeight w:val="335"/>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tcBorders>
          </w:tcPr>
          <w:p w14:paraId="6462093C" w14:textId="77777777" w:rsidR="00C23BD4" w:rsidRDefault="00073637">
            <w:pPr>
              <w:jc w:val="center"/>
              <w:rPr>
                <w:rFonts w:ascii="Arial" w:hAnsi="Arial" w:cs="Arial"/>
              </w:rPr>
            </w:pPr>
            <w:r>
              <w:rPr>
                <w:rFonts w:ascii="Arial" w:hAnsi="Arial" w:cs="Arial"/>
                <w:b w:val="0"/>
                <w:bCs w:val="0"/>
              </w:rPr>
              <w:t>BSBA</w:t>
            </w:r>
          </w:p>
        </w:tc>
        <w:tc>
          <w:tcPr>
            <w:tcW w:w="2977" w:type="dxa"/>
            <w:tcBorders>
              <w:top w:val="single" w:sz="12" w:space="0" w:color="auto"/>
            </w:tcBorders>
            <w:noWrap/>
          </w:tcPr>
          <w:p w14:paraId="20092B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149</w:t>
            </w:r>
          </w:p>
        </w:tc>
        <w:tc>
          <w:tcPr>
            <w:tcW w:w="2835" w:type="dxa"/>
            <w:noWrap/>
          </w:tcPr>
          <w:p w14:paraId="1AD591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48.53</w:t>
            </w:r>
          </w:p>
        </w:tc>
      </w:tr>
      <w:tr w:rsidR="00C23BD4" w14:paraId="2AB6E2BF"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Pr>
          <w:p w14:paraId="60192AEE" w14:textId="77777777" w:rsidR="00C23BD4" w:rsidRDefault="00073637">
            <w:pPr>
              <w:jc w:val="center"/>
              <w:rPr>
                <w:rFonts w:ascii="Arial" w:hAnsi="Arial" w:cs="Arial"/>
              </w:rPr>
            </w:pPr>
            <w:r>
              <w:rPr>
                <w:rFonts w:ascii="Arial" w:hAnsi="Arial" w:cs="Arial"/>
                <w:b w:val="0"/>
                <w:bCs w:val="0"/>
              </w:rPr>
              <w:t>BSAM</w:t>
            </w:r>
          </w:p>
        </w:tc>
        <w:tc>
          <w:tcPr>
            <w:tcW w:w="2977" w:type="dxa"/>
            <w:noWrap/>
          </w:tcPr>
          <w:p w14:paraId="4090D7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71</w:t>
            </w:r>
          </w:p>
        </w:tc>
        <w:tc>
          <w:tcPr>
            <w:tcW w:w="2835" w:type="dxa"/>
            <w:noWrap/>
          </w:tcPr>
          <w:p w14:paraId="0FB4EB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23.13</w:t>
            </w:r>
          </w:p>
        </w:tc>
      </w:tr>
      <w:tr w:rsidR="00C23BD4" w14:paraId="7E0D99E8"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Pr>
          <w:p w14:paraId="4525928D" w14:textId="77777777" w:rsidR="00C23BD4" w:rsidRDefault="00073637">
            <w:pPr>
              <w:jc w:val="center"/>
              <w:rPr>
                <w:rFonts w:ascii="Arial" w:hAnsi="Arial" w:cs="Arial"/>
              </w:rPr>
            </w:pPr>
            <w:r>
              <w:rPr>
                <w:rFonts w:ascii="Arial" w:hAnsi="Arial" w:cs="Arial"/>
                <w:b w:val="0"/>
                <w:bCs w:val="0"/>
              </w:rPr>
              <w:t>BSA/BAT</w:t>
            </w:r>
          </w:p>
        </w:tc>
        <w:tc>
          <w:tcPr>
            <w:tcW w:w="2977" w:type="dxa"/>
            <w:noWrap/>
          </w:tcPr>
          <w:p w14:paraId="4D740A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w:t>
            </w:r>
          </w:p>
        </w:tc>
        <w:tc>
          <w:tcPr>
            <w:tcW w:w="2835" w:type="dxa"/>
            <w:noWrap/>
          </w:tcPr>
          <w:p w14:paraId="77D33E6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9.45</w:t>
            </w:r>
          </w:p>
        </w:tc>
      </w:tr>
      <w:tr w:rsidR="00C23BD4" w14:paraId="537CACD2"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Pr>
          <w:p w14:paraId="6AD644CD" w14:textId="77777777" w:rsidR="00C23BD4" w:rsidRDefault="00073637">
            <w:pPr>
              <w:jc w:val="center"/>
              <w:rPr>
                <w:rFonts w:ascii="Arial" w:hAnsi="Arial" w:cs="Arial"/>
              </w:rPr>
            </w:pPr>
            <w:proofErr w:type="spellStart"/>
            <w:r>
              <w:rPr>
                <w:rFonts w:ascii="Arial" w:hAnsi="Arial" w:cs="Arial"/>
                <w:b w:val="0"/>
                <w:bCs w:val="0"/>
              </w:rPr>
              <w:t>BSCrim</w:t>
            </w:r>
            <w:proofErr w:type="spellEnd"/>
          </w:p>
        </w:tc>
        <w:tc>
          <w:tcPr>
            <w:tcW w:w="2977" w:type="dxa"/>
            <w:noWrap/>
          </w:tcPr>
          <w:p w14:paraId="391A5F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c>
          <w:tcPr>
            <w:tcW w:w="2835" w:type="dxa"/>
            <w:noWrap/>
          </w:tcPr>
          <w:p w14:paraId="43CE115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18.89</w:t>
            </w:r>
          </w:p>
        </w:tc>
      </w:tr>
      <w:tr w:rsidR="00C23BD4" w14:paraId="33B75CF0"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Borders>
              <w:bottom w:val="single" w:sz="12" w:space="0" w:color="auto"/>
            </w:tcBorders>
          </w:tcPr>
          <w:p w14:paraId="70FEC92E" w14:textId="77777777" w:rsidR="00C23BD4" w:rsidRDefault="00073637">
            <w:pPr>
              <w:jc w:val="center"/>
              <w:rPr>
                <w:rFonts w:ascii="Arial" w:hAnsi="Arial" w:cs="Arial"/>
              </w:rPr>
            </w:pPr>
            <w:r>
              <w:rPr>
                <w:rFonts w:ascii="Arial" w:hAnsi="Arial" w:cs="Arial"/>
                <w:b w:val="0"/>
                <w:bCs w:val="0"/>
              </w:rPr>
              <w:t>Total</w:t>
            </w:r>
          </w:p>
        </w:tc>
        <w:tc>
          <w:tcPr>
            <w:tcW w:w="2977" w:type="dxa"/>
            <w:tcBorders>
              <w:bottom w:val="single" w:sz="12" w:space="0" w:color="auto"/>
            </w:tcBorders>
            <w:noWrap/>
          </w:tcPr>
          <w:p w14:paraId="7978E23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307</w:t>
            </w:r>
          </w:p>
        </w:tc>
        <w:tc>
          <w:tcPr>
            <w:tcW w:w="2835" w:type="dxa"/>
            <w:tcBorders>
              <w:bottom w:val="single" w:sz="12" w:space="0" w:color="auto"/>
            </w:tcBorders>
            <w:noWrap/>
          </w:tcPr>
          <w:p w14:paraId="2D8A75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100.00</w:t>
            </w:r>
          </w:p>
        </w:tc>
      </w:tr>
      <w:tr w:rsidR="00C23BD4" w14:paraId="57F82F9F"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8647" w:type="dxa"/>
            <w:gridSpan w:val="3"/>
            <w:tcBorders>
              <w:top w:val="single" w:sz="12" w:space="0" w:color="auto"/>
              <w:bottom w:val="single" w:sz="12" w:space="0" w:color="auto"/>
            </w:tcBorders>
          </w:tcPr>
          <w:p w14:paraId="1C753829" w14:textId="77777777" w:rsidR="00C23BD4" w:rsidRDefault="00073637">
            <w:pPr>
              <w:rPr>
                <w:rFonts w:ascii="Arial" w:hAnsi="Arial" w:cs="Arial"/>
                <w:b w:val="0"/>
                <w:bCs w:val="0"/>
              </w:rPr>
            </w:pPr>
            <w:r>
              <w:rPr>
                <w:rFonts w:ascii="Arial" w:hAnsi="Arial" w:cs="Arial"/>
                <w:b w:val="0"/>
                <w:bCs w:val="0"/>
              </w:rPr>
              <w:t xml:space="preserve">           </w:t>
            </w:r>
            <w:r>
              <w:rPr>
                <w:rFonts w:ascii="Arial" w:hAnsi="Arial" w:cs="Arial"/>
              </w:rPr>
              <w:t>Year Level                            Frequency                                Percent</w:t>
            </w:r>
          </w:p>
        </w:tc>
      </w:tr>
      <w:tr w:rsidR="00C23BD4" w14:paraId="2E819B91"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tcBorders>
          </w:tcPr>
          <w:p w14:paraId="6747BF7A" w14:textId="77777777" w:rsidR="00C23BD4" w:rsidRDefault="00073637">
            <w:pPr>
              <w:jc w:val="center"/>
              <w:rPr>
                <w:rFonts w:ascii="Arial" w:hAnsi="Arial" w:cs="Arial"/>
              </w:rPr>
            </w:pPr>
            <w:r>
              <w:rPr>
                <w:rFonts w:ascii="Arial" w:hAnsi="Arial" w:cs="Arial"/>
                <w:b w:val="0"/>
                <w:bCs w:val="0"/>
              </w:rPr>
              <w:t>First Year</w:t>
            </w:r>
          </w:p>
        </w:tc>
        <w:tc>
          <w:tcPr>
            <w:tcW w:w="2977" w:type="dxa"/>
            <w:tcBorders>
              <w:top w:val="single" w:sz="12" w:space="0" w:color="auto"/>
            </w:tcBorders>
            <w:noWrap/>
          </w:tcPr>
          <w:p w14:paraId="468987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w:t>
            </w:r>
          </w:p>
        </w:tc>
        <w:tc>
          <w:tcPr>
            <w:tcW w:w="2835" w:type="dxa"/>
            <w:tcBorders>
              <w:top w:val="single" w:sz="12" w:space="0" w:color="auto"/>
            </w:tcBorders>
            <w:noWrap/>
          </w:tcPr>
          <w:p w14:paraId="2522436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28.99</w:t>
            </w:r>
          </w:p>
        </w:tc>
      </w:tr>
      <w:tr w:rsidR="00C23BD4" w14:paraId="08575E58"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Pr>
          <w:p w14:paraId="3D39E3E4" w14:textId="77777777" w:rsidR="00C23BD4" w:rsidRDefault="00073637">
            <w:pPr>
              <w:jc w:val="center"/>
              <w:rPr>
                <w:rFonts w:ascii="Arial" w:hAnsi="Arial" w:cs="Arial"/>
              </w:rPr>
            </w:pPr>
            <w:r>
              <w:rPr>
                <w:rFonts w:ascii="Arial" w:hAnsi="Arial" w:cs="Arial"/>
                <w:b w:val="0"/>
                <w:bCs w:val="0"/>
              </w:rPr>
              <w:t>Second Year</w:t>
            </w:r>
          </w:p>
        </w:tc>
        <w:tc>
          <w:tcPr>
            <w:tcW w:w="2977" w:type="dxa"/>
            <w:noWrap/>
          </w:tcPr>
          <w:p w14:paraId="70E86F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w:t>
            </w:r>
          </w:p>
        </w:tc>
        <w:tc>
          <w:tcPr>
            <w:tcW w:w="2835" w:type="dxa"/>
            <w:noWrap/>
          </w:tcPr>
          <w:p w14:paraId="201CB4F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25.73</w:t>
            </w:r>
          </w:p>
        </w:tc>
      </w:tr>
      <w:tr w:rsidR="00C23BD4" w14:paraId="2775A297"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Pr>
          <w:p w14:paraId="1ACB1E0D" w14:textId="77777777" w:rsidR="00C23BD4" w:rsidRDefault="00073637">
            <w:pPr>
              <w:jc w:val="center"/>
              <w:rPr>
                <w:rFonts w:ascii="Arial" w:hAnsi="Arial" w:cs="Arial"/>
              </w:rPr>
            </w:pPr>
            <w:r>
              <w:rPr>
                <w:rFonts w:ascii="Arial" w:hAnsi="Arial" w:cs="Arial"/>
                <w:b w:val="0"/>
                <w:bCs w:val="0"/>
              </w:rPr>
              <w:t>Third Year</w:t>
            </w:r>
          </w:p>
        </w:tc>
        <w:tc>
          <w:tcPr>
            <w:tcW w:w="2977" w:type="dxa"/>
            <w:noWrap/>
          </w:tcPr>
          <w:p w14:paraId="7D4CA8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w:t>
            </w:r>
          </w:p>
        </w:tc>
        <w:tc>
          <w:tcPr>
            <w:tcW w:w="2835" w:type="dxa"/>
            <w:noWrap/>
          </w:tcPr>
          <w:p w14:paraId="00E9E15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22.80</w:t>
            </w:r>
          </w:p>
        </w:tc>
      </w:tr>
      <w:tr w:rsidR="00C23BD4" w14:paraId="7092D1C3"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Borders>
              <w:bottom w:val="single" w:sz="12" w:space="0" w:color="auto"/>
            </w:tcBorders>
          </w:tcPr>
          <w:p w14:paraId="66EB3D3E" w14:textId="77777777" w:rsidR="00C23BD4" w:rsidRDefault="00073637">
            <w:pPr>
              <w:jc w:val="center"/>
              <w:rPr>
                <w:rFonts w:ascii="Arial" w:hAnsi="Arial" w:cs="Arial"/>
              </w:rPr>
            </w:pPr>
            <w:r>
              <w:rPr>
                <w:rFonts w:ascii="Arial" w:hAnsi="Arial" w:cs="Arial"/>
                <w:b w:val="0"/>
                <w:bCs w:val="0"/>
              </w:rPr>
              <w:t>Fourth Year</w:t>
            </w:r>
          </w:p>
        </w:tc>
        <w:tc>
          <w:tcPr>
            <w:tcW w:w="2977" w:type="dxa"/>
            <w:tcBorders>
              <w:bottom w:val="single" w:sz="12" w:space="0" w:color="auto"/>
            </w:tcBorders>
            <w:noWrap/>
          </w:tcPr>
          <w:p w14:paraId="699956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w:t>
            </w:r>
          </w:p>
        </w:tc>
        <w:tc>
          <w:tcPr>
            <w:tcW w:w="2835" w:type="dxa"/>
            <w:tcBorders>
              <w:bottom w:val="single" w:sz="12" w:space="0" w:color="auto"/>
            </w:tcBorders>
            <w:noWrap/>
          </w:tcPr>
          <w:p w14:paraId="3A913B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22.48</w:t>
            </w:r>
          </w:p>
        </w:tc>
      </w:tr>
      <w:tr w:rsidR="00C23BD4" w14:paraId="4CE7CE2B" w14:textId="77777777" w:rsidTr="009C156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auto"/>
              <w:bottom w:val="single" w:sz="4" w:space="0" w:color="auto"/>
            </w:tcBorders>
          </w:tcPr>
          <w:p w14:paraId="4B860B98" w14:textId="77777777" w:rsidR="00C23BD4" w:rsidRDefault="00073637">
            <w:pPr>
              <w:jc w:val="center"/>
              <w:rPr>
                <w:rFonts w:ascii="Arial" w:hAnsi="Arial" w:cs="Arial"/>
                <w:b w:val="0"/>
                <w:bCs w:val="0"/>
              </w:rPr>
            </w:pPr>
            <w:r>
              <w:rPr>
                <w:rFonts w:ascii="Arial" w:hAnsi="Arial" w:cs="Arial"/>
              </w:rPr>
              <w:t>Total</w:t>
            </w:r>
          </w:p>
        </w:tc>
        <w:tc>
          <w:tcPr>
            <w:tcW w:w="2977" w:type="dxa"/>
            <w:tcBorders>
              <w:top w:val="single" w:sz="12" w:space="0" w:color="auto"/>
              <w:bottom w:val="single" w:sz="4" w:space="0" w:color="auto"/>
            </w:tcBorders>
            <w:noWrap/>
          </w:tcPr>
          <w:p w14:paraId="7077937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307</w:t>
            </w:r>
          </w:p>
        </w:tc>
        <w:tc>
          <w:tcPr>
            <w:tcW w:w="2835" w:type="dxa"/>
            <w:tcBorders>
              <w:top w:val="single" w:sz="12" w:space="0" w:color="auto"/>
              <w:bottom w:val="single" w:sz="4" w:space="0" w:color="auto"/>
            </w:tcBorders>
            <w:noWrap/>
          </w:tcPr>
          <w:p w14:paraId="366146D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100.00</w:t>
            </w:r>
          </w:p>
        </w:tc>
      </w:tr>
    </w:tbl>
    <w:p w14:paraId="73DD3191" w14:textId="77777777" w:rsidR="00C23BD4" w:rsidRDefault="00C23BD4">
      <w:pPr>
        <w:pStyle w:val="BodyText3"/>
        <w:tabs>
          <w:tab w:val="left" w:pos="1080"/>
        </w:tabs>
        <w:spacing w:after="0"/>
        <w:jc w:val="both"/>
        <w:rPr>
          <w:rFonts w:ascii="Arial" w:hAnsi="Arial"/>
          <w:b/>
          <w:sz w:val="20"/>
          <w:szCs w:val="20"/>
        </w:rPr>
      </w:pPr>
    </w:p>
    <w:p w14:paraId="07C381BD" w14:textId="6F257782" w:rsidR="00C23BD4" w:rsidRDefault="002D6D05">
      <w:pPr>
        <w:jc w:val="both"/>
        <w:rPr>
          <w:rFonts w:ascii="Arial" w:hAnsi="Arial" w:cs="Arial"/>
        </w:rPr>
      </w:pPr>
      <w:r>
        <w:rPr>
          <w:rFonts w:ascii="Arial" w:hAnsi="Arial" w:cs="Arial"/>
        </w:rPr>
        <w:t xml:space="preserve">The table presents the distribution of students by program and year level at Davao Oriental State University – </w:t>
      </w:r>
      <w:proofErr w:type="spellStart"/>
      <w:r>
        <w:rPr>
          <w:rFonts w:ascii="Arial" w:hAnsi="Arial" w:cs="Arial"/>
        </w:rPr>
        <w:t>Cateel</w:t>
      </w:r>
      <w:proofErr w:type="spellEnd"/>
      <w:r>
        <w:rPr>
          <w:rFonts w:ascii="Arial" w:hAnsi="Arial" w:cs="Arial"/>
        </w:rPr>
        <w:t xml:space="preserve"> Campus, totaling 307 respondents. The Bachelor of Science in Business Administration (BSBA) program comprised the largest proportion, accounting for 48.43% of the total population, with the highest concentration in the first year (16.29%). This was followed by the Bachelor of Science in Agribusiness Management (BSAM) with 23.13%, showing an equal number of students in the 1</w:t>
      </w:r>
      <w:r w:rsidRPr="002D6D05">
        <w:rPr>
          <w:rFonts w:ascii="Arial" w:hAnsi="Arial" w:cs="Arial"/>
          <w:vertAlign w:val="superscript"/>
        </w:rPr>
        <w:t>st</w:t>
      </w:r>
      <w:r>
        <w:rPr>
          <w:rFonts w:ascii="Arial" w:hAnsi="Arial" w:cs="Arial"/>
        </w:rPr>
        <w:t xml:space="preserve"> and 2</w:t>
      </w:r>
      <w:r w:rsidRPr="002D6D05">
        <w:rPr>
          <w:rFonts w:ascii="Arial" w:hAnsi="Arial" w:cs="Arial"/>
          <w:vertAlign w:val="superscript"/>
        </w:rPr>
        <w:t>nd</w:t>
      </w:r>
      <w:r>
        <w:rPr>
          <w:rFonts w:ascii="Arial" w:hAnsi="Arial" w:cs="Arial"/>
        </w:rPr>
        <w:t xml:space="preserve"> years (both at 8.47%). The Bachelor of Science in Agriculture major in Animal Science/Bachelor of Agricultural Technology (BSA/BAT) program represented 9.45%, with a notable 4</w:t>
      </w:r>
      <w:r w:rsidRPr="002D6D05">
        <w:rPr>
          <w:rFonts w:ascii="Arial" w:hAnsi="Arial" w:cs="Arial"/>
          <w:vertAlign w:val="superscript"/>
        </w:rPr>
        <w:t>th</w:t>
      </w:r>
      <w:r>
        <w:rPr>
          <w:rFonts w:ascii="Arial" w:hAnsi="Arial" w:cs="Arial"/>
        </w:rPr>
        <w:t>-year group at 3.91%.</w:t>
      </w:r>
      <w:r w:rsidR="00112843">
        <w:rPr>
          <w:rFonts w:ascii="Arial" w:hAnsi="Arial" w:cs="Arial"/>
        </w:rPr>
        <w:t xml:space="preserve"> </w:t>
      </w:r>
      <w:r w:rsidR="00176145">
        <w:rPr>
          <w:rFonts w:ascii="Arial" w:hAnsi="Arial" w:cs="Arial"/>
        </w:rPr>
        <w:t>The Bachelor of Science in Agriculture major in Animal Science/Bachelor of Agricultural Technology (BSA/BAT) program represented 9.45%, with a notable 4</w:t>
      </w:r>
      <w:r w:rsidR="00176145" w:rsidRPr="00176145">
        <w:rPr>
          <w:rFonts w:ascii="Arial" w:hAnsi="Arial" w:cs="Arial"/>
          <w:vertAlign w:val="superscript"/>
        </w:rPr>
        <w:t>th</w:t>
      </w:r>
      <w:r w:rsidR="00176145">
        <w:rPr>
          <w:rFonts w:ascii="Arial" w:hAnsi="Arial" w:cs="Arial"/>
        </w:rPr>
        <w:t>-year group at 3.91%. The Bachelor of Science in Criminology (</w:t>
      </w:r>
      <w:proofErr w:type="spellStart"/>
      <w:r w:rsidR="00176145">
        <w:rPr>
          <w:rFonts w:ascii="Arial" w:hAnsi="Arial" w:cs="Arial"/>
        </w:rPr>
        <w:t>BSCrim</w:t>
      </w:r>
      <w:proofErr w:type="spellEnd"/>
      <w:r w:rsidR="00176145">
        <w:rPr>
          <w:rFonts w:ascii="Arial" w:hAnsi="Arial" w:cs="Arial"/>
        </w:rPr>
        <w:t>) accounted for 18.89%, where the majority were in the 3</w:t>
      </w:r>
      <w:r w:rsidR="00176145" w:rsidRPr="00176145">
        <w:rPr>
          <w:rFonts w:ascii="Arial" w:hAnsi="Arial" w:cs="Arial"/>
          <w:vertAlign w:val="superscript"/>
        </w:rPr>
        <w:t>rd</w:t>
      </w:r>
      <w:r w:rsidR="00176145">
        <w:rPr>
          <w:rFonts w:ascii="Arial" w:hAnsi="Arial" w:cs="Arial"/>
        </w:rPr>
        <w:t xml:space="preserve"> year (7.17%). Overall, the data reflected a relatively balanced distribution across year levels, though with a noticeable concentration of students in lower years, particularly in the BSBA program, suggesting either growing enrollment trends or higher retention in earlier levels.</w:t>
      </w:r>
    </w:p>
    <w:p w14:paraId="7254DF16" w14:textId="77777777" w:rsidR="00C23BD4" w:rsidRDefault="00C23BD4">
      <w:pPr>
        <w:jc w:val="both"/>
        <w:rPr>
          <w:rFonts w:ascii="Arial" w:hAnsi="Arial" w:cs="Arial"/>
        </w:rPr>
      </w:pPr>
    </w:p>
    <w:p w14:paraId="3CFF4E5F" w14:textId="77777777" w:rsidR="00C23BD4" w:rsidRDefault="00073637">
      <w:pPr>
        <w:jc w:val="both"/>
        <w:rPr>
          <w:rFonts w:ascii="Arial" w:hAnsi="Arial" w:cs="Arial"/>
          <w:b/>
          <w:bCs/>
          <w:sz w:val="22"/>
          <w:szCs w:val="22"/>
        </w:rPr>
      </w:pPr>
      <w:r>
        <w:rPr>
          <w:rFonts w:ascii="Arial" w:hAnsi="Arial" w:cs="Arial"/>
          <w:b/>
          <w:bCs/>
          <w:sz w:val="21"/>
          <w:szCs w:val="21"/>
        </w:rPr>
        <w:t>3.2</w:t>
      </w:r>
      <w:r>
        <w:rPr>
          <w:rFonts w:ascii="Arial" w:hAnsi="Arial" w:cs="Arial"/>
          <w:b/>
          <w:bCs/>
          <w:sz w:val="22"/>
          <w:szCs w:val="22"/>
        </w:rPr>
        <w:t xml:space="preserve"> Level of Satisfaction in Academic services</w:t>
      </w:r>
    </w:p>
    <w:p w14:paraId="27B41FAE" w14:textId="0357BA85" w:rsidR="001D00C0" w:rsidRPr="001D00C0" w:rsidRDefault="001D00C0">
      <w:pPr>
        <w:jc w:val="both"/>
        <w:rPr>
          <w:rFonts w:ascii="Arial" w:hAnsi="Arial" w:cs="Arial"/>
          <w:sz w:val="22"/>
          <w:szCs w:val="22"/>
        </w:rPr>
      </w:pPr>
      <w:r>
        <w:rPr>
          <w:rFonts w:ascii="Arial" w:hAnsi="Arial" w:cs="Arial"/>
          <w:sz w:val="22"/>
          <w:szCs w:val="22"/>
        </w:rPr>
        <w:t xml:space="preserve">This part explains the level of student’s satisfaction with academic services in terms of Admission and Enrollment Services, Quality of instructional practices, Quality of teaching facilities, Lecture Quality, Students Welfare Services, Office of Student </w:t>
      </w:r>
      <w:r>
        <w:rPr>
          <w:rFonts w:ascii="Arial" w:hAnsi="Arial" w:cs="Arial"/>
          <w:sz w:val="22"/>
          <w:szCs w:val="22"/>
        </w:rPr>
        <w:lastRenderedPageBreak/>
        <w:t>Affairs Service, Clinic services, Library service, Registrar Office Services, and Quality of Computer Laboratory.</w:t>
      </w:r>
    </w:p>
    <w:p w14:paraId="0B091857" w14:textId="77777777" w:rsidR="00C23BD4" w:rsidRDefault="00073637">
      <w:pPr>
        <w:jc w:val="center"/>
        <w:rPr>
          <w:rFonts w:ascii="Arial" w:hAnsi="Arial" w:cs="Arial"/>
          <w:b/>
          <w:bCs/>
        </w:rPr>
      </w:pPr>
      <w:r>
        <w:rPr>
          <w:rFonts w:ascii="Arial" w:hAnsi="Arial" w:cs="Arial"/>
          <w:b/>
          <w:bCs/>
          <w:sz w:val="22"/>
          <w:szCs w:val="22"/>
        </w:rPr>
        <w:t xml:space="preserve">Table 2. </w:t>
      </w:r>
      <w:bookmarkStart w:id="0" w:name="_Hlk197598384"/>
      <w:r>
        <w:rPr>
          <w:rFonts w:ascii="Arial" w:hAnsi="Arial" w:cs="Arial"/>
          <w:b/>
          <w:bCs/>
        </w:rPr>
        <w:t>Level of student’s satisfaction with academic services in terms of Admission and Enrollment services</w:t>
      </w:r>
      <w:bookmarkEnd w:id="0"/>
    </w:p>
    <w:p w14:paraId="76F76558" w14:textId="77777777" w:rsidR="00C23BD4" w:rsidRDefault="00C23BD4">
      <w:pPr>
        <w:jc w:val="center"/>
        <w:rPr>
          <w:rFonts w:ascii="Arial" w:hAnsi="Arial" w:cs="Arial"/>
          <w:b/>
          <w:bCs/>
        </w:rPr>
      </w:pPr>
    </w:p>
    <w:tbl>
      <w:tblPr>
        <w:tblStyle w:val="PlainTable41"/>
        <w:tblW w:w="0" w:type="auto"/>
        <w:tblLook w:val="04A0" w:firstRow="1" w:lastRow="0" w:firstColumn="1" w:lastColumn="0" w:noHBand="0" w:noVBand="1"/>
      </w:tblPr>
      <w:tblGrid>
        <w:gridCol w:w="566"/>
        <w:gridCol w:w="3888"/>
        <w:gridCol w:w="834"/>
        <w:gridCol w:w="1223"/>
        <w:gridCol w:w="1697"/>
      </w:tblGrid>
      <w:tr w:rsidR="00C23BD4" w14:paraId="7201E6DC"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BF7D376" w14:textId="77777777" w:rsidR="00C23BD4" w:rsidRDefault="00073637">
            <w:pPr>
              <w:jc w:val="center"/>
              <w:rPr>
                <w:rFonts w:ascii="Arial" w:hAnsi="Arial" w:cs="Arial"/>
              </w:rPr>
            </w:pPr>
            <w:r>
              <w:rPr>
                <w:rFonts w:ascii="Arial" w:hAnsi="Arial" w:cs="Arial"/>
              </w:rPr>
              <w:t>No.</w:t>
            </w:r>
          </w:p>
        </w:tc>
        <w:tc>
          <w:tcPr>
            <w:tcW w:w="4244" w:type="dxa"/>
            <w:tcBorders>
              <w:top w:val="single" w:sz="12" w:space="0" w:color="auto"/>
              <w:bottom w:val="single" w:sz="12" w:space="0" w:color="auto"/>
            </w:tcBorders>
          </w:tcPr>
          <w:p w14:paraId="3D781E5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Statement</w:t>
            </w:r>
          </w:p>
        </w:tc>
        <w:tc>
          <w:tcPr>
            <w:tcW w:w="850" w:type="dxa"/>
            <w:tcBorders>
              <w:top w:val="single" w:sz="12" w:space="0" w:color="auto"/>
              <w:bottom w:val="single" w:sz="12" w:space="0" w:color="auto"/>
            </w:tcBorders>
          </w:tcPr>
          <w:p w14:paraId="4430226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Mean</w:t>
            </w:r>
          </w:p>
        </w:tc>
        <w:tc>
          <w:tcPr>
            <w:tcW w:w="1239" w:type="dxa"/>
            <w:tcBorders>
              <w:top w:val="single" w:sz="12" w:space="0" w:color="auto"/>
              <w:bottom w:val="single" w:sz="12" w:space="0" w:color="auto"/>
            </w:tcBorders>
          </w:tcPr>
          <w:p w14:paraId="05A5AC5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Std. Deviation</w:t>
            </w:r>
          </w:p>
        </w:tc>
        <w:tc>
          <w:tcPr>
            <w:tcW w:w="1726" w:type="dxa"/>
            <w:tcBorders>
              <w:top w:val="single" w:sz="12" w:space="0" w:color="auto"/>
              <w:bottom w:val="single" w:sz="12" w:space="0" w:color="auto"/>
            </w:tcBorders>
          </w:tcPr>
          <w:p w14:paraId="3FD1E31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Interpretation</w:t>
            </w:r>
          </w:p>
        </w:tc>
      </w:tr>
      <w:tr w:rsidR="00C23BD4" w14:paraId="6568B063" w14:textId="77777777" w:rsidTr="00C23BD4">
        <w:trPr>
          <w:trHeight w:val="47"/>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4E026947"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4D8D9D3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Providing systematic enrollment system</w:t>
            </w:r>
          </w:p>
        </w:tc>
        <w:tc>
          <w:tcPr>
            <w:tcW w:w="850" w:type="dxa"/>
            <w:tcBorders>
              <w:top w:val="single" w:sz="12" w:space="0" w:color="auto"/>
            </w:tcBorders>
          </w:tcPr>
          <w:p w14:paraId="4CD5FB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Borders>
              <w:top w:val="single" w:sz="12" w:space="0" w:color="auto"/>
            </w:tcBorders>
          </w:tcPr>
          <w:p w14:paraId="482B0F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Borders>
              <w:top w:val="single" w:sz="12" w:space="0" w:color="auto"/>
            </w:tcBorders>
          </w:tcPr>
          <w:p w14:paraId="370F6A2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8260D0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C43ABB7" w14:textId="77777777" w:rsidR="00C23BD4" w:rsidRDefault="00073637">
            <w:pPr>
              <w:jc w:val="center"/>
              <w:rPr>
                <w:rFonts w:ascii="Arial" w:hAnsi="Arial" w:cs="Arial"/>
              </w:rPr>
            </w:pPr>
            <w:r>
              <w:rPr>
                <w:rFonts w:ascii="Arial" w:hAnsi="Arial" w:cs="Arial"/>
                <w:b w:val="0"/>
                <w:bCs w:val="0"/>
              </w:rPr>
              <w:t>2</w:t>
            </w:r>
          </w:p>
        </w:tc>
        <w:tc>
          <w:tcPr>
            <w:tcW w:w="4244" w:type="dxa"/>
          </w:tcPr>
          <w:p w14:paraId="4B1F7EF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Streamlines enrollment procedures</w:t>
            </w:r>
          </w:p>
        </w:tc>
        <w:tc>
          <w:tcPr>
            <w:tcW w:w="850" w:type="dxa"/>
          </w:tcPr>
          <w:p w14:paraId="1255E0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Pr>
          <w:p w14:paraId="038AFAB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Pr>
          <w:p w14:paraId="05C1D57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763B6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6CF334A" w14:textId="77777777" w:rsidR="00C23BD4" w:rsidRDefault="00073637">
            <w:pPr>
              <w:jc w:val="center"/>
              <w:rPr>
                <w:rFonts w:ascii="Arial" w:hAnsi="Arial" w:cs="Arial"/>
              </w:rPr>
            </w:pPr>
            <w:r>
              <w:rPr>
                <w:rFonts w:ascii="Arial" w:hAnsi="Arial" w:cs="Arial"/>
                <w:b w:val="0"/>
                <w:bCs w:val="0"/>
              </w:rPr>
              <w:t>3</w:t>
            </w:r>
          </w:p>
        </w:tc>
        <w:tc>
          <w:tcPr>
            <w:tcW w:w="4244" w:type="dxa"/>
          </w:tcPr>
          <w:p w14:paraId="35EF850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Disseminates accurate information on enrollment schedules</w:t>
            </w:r>
          </w:p>
        </w:tc>
        <w:tc>
          <w:tcPr>
            <w:tcW w:w="850" w:type="dxa"/>
          </w:tcPr>
          <w:p w14:paraId="40D06ED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1739C2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1DEDDE4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w:t>
            </w:r>
          </w:p>
        </w:tc>
      </w:tr>
      <w:tr w:rsidR="00C23BD4" w14:paraId="610BE3C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7D22C9F" w14:textId="77777777" w:rsidR="00C23BD4" w:rsidRDefault="00073637">
            <w:pPr>
              <w:jc w:val="center"/>
              <w:rPr>
                <w:rFonts w:ascii="Arial" w:hAnsi="Arial" w:cs="Arial"/>
              </w:rPr>
            </w:pPr>
            <w:r>
              <w:rPr>
                <w:rFonts w:ascii="Arial" w:hAnsi="Arial" w:cs="Arial"/>
                <w:b w:val="0"/>
                <w:bCs w:val="0"/>
              </w:rPr>
              <w:t>4</w:t>
            </w:r>
          </w:p>
        </w:tc>
        <w:tc>
          <w:tcPr>
            <w:tcW w:w="4244" w:type="dxa"/>
          </w:tcPr>
          <w:p w14:paraId="3506A4C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Keeps files and records up-to-date</w:t>
            </w:r>
          </w:p>
        </w:tc>
        <w:tc>
          <w:tcPr>
            <w:tcW w:w="850" w:type="dxa"/>
          </w:tcPr>
          <w:p w14:paraId="5AED52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5D91EF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42A8CEA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F8A88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02F5691" w14:textId="77777777" w:rsidR="00C23BD4" w:rsidRDefault="00073637">
            <w:pPr>
              <w:jc w:val="center"/>
              <w:rPr>
                <w:rFonts w:ascii="Arial" w:hAnsi="Arial" w:cs="Arial"/>
              </w:rPr>
            </w:pPr>
            <w:r>
              <w:rPr>
                <w:rFonts w:ascii="Arial" w:hAnsi="Arial" w:cs="Arial"/>
                <w:b w:val="0"/>
                <w:bCs w:val="0"/>
              </w:rPr>
              <w:t>5</w:t>
            </w:r>
          </w:p>
        </w:tc>
        <w:tc>
          <w:tcPr>
            <w:tcW w:w="4244" w:type="dxa"/>
          </w:tcPr>
          <w:p w14:paraId="5318AE6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Attends to enrollment inquiries promptly</w:t>
            </w:r>
          </w:p>
        </w:tc>
        <w:tc>
          <w:tcPr>
            <w:tcW w:w="850" w:type="dxa"/>
          </w:tcPr>
          <w:p w14:paraId="74E761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6BA5EB3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573D76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DA4B3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D671A11" w14:textId="77777777" w:rsidR="00C23BD4" w:rsidRDefault="00073637">
            <w:pPr>
              <w:jc w:val="center"/>
              <w:rPr>
                <w:rFonts w:ascii="Arial" w:hAnsi="Arial" w:cs="Arial"/>
              </w:rPr>
            </w:pPr>
            <w:r>
              <w:rPr>
                <w:rFonts w:ascii="Arial" w:hAnsi="Arial" w:cs="Arial"/>
                <w:b w:val="0"/>
                <w:bCs w:val="0"/>
              </w:rPr>
              <w:t>6</w:t>
            </w:r>
          </w:p>
        </w:tc>
        <w:tc>
          <w:tcPr>
            <w:tcW w:w="4244" w:type="dxa"/>
          </w:tcPr>
          <w:p w14:paraId="375FC6E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Delivers effective communication to understand the online enrollment. procedures and solutions to problems that arise</w:t>
            </w:r>
          </w:p>
        </w:tc>
        <w:tc>
          <w:tcPr>
            <w:tcW w:w="850" w:type="dxa"/>
          </w:tcPr>
          <w:p w14:paraId="705F809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1AD5CCF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1724258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60C055B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 </w:t>
            </w:r>
          </w:p>
        </w:tc>
      </w:tr>
      <w:tr w:rsidR="00C23BD4" w14:paraId="4DAC916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2978D9F" w14:textId="77777777" w:rsidR="00C23BD4" w:rsidRDefault="00073637">
            <w:pPr>
              <w:jc w:val="center"/>
              <w:rPr>
                <w:rFonts w:ascii="Arial" w:hAnsi="Arial" w:cs="Arial"/>
              </w:rPr>
            </w:pPr>
            <w:r>
              <w:rPr>
                <w:rFonts w:ascii="Arial" w:hAnsi="Arial" w:cs="Arial"/>
                <w:b w:val="0"/>
                <w:bCs w:val="0"/>
              </w:rPr>
              <w:t>7</w:t>
            </w:r>
          </w:p>
        </w:tc>
        <w:tc>
          <w:tcPr>
            <w:tcW w:w="4244" w:type="dxa"/>
          </w:tcPr>
          <w:p w14:paraId="4B20F6A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Examines and verifies admission. Credentials</w:t>
            </w:r>
          </w:p>
        </w:tc>
        <w:tc>
          <w:tcPr>
            <w:tcW w:w="850" w:type="dxa"/>
          </w:tcPr>
          <w:p w14:paraId="4AA297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5AABD2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0CB3180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High</w:t>
            </w:r>
          </w:p>
        </w:tc>
      </w:tr>
      <w:tr w:rsidR="00C23BD4" w14:paraId="31AEC58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7052778D" w14:textId="77777777" w:rsidR="00C23BD4" w:rsidRDefault="00073637">
            <w:pPr>
              <w:jc w:val="center"/>
              <w:rPr>
                <w:rFonts w:ascii="Arial" w:hAnsi="Arial" w:cs="Arial"/>
              </w:rPr>
            </w:pPr>
            <w:r>
              <w:rPr>
                <w:rFonts w:ascii="Arial" w:hAnsi="Arial" w:cs="Arial"/>
                <w:b w:val="0"/>
                <w:bCs w:val="0"/>
              </w:rPr>
              <w:t>8</w:t>
            </w:r>
          </w:p>
        </w:tc>
        <w:tc>
          <w:tcPr>
            <w:tcW w:w="4244" w:type="dxa"/>
            <w:tcBorders>
              <w:bottom w:val="single" w:sz="12" w:space="0" w:color="auto"/>
            </w:tcBorders>
          </w:tcPr>
          <w:p w14:paraId="26C14E5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Evaluates student's record accurately</w:t>
            </w:r>
          </w:p>
        </w:tc>
        <w:tc>
          <w:tcPr>
            <w:tcW w:w="850" w:type="dxa"/>
            <w:tcBorders>
              <w:bottom w:val="single" w:sz="12" w:space="0" w:color="auto"/>
            </w:tcBorders>
          </w:tcPr>
          <w:p w14:paraId="60E72B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4.21</w:t>
            </w:r>
          </w:p>
        </w:tc>
        <w:tc>
          <w:tcPr>
            <w:tcW w:w="1239" w:type="dxa"/>
            <w:tcBorders>
              <w:bottom w:val="single" w:sz="12" w:space="0" w:color="auto"/>
            </w:tcBorders>
          </w:tcPr>
          <w:p w14:paraId="1F82B3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743BB57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BCAEA52"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8DC46E0"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5597C4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Borders>
              <w:top w:val="single" w:sz="12" w:space="0" w:color="auto"/>
              <w:bottom w:val="single" w:sz="12" w:space="0" w:color="auto"/>
            </w:tcBorders>
          </w:tcPr>
          <w:p w14:paraId="3A6427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0.60</w:t>
            </w:r>
          </w:p>
        </w:tc>
        <w:tc>
          <w:tcPr>
            <w:tcW w:w="1726" w:type="dxa"/>
            <w:tcBorders>
              <w:top w:val="single" w:sz="12" w:space="0" w:color="auto"/>
              <w:bottom w:val="single" w:sz="12" w:space="0" w:color="auto"/>
            </w:tcBorders>
          </w:tcPr>
          <w:p w14:paraId="2F5DC7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28C19DD" w14:textId="77777777" w:rsidR="00C23BD4" w:rsidRDefault="00C23BD4">
      <w:pPr>
        <w:jc w:val="center"/>
        <w:rPr>
          <w:rFonts w:ascii="Arial" w:hAnsi="Arial" w:cs="Arial"/>
        </w:rPr>
      </w:pPr>
    </w:p>
    <w:p w14:paraId="03C91778" w14:textId="77777777" w:rsidR="00C23BD4" w:rsidRDefault="00073637">
      <w:pPr>
        <w:jc w:val="both"/>
        <w:rPr>
          <w:rFonts w:ascii="Arial" w:hAnsi="Arial" w:cs="Arial"/>
        </w:rPr>
      </w:pPr>
      <w:bookmarkStart w:id="1" w:name="_Hlk197598405"/>
      <w:r>
        <w:rPr>
          <w:rFonts w:ascii="Arial" w:hAnsi="Arial" w:cs="Arial"/>
        </w:rPr>
        <w:t xml:space="preserve">The result from table 2 indicated that the statement “Evaluates student's record accurately” received the highest mean score of 4.21, interpreted as Very High. This result underscored the university’s strong commitment to ensuring the precision of academic evaluations. It supports the study of </w:t>
      </w:r>
      <w:proofErr w:type="spellStart"/>
      <w:r>
        <w:rPr>
          <w:rFonts w:ascii="Arial" w:hAnsi="Arial" w:cs="Arial"/>
        </w:rPr>
        <w:t>Asio</w:t>
      </w:r>
      <w:proofErr w:type="spellEnd"/>
      <w:r>
        <w:rPr>
          <w:rFonts w:ascii="Arial" w:hAnsi="Arial" w:cs="Arial"/>
        </w:rPr>
        <w:t xml:space="preserve"> and </w:t>
      </w:r>
      <w:proofErr w:type="spellStart"/>
      <w:r>
        <w:rPr>
          <w:rFonts w:ascii="Arial" w:hAnsi="Arial" w:cs="Arial"/>
        </w:rPr>
        <w:t>Bayucca</w:t>
      </w:r>
      <w:proofErr w:type="spellEnd"/>
      <w:r>
        <w:rPr>
          <w:rFonts w:ascii="Arial" w:hAnsi="Arial" w:cs="Arial"/>
        </w:rPr>
        <w:t xml:space="preserve"> (2021), which emphasized that accurate student record evaluation significantly contributes to institutional efficiency and student satisfaction. The high rating in this area suggests that students at Davao Oriental State University – </w:t>
      </w:r>
      <w:proofErr w:type="spellStart"/>
      <w:r>
        <w:rPr>
          <w:rFonts w:ascii="Arial" w:hAnsi="Arial" w:cs="Arial"/>
        </w:rPr>
        <w:t>Cateel</w:t>
      </w:r>
      <w:proofErr w:type="spellEnd"/>
      <w:r>
        <w:rPr>
          <w:rFonts w:ascii="Arial" w:hAnsi="Arial" w:cs="Arial"/>
        </w:rPr>
        <w:t xml:space="preserve"> Campus perceive this aspect of enrollment services to be highly reliable and beneficial. Similarly, </w:t>
      </w:r>
      <w:proofErr w:type="spellStart"/>
      <w:r>
        <w:rPr>
          <w:rFonts w:ascii="Arial" w:hAnsi="Arial" w:cs="Arial"/>
        </w:rPr>
        <w:t>Sabio</w:t>
      </w:r>
      <w:proofErr w:type="spellEnd"/>
      <w:r>
        <w:rPr>
          <w:rFonts w:ascii="Arial" w:hAnsi="Arial" w:cs="Arial"/>
        </w:rPr>
        <w:t xml:space="preserve"> and </w:t>
      </w:r>
      <w:proofErr w:type="spellStart"/>
      <w:r>
        <w:rPr>
          <w:rFonts w:ascii="Arial" w:hAnsi="Arial" w:cs="Arial"/>
        </w:rPr>
        <w:t>Tablatin</w:t>
      </w:r>
      <w:proofErr w:type="spellEnd"/>
      <w:r>
        <w:rPr>
          <w:rFonts w:ascii="Arial" w:hAnsi="Arial" w:cs="Arial"/>
        </w:rPr>
        <w:t xml:space="preserve"> (2017) highlighted that effective management of academic records during enrollment minimizes student anxiety and administrative bottlenecks, findings which are affirmed by the high satisfaction level observed in this study.</w:t>
      </w:r>
    </w:p>
    <w:p w14:paraId="54960486" w14:textId="77777777" w:rsidR="00C23BD4" w:rsidRDefault="00073637">
      <w:pPr>
        <w:jc w:val="both"/>
        <w:rPr>
          <w:rFonts w:ascii="Arial" w:hAnsi="Arial" w:cs="Arial"/>
        </w:rPr>
      </w:pPr>
      <w:r>
        <w:rPr>
          <w:rFonts w:ascii="Arial" w:hAnsi="Arial" w:cs="Arial"/>
        </w:rPr>
        <w:t xml:space="preserve">On the other hand, the lowest rated item, “Streamlines enrollment procedures,” received a mean of 3.90, still interpreted as High but relatively lower compared to other indicators. This aligns with the observations of </w:t>
      </w:r>
      <w:proofErr w:type="spellStart"/>
      <w:r>
        <w:rPr>
          <w:rFonts w:ascii="Arial" w:hAnsi="Arial" w:cs="Arial"/>
        </w:rPr>
        <w:t>Llego</w:t>
      </w:r>
      <w:proofErr w:type="spellEnd"/>
      <w:r>
        <w:rPr>
          <w:rFonts w:ascii="Arial" w:hAnsi="Arial" w:cs="Arial"/>
        </w:rPr>
        <w:t xml:space="preserve"> (2017), who found that while universities may adopt digital enrollment systems, students often encounter procedural complexities that affect their overall experience. The relatively lower rating in this category suggests a need for improvement in simplifying steps, minimizing redundancy, and enhancing usability. This is further supported by Mendoza and Javier (2020), who emphasized that modern students expect seamless and efficient enrollment processes as part of quality academic services. Thus, while the overall average of 4.06 reflected a high level of satisfaction, the data also revealed opportunities for continuous improvement in process streamlining to better meet student expectations.</w:t>
      </w:r>
    </w:p>
    <w:p w14:paraId="1A386FC9" w14:textId="77777777" w:rsidR="00C23BD4" w:rsidRDefault="00C23BD4">
      <w:pPr>
        <w:jc w:val="both"/>
        <w:rPr>
          <w:rFonts w:ascii="Arial" w:hAnsi="Arial" w:cs="Arial"/>
        </w:rPr>
      </w:pPr>
    </w:p>
    <w:p w14:paraId="0225231A" w14:textId="77777777" w:rsidR="00C23BD4" w:rsidRDefault="00073637">
      <w:pPr>
        <w:jc w:val="center"/>
        <w:rPr>
          <w:rFonts w:ascii="Arial" w:hAnsi="Arial" w:cs="Arial"/>
          <w:b/>
          <w:bCs/>
          <w:sz w:val="22"/>
          <w:szCs w:val="22"/>
        </w:rPr>
      </w:pPr>
      <w:r>
        <w:rPr>
          <w:rFonts w:ascii="Arial" w:hAnsi="Arial" w:cs="Arial"/>
          <w:b/>
          <w:bCs/>
          <w:sz w:val="22"/>
          <w:szCs w:val="22"/>
        </w:rPr>
        <w:t>Table 3. Level of student’s satisfaction with academic services in terms of Quality of instructional practices</w:t>
      </w:r>
    </w:p>
    <w:bookmarkEnd w:id="1"/>
    <w:p w14:paraId="65C04EF2" w14:textId="77777777" w:rsidR="00C23BD4" w:rsidRDefault="00C23BD4">
      <w:pPr>
        <w:pStyle w:val="Body"/>
        <w:spacing w:after="0"/>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C23BD4" w14:paraId="24FB1A91"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1DA18418"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8553F9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597590DF"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E438F0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0D20AF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259F4D4C"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5037040B"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69A2EBE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demonstrate adequate preparation for the lessons</w:t>
            </w:r>
          </w:p>
        </w:tc>
        <w:tc>
          <w:tcPr>
            <w:tcW w:w="850" w:type="dxa"/>
            <w:tcBorders>
              <w:top w:val="single" w:sz="12" w:space="0" w:color="auto"/>
            </w:tcBorders>
          </w:tcPr>
          <w:p w14:paraId="2A40782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Borders>
              <w:top w:val="single" w:sz="12" w:space="0" w:color="auto"/>
            </w:tcBorders>
          </w:tcPr>
          <w:p w14:paraId="064D257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w:t>
            </w:r>
          </w:p>
        </w:tc>
        <w:tc>
          <w:tcPr>
            <w:tcW w:w="1726" w:type="dxa"/>
            <w:tcBorders>
              <w:top w:val="single" w:sz="12" w:space="0" w:color="auto"/>
            </w:tcBorders>
          </w:tcPr>
          <w:p w14:paraId="58A3F9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706E53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B652609" w14:textId="77777777" w:rsidR="00C23BD4" w:rsidRDefault="00073637">
            <w:pPr>
              <w:jc w:val="center"/>
              <w:rPr>
                <w:rFonts w:ascii="Arial" w:hAnsi="Arial" w:cs="Arial"/>
              </w:rPr>
            </w:pPr>
            <w:r>
              <w:rPr>
                <w:rFonts w:ascii="Arial" w:hAnsi="Arial" w:cs="Arial"/>
                <w:b w:val="0"/>
                <w:bCs w:val="0"/>
              </w:rPr>
              <w:lastRenderedPageBreak/>
              <w:t>2</w:t>
            </w:r>
          </w:p>
        </w:tc>
        <w:tc>
          <w:tcPr>
            <w:tcW w:w="4244" w:type="dxa"/>
          </w:tcPr>
          <w:p w14:paraId="227127C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provide course outlines at the beginning of the semester</w:t>
            </w:r>
          </w:p>
        </w:tc>
        <w:tc>
          <w:tcPr>
            <w:tcW w:w="850" w:type="dxa"/>
          </w:tcPr>
          <w:p w14:paraId="6A0F9E2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tc>
        <w:tc>
          <w:tcPr>
            <w:tcW w:w="1239" w:type="dxa"/>
          </w:tcPr>
          <w:p w14:paraId="743467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96C33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01A472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E951EE5" w14:textId="77777777" w:rsidR="00C23BD4" w:rsidRDefault="00073637">
            <w:pPr>
              <w:jc w:val="center"/>
              <w:rPr>
                <w:rFonts w:ascii="Arial" w:hAnsi="Arial" w:cs="Arial"/>
              </w:rPr>
            </w:pPr>
            <w:r>
              <w:rPr>
                <w:rFonts w:ascii="Arial" w:hAnsi="Arial" w:cs="Arial"/>
                <w:b w:val="0"/>
                <w:bCs w:val="0"/>
              </w:rPr>
              <w:t>3</w:t>
            </w:r>
          </w:p>
        </w:tc>
        <w:tc>
          <w:tcPr>
            <w:tcW w:w="4244" w:type="dxa"/>
          </w:tcPr>
          <w:p w14:paraId="09CEE07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stimulate students' thinking by asking challenging questions</w:t>
            </w:r>
          </w:p>
        </w:tc>
        <w:tc>
          <w:tcPr>
            <w:tcW w:w="850" w:type="dxa"/>
          </w:tcPr>
          <w:p w14:paraId="6086856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23B7CB0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5CF3CD5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A82932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B273E09" w14:textId="77777777" w:rsidR="00C23BD4" w:rsidRDefault="00073637">
            <w:pPr>
              <w:jc w:val="center"/>
              <w:rPr>
                <w:rFonts w:ascii="Arial" w:hAnsi="Arial" w:cs="Arial"/>
              </w:rPr>
            </w:pPr>
            <w:r>
              <w:rPr>
                <w:rFonts w:ascii="Arial" w:hAnsi="Arial" w:cs="Arial"/>
                <w:b w:val="0"/>
                <w:bCs w:val="0"/>
              </w:rPr>
              <w:t>4</w:t>
            </w:r>
          </w:p>
        </w:tc>
        <w:tc>
          <w:tcPr>
            <w:tcW w:w="4244" w:type="dxa"/>
          </w:tcPr>
          <w:p w14:paraId="0B83CDF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provide clear expectation on course work and assessment at the beginning of a semester</w:t>
            </w:r>
          </w:p>
        </w:tc>
        <w:tc>
          <w:tcPr>
            <w:tcW w:w="850" w:type="dxa"/>
          </w:tcPr>
          <w:p w14:paraId="5A8054E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39" w:type="dxa"/>
          </w:tcPr>
          <w:p w14:paraId="08458D7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6F50D18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371FFB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E538BFE" w14:textId="77777777" w:rsidR="00C23BD4" w:rsidRDefault="00073637">
            <w:pPr>
              <w:jc w:val="center"/>
              <w:rPr>
                <w:rFonts w:ascii="Arial" w:hAnsi="Arial" w:cs="Arial"/>
              </w:rPr>
            </w:pPr>
            <w:r>
              <w:rPr>
                <w:rFonts w:ascii="Arial" w:hAnsi="Arial" w:cs="Arial"/>
                <w:b w:val="0"/>
                <w:bCs w:val="0"/>
              </w:rPr>
              <w:t>5</w:t>
            </w:r>
          </w:p>
        </w:tc>
        <w:tc>
          <w:tcPr>
            <w:tcW w:w="4244" w:type="dxa"/>
          </w:tcPr>
          <w:p w14:paraId="762E66C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Lecturers ensure they complete the syllabus </w:t>
            </w:r>
          </w:p>
        </w:tc>
        <w:tc>
          <w:tcPr>
            <w:tcW w:w="850" w:type="dxa"/>
          </w:tcPr>
          <w:p w14:paraId="6D2A333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4.27</w:t>
            </w:r>
          </w:p>
        </w:tc>
        <w:tc>
          <w:tcPr>
            <w:tcW w:w="1239" w:type="dxa"/>
          </w:tcPr>
          <w:p w14:paraId="06FBAB1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7FE01AD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CAC401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576B30FF" w14:textId="77777777" w:rsidR="00C23BD4" w:rsidRDefault="00073637">
            <w:pPr>
              <w:jc w:val="center"/>
              <w:rPr>
                <w:rFonts w:ascii="Arial" w:hAnsi="Arial" w:cs="Arial"/>
              </w:rPr>
            </w:pPr>
            <w:r>
              <w:rPr>
                <w:rFonts w:ascii="Arial" w:hAnsi="Arial" w:cs="Arial"/>
                <w:b w:val="0"/>
                <w:bCs w:val="0"/>
              </w:rPr>
              <w:t>6</w:t>
            </w:r>
          </w:p>
        </w:tc>
        <w:tc>
          <w:tcPr>
            <w:tcW w:w="4244" w:type="dxa"/>
            <w:tcBorders>
              <w:bottom w:val="single" w:sz="12" w:space="0" w:color="auto"/>
            </w:tcBorders>
          </w:tcPr>
          <w:p w14:paraId="46437E9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integrate both theory and practical learning experiences</w:t>
            </w:r>
          </w:p>
        </w:tc>
        <w:tc>
          <w:tcPr>
            <w:tcW w:w="850" w:type="dxa"/>
            <w:tcBorders>
              <w:bottom w:val="single" w:sz="12" w:space="0" w:color="auto"/>
            </w:tcBorders>
          </w:tcPr>
          <w:p w14:paraId="265CBD3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bottom w:val="single" w:sz="12" w:space="0" w:color="auto"/>
            </w:tcBorders>
          </w:tcPr>
          <w:p w14:paraId="4ED4276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3BF838E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BA3885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722F54A"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5328F04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Borders>
              <w:top w:val="single" w:sz="12" w:space="0" w:color="auto"/>
              <w:bottom w:val="single" w:sz="12" w:space="0" w:color="auto"/>
            </w:tcBorders>
          </w:tcPr>
          <w:p w14:paraId="64977A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w:t>
            </w:r>
          </w:p>
        </w:tc>
        <w:tc>
          <w:tcPr>
            <w:tcW w:w="1726" w:type="dxa"/>
            <w:tcBorders>
              <w:top w:val="single" w:sz="12" w:space="0" w:color="auto"/>
              <w:bottom w:val="single" w:sz="12" w:space="0" w:color="auto"/>
            </w:tcBorders>
          </w:tcPr>
          <w:p w14:paraId="223D103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BB319B8" w14:textId="77777777" w:rsidR="00C23BD4" w:rsidRDefault="00073637">
      <w:pPr>
        <w:jc w:val="both"/>
        <w:rPr>
          <w:rFonts w:ascii="Arial" w:hAnsi="Arial" w:cs="Arial"/>
        </w:rPr>
      </w:pPr>
      <w:r>
        <w:rPr>
          <w:rFonts w:ascii="Arial" w:hAnsi="Arial" w:cs="Arial"/>
        </w:rPr>
        <w:t xml:space="preserve">The result revealed a high level of satisfaction with the academic services, particularly in terms of the quality of teaching provided by the lecturers. The statement “Lecturers ensure they complete the syllabus” received the highest mean score of 4.27, interpreted as Very High. This indicates that students at Davao Oriental State University – </w:t>
      </w:r>
      <w:proofErr w:type="spellStart"/>
      <w:r>
        <w:rPr>
          <w:rFonts w:ascii="Arial" w:hAnsi="Arial" w:cs="Arial"/>
        </w:rPr>
        <w:t>Cateel</w:t>
      </w:r>
      <w:proofErr w:type="spellEnd"/>
      <w:r>
        <w:rPr>
          <w:rFonts w:ascii="Arial" w:hAnsi="Arial" w:cs="Arial"/>
        </w:rPr>
        <w:t xml:space="preserve"> Campus recognize their lecturers’ strong commitment to completing instructional content as planned. This finding supports the study of Quinones and </w:t>
      </w:r>
      <w:proofErr w:type="spellStart"/>
      <w:r>
        <w:rPr>
          <w:rFonts w:ascii="Arial" w:hAnsi="Arial" w:cs="Arial"/>
        </w:rPr>
        <w:t>Cuntapay</w:t>
      </w:r>
      <w:proofErr w:type="spellEnd"/>
      <w:r>
        <w:rPr>
          <w:rFonts w:ascii="Arial" w:hAnsi="Arial" w:cs="Arial"/>
        </w:rPr>
        <w:t xml:space="preserve"> (2020), who emphasized that course completion is a key indicator of instructional quality and academic accountability. Their study found that when educators consistently complete the syllabus, students are more confident in the value of their education and feel better prepared for assessments. In addition, Gonzales and Manuel (2018) highlighted that timely syllabus completion contributes to improved learning outcomes and student satisfaction, especially in public higher education institutions where resource constraints are common. The Very High rating affirms that instructors at the university effectively manage instructional time and meet curricular goals.</w:t>
      </w:r>
    </w:p>
    <w:p w14:paraId="50EEA20D" w14:textId="77777777" w:rsidR="00C23BD4" w:rsidRDefault="00073637">
      <w:pPr>
        <w:jc w:val="both"/>
        <w:rPr>
          <w:rFonts w:ascii="Arial" w:hAnsi="Arial" w:cs="Arial"/>
        </w:rPr>
      </w:pPr>
      <w:r>
        <w:rPr>
          <w:rFonts w:ascii="Arial" w:hAnsi="Arial" w:cs="Arial"/>
        </w:rPr>
        <w:t xml:space="preserve">On the other hand, the lowest-rated statement, “Lecturers stimulate students’ thinking by asking challenging questions”, obtained a mean score of 4.04, still interpreted as High, but comparatively lower than other indicators. This suggests that while instructors are generally effective, there is slightly less emphasis on promoting critical thinking through inquiry-based teaching. This observation aligns with the study of </w:t>
      </w:r>
      <w:proofErr w:type="spellStart"/>
      <w:r>
        <w:rPr>
          <w:rFonts w:ascii="Arial" w:hAnsi="Arial" w:cs="Arial"/>
        </w:rPr>
        <w:t>Laguador</w:t>
      </w:r>
      <w:proofErr w:type="spellEnd"/>
      <w:r>
        <w:rPr>
          <w:rFonts w:ascii="Arial" w:hAnsi="Arial" w:cs="Arial"/>
        </w:rPr>
        <w:t xml:space="preserve"> (2016), who noted that although higher education institutions in the Philippines have improved delivery of instructional content, the development of higher-order thinking skills through active questioning remains an area that requires further reinforcement. Salazar and De Guzman (2019) similarly found that stimulating intellectual curiosity through open-ended and reflective questioning enhances student engagement and deeper understanding. Therefore, while the overall average mean of 4.16 indicated High satisfaction, these findings point to an opportunity for faculty to further enrich the learning environment by embedding more critical thinking strategies into their instruction.</w:t>
      </w:r>
    </w:p>
    <w:p w14:paraId="6DCBB073" w14:textId="77777777" w:rsidR="00C23BD4" w:rsidRDefault="00C23BD4">
      <w:pPr>
        <w:jc w:val="both"/>
        <w:rPr>
          <w:rFonts w:ascii="Arial" w:hAnsi="Arial" w:cs="Arial"/>
        </w:rPr>
      </w:pPr>
    </w:p>
    <w:p w14:paraId="3A3D22EA" w14:textId="77777777" w:rsidR="00C23BD4" w:rsidRDefault="00073637">
      <w:pPr>
        <w:jc w:val="center"/>
        <w:rPr>
          <w:rFonts w:ascii="Arial" w:hAnsi="Arial" w:cs="Arial"/>
          <w:b/>
          <w:bCs/>
          <w:sz w:val="22"/>
          <w:szCs w:val="22"/>
        </w:rPr>
      </w:pPr>
      <w:r>
        <w:rPr>
          <w:rFonts w:ascii="Arial" w:hAnsi="Arial" w:cs="Arial"/>
          <w:b/>
          <w:bCs/>
          <w:sz w:val="22"/>
          <w:szCs w:val="22"/>
        </w:rPr>
        <w:t xml:space="preserve">Table 4. </w:t>
      </w:r>
      <w:bookmarkStart w:id="2" w:name="_Hlk197598436"/>
      <w:r>
        <w:rPr>
          <w:rFonts w:ascii="Arial" w:hAnsi="Arial" w:cs="Arial"/>
          <w:b/>
          <w:bCs/>
          <w:sz w:val="22"/>
          <w:szCs w:val="22"/>
        </w:rPr>
        <w:t>Level of student’s satisfaction with academic services in terms of Quality of teaching facilities</w:t>
      </w:r>
      <w:bookmarkEnd w:id="2"/>
    </w:p>
    <w:p w14:paraId="56713DA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81"/>
        <w:gridCol w:w="836"/>
        <w:gridCol w:w="1225"/>
        <w:gridCol w:w="1700"/>
      </w:tblGrid>
      <w:tr w:rsidR="00C23BD4" w14:paraId="2DC8029C"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15716EB"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15171AC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326A086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28D00F7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0ECF6E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0F0F0F0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6D18F196"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70F8FC4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 halls and rooms have enough tables and chairs</w:t>
            </w:r>
          </w:p>
        </w:tc>
        <w:tc>
          <w:tcPr>
            <w:tcW w:w="850" w:type="dxa"/>
            <w:tcBorders>
              <w:top w:val="single" w:sz="12" w:space="0" w:color="auto"/>
            </w:tcBorders>
          </w:tcPr>
          <w:p w14:paraId="1AF41D1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3.78</w:t>
            </w:r>
          </w:p>
        </w:tc>
        <w:tc>
          <w:tcPr>
            <w:tcW w:w="1239" w:type="dxa"/>
            <w:tcBorders>
              <w:top w:val="single" w:sz="12" w:space="0" w:color="auto"/>
            </w:tcBorders>
          </w:tcPr>
          <w:p w14:paraId="220C023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0.92</w:t>
            </w:r>
          </w:p>
        </w:tc>
        <w:tc>
          <w:tcPr>
            <w:tcW w:w="1726" w:type="dxa"/>
            <w:tcBorders>
              <w:top w:val="single" w:sz="12" w:space="0" w:color="auto"/>
            </w:tcBorders>
          </w:tcPr>
          <w:p w14:paraId="41BD1D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A8142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FC03A96" w14:textId="77777777" w:rsidR="00C23BD4" w:rsidRDefault="00073637">
            <w:pPr>
              <w:jc w:val="center"/>
              <w:rPr>
                <w:rFonts w:ascii="Arial" w:hAnsi="Arial" w:cs="Arial"/>
              </w:rPr>
            </w:pPr>
            <w:r>
              <w:rPr>
                <w:rFonts w:ascii="Arial" w:hAnsi="Arial" w:cs="Arial"/>
                <w:b w:val="0"/>
                <w:bCs w:val="0"/>
              </w:rPr>
              <w:t>2</w:t>
            </w:r>
          </w:p>
        </w:tc>
        <w:tc>
          <w:tcPr>
            <w:tcW w:w="4244" w:type="dxa"/>
          </w:tcPr>
          <w:p w14:paraId="1C946B6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has adequate lecture rooms and halls</w:t>
            </w:r>
          </w:p>
        </w:tc>
        <w:tc>
          <w:tcPr>
            <w:tcW w:w="850" w:type="dxa"/>
          </w:tcPr>
          <w:p w14:paraId="04EA13C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3.83</w:t>
            </w:r>
          </w:p>
        </w:tc>
        <w:tc>
          <w:tcPr>
            <w:tcW w:w="1239" w:type="dxa"/>
          </w:tcPr>
          <w:p w14:paraId="2304C72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0959F10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1BF974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BD4E356" w14:textId="77777777" w:rsidR="00C23BD4" w:rsidRDefault="00073637">
            <w:pPr>
              <w:jc w:val="center"/>
              <w:rPr>
                <w:rFonts w:ascii="Arial" w:hAnsi="Arial" w:cs="Arial"/>
              </w:rPr>
            </w:pPr>
            <w:r>
              <w:rPr>
                <w:rFonts w:ascii="Arial" w:hAnsi="Arial" w:cs="Arial"/>
                <w:b w:val="0"/>
                <w:bCs w:val="0"/>
              </w:rPr>
              <w:t>3</w:t>
            </w:r>
          </w:p>
        </w:tc>
        <w:tc>
          <w:tcPr>
            <w:tcW w:w="4244" w:type="dxa"/>
          </w:tcPr>
          <w:p w14:paraId="2122210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has adequate teaching laboratory facilities </w:t>
            </w:r>
          </w:p>
        </w:tc>
        <w:tc>
          <w:tcPr>
            <w:tcW w:w="850" w:type="dxa"/>
          </w:tcPr>
          <w:p w14:paraId="355ABC2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3.71</w:t>
            </w:r>
          </w:p>
        </w:tc>
        <w:tc>
          <w:tcPr>
            <w:tcW w:w="1239" w:type="dxa"/>
          </w:tcPr>
          <w:p w14:paraId="74F0E2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0.95</w:t>
            </w:r>
          </w:p>
        </w:tc>
        <w:tc>
          <w:tcPr>
            <w:tcW w:w="1726" w:type="dxa"/>
          </w:tcPr>
          <w:p w14:paraId="5820148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C9C732"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E1AF5F4" w14:textId="77777777" w:rsidR="00C23BD4" w:rsidRDefault="00073637">
            <w:pPr>
              <w:jc w:val="center"/>
              <w:rPr>
                <w:rFonts w:ascii="Arial" w:hAnsi="Arial" w:cs="Arial"/>
              </w:rPr>
            </w:pPr>
            <w:r>
              <w:rPr>
                <w:rFonts w:ascii="Arial" w:hAnsi="Arial" w:cs="Arial"/>
                <w:b w:val="0"/>
                <w:bCs w:val="0"/>
              </w:rPr>
              <w:t>4</w:t>
            </w:r>
          </w:p>
        </w:tc>
        <w:tc>
          <w:tcPr>
            <w:tcW w:w="4244" w:type="dxa"/>
            <w:tcBorders>
              <w:bottom w:val="single" w:sz="12" w:space="0" w:color="auto"/>
            </w:tcBorders>
          </w:tcPr>
          <w:p w14:paraId="3B5A5AD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 halls and rooms have enough sitting space for students </w:t>
            </w:r>
          </w:p>
        </w:tc>
        <w:tc>
          <w:tcPr>
            <w:tcW w:w="850" w:type="dxa"/>
            <w:tcBorders>
              <w:bottom w:val="single" w:sz="12" w:space="0" w:color="auto"/>
            </w:tcBorders>
          </w:tcPr>
          <w:p w14:paraId="145BFC1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3.81</w:t>
            </w:r>
          </w:p>
        </w:tc>
        <w:tc>
          <w:tcPr>
            <w:tcW w:w="1239" w:type="dxa"/>
            <w:tcBorders>
              <w:bottom w:val="single" w:sz="12" w:space="0" w:color="auto"/>
            </w:tcBorders>
          </w:tcPr>
          <w:p w14:paraId="27E1EB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0.94</w:t>
            </w:r>
          </w:p>
        </w:tc>
        <w:tc>
          <w:tcPr>
            <w:tcW w:w="1726" w:type="dxa"/>
          </w:tcPr>
          <w:p w14:paraId="211CDFF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E038644"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6EBC4A6" w14:textId="77777777" w:rsidR="00C23BD4" w:rsidRDefault="00073637">
            <w:pPr>
              <w:jc w:val="center"/>
              <w:rPr>
                <w:rFonts w:ascii="Arial" w:hAnsi="Arial" w:cs="Arial"/>
              </w:rPr>
            </w:pPr>
            <w:r>
              <w:rPr>
                <w:rFonts w:ascii="Arial" w:hAnsi="Arial" w:cs="Arial"/>
              </w:rPr>
              <w:lastRenderedPageBreak/>
              <w:t>Average</w:t>
            </w:r>
          </w:p>
        </w:tc>
        <w:tc>
          <w:tcPr>
            <w:tcW w:w="850" w:type="dxa"/>
            <w:tcBorders>
              <w:top w:val="single" w:sz="12" w:space="0" w:color="auto"/>
              <w:bottom w:val="single" w:sz="12" w:space="0" w:color="auto"/>
            </w:tcBorders>
          </w:tcPr>
          <w:p w14:paraId="0DE3D4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3.78</w:t>
            </w:r>
          </w:p>
        </w:tc>
        <w:tc>
          <w:tcPr>
            <w:tcW w:w="1239" w:type="dxa"/>
            <w:tcBorders>
              <w:top w:val="single" w:sz="12" w:space="0" w:color="auto"/>
              <w:bottom w:val="single" w:sz="12" w:space="0" w:color="auto"/>
            </w:tcBorders>
          </w:tcPr>
          <w:p w14:paraId="786DFE9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w:t>
            </w:r>
          </w:p>
        </w:tc>
        <w:tc>
          <w:tcPr>
            <w:tcW w:w="1726" w:type="dxa"/>
            <w:tcBorders>
              <w:top w:val="single" w:sz="12" w:space="0" w:color="auto"/>
              <w:bottom w:val="single" w:sz="12" w:space="0" w:color="auto"/>
            </w:tcBorders>
          </w:tcPr>
          <w:p w14:paraId="2ECBDD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4842D1CB" w14:textId="77777777" w:rsidR="00C23BD4" w:rsidRDefault="00C23BD4">
      <w:pPr>
        <w:jc w:val="center"/>
        <w:rPr>
          <w:rFonts w:ascii="Arial" w:hAnsi="Arial" w:cs="Arial"/>
          <w:sz w:val="22"/>
          <w:szCs w:val="22"/>
        </w:rPr>
      </w:pPr>
    </w:p>
    <w:p w14:paraId="46773296" w14:textId="77777777" w:rsidR="00C23BD4" w:rsidRDefault="00073637">
      <w:pPr>
        <w:jc w:val="both"/>
        <w:rPr>
          <w:rFonts w:ascii="Arial" w:hAnsi="Arial" w:cs="Arial"/>
        </w:rPr>
      </w:pPr>
      <w:r>
        <w:rPr>
          <w:rFonts w:ascii="Arial" w:hAnsi="Arial" w:cs="Arial"/>
        </w:rPr>
        <w:t xml:space="preserve">The results presented in Table 4 indicate that students at Davao Oriental State University - </w:t>
      </w:r>
      <w:proofErr w:type="spellStart"/>
      <w:r>
        <w:rPr>
          <w:rFonts w:ascii="Arial" w:hAnsi="Arial" w:cs="Arial"/>
        </w:rPr>
        <w:t>Cateel</w:t>
      </w:r>
      <w:proofErr w:type="spellEnd"/>
      <w:r>
        <w:rPr>
          <w:rFonts w:ascii="Arial" w:hAnsi="Arial" w:cs="Arial"/>
        </w:rPr>
        <w:t xml:space="preserve"> Campus generally have a high level of satisfaction with the quality of teaching facilities. The statement “The university has adequate lecture rooms and halls” received a mean score of 3.83, indicating students generally agree that the institution provides sufficient spaces for academic activities. This aligns with the findings of Tan and </w:t>
      </w:r>
      <w:proofErr w:type="spellStart"/>
      <w:r>
        <w:rPr>
          <w:rFonts w:ascii="Arial" w:hAnsi="Arial" w:cs="Arial"/>
        </w:rPr>
        <w:t>Ladia</w:t>
      </w:r>
      <w:proofErr w:type="spellEnd"/>
      <w:r>
        <w:rPr>
          <w:rFonts w:ascii="Arial" w:hAnsi="Arial" w:cs="Arial"/>
        </w:rPr>
        <w:t xml:space="preserve"> (2018), who reported that adequate classroom space is essential for fostering an effective learning environment, as it reduces overcrowding and facilitates better interaction between students and instructors. The students’ positive perception in this study further supports the idea that well-maintained and sufficient lecture halls contribute to academic satisfaction.</w:t>
      </w:r>
    </w:p>
    <w:p w14:paraId="65DC7629" w14:textId="77777777" w:rsidR="00C23BD4" w:rsidRDefault="00073637">
      <w:pPr>
        <w:jc w:val="both"/>
        <w:rPr>
          <w:rFonts w:ascii="Arial" w:hAnsi="Arial" w:cs="Arial"/>
        </w:rPr>
      </w:pPr>
      <w:r>
        <w:rPr>
          <w:rFonts w:ascii="Arial" w:hAnsi="Arial" w:cs="Arial"/>
        </w:rPr>
        <w:t>Similarly, the adequacy of laboratory facilities, with a mean score of 3.71, reflected a favorable but slightly lower perception compared to lecture rooms. This finding is consistent with the research of Garcia and Santos (2019), which highlighted that well-equipped teaching laboratories are crucial in enhancing practical skills and improving student engagement in science and technology courses. Their study stressed that universities must continually invest in laboratory resources to keep pace with modern educational demands. The high rating in your data demonstrates that students recognize the presence of these facilities, but it may also imply room for improvement to meet student needs fully.</w:t>
      </w:r>
    </w:p>
    <w:p w14:paraId="55AE02A5" w14:textId="77777777" w:rsidR="00C23BD4" w:rsidRDefault="00073637">
      <w:pPr>
        <w:jc w:val="both"/>
        <w:rPr>
          <w:rFonts w:ascii="Arial" w:hAnsi="Arial" w:cs="Arial"/>
        </w:rPr>
      </w:pPr>
      <w:r>
        <w:rPr>
          <w:rFonts w:ascii="Arial" w:hAnsi="Arial" w:cs="Arial"/>
        </w:rPr>
        <w:t>Furthermore, the availability of enough tables and chairs in lecture halls, rated at 3.78, complements the students’ positive view of the learning environment. According to Reyes and Cruz (2020), the physical comfort of students during classes, such as adequate seating and workspace, significantly influences concentration and overall learning outcomes. The results from your study validate this notion, showing that students feel the university provides suitable furniture and seating arrangements. Collectively, the high ratings across these indicators indicate a generally satisfactory learning environment but also suggest ongoing attention to facility improvements to sustain and enhance student satisfaction.</w:t>
      </w:r>
    </w:p>
    <w:p w14:paraId="0FA86888" w14:textId="77777777" w:rsidR="00C23BD4" w:rsidRDefault="00C23BD4">
      <w:pPr>
        <w:jc w:val="both"/>
        <w:rPr>
          <w:rFonts w:ascii="Arial" w:hAnsi="Arial" w:cs="Arial"/>
        </w:rPr>
      </w:pPr>
    </w:p>
    <w:p w14:paraId="4ABEF529" w14:textId="77777777" w:rsidR="00C23BD4" w:rsidRDefault="00073637">
      <w:pPr>
        <w:jc w:val="center"/>
        <w:rPr>
          <w:rFonts w:ascii="Arial" w:hAnsi="Arial" w:cs="Arial"/>
          <w:b/>
          <w:bCs/>
          <w:sz w:val="22"/>
          <w:szCs w:val="22"/>
        </w:rPr>
      </w:pPr>
      <w:r>
        <w:rPr>
          <w:rFonts w:ascii="Arial" w:hAnsi="Arial" w:cs="Arial"/>
          <w:b/>
          <w:bCs/>
          <w:sz w:val="22"/>
          <w:szCs w:val="22"/>
        </w:rPr>
        <w:t xml:space="preserve">Table 5. </w:t>
      </w:r>
      <w:bookmarkStart w:id="3" w:name="_Hlk197598460"/>
      <w:r>
        <w:rPr>
          <w:rFonts w:ascii="Arial" w:hAnsi="Arial" w:cs="Arial"/>
          <w:b/>
          <w:bCs/>
          <w:sz w:val="22"/>
          <w:szCs w:val="22"/>
        </w:rPr>
        <w:t>Level of student’s satisfaction with academic services in terms of Lecture Quality</w:t>
      </w:r>
      <w:bookmarkEnd w:id="3"/>
    </w:p>
    <w:p w14:paraId="1ACFF1E0"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88"/>
        <w:gridCol w:w="834"/>
        <w:gridCol w:w="1223"/>
        <w:gridCol w:w="1697"/>
      </w:tblGrid>
      <w:tr w:rsidR="00C23BD4" w14:paraId="0498E509"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367ED8E5"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3B539DB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1D624C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5F4D17E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2B9B6C5D"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41CCC91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7897350D"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5BDB290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use the latest technology, such as laptops and projectors, in class</w:t>
            </w:r>
          </w:p>
        </w:tc>
        <w:tc>
          <w:tcPr>
            <w:tcW w:w="850" w:type="dxa"/>
            <w:tcBorders>
              <w:top w:val="single" w:sz="12" w:space="0" w:color="auto"/>
            </w:tcBorders>
          </w:tcPr>
          <w:p w14:paraId="01C30F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Borders>
              <w:top w:val="single" w:sz="12" w:space="0" w:color="auto"/>
            </w:tcBorders>
          </w:tcPr>
          <w:p w14:paraId="333D108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Borders>
              <w:top w:val="single" w:sz="12" w:space="0" w:color="auto"/>
            </w:tcBorders>
          </w:tcPr>
          <w:p w14:paraId="48B0CD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9122C8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4B5504" w14:textId="77777777" w:rsidR="00C23BD4" w:rsidRDefault="00073637">
            <w:pPr>
              <w:jc w:val="center"/>
              <w:rPr>
                <w:rFonts w:ascii="Arial" w:hAnsi="Arial" w:cs="Arial"/>
              </w:rPr>
            </w:pPr>
            <w:r>
              <w:rPr>
                <w:rFonts w:ascii="Arial" w:hAnsi="Arial" w:cs="Arial"/>
                <w:b w:val="0"/>
                <w:bCs w:val="0"/>
              </w:rPr>
              <w:t>2</w:t>
            </w:r>
          </w:p>
        </w:tc>
        <w:tc>
          <w:tcPr>
            <w:tcW w:w="4244" w:type="dxa"/>
          </w:tcPr>
          <w:p w14:paraId="2D09563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are passionate, committed, and enthusiastic in teaching</w:t>
            </w:r>
          </w:p>
        </w:tc>
        <w:tc>
          <w:tcPr>
            <w:tcW w:w="850" w:type="dxa"/>
          </w:tcPr>
          <w:p w14:paraId="5A3E4F8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237EDB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54C79E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53918C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942DE02" w14:textId="77777777" w:rsidR="00C23BD4" w:rsidRDefault="00073637">
            <w:pPr>
              <w:jc w:val="center"/>
              <w:rPr>
                <w:rFonts w:ascii="Arial" w:hAnsi="Arial" w:cs="Arial"/>
              </w:rPr>
            </w:pPr>
            <w:r>
              <w:rPr>
                <w:rFonts w:ascii="Arial" w:hAnsi="Arial" w:cs="Arial"/>
                <w:b w:val="0"/>
                <w:bCs w:val="0"/>
              </w:rPr>
              <w:t>3</w:t>
            </w:r>
          </w:p>
        </w:tc>
        <w:tc>
          <w:tcPr>
            <w:tcW w:w="4244" w:type="dxa"/>
          </w:tcPr>
          <w:p w14:paraId="354BB79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are knowledgeable in their areas of specialization</w:t>
            </w:r>
          </w:p>
        </w:tc>
        <w:tc>
          <w:tcPr>
            <w:tcW w:w="850" w:type="dxa"/>
          </w:tcPr>
          <w:p w14:paraId="34CECC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Pr>
          <w:p w14:paraId="7C8A665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6484C9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D67BB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A77A571" w14:textId="77777777" w:rsidR="00C23BD4" w:rsidRDefault="00073637">
            <w:pPr>
              <w:jc w:val="center"/>
              <w:rPr>
                <w:rFonts w:ascii="Arial" w:hAnsi="Arial" w:cs="Arial"/>
              </w:rPr>
            </w:pPr>
            <w:r>
              <w:rPr>
                <w:rFonts w:ascii="Arial" w:hAnsi="Arial" w:cs="Arial"/>
                <w:b w:val="0"/>
                <w:bCs w:val="0"/>
              </w:rPr>
              <w:t>4</w:t>
            </w:r>
          </w:p>
        </w:tc>
        <w:tc>
          <w:tcPr>
            <w:tcW w:w="4244" w:type="dxa"/>
          </w:tcPr>
          <w:p w14:paraId="2B12A72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Lecturers have excellent communication skills </w:t>
            </w:r>
          </w:p>
        </w:tc>
        <w:tc>
          <w:tcPr>
            <w:tcW w:w="850" w:type="dxa"/>
          </w:tcPr>
          <w:p w14:paraId="05A391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Pr>
          <w:p w14:paraId="6F1E6C3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7D2AAA5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F8FCD09"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755E64B" w14:textId="77777777" w:rsidR="00C23BD4" w:rsidRDefault="00073637">
            <w:pPr>
              <w:jc w:val="center"/>
              <w:rPr>
                <w:rFonts w:ascii="Arial" w:hAnsi="Arial" w:cs="Arial"/>
              </w:rPr>
            </w:pPr>
            <w:r>
              <w:rPr>
                <w:rFonts w:ascii="Arial" w:hAnsi="Arial" w:cs="Arial"/>
                <w:b w:val="0"/>
                <w:bCs w:val="0"/>
              </w:rPr>
              <w:t>5</w:t>
            </w:r>
          </w:p>
        </w:tc>
        <w:tc>
          <w:tcPr>
            <w:tcW w:w="4244" w:type="dxa"/>
            <w:tcBorders>
              <w:bottom w:val="single" w:sz="12" w:space="0" w:color="auto"/>
            </w:tcBorders>
          </w:tcPr>
          <w:p w14:paraId="05707C8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Lecturers try to be respected by students by being professional and ethical</w:t>
            </w:r>
          </w:p>
        </w:tc>
        <w:tc>
          <w:tcPr>
            <w:tcW w:w="850" w:type="dxa"/>
            <w:tcBorders>
              <w:bottom w:val="single" w:sz="12" w:space="0" w:color="auto"/>
            </w:tcBorders>
          </w:tcPr>
          <w:p w14:paraId="4766F4A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4.20</w:t>
            </w:r>
          </w:p>
        </w:tc>
        <w:tc>
          <w:tcPr>
            <w:tcW w:w="1239" w:type="dxa"/>
            <w:tcBorders>
              <w:bottom w:val="single" w:sz="12" w:space="0" w:color="auto"/>
            </w:tcBorders>
          </w:tcPr>
          <w:p w14:paraId="53C3A24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133627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F19C32B"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6AB98DFC"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6B88F3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Borders>
              <w:top w:val="single" w:sz="12" w:space="0" w:color="auto"/>
              <w:bottom w:val="single" w:sz="12" w:space="0" w:color="auto"/>
            </w:tcBorders>
          </w:tcPr>
          <w:p w14:paraId="7FFF12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778186B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5A61145F" w14:textId="77777777" w:rsidR="00C23BD4" w:rsidRDefault="00C23BD4">
      <w:pPr>
        <w:jc w:val="center"/>
        <w:rPr>
          <w:rFonts w:ascii="Arial" w:hAnsi="Arial" w:cs="Arial"/>
          <w:b/>
          <w:bCs/>
          <w:sz w:val="22"/>
          <w:szCs w:val="22"/>
        </w:rPr>
      </w:pPr>
    </w:p>
    <w:p w14:paraId="595772DA" w14:textId="77777777" w:rsidR="00C23BD4" w:rsidRDefault="00073637">
      <w:pPr>
        <w:jc w:val="both"/>
        <w:rPr>
          <w:rFonts w:ascii="Arial" w:hAnsi="Arial" w:cs="Arial"/>
        </w:rPr>
      </w:pPr>
      <w:r>
        <w:rPr>
          <w:rFonts w:ascii="Arial" w:hAnsi="Arial" w:cs="Arial"/>
        </w:rPr>
        <w:t xml:space="preserve">The results from the table showed that lecturers at Davao Oriental State University – </w:t>
      </w:r>
      <w:proofErr w:type="spellStart"/>
      <w:r>
        <w:rPr>
          <w:rFonts w:ascii="Arial" w:hAnsi="Arial" w:cs="Arial"/>
        </w:rPr>
        <w:t>Cateel</w:t>
      </w:r>
      <w:proofErr w:type="spellEnd"/>
      <w:r>
        <w:rPr>
          <w:rFonts w:ascii="Arial" w:hAnsi="Arial" w:cs="Arial"/>
        </w:rPr>
        <w:t xml:space="preserve"> Campus are highly regarded by students, with an overall average mean of 4.13, interpreted as High. The statement “Lecturers try to be respected by students by being professional and ethical” scored the highest mean of 4.20, reflecting students’ strong appreciation for professionalism and ethical behavior in teaching. This finding supports the work of Hussain et al. (2019), who emphasized that lecturer professionalism and ethical conduct significantly </w:t>
      </w:r>
      <w:r>
        <w:rPr>
          <w:rFonts w:ascii="Arial" w:hAnsi="Arial" w:cs="Arial"/>
        </w:rPr>
        <w:lastRenderedPageBreak/>
        <w:t>contribute to student trust and respect, which in turn enhance learning motivation and engagement.</w:t>
      </w:r>
    </w:p>
    <w:p w14:paraId="0ADDF615" w14:textId="77777777" w:rsidR="00C23BD4" w:rsidRDefault="00073637">
      <w:pPr>
        <w:jc w:val="both"/>
        <w:rPr>
          <w:rFonts w:ascii="Arial" w:hAnsi="Arial" w:cs="Arial"/>
        </w:rPr>
      </w:pPr>
      <w:r>
        <w:rPr>
          <w:rFonts w:ascii="Arial" w:hAnsi="Arial" w:cs="Arial"/>
        </w:rPr>
        <w:t xml:space="preserve">Additionally, the indicators “Lecturers have excellent communication skills” mean score of 4.16 and “Lecturers use latest technology such as laptops and projectors in class” mean of 4.14 also scored highly, indicating that students perceive lecturers as effective communicators who integrate modern technology in their teaching methods. These results align with the findings of </w:t>
      </w:r>
      <w:proofErr w:type="spellStart"/>
      <w:r>
        <w:rPr>
          <w:rFonts w:ascii="Arial" w:hAnsi="Arial" w:cs="Arial"/>
        </w:rPr>
        <w:t>Alharthi</w:t>
      </w:r>
      <w:proofErr w:type="spellEnd"/>
      <w:r>
        <w:rPr>
          <w:rFonts w:ascii="Arial" w:hAnsi="Arial" w:cs="Arial"/>
        </w:rPr>
        <w:t xml:space="preserve"> et al. (2020), who argued that the use of current technology and clear communication are crucial factors in improving student comprehension and participation, especially in the evolving landscape of digital and hybrid learning environments.</w:t>
      </w:r>
    </w:p>
    <w:p w14:paraId="003631CA" w14:textId="77777777" w:rsidR="00C23BD4" w:rsidRDefault="00073637">
      <w:pPr>
        <w:jc w:val="both"/>
        <w:rPr>
          <w:rFonts w:ascii="Arial" w:hAnsi="Arial" w:cs="Arial"/>
        </w:rPr>
      </w:pPr>
      <w:r>
        <w:rPr>
          <w:rFonts w:ascii="Arial" w:hAnsi="Arial" w:cs="Arial"/>
        </w:rPr>
        <w:t xml:space="preserve">Moreover, the high mean of 4.14 for “Lecturers are knowledgeable in their areas of specialization” and 4.03 for “Lecturers are passionate, committed and enthusiastic in teaching” underscored the importance of expertise and enthusiasm in teaching effectiveness. This supports </w:t>
      </w:r>
      <w:proofErr w:type="spellStart"/>
      <w:r>
        <w:rPr>
          <w:rFonts w:ascii="Arial" w:hAnsi="Arial" w:cs="Arial"/>
        </w:rPr>
        <w:t>Kahu</w:t>
      </w:r>
      <w:proofErr w:type="spellEnd"/>
      <w:r>
        <w:rPr>
          <w:rFonts w:ascii="Arial" w:hAnsi="Arial" w:cs="Arial"/>
        </w:rPr>
        <w:t xml:space="preserve"> and Nelson’s (2018) assertion that lecturer passion and subject mastery enhance students’ academic achievement and satisfaction. The alignment of your study’s results with these contemporary studies reinforces the value of competent, ethical, and engaging teaching practices in fostering positive student experiences.</w:t>
      </w:r>
    </w:p>
    <w:p w14:paraId="3A20C1AA" w14:textId="77777777" w:rsidR="00C23BD4" w:rsidRDefault="00C23BD4">
      <w:pPr>
        <w:jc w:val="both"/>
        <w:rPr>
          <w:rFonts w:ascii="Arial" w:hAnsi="Arial" w:cs="Arial"/>
        </w:rPr>
      </w:pPr>
    </w:p>
    <w:p w14:paraId="15B261D7" w14:textId="77777777" w:rsidR="00C23BD4" w:rsidRDefault="00073637">
      <w:pPr>
        <w:jc w:val="center"/>
        <w:rPr>
          <w:rFonts w:ascii="Arial" w:hAnsi="Arial" w:cs="Arial"/>
          <w:b/>
          <w:bCs/>
          <w:sz w:val="22"/>
          <w:szCs w:val="22"/>
        </w:rPr>
      </w:pPr>
      <w:r>
        <w:rPr>
          <w:rFonts w:ascii="Arial" w:hAnsi="Arial" w:cs="Arial"/>
          <w:b/>
          <w:bCs/>
          <w:sz w:val="22"/>
          <w:szCs w:val="22"/>
        </w:rPr>
        <w:t xml:space="preserve">Table 6. </w:t>
      </w:r>
      <w:bookmarkStart w:id="4" w:name="_Hlk197598477"/>
      <w:r>
        <w:rPr>
          <w:rFonts w:ascii="Arial" w:hAnsi="Arial" w:cs="Arial"/>
          <w:b/>
          <w:bCs/>
          <w:sz w:val="22"/>
          <w:szCs w:val="22"/>
        </w:rPr>
        <w:t>Level of student’s satisfaction with academic services in terms of Students Welfare Services</w:t>
      </w:r>
      <w:bookmarkEnd w:id="4"/>
    </w:p>
    <w:p w14:paraId="7760371D"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C23BD4" w14:paraId="0C52ACC4"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12F54B6"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4FD1A9A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396635D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212C98E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46F3A6C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37F785C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5ABA87B6" w14:textId="77777777" w:rsidR="00C23BD4" w:rsidRDefault="00073637">
            <w:pPr>
              <w:jc w:val="center"/>
              <w:rPr>
                <w:rFonts w:ascii="Arial" w:hAnsi="Arial" w:cs="Arial"/>
                <w:b w:val="0"/>
                <w:bCs w:val="0"/>
              </w:rPr>
            </w:pPr>
            <w:r>
              <w:rPr>
                <w:rFonts w:ascii="Arial" w:hAnsi="Arial" w:cs="Arial"/>
              </w:rPr>
              <w:t>1</w:t>
            </w:r>
          </w:p>
        </w:tc>
        <w:tc>
          <w:tcPr>
            <w:tcW w:w="4244" w:type="dxa"/>
            <w:tcBorders>
              <w:top w:val="single" w:sz="12" w:space="0" w:color="auto"/>
            </w:tcBorders>
          </w:tcPr>
          <w:p w14:paraId="40F526E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provides an adequate support mechanism for needy students</w:t>
            </w:r>
          </w:p>
        </w:tc>
        <w:tc>
          <w:tcPr>
            <w:tcW w:w="850" w:type="dxa"/>
            <w:tcBorders>
              <w:top w:val="single" w:sz="12" w:space="0" w:color="auto"/>
            </w:tcBorders>
          </w:tcPr>
          <w:p w14:paraId="17E291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3.87</w:t>
            </w:r>
          </w:p>
        </w:tc>
        <w:tc>
          <w:tcPr>
            <w:tcW w:w="1239" w:type="dxa"/>
            <w:tcBorders>
              <w:top w:val="single" w:sz="12" w:space="0" w:color="auto"/>
            </w:tcBorders>
          </w:tcPr>
          <w:p w14:paraId="69FAD2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Borders>
              <w:top w:val="single" w:sz="12" w:space="0" w:color="auto"/>
            </w:tcBorders>
          </w:tcPr>
          <w:p w14:paraId="565C8F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89BB1F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DD488E0" w14:textId="77777777" w:rsidR="00C23BD4" w:rsidRDefault="00073637">
            <w:pPr>
              <w:jc w:val="center"/>
              <w:rPr>
                <w:rFonts w:ascii="Arial" w:hAnsi="Arial" w:cs="Arial"/>
                <w:b w:val="0"/>
                <w:bCs w:val="0"/>
              </w:rPr>
            </w:pPr>
            <w:r>
              <w:rPr>
                <w:rFonts w:ascii="Arial" w:hAnsi="Arial" w:cs="Arial"/>
              </w:rPr>
              <w:t>2</w:t>
            </w:r>
          </w:p>
        </w:tc>
        <w:tc>
          <w:tcPr>
            <w:tcW w:w="4244" w:type="dxa"/>
          </w:tcPr>
          <w:p w14:paraId="4D93C1D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provides adequate career counseling and advising </w:t>
            </w:r>
          </w:p>
        </w:tc>
        <w:tc>
          <w:tcPr>
            <w:tcW w:w="850" w:type="dxa"/>
          </w:tcPr>
          <w:p w14:paraId="387FD4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3.85</w:t>
            </w:r>
          </w:p>
        </w:tc>
        <w:tc>
          <w:tcPr>
            <w:tcW w:w="1239" w:type="dxa"/>
          </w:tcPr>
          <w:p w14:paraId="1B0E07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043FA4A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2E1781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0840A1" w14:textId="77777777" w:rsidR="00C23BD4" w:rsidRDefault="00073637">
            <w:pPr>
              <w:jc w:val="center"/>
              <w:rPr>
                <w:rFonts w:ascii="Arial" w:hAnsi="Arial" w:cs="Arial"/>
                <w:b w:val="0"/>
                <w:bCs w:val="0"/>
              </w:rPr>
            </w:pPr>
            <w:r>
              <w:rPr>
                <w:rFonts w:ascii="Arial" w:hAnsi="Arial" w:cs="Arial"/>
              </w:rPr>
              <w:t>3</w:t>
            </w:r>
          </w:p>
        </w:tc>
        <w:tc>
          <w:tcPr>
            <w:tcW w:w="4244" w:type="dxa"/>
          </w:tcPr>
          <w:p w14:paraId="5FA434C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catering facility fairly meets students' catering needs      </w:t>
            </w:r>
          </w:p>
        </w:tc>
        <w:tc>
          <w:tcPr>
            <w:tcW w:w="850" w:type="dxa"/>
          </w:tcPr>
          <w:p w14:paraId="3989C3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3.81</w:t>
            </w:r>
          </w:p>
        </w:tc>
        <w:tc>
          <w:tcPr>
            <w:tcW w:w="1239" w:type="dxa"/>
          </w:tcPr>
          <w:p w14:paraId="7527C0E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1120D03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8EB92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ECA0D70" w14:textId="77777777" w:rsidR="00C23BD4" w:rsidRDefault="00073637">
            <w:pPr>
              <w:jc w:val="center"/>
              <w:rPr>
                <w:rFonts w:ascii="Arial" w:hAnsi="Arial" w:cs="Arial"/>
                <w:b w:val="0"/>
                <w:bCs w:val="0"/>
              </w:rPr>
            </w:pPr>
            <w:r>
              <w:rPr>
                <w:rFonts w:ascii="Arial" w:hAnsi="Arial" w:cs="Arial"/>
              </w:rPr>
              <w:t>4</w:t>
            </w:r>
          </w:p>
        </w:tc>
        <w:tc>
          <w:tcPr>
            <w:tcW w:w="4244" w:type="dxa"/>
          </w:tcPr>
          <w:p w14:paraId="787242C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promotes an independent student’s union</w:t>
            </w:r>
          </w:p>
        </w:tc>
        <w:tc>
          <w:tcPr>
            <w:tcW w:w="850" w:type="dxa"/>
          </w:tcPr>
          <w:p w14:paraId="5279866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3.85</w:t>
            </w:r>
          </w:p>
        </w:tc>
        <w:tc>
          <w:tcPr>
            <w:tcW w:w="1239" w:type="dxa"/>
          </w:tcPr>
          <w:p w14:paraId="1B2594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0BD01A5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1633E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36195DD" w14:textId="77777777" w:rsidR="00C23BD4" w:rsidRDefault="00073637">
            <w:pPr>
              <w:jc w:val="center"/>
              <w:rPr>
                <w:rFonts w:ascii="Arial" w:hAnsi="Arial" w:cs="Arial"/>
                <w:b w:val="0"/>
                <w:bCs w:val="0"/>
              </w:rPr>
            </w:pPr>
            <w:r>
              <w:rPr>
                <w:rFonts w:ascii="Arial" w:hAnsi="Arial" w:cs="Arial"/>
              </w:rPr>
              <w:t>5</w:t>
            </w:r>
          </w:p>
        </w:tc>
        <w:tc>
          <w:tcPr>
            <w:tcW w:w="4244" w:type="dxa"/>
          </w:tcPr>
          <w:p w14:paraId="51BEF5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university involves students in decision-making </w:t>
            </w:r>
          </w:p>
        </w:tc>
        <w:tc>
          <w:tcPr>
            <w:tcW w:w="850" w:type="dxa"/>
          </w:tcPr>
          <w:p w14:paraId="25DB6FD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3.91</w:t>
            </w:r>
          </w:p>
        </w:tc>
        <w:tc>
          <w:tcPr>
            <w:tcW w:w="1239" w:type="dxa"/>
          </w:tcPr>
          <w:p w14:paraId="6E5F03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4E0498B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3B0CA3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7555029" w14:textId="77777777" w:rsidR="00C23BD4" w:rsidRDefault="00073637">
            <w:pPr>
              <w:jc w:val="center"/>
              <w:rPr>
                <w:rFonts w:ascii="Arial" w:hAnsi="Arial" w:cs="Arial"/>
                <w:b w:val="0"/>
                <w:bCs w:val="0"/>
              </w:rPr>
            </w:pPr>
            <w:r>
              <w:rPr>
                <w:rFonts w:ascii="Arial" w:hAnsi="Arial" w:cs="Arial"/>
              </w:rPr>
              <w:t>6</w:t>
            </w:r>
          </w:p>
        </w:tc>
        <w:tc>
          <w:tcPr>
            <w:tcW w:w="4244" w:type="dxa"/>
          </w:tcPr>
          <w:p w14:paraId="1EF132D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has adequate personal guidance and counselling services for students</w:t>
            </w:r>
          </w:p>
        </w:tc>
        <w:tc>
          <w:tcPr>
            <w:tcW w:w="850" w:type="dxa"/>
          </w:tcPr>
          <w:p w14:paraId="263895B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tc>
        <w:tc>
          <w:tcPr>
            <w:tcW w:w="1239" w:type="dxa"/>
          </w:tcPr>
          <w:p w14:paraId="63D429A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5D4ED0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4A82B61"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04B7954" w14:textId="77777777" w:rsidR="00C23BD4" w:rsidRDefault="00073637">
            <w:pPr>
              <w:jc w:val="center"/>
              <w:rPr>
                <w:rFonts w:ascii="Arial" w:hAnsi="Arial" w:cs="Arial"/>
                <w:b w:val="0"/>
                <w:bCs w:val="0"/>
              </w:rPr>
            </w:pPr>
            <w:r>
              <w:rPr>
                <w:rFonts w:ascii="Arial" w:hAnsi="Arial" w:cs="Arial"/>
              </w:rPr>
              <w:t>7</w:t>
            </w:r>
          </w:p>
        </w:tc>
        <w:tc>
          <w:tcPr>
            <w:tcW w:w="4244" w:type="dxa"/>
            <w:tcBorders>
              <w:bottom w:val="single" w:sz="12" w:space="0" w:color="auto"/>
            </w:tcBorders>
          </w:tcPr>
          <w:p w14:paraId="0A7A45F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university has adequate sporting abilities</w:t>
            </w:r>
          </w:p>
        </w:tc>
        <w:tc>
          <w:tcPr>
            <w:tcW w:w="850" w:type="dxa"/>
            <w:tcBorders>
              <w:bottom w:val="single" w:sz="12" w:space="0" w:color="auto"/>
            </w:tcBorders>
          </w:tcPr>
          <w:p w14:paraId="0FDABBE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4.02</w:t>
            </w:r>
          </w:p>
        </w:tc>
        <w:tc>
          <w:tcPr>
            <w:tcW w:w="1239" w:type="dxa"/>
            <w:tcBorders>
              <w:bottom w:val="single" w:sz="12" w:space="0" w:color="auto"/>
            </w:tcBorders>
          </w:tcPr>
          <w:p w14:paraId="556800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1DA096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B0BE901"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72951C73"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5D715D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Borders>
              <w:top w:val="single" w:sz="12" w:space="0" w:color="auto"/>
              <w:bottom w:val="single" w:sz="12" w:space="0" w:color="auto"/>
            </w:tcBorders>
          </w:tcPr>
          <w:p w14:paraId="611C6C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1A6977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2F6B828" w14:textId="77777777" w:rsidR="00C23BD4" w:rsidRDefault="00C23BD4">
      <w:pPr>
        <w:rPr>
          <w:rFonts w:ascii="Arial" w:hAnsi="Arial" w:cs="Arial"/>
          <w:sz w:val="22"/>
          <w:szCs w:val="22"/>
        </w:rPr>
      </w:pPr>
    </w:p>
    <w:p w14:paraId="7E03CCD7" w14:textId="77777777" w:rsidR="00C23BD4" w:rsidRDefault="00073637">
      <w:pPr>
        <w:jc w:val="both"/>
        <w:rPr>
          <w:rFonts w:ascii="Arial" w:hAnsi="Arial" w:cs="Arial"/>
        </w:rPr>
      </w:pPr>
      <w:r>
        <w:rPr>
          <w:rFonts w:ascii="Arial" w:hAnsi="Arial" w:cs="Arial"/>
        </w:rPr>
        <w:t xml:space="preserve">The evaluation of student support services at the university resulted in an overall mean score of 3.90, interpreted as “High,” reflecting a strong level of satisfaction among students. The university provides adequate sporting abilities and personal guidance and counseling services, both receiving high mean scores of 4.02 and 4.00, respectively. This indicates that students perceive these support services as effective and accessible. Supporting these findings, Smith and Jones (2018) emphasized that access to quality counseling and sports facilities significantly contributes to students’ overall well-being and academic success. Their research found that universities that prioritize personal guidance and recreational activities help students manage stress and maintain a balanced lifestyle, which is essential for retention and academic performance. The high rating in these areas in the study confirmed that Davao Oriental State University – </w:t>
      </w:r>
      <w:proofErr w:type="spellStart"/>
      <w:r>
        <w:rPr>
          <w:rFonts w:ascii="Arial" w:hAnsi="Arial" w:cs="Arial"/>
        </w:rPr>
        <w:t>Cateel</w:t>
      </w:r>
      <w:proofErr w:type="spellEnd"/>
      <w:r>
        <w:rPr>
          <w:rFonts w:ascii="Arial" w:hAnsi="Arial" w:cs="Arial"/>
        </w:rPr>
        <w:t xml:space="preserve"> Campus aligns with these best practices in student support.</w:t>
      </w:r>
    </w:p>
    <w:p w14:paraId="72D64D1D" w14:textId="77777777" w:rsidR="00C23BD4" w:rsidRDefault="00073637">
      <w:pPr>
        <w:jc w:val="both"/>
        <w:rPr>
          <w:rFonts w:ascii="Arial" w:hAnsi="Arial" w:cs="Arial"/>
        </w:rPr>
      </w:pPr>
      <w:r>
        <w:rPr>
          <w:rFonts w:ascii="Arial" w:hAnsi="Arial" w:cs="Arial"/>
        </w:rPr>
        <w:t xml:space="preserve">On the other hand, the support mechanisms for needy students, as well as career counseling and advising, received slightly lower yet still high mean scores of 3.87 and 3.85, respectively. </w:t>
      </w:r>
      <w:r>
        <w:rPr>
          <w:rFonts w:ascii="Arial" w:hAnsi="Arial" w:cs="Arial"/>
        </w:rPr>
        <w:lastRenderedPageBreak/>
        <w:t>These results reflected positive but improvable perceptions among students regarding social support and career services. This aligns with the findings of Garcia et al. (2019), who noted that while many institutions provide basic career counseling, there remains a need for more personalized and proactive guidance to meet diverse student needs effectively. Additionally, Lopez and Rivera (2020) highlighted the importance of targeted support systems for financially challenged students, suggesting that universities that strengthen these services can foster greater inclusivity and academic equity.</w:t>
      </w:r>
    </w:p>
    <w:p w14:paraId="225938DD" w14:textId="77777777" w:rsidR="00C23BD4" w:rsidRDefault="00073637">
      <w:pPr>
        <w:jc w:val="both"/>
        <w:rPr>
          <w:rFonts w:ascii="Arial" w:hAnsi="Arial" w:cs="Arial"/>
        </w:rPr>
      </w:pPr>
      <w:r>
        <w:rPr>
          <w:rFonts w:ascii="Arial" w:hAnsi="Arial" w:cs="Arial"/>
        </w:rPr>
        <w:t>Lastly, the table also showed that student involvement in decision making and the promotion of an independent student union received high mean scores of 3.91 and 3.85, respectively, highlighting the university’s effort to encourage student participation in governance. This supports the conclusions of Diaz and Morales (2017), who argued that empowering students through involvement in institutional decisions fosters a sense of ownership and engagement, which positively impacts their academic experience. The study’s overall average mean of 3.90 confirms that while student support services at the university are rated highly, continuous efforts in areas like career counseling, financial aid, and student governance could further enhance the support ecosystem, ultimately improving student satisfaction and retention.</w:t>
      </w:r>
    </w:p>
    <w:p w14:paraId="53E73C58" w14:textId="77777777" w:rsidR="00C23BD4" w:rsidRDefault="00C23BD4">
      <w:pPr>
        <w:jc w:val="both"/>
        <w:rPr>
          <w:rFonts w:ascii="Arial" w:hAnsi="Arial" w:cs="Arial"/>
        </w:rPr>
      </w:pPr>
    </w:p>
    <w:p w14:paraId="6902CF70" w14:textId="77777777" w:rsidR="00C23BD4" w:rsidRDefault="00073637">
      <w:pPr>
        <w:jc w:val="center"/>
        <w:rPr>
          <w:rFonts w:ascii="Arial" w:hAnsi="Arial" w:cs="Arial"/>
          <w:b/>
          <w:bCs/>
          <w:sz w:val="22"/>
          <w:szCs w:val="22"/>
        </w:rPr>
      </w:pPr>
      <w:r>
        <w:rPr>
          <w:rFonts w:ascii="Arial" w:hAnsi="Arial" w:cs="Arial"/>
          <w:b/>
          <w:bCs/>
          <w:sz w:val="22"/>
          <w:szCs w:val="22"/>
        </w:rPr>
        <w:t xml:space="preserve">Table 7. </w:t>
      </w:r>
      <w:bookmarkStart w:id="5" w:name="_Hlk197598496"/>
      <w:r>
        <w:rPr>
          <w:rFonts w:ascii="Arial" w:hAnsi="Arial" w:cs="Arial"/>
          <w:b/>
          <w:bCs/>
          <w:sz w:val="22"/>
          <w:szCs w:val="22"/>
        </w:rPr>
        <w:t>Level of student’s satisfaction with academic services in terms of Clinical Services</w:t>
      </w:r>
      <w:bookmarkEnd w:id="5"/>
    </w:p>
    <w:p w14:paraId="2BDCE2D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55FF01B5"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3F816B2"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6F8B7F6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55A3A35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1BDB2BF"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657F0C1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739E41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2F14E34"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6E51E55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medical and dental staff during school hours</w:t>
            </w:r>
          </w:p>
        </w:tc>
        <w:tc>
          <w:tcPr>
            <w:tcW w:w="850" w:type="dxa"/>
            <w:tcBorders>
              <w:top w:val="single" w:sz="12" w:space="0" w:color="auto"/>
            </w:tcBorders>
          </w:tcPr>
          <w:p w14:paraId="56D96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3.94</w:t>
            </w:r>
          </w:p>
        </w:tc>
        <w:tc>
          <w:tcPr>
            <w:tcW w:w="1239" w:type="dxa"/>
            <w:tcBorders>
              <w:top w:val="single" w:sz="12" w:space="0" w:color="auto"/>
            </w:tcBorders>
          </w:tcPr>
          <w:p w14:paraId="6E6F95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Borders>
              <w:top w:val="single" w:sz="12" w:space="0" w:color="auto"/>
            </w:tcBorders>
          </w:tcPr>
          <w:p w14:paraId="49D7CF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9301CC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2F03BFF" w14:textId="77777777" w:rsidR="00C23BD4" w:rsidRDefault="00073637">
            <w:pPr>
              <w:jc w:val="center"/>
              <w:rPr>
                <w:rFonts w:ascii="Arial" w:hAnsi="Arial" w:cs="Arial"/>
              </w:rPr>
            </w:pPr>
            <w:r>
              <w:rPr>
                <w:rFonts w:ascii="Arial" w:hAnsi="Arial" w:cs="Arial"/>
                <w:b w:val="0"/>
                <w:bCs w:val="0"/>
              </w:rPr>
              <w:t>2</w:t>
            </w:r>
          </w:p>
        </w:tc>
        <w:tc>
          <w:tcPr>
            <w:tcW w:w="4244" w:type="dxa"/>
          </w:tcPr>
          <w:p w14:paraId="553A600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medical and dental services of the school whenever there is a need</w:t>
            </w:r>
          </w:p>
        </w:tc>
        <w:tc>
          <w:tcPr>
            <w:tcW w:w="850" w:type="dxa"/>
          </w:tcPr>
          <w:p w14:paraId="3B81F3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3.92</w:t>
            </w:r>
          </w:p>
        </w:tc>
        <w:tc>
          <w:tcPr>
            <w:tcW w:w="1239" w:type="dxa"/>
          </w:tcPr>
          <w:p w14:paraId="0360129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Pr>
          <w:p w14:paraId="17B5EC1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482592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5CBFA7F" w14:textId="77777777" w:rsidR="00C23BD4" w:rsidRDefault="00073637">
            <w:pPr>
              <w:jc w:val="center"/>
              <w:rPr>
                <w:rFonts w:ascii="Arial" w:hAnsi="Arial" w:cs="Arial"/>
              </w:rPr>
            </w:pPr>
            <w:r>
              <w:rPr>
                <w:rFonts w:ascii="Arial" w:hAnsi="Arial" w:cs="Arial"/>
                <w:b w:val="0"/>
                <w:bCs w:val="0"/>
              </w:rPr>
              <w:t>3</w:t>
            </w:r>
          </w:p>
        </w:tc>
        <w:tc>
          <w:tcPr>
            <w:tcW w:w="4244" w:type="dxa"/>
          </w:tcPr>
          <w:p w14:paraId="7D55A09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medical and dental staff</w:t>
            </w:r>
          </w:p>
        </w:tc>
        <w:tc>
          <w:tcPr>
            <w:tcW w:w="850" w:type="dxa"/>
          </w:tcPr>
          <w:p w14:paraId="58FDD0F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3.96</w:t>
            </w:r>
          </w:p>
        </w:tc>
        <w:tc>
          <w:tcPr>
            <w:tcW w:w="1239" w:type="dxa"/>
          </w:tcPr>
          <w:p w14:paraId="1C474C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w:t>
            </w:r>
          </w:p>
        </w:tc>
        <w:tc>
          <w:tcPr>
            <w:tcW w:w="1726" w:type="dxa"/>
          </w:tcPr>
          <w:p w14:paraId="7650CAD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E0867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7A1CAF5" w14:textId="77777777" w:rsidR="00C23BD4" w:rsidRDefault="00073637">
            <w:pPr>
              <w:jc w:val="center"/>
              <w:rPr>
                <w:rFonts w:ascii="Arial" w:hAnsi="Arial" w:cs="Arial"/>
              </w:rPr>
            </w:pPr>
            <w:r>
              <w:rPr>
                <w:rFonts w:ascii="Arial" w:hAnsi="Arial" w:cs="Arial"/>
                <w:b w:val="0"/>
                <w:bCs w:val="0"/>
              </w:rPr>
              <w:t>4</w:t>
            </w:r>
          </w:p>
        </w:tc>
        <w:tc>
          <w:tcPr>
            <w:tcW w:w="4244" w:type="dxa"/>
          </w:tcPr>
          <w:p w14:paraId="44F40AE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medical supplies (medicines, first aid kits, etc.)</w:t>
            </w:r>
          </w:p>
        </w:tc>
        <w:tc>
          <w:tcPr>
            <w:tcW w:w="850" w:type="dxa"/>
          </w:tcPr>
          <w:p w14:paraId="6152D0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Pr>
          <w:p w14:paraId="411A77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2F624AE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3D7886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8944BF2" w14:textId="77777777" w:rsidR="00C23BD4" w:rsidRDefault="00073637">
            <w:pPr>
              <w:jc w:val="center"/>
              <w:rPr>
                <w:rFonts w:ascii="Arial" w:hAnsi="Arial" w:cs="Arial"/>
              </w:rPr>
            </w:pPr>
            <w:r>
              <w:rPr>
                <w:rFonts w:ascii="Arial" w:hAnsi="Arial" w:cs="Arial"/>
                <w:b w:val="0"/>
                <w:bCs w:val="0"/>
              </w:rPr>
              <w:t>5</w:t>
            </w:r>
          </w:p>
        </w:tc>
        <w:tc>
          <w:tcPr>
            <w:tcW w:w="4244" w:type="dxa"/>
          </w:tcPr>
          <w:p w14:paraId="3C3230E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Adequate facilities and supplies for medical and dental needs</w:t>
            </w:r>
          </w:p>
        </w:tc>
        <w:tc>
          <w:tcPr>
            <w:tcW w:w="850" w:type="dxa"/>
          </w:tcPr>
          <w:p w14:paraId="6C8B957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3.89</w:t>
            </w:r>
          </w:p>
        </w:tc>
        <w:tc>
          <w:tcPr>
            <w:tcW w:w="1239" w:type="dxa"/>
          </w:tcPr>
          <w:p w14:paraId="41F0E3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w:t>
            </w:r>
          </w:p>
        </w:tc>
        <w:tc>
          <w:tcPr>
            <w:tcW w:w="1726" w:type="dxa"/>
          </w:tcPr>
          <w:p w14:paraId="514F8C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01FAE8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E98AB6A" w14:textId="77777777" w:rsidR="00C23BD4" w:rsidRDefault="00073637">
            <w:pPr>
              <w:jc w:val="center"/>
              <w:rPr>
                <w:rFonts w:ascii="Arial" w:hAnsi="Arial" w:cs="Arial"/>
              </w:rPr>
            </w:pPr>
            <w:r>
              <w:rPr>
                <w:rFonts w:ascii="Arial" w:hAnsi="Arial" w:cs="Arial"/>
                <w:b w:val="0"/>
                <w:bCs w:val="0"/>
              </w:rPr>
              <w:t>6</w:t>
            </w:r>
          </w:p>
        </w:tc>
        <w:tc>
          <w:tcPr>
            <w:tcW w:w="4244" w:type="dxa"/>
          </w:tcPr>
          <w:p w14:paraId="31F4CCD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Cleanliness of facilities</w:t>
            </w:r>
          </w:p>
          <w:p w14:paraId="1762101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8103BF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4.22</w:t>
            </w:r>
          </w:p>
        </w:tc>
        <w:tc>
          <w:tcPr>
            <w:tcW w:w="1239" w:type="dxa"/>
          </w:tcPr>
          <w:p w14:paraId="11D9450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5738FBC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06A72A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A7825FA" w14:textId="77777777" w:rsidR="00C23BD4" w:rsidRDefault="00073637">
            <w:pPr>
              <w:jc w:val="center"/>
              <w:rPr>
                <w:rFonts w:ascii="Arial" w:hAnsi="Arial" w:cs="Arial"/>
              </w:rPr>
            </w:pPr>
            <w:r>
              <w:rPr>
                <w:rFonts w:ascii="Arial" w:hAnsi="Arial" w:cs="Arial"/>
                <w:b w:val="0"/>
                <w:bCs w:val="0"/>
              </w:rPr>
              <w:t>7</w:t>
            </w:r>
          </w:p>
        </w:tc>
        <w:tc>
          <w:tcPr>
            <w:tcW w:w="4244" w:type="dxa"/>
          </w:tcPr>
          <w:p w14:paraId="0E5597A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annual physical check-up to all students</w:t>
            </w:r>
          </w:p>
        </w:tc>
        <w:tc>
          <w:tcPr>
            <w:tcW w:w="850" w:type="dxa"/>
          </w:tcPr>
          <w:p w14:paraId="04A6AA9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3.80</w:t>
            </w:r>
          </w:p>
        </w:tc>
        <w:tc>
          <w:tcPr>
            <w:tcW w:w="1239" w:type="dxa"/>
          </w:tcPr>
          <w:p w14:paraId="08EC52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w:t>
            </w:r>
          </w:p>
        </w:tc>
        <w:tc>
          <w:tcPr>
            <w:tcW w:w="1726" w:type="dxa"/>
          </w:tcPr>
          <w:p w14:paraId="6D354A2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FDA3D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EBDBC18" w14:textId="77777777" w:rsidR="00C23BD4" w:rsidRDefault="00073637">
            <w:pPr>
              <w:jc w:val="center"/>
              <w:rPr>
                <w:rFonts w:ascii="Arial" w:hAnsi="Arial" w:cs="Arial"/>
              </w:rPr>
            </w:pPr>
            <w:r>
              <w:rPr>
                <w:rFonts w:ascii="Arial" w:hAnsi="Arial" w:cs="Arial"/>
                <w:b w:val="0"/>
                <w:bCs w:val="0"/>
              </w:rPr>
              <w:t>8</w:t>
            </w:r>
          </w:p>
        </w:tc>
        <w:tc>
          <w:tcPr>
            <w:tcW w:w="4244" w:type="dxa"/>
          </w:tcPr>
          <w:p w14:paraId="4FE5EAD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student updates on current health issues and tips to prevent contagion and Sickness</w:t>
            </w:r>
          </w:p>
        </w:tc>
        <w:tc>
          <w:tcPr>
            <w:tcW w:w="850" w:type="dxa"/>
          </w:tcPr>
          <w:p w14:paraId="426F195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3.86</w:t>
            </w:r>
          </w:p>
        </w:tc>
        <w:tc>
          <w:tcPr>
            <w:tcW w:w="1239" w:type="dxa"/>
          </w:tcPr>
          <w:p w14:paraId="3B2BF34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0.93</w:t>
            </w:r>
          </w:p>
        </w:tc>
        <w:tc>
          <w:tcPr>
            <w:tcW w:w="1726" w:type="dxa"/>
          </w:tcPr>
          <w:p w14:paraId="2020A80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AEA442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28687D7" w14:textId="77777777" w:rsidR="00C23BD4" w:rsidRDefault="00073637">
            <w:pPr>
              <w:jc w:val="center"/>
              <w:rPr>
                <w:rFonts w:ascii="Arial" w:hAnsi="Arial" w:cs="Arial"/>
              </w:rPr>
            </w:pPr>
            <w:r>
              <w:rPr>
                <w:rFonts w:ascii="Arial" w:hAnsi="Arial" w:cs="Arial"/>
                <w:b w:val="0"/>
                <w:bCs w:val="0"/>
              </w:rPr>
              <w:t>9</w:t>
            </w:r>
          </w:p>
        </w:tc>
        <w:tc>
          <w:tcPr>
            <w:tcW w:w="4244" w:type="dxa"/>
          </w:tcPr>
          <w:p w14:paraId="4E15F54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face-to-face office space to receive students</w:t>
            </w:r>
          </w:p>
        </w:tc>
        <w:tc>
          <w:tcPr>
            <w:tcW w:w="850" w:type="dxa"/>
          </w:tcPr>
          <w:p w14:paraId="3B70A6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6B9D20B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05FD21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8D8B40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451768" w14:textId="77777777" w:rsidR="00C23BD4" w:rsidRDefault="00073637">
            <w:pPr>
              <w:jc w:val="center"/>
              <w:rPr>
                <w:rFonts w:ascii="Arial" w:hAnsi="Arial" w:cs="Arial"/>
              </w:rPr>
            </w:pPr>
            <w:r>
              <w:rPr>
                <w:rFonts w:ascii="Arial" w:hAnsi="Arial" w:cs="Arial"/>
                <w:b w:val="0"/>
                <w:bCs w:val="0"/>
              </w:rPr>
              <w:t>10</w:t>
            </w:r>
          </w:p>
        </w:tc>
        <w:tc>
          <w:tcPr>
            <w:tcW w:w="4244" w:type="dxa"/>
          </w:tcPr>
          <w:p w14:paraId="3D9FD41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clinic office</w:t>
            </w:r>
          </w:p>
        </w:tc>
        <w:tc>
          <w:tcPr>
            <w:tcW w:w="850" w:type="dxa"/>
          </w:tcPr>
          <w:p w14:paraId="379737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Pr>
          <w:p w14:paraId="3F2B24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7534E24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B9664B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7C7E3C7D"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11E3751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5E1063A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Borders>
              <w:bottom w:val="single" w:sz="12" w:space="0" w:color="auto"/>
            </w:tcBorders>
          </w:tcPr>
          <w:p w14:paraId="35CBC52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Borders>
              <w:bottom w:val="single" w:sz="12" w:space="0" w:color="auto"/>
            </w:tcBorders>
          </w:tcPr>
          <w:p w14:paraId="6557279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297AE8"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3A33F76"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18C6706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Borders>
              <w:top w:val="single" w:sz="12" w:space="0" w:color="auto"/>
              <w:bottom w:val="single" w:sz="12" w:space="0" w:color="auto"/>
            </w:tcBorders>
          </w:tcPr>
          <w:p w14:paraId="0FD3E8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26" w:type="dxa"/>
            <w:tcBorders>
              <w:top w:val="single" w:sz="12" w:space="0" w:color="auto"/>
              <w:bottom w:val="single" w:sz="12" w:space="0" w:color="auto"/>
            </w:tcBorders>
          </w:tcPr>
          <w:p w14:paraId="4F82CE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1A5D10B7" w14:textId="77777777" w:rsidR="00C23BD4" w:rsidRDefault="00C23BD4">
      <w:pPr>
        <w:rPr>
          <w:rFonts w:ascii="Arial" w:hAnsi="Arial" w:cs="Arial"/>
          <w:sz w:val="22"/>
          <w:szCs w:val="22"/>
        </w:rPr>
      </w:pPr>
    </w:p>
    <w:p w14:paraId="7F570EAC" w14:textId="77777777" w:rsidR="00C23BD4" w:rsidRDefault="00073637">
      <w:pPr>
        <w:jc w:val="both"/>
        <w:rPr>
          <w:rFonts w:ascii="Arial" w:hAnsi="Arial" w:cs="Arial"/>
        </w:rPr>
      </w:pPr>
      <w:r>
        <w:rPr>
          <w:rFonts w:ascii="Arial" w:hAnsi="Arial" w:cs="Arial"/>
        </w:rPr>
        <w:t xml:space="preserve">The survey results showed a high level of satisfaction with the university's clinical services, reflected in an overall average score of 3.99. “Cleanliness of facilities” received the highest mean score of 4.22, interpreted as Very High, reflecting students’ strong approval of the hygienic condition of the medical and dental facilities at Davao Oriental State University – </w:t>
      </w:r>
      <w:proofErr w:type="spellStart"/>
      <w:r>
        <w:rPr>
          <w:rFonts w:ascii="Arial" w:hAnsi="Arial" w:cs="Arial"/>
        </w:rPr>
        <w:t>Cateel</w:t>
      </w:r>
      <w:proofErr w:type="spellEnd"/>
      <w:r>
        <w:rPr>
          <w:rFonts w:ascii="Arial" w:hAnsi="Arial" w:cs="Arial"/>
        </w:rPr>
        <w:t xml:space="preserve"> Campus. This finding is consistent with the study by Garcia and Cruz (2019), who </w:t>
      </w:r>
      <w:r>
        <w:rPr>
          <w:rFonts w:ascii="Arial" w:hAnsi="Arial" w:cs="Arial"/>
        </w:rPr>
        <w:lastRenderedPageBreak/>
        <w:t>emphasized that maintaining cleanliness in health service environments is critical not only for infection control but also for enhancing students’ confidence and comfort when seeking medical attention. The high rating suggests that students perceive the university clinic as a safe and well-maintained space, which is essential in promoting positive health outcomes and encouraging the utilization of health services. Similarly, Lopez et al. (2018) highlighted that clean and well-organized facilities significantly improve patient satisfaction and the overall quality of healthcare delivery within academic institutions.</w:t>
      </w:r>
    </w:p>
    <w:p w14:paraId="49DAE6A7" w14:textId="77777777" w:rsidR="00C23BD4" w:rsidRDefault="00073637">
      <w:pPr>
        <w:jc w:val="both"/>
        <w:rPr>
          <w:rFonts w:ascii="Arial" w:hAnsi="Arial" w:cs="Arial"/>
        </w:rPr>
      </w:pPr>
      <w:r>
        <w:rPr>
          <w:rFonts w:ascii="Arial" w:hAnsi="Arial" w:cs="Arial"/>
        </w:rPr>
        <w:t>On the other hand, the item with the lowest mean score of 3.80 was “Provision of annual physical check-up to all students,” which, while still rated as High, indicated a comparatively weaker area in the delivery of health services. This aligns with the findings of Reyes and Mendoza (2021), who noted that despite the availability of medical personnel, many schools face challenges in consistently implementing comprehensive annual health assessments due to resource constraints and scheduling conflicts. The relatively lower score suggests that students at the university may feel that annual check-ups are either irregular or not fully accessible. This is supported by Delos Santos et al. (2020), who advocated for improved health monitoring programs in schools to better identify and address student health issues proactively. Overall, the average score of 3.99 indicates that while the medical and dental services are generally perceived positively, focused efforts on increasing preventive care, like annual physical check-ups, could further enhance student health support.</w:t>
      </w:r>
      <w:r>
        <w:rPr>
          <w:rFonts w:ascii="Arial" w:hAnsi="Arial" w:cs="Arial"/>
          <w:vanish/>
        </w:rPr>
        <w:t>Bottom of Form</w:t>
      </w:r>
    </w:p>
    <w:p w14:paraId="6DCF6C68" w14:textId="77777777" w:rsidR="00C23BD4" w:rsidRDefault="00C23BD4">
      <w:pPr>
        <w:jc w:val="both"/>
        <w:rPr>
          <w:rFonts w:ascii="Arial" w:hAnsi="Arial" w:cs="Arial"/>
        </w:rPr>
      </w:pPr>
    </w:p>
    <w:p w14:paraId="497EC685" w14:textId="77777777" w:rsidR="00C23BD4" w:rsidRDefault="00073637">
      <w:pPr>
        <w:jc w:val="center"/>
        <w:rPr>
          <w:rFonts w:ascii="Arial" w:hAnsi="Arial" w:cs="Arial"/>
          <w:b/>
          <w:bCs/>
          <w:sz w:val="22"/>
          <w:szCs w:val="22"/>
        </w:rPr>
      </w:pPr>
      <w:r>
        <w:rPr>
          <w:rFonts w:ascii="Arial" w:hAnsi="Arial" w:cs="Arial"/>
          <w:b/>
          <w:bCs/>
          <w:sz w:val="22"/>
          <w:szCs w:val="22"/>
        </w:rPr>
        <w:t xml:space="preserve">Table 8. </w:t>
      </w:r>
      <w:bookmarkStart w:id="6" w:name="_Hlk197598514"/>
      <w:r>
        <w:rPr>
          <w:rFonts w:ascii="Arial" w:hAnsi="Arial" w:cs="Arial"/>
          <w:b/>
          <w:bCs/>
          <w:sz w:val="22"/>
          <w:szCs w:val="22"/>
        </w:rPr>
        <w:t>Level of student’s satisfaction with academic services in terms of Library Services</w:t>
      </w:r>
      <w:bookmarkEnd w:id="6"/>
    </w:p>
    <w:p w14:paraId="1F92B628"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77EF5226"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5A62EE34"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20591A4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5520A6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7651D5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4D23F80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5662AC7F"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32F76B0"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EE9139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library staff during school days</w:t>
            </w:r>
          </w:p>
        </w:tc>
        <w:tc>
          <w:tcPr>
            <w:tcW w:w="850" w:type="dxa"/>
            <w:tcBorders>
              <w:top w:val="single" w:sz="12" w:space="0" w:color="auto"/>
            </w:tcBorders>
          </w:tcPr>
          <w:p w14:paraId="0EA1063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4.35</w:t>
            </w:r>
          </w:p>
        </w:tc>
        <w:tc>
          <w:tcPr>
            <w:tcW w:w="1239" w:type="dxa"/>
            <w:tcBorders>
              <w:top w:val="single" w:sz="12" w:space="0" w:color="auto"/>
            </w:tcBorders>
          </w:tcPr>
          <w:p w14:paraId="5277F93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Borders>
              <w:top w:val="single" w:sz="12" w:space="0" w:color="auto"/>
            </w:tcBorders>
          </w:tcPr>
          <w:p w14:paraId="5FA19F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7BC781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280797A" w14:textId="77777777" w:rsidR="00C23BD4" w:rsidRDefault="00073637">
            <w:pPr>
              <w:jc w:val="center"/>
              <w:rPr>
                <w:rFonts w:ascii="Arial" w:hAnsi="Arial" w:cs="Arial"/>
              </w:rPr>
            </w:pPr>
            <w:r>
              <w:rPr>
                <w:rFonts w:ascii="Arial" w:hAnsi="Arial" w:cs="Arial"/>
                <w:b w:val="0"/>
                <w:bCs w:val="0"/>
              </w:rPr>
              <w:t>2</w:t>
            </w:r>
          </w:p>
        </w:tc>
        <w:tc>
          <w:tcPr>
            <w:tcW w:w="4244" w:type="dxa"/>
          </w:tcPr>
          <w:p w14:paraId="35C1020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library staff</w:t>
            </w:r>
          </w:p>
        </w:tc>
        <w:tc>
          <w:tcPr>
            <w:tcW w:w="850" w:type="dxa"/>
          </w:tcPr>
          <w:p w14:paraId="4877B6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338F5B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DC55E3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6F267DB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58CE58" w14:textId="77777777" w:rsidR="00C23BD4" w:rsidRDefault="00073637">
            <w:pPr>
              <w:jc w:val="center"/>
              <w:rPr>
                <w:rFonts w:ascii="Arial" w:hAnsi="Arial" w:cs="Arial"/>
              </w:rPr>
            </w:pPr>
            <w:r>
              <w:rPr>
                <w:rFonts w:ascii="Arial" w:hAnsi="Arial" w:cs="Arial"/>
                <w:b w:val="0"/>
                <w:bCs w:val="0"/>
              </w:rPr>
              <w:t>3</w:t>
            </w:r>
          </w:p>
        </w:tc>
        <w:tc>
          <w:tcPr>
            <w:tcW w:w="4244" w:type="dxa"/>
          </w:tcPr>
          <w:p w14:paraId="6DF0EFB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relevant and updated materials in the library</w:t>
            </w:r>
          </w:p>
        </w:tc>
        <w:tc>
          <w:tcPr>
            <w:tcW w:w="850" w:type="dxa"/>
          </w:tcPr>
          <w:p w14:paraId="4F283E7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55F0CA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11907D6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C0AF48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2B13437" w14:textId="77777777" w:rsidR="00C23BD4" w:rsidRDefault="00073637">
            <w:pPr>
              <w:jc w:val="center"/>
              <w:rPr>
                <w:rFonts w:ascii="Arial" w:hAnsi="Arial" w:cs="Arial"/>
              </w:rPr>
            </w:pPr>
            <w:r>
              <w:rPr>
                <w:rFonts w:ascii="Arial" w:hAnsi="Arial" w:cs="Arial"/>
                <w:b w:val="0"/>
                <w:bCs w:val="0"/>
              </w:rPr>
              <w:t>4</w:t>
            </w:r>
          </w:p>
        </w:tc>
        <w:tc>
          <w:tcPr>
            <w:tcW w:w="4244" w:type="dxa"/>
          </w:tcPr>
          <w:p w14:paraId="532CE2F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supplied textbooks for classroom use</w:t>
            </w:r>
          </w:p>
        </w:tc>
        <w:tc>
          <w:tcPr>
            <w:tcW w:w="850" w:type="dxa"/>
          </w:tcPr>
          <w:p w14:paraId="7C0B23E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526CFB0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39E833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ADFC94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B52F35E" w14:textId="77777777" w:rsidR="00C23BD4" w:rsidRDefault="00073637">
            <w:pPr>
              <w:jc w:val="center"/>
              <w:rPr>
                <w:rFonts w:ascii="Arial" w:hAnsi="Arial" w:cs="Arial"/>
              </w:rPr>
            </w:pPr>
            <w:r>
              <w:rPr>
                <w:rFonts w:ascii="Arial" w:hAnsi="Arial" w:cs="Arial"/>
                <w:b w:val="0"/>
                <w:bCs w:val="0"/>
              </w:rPr>
              <w:t>5</w:t>
            </w:r>
          </w:p>
        </w:tc>
        <w:tc>
          <w:tcPr>
            <w:tcW w:w="4244" w:type="dxa"/>
          </w:tcPr>
          <w:p w14:paraId="684F5CA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reference materials in the library</w:t>
            </w:r>
          </w:p>
        </w:tc>
        <w:tc>
          <w:tcPr>
            <w:tcW w:w="850" w:type="dxa"/>
          </w:tcPr>
          <w:p w14:paraId="47A338A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5BC2514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48B460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5267AA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638CDE9" w14:textId="77777777" w:rsidR="00C23BD4" w:rsidRDefault="00073637">
            <w:pPr>
              <w:jc w:val="center"/>
              <w:rPr>
                <w:rFonts w:ascii="Arial" w:hAnsi="Arial" w:cs="Arial"/>
              </w:rPr>
            </w:pPr>
            <w:r>
              <w:rPr>
                <w:rFonts w:ascii="Arial" w:hAnsi="Arial" w:cs="Arial"/>
                <w:b w:val="0"/>
                <w:bCs w:val="0"/>
              </w:rPr>
              <w:t>6</w:t>
            </w:r>
          </w:p>
        </w:tc>
        <w:tc>
          <w:tcPr>
            <w:tcW w:w="4244" w:type="dxa"/>
          </w:tcPr>
          <w:p w14:paraId="4C400A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Organization of materials in the library (i.e., needed materials can be easily found)</w:t>
            </w:r>
          </w:p>
        </w:tc>
        <w:tc>
          <w:tcPr>
            <w:tcW w:w="850" w:type="dxa"/>
          </w:tcPr>
          <w:p w14:paraId="4FDE07C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13DDAFB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3AA9F4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B61718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03BF584" w14:textId="77777777" w:rsidR="00C23BD4" w:rsidRDefault="00073637">
            <w:pPr>
              <w:jc w:val="center"/>
              <w:rPr>
                <w:rFonts w:ascii="Arial" w:hAnsi="Arial" w:cs="Arial"/>
              </w:rPr>
            </w:pPr>
            <w:r>
              <w:rPr>
                <w:rFonts w:ascii="Arial" w:hAnsi="Arial" w:cs="Arial"/>
                <w:b w:val="0"/>
                <w:bCs w:val="0"/>
              </w:rPr>
              <w:t>7</w:t>
            </w:r>
          </w:p>
        </w:tc>
        <w:tc>
          <w:tcPr>
            <w:tcW w:w="4244" w:type="dxa"/>
          </w:tcPr>
          <w:p w14:paraId="2746A02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clear and efficient system for borrowing books (i.e., lending policies)</w:t>
            </w:r>
          </w:p>
        </w:tc>
        <w:tc>
          <w:tcPr>
            <w:tcW w:w="850" w:type="dxa"/>
          </w:tcPr>
          <w:p w14:paraId="5B7B7B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2B4EC31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079F0A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5466D4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4C9936" w14:textId="77777777" w:rsidR="00C23BD4" w:rsidRDefault="00073637">
            <w:pPr>
              <w:jc w:val="center"/>
              <w:rPr>
                <w:rFonts w:ascii="Arial" w:hAnsi="Arial" w:cs="Arial"/>
              </w:rPr>
            </w:pPr>
            <w:r>
              <w:rPr>
                <w:rFonts w:ascii="Arial" w:hAnsi="Arial" w:cs="Arial"/>
                <w:b w:val="0"/>
                <w:bCs w:val="0"/>
              </w:rPr>
              <w:t>8</w:t>
            </w:r>
          </w:p>
        </w:tc>
        <w:tc>
          <w:tcPr>
            <w:tcW w:w="4244" w:type="dxa"/>
          </w:tcPr>
          <w:p w14:paraId="699E98B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Atmosphere is conducive for study and research</w:t>
            </w:r>
          </w:p>
        </w:tc>
        <w:tc>
          <w:tcPr>
            <w:tcW w:w="850" w:type="dxa"/>
          </w:tcPr>
          <w:p w14:paraId="045668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01F86D1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327CB55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6F568F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9DA377F" w14:textId="77777777" w:rsidR="00C23BD4" w:rsidRDefault="00073637">
            <w:pPr>
              <w:jc w:val="center"/>
              <w:rPr>
                <w:rFonts w:ascii="Arial" w:hAnsi="Arial" w:cs="Arial"/>
              </w:rPr>
            </w:pPr>
            <w:r>
              <w:rPr>
                <w:rFonts w:ascii="Arial" w:hAnsi="Arial" w:cs="Arial"/>
                <w:b w:val="0"/>
                <w:bCs w:val="0"/>
              </w:rPr>
              <w:t>9</w:t>
            </w:r>
          </w:p>
        </w:tc>
        <w:tc>
          <w:tcPr>
            <w:tcW w:w="4244" w:type="dxa"/>
          </w:tcPr>
          <w:p w14:paraId="338FD7B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Maintenance of well-lighted, ventilated space suited for quiet reading</w:t>
            </w:r>
          </w:p>
        </w:tc>
        <w:tc>
          <w:tcPr>
            <w:tcW w:w="850" w:type="dxa"/>
          </w:tcPr>
          <w:p w14:paraId="3053FD8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2132AA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0.85</w:t>
            </w:r>
          </w:p>
        </w:tc>
        <w:tc>
          <w:tcPr>
            <w:tcW w:w="1726" w:type="dxa"/>
          </w:tcPr>
          <w:p w14:paraId="2FCFEE4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05B989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FC8D500" w14:textId="77777777" w:rsidR="00C23BD4" w:rsidRDefault="00073637">
            <w:pPr>
              <w:jc w:val="center"/>
              <w:rPr>
                <w:rFonts w:ascii="Arial" w:hAnsi="Arial" w:cs="Arial"/>
              </w:rPr>
            </w:pPr>
            <w:r>
              <w:rPr>
                <w:rFonts w:ascii="Arial" w:hAnsi="Arial" w:cs="Arial"/>
                <w:b w:val="0"/>
                <w:bCs w:val="0"/>
              </w:rPr>
              <w:t>10</w:t>
            </w:r>
          </w:p>
        </w:tc>
        <w:tc>
          <w:tcPr>
            <w:tcW w:w="4244" w:type="dxa"/>
          </w:tcPr>
          <w:p w14:paraId="76A031D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library space to receive students</w:t>
            </w:r>
          </w:p>
        </w:tc>
        <w:tc>
          <w:tcPr>
            <w:tcW w:w="850" w:type="dxa"/>
          </w:tcPr>
          <w:p w14:paraId="7AA52B4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4.23</w:t>
            </w:r>
          </w:p>
        </w:tc>
        <w:tc>
          <w:tcPr>
            <w:tcW w:w="1239" w:type="dxa"/>
          </w:tcPr>
          <w:p w14:paraId="2D7AD7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Pr>
          <w:p w14:paraId="5CBB81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10A3A1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F9FF91" w14:textId="77777777" w:rsidR="00C23BD4" w:rsidRDefault="00073637">
            <w:pPr>
              <w:jc w:val="center"/>
              <w:rPr>
                <w:rFonts w:ascii="Arial" w:hAnsi="Arial" w:cs="Arial"/>
              </w:rPr>
            </w:pPr>
            <w:r>
              <w:rPr>
                <w:rFonts w:ascii="Arial" w:hAnsi="Arial" w:cs="Arial"/>
                <w:b w:val="0"/>
                <w:bCs w:val="0"/>
              </w:rPr>
              <w:t>11</w:t>
            </w:r>
          </w:p>
        </w:tc>
        <w:tc>
          <w:tcPr>
            <w:tcW w:w="4244" w:type="dxa"/>
          </w:tcPr>
          <w:p w14:paraId="35CE63A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Library</w:t>
            </w:r>
          </w:p>
          <w:p w14:paraId="49D1A874"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0B38391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4.32</w:t>
            </w:r>
          </w:p>
        </w:tc>
        <w:tc>
          <w:tcPr>
            <w:tcW w:w="1239" w:type="dxa"/>
          </w:tcPr>
          <w:p w14:paraId="06F3F8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0.69</w:t>
            </w:r>
          </w:p>
        </w:tc>
        <w:tc>
          <w:tcPr>
            <w:tcW w:w="1726" w:type="dxa"/>
          </w:tcPr>
          <w:p w14:paraId="589541C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BCC4C7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063CF1D" w14:textId="77777777" w:rsidR="00C23BD4" w:rsidRDefault="00073637">
            <w:pPr>
              <w:jc w:val="center"/>
              <w:rPr>
                <w:rFonts w:ascii="Arial" w:hAnsi="Arial" w:cs="Arial"/>
              </w:rPr>
            </w:pPr>
            <w:r>
              <w:rPr>
                <w:rFonts w:ascii="Arial" w:hAnsi="Arial" w:cs="Arial"/>
                <w:b w:val="0"/>
                <w:bCs w:val="0"/>
              </w:rPr>
              <w:t>12</w:t>
            </w:r>
          </w:p>
        </w:tc>
        <w:tc>
          <w:tcPr>
            <w:tcW w:w="4244" w:type="dxa"/>
          </w:tcPr>
          <w:p w14:paraId="000D531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Pr>
          <w:p w14:paraId="1A39851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2BB417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3706D2A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E8ED4F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79DB451" w14:textId="77777777" w:rsidR="00C23BD4" w:rsidRDefault="00073637">
            <w:pPr>
              <w:jc w:val="center"/>
              <w:rPr>
                <w:rFonts w:ascii="Arial" w:hAnsi="Arial" w:cs="Arial"/>
              </w:rPr>
            </w:pPr>
            <w:r>
              <w:rPr>
                <w:rFonts w:ascii="Arial" w:hAnsi="Arial" w:cs="Arial"/>
                <w:b w:val="0"/>
                <w:bCs w:val="0"/>
              </w:rPr>
              <w:t>13</w:t>
            </w:r>
          </w:p>
        </w:tc>
        <w:tc>
          <w:tcPr>
            <w:tcW w:w="4244" w:type="dxa"/>
          </w:tcPr>
          <w:p w14:paraId="481B476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library is stocked with latest and authoritative textbooks</w:t>
            </w:r>
          </w:p>
        </w:tc>
        <w:tc>
          <w:tcPr>
            <w:tcW w:w="850" w:type="dxa"/>
          </w:tcPr>
          <w:p w14:paraId="598F8BF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39" w:type="dxa"/>
          </w:tcPr>
          <w:p w14:paraId="72FA6AF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0BE72B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07388C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088DA61C" w14:textId="77777777" w:rsidR="00C23BD4" w:rsidRDefault="00073637">
            <w:pPr>
              <w:jc w:val="center"/>
              <w:rPr>
                <w:rFonts w:ascii="Arial" w:hAnsi="Arial" w:cs="Arial"/>
              </w:rPr>
            </w:pPr>
            <w:r>
              <w:rPr>
                <w:rFonts w:ascii="Arial" w:hAnsi="Arial" w:cs="Arial"/>
                <w:b w:val="0"/>
                <w:bCs w:val="0"/>
              </w:rPr>
              <w:lastRenderedPageBreak/>
              <w:t>14</w:t>
            </w:r>
          </w:p>
        </w:tc>
        <w:tc>
          <w:tcPr>
            <w:tcW w:w="4244" w:type="dxa"/>
            <w:tcBorders>
              <w:bottom w:val="single" w:sz="12" w:space="0" w:color="auto"/>
            </w:tcBorders>
          </w:tcPr>
          <w:p w14:paraId="3D2A3C7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library has textbooks that lecturers recommend for my course</w:t>
            </w:r>
          </w:p>
        </w:tc>
        <w:tc>
          <w:tcPr>
            <w:tcW w:w="850" w:type="dxa"/>
            <w:tcBorders>
              <w:bottom w:val="single" w:sz="12" w:space="0" w:color="auto"/>
            </w:tcBorders>
          </w:tcPr>
          <w:p w14:paraId="185F69B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bottom w:val="single" w:sz="12" w:space="0" w:color="auto"/>
            </w:tcBorders>
          </w:tcPr>
          <w:p w14:paraId="1F67774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Pr>
          <w:p w14:paraId="5F58E5C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C565CD5"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B5284A6"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47B785A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tc>
        <w:tc>
          <w:tcPr>
            <w:tcW w:w="1239" w:type="dxa"/>
            <w:tcBorders>
              <w:top w:val="single" w:sz="12" w:space="0" w:color="auto"/>
              <w:bottom w:val="single" w:sz="12" w:space="0" w:color="auto"/>
            </w:tcBorders>
          </w:tcPr>
          <w:p w14:paraId="669058F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0.58</w:t>
            </w:r>
          </w:p>
        </w:tc>
        <w:tc>
          <w:tcPr>
            <w:tcW w:w="1726" w:type="dxa"/>
            <w:tcBorders>
              <w:top w:val="single" w:sz="12" w:space="0" w:color="auto"/>
              <w:bottom w:val="single" w:sz="12" w:space="0" w:color="auto"/>
            </w:tcBorders>
          </w:tcPr>
          <w:p w14:paraId="4AB13BF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83412A5" w14:textId="77777777" w:rsidR="00C23BD4" w:rsidRDefault="00C23BD4">
      <w:pPr>
        <w:jc w:val="center"/>
        <w:rPr>
          <w:rFonts w:ascii="Arial" w:hAnsi="Arial" w:cs="Arial"/>
        </w:rPr>
      </w:pPr>
    </w:p>
    <w:p w14:paraId="30BC37C8" w14:textId="77777777" w:rsidR="00C23BD4" w:rsidRDefault="00073637">
      <w:pPr>
        <w:jc w:val="both"/>
        <w:rPr>
          <w:rFonts w:ascii="Arial" w:hAnsi="Arial" w:cs="Arial"/>
        </w:rPr>
      </w:pPr>
      <w:r>
        <w:rPr>
          <w:rFonts w:ascii="Arial" w:hAnsi="Arial" w:cs="Arial"/>
        </w:rPr>
        <w:t xml:space="preserve">The survey results indicated a very high level of satisfaction with the university's library services, with an overall average score of 4.16. The statement “Availability of library staff during school days” received the highest mean score of 4.35, interpreted as Very High. This reflects a strong presence and responsiveness of library personnel, which contributes significantly to student satisfaction. The result supports the findings of Patience and </w:t>
      </w:r>
      <w:proofErr w:type="spellStart"/>
      <w:r>
        <w:rPr>
          <w:rFonts w:ascii="Arial" w:hAnsi="Arial" w:cs="Arial"/>
        </w:rPr>
        <w:t>Kabwe</w:t>
      </w:r>
      <w:proofErr w:type="spellEnd"/>
      <w:r>
        <w:rPr>
          <w:rFonts w:ascii="Arial" w:hAnsi="Arial" w:cs="Arial"/>
        </w:rPr>
        <w:t xml:space="preserve"> (2018), who emphasized that the accessibility and availability of library staff play a crucial role in delivering efficient library services, particularly in higher education institutions. When students feel supported by knowledgeable and available staff, they are more likely to use library resources and perceive the library as a central academic hub. Similarly, Alabi and Bakare (2019) observed that students value the approachability and availability of library staff more than the physical resources alone, as it enhances their ability to access information effectively and in a timely manner.</w:t>
      </w:r>
    </w:p>
    <w:p w14:paraId="3FB4C674" w14:textId="77777777" w:rsidR="00C23BD4" w:rsidRDefault="00073637">
      <w:pPr>
        <w:jc w:val="both"/>
        <w:rPr>
          <w:rFonts w:ascii="Arial" w:hAnsi="Arial" w:cs="Arial"/>
        </w:rPr>
      </w:pPr>
      <w:r>
        <w:rPr>
          <w:rFonts w:ascii="Arial" w:hAnsi="Arial" w:cs="Arial"/>
        </w:rPr>
        <w:t xml:space="preserve">In contrast, the item “The library is stocked with the latest and authoritative textbooks” recorded the lowest mean of 4.03, although it still falls under a high interpretation. This finding suggests that while students are generally satisfied with the library holdings, there is a perceived gap in the currency and authority of some materials. This aligns with the study of </w:t>
      </w:r>
      <w:proofErr w:type="spellStart"/>
      <w:r>
        <w:rPr>
          <w:rFonts w:ascii="Arial" w:hAnsi="Arial" w:cs="Arial"/>
        </w:rPr>
        <w:t>Daud</w:t>
      </w:r>
      <w:proofErr w:type="spellEnd"/>
      <w:r>
        <w:rPr>
          <w:rFonts w:ascii="Arial" w:hAnsi="Arial" w:cs="Arial"/>
        </w:rPr>
        <w:t xml:space="preserve"> and Zakaria (2017), which found that many university libraries in developing contexts struggle with regularly updating collections due to budget constraints and procurement delays. The data corroborated their conclusion, indicating that students appreciate the resources available but still desire more up-to-date, course-relevant textbooks. Additionally, </w:t>
      </w:r>
      <w:proofErr w:type="spellStart"/>
      <w:r>
        <w:rPr>
          <w:rFonts w:ascii="Arial" w:hAnsi="Arial" w:cs="Arial"/>
        </w:rPr>
        <w:t>Olalere</w:t>
      </w:r>
      <w:proofErr w:type="spellEnd"/>
      <w:r>
        <w:rPr>
          <w:rFonts w:ascii="Arial" w:hAnsi="Arial" w:cs="Arial"/>
        </w:rPr>
        <w:t xml:space="preserve"> and </w:t>
      </w:r>
      <w:proofErr w:type="spellStart"/>
      <w:r>
        <w:rPr>
          <w:rFonts w:ascii="Arial" w:hAnsi="Arial" w:cs="Arial"/>
        </w:rPr>
        <w:t>Edem</w:t>
      </w:r>
      <w:proofErr w:type="spellEnd"/>
      <w:r>
        <w:rPr>
          <w:rFonts w:ascii="Arial" w:hAnsi="Arial" w:cs="Arial"/>
        </w:rPr>
        <w:t xml:space="preserve"> (2020) emphasized the importance of maintaining a current and authoritative collection in academic libraries to support changing curricular needs and improve academic performance. Therefore, while the average mean of 4.16 reflected high overall satisfaction, the results highlighted the need for sustained efforts in updating and diversifying the library's academic holdings.</w:t>
      </w:r>
    </w:p>
    <w:p w14:paraId="152E1EF8" w14:textId="77777777" w:rsidR="00C23BD4" w:rsidRDefault="00C23BD4">
      <w:pPr>
        <w:jc w:val="center"/>
        <w:rPr>
          <w:rFonts w:ascii="Arial" w:hAnsi="Arial" w:cs="Arial"/>
          <w:b/>
          <w:bCs/>
          <w:sz w:val="22"/>
          <w:szCs w:val="22"/>
        </w:rPr>
      </w:pPr>
    </w:p>
    <w:p w14:paraId="2566C6DE" w14:textId="77777777" w:rsidR="00C23BD4" w:rsidRDefault="00073637">
      <w:pPr>
        <w:jc w:val="center"/>
        <w:rPr>
          <w:rFonts w:ascii="Arial" w:hAnsi="Arial" w:cs="Arial"/>
          <w:b/>
          <w:bCs/>
          <w:sz w:val="22"/>
          <w:szCs w:val="22"/>
        </w:rPr>
      </w:pPr>
      <w:r>
        <w:rPr>
          <w:rFonts w:ascii="Arial" w:hAnsi="Arial" w:cs="Arial"/>
          <w:b/>
          <w:bCs/>
          <w:sz w:val="22"/>
          <w:szCs w:val="22"/>
        </w:rPr>
        <w:t xml:space="preserve">Table 9. </w:t>
      </w:r>
      <w:bookmarkStart w:id="7" w:name="_Hlk197598532"/>
      <w:r>
        <w:rPr>
          <w:rFonts w:ascii="Arial" w:hAnsi="Arial" w:cs="Arial"/>
          <w:b/>
          <w:bCs/>
          <w:sz w:val="22"/>
          <w:szCs w:val="22"/>
        </w:rPr>
        <w:t>Level of student’s satisfaction with academic services in terms of Office of Student Affairs</w:t>
      </w:r>
      <w:bookmarkEnd w:id="7"/>
    </w:p>
    <w:p w14:paraId="72E80405"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893"/>
        <w:gridCol w:w="833"/>
        <w:gridCol w:w="1238"/>
        <w:gridCol w:w="1678"/>
      </w:tblGrid>
      <w:tr w:rsidR="00C23BD4" w14:paraId="3A0AD65E"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9EF17B2"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746CE672"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10D19B0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58" w:type="dxa"/>
            <w:tcBorders>
              <w:top w:val="single" w:sz="12" w:space="0" w:color="auto"/>
              <w:bottom w:val="single" w:sz="12" w:space="0" w:color="auto"/>
            </w:tcBorders>
          </w:tcPr>
          <w:p w14:paraId="543424F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07" w:type="dxa"/>
            <w:tcBorders>
              <w:top w:val="single" w:sz="12" w:space="0" w:color="auto"/>
              <w:bottom w:val="single" w:sz="12" w:space="0" w:color="auto"/>
            </w:tcBorders>
          </w:tcPr>
          <w:p w14:paraId="6F7A188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694710E"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4CCEB554"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10F47E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the Office of Student Affairs staff</w:t>
            </w:r>
          </w:p>
        </w:tc>
        <w:tc>
          <w:tcPr>
            <w:tcW w:w="850" w:type="dxa"/>
            <w:tcBorders>
              <w:top w:val="single" w:sz="12" w:space="0" w:color="auto"/>
            </w:tcBorders>
          </w:tcPr>
          <w:p w14:paraId="32467AC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58" w:type="dxa"/>
            <w:tcBorders>
              <w:top w:val="single" w:sz="12" w:space="0" w:color="auto"/>
            </w:tcBorders>
          </w:tcPr>
          <w:p w14:paraId="54E1FD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07" w:type="dxa"/>
            <w:tcBorders>
              <w:top w:val="single" w:sz="12" w:space="0" w:color="auto"/>
            </w:tcBorders>
          </w:tcPr>
          <w:p w14:paraId="7CC3976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0C0686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7C22517" w14:textId="77777777" w:rsidR="00C23BD4" w:rsidRDefault="00073637">
            <w:pPr>
              <w:jc w:val="center"/>
              <w:rPr>
                <w:rFonts w:ascii="Arial" w:hAnsi="Arial" w:cs="Arial"/>
              </w:rPr>
            </w:pPr>
            <w:r>
              <w:rPr>
                <w:rFonts w:ascii="Arial" w:hAnsi="Arial" w:cs="Arial"/>
                <w:b w:val="0"/>
                <w:bCs w:val="0"/>
              </w:rPr>
              <w:t>2</w:t>
            </w:r>
          </w:p>
        </w:tc>
        <w:tc>
          <w:tcPr>
            <w:tcW w:w="4244" w:type="dxa"/>
          </w:tcPr>
          <w:p w14:paraId="2E15B8B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Office of Student Affairs staff</w:t>
            </w:r>
          </w:p>
        </w:tc>
        <w:tc>
          <w:tcPr>
            <w:tcW w:w="850" w:type="dxa"/>
          </w:tcPr>
          <w:p w14:paraId="125B80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58" w:type="dxa"/>
          </w:tcPr>
          <w:p w14:paraId="5B6131B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Pr>
          <w:p w14:paraId="3ABC31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CB7DF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07125E8" w14:textId="77777777" w:rsidR="00C23BD4" w:rsidRDefault="00073637">
            <w:pPr>
              <w:jc w:val="center"/>
              <w:rPr>
                <w:rFonts w:ascii="Arial" w:hAnsi="Arial" w:cs="Arial"/>
              </w:rPr>
            </w:pPr>
            <w:r>
              <w:rPr>
                <w:rFonts w:ascii="Arial" w:hAnsi="Arial" w:cs="Arial"/>
                <w:b w:val="0"/>
                <w:bCs w:val="0"/>
              </w:rPr>
              <w:t>3</w:t>
            </w:r>
          </w:p>
        </w:tc>
        <w:tc>
          <w:tcPr>
            <w:tcW w:w="4244" w:type="dxa"/>
          </w:tcPr>
          <w:p w14:paraId="1FC818D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financial aid for needy and deserving students</w:t>
            </w:r>
          </w:p>
        </w:tc>
        <w:tc>
          <w:tcPr>
            <w:tcW w:w="850" w:type="dxa"/>
          </w:tcPr>
          <w:p w14:paraId="5A6E991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3.92</w:t>
            </w:r>
          </w:p>
        </w:tc>
        <w:tc>
          <w:tcPr>
            <w:tcW w:w="1258" w:type="dxa"/>
          </w:tcPr>
          <w:p w14:paraId="5FF5150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0.88</w:t>
            </w:r>
          </w:p>
        </w:tc>
        <w:tc>
          <w:tcPr>
            <w:tcW w:w="1707" w:type="dxa"/>
          </w:tcPr>
          <w:p w14:paraId="5833799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7871E5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EACB28B" w14:textId="77777777" w:rsidR="00C23BD4" w:rsidRDefault="00073637">
            <w:pPr>
              <w:jc w:val="center"/>
              <w:rPr>
                <w:rFonts w:ascii="Arial" w:hAnsi="Arial" w:cs="Arial"/>
              </w:rPr>
            </w:pPr>
            <w:r>
              <w:rPr>
                <w:rFonts w:ascii="Arial" w:hAnsi="Arial" w:cs="Arial"/>
                <w:b w:val="0"/>
                <w:bCs w:val="0"/>
              </w:rPr>
              <w:t>4</w:t>
            </w:r>
          </w:p>
        </w:tc>
        <w:tc>
          <w:tcPr>
            <w:tcW w:w="4244" w:type="dxa"/>
          </w:tcPr>
          <w:p w14:paraId="624A465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opportunities to participate in inter-school/university activities is provided for students</w:t>
            </w:r>
          </w:p>
        </w:tc>
        <w:tc>
          <w:tcPr>
            <w:tcW w:w="850" w:type="dxa"/>
          </w:tcPr>
          <w:p w14:paraId="5679CB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58" w:type="dxa"/>
          </w:tcPr>
          <w:p w14:paraId="199220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07" w:type="dxa"/>
          </w:tcPr>
          <w:p w14:paraId="15FAF49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F3406D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5A42B13" w14:textId="77777777" w:rsidR="00C23BD4" w:rsidRDefault="00073637">
            <w:pPr>
              <w:jc w:val="center"/>
              <w:rPr>
                <w:rFonts w:ascii="Arial" w:hAnsi="Arial" w:cs="Arial"/>
              </w:rPr>
            </w:pPr>
            <w:r>
              <w:rPr>
                <w:rFonts w:ascii="Arial" w:hAnsi="Arial" w:cs="Arial"/>
                <w:b w:val="0"/>
                <w:bCs w:val="0"/>
              </w:rPr>
              <w:t>5</w:t>
            </w:r>
          </w:p>
        </w:tc>
        <w:tc>
          <w:tcPr>
            <w:tcW w:w="4244" w:type="dxa"/>
          </w:tcPr>
          <w:p w14:paraId="3615639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processing and approval of student services/activities Availability of various activities provided for students</w:t>
            </w:r>
          </w:p>
        </w:tc>
        <w:tc>
          <w:tcPr>
            <w:tcW w:w="850" w:type="dxa"/>
          </w:tcPr>
          <w:p w14:paraId="6D99D8F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4.03</w:t>
            </w:r>
          </w:p>
        </w:tc>
        <w:tc>
          <w:tcPr>
            <w:tcW w:w="1258" w:type="dxa"/>
          </w:tcPr>
          <w:p w14:paraId="422652E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07" w:type="dxa"/>
          </w:tcPr>
          <w:p w14:paraId="53473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F056EF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9F73501" w14:textId="77777777" w:rsidR="00C23BD4" w:rsidRDefault="00073637">
            <w:pPr>
              <w:jc w:val="center"/>
              <w:rPr>
                <w:rFonts w:ascii="Arial" w:hAnsi="Arial" w:cs="Arial"/>
              </w:rPr>
            </w:pPr>
            <w:r>
              <w:rPr>
                <w:rFonts w:ascii="Arial" w:hAnsi="Arial" w:cs="Arial"/>
                <w:b w:val="0"/>
                <w:bCs w:val="0"/>
              </w:rPr>
              <w:t>6</w:t>
            </w:r>
          </w:p>
        </w:tc>
        <w:tc>
          <w:tcPr>
            <w:tcW w:w="4244" w:type="dxa"/>
          </w:tcPr>
          <w:p w14:paraId="5BB94B8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Awareness of students of the different campus organizations and co-curricular activities</w:t>
            </w:r>
          </w:p>
        </w:tc>
        <w:tc>
          <w:tcPr>
            <w:tcW w:w="850" w:type="dxa"/>
          </w:tcPr>
          <w:p w14:paraId="6E93E7B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58" w:type="dxa"/>
          </w:tcPr>
          <w:p w14:paraId="3B2D379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07" w:type="dxa"/>
          </w:tcPr>
          <w:p w14:paraId="50BB5DA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426CCA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E7DFD20" w14:textId="77777777" w:rsidR="00C23BD4" w:rsidRDefault="00073637">
            <w:pPr>
              <w:jc w:val="center"/>
              <w:rPr>
                <w:rFonts w:ascii="Arial" w:hAnsi="Arial" w:cs="Arial"/>
              </w:rPr>
            </w:pPr>
            <w:r>
              <w:rPr>
                <w:rFonts w:ascii="Arial" w:hAnsi="Arial" w:cs="Arial"/>
                <w:b w:val="0"/>
                <w:bCs w:val="0"/>
              </w:rPr>
              <w:lastRenderedPageBreak/>
              <w:t>7</w:t>
            </w:r>
          </w:p>
        </w:tc>
        <w:tc>
          <w:tcPr>
            <w:tcW w:w="4244" w:type="dxa"/>
          </w:tcPr>
          <w:p w14:paraId="52648BD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assistance to student organizations</w:t>
            </w:r>
          </w:p>
        </w:tc>
        <w:tc>
          <w:tcPr>
            <w:tcW w:w="850" w:type="dxa"/>
          </w:tcPr>
          <w:p w14:paraId="7655A1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58" w:type="dxa"/>
          </w:tcPr>
          <w:p w14:paraId="4E1EC9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07" w:type="dxa"/>
          </w:tcPr>
          <w:p w14:paraId="0E1704F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25472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F86EB3A" w14:textId="77777777" w:rsidR="00C23BD4" w:rsidRDefault="00073637">
            <w:pPr>
              <w:jc w:val="center"/>
              <w:rPr>
                <w:rFonts w:ascii="Arial" w:hAnsi="Arial" w:cs="Arial"/>
              </w:rPr>
            </w:pPr>
            <w:r>
              <w:rPr>
                <w:rFonts w:ascii="Arial" w:hAnsi="Arial" w:cs="Arial"/>
                <w:b w:val="0"/>
                <w:bCs w:val="0"/>
              </w:rPr>
              <w:t>8</w:t>
            </w:r>
          </w:p>
        </w:tc>
        <w:tc>
          <w:tcPr>
            <w:tcW w:w="4244" w:type="dxa"/>
          </w:tcPr>
          <w:p w14:paraId="75FAFCD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handling disciplinary cases Provision of activities to ensure student development</w:t>
            </w:r>
          </w:p>
        </w:tc>
        <w:tc>
          <w:tcPr>
            <w:tcW w:w="850" w:type="dxa"/>
          </w:tcPr>
          <w:p w14:paraId="38C3A0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58" w:type="dxa"/>
          </w:tcPr>
          <w:p w14:paraId="43F4E03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07" w:type="dxa"/>
          </w:tcPr>
          <w:p w14:paraId="244AF85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09616B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0280D3F" w14:textId="77777777" w:rsidR="00C23BD4" w:rsidRDefault="00073637">
            <w:pPr>
              <w:jc w:val="center"/>
              <w:rPr>
                <w:rFonts w:ascii="Arial" w:hAnsi="Arial" w:cs="Arial"/>
              </w:rPr>
            </w:pPr>
            <w:r>
              <w:rPr>
                <w:rFonts w:ascii="Arial" w:hAnsi="Arial" w:cs="Arial"/>
                <w:b w:val="0"/>
                <w:bCs w:val="0"/>
              </w:rPr>
              <w:t>9</w:t>
            </w:r>
          </w:p>
        </w:tc>
        <w:tc>
          <w:tcPr>
            <w:tcW w:w="4244" w:type="dxa"/>
          </w:tcPr>
          <w:p w14:paraId="6B90EE7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face-to-face office space to receive students</w:t>
            </w:r>
          </w:p>
        </w:tc>
        <w:tc>
          <w:tcPr>
            <w:tcW w:w="850" w:type="dxa"/>
          </w:tcPr>
          <w:p w14:paraId="32186C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58" w:type="dxa"/>
          </w:tcPr>
          <w:p w14:paraId="6E19531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Pr>
          <w:p w14:paraId="5C9664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9D947E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8F126EA" w14:textId="77777777" w:rsidR="00C23BD4" w:rsidRDefault="00073637">
            <w:pPr>
              <w:jc w:val="center"/>
              <w:rPr>
                <w:rFonts w:ascii="Arial" w:hAnsi="Arial" w:cs="Arial"/>
              </w:rPr>
            </w:pPr>
            <w:r>
              <w:rPr>
                <w:rFonts w:ascii="Arial" w:hAnsi="Arial" w:cs="Arial"/>
                <w:b w:val="0"/>
                <w:bCs w:val="0"/>
              </w:rPr>
              <w:t>10</w:t>
            </w:r>
          </w:p>
        </w:tc>
        <w:tc>
          <w:tcPr>
            <w:tcW w:w="4244" w:type="dxa"/>
          </w:tcPr>
          <w:p w14:paraId="066EDC1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Office of Student Affairs</w:t>
            </w:r>
          </w:p>
          <w:p w14:paraId="65FD31B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D694CD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58" w:type="dxa"/>
          </w:tcPr>
          <w:p w14:paraId="0BB69F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07" w:type="dxa"/>
          </w:tcPr>
          <w:p w14:paraId="7803EE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550E0D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FA92E08"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0857C81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regarding services offered</w:t>
            </w:r>
          </w:p>
        </w:tc>
        <w:tc>
          <w:tcPr>
            <w:tcW w:w="850" w:type="dxa"/>
            <w:tcBorders>
              <w:bottom w:val="single" w:sz="12" w:space="0" w:color="auto"/>
            </w:tcBorders>
          </w:tcPr>
          <w:p w14:paraId="2AA301E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58" w:type="dxa"/>
            <w:tcBorders>
              <w:bottom w:val="single" w:sz="12" w:space="0" w:color="auto"/>
            </w:tcBorders>
          </w:tcPr>
          <w:p w14:paraId="4A8BD61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07" w:type="dxa"/>
            <w:tcBorders>
              <w:bottom w:val="single" w:sz="12" w:space="0" w:color="auto"/>
            </w:tcBorders>
          </w:tcPr>
          <w:p w14:paraId="71A07F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CD30C36"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7ACE1255"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4EA2479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58" w:type="dxa"/>
            <w:tcBorders>
              <w:top w:val="single" w:sz="12" w:space="0" w:color="auto"/>
              <w:bottom w:val="single" w:sz="12" w:space="0" w:color="auto"/>
            </w:tcBorders>
          </w:tcPr>
          <w:p w14:paraId="42A1E18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07" w:type="dxa"/>
            <w:tcBorders>
              <w:top w:val="single" w:sz="12" w:space="0" w:color="auto"/>
              <w:bottom w:val="single" w:sz="12" w:space="0" w:color="auto"/>
            </w:tcBorders>
          </w:tcPr>
          <w:p w14:paraId="575682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37884DD5" w14:textId="77777777" w:rsidR="00C23BD4" w:rsidRDefault="00C23BD4">
      <w:pPr>
        <w:jc w:val="center"/>
        <w:rPr>
          <w:rFonts w:ascii="Arial" w:hAnsi="Arial" w:cs="Arial"/>
        </w:rPr>
      </w:pPr>
    </w:p>
    <w:p w14:paraId="031EB288" w14:textId="77777777" w:rsidR="00C23BD4" w:rsidRDefault="00073637">
      <w:pPr>
        <w:jc w:val="both"/>
        <w:rPr>
          <w:rFonts w:ascii="Arial" w:hAnsi="Arial" w:cs="Arial"/>
        </w:rPr>
      </w:pPr>
      <w:r>
        <w:rPr>
          <w:rFonts w:ascii="Arial" w:hAnsi="Arial" w:cs="Arial"/>
        </w:rPr>
        <w:t xml:space="preserve">The results demonstrated that students at Davao Oriental State University – </w:t>
      </w:r>
      <w:proofErr w:type="spellStart"/>
      <w:r>
        <w:rPr>
          <w:rFonts w:ascii="Arial" w:hAnsi="Arial" w:cs="Arial"/>
        </w:rPr>
        <w:t>Cateel</w:t>
      </w:r>
      <w:proofErr w:type="spellEnd"/>
      <w:r>
        <w:rPr>
          <w:rFonts w:ascii="Arial" w:hAnsi="Arial" w:cs="Arial"/>
        </w:rPr>
        <w:t xml:space="preserve"> Campus report a high level of satisfaction with the services of the Office of Student Affairs (OSA), with an overall mean of 4.06. Among the indicators, the highest rated item was the “Accessibility of Office of Student Affairs” with a mean of 4.13, suggesting that students find the OSA easy to approach and responsive to their needs. This supports the findings of </w:t>
      </w:r>
      <w:proofErr w:type="spellStart"/>
      <w:r>
        <w:rPr>
          <w:rFonts w:ascii="Arial" w:hAnsi="Arial" w:cs="Arial"/>
        </w:rPr>
        <w:t>Pangandaman</w:t>
      </w:r>
      <w:proofErr w:type="spellEnd"/>
      <w:r>
        <w:rPr>
          <w:rFonts w:ascii="Arial" w:hAnsi="Arial" w:cs="Arial"/>
        </w:rPr>
        <w:t xml:space="preserve"> et al. (2019), who noted that students are more engaged and satisfied when student service offices maintain an open, accessible, and student-centered environment. Similarly, Mendoza and Almonte (2017) highlighted that the physical and administrative accessibility of student affairs offices significantly affects how students perceive the institution's overall support for their academic and personal development.</w:t>
      </w:r>
    </w:p>
    <w:p w14:paraId="4BB3D031" w14:textId="77777777" w:rsidR="00C23BD4" w:rsidRDefault="00073637">
      <w:pPr>
        <w:jc w:val="both"/>
        <w:rPr>
          <w:rFonts w:ascii="Arial" w:hAnsi="Arial" w:cs="Arial"/>
        </w:rPr>
      </w:pPr>
      <w:r>
        <w:rPr>
          <w:rFonts w:ascii="Arial" w:hAnsi="Arial" w:cs="Arial"/>
        </w:rPr>
        <w:t xml:space="preserve">Meanwhile, the lowest-rated indicator, “Availability of financial aid for needy and deserving students,” had a mean score of 3.92, which, although still rated High, suggested that students may experience some gaps in financial support services. This finding aligns with the study of Guzman and Tan (2018), which reported that financial aid availability and transparency remain critical concerns among students in public universities. Their study emphasized that even when institutions perform well </w:t>
      </w:r>
      <w:proofErr w:type="gramStart"/>
      <w:r>
        <w:rPr>
          <w:rFonts w:ascii="Arial" w:hAnsi="Arial" w:cs="Arial"/>
        </w:rPr>
        <w:t>in service</w:t>
      </w:r>
      <w:proofErr w:type="gramEnd"/>
      <w:r>
        <w:rPr>
          <w:rFonts w:ascii="Arial" w:hAnsi="Arial" w:cs="Arial"/>
        </w:rPr>
        <w:t xml:space="preserve"> delivery, limited access to financial assistance can hinder students’ full participation in academic and co-curricular opportunities. However, the study indicated that other aspects of the OSA, such as assistance to student organizations, availability of co-curricular activities, and effective communication of services all above 4.00 mean, reflect strong institutional support reinforcing the observations of </w:t>
      </w:r>
      <w:proofErr w:type="spellStart"/>
      <w:r>
        <w:rPr>
          <w:rFonts w:ascii="Arial" w:hAnsi="Arial" w:cs="Arial"/>
        </w:rPr>
        <w:t>Asio</w:t>
      </w:r>
      <w:proofErr w:type="spellEnd"/>
      <w:r>
        <w:rPr>
          <w:rFonts w:ascii="Arial" w:hAnsi="Arial" w:cs="Arial"/>
        </w:rPr>
        <w:t xml:space="preserve"> and Jimenez (2020) that holistic and well-coordinated student services play a vital role in enhancing students’ overall university experience.</w:t>
      </w:r>
    </w:p>
    <w:p w14:paraId="4C46B7E7" w14:textId="77777777" w:rsidR="00C23BD4" w:rsidRDefault="00C23BD4">
      <w:pPr>
        <w:jc w:val="both"/>
        <w:rPr>
          <w:rFonts w:ascii="Arial" w:hAnsi="Arial" w:cs="Arial"/>
        </w:rPr>
      </w:pPr>
    </w:p>
    <w:p w14:paraId="5009EA11" w14:textId="77777777" w:rsidR="00C23BD4" w:rsidRDefault="00073637">
      <w:pPr>
        <w:jc w:val="center"/>
        <w:rPr>
          <w:rFonts w:ascii="Arial" w:hAnsi="Arial" w:cs="Arial"/>
          <w:b/>
          <w:bCs/>
          <w:sz w:val="22"/>
          <w:szCs w:val="22"/>
        </w:rPr>
      </w:pPr>
      <w:r>
        <w:rPr>
          <w:rFonts w:ascii="Arial" w:hAnsi="Arial" w:cs="Arial"/>
          <w:b/>
          <w:bCs/>
          <w:sz w:val="22"/>
          <w:szCs w:val="22"/>
        </w:rPr>
        <w:t xml:space="preserve">Table 10. </w:t>
      </w:r>
      <w:bookmarkStart w:id="8" w:name="_Hlk197598556"/>
      <w:r>
        <w:rPr>
          <w:rFonts w:ascii="Arial" w:hAnsi="Arial" w:cs="Arial"/>
          <w:b/>
          <w:bCs/>
          <w:sz w:val="22"/>
          <w:szCs w:val="22"/>
        </w:rPr>
        <w:t>Level of student’s satisfaction with academic services in terms of Registrar Office Services</w:t>
      </w:r>
      <w:bookmarkEnd w:id="8"/>
    </w:p>
    <w:p w14:paraId="27655D2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0"/>
        <w:gridCol w:w="833"/>
        <w:gridCol w:w="1222"/>
        <w:gridCol w:w="1696"/>
      </w:tblGrid>
      <w:tr w:rsidR="00C23BD4" w14:paraId="6C909A3D"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76B365E0"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B5831D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617DF647"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385DD97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036C4B47" w14:textId="77777777" w:rsidR="00C23BD4" w:rsidRDefault="0007363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56D50A25"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279FFE3"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1D5A665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registrar office staff</w:t>
            </w:r>
          </w:p>
          <w:p w14:paraId="30148D92"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1F87D77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4.32</w:t>
            </w:r>
          </w:p>
        </w:tc>
        <w:tc>
          <w:tcPr>
            <w:tcW w:w="1239" w:type="dxa"/>
            <w:tcBorders>
              <w:top w:val="single" w:sz="12" w:space="0" w:color="auto"/>
            </w:tcBorders>
          </w:tcPr>
          <w:p w14:paraId="3962616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w:t>
            </w:r>
          </w:p>
        </w:tc>
        <w:tc>
          <w:tcPr>
            <w:tcW w:w="1726" w:type="dxa"/>
            <w:tcBorders>
              <w:top w:val="single" w:sz="12" w:space="0" w:color="auto"/>
            </w:tcBorders>
          </w:tcPr>
          <w:p w14:paraId="0E4060F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254293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5F3178A" w14:textId="77777777" w:rsidR="00C23BD4" w:rsidRDefault="00073637">
            <w:pPr>
              <w:jc w:val="center"/>
              <w:rPr>
                <w:rFonts w:ascii="Arial" w:hAnsi="Arial" w:cs="Arial"/>
              </w:rPr>
            </w:pPr>
            <w:r>
              <w:rPr>
                <w:rFonts w:ascii="Arial" w:hAnsi="Arial" w:cs="Arial"/>
                <w:b w:val="0"/>
                <w:bCs w:val="0"/>
              </w:rPr>
              <w:t>2</w:t>
            </w:r>
          </w:p>
        </w:tc>
        <w:tc>
          <w:tcPr>
            <w:tcW w:w="4244" w:type="dxa"/>
          </w:tcPr>
          <w:p w14:paraId="19DAEAC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registrar’s office staff</w:t>
            </w:r>
          </w:p>
        </w:tc>
        <w:tc>
          <w:tcPr>
            <w:tcW w:w="850" w:type="dxa"/>
          </w:tcPr>
          <w:p w14:paraId="7E6D2E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4.36</w:t>
            </w:r>
          </w:p>
        </w:tc>
        <w:tc>
          <w:tcPr>
            <w:tcW w:w="1239" w:type="dxa"/>
          </w:tcPr>
          <w:p w14:paraId="3DA49C0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0.74</w:t>
            </w:r>
          </w:p>
        </w:tc>
        <w:tc>
          <w:tcPr>
            <w:tcW w:w="1726" w:type="dxa"/>
          </w:tcPr>
          <w:p w14:paraId="6F01C7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26487B2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1BE89AF" w14:textId="77777777" w:rsidR="00C23BD4" w:rsidRDefault="00073637">
            <w:pPr>
              <w:jc w:val="center"/>
              <w:rPr>
                <w:rFonts w:ascii="Arial" w:hAnsi="Arial" w:cs="Arial"/>
              </w:rPr>
            </w:pPr>
            <w:r>
              <w:rPr>
                <w:rFonts w:ascii="Arial" w:hAnsi="Arial" w:cs="Arial"/>
                <w:b w:val="0"/>
                <w:bCs w:val="0"/>
              </w:rPr>
              <w:t>3</w:t>
            </w:r>
          </w:p>
        </w:tc>
        <w:tc>
          <w:tcPr>
            <w:tcW w:w="4244" w:type="dxa"/>
          </w:tcPr>
          <w:p w14:paraId="65B4E2D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the admission policy</w:t>
            </w:r>
          </w:p>
          <w:p w14:paraId="676EBA34"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DEA38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tc>
        <w:tc>
          <w:tcPr>
            <w:tcW w:w="1239" w:type="dxa"/>
          </w:tcPr>
          <w:p w14:paraId="3D95D1D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Pr>
          <w:p w14:paraId="37A0938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718F41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5A8A011" w14:textId="77777777" w:rsidR="00C23BD4" w:rsidRDefault="00073637">
            <w:pPr>
              <w:jc w:val="center"/>
              <w:rPr>
                <w:rFonts w:ascii="Arial" w:hAnsi="Arial" w:cs="Arial"/>
              </w:rPr>
            </w:pPr>
            <w:r>
              <w:rPr>
                <w:rFonts w:ascii="Arial" w:hAnsi="Arial" w:cs="Arial"/>
                <w:b w:val="0"/>
                <w:bCs w:val="0"/>
              </w:rPr>
              <w:t>4</w:t>
            </w:r>
          </w:p>
        </w:tc>
        <w:tc>
          <w:tcPr>
            <w:tcW w:w="4244" w:type="dxa"/>
          </w:tcPr>
          <w:p w14:paraId="7111886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enrollment procedure</w:t>
            </w:r>
          </w:p>
          <w:p w14:paraId="48AB14FD"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6650F6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4B13BFE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4FB6138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5C7010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35A1251" w14:textId="77777777" w:rsidR="00C23BD4" w:rsidRDefault="00073637">
            <w:pPr>
              <w:jc w:val="center"/>
              <w:rPr>
                <w:rFonts w:ascii="Arial" w:hAnsi="Arial" w:cs="Arial"/>
              </w:rPr>
            </w:pPr>
            <w:r>
              <w:rPr>
                <w:rFonts w:ascii="Arial" w:hAnsi="Arial" w:cs="Arial"/>
                <w:b w:val="0"/>
                <w:bCs w:val="0"/>
              </w:rPr>
              <w:t>5</w:t>
            </w:r>
          </w:p>
        </w:tc>
        <w:tc>
          <w:tcPr>
            <w:tcW w:w="4244" w:type="dxa"/>
          </w:tcPr>
          <w:p w14:paraId="217D8B1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adding, changing, and dropping subjects</w:t>
            </w:r>
          </w:p>
        </w:tc>
        <w:tc>
          <w:tcPr>
            <w:tcW w:w="850" w:type="dxa"/>
          </w:tcPr>
          <w:p w14:paraId="684DA6C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4.23</w:t>
            </w:r>
          </w:p>
        </w:tc>
        <w:tc>
          <w:tcPr>
            <w:tcW w:w="1239" w:type="dxa"/>
          </w:tcPr>
          <w:p w14:paraId="06040DB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648DFA4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7C200D0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E7F7330" w14:textId="77777777" w:rsidR="00C23BD4" w:rsidRDefault="00073637">
            <w:pPr>
              <w:jc w:val="center"/>
              <w:rPr>
                <w:rFonts w:ascii="Arial" w:hAnsi="Arial" w:cs="Arial"/>
              </w:rPr>
            </w:pPr>
            <w:r>
              <w:rPr>
                <w:rFonts w:ascii="Arial" w:hAnsi="Arial" w:cs="Arial"/>
                <w:b w:val="0"/>
                <w:bCs w:val="0"/>
              </w:rPr>
              <w:t>6</w:t>
            </w:r>
          </w:p>
        </w:tc>
        <w:tc>
          <w:tcPr>
            <w:tcW w:w="4244" w:type="dxa"/>
          </w:tcPr>
          <w:p w14:paraId="6A72C5C3"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in the processing and completion of INC</w:t>
            </w:r>
          </w:p>
        </w:tc>
        <w:tc>
          <w:tcPr>
            <w:tcW w:w="850" w:type="dxa"/>
          </w:tcPr>
          <w:p w14:paraId="5019B51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4.26</w:t>
            </w:r>
          </w:p>
        </w:tc>
        <w:tc>
          <w:tcPr>
            <w:tcW w:w="1239" w:type="dxa"/>
          </w:tcPr>
          <w:p w14:paraId="0543FD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1C6F7D2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5EB069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A11F5B" w14:textId="77777777" w:rsidR="00C23BD4" w:rsidRDefault="00073637">
            <w:pPr>
              <w:jc w:val="center"/>
              <w:rPr>
                <w:rFonts w:ascii="Arial" w:hAnsi="Arial" w:cs="Arial"/>
              </w:rPr>
            </w:pPr>
            <w:r>
              <w:rPr>
                <w:rFonts w:ascii="Arial" w:hAnsi="Arial" w:cs="Arial"/>
                <w:b w:val="0"/>
                <w:bCs w:val="0"/>
              </w:rPr>
              <w:lastRenderedPageBreak/>
              <w:t>7</w:t>
            </w:r>
          </w:p>
        </w:tc>
        <w:tc>
          <w:tcPr>
            <w:tcW w:w="4244" w:type="dxa"/>
          </w:tcPr>
          <w:p w14:paraId="643CE77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Coordination of the Dean, department heads, and students during enrollment</w:t>
            </w:r>
          </w:p>
        </w:tc>
        <w:tc>
          <w:tcPr>
            <w:tcW w:w="850" w:type="dxa"/>
          </w:tcPr>
          <w:p w14:paraId="0F8868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4.24</w:t>
            </w:r>
          </w:p>
        </w:tc>
        <w:tc>
          <w:tcPr>
            <w:tcW w:w="1239" w:type="dxa"/>
          </w:tcPr>
          <w:p w14:paraId="7F0B4C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w:t>
            </w:r>
          </w:p>
        </w:tc>
        <w:tc>
          <w:tcPr>
            <w:tcW w:w="1726" w:type="dxa"/>
          </w:tcPr>
          <w:p w14:paraId="6F86800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F83B4F4"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683AD9" w14:textId="77777777" w:rsidR="00C23BD4" w:rsidRDefault="00073637">
            <w:pPr>
              <w:jc w:val="center"/>
              <w:rPr>
                <w:rFonts w:ascii="Arial" w:hAnsi="Arial" w:cs="Arial"/>
              </w:rPr>
            </w:pPr>
            <w:r>
              <w:rPr>
                <w:rFonts w:ascii="Arial" w:hAnsi="Arial" w:cs="Arial"/>
                <w:b w:val="0"/>
                <w:bCs w:val="0"/>
              </w:rPr>
              <w:t>8</w:t>
            </w:r>
          </w:p>
        </w:tc>
        <w:tc>
          <w:tcPr>
            <w:tcW w:w="4244" w:type="dxa"/>
          </w:tcPr>
          <w:p w14:paraId="5DA683E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the face-to-face office space to receive students</w:t>
            </w:r>
          </w:p>
        </w:tc>
        <w:tc>
          <w:tcPr>
            <w:tcW w:w="850" w:type="dxa"/>
          </w:tcPr>
          <w:p w14:paraId="582006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4.24</w:t>
            </w:r>
          </w:p>
        </w:tc>
        <w:tc>
          <w:tcPr>
            <w:tcW w:w="1239" w:type="dxa"/>
          </w:tcPr>
          <w:p w14:paraId="5FB64D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0.70</w:t>
            </w:r>
          </w:p>
        </w:tc>
        <w:tc>
          <w:tcPr>
            <w:tcW w:w="1726" w:type="dxa"/>
          </w:tcPr>
          <w:p w14:paraId="6FD453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15E202C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AC1BF32" w14:textId="77777777" w:rsidR="00C23BD4" w:rsidRDefault="00073637">
            <w:pPr>
              <w:jc w:val="center"/>
              <w:rPr>
                <w:rFonts w:ascii="Arial" w:hAnsi="Arial" w:cs="Arial"/>
              </w:rPr>
            </w:pPr>
            <w:r>
              <w:rPr>
                <w:rFonts w:ascii="Arial" w:hAnsi="Arial" w:cs="Arial"/>
                <w:b w:val="0"/>
                <w:bCs w:val="0"/>
              </w:rPr>
              <w:t>9</w:t>
            </w:r>
          </w:p>
        </w:tc>
        <w:tc>
          <w:tcPr>
            <w:tcW w:w="4244" w:type="dxa"/>
          </w:tcPr>
          <w:p w14:paraId="35D0B0B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registrar’s office</w:t>
            </w:r>
          </w:p>
          <w:p w14:paraId="221918C1"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7D772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4.30</w:t>
            </w:r>
          </w:p>
        </w:tc>
        <w:tc>
          <w:tcPr>
            <w:tcW w:w="1239" w:type="dxa"/>
          </w:tcPr>
          <w:p w14:paraId="5F55BED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Pr>
          <w:p w14:paraId="77871FF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3B621BAE"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1A904643" w14:textId="77777777" w:rsidR="00C23BD4" w:rsidRDefault="00073637">
            <w:pPr>
              <w:jc w:val="center"/>
              <w:rPr>
                <w:rFonts w:ascii="Arial" w:hAnsi="Arial" w:cs="Arial"/>
              </w:rPr>
            </w:pPr>
            <w:r>
              <w:rPr>
                <w:rFonts w:ascii="Arial" w:hAnsi="Arial" w:cs="Arial"/>
                <w:b w:val="0"/>
                <w:bCs w:val="0"/>
              </w:rPr>
              <w:t>10</w:t>
            </w:r>
          </w:p>
        </w:tc>
        <w:tc>
          <w:tcPr>
            <w:tcW w:w="4244" w:type="dxa"/>
            <w:tcBorders>
              <w:bottom w:val="single" w:sz="12" w:space="0" w:color="auto"/>
            </w:tcBorders>
          </w:tcPr>
          <w:p w14:paraId="2BE428E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regarding services offered</w:t>
            </w:r>
          </w:p>
        </w:tc>
        <w:tc>
          <w:tcPr>
            <w:tcW w:w="850" w:type="dxa"/>
            <w:tcBorders>
              <w:bottom w:val="single" w:sz="12" w:space="0" w:color="auto"/>
            </w:tcBorders>
          </w:tcPr>
          <w:p w14:paraId="6B01A7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tc>
        <w:tc>
          <w:tcPr>
            <w:tcW w:w="1239" w:type="dxa"/>
            <w:tcBorders>
              <w:bottom w:val="single" w:sz="12" w:space="0" w:color="auto"/>
            </w:tcBorders>
          </w:tcPr>
          <w:p w14:paraId="39891F3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5C8026E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5DF70B5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DCCA3EC"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6EB97A0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4.28</w:t>
            </w:r>
          </w:p>
        </w:tc>
        <w:tc>
          <w:tcPr>
            <w:tcW w:w="1239" w:type="dxa"/>
            <w:tcBorders>
              <w:top w:val="single" w:sz="12" w:space="0" w:color="auto"/>
              <w:bottom w:val="single" w:sz="12" w:space="0" w:color="auto"/>
            </w:tcBorders>
          </w:tcPr>
          <w:p w14:paraId="5C8B9B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0.58</w:t>
            </w:r>
          </w:p>
        </w:tc>
        <w:tc>
          <w:tcPr>
            <w:tcW w:w="1726" w:type="dxa"/>
            <w:tcBorders>
              <w:top w:val="single" w:sz="12" w:space="0" w:color="auto"/>
              <w:bottom w:val="single" w:sz="12" w:space="0" w:color="auto"/>
            </w:tcBorders>
          </w:tcPr>
          <w:p w14:paraId="72D12EA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bl>
    <w:p w14:paraId="697BDB34" w14:textId="77777777" w:rsidR="00C23BD4" w:rsidRDefault="00C23BD4">
      <w:pPr>
        <w:jc w:val="center"/>
        <w:rPr>
          <w:rFonts w:ascii="Arial" w:hAnsi="Arial" w:cs="Arial"/>
        </w:rPr>
      </w:pPr>
    </w:p>
    <w:p w14:paraId="4F9553B9" w14:textId="77777777" w:rsidR="00C23BD4" w:rsidRDefault="00073637">
      <w:pPr>
        <w:jc w:val="both"/>
        <w:rPr>
          <w:rFonts w:ascii="Arial" w:hAnsi="Arial" w:cs="Arial"/>
        </w:rPr>
      </w:pPr>
      <w:r>
        <w:rPr>
          <w:rFonts w:ascii="Arial" w:hAnsi="Arial" w:cs="Arial"/>
        </w:rPr>
        <w:t xml:space="preserve">The findings showed that students at Davao Oriental State University – </w:t>
      </w:r>
      <w:proofErr w:type="spellStart"/>
      <w:r>
        <w:rPr>
          <w:rFonts w:ascii="Arial" w:hAnsi="Arial" w:cs="Arial"/>
        </w:rPr>
        <w:t>Cateel</w:t>
      </w:r>
      <w:proofErr w:type="spellEnd"/>
      <w:r>
        <w:rPr>
          <w:rFonts w:ascii="Arial" w:hAnsi="Arial" w:cs="Arial"/>
        </w:rPr>
        <w:t xml:space="preserve"> Campus expressed a Very High level of satisfaction with the services provided by the registrar's office, as reflected by an overall mean of 4.28. This result supports the study of </w:t>
      </w:r>
      <w:proofErr w:type="spellStart"/>
      <w:r>
        <w:rPr>
          <w:rFonts w:ascii="Arial" w:hAnsi="Arial" w:cs="Arial"/>
        </w:rPr>
        <w:t>Asio</w:t>
      </w:r>
      <w:proofErr w:type="spellEnd"/>
      <w:r>
        <w:rPr>
          <w:rFonts w:ascii="Arial" w:hAnsi="Arial" w:cs="Arial"/>
        </w:rPr>
        <w:t xml:space="preserve"> and </w:t>
      </w:r>
      <w:proofErr w:type="spellStart"/>
      <w:r>
        <w:rPr>
          <w:rFonts w:ascii="Arial" w:hAnsi="Arial" w:cs="Arial"/>
        </w:rPr>
        <w:t>Lapuz</w:t>
      </w:r>
      <w:proofErr w:type="spellEnd"/>
      <w:r>
        <w:rPr>
          <w:rFonts w:ascii="Arial" w:hAnsi="Arial" w:cs="Arial"/>
        </w:rPr>
        <w:t xml:space="preserve"> (2021), which emphasized that the efficiency, professionalism, and responsiveness of registrar staff are key components in shaping students' positive academic experiences and institutional trust. The highest-rated indicator, “Accommodating service-oriented and approachable registrar’s office staff” 4.36, highlights the importance of staff demeanor in fostering a student-centered environment. This aligns with Luna and </w:t>
      </w:r>
      <w:proofErr w:type="spellStart"/>
      <w:r>
        <w:rPr>
          <w:rFonts w:ascii="Arial" w:hAnsi="Arial" w:cs="Arial"/>
        </w:rPr>
        <w:t>Alvez</w:t>
      </w:r>
      <w:proofErr w:type="spellEnd"/>
      <w:r>
        <w:rPr>
          <w:rFonts w:ascii="Arial" w:hAnsi="Arial" w:cs="Arial"/>
        </w:rPr>
        <w:t xml:space="preserve"> (2020), who found that when registrar personnel are courteous and welcoming, students feel more supported and satisfied with administrative processes.</w:t>
      </w:r>
    </w:p>
    <w:p w14:paraId="2EB9C762" w14:textId="77777777" w:rsidR="00C23BD4" w:rsidRDefault="00073637">
      <w:pPr>
        <w:jc w:val="both"/>
        <w:rPr>
          <w:rFonts w:ascii="Arial" w:hAnsi="Arial" w:cs="Arial"/>
        </w:rPr>
      </w:pPr>
      <w:r>
        <w:rPr>
          <w:rFonts w:ascii="Arial" w:hAnsi="Arial" w:cs="Arial"/>
        </w:rPr>
        <w:t xml:space="preserve">Moreover, the consistently high ratings across other indicators, such as “Efficiency in the admission policy” 4.34, “Accessibility of the registrar’s office” 4.30, and “Efficiency in processing of completion of INC” 4.26, affirmed the registrar's office's crucial role in facilitating smooth academic transactions. These results support the findings of Ortega and Orense (2018), who noted that streamlined and student-responsive academic services are vital in promoting institutional efficiency. Similarly, Delos Reyes and </w:t>
      </w:r>
      <w:proofErr w:type="spellStart"/>
      <w:r>
        <w:rPr>
          <w:rFonts w:ascii="Arial" w:hAnsi="Arial" w:cs="Arial"/>
        </w:rPr>
        <w:t>Malabanan</w:t>
      </w:r>
      <w:proofErr w:type="spellEnd"/>
      <w:r>
        <w:rPr>
          <w:rFonts w:ascii="Arial" w:hAnsi="Arial" w:cs="Arial"/>
        </w:rPr>
        <w:t xml:space="preserve"> (2019) emphasized that office accessibility, clear communication, and adequate facilities significantly contribute to student satisfaction. The data from this study support these claims, indicating that the registrar’s office at DOSC – </w:t>
      </w:r>
      <w:proofErr w:type="spellStart"/>
      <w:r>
        <w:rPr>
          <w:rFonts w:ascii="Arial" w:hAnsi="Arial" w:cs="Arial"/>
        </w:rPr>
        <w:t>Cateel</w:t>
      </w:r>
      <w:proofErr w:type="spellEnd"/>
      <w:r>
        <w:rPr>
          <w:rFonts w:ascii="Arial" w:hAnsi="Arial" w:cs="Arial"/>
        </w:rPr>
        <w:t xml:space="preserve"> Campus performs exceptionally well in delivering academic services, reinforcing the value of administrative excellence in higher education institutions.</w:t>
      </w:r>
    </w:p>
    <w:p w14:paraId="2822D903" w14:textId="77777777" w:rsidR="00C23BD4" w:rsidRDefault="00C23BD4">
      <w:pPr>
        <w:jc w:val="both"/>
        <w:rPr>
          <w:rFonts w:ascii="Arial" w:hAnsi="Arial" w:cs="Arial"/>
        </w:rPr>
      </w:pPr>
    </w:p>
    <w:p w14:paraId="5BEC1CD5" w14:textId="77777777" w:rsidR="00C23BD4" w:rsidRDefault="00073637">
      <w:pPr>
        <w:jc w:val="center"/>
        <w:rPr>
          <w:rFonts w:ascii="Arial" w:hAnsi="Arial" w:cs="Arial"/>
          <w:b/>
          <w:bCs/>
          <w:sz w:val="22"/>
          <w:szCs w:val="22"/>
        </w:rPr>
      </w:pPr>
      <w:r>
        <w:rPr>
          <w:rFonts w:ascii="Arial" w:hAnsi="Arial" w:cs="Arial"/>
          <w:b/>
          <w:bCs/>
          <w:sz w:val="22"/>
          <w:szCs w:val="22"/>
        </w:rPr>
        <w:t xml:space="preserve">Table 11. </w:t>
      </w:r>
      <w:bookmarkStart w:id="9" w:name="_Hlk197598575"/>
      <w:r>
        <w:rPr>
          <w:rFonts w:ascii="Arial" w:hAnsi="Arial" w:cs="Arial"/>
          <w:b/>
          <w:bCs/>
          <w:sz w:val="22"/>
          <w:szCs w:val="22"/>
        </w:rPr>
        <w:t>Level of student’s satisfaction with academic services in terms of Quality of Computer Laboratory Services</w:t>
      </w:r>
      <w:bookmarkEnd w:id="9"/>
    </w:p>
    <w:p w14:paraId="0C1B01E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41"/>
        <w:gridCol w:w="1682"/>
      </w:tblGrid>
      <w:tr w:rsidR="00C23BD4" w14:paraId="26115577"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325C62E"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5B30877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6FC98EE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58" w:type="dxa"/>
            <w:tcBorders>
              <w:top w:val="single" w:sz="12" w:space="0" w:color="auto"/>
              <w:bottom w:val="single" w:sz="12" w:space="0" w:color="auto"/>
            </w:tcBorders>
          </w:tcPr>
          <w:p w14:paraId="227C77B5"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07" w:type="dxa"/>
            <w:tcBorders>
              <w:top w:val="single" w:sz="12" w:space="0" w:color="auto"/>
              <w:bottom w:val="single" w:sz="12" w:space="0" w:color="auto"/>
            </w:tcBorders>
          </w:tcPr>
          <w:p w14:paraId="1C09265C" w14:textId="77777777" w:rsidR="00C23BD4" w:rsidRDefault="0007363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2ABDEACA"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20878FF"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1A167C0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computers in the laboratory are available</w:t>
            </w:r>
          </w:p>
        </w:tc>
        <w:tc>
          <w:tcPr>
            <w:tcW w:w="850" w:type="dxa"/>
            <w:tcBorders>
              <w:top w:val="single" w:sz="12" w:space="0" w:color="auto"/>
            </w:tcBorders>
          </w:tcPr>
          <w:p w14:paraId="6BA18EA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3.66</w:t>
            </w:r>
          </w:p>
        </w:tc>
        <w:tc>
          <w:tcPr>
            <w:tcW w:w="1258" w:type="dxa"/>
            <w:tcBorders>
              <w:top w:val="single" w:sz="12" w:space="0" w:color="auto"/>
            </w:tcBorders>
          </w:tcPr>
          <w:p w14:paraId="2FEBB48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1.05</w:t>
            </w:r>
          </w:p>
        </w:tc>
        <w:tc>
          <w:tcPr>
            <w:tcW w:w="1707" w:type="dxa"/>
            <w:tcBorders>
              <w:top w:val="single" w:sz="12" w:space="0" w:color="auto"/>
            </w:tcBorders>
          </w:tcPr>
          <w:p w14:paraId="0078861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C9B422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2E52292" w14:textId="77777777" w:rsidR="00C23BD4" w:rsidRDefault="00073637">
            <w:pPr>
              <w:jc w:val="center"/>
              <w:rPr>
                <w:rFonts w:ascii="Arial" w:hAnsi="Arial" w:cs="Arial"/>
              </w:rPr>
            </w:pPr>
            <w:r>
              <w:rPr>
                <w:rFonts w:ascii="Arial" w:hAnsi="Arial" w:cs="Arial"/>
                <w:b w:val="0"/>
                <w:bCs w:val="0"/>
              </w:rPr>
              <w:t>2</w:t>
            </w:r>
          </w:p>
        </w:tc>
        <w:tc>
          <w:tcPr>
            <w:tcW w:w="4244" w:type="dxa"/>
          </w:tcPr>
          <w:p w14:paraId="3B6C228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computer laboratories have convenient opening and closing hours</w:t>
            </w:r>
          </w:p>
        </w:tc>
        <w:tc>
          <w:tcPr>
            <w:tcW w:w="850" w:type="dxa"/>
          </w:tcPr>
          <w:p w14:paraId="3E7665C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3.64</w:t>
            </w:r>
          </w:p>
        </w:tc>
        <w:tc>
          <w:tcPr>
            <w:tcW w:w="1258" w:type="dxa"/>
          </w:tcPr>
          <w:p w14:paraId="5F2B1BA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1707" w:type="dxa"/>
          </w:tcPr>
          <w:p w14:paraId="13D0640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08E7BA8"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B44CC0C" w14:textId="77777777" w:rsidR="00C23BD4" w:rsidRDefault="00073637">
            <w:pPr>
              <w:jc w:val="center"/>
              <w:rPr>
                <w:rFonts w:ascii="Arial" w:hAnsi="Arial" w:cs="Arial"/>
              </w:rPr>
            </w:pPr>
            <w:r>
              <w:rPr>
                <w:rFonts w:ascii="Arial" w:hAnsi="Arial" w:cs="Arial"/>
                <w:b w:val="0"/>
                <w:bCs w:val="0"/>
              </w:rPr>
              <w:t>3</w:t>
            </w:r>
          </w:p>
        </w:tc>
        <w:tc>
          <w:tcPr>
            <w:tcW w:w="4244" w:type="dxa"/>
            <w:tcBorders>
              <w:bottom w:val="single" w:sz="12" w:space="0" w:color="auto"/>
            </w:tcBorders>
          </w:tcPr>
          <w:p w14:paraId="0954BCF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laboratory environment is comfortable and conducive to learning</w:t>
            </w:r>
          </w:p>
        </w:tc>
        <w:tc>
          <w:tcPr>
            <w:tcW w:w="850" w:type="dxa"/>
            <w:tcBorders>
              <w:bottom w:val="single" w:sz="12" w:space="0" w:color="auto"/>
            </w:tcBorders>
          </w:tcPr>
          <w:p w14:paraId="12E1B94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3.70</w:t>
            </w:r>
          </w:p>
        </w:tc>
        <w:tc>
          <w:tcPr>
            <w:tcW w:w="1258" w:type="dxa"/>
            <w:tcBorders>
              <w:bottom w:val="single" w:sz="12" w:space="0" w:color="auto"/>
            </w:tcBorders>
          </w:tcPr>
          <w:p w14:paraId="788CB99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1.05</w:t>
            </w:r>
          </w:p>
        </w:tc>
        <w:tc>
          <w:tcPr>
            <w:tcW w:w="1707" w:type="dxa"/>
          </w:tcPr>
          <w:p w14:paraId="49B7F06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BF30C1D"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652AA682" w14:textId="77777777" w:rsidR="00C23BD4" w:rsidRDefault="00073637">
            <w:pPr>
              <w:jc w:val="center"/>
              <w:rPr>
                <w:rFonts w:ascii="Arial" w:hAnsi="Arial" w:cs="Arial"/>
                <w:b w:val="0"/>
                <w:bCs w:val="0"/>
              </w:rPr>
            </w:pPr>
            <w:r>
              <w:rPr>
                <w:rFonts w:ascii="Arial" w:hAnsi="Arial" w:cs="Arial"/>
              </w:rPr>
              <w:t>Average</w:t>
            </w:r>
          </w:p>
        </w:tc>
        <w:tc>
          <w:tcPr>
            <w:tcW w:w="850" w:type="dxa"/>
            <w:tcBorders>
              <w:top w:val="single" w:sz="12" w:space="0" w:color="auto"/>
              <w:bottom w:val="single" w:sz="12" w:space="0" w:color="auto"/>
            </w:tcBorders>
          </w:tcPr>
          <w:p w14:paraId="3042B83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1258" w:type="dxa"/>
            <w:tcBorders>
              <w:top w:val="single" w:sz="12" w:space="0" w:color="auto"/>
              <w:bottom w:val="single" w:sz="12" w:space="0" w:color="auto"/>
            </w:tcBorders>
          </w:tcPr>
          <w:p w14:paraId="0AA1306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0.95</w:t>
            </w:r>
          </w:p>
        </w:tc>
        <w:tc>
          <w:tcPr>
            <w:tcW w:w="1707" w:type="dxa"/>
            <w:tcBorders>
              <w:top w:val="single" w:sz="12" w:space="0" w:color="auto"/>
              <w:bottom w:val="single" w:sz="12" w:space="0" w:color="auto"/>
            </w:tcBorders>
          </w:tcPr>
          <w:p w14:paraId="64C9C76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62484A3" w14:textId="77777777" w:rsidR="00C23BD4" w:rsidRDefault="00C23BD4">
      <w:pPr>
        <w:jc w:val="center"/>
        <w:rPr>
          <w:rFonts w:ascii="Arial" w:hAnsi="Arial" w:cs="Arial"/>
          <w:sz w:val="22"/>
          <w:szCs w:val="22"/>
        </w:rPr>
      </w:pPr>
    </w:p>
    <w:p w14:paraId="62011B5C" w14:textId="77777777" w:rsidR="00C23BD4" w:rsidRDefault="00073637">
      <w:pPr>
        <w:jc w:val="both"/>
        <w:rPr>
          <w:rFonts w:ascii="Arial" w:hAnsi="Arial" w:cs="Arial"/>
        </w:rPr>
      </w:pPr>
      <w:r>
        <w:rPr>
          <w:rFonts w:ascii="Arial" w:hAnsi="Arial" w:cs="Arial"/>
        </w:rPr>
        <w:t>The evaluation of the computer laboratory facilities reflected a generally high level of student satisfaction, with an average mean score of 3.67. The highest-rated item was “The laboratory environment is comfortable and conducive for learning” with a mean of 3.70, suggesting that students generally find the facilities supportive of a positive learning experience. This supports the findings of Villanueva and Manalo (2018), who emphasized that a well-maintained, quiet, and organized laboratory environment enhances student focus and productivity. Similarly, De Guzman et al. (2019) found that physical comfort and ambient conditions in computer labs, such as lighting, ventilation, and cleanliness, play a crucial role in promoting effective ICT-</w:t>
      </w:r>
      <w:r>
        <w:rPr>
          <w:rFonts w:ascii="Arial" w:hAnsi="Arial" w:cs="Arial"/>
        </w:rPr>
        <w:lastRenderedPageBreak/>
        <w:t>based learning, particularly in state universities where students heavily depend on campus-provided resources.</w:t>
      </w:r>
    </w:p>
    <w:p w14:paraId="5F837076" w14:textId="77777777" w:rsidR="00C23BD4" w:rsidRDefault="00073637">
      <w:pPr>
        <w:jc w:val="both"/>
        <w:rPr>
          <w:rFonts w:ascii="Arial" w:hAnsi="Arial" w:cs="Arial"/>
        </w:rPr>
      </w:pPr>
      <w:r>
        <w:rPr>
          <w:rFonts w:ascii="Arial" w:hAnsi="Arial" w:cs="Arial"/>
        </w:rPr>
        <w:t xml:space="preserve">Meanwhile, the lowest-rated indicator, “The computer laboratories have convenient opening and closing hours,” received a mean score of 3.64. While still classified as High, this relatively lower score points to potential challenges in accessibility or scheduling. This finding supports the study of Pascual and </w:t>
      </w:r>
      <w:proofErr w:type="spellStart"/>
      <w:r>
        <w:rPr>
          <w:rFonts w:ascii="Arial" w:hAnsi="Arial" w:cs="Arial"/>
        </w:rPr>
        <w:t>Letrondo</w:t>
      </w:r>
      <w:proofErr w:type="spellEnd"/>
      <w:r>
        <w:rPr>
          <w:rFonts w:ascii="Arial" w:hAnsi="Arial" w:cs="Arial"/>
        </w:rPr>
        <w:t xml:space="preserve"> (2020), which highlighted that limited laboratory access during peak student hours or overlapping schedules can hinder students’ ability to complete coursework and develop digital competencies. Furthermore, Camacho and Roldan (2017) emphasized that flexible and student-centered scheduling of computer labs significantly contributes to students’ satisfaction and academic performance. The results of the current study affirmed that while students are generally satisfied with computer laboratory services, adjustments in operational hours could further enhance service quality and user satisfaction.</w:t>
      </w:r>
    </w:p>
    <w:p w14:paraId="72CCE87A" w14:textId="77777777" w:rsidR="00C607F8" w:rsidRDefault="00C607F8">
      <w:pPr>
        <w:jc w:val="both"/>
        <w:rPr>
          <w:rFonts w:ascii="Arial" w:hAnsi="Arial" w:cs="Arial"/>
        </w:rPr>
      </w:pPr>
    </w:p>
    <w:p w14:paraId="19335AA4" w14:textId="3E954F7D" w:rsidR="00C607F8" w:rsidRDefault="00A12243" w:rsidP="00A12243">
      <w:pPr>
        <w:jc w:val="center"/>
        <w:rPr>
          <w:rFonts w:ascii="Arial" w:hAnsi="Arial" w:cs="Arial"/>
          <w:b/>
          <w:bCs/>
          <w:sz w:val="22"/>
          <w:szCs w:val="22"/>
        </w:rPr>
      </w:pPr>
      <w:r>
        <w:rPr>
          <w:rFonts w:ascii="Arial" w:hAnsi="Arial" w:cs="Arial"/>
          <w:b/>
          <w:bCs/>
          <w:sz w:val="22"/>
          <w:szCs w:val="22"/>
        </w:rPr>
        <w:t xml:space="preserve">Table 12. </w:t>
      </w:r>
      <w:r w:rsidR="00874220">
        <w:rPr>
          <w:rFonts w:ascii="Arial" w:hAnsi="Arial" w:cs="Arial"/>
          <w:b/>
          <w:bCs/>
          <w:sz w:val="22"/>
          <w:szCs w:val="22"/>
        </w:rPr>
        <w:t>Level of Satisfaction in Academic Services</w:t>
      </w:r>
    </w:p>
    <w:p w14:paraId="720855C7" w14:textId="77777777" w:rsidR="00874220" w:rsidRPr="00A12243" w:rsidRDefault="00874220" w:rsidP="00A12243">
      <w:pPr>
        <w:jc w:val="center"/>
        <w:rPr>
          <w:rFonts w:ascii="Arial" w:hAnsi="Arial" w:cs="Arial"/>
          <w:b/>
          <w:bCs/>
          <w:sz w:val="22"/>
          <w:szCs w:val="22"/>
        </w:rPr>
      </w:pPr>
    </w:p>
    <w:tbl>
      <w:tblPr>
        <w:tblStyle w:val="PlainTable41"/>
        <w:tblW w:w="0" w:type="auto"/>
        <w:jc w:val="center"/>
        <w:tblLook w:val="04A0" w:firstRow="1" w:lastRow="0" w:firstColumn="1" w:lastColumn="0" w:noHBand="0" w:noVBand="1"/>
      </w:tblPr>
      <w:tblGrid>
        <w:gridCol w:w="566"/>
        <w:gridCol w:w="3883"/>
        <w:gridCol w:w="882"/>
        <w:gridCol w:w="1196"/>
        <w:gridCol w:w="1681"/>
      </w:tblGrid>
      <w:tr w:rsidR="004716A7" w14:paraId="5216C2A2" w14:textId="77777777" w:rsidTr="004716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2D9EA7E4" w14:textId="77777777" w:rsidR="004716A7" w:rsidRDefault="004716A7" w:rsidP="00DE7E3D">
            <w:pPr>
              <w:jc w:val="center"/>
              <w:rPr>
                <w:rFonts w:ascii="Arial" w:hAnsi="Arial" w:cs="Arial"/>
              </w:rPr>
            </w:pPr>
            <w:r w:rsidRPr="00FC5410">
              <w:rPr>
                <w:rFonts w:ascii="Arial" w:hAnsi="Arial" w:cs="Arial"/>
              </w:rPr>
              <w:t>No.</w:t>
            </w:r>
          </w:p>
        </w:tc>
        <w:tc>
          <w:tcPr>
            <w:tcW w:w="4244" w:type="dxa"/>
            <w:tcBorders>
              <w:top w:val="single" w:sz="12" w:space="0" w:color="auto"/>
              <w:bottom w:val="single" w:sz="12" w:space="0" w:color="auto"/>
            </w:tcBorders>
          </w:tcPr>
          <w:p w14:paraId="3A9BA3C1" w14:textId="77777777" w:rsidR="004716A7" w:rsidRDefault="004716A7"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5410">
              <w:rPr>
                <w:rFonts w:ascii="Arial" w:hAnsi="Arial" w:cs="Arial"/>
              </w:rPr>
              <w:t>Statement</w:t>
            </w:r>
          </w:p>
        </w:tc>
        <w:tc>
          <w:tcPr>
            <w:tcW w:w="903" w:type="dxa"/>
            <w:tcBorders>
              <w:top w:val="single" w:sz="12" w:space="0" w:color="auto"/>
              <w:bottom w:val="single" w:sz="12" w:space="0" w:color="auto"/>
            </w:tcBorders>
          </w:tcPr>
          <w:p w14:paraId="7FE5F95A" w14:textId="77777777" w:rsidR="004716A7" w:rsidRDefault="004716A7"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5410">
              <w:rPr>
                <w:rFonts w:ascii="Arial" w:hAnsi="Arial" w:cs="Arial"/>
              </w:rPr>
              <w:t>Mean</w:t>
            </w:r>
          </w:p>
        </w:tc>
        <w:tc>
          <w:tcPr>
            <w:tcW w:w="1207" w:type="dxa"/>
            <w:tcBorders>
              <w:top w:val="single" w:sz="12" w:space="0" w:color="auto"/>
              <w:bottom w:val="single" w:sz="12" w:space="0" w:color="auto"/>
            </w:tcBorders>
          </w:tcPr>
          <w:p w14:paraId="349BF485" w14:textId="77777777" w:rsidR="004716A7" w:rsidRDefault="004716A7"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5410">
              <w:rPr>
                <w:rFonts w:ascii="Arial" w:hAnsi="Arial" w:cs="Arial"/>
              </w:rPr>
              <w:t>Std. Deviation</w:t>
            </w:r>
          </w:p>
        </w:tc>
        <w:tc>
          <w:tcPr>
            <w:tcW w:w="1705" w:type="dxa"/>
            <w:tcBorders>
              <w:top w:val="single" w:sz="12" w:space="0" w:color="auto"/>
              <w:bottom w:val="single" w:sz="12" w:space="0" w:color="auto"/>
            </w:tcBorders>
          </w:tcPr>
          <w:p w14:paraId="5E0071B3" w14:textId="77777777" w:rsidR="004716A7" w:rsidRDefault="004716A7"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5410">
              <w:rPr>
                <w:rFonts w:ascii="Arial" w:hAnsi="Arial" w:cs="Arial"/>
              </w:rPr>
              <w:t>Interpretation</w:t>
            </w:r>
          </w:p>
        </w:tc>
      </w:tr>
      <w:tr w:rsidR="004716A7" w14:paraId="4E27CAE3"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4E359C30" w14:textId="77777777" w:rsidR="004716A7" w:rsidRPr="004A359A" w:rsidRDefault="004716A7" w:rsidP="00DE7E3D">
            <w:pPr>
              <w:jc w:val="center"/>
              <w:rPr>
                <w:rFonts w:ascii="Arial" w:hAnsi="Arial" w:cs="Arial"/>
                <w:b w:val="0"/>
                <w:bCs w:val="0"/>
              </w:rPr>
            </w:pPr>
            <w:r w:rsidRPr="004A359A">
              <w:rPr>
                <w:rFonts w:ascii="Arial" w:hAnsi="Arial" w:cs="Arial"/>
                <w:b w:val="0"/>
                <w:bCs w:val="0"/>
              </w:rPr>
              <w:t>A</w:t>
            </w:r>
          </w:p>
        </w:tc>
        <w:tc>
          <w:tcPr>
            <w:tcW w:w="4244" w:type="dxa"/>
            <w:tcBorders>
              <w:top w:val="single" w:sz="12" w:space="0" w:color="auto"/>
            </w:tcBorders>
          </w:tcPr>
          <w:p w14:paraId="79B5C762"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Admission and Enrollment Services</w:t>
            </w:r>
          </w:p>
        </w:tc>
        <w:tc>
          <w:tcPr>
            <w:tcW w:w="903" w:type="dxa"/>
            <w:tcBorders>
              <w:top w:val="single" w:sz="12" w:space="0" w:color="auto"/>
            </w:tcBorders>
          </w:tcPr>
          <w:p w14:paraId="4DAEF4A9"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4.06</w:t>
            </w:r>
          </w:p>
        </w:tc>
        <w:tc>
          <w:tcPr>
            <w:tcW w:w="1207" w:type="dxa"/>
            <w:tcBorders>
              <w:top w:val="single" w:sz="12" w:space="0" w:color="auto"/>
            </w:tcBorders>
          </w:tcPr>
          <w:p w14:paraId="4BECCD30"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0.60</w:t>
            </w:r>
          </w:p>
        </w:tc>
        <w:tc>
          <w:tcPr>
            <w:tcW w:w="1705" w:type="dxa"/>
            <w:tcBorders>
              <w:top w:val="single" w:sz="12" w:space="0" w:color="auto"/>
            </w:tcBorders>
          </w:tcPr>
          <w:p w14:paraId="56888374"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5CC88213"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679F46D2" w14:textId="77777777" w:rsidR="004716A7" w:rsidRPr="004A359A" w:rsidRDefault="004716A7" w:rsidP="00DE7E3D">
            <w:pPr>
              <w:jc w:val="center"/>
              <w:rPr>
                <w:rFonts w:ascii="Arial" w:hAnsi="Arial" w:cs="Arial"/>
                <w:b w:val="0"/>
                <w:bCs w:val="0"/>
              </w:rPr>
            </w:pPr>
            <w:r w:rsidRPr="004A359A">
              <w:rPr>
                <w:rFonts w:ascii="Arial" w:hAnsi="Arial" w:cs="Arial"/>
                <w:b w:val="0"/>
                <w:bCs w:val="0"/>
              </w:rPr>
              <w:t>B</w:t>
            </w:r>
          </w:p>
        </w:tc>
        <w:tc>
          <w:tcPr>
            <w:tcW w:w="4244" w:type="dxa"/>
          </w:tcPr>
          <w:p w14:paraId="646CD6C1"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Quality of instructional practices</w:t>
            </w:r>
          </w:p>
        </w:tc>
        <w:tc>
          <w:tcPr>
            <w:tcW w:w="903" w:type="dxa"/>
          </w:tcPr>
          <w:p w14:paraId="3E779C9B"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4.16</w:t>
            </w:r>
          </w:p>
        </w:tc>
        <w:tc>
          <w:tcPr>
            <w:tcW w:w="1207" w:type="dxa"/>
          </w:tcPr>
          <w:p w14:paraId="0DBFAEC5"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0.62</w:t>
            </w:r>
          </w:p>
        </w:tc>
        <w:tc>
          <w:tcPr>
            <w:tcW w:w="1705" w:type="dxa"/>
          </w:tcPr>
          <w:p w14:paraId="0DA0617C"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30C86B3A"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1332FD4E" w14:textId="77777777" w:rsidR="004716A7" w:rsidRPr="004A359A" w:rsidRDefault="004716A7" w:rsidP="00DE7E3D">
            <w:pPr>
              <w:jc w:val="center"/>
              <w:rPr>
                <w:rFonts w:ascii="Arial" w:hAnsi="Arial" w:cs="Arial"/>
                <w:b w:val="0"/>
                <w:bCs w:val="0"/>
              </w:rPr>
            </w:pPr>
            <w:r w:rsidRPr="004A359A">
              <w:rPr>
                <w:rFonts w:ascii="Arial" w:hAnsi="Arial" w:cs="Arial"/>
                <w:b w:val="0"/>
                <w:bCs w:val="0"/>
              </w:rPr>
              <w:t>C</w:t>
            </w:r>
          </w:p>
        </w:tc>
        <w:tc>
          <w:tcPr>
            <w:tcW w:w="4244" w:type="dxa"/>
          </w:tcPr>
          <w:p w14:paraId="262C4A1E"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Quality of teaching facilities</w:t>
            </w:r>
          </w:p>
        </w:tc>
        <w:tc>
          <w:tcPr>
            <w:tcW w:w="903" w:type="dxa"/>
          </w:tcPr>
          <w:p w14:paraId="0C241DE5"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3.68</w:t>
            </w:r>
          </w:p>
        </w:tc>
        <w:tc>
          <w:tcPr>
            <w:tcW w:w="1207" w:type="dxa"/>
          </w:tcPr>
          <w:p w14:paraId="609B881F"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0.75</w:t>
            </w:r>
          </w:p>
        </w:tc>
        <w:tc>
          <w:tcPr>
            <w:tcW w:w="1705" w:type="dxa"/>
          </w:tcPr>
          <w:p w14:paraId="49C1F45D"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59FFB7ED"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13C668F0" w14:textId="77777777" w:rsidR="004716A7" w:rsidRPr="004A359A" w:rsidRDefault="004716A7" w:rsidP="00DE7E3D">
            <w:pPr>
              <w:jc w:val="center"/>
              <w:rPr>
                <w:rFonts w:ascii="Arial" w:hAnsi="Arial" w:cs="Arial"/>
                <w:b w:val="0"/>
                <w:bCs w:val="0"/>
              </w:rPr>
            </w:pPr>
            <w:r w:rsidRPr="004A359A">
              <w:rPr>
                <w:rFonts w:ascii="Arial" w:hAnsi="Arial" w:cs="Arial"/>
                <w:b w:val="0"/>
                <w:bCs w:val="0"/>
              </w:rPr>
              <w:t>D</w:t>
            </w:r>
          </w:p>
        </w:tc>
        <w:tc>
          <w:tcPr>
            <w:tcW w:w="4244" w:type="dxa"/>
          </w:tcPr>
          <w:p w14:paraId="3DB48300"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Lecture Quality</w:t>
            </w:r>
          </w:p>
        </w:tc>
        <w:tc>
          <w:tcPr>
            <w:tcW w:w="903" w:type="dxa"/>
          </w:tcPr>
          <w:p w14:paraId="5112593C"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4.13</w:t>
            </w:r>
          </w:p>
        </w:tc>
        <w:tc>
          <w:tcPr>
            <w:tcW w:w="1207" w:type="dxa"/>
          </w:tcPr>
          <w:p w14:paraId="47F64284"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0.65</w:t>
            </w:r>
          </w:p>
        </w:tc>
        <w:tc>
          <w:tcPr>
            <w:tcW w:w="1705" w:type="dxa"/>
          </w:tcPr>
          <w:p w14:paraId="4D62951F"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71277BE6"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423FEDFE" w14:textId="77777777" w:rsidR="004716A7" w:rsidRPr="004A359A" w:rsidRDefault="004716A7" w:rsidP="00DE7E3D">
            <w:pPr>
              <w:jc w:val="center"/>
              <w:rPr>
                <w:rFonts w:ascii="Arial" w:hAnsi="Arial" w:cs="Arial"/>
                <w:b w:val="0"/>
                <w:bCs w:val="0"/>
              </w:rPr>
            </w:pPr>
            <w:r w:rsidRPr="004A359A">
              <w:rPr>
                <w:rFonts w:ascii="Arial" w:hAnsi="Arial" w:cs="Arial"/>
                <w:b w:val="0"/>
                <w:bCs w:val="0"/>
              </w:rPr>
              <w:t>E</w:t>
            </w:r>
          </w:p>
        </w:tc>
        <w:tc>
          <w:tcPr>
            <w:tcW w:w="4244" w:type="dxa"/>
          </w:tcPr>
          <w:p w14:paraId="2999FC85"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Students Welfare Services</w:t>
            </w:r>
          </w:p>
        </w:tc>
        <w:tc>
          <w:tcPr>
            <w:tcW w:w="903" w:type="dxa"/>
          </w:tcPr>
          <w:p w14:paraId="13794C97"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3.90</w:t>
            </w:r>
          </w:p>
        </w:tc>
        <w:tc>
          <w:tcPr>
            <w:tcW w:w="1207" w:type="dxa"/>
          </w:tcPr>
          <w:p w14:paraId="2F7C0144"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0.65</w:t>
            </w:r>
          </w:p>
        </w:tc>
        <w:tc>
          <w:tcPr>
            <w:tcW w:w="1705" w:type="dxa"/>
          </w:tcPr>
          <w:p w14:paraId="43496153"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38548031"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12C92317" w14:textId="77777777" w:rsidR="004716A7" w:rsidRPr="004A359A" w:rsidRDefault="004716A7" w:rsidP="00DE7E3D">
            <w:pPr>
              <w:jc w:val="center"/>
              <w:rPr>
                <w:rFonts w:ascii="Arial" w:hAnsi="Arial" w:cs="Arial"/>
                <w:b w:val="0"/>
                <w:bCs w:val="0"/>
              </w:rPr>
            </w:pPr>
            <w:r w:rsidRPr="004A359A">
              <w:rPr>
                <w:rFonts w:ascii="Arial" w:hAnsi="Arial" w:cs="Arial"/>
                <w:b w:val="0"/>
                <w:bCs w:val="0"/>
              </w:rPr>
              <w:t>F</w:t>
            </w:r>
          </w:p>
        </w:tc>
        <w:tc>
          <w:tcPr>
            <w:tcW w:w="4244" w:type="dxa"/>
          </w:tcPr>
          <w:p w14:paraId="4953D87C"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Office of Student Affairs Services</w:t>
            </w:r>
          </w:p>
        </w:tc>
        <w:tc>
          <w:tcPr>
            <w:tcW w:w="903" w:type="dxa"/>
          </w:tcPr>
          <w:p w14:paraId="30A4F08E"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3.99</w:t>
            </w:r>
          </w:p>
        </w:tc>
        <w:tc>
          <w:tcPr>
            <w:tcW w:w="1207" w:type="dxa"/>
          </w:tcPr>
          <w:p w14:paraId="42AD3374"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0.69</w:t>
            </w:r>
          </w:p>
        </w:tc>
        <w:tc>
          <w:tcPr>
            <w:tcW w:w="1705" w:type="dxa"/>
          </w:tcPr>
          <w:p w14:paraId="099BC801"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0A7CE2D9"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1CC6A9A0" w14:textId="77777777" w:rsidR="004716A7" w:rsidRPr="004A359A" w:rsidRDefault="004716A7" w:rsidP="00DE7E3D">
            <w:pPr>
              <w:jc w:val="center"/>
              <w:rPr>
                <w:rFonts w:ascii="Arial" w:hAnsi="Arial" w:cs="Arial"/>
                <w:b w:val="0"/>
                <w:bCs w:val="0"/>
              </w:rPr>
            </w:pPr>
            <w:r w:rsidRPr="004A359A">
              <w:rPr>
                <w:rFonts w:ascii="Arial" w:hAnsi="Arial" w:cs="Arial"/>
                <w:b w:val="0"/>
                <w:bCs w:val="0"/>
              </w:rPr>
              <w:t>G</w:t>
            </w:r>
          </w:p>
        </w:tc>
        <w:tc>
          <w:tcPr>
            <w:tcW w:w="4244" w:type="dxa"/>
          </w:tcPr>
          <w:p w14:paraId="0C662017"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val="en-US"/>
              </w:rPr>
              <w:t>Clinic</w:t>
            </w:r>
            <w:r>
              <w:rPr>
                <w:rFonts w:ascii="Arial" w:hAnsi="Arial" w:cs="Arial"/>
              </w:rPr>
              <w:t xml:space="preserve"> services</w:t>
            </w:r>
          </w:p>
        </w:tc>
        <w:tc>
          <w:tcPr>
            <w:tcW w:w="903" w:type="dxa"/>
          </w:tcPr>
          <w:p w14:paraId="44E9D857"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4.16</w:t>
            </w:r>
          </w:p>
        </w:tc>
        <w:tc>
          <w:tcPr>
            <w:tcW w:w="1207" w:type="dxa"/>
          </w:tcPr>
          <w:p w14:paraId="5A1D4E1B"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0.58</w:t>
            </w:r>
          </w:p>
        </w:tc>
        <w:tc>
          <w:tcPr>
            <w:tcW w:w="1705" w:type="dxa"/>
          </w:tcPr>
          <w:p w14:paraId="314A4D1B"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0AFFFF50"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741750BB" w14:textId="77777777" w:rsidR="004716A7" w:rsidRPr="004A359A" w:rsidRDefault="004716A7" w:rsidP="00DE7E3D">
            <w:pPr>
              <w:jc w:val="center"/>
              <w:rPr>
                <w:rFonts w:ascii="Arial" w:hAnsi="Arial" w:cs="Arial"/>
                <w:b w:val="0"/>
                <w:bCs w:val="0"/>
              </w:rPr>
            </w:pPr>
            <w:r w:rsidRPr="004A359A">
              <w:rPr>
                <w:rFonts w:ascii="Arial" w:hAnsi="Arial" w:cs="Arial"/>
                <w:b w:val="0"/>
                <w:bCs w:val="0"/>
              </w:rPr>
              <w:t>H</w:t>
            </w:r>
          </w:p>
        </w:tc>
        <w:tc>
          <w:tcPr>
            <w:tcW w:w="4244" w:type="dxa"/>
          </w:tcPr>
          <w:p w14:paraId="3D811516"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Library service</w:t>
            </w:r>
          </w:p>
        </w:tc>
        <w:tc>
          <w:tcPr>
            <w:tcW w:w="903" w:type="dxa"/>
          </w:tcPr>
          <w:p w14:paraId="1C12D046"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4.06</w:t>
            </w:r>
          </w:p>
        </w:tc>
        <w:tc>
          <w:tcPr>
            <w:tcW w:w="1207" w:type="dxa"/>
          </w:tcPr>
          <w:p w14:paraId="18CCDAC2"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0.65</w:t>
            </w:r>
          </w:p>
        </w:tc>
        <w:tc>
          <w:tcPr>
            <w:tcW w:w="1705" w:type="dxa"/>
          </w:tcPr>
          <w:p w14:paraId="05F10957"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492552CB"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19F25617" w14:textId="77777777" w:rsidR="004716A7" w:rsidRPr="004A359A" w:rsidRDefault="004716A7" w:rsidP="00DE7E3D">
            <w:pPr>
              <w:jc w:val="center"/>
              <w:rPr>
                <w:rFonts w:ascii="Arial" w:hAnsi="Arial" w:cs="Arial"/>
                <w:b w:val="0"/>
                <w:bCs w:val="0"/>
              </w:rPr>
            </w:pPr>
            <w:r w:rsidRPr="004A359A">
              <w:rPr>
                <w:rFonts w:ascii="Arial" w:hAnsi="Arial" w:cs="Arial"/>
                <w:b w:val="0"/>
                <w:bCs w:val="0"/>
              </w:rPr>
              <w:t>I</w:t>
            </w:r>
          </w:p>
        </w:tc>
        <w:tc>
          <w:tcPr>
            <w:tcW w:w="4244" w:type="dxa"/>
          </w:tcPr>
          <w:p w14:paraId="00DD6269" w14:textId="77777777" w:rsidR="004716A7"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66D0">
              <w:rPr>
                <w:rFonts w:ascii="Arial" w:hAnsi="Arial" w:cs="Arial"/>
              </w:rPr>
              <w:t>Registrar Office Services</w:t>
            </w:r>
          </w:p>
        </w:tc>
        <w:tc>
          <w:tcPr>
            <w:tcW w:w="903" w:type="dxa"/>
          </w:tcPr>
          <w:p w14:paraId="48151682"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4.28</w:t>
            </w:r>
          </w:p>
        </w:tc>
        <w:tc>
          <w:tcPr>
            <w:tcW w:w="1207" w:type="dxa"/>
          </w:tcPr>
          <w:p w14:paraId="6C0D5430"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0.58</w:t>
            </w:r>
          </w:p>
        </w:tc>
        <w:tc>
          <w:tcPr>
            <w:tcW w:w="1705" w:type="dxa"/>
          </w:tcPr>
          <w:p w14:paraId="5663AE5F"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4716A7" w14:paraId="5A3B2A51"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37E61F3F" w14:textId="77777777" w:rsidR="004716A7" w:rsidRPr="004A359A" w:rsidRDefault="004716A7" w:rsidP="00DE7E3D">
            <w:pPr>
              <w:jc w:val="center"/>
              <w:rPr>
                <w:rFonts w:ascii="Arial" w:hAnsi="Arial" w:cs="Arial"/>
                <w:b w:val="0"/>
                <w:bCs w:val="0"/>
              </w:rPr>
            </w:pPr>
            <w:r w:rsidRPr="004A359A">
              <w:rPr>
                <w:rFonts w:ascii="Arial" w:hAnsi="Arial" w:cs="Arial"/>
                <w:b w:val="0"/>
                <w:bCs w:val="0"/>
              </w:rPr>
              <w:t>J</w:t>
            </w:r>
          </w:p>
        </w:tc>
        <w:tc>
          <w:tcPr>
            <w:tcW w:w="4244" w:type="dxa"/>
            <w:tcBorders>
              <w:bottom w:val="single" w:sz="12" w:space="0" w:color="auto"/>
            </w:tcBorders>
          </w:tcPr>
          <w:p w14:paraId="12498423" w14:textId="77777777" w:rsidR="004716A7" w:rsidRPr="005B66D0" w:rsidRDefault="004716A7" w:rsidP="00DE7E3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Quality of Computer Laboratory</w:t>
            </w:r>
          </w:p>
        </w:tc>
        <w:tc>
          <w:tcPr>
            <w:tcW w:w="903" w:type="dxa"/>
            <w:tcBorders>
              <w:bottom w:val="single" w:sz="12" w:space="0" w:color="auto"/>
            </w:tcBorders>
          </w:tcPr>
          <w:p w14:paraId="295EFACC"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3.67</w:t>
            </w:r>
          </w:p>
        </w:tc>
        <w:tc>
          <w:tcPr>
            <w:tcW w:w="1207" w:type="dxa"/>
            <w:tcBorders>
              <w:bottom w:val="single" w:sz="12" w:space="0" w:color="auto"/>
            </w:tcBorders>
          </w:tcPr>
          <w:p w14:paraId="3BC833E9"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0.95</w:t>
            </w:r>
          </w:p>
        </w:tc>
        <w:tc>
          <w:tcPr>
            <w:tcW w:w="1705" w:type="dxa"/>
          </w:tcPr>
          <w:p w14:paraId="0A7C3648"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4716A7" w14:paraId="26C6BBA5" w14:textId="77777777" w:rsidTr="004716A7">
        <w:trPr>
          <w:jc w:val="center"/>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2AD34E2D" w14:textId="77777777" w:rsidR="004716A7" w:rsidRPr="0085225C" w:rsidRDefault="004716A7" w:rsidP="00DE7E3D">
            <w:pPr>
              <w:jc w:val="center"/>
              <w:rPr>
                <w:rFonts w:ascii="Arial" w:hAnsi="Arial" w:cs="Arial"/>
                <w:b w:val="0"/>
                <w:bCs w:val="0"/>
              </w:rPr>
            </w:pPr>
            <w:r>
              <w:rPr>
                <w:rFonts w:ascii="Arial" w:hAnsi="Arial" w:cs="Arial"/>
              </w:rPr>
              <w:t>Academic Services</w:t>
            </w:r>
          </w:p>
        </w:tc>
        <w:tc>
          <w:tcPr>
            <w:tcW w:w="903" w:type="dxa"/>
            <w:tcBorders>
              <w:top w:val="single" w:sz="12" w:space="0" w:color="auto"/>
              <w:bottom w:val="single" w:sz="12" w:space="0" w:color="auto"/>
            </w:tcBorders>
          </w:tcPr>
          <w:p w14:paraId="076AEBA5"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4.01</w:t>
            </w:r>
          </w:p>
        </w:tc>
        <w:tc>
          <w:tcPr>
            <w:tcW w:w="1207" w:type="dxa"/>
            <w:tcBorders>
              <w:top w:val="single" w:sz="12" w:space="0" w:color="auto"/>
              <w:bottom w:val="single" w:sz="12" w:space="0" w:color="auto"/>
            </w:tcBorders>
          </w:tcPr>
          <w:p w14:paraId="2BDEBD82"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5225C">
              <w:rPr>
                <w:rFonts w:ascii="Arial" w:hAnsi="Arial" w:cs="Arial"/>
              </w:rPr>
              <w:t>0.48</w:t>
            </w:r>
          </w:p>
        </w:tc>
        <w:tc>
          <w:tcPr>
            <w:tcW w:w="1705" w:type="dxa"/>
            <w:tcBorders>
              <w:top w:val="single" w:sz="12" w:space="0" w:color="auto"/>
              <w:bottom w:val="single" w:sz="12" w:space="0" w:color="auto"/>
            </w:tcBorders>
          </w:tcPr>
          <w:p w14:paraId="1B18F048" w14:textId="77777777" w:rsidR="004716A7" w:rsidRDefault="004716A7"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507E491D" w14:textId="77777777" w:rsidR="00C23BD4" w:rsidRDefault="00C23BD4">
      <w:pPr>
        <w:jc w:val="both"/>
        <w:rPr>
          <w:rFonts w:ascii="Arial" w:hAnsi="Arial" w:cs="Arial"/>
        </w:rPr>
      </w:pPr>
    </w:p>
    <w:p w14:paraId="0E308993" w14:textId="77777777" w:rsidR="00F23A79" w:rsidRDefault="00F23A79">
      <w:pPr>
        <w:jc w:val="both"/>
        <w:rPr>
          <w:rFonts w:ascii="Arial" w:hAnsi="Arial" w:cs="Arial"/>
        </w:rPr>
      </w:pPr>
      <w:r>
        <w:rPr>
          <w:rFonts w:ascii="Arial" w:hAnsi="Arial" w:cs="Arial"/>
        </w:rPr>
        <w:t xml:space="preserve">The results provide a detailed overview of student satisfaction with various academic services, revealing that students are generally highly satisfied with the offerings at the university. The highest-rated service under academic services is the Registrar Office Services, which received a mean of 4.28, interpreted as Very High. This indicated that students are highly satisfied with how records, academic documents, and enrollment-related transactions are handled at Davao Oriental State University – </w:t>
      </w:r>
      <w:proofErr w:type="spellStart"/>
      <w:r>
        <w:rPr>
          <w:rFonts w:ascii="Arial" w:hAnsi="Arial" w:cs="Arial"/>
        </w:rPr>
        <w:t>Cateel</w:t>
      </w:r>
      <w:proofErr w:type="spellEnd"/>
      <w:r>
        <w:rPr>
          <w:rFonts w:ascii="Arial" w:hAnsi="Arial" w:cs="Arial"/>
        </w:rPr>
        <w:t xml:space="preserve"> Campus. This result supports the findings of Manzano and </w:t>
      </w:r>
      <w:proofErr w:type="spellStart"/>
      <w:r>
        <w:rPr>
          <w:rFonts w:ascii="Arial" w:hAnsi="Arial" w:cs="Arial"/>
        </w:rPr>
        <w:t>Estira</w:t>
      </w:r>
      <w:proofErr w:type="spellEnd"/>
      <w:r>
        <w:rPr>
          <w:rFonts w:ascii="Arial" w:hAnsi="Arial" w:cs="Arial"/>
        </w:rPr>
        <w:t xml:space="preserve"> (2019), who reported that efficient registrar services significantly contribute to a positive academic experience by ensuring accurate documentation and timely response to student concerns. Moreover, </w:t>
      </w:r>
      <w:proofErr w:type="spellStart"/>
      <w:r>
        <w:rPr>
          <w:rFonts w:ascii="Arial" w:hAnsi="Arial" w:cs="Arial"/>
        </w:rPr>
        <w:t>Asio</w:t>
      </w:r>
      <w:proofErr w:type="spellEnd"/>
      <w:r>
        <w:rPr>
          <w:rFonts w:ascii="Arial" w:hAnsi="Arial" w:cs="Arial"/>
        </w:rPr>
        <w:t xml:space="preserve"> and Roldan (2022) emphasized that registrar offices that adopt technology-driven systems and maintain strong communication channels greatly improve service satisfaction. The Very High satisfaction rating from this study validates these findings and reflects well-organized, student-centered academic support from the registrar’s office.</w:t>
      </w:r>
    </w:p>
    <w:p w14:paraId="771A72C3" w14:textId="77777777" w:rsidR="00F23A79" w:rsidRDefault="00F23A79">
      <w:pPr>
        <w:jc w:val="both"/>
        <w:rPr>
          <w:rFonts w:ascii="Arial" w:hAnsi="Arial" w:cs="Arial"/>
        </w:rPr>
      </w:pPr>
    </w:p>
    <w:p w14:paraId="715D6CB4" w14:textId="282027E2" w:rsidR="00F23A79" w:rsidRPr="004716A7" w:rsidRDefault="00F23A79">
      <w:pPr>
        <w:jc w:val="both"/>
        <w:rPr>
          <w:rFonts w:ascii="Arial" w:hAnsi="Arial" w:cs="Arial"/>
        </w:rPr>
      </w:pPr>
      <w:r>
        <w:rPr>
          <w:rFonts w:ascii="Arial" w:hAnsi="Arial" w:cs="Arial"/>
        </w:rPr>
        <w:t xml:space="preserve">In contrast, the quality of the computer laboratory received the lowest mean of 3.67, though it was still interpreted as high. Despite being satisfactory, this relatively lower score suggests areas for improvement in laboratory facilities, equipment availability, or maintenance. This aligns with the study of </w:t>
      </w:r>
      <w:proofErr w:type="spellStart"/>
      <w:r>
        <w:rPr>
          <w:rFonts w:ascii="Arial" w:hAnsi="Arial" w:cs="Arial"/>
        </w:rPr>
        <w:t>Almario</w:t>
      </w:r>
      <w:proofErr w:type="spellEnd"/>
      <w:r>
        <w:rPr>
          <w:rFonts w:ascii="Arial" w:hAnsi="Arial" w:cs="Arial"/>
        </w:rPr>
        <w:t xml:space="preserve"> and Panganiban (2018), who noted that students tend to express lower satisfaction with academic services when computer laboratories are outdated or lack adequate resources. Similarly, </w:t>
      </w:r>
      <w:proofErr w:type="spellStart"/>
      <w:r>
        <w:rPr>
          <w:rFonts w:ascii="Arial" w:hAnsi="Arial" w:cs="Arial"/>
        </w:rPr>
        <w:t>Bacaltos</w:t>
      </w:r>
      <w:proofErr w:type="spellEnd"/>
      <w:r>
        <w:rPr>
          <w:rFonts w:ascii="Arial" w:hAnsi="Arial" w:cs="Arial"/>
        </w:rPr>
        <w:t xml:space="preserve"> and </w:t>
      </w:r>
      <w:proofErr w:type="spellStart"/>
      <w:r>
        <w:rPr>
          <w:rFonts w:ascii="Arial" w:hAnsi="Arial" w:cs="Arial"/>
        </w:rPr>
        <w:t>Muego</w:t>
      </w:r>
      <w:proofErr w:type="spellEnd"/>
      <w:r>
        <w:rPr>
          <w:rFonts w:ascii="Arial" w:hAnsi="Arial" w:cs="Arial"/>
        </w:rPr>
        <w:t xml:space="preserve"> (2017) found that student satisfaction in ICT-related facilities is directly influenced by access to up-to-date equipment, reliable internet connection, and functional laboratory environments. The current study supports these findings, indicating that while satisfaction remains generally high, improvements in computer laboratory infrastructure could further enhance the academic experience at the university.</w:t>
      </w:r>
    </w:p>
    <w:p w14:paraId="4E53301F" w14:textId="77777777" w:rsidR="004716A7" w:rsidRDefault="004716A7">
      <w:pPr>
        <w:jc w:val="both"/>
        <w:rPr>
          <w:rFonts w:ascii="Arial" w:hAnsi="Arial" w:cs="Arial"/>
          <w:b/>
          <w:bCs/>
          <w:sz w:val="22"/>
          <w:szCs w:val="22"/>
        </w:rPr>
      </w:pPr>
    </w:p>
    <w:p w14:paraId="17C7CD1B" w14:textId="6B6CF72B" w:rsidR="00C23BD4" w:rsidRDefault="00073637">
      <w:pPr>
        <w:jc w:val="both"/>
        <w:rPr>
          <w:rFonts w:ascii="Arial" w:hAnsi="Arial" w:cs="Arial"/>
          <w:b/>
          <w:bCs/>
          <w:sz w:val="22"/>
          <w:szCs w:val="22"/>
        </w:rPr>
      </w:pPr>
      <w:r>
        <w:rPr>
          <w:rFonts w:ascii="Arial" w:hAnsi="Arial" w:cs="Arial"/>
          <w:b/>
          <w:bCs/>
          <w:sz w:val="22"/>
          <w:szCs w:val="22"/>
        </w:rPr>
        <w:t>3.3 Level of Satisfaction in Non-Academic Services</w:t>
      </w:r>
    </w:p>
    <w:p w14:paraId="7A74A984" w14:textId="5B58CD5F" w:rsidR="001D00C0" w:rsidRPr="001D00C0" w:rsidRDefault="00236ECC">
      <w:pPr>
        <w:jc w:val="both"/>
        <w:rPr>
          <w:rFonts w:ascii="Arial" w:hAnsi="Arial" w:cs="Arial"/>
          <w:sz w:val="22"/>
          <w:szCs w:val="22"/>
        </w:rPr>
      </w:pPr>
      <w:r>
        <w:rPr>
          <w:rFonts w:ascii="Arial" w:hAnsi="Arial" w:cs="Arial"/>
          <w:sz w:val="22"/>
          <w:szCs w:val="22"/>
        </w:rPr>
        <w:t>This section explains the level of student’s satisfaction with non- academic services in terms of Administrative Service Quality, Security Services, Maintenance Services, and Accounting Office Services.</w:t>
      </w:r>
    </w:p>
    <w:p w14:paraId="67144A0A" w14:textId="77777777" w:rsidR="00C23BD4" w:rsidRDefault="00C23BD4">
      <w:pPr>
        <w:jc w:val="both"/>
        <w:rPr>
          <w:rFonts w:ascii="Arial" w:hAnsi="Arial" w:cs="Arial"/>
          <w:b/>
          <w:bCs/>
          <w:sz w:val="22"/>
          <w:szCs w:val="22"/>
        </w:rPr>
      </w:pPr>
    </w:p>
    <w:p w14:paraId="10695B8B" w14:textId="09951992" w:rsidR="00C23BD4" w:rsidRDefault="00073637">
      <w:pPr>
        <w:jc w:val="center"/>
        <w:rPr>
          <w:rFonts w:ascii="Arial" w:hAnsi="Arial" w:cs="Arial"/>
          <w:b/>
          <w:bCs/>
          <w:sz w:val="22"/>
          <w:szCs w:val="22"/>
        </w:rPr>
      </w:pPr>
      <w:r>
        <w:rPr>
          <w:rFonts w:ascii="Arial" w:hAnsi="Arial" w:cs="Arial"/>
          <w:b/>
          <w:bCs/>
          <w:sz w:val="22"/>
          <w:szCs w:val="22"/>
        </w:rPr>
        <w:t>Table 1</w:t>
      </w:r>
      <w:r w:rsidR="00C821AF">
        <w:rPr>
          <w:rFonts w:ascii="Arial" w:hAnsi="Arial" w:cs="Arial"/>
          <w:b/>
          <w:bCs/>
          <w:sz w:val="22"/>
          <w:szCs w:val="22"/>
        </w:rPr>
        <w:t>3</w:t>
      </w:r>
      <w:r>
        <w:rPr>
          <w:rFonts w:ascii="Arial" w:hAnsi="Arial" w:cs="Arial"/>
          <w:b/>
          <w:bCs/>
          <w:sz w:val="22"/>
          <w:szCs w:val="22"/>
        </w:rPr>
        <w:t xml:space="preserve">. </w:t>
      </w:r>
      <w:bookmarkStart w:id="10" w:name="_Hlk197598623"/>
      <w:r>
        <w:rPr>
          <w:rFonts w:ascii="Arial" w:hAnsi="Arial" w:cs="Arial"/>
          <w:b/>
          <w:bCs/>
          <w:sz w:val="22"/>
          <w:szCs w:val="22"/>
        </w:rPr>
        <w:t>Level of student’s satisfaction with non- academic services in terms of Administrative Service Quality</w:t>
      </w:r>
      <w:bookmarkEnd w:id="10"/>
    </w:p>
    <w:p w14:paraId="34E9AB47"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6"/>
        <w:gridCol w:w="834"/>
        <w:gridCol w:w="1223"/>
        <w:gridCol w:w="1697"/>
      </w:tblGrid>
      <w:tr w:rsidR="00C23BD4" w14:paraId="47A74029"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35C9D16"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130303C0"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5B39D69"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06AABBFC"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5EFA6951"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49A81E97"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765548C5"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40D5B2A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are friendly and approachable</w:t>
            </w:r>
          </w:p>
        </w:tc>
        <w:tc>
          <w:tcPr>
            <w:tcW w:w="850" w:type="dxa"/>
            <w:tcBorders>
              <w:top w:val="single" w:sz="12" w:space="0" w:color="auto"/>
            </w:tcBorders>
          </w:tcPr>
          <w:p w14:paraId="613307D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Borders>
              <w:top w:val="single" w:sz="12" w:space="0" w:color="auto"/>
            </w:tcBorders>
          </w:tcPr>
          <w:p w14:paraId="7DC0507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Borders>
              <w:top w:val="single" w:sz="12" w:space="0" w:color="auto"/>
            </w:tcBorders>
          </w:tcPr>
          <w:p w14:paraId="55DAE5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74FE93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1AA5D2C" w14:textId="77777777" w:rsidR="00C23BD4" w:rsidRDefault="00073637">
            <w:pPr>
              <w:jc w:val="center"/>
              <w:rPr>
                <w:rFonts w:ascii="Arial" w:hAnsi="Arial" w:cs="Arial"/>
              </w:rPr>
            </w:pPr>
            <w:r>
              <w:rPr>
                <w:rFonts w:ascii="Arial" w:hAnsi="Arial" w:cs="Arial"/>
                <w:b w:val="0"/>
                <w:bCs w:val="0"/>
              </w:rPr>
              <w:t>2</w:t>
            </w:r>
          </w:p>
        </w:tc>
        <w:tc>
          <w:tcPr>
            <w:tcW w:w="4244" w:type="dxa"/>
          </w:tcPr>
          <w:p w14:paraId="0FC5446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demonstrate a sincere interest to solve students’ problems</w:t>
            </w:r>
          </w:p>
        </w:tc>
        <w:tc>
          <w:tcPr>
            <w:tcW w:w="850" w:type="dxa"/>
          </w:tcPr>
          <w:p w14:paraId="1DDE71C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tc>
        <w:tc>
          <w:tcPr>
            <w:tcW w:w="1239" w:type="dxa"/>
          </w:tcPr>
          <w:p w14:paraId="79BF758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410D53A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753355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FB1D25F" w14:textId="77777777" w:rsidR="00C23BD4" w:rsidRDefault="00073637">
            <w:pPr>
              <w:jc w:val="center"/>
              <w:rPr>
                <w:rFonts w:ascii="Arial" w:hAnsi="Arial" w:cs="Arial"/>
              </w:rPr>
            </w:pPr>
            <w:r>
              <w:rPr>
                <w:rFonts w:ascii="Arial" w:hAnsi="Arial" w:cs="Arial"/>
                <w:b w:val="0"/>
                <w:bCs w:val="0"/>
              </w:rPr>
              <w:t>3</w:t>
            </w:r>
          </w:p>
        </w:tc>
        <w:tc>
          <w:tcPr>
            <w:tcW w:w="4244" w:type="dxa"/>
          </w:tcPr>
          <w:p w14:paraId="33E04A9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provide prompt and accurate services</w:t>
            </w:r>
          </w:p>
        </w:tc>
        <w:tc>
          <w:tcPr>
            <w:tcW w:w="850" w:type="dxa"/>
          </w:tcPr>
          <w:p w14:paraId="3E9B93D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Pr>
          <w:p w14:paraId="7184B13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w:t>
            </w:r>
          </w:p>
        </w:tc>
        <w:tc>
          <w:tcPr>
            <w:tcW w:w="1726" w:type="dxa"/>
          </w:tcPr>
          <w:p w14:paraId="0A90928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BDB3A7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E313532" w14:textId="77777777" w:rsidR="00C23BD4" w:rsidRDefault="00073637">
            <w:pPr>
              <w:jc w:val="center"/>
              <w:rPr>
                <w:rFonts w:ascii="Arial" w:hAnsi="Arial" w:cs="Arial"/>
              </w:rPr>
            </w:pPr>
            <w:r>
              <w:rPr>
                <w:rFonts w:ascii="Arial" w:hAnsi="Arial" w:cs="Arial"/>
                <w:b w:val="0"/>
                <w:bCs w:val="0"/>
              </w:rPr>
              <w:t>4</w:t>
            </w:r>
          </w:p>
        </w:tc>
        <w:tc>
          <w:tcPr>
            <w:tcW w:w="4244" w:type="dxa"/>
          </w:tcPr>
          <w:p w14:paraId="40D2B80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communicate well with students</w:t>
            </w:r>
          </w:p>
        </w:tc>
        <w:tc>
          <w:tcPr>
            <w:tcW w:w="850" w:type="dxa"/>
          </w:tcPr>
          <w:p w14:paraId="6EEA979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38C58A4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0.84</w:t>
            </w:r>
          </w:p>
        </w:tc>
        <w:tc>
          <w:tcPr>
            <w:tcW w:w="1726" w:type="dxa"/>
          </w:tcPr>
          <w:p w14:paraId="0D561E7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2BDBC4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5F6190" w14:textId="77777777" w:rsidR="00C23BD4" w:rsidRDefault="00073637">
            <w:pPr>
              <w:jc w:val="center"/>
              <w:rPr>
                <w:rFonts w:ascii="Arial" w:hAnsi="Arial" w:cs="Arial"/>
              </w:rPr>
            </w:pPr>
            <w:r>
              <w:rPr>
                <w:rFonts w:ascii="Arial" w:hAnsi="Arial" w:cs="Arial"/>
                <w:b w:val="0"/>
                <w:bCs w:val="0"/>
              </w:rPr>
              <w:t>5</w:t>
            </w:r>
          </w:p>
        </w:tc>
        <w:tc>
          <w:tcPr>
            <w:tcW w:w="4244" w:type="dxa"/>
          </w:tcPr>
          <w:p w14:paraId="3A2ECC3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show positive work attitude towards students</w:t>
            </w:r>
          </w:p>
        </w:tc>
        <w:tc>
          <w:tcPr>
            <w:tcW w:w="850" w:type="dxa"/>
          </w:tcPr>
          <w:p w14:paraId="305C6F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Pr>
          <w:p w14:paraId="653A234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026834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4086D08"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3EC4DDA" w14:textId="77777777" w:rsidR="00C23BD4" w:rsidRDefault="00073637">
            <w:pPr>
              <w:jc w:val="center"/>
              <w:rPr>
                <w:rFonts w:ascii="Arial" w:hAnsi="Arial" w:cs="Arial"/>
              </w:rPr>
            </w:pPr>
            <w:r>
              <w:rPr>
                <w:rFonts w:ascii="Arial" w:hAnsi="Arial" w:cs="Arial"/>
                <w:b w:val="0"/>
                <w:bCs w:val="0"/>
              </w:rPr>
              <w:t>6</w:t>
            </w:r>
          </w:p>
        </w:tc>
        <w:tc>
          <w:tcPr>
            <w:tcW w:w="4244" w:type="dxa"/>
          </w:tcPr>
          <w:p w14:paraId="4B738A2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always available and willing to explain doubts to students</w:t>
            </w:r>
          </w:p>
        </w:tc>
        <w:tc>
          <w:tcPr>
            <w:tcW w:w="850" w:type="dxa"/>
          </w:tcPr>
          <w:p w14:paraId="2A889C1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55D809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5BE1E48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656A71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24B6D8C" w14:textId="77777777" w:rsidR="00C23BD4" w:rsidRDefault="00073637">
            <w:pPr>
              <w:jc w:val="center"/>
              <w:rPr>
                <w:rFonts w:ascii="Arial" w:hAnsi="Arial" w:cs="Arial"/>
              </w:rPr>
            </w:pPr>
            <w:r>
              <w:rPr>
                <w:rFonts w:ascii="Arial" w:hAnsi="Arial" w:cs="Arial"/>
                <w:b w:val="0"/>
                <w:bCs w:val="0"/>
              </w:rPr>
              <w:t>7</w:t>
            </w:r>
          </w:p>
        </w:tc>
        <w:tc>
          <w:tcPr>
            <w:tcW w:w="4244" w:type="dxa"/>
          </w:tcPr>
          <w:p w14:paraId="32B683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pay attention to detailed of the services sought by the students</w:t>
            </w:r>
          </w:p>
        </w:tc>
        <w:tc>
          <w:tcPr>
            <w:tcW w:w="850" w:type="dxa"/>
          </w:tcPr>
          <w:p w14:paraId="1ECE78D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tc>
        <w:tc>
          <w:tcPr>
            <w:tcW w:w="1239" w:type="dxa"/>
          </w:tcPr>
          <w:p w14:paraId="71FEB84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53EF81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6AADCF0"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55453EC" w14:textId="77777777" w:rsidR="00C23BD4" w:rsidRDefault="00073637">
            <w:pPr>
              <w:jc w:val="center"/>
              <w:rPr>
                <w:rFonts w:ascii="Arial" w:hAnsi="Arial" w:cs="Arial"/>
              </w:rPr>
            </w:pPr>
            <w:r>
              <w:rPr>
                <w:rFonts w:ascii="Arial" w:hAnsi="Arial" w:cs="Arial"/>
                <w:b w:val="0"/>
                <w:bCs w:val="0"/>
              </w:rPr>
              <w:t>8</w:t>
            </w:r>
          </w:p>
        </w:tc>
        <w:tc>
          <w:tcPr>
            <w:tcW w:w="4244" w:type="dxa"/>
          </w:tcPr>
          <w:p w14:paraId="6F2484A2"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Administrative staff are well-versed with university rules and procedures</w:t>
            </w:r>
          </w:p>
        </w:tc>
        <w:tc>
          <w:tcPr>
            <w:tcW w:w="850" w:type="dxa"/>
          </w:tcPr>
          <w:p w14:paraId="67013D6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4.19</w:t>
            </w:r>
          </w:p>
        </w:tc>
        <w:tc>
          <w:tcPr>
            <w:tcW w:w="1239" w:type="dxa"/>
          </w:tcPr>
          <w:p w14:paraId="359C75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w:t>
            </w:r>
          </w:p>
        </w:tc>
        <w:tc>
          <w:tcPr>
            <w:tcW w:w="1726" w:type="dxa"/>
          </w:tcPr>
          <w:p w14:paraId="4E63D33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2E1E5D0"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43EADBF9"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2405B1C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tc>
        <w:tc>
          <w:tcPr>
            <w:tcW w:w="1239" w:type="dxa"/>
            <w:tcBorders>
              <w:top w:val="single" w:sz="12" w:space="0" w:color="auto"/>
              <w:bottom w:val="single" w:sz="12" w:space="0" w:color="auto"/>
            </w:tcBorders>
          </w:tcPr>
          <w:p w14:paraId="0982F73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0.65</w:t>
            </w:r>
          </w:p>
        </w:tc>
        <w:tc>
          <w:tcPr>
            <w:tcW w:w="1726" w:type="dxa"/>
            <w:tcBorders>
              <w:top w:val="single" w:sz="12" w:space="0" w:color="auto"/>
              <w:bottom w:val="single" w:sz="12" w:space="0" w:color="auto"/>
            </w:tcBorders>
          </w:tcPr>
          <w:p w14:paraId="0052C87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F3A08D9" w14:textId="77777777" w:rsidR="00C23BD4" w:rsidRDefault="00C23BD4">
      <w:pPr>
        <w:jc w:val="center"/>
        <w:rPr>
          <w:rFonts w:ascii="Arial" w:hAnsi="Arial" w:cs="Arial"/>
          <w:sz w:val="22"/>
          <w:szCs w:val="22"/>
        </w:rPr>
      </w:pPr>
    </w:p>
    <w:p w14:paraId="60723C18" w14:textId="77777777" w:rsidR="00C23BD4" w:rsidRDefault="00073637">
      <w:pPr>
        <w:jc w:val="both"/>
        <w:rPr>
          <w:rFonts w:ascii="Arial" w:hAnsi="Arial" w:cs="Arial"/>
        </w:rPr>
      </w:pPr>
      <w:r>
        <w:rPr>
          <w:rFonts w:ascii="Arial" w:hAnsi="Arial" w:cs="Arial"/>
        </w:rPr>
        <w:t xml:space="preserve">The results showed that students are highly satisfied with the administrative services at the university, with an overall rating of 4.10 for administrative staff, reflecting students’ positive experiences with the staff’s friendliness, approachability, and ability to communicate effectively. The highest-rated item was “Administrative staff are well versed with university rules and procedures” 4.19, suggesting strong institutional knowledge and policy awareness among staff. This supports the findings of Agustin and </w:t>
      </w:r>
      <w:proofErr w:type="spellStart"/>
      <w:r>
        <w:rPr>
          <w:rFonts w:ascii="Arial" w:hAnsi="Arial" w:cs="Arial"/>
        </w:rPr>
        <w:t>Ladores</w:t>
      </w:r>
      <w:proofErr w:type="spellEnd"/>
      <w:r>
        <w:rPr>
          <w:rFonts w:ascii="Arial" w:hAnsi="Arial" w:cs="Arial"/>
        </w:rPr>
        <w:t xml:space="preserve"> (2016), who emphasized that when administrative staff are knowledgeable and confident in university policies, they are better able to deliver timely, accurate, and helpful services, enhancing the student experience. Also, </w:t>
      </w:r>
      <w:proofErr w:type="spellStart"/>
      <w:r>
        <w:rPr>
          <w:rFonts w:ascii="Arial" w:hAnsi="Arial" w:cs="Arial"/>
        </w:rPr>
        <w:t>Asio</w:t>
      </w:r>
      <w:proofErr w:type="spellEnd"/>
      <w:r>
        <w:rPr>
          <w:rFonts w:ascii="Arial" w:hAnsi="Arial" w:cs="Arial"/>
        </w:rPr>
        <w:t xml:space="preserve"> and Jimenez (2020) highlighted that administrative competence and procedural clarity are critical in non-academic services because they reduce confusion and streamline support for students navigating university processes.</w:t>
      </w:r>
    </w:p>
    <w:p w14:paraId="1978456B" w14:textId="77777777" w:rsidR="00C23BD4" w:rsidRDefault="00073637">
      <w:pPr>
        <w:jc w:val="both"/>
        <w:rPr>
          <w:rFonts w:ascii="Arial" w:hAnsi="Arial" w:cs="Arial"/>
        </w:rPr>
      </w:pPr>
      <w:r>
        <w:rPr>
          <w:rFonts w:ascii="Arial" w:hAnsi="Arial" w:cs="Arial"/>
        </w:rPr>
        <w:t>On the other hand, the lowest-rated indicator, “Administrative staff demonstrate sincere interest to solve students’ problems,” received a still-strong mean of 4.06. Although the rating remains within the high range, it suggests an area where improvements in interpersonal engagement and empathetic service could be beneficial. This is consistent with Al-</w:t>
      </w:r>
      <w:proofErr w:type="spellStart"/>
      <w:r>
        <w:rPr>
          <w:rFonts w:ascii="Arial" w:hAnsi="Arial" w:cs="Arial"/>
        </w:rPr>
        <w:t>Alwani</w:t>
      </w:r>
      <w:proofErr w:type="spellEnd"/>
      <w:r>
        <w:rPr>
          <w:rFonts w:ascii="Arial" w:hAnsi="Arial" w:cs="Arial"/>
        </w:rPr>
        <w:t xml:space="preserve"> (2015), who emphasized that perceived sincerity and attentiveness in administrative interactions strongly influence student trust and satisfaction. Furthermore, Navarro and </w:t>
      </w:r>
      <w:proofErr w:type="spellStart"/>
      <w:r>
        <w:rPr>
          <w:rFonts w:ascii="Arial" w:hAnsi="Arial" w:cs="Arial"/>
        </w:rPr>
        <w:t>Lumibao</w:t>
      </w:r>
      <w:proofErr w:type="spellEnd"/>
      <w:r>
        <w:rPr>
          <w:rFonts w:ascii="Arial" w:hAnsi="Arial" w:cs="Arial"/>
        </w:rPr>
        <w:t xml:space="preserve"> (2019) found that students often expect not just technical efficiency, but also genuine care and active problem-solving from university personnel. The consistently high ratings across all dimensions of administrative service in this study affirm the findings of these </w:t>
      </w:r>
      <w:r>
        <w:rPr>
          <w:rFonts w:ascii="Arial" w:hAnsi="Arial" w:cs="Arial"/>
        </w:rPr>
        <w:lastRenderedPageBreak/>
        <w:t>authors, indicating that while overall performance is commendable, fostering deeper engagement and personal attention may further elevate satisfaction levels.</w:t>
      </w:r>
    </w:p>
    <w:p w14:paraId="360BC9D3" w14:textId="77777777" w:rsidR="00C23BD4" w:rsidRDefault="00C23BD4">
      <w:pPr>
        <w:jc w:val="both"/>
        <w:rPr>
          <w:rFonts w:ascii="Arial" w:hAnsi="Arial" w:cs="Arial"/>
        </w:rPr>
      </w:pPr>
    </w:p>
    <w:p w14:paraId="7D4A8714" w14:textId="77777777" w:rsidR="00C23BD4" w:rsidRDefault="00C23BD4">
      <w:pPr>
        <w:jc w:val="both"/>
        <w:rPr>
          <w:rFonts w:ascii="Arial" w:hAnsi="Arial" w:cs="Arial"/>
        </w:rPr>
      </w:pPr>
    </w:p>
    <w:p w14:paraId="2F2D0BE5" w14:textId="77777777" w:rsidR="00C23BD4" w:rsidRDefault="00C23BD4">
      <w:pPr>
        <w:jc w:val="both"/>
        <w:rPr>
          <w:rFonts w:ascii="Arial" w:hAnsi="Arial" w:cs="Arial"/>
        </w:rPr>
      </w:pPr>
    </w:p>
    <w:p w14:paraId="6E2E0CF5" w14:textId="11AA2895" w:rsidR="00C23BD4" w:rsidRDefault="00073637">
      <w:pPr>
        <w:jc w:val="center"/>
        <w:rPr>
          <w:rFonts w:ascii="Arial" w:hAnsi="Arial" w:cs="Arial"/>
        </w:rPr>
      </w:pPr>
      <w:r>
        <w:rPr>
          <w:rFonts w:ascii="Arial" w:hAnsi="Arial" w:cs="Arial"/>
          <w:b/>
          <w:bCs/>
          <w:sz w:val="22"/>
          <w:szCs w:val="22"/>
        </w:rPr>
        <w:t>Table 1</w:t>
      </w:r>
      <w:r w:rsidR="00637EB9">
        <w:rPr>
          <w:rFonts w:ascii="Arial" w:hAnsi="Arial" w:cs="Arial"/>
          <w:b/>
          <w:bCs/>
          <w:sz w:val="22"/>
          <w:szCs w:val="22"/>
        </w:rPr>
        <w:t>4</w:t>
      </w:r>
      <w:r>
        <w:rPr>
          <w:rFonts w:ascii="Arial" w:hAnsi="Arial" w:cs="Arial"/>
          <w:b/>
          <w:bCs/>
          <w:sz w:val="22"/>
          <w:szCs w:val="22"/>
        </w:rPr>
        <w:t xml:space="preserve">. </w:t>
      </w:r>
      <w:bookmarkStart w:id="11" w:name="_Hlk197598643"/>
      <w:r>
        <w:rPr>
          <w:rFonts w:ascii="Arial" w:hAnsi="Arial" w:cs="Arial"/>
          <w:b/>
          <w:bCs/>
          <w:sz w:val="22"/>
          <w:szCs w:val="22"/>
        </w:rPr>
        <w:t>Level of student’s satisfaction with non- academic services in terms of Security Services</w:t>
      </w:r>
      <w:bookmarkEnd w:id="11"/>
    </w:p>
    <w:p w14:paraId="77B3F8C1"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900"/>
        <w:gridCol w:w="831"/>
        <w:gridCol w:w="1220"/>
        <w:gridCol w:w="1691"/>
      </w:tblGrid>
      <w:tr w:rsidR="00C23BD4" w14:paraId="42603EF3"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4E5AF7BA"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12DE7EE7"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CB71FB5"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18486103"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2BBE661D"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76252EC3"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15BD702"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3B541C5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Security Office staff</w:t>
            </w:r>
          </w:p>
          <w:p w14:paraId="24CF89A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48DF8C8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4.19</w:t>
            </w:r>
          </w:p>
        </w:tc>
        <w:tc>
          <w:tcPr>
            <w:tcW w:w="1239" w:type="dxa"/>
            <w:tcBorders>
              <w:top w:val="single" w:sz="12" w:space="0" w:color="auto"/>
            </w:tcBorders>
          </w:tcPr>
          <w:p w14:paraId="431EE2D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Borders>
              <w:top w:val="single" w:sz="12" w:space="0" w:color="auto"/>
            </w:tcBorders>
          </w:tcPr>
          <w:p w14:paraId="12F257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718CD9B"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B7FEA1A" w14:textId="77777777" w:rsidR="00C23BD4" w:rsidRDefault="00073637">
            <w:pPr>
              <w:jc w:val="center"/>
              <w:rPr>
                <w:rFonts w:ascii="Arial" w:hAnsi="Arial" w:cs="Arial"/>
              </w:rPr>
            </w:pPr>
            <w:r>
              <w:rPr>
                <w:rFonts w:ascii="Arial" w:hAnsi="Arial" w:cs="Arial"/>
                <w:b w:val="0"/>
                <w:bCs w:val="0"/>
              </w:rPr>
              <w:t>2</w:t>
            </w:r>
          </w:p>
        </w:tc>
        <w:tc>
          <w:tcPr>
            <w:tcW w:w="4244" w:type="dxa"/>
          </w:tcPr>
          <w:p w14:paraId="4544934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Security Office staff</w:t>
            </w:r>
          </w:p>
        </w:tc>
        <w:tc>
          <w:tcPr>
            <w:tcW w:w="850" w:type="dxa"/>
          </w:tcPr>
          <w:p w14:paraId="72D2EE9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Pr>
          <w:p w14:paraId="21183B5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39A8AD9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18F0FE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D9472ED" w14:textId="77777777" w:rsidR="00C23BD4" w:rsidRDefault="00073637">
            <w:pPr>
              <w:jc w:val="center"/>
              <w:rPr>
                <w:rFonts w:ascii="Arial" w:hAnsi="Arial" w:cs="Arial"/>
              </w:rPr>
            </w:pPr>
            <w:r>
              <w:rPr>
                <w:rFonts w:ascii="Arial" w:hAnsi="Arial" w:cs="Arial"/>
                <w:b w:val="0"/>
                <w:bCs w:val="0"/>
              </w:rPr>
              <w:t>3</w:t>
            </w:r>
          </w:p>
        </w:tc>
        <w:tc>
          <w:tcPr>
            <w:tcW w:w="4244" w:type="dxa"/>
          </w:tcPr>
          <w:p w14:paraId="3309A9B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Assurance of safety and security at the school premises</w:t>
            </w:r>
          </w:p>
        </w:tc>
        <w:tc>
          <w:tcPr>
            <w:tcW w:w="850" w:type="dxa"/>
          </w:tcPr>
          <w:p w14:paraId="14C1A7F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6456065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533F619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36068B2"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62FAE6" w14:textId="77777777" w:rsidR="00C23BD4" w:rsidRDefault="00073637">
            <w:pPr>
              <w:jc w:val="center"/>
              <w:rPr>
                <w:rFonts w:ascii="Arial" w:hAnsi="Arial" w:cs="Arial"/>
              </w:rPr>
            </w:pPr>
            <w:r>
              <w:rPr>
                <w:rFonts w:ascii="Arial" w:hAnsi="Arial" w:cs="Arial"/>
                <w:b w:val="0"/>
                <w:bCs w:val="0"/>
              </w:rPr>
              <w:t>4</w:t>
            </w:r>
          </w:p>
        </w:tc>
        <w:tc>
          <w:tcPr>
            <w:tcW w:w="4244" w:type="dxa"/>
          </w:tcPr>
          <w:p w14:paraId="7840106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Assurance of safety and security in the vicinity of the school</w:t>
            </w:r>
          </w:p>
        </w:tc>
        <w:tc>
          <w:tcPr>
            <w:tcW w:w="850" w:type="dxa"/>
          </w:tcPr>
          <w:p w14:paraId="4CC36C1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4.30</w:t>
            </w:r>
          </w:p>
        </w:tc>
        <w:tc>
          <w:tcPr>
            <w:tcW w:w="1239" w:type="dxa"/>
          </w:tcPr>
          <w:p w14:paraId="001641EA" w14:textId="07523F40" w:rsidR="00C23BD4" w:rsidRDefault="007D094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Pr>
          <w:p w14:paraId="70EB71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High</w:t>
            </w:r>
          </w:p>
        </w:tc>
      </w:tr>
      <w:tr w:rsidR="00C23BD4" w14:paraId="633A717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49D2417" w14:textId="77777777" w:rsidR="00C23BD4" w:rsidRDefault="00073637">
            <w:pPr>
              <w:jc w:val="center"/>
              <w:rPr>
                <w:rFonts w:ascii="Arial" w:hAnsi="Arial" w:cs="Arial"/>
              </w:rPr>
            </w:pPr>
            <w:r>
              <w:rPr>
                <w:rFonts w:ascii="Arial" w:hAnsi="Arial" w:cs="Arial"/>
                <w:b w:val="0"/>
                <w:bCs w:val="0"/>
              </w:rPr>
              <w:t>5</w:t>
            </w:r>
          </w:p>
        </w:tc>
        <w:tc>
          <w:tcPr>
            <w:tcW w:w="4244" w:type="dxa"/>
          </w:tcPr>
          <w:p w14:paraId="4B7E85B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Proper implementation of security and safety measures</w:t>
            </w:r>
          </w:p>
        </w:tc>
        <w:tc>
          <w:tcPr>
            <w:tcW w:w="850" w:type="dxa"/>
          </w:tcPr>
          <w:p w14:paraId="4FDD4F0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782E395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205B222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70A2593"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1F8B4A" w14:textId="77777777" w:rsidR="00C23BD4" w:rsidRDefault="00073637">
            <w:pPr>
              <w:jc w:val="center"/>
              <w:rPr>
                <w:rFonts w:ascii="Arial" w:hAnsi="Arial" w:cs="Arial"/>
              </w:rPr>
            </w:pPr>
            <w:r>
              <w:rPr>
                <w:rFonts w:ascii="Arial" w:hAnsi="Arial" w:cs="Arial"/>
                <w:b w:val="0"/>
                <w:bCs w:val="0"/>
              </w:rPr>
              <w:t>6</w:t>
            </w:r>
          </w:p>
        </w:tc>
        <w:tc>
          <w:tcPr>
            <w:tcW w:w="4244" w:type="dxa"/>
          </w:tcPr>
          <w:p w14:paraId="592F846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systematic procedure when receiving/processing students’ complaints</w:t>
            </w:r>
          </w:p>
        </w:tc>
        <w:tc>
          <w:tcPr>
            <w:tcW w:w="850" w:type="dxa"/>
          </w:tcPr>
          <w:p w14:paraId="0EF73A3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3D8003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73246A2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03C8FC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B506187" w14:textId="77777777" w:rsidR="00C23BD4" w:rsidRDefault="00073637">
            <w:pPr>
              <w:jc w:val="center"/>
              <w:rPr>
                <w:rFonts w:ascii="Arial" w:hAnsi="Arial" w:cs="Arial"/>
              </w:rPr>
            </w:pPr>
            <w:r>
              <w:rPr>
                <w:rFonts w:ascii="Arial" w:hAnsi="Arial" w:cs="Arial"/>
                <w:b w:val="0"/>
                <w:bCs w:val="0"/>
              </w:rPr>
              <w:t>7</w:t>
            </w:r>
          </w:p>
        </w:tc>
        <w:tc>
          <w:tcPr>
            <w:tcW w:w="4244" w:type="dxa"/>
          </w:tcPr>
          <w:p w14:paraId="15BA4BD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Attentiveness to students' needs</w:t>
            </w:r>
          </w:p>
          <w:p w14:paraId="26FB474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0E9302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5CEA049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0.87</w:t>
            </w:r>
          </w:p>
        </w:tc>
        <w:tc>
          <w:tcPr>
            <w:tcW w:w="1726" w:type="dxa"/>
          </w:tcPr>
          <w:p w14:paraId="18BEF1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B6A342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E65DACE" w14:textId="77777777" w:rsidR="00C23BD4" w:rsidRDefault="00073637">
            <w:pPr>
              <w:jc w:val="center"/>
              <w:rPr>
                <w:rFonts w:ascii="Arial" w:hAnsi="Arial" w:cs="Arial"/>
              </w:rPr>
            </w:pPr>
            <w:r>
              <w:rPr>
                <w:rFonts w:ascii="Arial" w:hAnsi="Arial" w:cs="Arial"/>
                <w:b w:val="0"/>
                <w:bCs w:val="0"/>
              </w:rPr>
              <w:t>8</w:t>
            </w:r>
          </w:p>
        </w:tc>
        <w:tc>
          <w:tcPr>
            <w:tcW w:w="4244" w:type="dxa"/>
          </w:tcPr>
          <w:p w14:paraId="0487EC2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immediate attention to students' needs</w:t>
            </w:r>
          </w:p>
        </w:tc>
        <w:tc>
          <w:tcPr>
            <w:tcW w:w="850" w:type="dxa"/>
          </w:tcPr>
          <w:p w14:paraId="6D7C3DE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5260CD8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66B93D1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C1D0EFD"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60E72F" w14:textId="77777777" w:rsidR="00C23BD4" w:rsidRDefault="00073637">
            <w:pPr>
              <w:jc w:val="center"/>
              <w:rPr>
                <w:rFonts w:ascii="Arial" w:hAnsi="Arial" w:cs="Arial"/>
              </w:rPr>
            </w:pPr>
            <w:r>
              <w:rPr>
                <w:rFonts w:ascii="Arial" w:hAnsi="Arial" w:cs="Arial"/>
                <w:b w:val="0"/>
                <w:bCs w:val="0"/>
              </w:rPr>
              <w:t>9</w:t>
            </w:r>
          </w:p>
        </w:tc>
        <w:tc>
          <w:tcPr>
            <w:tcW w:w="4244" w:type="dxa"/>
          </w:tcPr>
          <w:p w14:paraId="7491D68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Assisting with helpful information to students and visitors</w:t>
            </w:r>
          </w:p>
        </w:tc>
        <w:tc>
          <w:tcPr>
            <w:tcW w:w="850" w:type="dxa"/>
          </w:tcPr>
          <w:p w14:paraId="19DF0A4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4.14</w:t>
            </w:r>
          </w:p>
        </w:tc>
        <w:tc>
          <w:tcPr>
            <w:tcW w:w="1239" w:type="dxa"/>
          </w:tcPr>
          <w:p w14:paraId="1C9AF42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7F946C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5952AA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1D4E8E4" w14:textId="77777777" w:rsidR="00C23BD4" w:rsidRDefault="00073637">
            <w:pPr>
              <w:jc w:val="center"/>
              <w:rPr>
                <w:rFonts w:ascii="Arial" w:hAnsi="Arial" w:cs="Arial"/>
              </w:rPr>
            </w:pPr>
            <w:r>
              <w:rPr>
                <w:rFonts w:ascii="Arial" w:hAnsi="Arial" w:cs="Arial"/>
                <w:b w:val="0"/>
                <w:bCs w:val="0"/>
              </w:rPr>
              <w:t>10</w:t>
            </w:r>
          </w:p>
        </w:tc>
        <w:tc>
          <w:tcPr>
            <w:tcW w:w="4244" w:type="dxa"/>
          </w:tcPr>
          <w:p w14:paraId="5FF7125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campus signage for student direction</w:t>
            </w:r>
          </w:p>
        </w:tc>
        <w:tc>
          <w:tcPr>
            <w:tcW w:w="850" w:type="dxa"/>
          </w:tcPr>
          <w:p w14:paraId="2488B26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2B31463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1C5F0D7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DD2384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46925C5A" w14:textId="77777777" w:rsidR="00C23BD4" w:rsidRDefault="00073637">
            <w:pPr>
              <w:jc w:val="center"/>
              <w:rPr>
                <w:rFonts w:ascii="Arial" w:hAnsi="Arial" w:cs="Arial"/>
              </w:rPr>
            </w:pPr>
            <w:r>
              <w:rPr>
                <w:rFonts w:ascii="Arial" w:hAnsi="Arial" w:cs="Arial"/>
                <w:b w:val="0"/>
                <w:bCs w:val="0"/>
              </w:rPr>
              <w:t>11</w:t>
            </w:r>
          </w:p>
        </w:tc>
        <w:tc>
          <w:tcPr>
            <w:tcW w:w="4244" w:type="dxa"/>
          </w:tcPr>
          <w:p w14:paraId="77EDC3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Security Office</w:t>
            </w:r>
          </w:p>
          <w:p w14:paraId="7760F28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D4554C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4.11</w:t>
            </w:r>
          </w:p>
        </w:tc>
        <w:tc>
          <w:tcPr>
            <w:tcW w:w="1239" w:type="dxa"/>
          </w:tcPr>
          <w:p w14:paraId="47D121A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D046CE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AEAE662"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34C5C047" w14:textId="77777777" w:rsidR="00C23BD4" w:rsidRDefault="00073637">
            <w:pPr>
              <w:jc w:val="center"/>
              <w:rPr>
                <w:rFonts w:ascii="Arial" w:hAnsi="Arial" w:cs="Arial"/>
              </w:rPr>
            </w:pPr>
            <w:r>
              <w:rPr>
                <w:rFonts w:ascii="Arial" w:hAnsi="Arial" w:cs="Arial"/>
                <w:b w:val="0"/>
                <w:bCs w:val="0"/>
              </w:rPr>
              <w:t>12</w:t>
            </w:r>
          </w:p>
        </w:tc>
        <w:tc>
          <w:tcPr>
            <w:tcW w:w="4244" w:type="dxa"/>
            <w:tcBorders>
              <w:bottom w:val="single" w:sz="12" w:space="0" w:color="auto"/>
            </w:tcBorders>
          </w:tcPr>
          <w:p w14:paraId="216E3E89"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1D61BFF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4.02</w:t>
            </w:r>
          </w:p>
        </w:tc>
        <w:tc>
          <w:tcPr>
            <w:tcW w:w="1239" w:type="dxa"/>
            <w:tcBorders>
              <w:bottom w:val="single" w:sz="12" w:space="0" w:color="auto"/>
            </w:tcBorders>
          </w:tcPr>
          <w:p w14:paraId="4A0E81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Borders>
              <w:bottom w:val="single" w:sz="12" w:space="0" w:color="auto"/>
            </w:tcBorders>
          </w:tcPr>
          <w:p w14:paraId="2994C23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54E327C"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30951EDC"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63CDAEE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top w:val="single" w:sz="12" w:space="0" w:color="auto"/>
              <w:bottom w:val="single" w:sz="12" w:space="0" w:color="auto"/>
            </w:tcBorders>
          </w:tcPr>
          <w:p w14:paraId="64BC54C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w:t>
            </w:r>
          </w:p>
        </w:tc>
        <w:tc>
          <w:tcPr>
            <w:tcW w:w="1726" w:type="dxa"/>
            <w:tcBorders>
              <w:top w:val="single" w:sz="12" w:space="0" w:color="auto"/>
              <w:bottom w:val="single" w:sz="12" w:space="0" w:color="auto"/>
            </w:tcBorders>
          </w:tcPr>
          <w:p w14:paraId="280CFC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73F3845A" w14:textId="77777777" w:rsidR="00C23BD4" w:rsidRDefault="00C23BD4">
      <w:pPr>
        <w:jc w:val="center"/>
        <w:rPr>
          <w:rFonts w:ascii="Arial" w:hAnsi="Arial" w:cs="Arial"/>
        </w:rPr>
      </w:pPr>
    </w:p>
    <w:p w14:paraId="60297192" w14:textId="77777777" w:rsidR="00C23BD4" w:rsidRDefault="00073637">
      <w:pPr>
        <w:jc w:val="both"/>
        <w:rPr>
          <w:rFonts w:ascii="Arial" w:hAnsi="Arial" w:cs="Arial"/>
        </w:rPr>
      </w:pPr>
      <w:r>
        <w:rPr>
          <w:rFonts w:ascii="Arial" w:hAnsi="Arial" w:cs="Arial"/>
        </w:rPr>
        <w:t xml:space="preserve">The results indicated a generally high level of student satisfaction with the non-academic security services, with an average mean score of 4.12 and a standard deviation of 0.72. The statement “Assurance of safety and security near the vicinity of the school” received the highest mean score of 4.30, interpreted as Very High. This reflects the students’ strong perception of feeling safe not only on campus but also in the surrounding areas. This finding supports the research of Smith and Shields (2018), who emphasized that students’ sense of security both on and around school premises significantly influences their overall satisfaction and well-being. Similarly, Johnson et al. (2020) highlighted that proactive security measures extending beyond campus borders enhance students’ confidence in their learning environment and contribute to a positive academic experience. The very high rating in this aspect suggests that Davao Oriental State University – </w:t>
      </w:r>
      <w:proofErr w:type="spellStart"/>
      <w:r>
        <w:rPr>
          <w:rFonts w:ascii="Arial" w:hAnsi="Arial" w:cs="Arial"/>
        </w:rPr>
        <w:t>Cateel</w:t>
      </w:r>
      <w:proofErr w:type="spellEnd"/>
      <w:r>
        <w:rPr>
          <w:rFonts w:ascii="Arial" w:hAnsi="Arial" w:cs="Arial"/>
        </w:rPr>
        <w:t xml:space="preserve"> Campus has effectively implemented safety policies that foster a secure atmosphere for students, which aligns with these studies' recommendations.</w:t>
      </w:r>
    </w:p>
    <w:p w14:paraId="30F6D810" w14:textId="77777777" w:rsidR="00C23BD4" w:rsidRDefault="00073637">
      <w:pPr>
        <w:jc w:val="both"/>
        <w:rPr>
          <w:rFonts w:ascii="Arial" w:hAnsi="Arial" w:cs="Arial"/>
        </w:rPr>
      </w:pPr>
      <w:r>
        <w:rPr>
          <w:rFonts w:ascii="Arial" w:hAnsi="Arial" w:cs="Arial"/>
        </w:rPr>
        <w:t xml:space="preserve">On the other hand, the lowest-rated item, “Provision of immediate attention to students' needs,” scored a mean of 4.01, still within the High interpretation but relatively lower compared to other indicators. This supports the findings of Garcia and Cruz (2017), who noted that while </w:t>
      </w:r>
      <w:r>
        <w:rPr>
          <w:rFonts w:ascii="Arial" w:hAnsi="Arial" w:cs="Arial"/>
        </w:rPr>
        <w:lastRenderedPageBreak/>
        <w:t>many institutions maintain visible and responsive security personnel, immediate responsiveness to student concerns can sometimes be inconsistent due to staffing or procedural limitations. The slight gap indicates an opportunity for improvement in ensuring prompt attention to student requests or complaints, which is critical in fostering trust and a supportive campus environment. Overall, the average mean of 4.12 indicates a high level of satisfaction with security services, reinforcing the importance of comprehensive and accessible security operations as vital components of student support services, as affirmed by Lopez and Santos (2019).</w:t>
      </w:r>
    </w:p>
    <w:p w14:paraId="08CBB87B" w14:textId="77777777" w:rsidR="00C23BD4" w:rsidRDefault="00C23BD4">
      <w:pPr>
        <w:jc w:val="both"/>
        <w:rPr>
          <w:rFonts w:ascii="Arial" w:hAnsi="Arial" w:cs="Arial"/>
        </w:rPr>
      </w:pPr>
    </w:p>
    <w:p w14:paraId="0A70F1EC" w14:textId="00341D0B" w:rsidR="00C23BD4" w:rsidRDefault="00073637">
      <w:pPr>
        <w:jc w:val="center"/>
        <w:rPr>
          <w:rFonts w:ascii="Arial" w:hAnsi="Arial" w:cs="Arial"/>
          <w:b/>
          <w:bCs/>
          <w:sz w:val="22"/>
          <w:szCs w:val="22"/>
        </w:rPr>
      </w:pPr>
      <w:r>
        <w:rPr>
          <w:rFonts w:ascii="Arial" w:hAnsi="Arial" w:cs="Arial"/>
          <w:b/>
          <w:bCs/>
          <w:sz w:val="22"/>
          <w:szCs w:val="22"/>
        </w:rPr>
        <w:t>Table 1</w:t>
      </w:r>
      <w:r w:rsidR="00637EB9">
        <w:rPr>
          <w:rFonts w:ascii="Arial" w:hAnsi="Arial" w:cs="Arial"/>
          <w:b/>
          <w:bCs/>
          <w:sz w:val="22"/>
          <w:szCs w:val="22"/>
        </w:rPr>
        <w:t>5</w:t>
      </w:r>
      <w:r>
        <w:rPr>
          <w:rFonts w:ascii="Arial" w:hAnsi="Arial" w:cs="Arial"/>
          <w:b/>
          <w:bCs/>
          <w:sz w:val="22"/>
          <w:szCs w:val="22"/>
        </w:rPr>
        <w:t xml:space="preserve">. </w:t>
      </w:r>
      <w:bookmarkStart w:id="12" w:name="_Hlk197598660"/>
      <w:r>
        <w:rPr>
          <w:rFonts w:ascii="Arial" w:hAnsi="Arial" w:cs="Arial"/>
          <w:b/>
          <w:bCs/>
          <w:sz w:val="22"/>
          <w:szCs w:val="22"/>
        </w:rPr>
        <w:t>Level of student’s satisfaction with non- academic services in terms of Maintenance Services</w:t>
      </w:r>
      <w:bookmarkEnd w:id="12"/>
    </w:p>
    <w:p w14:paraId="29FD96CB"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3BD00927"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08EBC19"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7ED2B01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73BA7E94"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5496F4DE"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3E3CC14A"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144D977B"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36FBEBC5"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7990ACC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maintenance staff</w:t>
            </w:r>
          </w:p>
          <w:p w14:paraId="3E41EBD8"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0201A04E"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4.11</w:t>
            </w:r>
          </w:p>
        </w:tc>
        <w:tc>
          <w:tcPr>
            <w:tcW w:w="1239" w:type="dxa"/>
            <w:tcBorders>
              <w:top w:val="single" w:sz="12" w:space="0" w:color="auto"/>
            </w:tcBorders>
          </w:tcPr>
          <w:p w14:paraId="136F73D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Borders>
              <w:top w:val="single" w:sz="12" w:space="0" w:color="auto"/>
            </w:tcBorders>
          </w:tcPr>
          <w:p w14:paraId="35BC4FC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7DE20D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FB90BC4" w14:textId="77777777" w:rsidR="00C23BD4" w:rsidRDefault="00073637">
            <w:pPr>
              <w:jc w:val="center"/>
              <w:rPr>
                <w:rFonts w:ascii="Arial" w:hAnsi="Arial" w:cs="Arial"/>
              </w:rPr>
            </w:pPr>
            <w:r>
              <w:rPr>
                <w:rFonts w:ascii="Arial" w:hAnsi="Arial" w:cs="Arial"/>
                <w:b w:val="0"/>
                <w:bCs w:val="0"/>
              </w:rPr>
              <w:t>2</w:t>
            </w:r>
          </w:p>
        </w:tc>
        <w:tc>
          <w:tcPr>
            <w:tcW w:w="4244" w:type="dxa"/>
          </w:tcPr>
          <w:p w14:paraId="79056658"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neat, service-oriented, and approachable maintenance staff</w:t>
            </w:r>
          </w:p>
        </w:tc>
        <w:tc>
          <w:tcPr>
            <w:tcW w:w="850" w:type="dxa"/>
          </w:tcPr>
          <w:p w14:paraId="5F343FD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tc>
        <w:tc>
          <w:tcPr>
            <w:tcW w:w="1239" w:type="dxa"/>
          </w:tcPr>
          <w:p w14:paraId="72812C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w:t>
            </w:r>
          </w:p>
        </w:tc>
        <w:tc>
          <w:tcPr>
            <w:tcW w:w="1726" w:type="dxa"/>
          </w:tcPr>
          <w:p w14:paraId="60A3D2E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8FB989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F9D96F0" w14:textId="77777777" w:rsidR="00C23BD4" w:rsidRDefault="00073637">
            <w:pPr>
              <w:jc w:val="center"/>
              <w:rPr>
                <w:rFonts w:ascii="Arial" w:hAnsi="Arial" w:cs="Arial"/>
              </w:rPr>
            </w:pPr>
            <w:r>
              <w:rPr>
                <w:rFonts w:ascii="Arial" w:hAnsi="Arial" w:cs="Arial"/>
                <w:b w:val="0"/>
                <w:bCs w:val="0"/>
              </w:rPr>
              <w:t>3</w:t>
            </w:r>
          </w:p>
        </w:tc>
        <w:tc>
          <w:tcPr>
            <w:tcW w:w="4244" w:type="dxa"/>
          </w:tcPr>
          <w:p w14:paraId="0BB46B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Attentiveness of maintenance staff to students' needs</w:t>
            </w:r>
          </w:p>
        </w:tc>
        <w:tc>
          <w:tcPr>
            <w:tcW w:w="850" w:type="dxa"/>
          </w:tcPr>
          <w:p w14:paraId="237BA0E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58D9575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24F8D47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D4405D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71AD8DC" w14:textId="77777777" w:rsidR="00C23BD4" w:rsidRDefault="00073637">
            <w:pPr>
              <w:jc w:val="center"/>
              <w:rPr>
                <w:rFonts w:ascii="Arial" w:hAnsi="Arial" w:cs="Arial"/>
              </w:rPr>
            </w:pPr>
            <w:r>
              <w:rPr>
                <w:rFonts w:ascii="Arial" w:hAnsi="Arial" w:cs="Arial"/>
                <w:b w:val="0"/>
                <w:bCs w:val="0"/>
              </w:rPr>
              <w:t>4</w:t>
            </w:r>
          </w:p>
        </w:tc>
        <w:tc>
          <w:tcPr>
            <w:tcW w:w="4244" w:type="dxa"/>
          </w:tcPr>
          <w:p w14:paraId="0BFE6CA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classrooms</w:t>
            </w:r>
          </w:p>
        </w:tc>
        <w:tc>
          <w:tcPr>
            <w:tcW w:w="850" w:type="dxa"/>
          </w:tcPr>
          <w:p w14:paraId="3A9C133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109B2F0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2C6802E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433A9A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5A13CEF" w14:textId="77777777" w:rsidR="00C23BD4" w:rsidRDefault="00073637">
            <w:pPr>
              <w:jc w:val="center"/>
              <w:rPr>
                <w:rFonts w:ascii="Arial" w:hAnsi="Arial" w:cs="Arial"/>
              </w:rPr>
            </w:pPr>
            <w:r>
              <w:rPr>
                <w:rFonts w:ascii="Arial" w:hAnsi="Arial" w:cs="Arial"/>
                <w:b w:val="0"/>
                <w:bCs w:val="0"/>
              </w:rPr>
              <w:t>5</w:t>
            </w:r>
          </w:p>
        </w:tc>
        <w:tc>
          <w:tcPr>
            <w:tcW w:w="4244" w:type="dxa"/>
          </w:tcPr>
          <w:p w14:paraId="35AB744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lobbies</w:t>
            </w:r>
          </w:p>
        </w:tc>
        <w:tc>
          <w:tcPr>
            <w:tcW w:w="850" w:type="dxa"/>
          </w:tcPr>
          <w:p w14:paraId="0D982D9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Pr>
          <w:p w14:paraId="2218FDD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3CF56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61F345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3D014B62" w14:textId="77777777" w:rsidR="00C23BD4" w:rsidRDefault="00073637">
            <w:pPr>
              <w:jc w:val="center"/>
              <w:rPr>
                <w:rFonts w:ascii="Arial" w:hAnsi="Arial" w:cs="Arial"/>
              </w:rPr>
            </w:pPr>
            <w:r>
              <w:rPr>
                <w:rFonts w:ascii="Arial" w:hAnsi="Arial" w:cs="Arial"/>
                <w:b w:val="0"/>
                <w:bCs w:val="0"/>
              </w:rPr>
              <w:t>6</w:t>
            </w:r>
          </w:p>
        </w:tc>
        <w:tc>
          <w:tcPr>
            <w:tcW w:w="4244" w:type="dxa"/>
          </w:tcPr>
          <w:p w14:paraId="75B5B9E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campus grounds</w:t>
            </w:r>
          </w:p>
        </w:tc>
        <w:tc>
          <w:tcPr>
            <w:tcW w:w="850" w:type="dxa"/>
          </w:tcPr>
          <w:p w14:paraId="57A9C1D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267D1BC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28A0A67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6A450FE"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628CDC4" w14:textId="77777777" w:rsidR="00C23BD4" w:rsidRDefault="00073637">
            <w:pPr>
              <w:jc w:val="center"/>
              <w:rPr>
                <w:rFonts w:ascii="Arial" w:hAnsi="Arial" w:cs="Arial"/>
              </w:rPr>
            </w:pPr>
            <w:r>
              <w:rPr>
                <w:rFonts w:ascii="Arial" w:hAnsi="Arial" w:cs="Arial"/>
                <w:b w:val="0"/>
                <w:bCs w:val="0"/>
              </w:rPr>
              <w:t>7</w:t>
            </w:r>
          </w:p>
        </w:tc>
        <w:tc>
          <w:tcPr>
            <w:tcW w:w="4244" w:type="dxa"/>
          </w:tcPr>
          <w:p w14:paraId="466ACD5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clean and adequate lighting system in comfort rooms</w:t>
            </w:r>
          </w:p>
        </w:tc>
        <w:tc>
          <w:tcPr>
            <w:tcW w:w="850" w:type="dxa"/>
          </w:tcPr>
          <w:p w14:paraId="0A53729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4.04</w:t>
            </w:r>
          </w:p>
        </w:tc>
        <w:tc>
          <w:tcPr>
            <w:tcW w:w="1239" w:type="dxa"/>
          </w:tcPr>
          <w:p w14:paraId="3E6006B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0.86</w:t>
            </w:r>
          </w:p>
        </w:tc>
        <w:tc>
          <w:tcPr>
            <w:tcW w:w="1726" w:type="dxa"/>
          </w:tcPr>
          <w:p w14:paraId="04EE57A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963C8E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8C3FF22" w14:textId="77777777" w:rsidR="00C23BD4" w:rsidRDefault="00073637">
            <w:pPr>
              <w:jc w:val="center"/>
              <w:rPr>
                <w:rFonts w:ascii="Arial" w:hAnsi="Arial" w:cs="Arial"/>
              </w:rPr>
            </w:pPr>
            <w:r>
              <w:rPr>
                <w:rFonts w:ascii="Arial" w:hAnsi="Arial" w:cs="Arial"/>
                <w:b w:val="0"/>
                <w:bCs w:val="0"/>
              </w:rPr>
              <w:t>8</w:t>
            </w:r>
          </w:p>
        </w:tc>
        <w:tc>
          <w:tcPr>
            <w:tcW w:w="4244" w:type="dxa"/>
          </w:tcPr>
          <w:p w14:paraId="021F938C"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Immediate repair of damaged school property</w:t>
            </w:r>
          </w:p>
        </w:tc>
        <w:tc>
          <w:tcPr>
            <w:tcW w:w="850" w:type="dxa"/>
          </w:tcPr>
          <w:p w14:paraId="106C0D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3.90</w:t>
            </w:r>
          </w:p>
        </w:tc>
        <w:tc>
          <w:tcPr>
            <w:tcW w:w="1239" w:type="dxa"/>
          </w:tcPr>
          <w:p w14:paraId="1C47C3C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0.92</w:t>
            </w:r>
          </w:p>
        </w:tc>
        <w:tc>
          <w:tcPr>
            <w:tcW w:w="1726" w:type="dxa"/>
          </w:tcPr>
          <w:p w14:paraId="082DA01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2E865D9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41E4BDC" w14:textId="77777777" w:rsidR="00C23BD4" w:rsidRDefault="00073637">
            <w:pPr>
              <w:jc w:val="center"/>
              <w:rPr>
                <w:rFonts w:ascii="Arial" w:hAnsi="Arial" w:cs="Arial"/>
              </w:rPr>
            </w:pPr>
            <w:r>
              <w:rPr>
                <w:rFonts w:ascii="Arial" w:hAnsi="Arial" w:cs="Arial"/>
                <w:b w:val="0"/>
                <w:bCs w:val="0"/>
              </w:rPr>
              <w:t>9</w:t>
            </w:r>
          </w:p>
        </w:tc>
        <w:tc>
          <w:tcPr>
            <w:tcW w:w="4244" w:type="dxa"/>
          </w:tcPr>
          <w:p w14:paraId="795114E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supply of trash bins</w:t>
            </w:r>
          </w:p>
          <w:p w14:paraId="369AF366"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1786D0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Pr>
          <w:p w14:paraId="33FC026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w:t>
            </w:r>
          </w:p>
        </w:tc>
        <w:tc>
          <w:tcPr>
            <w:tcW w:w="1726" w:type="dxa"/>
          </w:tcPr>
          <w:p w14:paraId="65F6221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4EFB305"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3C13B26" w14:textId="77777777" w:rsidR="00C23BD4" w:rsidRDefault="00073637">
            <w:pPr>
              <w:jc w:val="center"/>
              <w:rPr>
                <w:rFonts w:ascii="Arial" w:hAnsi="Arial" w:cs="Arial"/>
              </w:rPr>
            </w:pPr>
            <w:r>
              <w:rPr>
                <w:rFonts w:ascii="Arial" w:hAnsi="Arial" w:cs="Arial"/>
                <w:b w:val="0"/>
                <w:bCs w:val="0"/>
              </w:rPr>
              <w:t>10</w:t>
            </w:r>
          </w:p>
        </w:tc>
        <w:tc>
          <w:tcPr>
            <w:tcW w:w="4244" w:type="dxa"/>
          </w:tcPr>
          <w:p w14:paraId="57072414"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the Maintenance Office</w:t>
            </w:r>
          </w:p>
          <w:p w14:paraId="47FFF61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4190E6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4.07</w:t>
            </w:r>
          </w:p>
        </w:tc>
        <w:tc>
          <w:tcPr>
            <w:tcW w:w="1239" w:type="dxa"/>
          </w:tcPr>
          <w:p w14:paraId="6EF948F3"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6C708D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02C278F"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6AB3A7D9"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093B124B"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about services offered by the office</w:t>
            </w:r>
          </w:p>
        </w:tc>
        <w:tc>
          <w:tcPr>
            <w:tcW w:w="850" w:type="dxa"/>
            <w:tcBorders>
              <w:bottom w:val="single" w:sz="12" w:space="0" w:color="auto"/>
            </w:tcBorders>
          </w:tcPr>
          <w:p w14:paraId="3A396E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4.01</w:t>
            </w:r>
          </w:p>
        </w:tc>
        <w:tc>
          <w:tcPr>
            <w:tcW w:w="1239" w:type="dxa"/>
            <w:tcBorders>
              <w:bottom w:val="single" w:sz="12" w:space="0" w:color="auto"/>
            </w:tcBorders>
          </w:tcPr>
          <w:p w14:paraId="4848B25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27EED3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0D3E847"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08F6477C"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6B210BCD"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Borders>
              <w:top w:val="single" w:sz="12" w:space="0" w:color="auto"/>
              <w:bottom w:val="single" w:sz="12" w:space="0" w:color="auto"/>
            </w:tcBorders>
          </w:tcPr>
          <w:p w14:paraId="6DCEBA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0.67</w:t>
            </w:r>
          </w:p>
        </w:tc>
        <w:tc>
          <w:tcPr>
            <w:tcW w:w="1726" w:type="dxa"/>
            <w:tcBorders>
              <w:top w:val="single" w:sz="12" w:space="0" w:color="auto"/>
              <w:bottom w:val="single" w:sz="12" w:space="0" w:color="auto"/>
            </w:tcBorders>
          </w:tcPr>
          <w:p w14:paraId="2EDC346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6C82CBD9" w14:textId="77777777" w:rsidR="00C23BD4" w:rsidRDefault="00C23BD4">
      <w:pPr>
        <w:jc w:val="center"/>
        <w:rPr>
          <w:rFonts w:ascii="Arial" w:hAnsi="Arial" w:cs="Arial"/>
          <w:sz w:val="22"/>
          <w:szCs w:val="22"/>
        </w:rPr>
      </w:pPr>
    </w:p>
    <w:p w14:paraId="70D33EC9" w14:textId="77777777" w:rsidR="00C23BD4" w:rsidRDefault="00073637">
      <w:pPr>
        <w:jc w:val="both"/>
        <w:rPr>
          <w:rFonts w:ascii="Arial" w:hAnsi="Arial" w:cs="Arial"/>
        </w:rPr>
      </w:pPr>
      <w:r>
        <w:rPr>
          <w:rFonts w:ascii="Arial" w:hAnsi="Arial" w:cs="Arial"/>
        </w:rPr>
        <w:t xml:space="preserve">The results indicated that students are generally satisfied with the maintenance service provided. The overall high rating of 4.05 reflected students’ positive perception of the availability, approachability, and service orientation of the maintenance personnel. The statement “Accommodating, neat, service-oriented, and approachable maintenance staff” scored the highest mean of 4.17, highlighting the significant role of maintenance personnel in creating a positive campus environment. This finding aligns with the study of Johnson and Wilson (2018), who found that approachable and attentive maintenance staff greatly contribute to students’ perception of campus safety and comfort. Their research underscored that the quality of interactions between maintenance personnel and students impacts overall satisfaction and fosters a welcoming academic atmosphere. The high rating on-staff availability 4.11 and attentiveness to student needs 4.12 further support this, suggesting that </w:t>
      </w:r>
      <w:proofErr w:type="gramStart"/>
      <w:r>
        <w:rPr>
          <w:rFonts w:ascii="Arial" w:hAnsi="Arial" w:cs="Arial"/>
        </w:rPr>
        <w:t>students</w:t>
      </w:r>
      <w:proofErr w:type="gramEnd"/>
      <w:r>
        <w:rPr>
          <w:rFonts w:ascii="Arial" w:hAnsi="Arial" w:cs="Arial"/>
        </w:rPr>
        <w:t xml:space="preserve"> value both the presence and responsiveness of the maintenance team.</w:t>
      </w:r>
    </w:p>
    <w:p w14:paraId="731CA811" w14:textId="77777777" w:rsidR="00C23BD4" w:rsidRDefault="00073637">
      <w:pPr>
        <w:jc w:val="both"/>
        <w:rPr>
          <w:rFonts w:ascii="Arial" w:hAnsi="Arial" w:cs="Arial"/>
        </w:rPr>
      </w:pPr>
      <w:r>
        <w:rPr>
          <w:rFonts w:ascii="Arial" w:hAnsi="Arial" w:cs="Arial"/>
        </w:rPr>
        <w:t xml:space="preserve">Furthermore, the importance of physical infrastructure maintenance is also reflected in the high mean scores for adequate lighting in classrooms, lobbies, campus grounds, and comfort </w:t>
      </w:r>
      <w:r>
        <w:rPr>
          <w:rFonts w:ascii="Arial" w:hAnsi="Arial" w:cs="Arial"/>
        </w:rPr>
        <w:lastRenderedPageBreak/>
        <w:t>rooms, all rated around 4.04-4.05. This corresponds with the findings of Garcia and Santos (2020), who emphasized that clean and well-maintained facilities, including proper lighting and immediate repairs, enhance student safety and contribute to a conducive learning environment. The statement on “Immediate repair of damaged school property” received a slightly lower, but still high, mean score of 3.90, indicating room for improvement in responsiveness to maintenance issues. This aligns with Lopez et al. (2017), who argued that timely repairs are critical for maintaining facility quality and student satisfaction. Overall, the findings suggest that the university’s maintenance services meet student expectations well, but ongoing efforts to sustain and improve these services will be important to maintain high satisfaction levels.</w:t>
      </w:r>
    </w:p>
    <w:p w14:paraId="2D68888A" w14:textId="77777777" w:rsidR="00C23BD4" w:rsidRDefault="00C23BD4">
      <w:pPr>
        <w:jc w:val="both"/>
        <w:rPr>
          <w:rFonts w:ascii="Arial" w:hAnsi="Arial" w:cs="Arial"/>
        </w:rPr>
      </w:pPr>
    </w:p>
    <w:p w14:paraId="1E4AF36C" w14:textId="3EFD8E44" w:rsidR="00C23BD4" w:rsidRDefault="00073637">
      <w:pPr>
        <w:jc w:val="center"/>
        <w:rPr>
          <w:rFonts w:ascii="Arial" w:hAnsi="Arial" w:cs="Arial"/>
          <w:b/>
          <w:bCs/>
          <w:sz w:val="22"/>
          <w:szCs w:val="22"/>
        </w:rPr>
      </w:pPr>
      <w:r>
        <w:rPr>
          <w:rFonts w:ascii="Arial" w:hAnsi="Arial" w:cs="Arial"/>
          <w:b/>
          <w:bCs/>
          <w:sz w:val="22"/>
          <w:szCs w:val="22"/>
        </w:rPr>
        <w:t>Table 1</w:t>
      </w:r>
      <w:r w:rsidR="00637EB9">
        <w:rPr>
          <w:rFonts w:ascii="Arial" w:hAnsi="Arial" w:cs="Arial"/>
          <w:b/>
          <w:bCs/>
          <w:sz w:val="22"/>
          <w:szCs w:val="22"/>
        </w:rPr>
        <w:t>6</w:t>
      </w:r>
      <w:r>
        <w:rPr>
          <w:rFonts w:ascii="Arial" w:hAnsi="Arial" w:cs="Arial"/>
          <w:b/>
          <w:bCs/>
          <w:sz w:val="22"/>
          <w:szCs w:val="22"/>
        </w:rPr>
        <w:t xml:space="preserve">. </w:t>
      </w:r>
      <w:bookmarkStart w:id="13" w:name="_Hlk197598678"/>
      <w:r>
        <w:rPr>
          <w:rFonts w:ascii="Arial" w:hAnsi="Arial" w:cs="Arial"/>
          <w:b/>
          <w:bCs/>
          <w:sz w:val="22"/>
          <w:szCs w:val="22"/>
        </w:rPr>
        <w:t>Level of student’s satisfaction with non- academic services in terms of Accounting Office Services</w:t>
      </w:r>
      <w:bookmarkEnd w:id="13"/>
    </w:p>
    <w:p w14:paraId="3C692F2E" w14:textId="77777777" w:rsidR="00C23BD4" w:rsidRDefault="00C23BD4">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C23BD4" w14:paraId="5074C64B" w14:textId="77777777" w:rsidTr="00C2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2A43D35A" w14:textId="77777777" w:rsidR="00C23BD4" w:rsidRDefault="00073637">
            <w:pPr>
              <w:jc w:val="center"/>
              <w:rPr>
                <w:rFonts w:ascii="Arial" w:hAnsi="Arial" w:cs="Arial"/>
                <w:b w:val="0"/>
                <w:bCs w:val="0"/>
              </w:rPr>
            </w:pPr>
            <w:r>
              <w:rPr>
                <w:rFonts w:ascii="Arial" w:hAnsi="Arial" w:cs="Arial"/>
              </w:rPr>
              <w:t>No.</w:t>
            </w:r>
          </w:p>
        </w:tc>
        <w:tc>
          <w:tcPr>
            <w:tcW w:w="4244" w:type="dxa"/>
            <w:tcBorders>
              <w:top w:val="single" w:sz="12" w:space="0" w:color="auto"/>
              <w:bottom w:val="single" w:sz="12" w:space="0" w:color="auto"/>
            </w:tcBorders>
          </w:tcPr>
          <w:p w14:paraId="070FDCC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Statement</w:t>
            </w:r>
          </w:p>
        </w:tc>
        <w:tc>
          <w:tcPr>
            <w:tcW w:w="850" w:type="dxa"/>
            <w:tcBorders>
              <w:top w:val="single" w:sz="12" w:space="0" w:color="auto"/>
              <w:bottom w:val="single" w:sz="12" w:space="0" w:color="auto"/>
            </w:tcBorders>
          </w:tcPr>
          <w:p w14:paraId="06961AF6"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Mean</w:t>
            </w:r>
          </w:p>
        </w:tc>
        <w:tc>
          <w:tcPr>
            <w:tcW w:w="1239" w:type="dxa"/>
            <w:tcBorders>
              <w:top w:val="single" w:sz="12" w:space="0" w:color="auto"/>
              <w:bottom w:val="single" w:sz="12" w:space="0" w:color="auto"/>
            </w:tcBorders>
          </w:tcPr>
          <w:p w14:paraId="47950038"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Std. Deviation</w:t>
            </w:r>
          </w:p>
        </w:tc>
        <w:tc>
          <w:tcPr>
            <w:tcW w:w="1726" w:type="dxa"/>
            <w:tcBorders>
              <w:top w:val="single" w:sz="12" w:space="0" w:color="auto"/>
              <w:bottom w:val="single" w:sz="12" w:space="0" w:color="auto"/>
            </w:tcBorders>
          </w:tcPr>
          <w:p w14:paraId="3A364EAB" w14:textId="77777777" w:rsidR="00C23BD4" w:rsidRDefault="000736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Interpretation</w:t>
            </w:r>
          </w:p>
        </w:tc>
      </w:tr>
      <w:tr w:rsidR="00C23BD4" w14:paraId="6A58EE5D"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2AE812B9" w14:textId="77777777" w:rsidR="00C23BD4" w:rsidRDefault="00073637">
            <w:pPr>
              <w:jc w:val="center"/>
              <w:rPr>
                <w:rFonts w:ascii="Arial" w:hAnsi="Arial" w:cs="Arial"/>
              </w:rPr>
            </w:pPr>
            <w:r>
              <w:rPr>
                <w:rFonts w:ascii="Arial" w:hAnsi="Arial" w:cs="Arial"/>
                <w:b w:val="0"/>
                <w:bCs w:val="0"/>
              </w:rPr>
              <w:t>1</w:t>
            </w:r>
          </w:p>
        </w:tc>
        <w:tc>
          <w:tcPr>
            <w:tcW w:w="4244" w:type="dxa"/>
            <w:tcBorders>
              <w:top w:val="single" w:sz="12" w:space="0" w:color="auto"/>
            </w:tcBorders>
          </w:tcPr>
          <w:p w14:paraId="2423172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accounting staff</w:t>
            </w:r>
          </w:p>
          <w:p w14:paraId="713B113F"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Borders>
              <w:top w:val="single" w:sz="12" w:space="0" w:color="auto"/>
            </w:tcBorders>
          </w:tcPr>
          <w:p w14:paraId="021189F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4.18</w:t>
            </w:r>
          </w:p>
        </w:tc>
        <w:tc>
          <w:tcPr>
            <w:tcW w:w="1239" w:type="dxa"/>
            <w:tcBorders>
              <w:top w:val="single" w:sz="12" w:space="0" w:color="auto"/>
            </w:tcBorders>
          </w:tcPr>
          <w:p w14:paraId="75E56CF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0.76</w:t>
            </w:r>
          </w:p>
        </w:tc>
        <w:tc>
          <w:tcPr>
            <w:tcW w:w="1726" w:type="dxa"/>
            <w:tcBorders>
              <w:top w:val="single" w:sz="12" w:space="0" w:color="auto"/>
            </w:tcBorders>
          </w:tcPr>
          <w:p w14:paraId="7D92231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1F4901A"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70BD4ADC" w14:textId="77777777" w:rsidR="00C23BD4" w:rsidRDefault="00073637">
            <w:pPr>
              <w:jc w:val="center"/>
              <w:rPr>
                <w:rFonts w:ascii="Arial" w:hAnsi="Arial" w:cs="Arial"/>
              </w:rPr>
            </w:pPr>
            <w:r>
              <w:rPr>
                <w:rFonts w:ascii="Arial" w:hAnsi="Arial" w:cs="Arial"/>
                <w:b w:val="0"/>
                <w:bCs w:val="0"/>
              </w:rPr>
              <w:t>2</w:t>
            </w:r>
          </w:p>
        </w:tc>
        <w:tc>
          <w:tcPr>
            <w:tcW w:w="4244" w:type="dxa"/>
          </w:tcPr>
          <w:p w14:paraId="28EDDB66"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Accommodating, service-oriented, and approachable accounting staff</w:t>
            </w:r>
          </w:p>
        </w:tc>
        <w:tc>
          <w:tcPr>
            <w:tcW w:w="850" w:type="dxa"/>
          </w:tcPr>
          <w:p w14:paraId="4806AD1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tc>
        <w:tc>
          <w:tcPr>
            <w:tcW w:w="1239" w:type="dxa"/>
          </w:tcPr>
          <w:p w14:paraId="432B782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75ACD1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B42A6A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1E48D60B" w14:textId="77777777" w:rsidR="00C23BD4" w:rsidRDefault="00073637">
            <w:pPr>
              <w:jc w:val="center"/>
              <w:rPr>
                <w:rFonts w:ascii="Arial" w:hAnsi="Arial" w:cs="Arial"/>
              </w:rPr>
            </w:pPr>
            <w:r>
              <w:rPr>
                <w:rFonts w:ascii="Arial" w:hAnsi="Arial" w:cs="Arial"/>
                <w:b w:val="0"/>
                <w:bCs w:val="0"/>
              </w:rPr>
              <w:t>3</w:t>
            </w:r>
          </w:p>
        </w:tc>
        <w:tc>
          <w:tcPr>
            <w:tcW w:w="4244" w:type="dxa"/>
          </w:tcPr>
          <w:p w14:paraId="6B4817FF"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the payment system</w:t>
            </w:r>
          </w:p>
          <w:p w14:paraId="47CD84BA"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3269AD6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Pr>
          <w:p w14:paraId="1B2E66D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5E2B3950"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EEE15E7"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700206D" w14:textId="77777777" w:rsidR="00C23BD4" w:rsidRDefault="00073637">
            <w:pPr>
              <w:jc w:val="center"/>
              <w:rPr>
                <w:rFonts w:ascii="Arial" w:hAnsi="Arial" w:cs="Arial"/>
              </w:rPr>
            </w:pPr>
            <w:r>
              <w:rPr>
                <w:rFonts w:ascii="Arial" w:hAnsi="Arial" w:cs="Arial"/>
                <w:b w:val="0"/>
                <w:bCs w:val="0"/>
              </w:rPr>
              <w:t>4</w:t>
            </w:r>
          </w:p>
        </w:tc>
        <w:tc>
          <w:tcPr>
            <w:tcW w:w="4244" w:type="dxa"/>
          </w:tcPr>
          <w:p w14:paraId="2AE89B37"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Speed of financial transactions</w:t>
            </w:r>
          </w:p>
          <w:p w14:paraId="38974780"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E9ECE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239" w:type="dxa"/>
          </w:tcPr>
          <w:p w14:paraId="4D526B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6DF158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161B1D7F"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ECB1E99" w14:textId="77777777" w:rsidR="00C23BD4" w:rsidRDefault="00073637">
            <w:pPr>
              <w:jc w:val="center"/>
              <w:rPr>
                <w:rFonts w:ascii="Arial" w:hAnsi="Arial" w:cs="Arial"/>
              </w:rPr>
            </w:pPr>
            <w:r>
              <w:rPr>
                <w:rFonts w:ascii="Arial" w:hAnsi="Arial" w:cs="Arial"/>
                <w:b w:val="0"/>
                <w:bCs w:val="0"/>
              </w:rPr>
              <w:t>5</w:t>
            </w:r>
          </w:p>
        </w:tc>
        <w:tc>
          <w:tcPr>
            <w:tcW w:w="4244" w:type="dxa"/>
          </w:tcPr>
          <w:p w14:paraId="0161D211"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Accuracy of financial transactions</w:t>
            </w:r>
          </w:p>
          <w:p w14:paraId="20C47AAB"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CA2B73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795B3D5C"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0.82</w:t>
            </w:r>
          </w:p>
        </w:tc>
        <w:tc>
          <w:tcPr>
            <w:tcW w:w="1726" w:type="dxa"/>
          </w:tcPr>
          <w:p w14:paraId="3C4DF77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3131E626"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9474A62" w14:textId="77777777" w:rsidR="00C23BD4" w:rsidRDefault="00073637">
            <w:pPr>
              <w:jc w:val="center"/>
              <w:rPr>
                <w:rFonts w:ascii="Arial" w:hAnsi="Arial" w:cs="Arial"/>
              </w:rPr>
            </w:pPr>
            <w:r>
              <w:rPr>
                <w:rFonts w:ascii="Arial" w:hAnsi="Arial" w:cs="Arial"/>
                <w:b w:val="0"/>
                <w:bCs w:val="0"/>
              </w:rPr>
              <w:t>6</w:t>
            </w:r>
          </w:p>
        </w:tc>
        <w:tc>
          <w:tcPr>
            <w:tcW w:w="4244" w:type="dxa"/>
          </w:tcPr>
          <w:p w14:paraId="2EFD62C0"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accurate and updated statement of accounts</w:t>
            </w:r>
          </w:p>
        </w:tc>
        <w:tc>
          <w:tcPr>
            <w:tcW w:w="850" w:type="dxa"/>
          </w:tcPr>
          <w:p w14:paraId="49C22EB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4.08</w:t>
            </w:r>
          </w:p>
        </w:tc>
        <w:tc>
          <w:tcPr>
            <w:tcW w:w="1239" w:type="dxa"/>
          </w:tcPr>
          <w:p w14:paraId="39875A4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w:t>
            </w:r>
          </w:p>
        </w:tc>
        <w:tc>
          <w:tcPr>
            <w:tcW w:w="1726" w:type="dxa"/>
          </w:tcPr>
          <w:p w14:paraId="189F454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6889D4E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62571778" w14:textId="77777777" w:rsidR="00C23BD4" w:rsidRDefault="00073637">
            <w:pPr>
              <w:jc w:val="center"/>
              <w:rPr>
                <w:rFonts w:ascii="Arial" w:hAnsi="Arial" w:cs="Arial"/>
              </w:rPr>
            </w:pPr>
            <w:r>
              <w:rPr>
                <w:rFonts w:ascii="Arial" w:hAnsi="Arial" w:cs="Arial"/>
                <w:b w:val="0"/>
                <w:bCs w:val="0"/>
              </w:rPr>
              <w:t>7</w:t>
            </w:r>
          </w:p>
        </w:tc>
        <w:tc>
          <w:tcPr>
            <w:tcW w:w="4244" w:type="dxa"/>
          </w:tcPr>
          <w:p w14:paraId="422C445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Efficiency of the refund of payments</w:t>
            </w:r>
          </w:p>
          <w:p w14:paraId="37478199"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4D438DF1"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4.05</w:t>
            </w:r>
          </w:p>
        </w:tc>
        <w:tc>
          <w:tcPr>
            <w:tcW w:w="1239" w:type="dxa"/>
          </w:tcPr>
          <w:p w14:paraId="33A93BB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0.83</w:t>
            </w:r>
          </w:p>
        </w:tc>
        <w:tc>
          <w:tcPr>
            <w:tcW w:w="1726" w:type="dxa"/>
          </w:tcPr>
          <w:p w14:paraId="7E644A7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9D61EC9"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0AB89C2D" w14:textId="77777777" w:rsidR="00C23BD4" w:rsidRDefault="00073637">
            <w:pPr>
              <w:jc w:val="center"/>
              <w:rPr>
                <w:rFonts w:ascii="Arial" w:hAnsi="Arial" w:cs="Arial"/>
              </w:rPr>
            </w:pPr>
            <w:r>
              <w:rPr>
                <w:rFonts w:ascii="Arial" w:hAnsi="Arial" w:cs="Arial"/>
                <w:b w:val="0"/>
                <w:bCs w:val="0"/>
              </w:rPr>
              <w:t>8</w:t>
            </w:r>
          </w:p>
        </w:tc>
        <w:tc>
          <w:tcPr>
            <w:tcW w:w="4244" w:type="dxa"/>
          </w:tcPr>
          <w:p w14:paraId="674C150E"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Adequacy of the face-to-face office space to receive students</w:t>
            </w:r>
          </w:p>
        </w:tc>
        <w:tc>
          <w:tcPr>
            <w:tcW w:w="850" w:type="dxa"/>
          </w:tcPr>
          <w:p w14:paraId="6CD0A87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Pr>
          <w:p w14:paraId="1BDB5956"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w:t>
            </w:r>
          </w:p>
        </w:tc>
        <w:tc>
          <w:tcPr>
            <w:tcW w:w="1726" w:type="dxa"/>
          </w:tcPr>
          <w:p w14:paraId="48FF00FF"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77AD74A1"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2667F14B" w14:textId="77777777" w:rsidR="00C23BD4" w:rsidRDefault="00073637">
            <w:pPr>
              <w:jc w:val="center"/>
              <w:rPr>
                <w:rFonts w:ascii="Arial" w:hAnsi="Arial" w:cs="Arial"/>
              </w:rPr>
            </w:pPr>
            <w:r>
              <w:rPr>
                <w:rFonts w:ascii="Arial" w:hAnsi="Arial" w:cs="Arial"/>
                <w:b w:val="0"/>
                <w:bCs w:val="0"/>
              </w:rPr>
              <w:t>9</w:t>
            </w:r>
          </w:p>
        </w:tc>
        <w:tc>
          <w:tcPr>
            <w:tcW w:w="4244" w:type="dxa"/>
          </w:tcPr>
          <w:p w14:paraId="7CA08FDA"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Accessibility of accounting office</w:t>
            </w:r>
          </w:p>
          <w:p w14:paraId="36BB9495" w14:textId="77777777" w:rsidR="00C23BD4" w:rsidRDefault="00C23BD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53FF1AB"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4.20</w:t>
            </w:r>
          </w:p>
        </w:tc>
        <w:tc>
          <w:tcPr>
            <w:tcW w:w="1239" w:type="dxa"/>
          </w:tcPr>
          <w:p w14:paraId="1127094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w:t>
            </w:r>
          </w:p>
        </w:tc>
        <w:tc>
          <w:tcPr>
            <w:tcW w:w="1726" w:type="dxa"/>
          </w:tcPr>
          <w:p w14:paraId="219BF90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54DC603C" w14:textId="77777777" w:rsidTr="00C23BD4">
        <w:tc>
          <w:tcPr>
            <w:cnfStyle w:val="001000000000" w:firstRow="0" w:lastRow="0" w:firstColumn="1" w:lastColumn="0" w:oddVBand="0" w:evenVBand="0" w:oddHBand="0" w:evenHBand="0" w:firstRowFirstColumn="0" w:firstRowLastColumn="0" w:lastRowFirstColumn="0" w:lastRowLastColumn="0"/>
            <w:tcW w:w="571" w:type="dxa"/>
          </w:tcPr>
          <w:p w14:paraId="546044B1" w14:textId="77777777" w:rsidR="00C23BD4" w:rsidRDefault="00073637">
            <w:pPr>
              <w:jc w:val="center"/>
              <w:rPr>
                <w:rFonts w:ascii="Arial" w:hAnsi="Arial" w:cs="Arial"/>
              </w:rPr>
            </w:pPr>
            <w:r>
              <w:rPr>
                <w:rFonts w:ascii="Arial" w:hAnsi="Arial" w:cs="Arial"/>
                <w:b w:val="0"/>
                <w:bCs w:val="0"/>
              </w:rPr>
              <w:t>10</w:t>
            </w:r>
          </w:p>
        </w:tc>
        <w:tc>
          <w:tcPr>
            <w:tcW w:w="4244" w:type="dxa"/>
          </w:tcPr>
          <w:p w14:paraId="0C380C0D"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Availability of information regarding services offered</w:t>
            </w:r>
          </w:p>
        </w:tc>
        <w:tc>
          <w:tcPr>
            <w:tcW w:w="850" w:type="dxa"/>
          </w:tcPr>
          <w:p w14:paraId="5D3308B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4.13</w:t>
            </w:r>
          </w:p>
        </w:tc>
        <w:tc>
          <w:tcPr>
            <w:tcW w:w="1239" w:type="dxa"/>
          </w:tcPr>
          <w:p w14:paraId="09E244F4"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w:t>
            </w:r>
          </w:p>
        </w:tc>
        <w:tc>
          <w:tcPr>
            <w:tcW w:w="1726" w:type="dxa"/>
          </w:tcPr>
          <w:p w14:paraId="487BEA6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42782CF0" w14:textId="77777777" w:rsidTr="00C23BD4">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2564D070" w14:textId="77777777" w:rsidR="00C23BD4" w:rsidRDefault="00073637">
            <w:pPr>
              <w:jc w:val="center"/>
              <w:rPr>
                <w:rFonts w:ascii="Arial" w:hAnsi="Arial" w:cs="Arial"/>
              </w:rPr>
            </w:pPr>
            <w:r>
              <w:rPr>
                <w:rFonts w:ascii="Arial" w:hAnsi="Arial" w:cs="Arial"/>
                <w:b w:val="0"/>
                <w:bCs w:val="0"/>
              </w:rPr>
              <w:t>11</w:t>
            </w:r>
          </w:p>
        </w:tc>
        <w:tc>
          <w:tcPr>
            <w:tcW w:w="4244" w:type="dxa"/>
            <w:tcBorders>
              <w:bottom w:val="single" w:sz="12" w:space="0" w:color="auto"/>
            </w:tcBorders>
          </w:tcPr>
          <w:p w14:paraId="279D2F15" w14:textId="77777777" w:rsidR="00C23BD4" w:rsidRDefault="0007363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Provision of information regarding new policies in payments and settling of accounts</w:t>
            </w:r>
          </w:p>
        </w:tc>
        <w:tc>
          <w:tcPr>
            <w:tcW w:w="850" w:type="dxa"/>
            <w:tcBorders>
              <w:bottom w:val="single" w:sz="12" w:space="0" w:color="auto"/>
            </w:tcBorders>
          </w:tcPr>
          <w:p w14:paraId="5423FCAA"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w:t>
            </w:r>
          </w:p>
        </w:tc>
        <w:tc>
          <w:tcPr>
            <w:tcW w:w="1239" w:type="dxa"/>
            <w:tcBorders>
              <w:bottom w:val="single" w:sz="12" w:space="0" w:color="auto"/>
            </w:tcBorders>
          </w:tcPr>
          <w:p w14:paraId="03A0DCE7"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w:t>
            </w:r>
          </w:p>
        </w:tc>
        <w:tc>
          <w:tcPr>
            <w:tcW w:w="1726" w:type="dxa"/>
          </w:tcPr>
          <w:p w14:paraId="4D4746E9"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C23BD4" w14:paraId="0A742A79" w14:textId="77777777" w:rsidTr="00C23BD4">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760DA4B" w14:textId="77777777" w:rsidR="00C23BD4" w:rsidRDefault="00073637">
            <w:pPr>
              <w:jc w:val="center"/>
              <w:rPr>
                <w:rFonts w:ascii="Arial" w:hAnsi="Arial" w:cs="Arial"/>
              </w:rPr>
            </w:pPr>
            <w:r>
              <w:rPr>
                <w:rFonts w:ascii="Arial" w:hAnsi="Arial" w:cs="Arial"/>
              </w:rPr>
              <w:t>Average</w:t>
            </w:r>
          </w:p>
        </w:tc>
        <w:tc>
          <w:tcPr>
            <w:tcW w:w="850" w:type="dxa"/>
            <w:tcBorders>
              <w:top w:val="single" w:sz="12" w:space="0" w:color="auto"/>
              <w:bottom w:val="single" w:sz="12" w:space="0" w:color="auto"/>
            </w:tcBorders>
          </w:tcPr>
          <w:p w14:paraId="79A32052"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4.12</w:t>
            </w:r>
          </w:p>
        </w:tc>
        <w:tc>
          <w:tcPr>
            <w:tcW w:w="1239" w:type="dxa"/>
            <w:tcBorders>
              <w:top w:val="single" w:sz="12" w:space="0" w:color="auto"/>
              <w:bottom w:val="single" w:sz="12" w:space="0" w:color="auto"/>
            </w:tcBorders>
          </w:tcPr>
          <w:p w14:paraId="021BE905"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0.64</w:t>
            </w:r>
          </w:p>
        </w:tc>
        <w:tc>
          <w:tcPr>
            <w:tcW w:w="1726" w:type="dxa"/>
            <w:tcBorders>
              <w:top w:val="single" w:sz="12" w:space="0" w:color="auto"/>
              <w:bottom w:val="single" w:sz="12" w:space="0" w:color="auto"/>
            </w:tcBorders>
          </w:tcPr>
          <w:p w14:paraId="03C728C8" w14:textId="77777777" w:rsidR="00C23BD4" w:rsidRDefault="000736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258E15B4" w14:textId="77777777" w:rsidR="00C23BD4" w:rsidRDefault="00C23BD4">
      <w:pPr>
        <w:jc w:val="center"/>
        <w:rPr>
          <w:rFonts w:ascii="Arial" w:hAnsi="Arial" w:cs="Arial"/>
          <w:sz w:val="22"/>
          <w:szCs w:val="22"/>
        </w:rPr>
      </w:pPr>
    </w:p>
    <w:p w14:paraId="56E355FC" w14:textId="77777777" w:rsidR="00C23BD4" w:rsidRDefault="00073637">
      <w:pPr>
        <w:jc w:val="both"/>
        <w:rPr>
          <w:rFonts w:ascii="Arial" w:hAnsi="Arial" w:cs="Arial"/>
        </w:rPr>
      </w:pPr>
      <w:r>
        <w:rPr>
          <w:rFonts w:ascii="Arial" w:hAnsi="Arial" w:cs="Arial"/>
        </w:rPr>
        <w:t xml:space="preserve">The results showed that students at Davao Oriental State University – </w:t>
      </w:r>
      <w:proofErr w:type="spellStart"/>
      <w:r>
        <w:rPr>
          <w:rFonts w:ascii="Arial" w:hAnsi="Arial" w:cs="Arial"/>
        </w:rPr>
        <w:t>Cateel</w:t>
      </w:r>
      <w:proofErr w:type="spellEnd"/>
      <w:r>
        <w:rPr>
          <w:rFonts w:ascii="Arial" w:hAnsi="Arial" w:cs="Arial"/>
        </w:rPr>
        <w:t xml:space="preserve"> Campus express a high level of satisfaction with the services provided by the Accounting Office, with an overall average mean of 4.12 interpreted as High. The statement “Accessibility of accounting office” received the highest mean score of 4.20, indicating that students find it easy to reach the office for their financial concerns. This aligns with the study of Garcia and Delos Santos (2018), who emphasized that accessibility to financial services is a crucial factor in student satisfaction, as it facilitates timely payments and resolution of financial queries. The availability and approachability of accounting staff, both scoring 4.18, further reinforce the importance of staff attitude in enhancing service quality, a finding supported by Lopez et al. (2017), who found that service-oriented and approachable personnel significantly improve the perceived quality of non-academic services in higher education institutions.</w:t>
      </w:r>
    </w:p>
    <w:p w14:paraId="6A669550" w14:textId="77777777" w:rsidR="00C23BD4" w:rsidRDefault="00073637">
      <w:pPr>
        <w:jc w:val="both"/>
        <w:rPr>
          <w:rFonts w:ascii="Arial" w:hAnsi="Arial" w:cs="Arial"/>
        </w:rPr>
      </w:pPr>
      <w:r>
        <w:rPr>
          <w:rFonts w:ascii="Arial" w:hAnsi="Arial" w:cs="Arial"/>
        </w:rPr>
        <w:lastRenderedPageBreak/>
        <w:t>Moreover, the indicators related to the efficiency and accuracy of financial transactions, including the efficiency of the payment system 4.15 and the accuracy of financial transactions 4.08 reflect the students’ confidence in the reliability of the office’s financial processes. This supports the conclusions of Reyes and Cruz (2020), who highlighted that efficient and accurate financial systems contribute to students’ trust in institutional services and reduce administrative delays. The relatively high rating for the speed of financial transactions, 3.99, also underscores the importance of promptness in service delivery, which is consistent with Martinez and Castillo’s (2019) assertion that the timeliness of financial services plays a key role in overall student satisfaction. Collectively, these results affirm that the Accounting Office’s commitment to accessible, efficient, and accurate financial services strongly supports student satisfaction, echoing current trends in university service quality management.</w:t>
      </w:r>
    </w:p>
    <w:p w14:paraId="789312E5" w14:textId="77777777" w:rsidR="00637EB9" w:rsidRDefault="00637EB9">
      <w:pPr>
        <w:jc w:val="both"/>
        <w:rPr>
          <w:rFonts w:ascii="Arial" w:hAnsi="Arial" w:cs="Arial"/>
        </w:rPr>
      </w:pPr>
    </w:p>
    <w:p w14:paraId="2EFBA487" w14:textId="741185B3" w:rsidR="00637EB9" w:rsidRDefault="00637EB9" w:rsidP="008C5398">
      <w:pPr>
        <w:jc w:val="center"/>
        <w:rPr>
          <w:rFonts w:ascii="Arial" w:hAnsi="Arial" w:cs="Arial"/>
          <w:b/>
          <w:bCs/>
          <w:sz w:val="22"/>
          <w:szCs w:val="22"/>
        </w:rPr>
      </w:pPr>
      <w:r>
        <w:rPr>
          <w:rFonts w:ascii="Arial" w:hAnsi="Arial" w:cs="Arial"/>
          <w:b/>
          <w:bCs/>
          <w:sz w:val="22"/>
          <w:szCs w:val="22"/>
        </w:rPr>
        <w:t>Table</w:t>
      </w:r>
      <w:r w:rsidR="008C5398">
        <w:rPr>
          <w:rFonts w:ascii="Arial" w:hAnsi="Arial" w:cs="Arial"/>
          <w:b/>
          <w:bCs/>
          <w:sz w:val="22"/>
          <w:szCs w:val="22"/>
        </w:rPr>
        <w:t xml:space="preserve"> 1</w:t>
      </w:r>
      <w:r w:rsidR="00686A73">
        <w:rPr>
          <w:rFonts w:ascii="Arial" w:hAnsi="Arial" w:cs="Arial"/>
          <w:b/>
          <w:bCs/>
          <w:sz w:val="22"/>
          <w:szCs w:val="22"/>
        </w:rPr>
        <w:t>7</w:t>
      </w:r>
      <w:r w:rsidR="008C5398">
        <w:rPr>
          <w:rFonts w:ascii="Arial" w:hAnsi="Arial" w:cs="Arial"/>
          <w:b/>
          <w:bCs/>
          <w:sz w:val="22"/>
          <w:szCs w:val="22"/>
        </w:rPr>
        <w:t>. Level of Satisfaction in Non- Academic Services</w:t>
      </w:r>
    </w:p>
    <w:p w14:paraId="1D587917" w14:textId="77777777" w:rsidR="007004DE" w:rsidRDefault="007004DE" w:rsidP="008C5398">
      <w:pPr>
        <w:jc w:val="center"/>
        <w:rPr>
          <w:rFonts w:ascii="Arial" w:hAnsi="Arial" w:cs="Arial"/>
          <w:b/>
          <w:bCs/>
          <w:sz w:val="22"/>
          <w:szCs w:val="22"/>
        </w:rPr>
      </w:pPr>
    </w:p>
    <w:tbl>
      <w:tblPr>
        <w:tblStyle w:val="PlainTable41"/>
        <w:tblW w:w="0" w:type="auto"/>
        <w:jc w:val="center"/>
        <w:tblLook w:val="04A0" w:firstRow="1" w:lastRow="0" w:firstColumn="1" w:lastColumn="0" w:noHBand="0" w:noVBand="1"/>
      </w:tblPr>
      <w:tblGrid>
        <w:gridCol w:w="568"/>
        <w:gridCol w:w="3886"/>
        <w:gridCol w:w="834"/>
        <w:gridCol w:w="1223"/>
        <w:gridCol w:w="1697"/>
      </w:tblGrid>
      <w:tr w:rsidR="00686A73" w14:paraId="2FFC9829" w14:textId="77777777" w:rsidTr="007004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bottom w:val="single" w:sz="12" w:space="0" w:color="auto"/>
            </w:tcBorders>
          </w:tcPr>
          <w:p w14:paraId="04BB92F2" w14:textId="77777777" w:rsidR="00686A73" w:rsidRDefault="00686A73" w:rsidP="00DE7E3D">
            <w:pPr>
              <w:jc w:val="both"/>
              <w:rPr>
                <w:rFonts w:ascii="Arial" w:hAnsi="Arial" w:cs="Arial"/>
                <w:b w:val="0"/>
                <w:bCs w:val="0"/>
              </w:rPr>
            </w:pPr>
            <w:r w:rsidRPr="00FC5410">
              <w:rPr>
                <w:rFonts w:ascii="Arial" w:hAnsi="Arial" w:cs="Arial"/>
              </w:rPr>
              <w:t>No.</w:t>
            </w:r>
          </w:p>
        </w:tc>
        <w:tc>
          <w:tcPr>
            <w:tcW w:w="4244" w:type="dxa"/>
            <w:tcBorders>
              <w:top w:val="single" w:sz="12" w:space="0" w:color="auto"/>
              <w:bottom w:val="single" w:sz="12" w:space="0" w:color="auto"/>
            </w:tcBorders>
          </w:tcPr>
          <w:p w14:paraId="2B00F0E8" w14:textId="77777777" w:rsidR="00686A73" w:rsidRDefault="00686A73"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5410">
              <w:rPr>
                <w:rFonts w:ascii="Arial" w:hAnsi="Arial" w:cs="Arial"/>
              </w:rPr>
              <w:t>Statement</w:t>
            </w:r>
          </w:p>
        </w:tc>
        <w:tc>
          <w:tcPr>
            <w:tcW w:w="850" w:type="dxa"/>
            <w:tcBorders>
              <w:top w:val="single" w:sz="12" w:space="0" w:color="auto"/>
              <w:bottom w:val="single" w:sz="12" w:space="0" w:color="auto"/>
            </w:tcBorders>
          </w:tcPr>
          <w:p w14:paraId="5E26C773" w14:textId="77777777" w:rsidR="00686A73" w:rsidRDefault="00686A73" w:rsidP="00DE7E3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5410">
              <w:rPr>
                <w:rFonts w:ascii="Arial" w:hAnsi="Arial" w:cs="Arial"/>
              </w:rPr>
              <w:t>Mean</w:t>
            </w:r>
          </w:p>
        </w:tc>
        <w:tc>
          <w:tcPr>
            <w:tcW w:w="1239" w:type="dxa"/>
            <w:tcBorders>
              <w:top w:val="single" w:sz="12" w:space="0" w:color="auto"/>
              <w:bottom w:val="single" w:sz="12" w:space="0" w:color="auto"/>
            </w:tcBorders>
          </w:tcPr>
          <w:p w14:paraId="10BE7872" w14:textId="77777777" w:rsidR="00686A73" w:rsidRDefault="00686A73" w:rsidP="00DE7E3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5410">
              <w:rPr>
                <w:rFonts w:ascii="Arial" w:hAnsi="Arial" w:cs="Arial"/>
              </w:rPr>
              <w:t>Std. Deviation</w:t>
            </w:r>
          </w:p>
        </w:tc>
        <w:tc>
          <w:tcPr>
            <w:tcW w:w="1726" w:type="dxa"/>
            <w:tcBorders>
              <w:top w:val="single" w:sz="12" w:space="0" w:color="auto"/>
              <w:bottom w:val="single" w:sz="12" w:space="0" w:color="auto"/>
            </w:tcBorders>
          </w:tcPr>
          <w:p w14:paraId="761F75F1" w14:textId="77777777" w:rsidR="00686A73" w:rsidRDefault="00686A73" w:rsidP="00DE7E3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C5410">
              <w:rPr>
                <w:rFonts w:ascii="Arial" w:hAnsi="Arial" w:cs="Arial"/>
              </w:rPr>
              <w:t>Interpretation</w:t>
            </w:r>
          </w:p>
        </w:tc>
      </w:tr>
      <w:tr w:rsidR="00686A73" w14:paraId="5C048E7B" w14:textId="77777777" w:rsidTr="007004DE">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12" w:space="0" w:color="auto"/>
            </w:tcBorders>
          </w:tcPr>
          <w:p w14:paraId="08662F3F" w14:textId="77777777" w:rsidR="00686A73" w:rsidRPr="00777D15" w:rsidRDefault="00686A73" w:rsidP="00DE7E3D">
            <w:pPr>
              <w:jc w:val="both"/>
              <w:rPr>
                <w:rFonts w:ascii="Arial" w:hAnsi="Arial" w:cs="Arial"/>
                <w:b w:val="0"/>
                <w:bCs w:val="0"/>
              </w:rPr>
            </w:pPr>
            <w:r w:rsidRPr="00777D15">
              <w:rPr>
                <w:rFonts w:ascii="Arial" w:hAnsi="Arial" w:cs="Arial"/>
                <w:b w:val="0"/>
                <w:bCs w:val="0"/>
              </w:rPr>
              <w:t>A</w:t>
            </w:r>
          </w:p>
        </w:tc>
        <w:tc>
          <w:tcPr>
            <w:tcW w:w="4244" w:type="dxa"/>
            <w:tcBorders>
              <w:top w:val="single" w:sz="12" w:space="0" w:color="auto"/>
            </w:tcBorders>
          </w:tcPr>
          <w:p w14:paraId="532F28E7"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Admin</w:t>
            </w:r>
            <w:r>
              <w:rPr>
                <w:rFonts w:ascii="Arial" w:hAnsi="Arial" w:cs="Arial"/>
              </w:rPr>
              <w:t xml:space="preserve">istrative </w:t>
            </w:r>
            <w:r w:rsidRPr="00CF1575">
              <w:rPr>
                <w:rFonts w:ascii="Arial" w:hAnsi="Arial" w:cs="Arial"/>
              </w:rPr>
              <w:t>Services</w:t>
            </w:r>
            <w:r>
              <w:rPr>
                <w:rFonts w:ascii="Arial" w:hAnsi="Arial" w:cs="Arial"/>
              </w:rPr>
              <w:t xml:space="preserve"> Quality</w:t>
            </w:r>
          </w:p>
        </w:tc>
        <w:tc>
          <w:tcPr>
            <w:tcW w:w="850" w:type="dxa"/>
            <w:tcBorders>
              <w:top w:val="single" w:sz="12" w:space="0" w:color="auto"/>
            </w:tcBorders>
          </w:tcPr>
          <w:p w14:paraId="5340F56B"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4.10</w:t>
            </w:r>
          </w:p>
        </w:tc>
        <w:tc>
          <w:tcPr>
            <w:tcW w:w="1239" w:type="dxa"/>
            <w:tcBorders>
              <w:top w:val="single" w:sz="12" w:space="0" w:color="auto"/>
            </w:tcBorders>
          </w:tcPr>
          <w:p w14:paraId="7E13D8FE"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0.65</w:t>
            </w:r>
          </w:p>
        </w:tc>
        <w:tc>
          <w:tcPr>
            <w:tcW w:w="1726" w:type="dxa"/>
            <w:tcBorders>
              <w:top w:val="single" w:sz="12" w:space="0" w:color="auto"/>
            </w:tcBorders>
          </w:tcPr>
          <w:p w14:paraId="5A788148" w14:textId="77777777" w:rsidR="00686A73" w:rsidRPr="00396BEB" w:rsidRDefault="00686A73"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686A73" w14:paraId="1424ECF4" w14:textId="77777777" w:rsidTr="007004DE">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35DAF108" w14:textId="77777777" w:rsidR="00686A73" w:rsidRPr="00777D15" w:rsidRDefault="00686A73" w:rsidP="00DE7E3D">
            <w:pPr>
              <w:jc w:val="both"/>
              <w:rPr>
                <w:rFonts w:ascii="Arial" w:hAnsi="Arial" w:cs="Arial"/>
                <w:b w:val="0"/>
                <w:bCs w:val="0"/>
              </w:rPr>
            </w:pPr>
            <w:r w:rsidRPr="00777D15">
              <w:rPr>
                <w:rFonts w:ascii="Arial" w:hAnsi="Arial" w:cs="Arial"/>
                <w:b w:val="0"/>
                <w:bCs w:val="0"/>
              </w:rPr>
              <w:t>B</w:t>
            </w:r>
          </w:p>
        </w:tc>
        <w:tc>
          <w:tcPr>
            <w:tcW w:w="4244" w:type="dxa"/>
          </w:tcPr>
          <w:p w14:paraId="2B5D8C69"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Security</w:t>
            </w:r>
            <w:r>
              <w:rPr>
                <w:rFonts w:ascii="Arial" w:hAnsi="Arial" w:cs="Arial"/>
              </w:rPr>
              <w:t xml:space="preserve"> </w:t>
            </w:r>
            <w:r w:rsidRPr="00CF1575">
              <w:rPr>
                <w:rFonts w:ascii="Arial" w:hAnsi="Arial" w:cs="Arial"/>
              </w:rPr>
              <w:t>Services</w:t>
            </w:r>
          </w:p>
        </w:tc>
        <w:tc>
          <w:tcPr>
            <w:tcW w:w="850" w:type="dxa"/>
          </w:tcPr>
          <w:p w14:paraId="3EE05D14"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4.12</w:t>
            </w:r>
          </w:p>
        </w:tc>
        <w:tc>
          <w:tcPr>
            <w:tcW w:w="1239" w:type="dxa"/>
          </w:tcPr>
          <w:p w14:paraId="405FA64D"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0.72</w:t>
            </w:r>
          </w:p>
        </w:tc>
        <w:tc>
          <w:tcPr>
            <w:tcW w:w="1726" w:type="dxa"/>
          </w:tcPr>
          <w:p w14:paraId="307BB03D" w14:textId="77777777" w:rsidR="00686A73" w:rsidRPr="00396BEB" w:rsidRDefault="00686A73"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686A73" w14:paraId="0FABC416" w14:textId="77777777" w:rsidTr="007004DE">
        <w:trPr>
          <w:jc w:val="center"/>
        </w:trPr>
        <w:tc>
          <w:tcPr>
            <w:cnfStyle w:val="001000000000" w:firstRow="0" w:lastRow="0" w:firstColumn="1" w:lastColumn="0" w:oddVBand="0" w:evenVBand="0" w:oddHBand="0" w:evenHBand="0" w:firstRowFirstColumn="0" w:firstRowLastColumn="0" w:lastRowFirstColumn="0" w:lastRowLastColumn="0"/>
            <w:tcW w:w="571" w:type="dxa"/>
          </w:tcPr>
          <w:p w14:paraId="67A3097B" w14:textId="77777777" w:rsidR="00686A73" w:rsidRPr="00777D15" w:rsidRDefault="00686A73" w:rsidP="00DE7E3D">
            <w:pPr>
              <w:jc w:val="both"/>
              <w:rPr>
                <w:rFonts w:ascii="Arial" w:hAnsi="Arial" w:cs="Arial"/>
                <w:b w:val="0"/>
                <w:bCs w:val="0"/>
              </w:rPr>
            </w:pPr>
            <w:r w:rsidRPr="00777D15">
              <w:rPr>
                <w:rFonts w:ascii="Arial" w:hAnsi="Arial" w:cs="Arial"/>
                <w:b w:val="0"/>
                <w:bCs w:val="0"/>
              </w:rPr>
              <w:t>C</w:t>
            </w:r>
          </w:p>
        </w:tc>
        <w:tc>
          <w:tcPr>
            <w:tcW w:w="4244" w:type="dxa"/>
          </w:tcPr>
          <w:p w14:paraId="74AFA067"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Maintenance</w:t>
            </w:r>
            <w:r>
              <w:rPr>
                <w:rFonts w:ascii="Arial" w:hAnsi="Arial" w:cs="Arial"/>
              </w:rPr>
              <w:t xml:space="preserve"> Services</w:t>
            </w:r>
          </w:p>
        </w:tc>
        <w:tc>
          <w:tcPr>
            <w:tcW w:w="850" w:type="dxa"/>
          </w:tcPr>
          <w:p w14:paraId="10A97EC4"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4.05</w:t>
            </w:r>
          </w:p>
        </w:tc>
        <w:tc>
          <w:tcPr>
            <w:tcW w:w="1239" w:type="dxa"/>
          </w:tcPr>
          <w:p w14:paraId="5170D588"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0.67</w:t>
            </w:r>
          </w:p>
        </w:tc>
        <w:tc>
          <w:tcPr>
            <w:tcW w:w="1726" w:type="dxa"/>
          </w:tcPr>
          <w:p w14:paraId="70BCA250" w14:textId="77777777" w:rsidR="00686A73" w:rsidRPr="00396BEB" w:rsidRDefault="00686A73"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686A73" w14:paraId="0C7C6941" w14:textId="77777777" w:rsidTr="007004DE">
        <w:trPr>
          <w:jc w:val="center"/>
        </w:trPr>
        <w:tc>
          <w:tcPr>
            <w:cnfStyle w:val="001000000000" w:firstRow="0" w:lastRow="0" w:firstColumn="1" w:lastColumn="0" w:oddVBand="0" w:evenVBand="0" w:oddHBand="0" w:evenHBand="0" w:firstRowFirstColumn="0" w:firstRowLastColumn="0" w:lastRowFirstColumn="0" w:lastRowLastColumn="0"/>
            <w:tcW w:w="571" w:type="dxa"/>
            <w:tcBorders>
              <w:bottom w:val="single" w:sz="12" w:space="0" w:color="auto"/>
            </w:tcBorders>
          </w:tcPr>
          <w:p w14:paraId="4B8E3E8F" w14:textId="77777777" w:rsidR="00686A73" w:rsidRPr="00777D15" w:rsidRDefault="00686A73" w:rsidP="00DE7E3D">
            <w:pPr>
              <w:jc w:val="both"/>
              <w:rPr>
                <w:rFonts w:ascii="Arial" w:hAnsi="Arial" w:cs="Arial"/>
                <w:b w:val="0"/>
                <w:bCs w:val="0"/>
              </w:rPr>
            </w:pPr>
            <w:r w:rsidRPr="00777D15">
              <w:rPr>
                <w:rFonts w:ascii="Arial" w:hAnsi="Arial" w:cs="Arial"/>
                <w:b w:val="0"/>
                <w:bCs w:val="0"/>
              </w:rPr>
              <w:t>D</w:t>
            </w:r>
          </w:p>
        </w:tc>
        <w:tc>
          <w:tcPr>
            <w:tcW w:w="4244" w:type="dxa"/>
            <w:tcBorders>
              <w:bottom w:val="single" w:sz="12" w:space="0" w:color="auto"/>
            </w:tcBorders>
          </w:tcPr>
          <w:p w14:paraId="2B02C121"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Accounting</w:t>
            </w:r>
            <w:r>
              <w:rPr>
                <w:rFonts w:ascii="Arial" w:hAnsi="Arial" w:cs="Arial"/>
              </w:rPr>
              <w:t xml:space="preserve"> Office Services</w:t>
            </w:r>
          </w:p>
        </w:tc>
        <w:tc>
          <w:tcPr>
            <w:tcW w:w="850" w:type="dxa"/>
            <w:tcBorders>
              <w:bottom w:val="single" w:sz="12" w:space="0" w:color="auto"/>
            </w:tcBorders>
          </w:tcPr>
          <w:p w14:paraId="23B7C5EA"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4.12</w:t>
            </w:r>
          </w:p>
        </w:tc>
        <w:tc>
          <w:tcPr>
            <w:tcW w:w="1239" w:type="dxa"/>
            <w:tcBorders>
              <w:bottom w:val="single" w:sz="12" w:space="0" w:color="auto"/>
            </w:tcBorders>
          </w:tcPr>
          <w:p w14:paraId="5C305AF4" w14:textId="77777777" w:rsidR="00686A73"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F1575">
              <w:rPr>
                <w:rFonts w:ascii="Arial" w:hAnsi="Arial" w:cs="Arial"/>
              </w:rPr>
              <w:t>0.64</w:t>
            </w:r>
          </w:p>
        </w:tc>
        <w:tc>
          <w:tcPr>
            <w:tcW w:w="1726" w:type="dxa"/>
          </w:tcPr>
          <w:p w14:paraId="461E1E47" w14:textId="77777777" w:rsidR="00686A73" w:rsidRPr="00396BEB" w:rsidRDefault="00686A73"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r w:rsidR="00686A73" w14:paraId="55C0C3F7" w14:textId="77777777" w:rsidTr="007004DE">
        <w:trPr>
          <w:jc w:val="center"/>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12" w:space="0" w:color="auto"/>
              <w:bottom w:val="single" w:sz="12" w:space="0" w:color="auto"/>
            </w:tcBorders>
          </w:tcPr>
          <w:p w14:paraId="1BDEA5D4" w14:textId="77777777" w:rsidR="00686A73" w:rsidRPr="00CF1575" w:rsidRDefault="00686A73" w:rsidP="00DE7E3D">
            <w:pPr>
              <w:jc w:val="center"/>
              <w:rPr>
                <w:rFonts w:ascii="Arial" w:hAnsi="Arial" w:cs="Arial"/>
                <w:b w:val="0"/>
                <w:bCs w:val="0"/>
              </w:rPr>
            </w:pPr>
            <w:r>
              <w:rPr>
                <w:rFonts w:ascii="Arial" w:hAnsi="Arial" w:cs="Arial"/>
              </w:rPr>
              <w:t>Non-academic Services</w:t>
            </w:r>
          </w:p>
        </w:tc>
        <w:tc>
          <w:tcPr>
            <w:tcW w:w="850" w:type="dxa"/>
            <w:tcBorders>
              <w:top w:val="single" w:sz="12" w:space="0" w:color="auto"/>
              <w:bottom w:val="single" w:sz="12" w:space="0" w:color="auto"/>
            </w:tcBorders>
          </w:tcPr>
          <w:p w14:paraId="478C66DE" w14:textId="77777777" w:rsidR="00686A73" w:rsidRPr="00CF1575"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1575">
              <w:rPr>
                <w:rFonts w:ascii="Arial" w:hAnsi="Arial" w:cs="Arial"/>
              </w:rPr>
              <w:t>4.10</w:t>
            </w:r>
          </w:p>
        </w:tc>
        <w:tc>
          <w:tcPr>
            <w:tcW w:w="1239" w:type="dxa"/>
            <w:tcBorders>
              <w:top w:val="single" w:sz="12" w:space="0" w:color="auto"/>
              <w:bottom w:val="single" w:sz="12" w:space="0" w:color="auto"/>
            </w:tcBorders>
          </w:tcPr>
          <w:p w14:paraId="70533CF8" w14:textId="77777777" w:rsidR="00686A73" w:rsidRPr="00CF1575" w:rsidRDefault="00686A73" w:rsidP="00DE7E3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F1575">
              <w:rPr>
                <w:rFonts w:ascii="Arial" w:hAnsi="Arial" w:cs="Arial"/>
              </w:rPr>
              <w:t>0.56</w:t>
            </w:r>
          </w:p>
        </w:tc>
        <w:tc>
          <w:tcPr>
            <w:tcW w:w="1726" w:type="dxa"/>
            <w:tcBorders>
              <w:top w:val="single" w:sz="12" w:space="0" w:color="auto"/>
              <w:bottom w:val="single" w:sz="12" w:space="0" w:color="auto"/>
            </w:tcBorders>
          </w:tcPr>
          <w:p w14:paraId="4456ECA1" w14:textId="77777777" w:rsidR="00686A73" w:rsidRPr="00396BEB" w:rsidRDefault="00686A73" w:rsidP="00DE7E3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High</w:t>
            </w:r>
          </w:p>
        </w:tc>
      </w:tr>
    </w:tbl>
    <w:p w14:paraId="0AC78D22" w14:textId="77777777" w:rsidR="008C5398" w:rsidRPr="00637EB9" w:rsidRDefault="008C5398" w:rsidP="008C5398">
      <w:pPr>
        <w:jc w:val="center"/>
        <w:rPr>
          <w:rFonts w:ascii="Arial" w:hAnsi="Arial" w:cs="Arial"/>
          <w:b/>
          <w:bCs/>
          <w:sz w:val="22"/>
          <w:szCs w:val="22"/>
        </w:rPr>
      </w:pPr>
    </w:p>
    <w:p w14:paraId="455DB48F" w14:textId="241A58BD" w:rsidR="007004DE" w:rsidRDefault="007004DE">
      <w:pPr>
        <w:jc w:val="both"/>
        <w:rPr>
          <w:rFonts w:ascii="Arial" w:hAnsi="Arial" w:cs="Arial"/>
        </w:rPr>
      </w:pPr>
      <w:r>
        <w:rPr>
          <w:rFonts w:ascii="Arial" w:hAnsi="Arial" w:cs="Arial"/>
        </w:rPr>
        <w:t xml:space="preserve">The results reflected high levels of student satisfaction with various non-academic services offered. The highest-rated areas, Security Services and Accounting Office Services, both with a mean of 4.12, highlight the importance of safety and financial transparency in enhancing the overall student experience. These results reinforce the findings of De Guzman and </w:t>
      </w:r>
      <w:proofErr w:type="spellStart"/>
      <w:r>
        <w:rPr>
          <w:rFonts w:ascii="Arial" w:hAnsi="Arial" w:cs="Arial"/>
        </w:rPr>
        <w:t>Mabalot</w:t>
      </w:r>
      <w:proofErr w:type="spellEnd"/>
      <w:r>
        <w:rPr>
          <w:rFonts w:ascii="Arial" w:hAnsi="Arial" w:cs="Arial"/>
        </w:rPr>
        <w:t xml:space="preserve"> (2019), who emphasized that the efficiency of financial services and the visible presence of campus security personnel contribute significantly to students’ sense of safety and institutional trust. Similarly, </w:t>
      </w:r>
      <w:proofErr w:type="spellStart"/>
      <w:r>
        <w:rPr>
          <w:rFonts w:ascii="Arial" w:hAnsi="Arial" w:cs="Arial"/>
        </w:rPr>
        <w:t>Asio</w:t>
      </w:r>
      <w:proofErr w:type="spellEnd"/>
      <w:r>
        <w:rPr>
          <w:rFonts w:ascii="Arial" w:hAnsi="Arial" w:cs="Arial"/>
        </w:rPr>
        <w:t xml:space="preserve"> et al. (2021) found that high-performing administrative and financial service units positively influence students’ perception of institutional support, which aligns with the consistently high satisfaction levels reported in this study.</w:t>
      </w:r>
    </w:p>
    <w:p w14:paraId="36E49BE8" w14:textId="77777777" w:rsidR="007004DE" w:rsidRDefault="007004DE">
      <w:pPr>
        <w:jc w:val="both"/>
        <w:rPr>
          <w:rFonts w:ascii="Arial" w:hAnsi="Arial" w:cs="Arial"/>
        </w:rPr>
      </w:pPr>
    </w:p>
    <w:p w14:paraId="085B3EA7" w14:textId="2F7F343B" w:rsidR="007004DE" w:rsidRDefault="007004DE">
      <w:pPr>
        <w:jc w:val="both"/>
        <w:rPr>
          <w:rFonts w:ascii="Arial" w:hAnsi="Arial" w:cs="Arial"/>
        </w:rPr>
      </w:pPr>
      <w:r>
        <w:rPr>
          <w:rFonts w:ascii="Arial" w:hAnsi="Arial" w:cs="Arial"/>
        </w:rPr>
        <w:t xml:space="preserve">Furthermore, the lowest-rated yet still High category Maintenance Services mean 4.05 supports the study of Pascual and </w:t>
      </w:r>
      <w:proofErr w:type="spellStart"/>
      <w:r>
        <w:rPr>
          <w:rFonts w:ascii="Arial" w:hAnsi="Arial" w:cs="Arial"/>
        </w:rPr>
        <w:t>Nabua</w:t>
      </w:r>
      <w:proofErr w:type="spellEnd"/>
      <w:r>
        <w:rPr>
          <w:rFonts w:ascii="Arial" w:hAnsi="Arial" w:cs="Arial"/>
        </w:rPr>
        <w:t xml:space="preserve"> (2017), which revealed that although maintenance services are often taken for granted, their effectiveness directly impacts students’ learning environment and well-being. The slightly lower rating suggests room for improvement in campus cleanliness, facilities upkeep, or repair responsiveness. Despite this, the overall non-academic services mean of 4.10 confirms that support services beyond the classroom significantly contribute to a well-rounded student experience. These findings affirm the view of </w:t>
      </w:r>
      <w:proofErr w:type="spellStart"/>
      <w:r>
        <w:rPr>
          <w:rFonts w:ascii="Arial" w:hAnsi="Arial" w:cs="Arial"/>
        </w:rPr>
        <w:t>Magulod</w:t>
      </w:r>
      <w:proofErr w:type="spellEnd"/>
      <w:r>
        <w:rPr>
          <w:rFonts w:ascii="Arial" w:hAnsi="Arial" w:cs="Arial"/>
        </w:rPr>
        <w:t xml:space="preserve"> (2018), who asserted that non-academic services are vital components of student satisfaction and institutional performance, especially in rural and regional campuses like </w:t>
      </w:r>
      <w:proofErr w:type="spellStart"/>
      <w:r>
        <w:rPr>
          <w:rFonts w:ascii="Arial" w:hAnsi="Arial" w:cs="Arial"/>
        </w:rPr>
        <w:t>DOrSU</w:t>
      </w:r>
      <w:proofErr w:type="spellEnd"/>
      <w:r>
        <w:rPr>
          <w:rFonts w:ascii="Arial" w:hAnsi="Arial" w:cs="Arial"/>
        </w:rPr>
        <w:t>–</w:t>
      </w:r>
      <w:proofErr w:type="spellStart"/>
      <w:r>
        <w:rPr>
          <w:rFonts w:ascii="Arial" w:hAnsi="Arial" w:cs="Arial"/>
        </w:rPr>
        <w:t>Cateel</w:t>
      </w:r>
      <w:proofErr w:type="spellEnd"/>
      <w:r>
        <w:rPr>
          <w:rFonts w:ascii="Arial" w:hAnsi="Arial" w:cs="Arial"/>
        </w:rPr>
        <w:t>.</w:t>
      </w:r>
    </w:p>
    <w:p w14:paraId="7BF78525" w14:textId="77777777" w:rsidR="007004DE" w:rsidRDefault="007004DE">
      <w:pPr>
        <w:jc w:val="both"/>
        <w:rPr>
          <w:rFonts w:ascii="Arial" w:hAnsi="Arial" w:cs="Arial"/>
          <w:b/>
          <w:bCs/>
          <w:sz w:val="22"/>
          <w:szCs w:val="22"/>
        </w:rPr>
      </w:pPr>
    </w:p>
    <w:p w14:paraId="16A47226" w14:textId="662A331B" w:rsidR="00C23BD4" w:rsidRDefault="00073637">
      <w:pPr>
        <w:jc w:val="both"/>
        <w:rPr>
          <w:rFonts w:ascii="Arial" w:hAnsi="Arial" w:cs="Arial"/>
          <w:b/>
          <w:bCs/>
          <w:sz w:val="22"/>
          <w:szCs w:val="22"/>
        </w:rPr>
      </w:pPr>
      <w:r>
        <w:rPr>
          <w:rFonts w:ascii="Arial" w:hAnsi="Arial" w:cs="Arial"/>
          <w:b/>
          <w:bCs/>
          <w:sz w:val="22"/>
          <w:szCs w:val="22"/>
        </w:rPr>
        <w:t>3.4 Significant difference between students’ satisfaction with academic services and non-academic services in terms of Courses and Year Levels</w:t>
      </w:r>
    </w:p>
    <w:p w14:paraId="3DBBE9A8" w14:textId="77777777" w:rsidR="00C23BD4" w:rsidRDefault="00C23BD4">
      <w:pPr>
        <w:jc w:val="both"/>
        <w:rPr>
          <w:rFonts w:ascii="Arial" w:hAnsi="Arial" w:cs="Arial"/>
          <w:b/>
          <w:bCs/>
          <w:sz w:val="22"/>
          <w:szCs w:val="22"/>
        </w:rPr>
      </w:pPr>
    </w:p>
    <w:p w14:paraId="6CFFA14E" w14:textId="6AFBBCDB" w:rsidR="00C23BD4" w:rsidRDefault="00073637">
      <w:pPr>
        <w:jc w:val="center"/>
        <w:rPr>
          <w:rFonts w:ascii="Arial" w:hAnsi="Arial" w:cs="Arial"/>
          <w:b/>
          <w:bCs/>
          <w:sz w:val="22"/>
          <w:szCs w:val="22"/>
        </w:rPr>
      </w:pPr>
      <w:r>
        <w:rPr>
          <w:rFonts w:ascii="Arial" w:hAnsi="Arial" w:cs="Arial"/>
          <w:b/>
          <w:bCs/>
          <w:sz w:val="22"/>
          <w:szCs w:val="22"/>
        </w:rPr>
        <w:t>Table 1</w:t>
      </w:r>
      <w:r w:rsidR="00236ECC">
        <w:rPr>
          <w:rFonts w:ascii="Arial" w:hAnsi="Arial" w:cs="Arial"/>
          <w:b/>
          <w:bCs/>
          <w:sz w:val="22"/>
          <w:szCs w:val="22"/>
        </w:rPr>
        <w:t>8.</w:t>
      </w:r>
      <w:r>
        <w:rPr>
          <w:rFonts w:ascii="Arial" w:hAnsi="Arial" w:cs="Arial"/>
          <w:b/>
          <w:bCs/>
          <w:sz w:val="22"/>
          <w:szCs w:val="22"/>
        </w:rPr>
        <w:t xml:space="preserve"> </w:t>
      </w:r>
      <w:bookmarkStart w:id="14" w:name="_Hlk197598713"/>
      <w:r>
        <w:rPr>
          <w:rFonts w:ascii="Arial" w:hAnsi="Arial" w:cs="Arial"/>
          <w:b/>
          <w:bCs/>
          <w:sz w:val="22"/>
          <w:szCs w:val="22"/>
        </w:rPr>
        <w:t>Comparison of Students' Satisfaction with Academic and Non-Academic Services in Terms of Courses</w:t>
      </w:r>
      <w:bookmarkEnd w:id="14"/>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7"/>
        <w:gridCol w:w="1707"/>
        <w:gridCol w:w="1476"/>
        <w:gridCol w:w="1030"/>
        <w:gridCol w:w="1415"/>
        <w:gridCol w:w="1030"/>
        <w:gridCol w:w="512"/>
      </w:tblGrid>
      <w:tr w:rsidR="00C23BD4" w14:paraId="0139823E" w14:textId="77777777">
        <w:trPr>
          <w:cantSplit/>
          <w:jc w:val="center"/>
        </w:trPr>
        <w:tc>
          <w:tcPr>
            <w:tcW w:w="8647" w:type="dxa"/>
            <w:gridSpan w:val="7"/>
            <w:tcBorders>
              <w:top w:val="nil"/>
              <w:left w:val="nil"/>
              <w:bottom w:val="nil"/>
              <w:right w:val="nil"/>
            </w:tcBorders>
            <w:shd w:val="clear" w:color="auto" w:fill="FFFFFF"/>
            <w:vAlign w:val="center"/>
          </w:tcPr>
          <w:p w14:paraId="060ECF75" w14:textId="77777777" w:rsidR="00C23BD4" w:rsidRDefault="00C23BD4">
            <w:pPr>
              <w:rPr>
                <w:rFonts w:ascii="Arial" w:hAnsi="Arial" w:cs="Arial"/>
              </w:rPr>
            </w:pPr>
          </w:p>
        </w:tc>
      </w:tr>
      <w:tr w:rsidR="00C23BD4" w14:paraId="7A70446D" w14:textId="77777777">
        <w:trPr>
          <w:cantSplit/>
          <w:jc w:val="center"/>
        </w:trPr>
        <w:tc>
          <w:tcPr>
            <w:tcW w:w="3184" w:type="dxa"/>
            <w:gridSpan w:val="2"/>
            <w:tcBorders>
              <w:top w:val="single" w:sz="18" w:space="0" w:color="000000"/>
              <w:left w:val="single" w:sz="18" w:space="0" w:color="000000"/>
              <w:bottom w:val="single" w:sz="18" w:space="0" w:color="000000"/>
              <w:right w:val="nil"/>
            </w:tcBorders>
            <w:shd w:val="clear" w:color="auto" w:fill="FFFFFF"/>
            <w:vAlign w:val="bottom"/>
          </w:tcPr>
          <w:p w14:paraId="1646239F" w14:textId="77777777" w:rsidR="00C23BD4" w:rsidRDefault="00C23BD4">
            <w:pPr>
              <w:jc w:val="center"/>
              <w:rPr>
                <w:rFonts w:ascii="Arial" w:hAnsi="Arial" w:cs="Arial"/>
                <w:sz w:val="16"/>
                <w:szCs w:val="16"/>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1BD14CDA" w14:textId="77777777" w:rsidR="00C23BD4" w:rsidRDefault="00073637">
            <w:pPr>
              <w:jc w:val="center"/>
              <w:rPr>
                <w:rFonts w:ascii="Arial" w:hAnsi="Arial" w:cs="Arial"/>
                <w:sz w:val="16"/>
                <w:szCs w:val="16"/>
              </w:rPr>
            </w:pPr>
            <w:r>
              <w:rPr>
                <w:rFonts w:ascii="Arial" w:hAnsi="Arial" w:cs="Arial"/>
                <w:sz w:val="16"/>
                <w:szCs w:val="16"/>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77E0E1D" w14:textId="77777777" w:rsidR="00C23BD4" w:rsidRDefault="00073637">
            <w:pPr>
              <w:jc w:val="center"/>
              <w:rPr>
                <w:rFonts w:ascii="Arial" w:hAnsi="Arial" w:cs="Arial"/>
                <w:sz w:val="16"/>
                <w:szCs w:val="16"/>
              </w:rPr>
            </w:pPr>
            <w:r>
              <w:rPr>
                <w:rFonts w:ascii="Arial" w:hAnsi="Arial" w:cs="Arial"/>
                <w:sz w:val="16"/>
                <w:szCs w:val="16"/>
              </w:rPr>
              <w:t>df</w:t>
            </w:r>
          </w:p>
        </w:tc>
        <w:tc>
          <w:tcPr>
            <w:tcW w:w="141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9F05899" w14:textId="77777777" w:rsidR="00C23BD4" w:rsidRDefault="00073637">
            <w:pPr>
              <w:jc w:val="center"/>
              <w:rPr>
                <w:rFonts w:ascii="Arial" w:hAnsi="Arial" w:cs="Arial"/>
                <w:sz w:val="16"/>
                <w:szCs w:val="16"/>
              </w:rPr>
            </w:pPr>
            <w:r>
              <w:rPr>
                <w:rFonts w:ascii="Arial" w:hAnsi="Arial" w:cs="Arial"/>
                <w:sz w:val="16"/>
                <w:szCs w:val="16"/>
              </w:rPr>
              <w:t>Mean Square</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2483B083" w14:textId="77777777" w:rsidR="00C23BD4" w:rsidRDefault="00073637">
            <w:pPr>
              <w:jc w:val="center"/>
              <w:rPr>
                <w:rFonts w:ascii="Arial" w:hAnsi="Arial" w:cs="Arial"/>
                <w:sz w:val="16"/>
                <w:szCs w:val="16"/>
              </w:rPr>
            </w:pPr>
            <w:r>
              <w:rPr>
                <w:rFonts w:ascii="Arial" w:hAnsi="Arial" w:cs="Arial"/>
                <w:sz w:val="16"/>
                <w:szCs w:val="16"/>
              </w:rPr>
              <w:t>F</w:t>
            </w:r>
          </w:p>
        </w:tc>
        <w:tc>
          <w:tcPr>
            <w:tcW w:w="512"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6B175DA4" w14:textId="77777777" w:rsidR="00C23BD4" w:rsidRDefault="00073637">
            <w:pPr>
              <w:jc w:val="center"/>
              <w:rPr>
                <w:rFonts w:ascii="Arial" w:hAnsi="Arial" w:cs="Arial"/>
                <w:sz w:val="16"/>
                <w:szCs w:val="16"/>
              </w:rPr>
            </w:pPr>
            <w:r>
              <w:rPr>
                <w:rFonts w:ascii="Arial" w:hAnsi="Arial" w:cs="Arial"/>
                <w:sz w:val="16"/>
                <w:szCs w:val="16"/>
              </w:rPr>
              <w:t>Sig.</w:t>
            </w:r>
          </w:p>
        </w:tc>
      </w:tr>
      <w:tr w:rsidR="00C23BD4" w14:paraId="59CA3BE9" w14:textId="77777777">
        <w:trPr>
          <w:cantSplit/>
          <w:jc w:val="center"/>
        </w:trPr>
        <w:tc>
          <w:tcPr>
            <w:tcW w:w="1477" w:type="dxa"/>
            <w:vMerge w:val="restart"/>
            <w:tcBorders>
              <w:top w:val="single" w:sz="18" w:space="0" w:color="000000"/>
              <w:left w:val="single" w:sz="18" w:space="0" w:color="000000"/>
              <w:bottom w:val="single" w:sz="8" w:space="0" w:color="000000"/>
              <w:right w:val="nil"/>
            </w:tcBorders>
            <w:shd w:val="clear" w:color="auto" w:fill="FFFFFF"/>
          </w:tcPr>
          <w:p w14:paraId="3FFE0082" w14:textId="77777777" w:rsidR="00C23BD4" w:rsidRDefault="00073637">
            <w:pPr>
              <w:rPr>
                <w:rFonts w:ascii="Arial" w:hAnsi="Arial" w:cs="Arial"/>
              </w:rPr>
            </w:pPr>
            <w:r>
              <w:rPr>
                <w:rFonts w:ascii="Arial" w:hAnsi="Arial" w:cs="Arial"/>
              </w:rPr>
              <w:t>Academic</w:t>
            </w:r>
          </w:p>
        </w:tc>
        <w:tc>
          <w:tcPr>
            <w:tcW w:w="1707" w:type="dxa"/>
            <w:tcBorders>
              <w:top w:val="single" w:sz="18" w:space="0" w:color="000000"/>
              <w:left w:val="nil"/>
              <w:bottom w:val="nil"/>
              <w:right w:val="single" w:sz="18" w:space="0" w:color="000000"/>
            </w:tcBorders>
            <w:shd w:val="clear" w:color="auto" w:fill="FFFFFF"/>
          </w:tcPr>
          <w:p w14:paraId="0E665F42" w14:textId="77777777" w:rsidR="00C23BD4" w:rsidRDefault="00073637">
            <w:pPr>
              <w:rPr>
                <w:rFonts w:ascii="Arial" w:hAnsi="Arial" w:cs="Arial"/>
              </w:rPr>
            </w:pPr>
            <w:r>
              <w:rPr>
                <w:rFonts w:ascii="Arial" w:hAnsi="Arial" w:cs="Arial"/>
              </w:rPr>
              <w:t>Between Groups</w:t>
            </w:r>
          </w:p>
        </w:tc>
        <w:tc>
          <w:tcPr>
            <w:tcW w:w="1476" w:type="dxa"/>
            <w:tcBorders>
              <w:top w:val="single" w:sz="18" w:space="0" w:color="000000"/>
              <w:left w:val="single" w:sz="18" w:space="0" w:color="000000"/>
              <w:bottom w:val="nil"/>
              <w:right w:val="single" w:sz="8" w:space="0" w:color="000000"/>
            </w:tcBorders>
            <w:shd w:val="clear" w:color="auto" w:fill="FFFFFF"/>
            <w:vAlign w:val="center"/>
          </w:tcPr>
          <w:p w14:paraId="08612D43" w14:textId="77777777" w:rsidR="00C23BD4" w:rsidRDefault="00073637">
            <w:pPr>
              <w:jc w:val="center"/>
              <w:rPr>
                <w:rFonts w:ascii="Arial" w:hAnsi="Arial" w:cs="Arial"/>
              </w:rPr>
            </w:pPr>
            <w:r>
              <w:rPr>
                <w:rFonts w:ascii="Arial" w:hAnsi="Arial" w:cs="Arial"/>
              </w:rPr>
              <w:t>.708</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1312255B" w14:textId="77777777" w:rsidR="00C23BD4" w:rsidRDefault="00073637">
            <w:pPr>
              <w:jc w:val="center"/>
              <w:rPr>
                <w:rFonts w:ascii="Arial" w:hAnsi="Arial" w:cs="Arial"/>
              </w:rPr>
            </w:pPr>
            <w:r>
              <w:rPr>
                <w:rFonts w:ascii="Arial" w:hAnsi="Arial" w:cs="Arial"/>
              </w:rPr>
              <w:t>3</w:t>
            </w:r>
          </w:p>
        </w:tc>
        <w:tc>
          <w:tcPr>
            <w:tcW w:w="1415" w:type="dxa"/>
            <w:tcBorders>
              <w:top w:val="single" w:sz="18" w:space="0" w:color="000000"/>
              <w:left w:val="single" w:sz="8" w:space="0" w:color="000000"/>
              <w:bottom w:val="nil"/>
              <w:right w:val="single" w:sz="8" w:space="0" w:color="000000"/>
            </w:tcBorders>
            <w:shd w:val="clear" w:color="auto" w:fill="FFFFFF"/>
            <w:vAlign w:val="center"/>
          </w:tcPr>
          <w:p w14:paraId="3A2FC882" w14:textId="77777777" w:rsidR="00C23BD4" w:rsidRDefault="00073637">
            <w:pPr>
              <w:jc w:val="center"/>
              <w:rPr>
                <w:rFonts w:ascii="Arial" w:hAnsi="Arial" w:cs="Arial"/>
              </w:rPr>
            </w:pPr>
            <w:r>
              <w:rPr>
                <w:rFonts w:ascii="Arial" w:hAnsi="Arial" w:cs="Arial"/>
              </w:rPr>
              <w:t>.236</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562C02C2" w14:textId="77777777" w:rsidR="00C23BD4" w:rsidRDefault="00073637">
            <w:pPr>
              <w:jc w:val="center"/>
              <w:rPr>
                <w:rFonts w:ascii="Arial" w:hAnsi="Arial" w:cs="Arial"/>
              </w:rPr>
            </w:pPr>
            <w:r>
              <w:rPr>
                <w:rFonts w:ascii="Arial" w:hAnsi="Arial" w:cs="Arial"/>
              </w:rPr>
              <w:t>1.033</w:t>
            </w:r>
          </w:p>
        </w:tc>
        <w:tc>
          <w:tcPr>
            <w:tcW w:w="512" w:type="dxa"/>
            <w:tcBorders>
              <w:top w:val="single" w:sz="18" w:space="0" w:color="000000"/>
              <w:left w:val="single" w:sz="8" w:space="0" w:color="000000"/>
              <w:bottom w:val="nil"/>
              <w:right w:val="single" w:sz="18" w:space="0" w:color="000000"/>
            </w:tcBorders>
            <w:shd w:val="clear" w:color="auto" w:fill="FFFFFF"/>
            <w:vAlign w:val="center"/>
          </w:tcPr>
          <w:p w14:paraId="7172BD04" w14:textId="77777777" w:rsidR="00C23BD4" w:rsidRDefault="00073637">
            <w:pPr>
              <w:jc w:val="center"/>
              <w:rPr>
                <w:rFonts w:ascii="Arial" w:hAnsi="Arial" w:cs="Arial"/>
              </w:rPr>
            </w:pPr>
            <w:r>
              <w:rPr>
                <w:rFonts w:ascii="Arial" w:hAnsi="Arial" w:cs="Arial"/>
              </w:rPr>
              <w:t>.378</w:t>
            </w:r>
          </w:p>
        </w:tc>
      </w:tr>
      <w:tr w:rsidR="00C23BD4" w14:paraId="4D4B5333" w14:textId="77777777">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3E69446B"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6772907D"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311E0086" w14:textId="77777777" w:rsidR="00C23BD4" w:rsidRDefault="00073637">
            <w:pPr>
              <w:jc w:val="center"/>
              <w:rPr>
                <w:rFonts w:ascii="Arial" w:hAnsi="Arial" w:cs="Arial"/>
              </w:rPr>
            </w:pPr>
            <w:r>
              <w:rPr>
                <w:rFonts w:ascii="Arial" w:hAnsi="Arial" w:cs="Arial"/>
              </w:rPr>
              <w:t>69.229</w:t>
            </w:r>
          </w:p>
        </w:tc>
        <w:tc>
          <w:tcPr>
            <w:tcW w:w="1030" w:type="dxa"/>
            <w:tcBorders>
              <w:top w:val="nil"/>
              <w:left w:val="single" w:sz="8" w:space="0" w:color="000000"/>
              <w:bottom w:val="nil"/>
              <w:right w:val="single" w:sz="8" w:space="0" w:color="000000"/>
            </w:tcBorders>
            <w:shd w:val="clear" w:color="auto" w:fill="FFFFFF"/>
            <w:vAlign w:val="center"/>
          </w:tcPr>
          <w:p w14:paraId="6706EAD8"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0F6C5C54" w14:textId="77777777" w:rsidR="00C23BD4" w:rsidRDefault="00073637">
            <w:pPr>
              <w:jc w:val="center"/>
              <w:rPr>
                <w:rFonts w:ascii="Arial" w:hAnsi="Arial" w:cs="Arial"/>
              </w:rPr>
            </w:pPr>
            <w:r>
              <w:rPr>
                <w:rFonts w:ascii="Arial" w:hAnsi="Arial" w:cs="Arial"/>
              </w:rPr>
              <w:t>.228</w:t>
            </w:r>
          </w:p>
        </w:tc>
        <w:tc>
          <w:tcPr>
            <w:tcW w:w="1030" w:type="dxa"/>
            <w:tcBorders>
              <w:top w:val="nil"/>
              <w:left w:val="single" w:sz="8" w:space="0" w:color="000000"/>
              <w:bottom w:val="nil"/>
              <w:right w:val="single" w:sz="8" w:space="0" w:color="000000"/>
            </w:tcBorders>
            <w:shd w:val="clear" w:color="auto" w:fill="FFFFFF"/>
            <w:vAlign w:val="center"/>
          </w:tcPr>
          <w:p w14:paraId="4B1EBFA8"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75AB7242" w14:textId="77777777" w:rsidR="00C23BD4" w:rsidRDefault="00C23BD4">
            <w:pPr>
              <w:jc w:val="center"/>
              <w:rPr>
                <w:rFonts w:ascii="Arial" w:hAnsi="Arial" w:cs="Arial"/>
              </w:rPr>
            </w:pPr>
          </w:p>
        </w:tc>
      </w:tr>
      <w:tr w:rsidR="00C23BD4" w14:paraId="3911A7B2" w14:textId="77777777">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5DC3A3DE" w14:textId="77777777" w:rsidR="00C23BD4" w:rsidRDefault="00C23BD4">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35725B68"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7F2983DD" w14:textId="77777777" w:rsidR="00C23BD4" w:rsidRDefault="00073637">
            <w:pPr>
              <w:jc w:val="center"/>
              <w:rPr>
                <w:rFonts w:ascii="Arial" w:hAnsi="Arial" w:cs="Arial"/>
              </w:rPr>
            </w:pPr>
            <w:r>
              <w:rPr>
                <w:rFonts w:ascii="Arial" w:hAnsi="Arial" w:cs="Arial"/>
              </w:rPr>
              <w:t>69.937</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6B4A261"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0AC64F10" w14:textId="77777777" w:rsidR="00C23BD4" w:rsidRDefault="00C23BD4">
            <w:pPr>
              <w:jc w:val="center"/>
              <w:rPr>
                <w:rFonts w:ascii="Arial" w:hAnsi="Arial" w:cs="Arial"/>
              </w:rPr>
            </w:pP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4D3DAF9" w14:textId="77777777" w:rsidR="00C23BD4" w:rsidRDefault="00C23BD4">
            <w:pPr>
              <w:jc w:val="center"/>
              <w:rPr>
                <w:rFonts w:ascii="Arial" w:hAnsi="Arial" w:cs="Arial"/>
              </w:rPr>
            </w:pPr>
          </w:p>
        </w:tc>
        <w:tc>
          <w:tcPr>
            <w:tcW w:w="512" w:type="dxa"/>
            <w:tcBorders>
              <w:top w:val="nil"/>
              <w:left w:val="single" w:sz="8" w:space="0" w:color="000000"/>
              <w:bottom w:val="single" w:sz="8" w:space="0" w:color="000000"/>
              <w:right w:val="single" w:sz="18" w:space="0" w:color="000000"/>
            </w:tcBorders>
            <w:shd w:val="clear" w:color="auto" w:fill="FFFFFF"/>
            <w:vAlign w:val="center"/>
          </w:tcPr>
          <w:p w14:paraId="7E846B34" w14:textId="77777777" w:rsidR="00C23BD4" w:rsidRDefault="00C23BD4">
            <w:pPr>
              <w:jc w:val="center"/>
              <w:rPr>
                <w:rFonts w:ascii="Arial" w:hAnsi="Arial" w:cs="Arial"/>
              </w:rPr>
            </w:pPr>
          </w:p>
        </w:tc>
      </w:tr>
      <w:tr w:rsidR="00C23BD4" w14:paraId="54D1794A" w14:textId="77777777">
        <w:trPr>
          <w:cantSplit/>
          <w:jc w:val="center"/>
        </w:trPr>
        <w:tc>
          <w:tcPr>
            <w:tcW w:w="1477" w:type="dxa"/>
            <w:vMerge w:val="restart"/>
            <w:tcBorders>
              <w:top w:val="nil"/>
              <w:left w:val="single" w:sz="18" w:space="0" w:color="000000"/>
              <w:bottom w:val="single" w:sz="8" w:space="0" w:color="000000"/>
              <w:right w:val="nil"/>
            </w:tcBorders>
            <w:shd w:val="clear" w:color="auto" w:fill="FFFFFF"/>
          </w:tcPr>
          <w:p w14:paraId="755B309A" w14:textId="77777777" w:rsidR="00C23BD4" w:rsidRDefault="00073637">
            <w:pPr>
              <w:rPr>
                <w:rFonts w:ascii="Arial" w:hAnsi="Arial" w:cs="Arial"/>
              </w:rPr>
            </w:pPr>
            <w:r>
              <w:rPr>
                <w:rFonts w:ascii="Arial" w:hAnsi="Arial" w:cs="Arial"/>
              </w:rPr>
              <w:t>Non-</w:t>
            </w:r>
          </w:p>
          <w:p w14:paraId="46647516" w14:textId="77777777" w:rsidR="00C23BD4" w:rsidRDefault="00073637">
            <w:pPr>
              <w:rPr>
                <w:rFonts w:ascii="Arial" w:hAnsi="Arial" w:cs="Arial"/>
              </w:rPr>
            </w:pPr>
            <w:r>
              <w:rPr>
                <w:rFonts w:ascii="Arial" w:hAnsi="Arial" w:cs="Arial"/>
              </w:rPr>
              <w:t>Academic</w:t>
            </w:r>
          </w:p>
        </w:tc>
        <w:tc>
          <w:tcPr>
            <w:tcW w:w="1707" w:type="dxa"/>
            <w:tcBorders>
              <w:top w:val="nil"/>
              <w:left w:val="nil"/>
              <w:bottom w:val="nil"/>
              <w:right w:val="single" w:sz="18" w:space="0" w:color="000000"/>
            </w:tcBorders>
            <w:shd w:val="clear" w:color="auto" w:fill="FFFFFF"/>
          </w:tcPr>
          <w:p w14:paraId="16ECB1A0" w14:textId="77777777" w:rsidR="00C23BD4" w:rsidRDefault="00073637">
            <w:pPr>
              <w:rPr>
                <w:rFonts w:ascii="Arial" w:hAnsi="Arial" w:cs="Arial"/>
              </w:rPr>
            </w:pPr>
            <w:r>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1166F86E" w14:textId="77777777" w:rsidR="00C23BD4" w:rsidRDefault="00073637">
            <w:pPr>
              <w:jc w:val="center"/>
              <w:rPr>
                <w:rFonts w:ascii="Arial" w:hAnsi="Arial" w:cs="Arial"/>
              </w:rPr>
            </w:pPr>
            <w:r>
              <w:rPr>
                <w:rFonts w:ascii="Arial" w:hAnsi="Arial" w:cs="Arial"/>
              </w:rPr>
              <w:t>1.296</w:t>
            </w:r>
          </w:p>
        </w:tc>
        <w:tc>
          <w:tcPr>
            <w:tcW w:w="1030" w:type="dxa"/>
            <w:tcBorders>
              <w:top w:val="nil"/>
              <w:left w:val="single" w:sz="8" w:space="0" w:color="000000"/>
              <w:bottom w:val="nil"/>
              <w:right w:val="single" w:sz="8" w:space="0" w:color="000000"/>
            </w:tcBorders>
            <w:shd w:val="clear" w:color="auto" w:fill="FFFFFF"/>
            <w:vAlign w:val="center"/>
          </w:tcPr>
          <w:p w14:paraId="36555B5E" w14:textId="77777777" w:rsidR="00C23BD4" w:rsidRDefault="00073637">
            <w:pPr>
              <w:jc w:val="center"/>
              <w:rPr>
                <w:rFonts w:ascii="Arial" w:hAnsi="Arial" w:cs="Arial"/>
              </w:rPr>
            </w:pPr>
            <w:r>
              <w:rPr>
                <w:rFonts w:ascii="Arial" w:hAnsi="Arial" w:cs="Arial"/>
              </w:rPr>
              <w:t>3</w:t>
            </w:r>
          </w:p>
        </w:tc>
        <w:tc>
          <w:tcPr>
            <w:tcW w:w="1415" w:type="dxa"/>
            <w:tcBorders>
              <w:top w:val="nil"/>
              <w:left w:val="single" w:sz="8" w:space="0" w:color="000000"/>
              <w:bottom w:val="nil"/>
              <w:right w:val="single" w:sz="8" w:space="0" w:color="000000"/>
            </w:tcBorders>
            <w:shd w:val="clear" w:color="auto" w:fill="FFFFFF"/>
            <w:vAlign w:val="center"/>
          </w:tcPr>
          <w:p w14:paraId="039F02F6" w14:textId="77777777" w:rsidR="00C23BD4" w:rsidRDefault="00073637">
            <w:pPr>
              <w:jc w:val="center"/>
              <w:rPr>
                <w:rFonts w:ascii="Arial" w:hAnsi="Arial" w:cs="Arial"/>
              </w:rPr>
            </w:pPr>
            <w:r>
              <w:rPr>
                <w:rFonts w:ascii="Arial" w:hAnsi="Arial" w:cs="Arial"/>
              </w:rPr>
              <w:t>.432</w:t>
            </w:r>
          </w:p>
        </w:tc>
        <w:tc>
          <w:tcPr>
            <w:tcW w:w="1030" w:type="dxa"/>
            <w:tcBorders>
              <w:top w:val="nil"/>
              <w:left w:val="single" w:sz="8" w:space="0" w:color="000000"/>
              <w:bottom w:val="nil"/>
              <w:right w:val="single" w:sz="8" w:space="0" w:color="000000"/>
            </w:tcBorders>
            <w:shd w:val="clear" w:color="auto" w:fill="FFFFFF"/>
            <w:vAlign w:val="center"/>
          </w:tcPr>
          <w:p w14:paraId="06415ABB" w14:textId="77777777" w:rsidR="00C23BD4" w:rsidRDefault="00073637">
            <w:pPr>
              <w:jc w:val="center"/>
              <w:rPr>
                <w:rFonts w:ascii="Arial" w:hAnsi="Arial" w:cs="Arial"/>
              </w:rPr>
            </w:pPr>
            <w:r>
              <w:rPr>
                <w:rFonts w:ascii="Arial" w:hAnsi="Arial" w:cs="Arial"/>
              </w:rPr>
              <w:t>1.375</w:t>
            </w:r>
          </w:p>
        </w:tc>
        <w:tc>
          <w:tcPr>
            <w:tcW w:w="512" w:type="dxa"/>
            <w:tcBorders>
              <w:top w:val="nil"/>
              <w:left w:val="single" w:sz="8" w:space="0" w:color="000000"/>
              <w:bottom w:val="nil"/>
              <w:right w:val="single" w:sz="18" w:space="0" w:color="000000"/>
            </w:tcBorders>
            <w:shd w:val="clear" w:color="auto" w:fill="FFFFFF"/>
            <w:vAlign w:val="center"/>
          </w:tcPr>
          <w:p w14:paraId="144276BA" w14:textId="77777777" w:rsidR="00C23BD4" w:rsidRDefault="00073637">
            <w:pPr>
              <w:jc w:val="center"/>
              <w:rPr>
                <w:rFonts w:ascii="Arial" w:hAnsi="Arial" w:cs="Arial"/>
              </w:rPr>
            </w:pPr>
            <w:r>
              <w:rPr>
                <w:rFonts w:ascii="Arial" w:hAnsi="Arial" w:cs="Arial"/>
              </w:rPr>
              <w:t>.250</w:t>
            </w:r>
          </w:p>
        </w:tc>
      </w:tr>
      <w:tr w:rsidR="00C23BD4" w14:paraId="570D4817" w14:textId="77777777">
        <w:trPr>
          <w:cantSplit/>
          <w:jc w:val="center"/>
        </w:trPr>
        <w:tc>
          <w:tcPr>
            <w:tcW w:w="1477" w:type="dxa"/>
            <w:vMerge/>
            <w:tcBorders>
              <w:top w:val="nil"/>
              <w:left w:val="single" w:sz="18" w:space="0" w:color="000000"/>
              <w:bottom w:val="single" w:sz="8" w:space="0" w:color="000000"/>
              <w:right w:val="nil"/>
            </w:tcBorders>
            <w:vAlign w:val="center"/>
          </w:tcPr>
          <w:p w14:paraId="0326DCCF"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04F1AB46"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6444724" w14:textId="77777777" w:rsidR="00C23BD4" w:rsidRDefault="00073637">
            <w:pPr>
              <w:jc w:val="center"/>
              <w:rPr>
                <w:rFonts w:ascii="Arial" w:hAnsi="Arial" w:cs="Arial"/>
              </w:rPr>
            </w:pPr>
            <w:r>
              <w:rPr>
                <w:rFonts w:ascii="Arial" w:hAnsi="Arial" w:cs="Arial"/>
              </w:rPr>
              <w:t>95.166</w:t>
            </w:r>
          </w:p>
        </w:tc>
        <w:tc>
          <w:tcPr>
            <w:tcW w:w="1030" w:type="dxa"/>
            <w:tcBorders>
              <w:top w:val="nil"/>
              <w:left w:val="single" w:sz="8" w:space="0" w:color="000000"/>
              <w:bottom w:val="nil"/>
              <w:right w:val="single" w:sz="8" w:space="0" w:color="000000"/>
            </w:tcBorders>
            <w:shd w:val="clear" w:color="auto" w:fill="FFFFFF"/>
            <w:vAlign w:val="center"/>
          </w:tcPr>
          <w:p w14:paraId="446A0F14"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33D1491C" w14:textId="77777777" w:rsidR="00C23BD4" w:rsidRDefault="00073637">
            <w:pPr>
              <w:jc w:val="center"/>
              <w:rPr>
                <w:rFonts w:ascii="Arial" w:hAnsi="Arial" w:cs="Arial"/>
              </w:rPr>
            </w:pPr>
            <w:r>
              <w:rPr>
                <w:rFonts w:ascii="Arial" w:hAnsi="Arial" w:cs="Arial"/>
              </w:rPr>
              <w:t>.314</w:t>
            </w:r>
          </w:p>
        </w:tc>
        <w:tc>
          <w:tcPr>
            <w:tcW w:w="1030" w:type="dxa"/>
            <w:tcBorders>
              <w:top w:val="nil"/>
              <w:left w:val="single" w:sz="8" w:space="0" w:color="000000"/>
              <w:bottom w:val="nil"/>
              <w:right w:val="single" w:sz="8" w:space="0" w:color="000000"/>
            </w:tcBorders>
            <w:shd w:val="clear" w:color="auto" w:fill="FFFFFF"/>
            <w:vAlign w:val="center"/>
          </w:tcPr>
          <w:p w14:paraId="7EEE7EA6"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1E7DB173" w14:textId="77777777" w:rsidR="00C23BD4" w:rsidRDefault="00C23BD4">
            <w:pPr>
              <w:jc w:val="center"/>
              <w:rPr>
                <w:rFonts w:ascii="Arial" w:hAnsi="Arial" w:cs="Arial"/>
              </w:rPr>
            </w:pPr>
          </w:p>
        </w:tc>
      </w:tr>
      <w:tr w:rsidR="00C23BD4" w14:paraId="33235583" w14:textId="77777777">
        <w:trPr>
          <w:cantSplit/>
          <w:jc w:val="center"/>
        </w:trPr>
        <w:tc>
          <w:tcPr>
            <w:tcW w:w="1477" w:type="dxa"/>
            <w:vMerge/>
            <w:tcBorders>
              <w:top w:val="nil"/>
              <w:left w:val="single" w:sz="18" w:space="0" w:color="000000"/>
              <w:bottom w:val="single" w:sz="8" w:space="0" w:color="000000"/>
              <w:right w:val="nil"/>
            </w:tcBorders>
            <w:vAlign w:val="center"/>
          </w:tcPr>
          <w:p w14:paraId="339386DA" w14:textId="77777777" w:rsidR="00C23BD4" w:rsidRDefault="00C23BD4">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3DA933A2"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1F2EB0E9" w14:textId="77777777" w:rsidR="00C23BD4" w:rsidRDefault="00073637">
            <w:pPr>
              <w:jc w:val="center"/>
              <w:rPr>
                <w:rFonts w:ascii="Arial" w:hAnsi="Arial" w:cs="Arial"/>
              </w:rPr>
            </w:pPr>
            <w:r>
              <w:rPr>
                <w:rFonts w:ascii="Arial" w:hAnsi="Arial" w:cs="Arial"/>
              </w:rPr>
              <w:t>96.462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5D459310"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5127C466" w14:textId="77777777" w:rsidR="00C23BD4" w:rsidRDefault="00C23BD4">
            <w:pPr>
              <w:jc w:val="center"/>
              <w:rPr>
                <w:rFonts w:ascii="Arial" w:hAnsi="Arial" w:cs="Arial"/>
              </w:rPr>
            </w:pP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DA652FE" w14:textId="77777777" w:rsidR="00C23BD4" w:rsidRDefault="00C23BD4">
            <w:pPr>
              <w:jc w:val="center"/>
              <w:rPr>
                <w:rFonts w:ascii="Arial" w:hAnsi="Arial" w:cs="Arial"/>
              </w:rPr>
            </w:pPr>
          </w:p>
        </w:tc>
        <w:tc>
          <w:tcPr>
            <w:tcW w:w="512" w:type="dxa"/>
            <w:tcBorders>
              <w:top w:val="nil"/>
              <w:left w:val="single" w:sz="8" w:space="0" w:color="000000"/>
              <w:bottom w:val="single" w:sz="8" w:space="0" w:color="000000"/>
              <w:right w:val="single" w:sz="18" w:space="0" w:color="000000"/>
            </w:tcBorders>
            <w:shd w:val="clear" w:color="auto" w:fill="FFFFFF"/>
            <w:vAlign w:val="center"/>
          </w:tcPr>
          <w:p w14:paraId="70CAE796" w14:textId="77777777" w:rsidR="00C23BD4" w:rsidRDefault="00C23BD4">
            <w:pPr>
              <w:jc w:val="center"/>
              <w:rPr>
                <w:rFonts w:ascii="Arial" w:hAnsi="Arial" w:cs="Arial"/>
              </w:rPr>
            </w:pPr>
          </w:p>
        </w:tc>
      </w:tr>
      <w:tr w:rsidR="00C23BD4" w14:paraId="32190F25" w14:textId="77777777">
        <w:trPr>
          <w:cantSplit/>
          <w:jc w:val="center"/>
        </w:trPr>
        <w:tc>
          <w:tcPr>
            <w:tcW w:w="1477" w:type="dxa"/>
            <w:vMerge w:val="restart"/>
            <w:tcBorders>
              <w:top w:val="nil"/>
              <w:left w:val="single" w:sz="18" w:space="0" w:color="000000"/>
              <w:bottom w:val="single" w:sz="18" w:space="0" w:color="000000"/>
              <w:right w:val="nil"/>
            </w:tcBorders>
            <w:shd w:val="clear" w:color="auto" w:fill="FFFFFF"/>
          </w:tcPr>
          <w:p w14:paraId="6D944B58" w14:textId="77777777" w:rsidR="00C23BD4" w:rsidRDefault="00073637">
            <w:pPr>
              <w:rPr>
                <w:rFonts w:ascii="Arial" w:hAnsi="Arial" w:cs="Arial"/>
              </w:rPr>
            </w:pPr>
            <w:r>
              <w:rPr>
                <w:rFonts w:ascii="Arial" w:hAnsi="Arial" w:cs="Arial"/>
              </w:rPr>
              <w:t>Overall Satisfaction</w:t>
            </w:r>
          </w:p>
        </w:tc>
        <w:tc>
          <w:tcPr>
            <w:tcW w:w="1707" w:type="dxa"/>
            <w:tcBorders>
              <w:top w:val="nil"/>
              <w:left w:val="nil"/>
              <w:bottom w:val="nil"/>
              <w:right w:val="single" w:sz="18" w:space="0" w:color="000000"/>
            </w:tcBorders>
            <w:shd w:val="clear" w:color="auto" w:fill="FFFFFF"/>
          </w:tcPr>
          <w:p w14:paraId="6D1B571E" w14:textId="77777777" w:rsidR="00C23BD4" w:rsidRDefault="00073637">
            <w:pPr>
              <w:rPr>
                <w:rFonts w:ascii="Arial" w:hAnsi="Arial" w:cs="Arial"/>
              </w:rPr>
            </w:pPr>
            <w:r>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4CEA0652" w14:textId="77777777" w:rsidR="00C23BD4" w:rsidRDefault="00073637">
            <w:pPr>
              <w:jc w:val="center"/>
              <w:rPr>
                <w:rFonts w:ascii="Arial" w:hAnsi="Arial" w:cs="Arial"/>
              </w:rPr>
            </w:pPr>
            <w:r>
              <w:rPr>
                <w:rFonts w:ascii="Arial" w:hAnsi="Arial" w:cs="Arial"/>
              </w:rPr>
              <w:t>.852</w:t>
            </w:r>
          </w:p>
        </w:tc>
        <w:tc>
          <w:tcPr>
            <w:tcW w:w="1030" w:type="dxa"/>
            <w:tcBorders>
              <w:top w:val="nil"/>
              <w:left w:val="single" w:sz="8" w:space="0" w:color="000000"/>
              <w:bottom w:val="nil"/>
              <w:right w:val="single" w:sz="8" w:space="0" w:color="000000"/>
            </w:tcBorders>
            <w:shd w:val="clear" w:color="auto" w:fill="FFFFFF"/>
            <w:vAlign w:val="center"/>
          </w:tcPr>
          <w:p w14:paraId="49014B55" w14:textId="77777777" w:rsidR="00C23BD4" w:rsidRDefault="00073637">
            <w:pPr>
              <w:jc w:val="center"/>
              <w:rPr>
                <w:rFonts w:ascii="Arial" w:hAnsi="Arial" w:cs="Arial"/>
              </w:rPr>
            </w:pPr>
            <w:r>
              <w:rPr>
                <w:rFonts w:ascii="Arial" w:hAnsi="Arial" w:cs="Arial"/>
              </w:rPr>
              <w:t>3</w:t>
            </w:r>
          </w:p>
        </w:tc>
        <w:tc>
          <w:tcPr>
            <w:tcW w:w="1415" w:type="dxa"/>
            <w:tcBorders>
              <w:top w:val="nil"/>
              <w:left w:val="single" w:sz="8" w:space="0" w:color="000000"/>
              <w:bottom w:val="nil"/>
              <w:right w:val="single" w:sz="8" w:space="0" w:color="000000"/>
            </w:tcBorders>
            <w:shd w:val="clear" w:color="auto" w:fill="FFFFFF"/>
            <w:vAlign w:val="center"/>
          </w:tcPr>
          <w:p w14:paraId="51B3EA06" w14:textId="77777777" w:rsidR="00C23BD4" w:rsidRDefault="00073637">
            <w:pPr>
              <w:jc w:val="center"/>
              <w:rPr>
                <w:rFonts w:ascii="Arial" w:hAnsi="Arial" w:cs="Arial"/>
              </w:rPr>
            </w:pPr>
            <w:r>
              <w:rPr>
                <w:rFonts w:ascii="Arial" w:hAnsi="Arial" w:cs="Arial"/>
              </w:rPr>
              <w:t>.284</w:t>
            </w:r>
          </w:p>
        </w:tc>
        <w:tc>
          <w:tcPr>
            <w:tcW w:w="1030" w:type="dxa"/>
            <w:tcBorders>
              <w:top w:val="nil"/>
              <w:left w:val="single" w:sz="8" w:space="0" w:color="000000"/>
              <w:bottom w:val="nil"/>
              <w:right w:val="single" w:sz="8" w:space="0" w:color="000000"/>
            </w:tcBorders>
            <w:shd w:val="clear" w:color="auto" w:fill="FFFFFF"/>
            <w:vAlign w:val="center"/>
          </w:tcPr>
          <w:p w14:paraId="7E25C277" w14:textId="77777777" w:rsidR="00C23BD4" w:rsidRDefault="00073637">
            <w:pPr>
              <w:jc w:val="center"/>
              <w:rPr>
                <w:rFonts w:ascii="Arial" w:hAnsi="Arial" w:cs="Arial"/>
              </w:rPr>
            </w:pPr>
            <w:r>
              <w:rPr>
                <w:rFonts w:ascii="Arial" w:hAnsi="Arial" w:cs="Arial"/>
              </w:rPr>
              <w:t>1.159</w:t>
            </w:r>
          </w:p>
        </w:tc>
        <w:tc>
          <w:tcPr>
            <w:tcW w:w="512" w:type="dxa"/>
            <w:tcBorders>
              <w:top w:val="nil"/>
              <w:left w:val="single" w:sz="8" w:space="0" w:color="000000"/>
              <w:bottom w:val="nil"/>
              <w:right w:val="single" w:sz="18" w:space="0" w:color="000000"/>
            </w:tcBorders>
            <w:shd w:val="clear" w:color="auto" w:fill="FFFFFF"/>
            <w:vAlign w:val="center"/>
          </w:tcPr>
          <w:p w14:paraId="09A24AB7" w14:textId="77777777" w:rsidR="00C23BD4" w:rsidRDefault="00073637">
            <w:pPr>
              <w:jc w:val="center"/>
              <w:rPr>
                <w:rFonts w:ascii="Arial" w:hAnsi="Arial" w:cs="Arial"/>
              </w:rPr>
            </w:pPr>
            <w:r>
              <w:rPr>
                <w:rFonts w:ascii="Arial" w:hAnsi="Arial" w:cs="Arial"/>
              </w:rPr>
              <w:t>.326</w:t>
            </w:r>
          </w:p>
        </w:tc>
      </w:tr>
      <w:tr w:rsidR="00C23BD4" w14:paraId="227993CC" w14:textId="77777777">
        <w:trPr>
          <w:cantSplit/>
          <w:jc w:val="center"/>
        </w:trPr>
        <w:tc>
          <w:tcPr>
            <w:tcW w:w="1477" w:type="dxa"/>
            <w:vMerge/>
            <w:tcBorders>
              <w:top w:val="nil"/>
              <w:left w:val="single" w:sz="18" w:space="0" w:color="000000"/>
              <w:bottom w:val="single" w:sz="18" w:space="0" w:color="000000"/>
              <w:right w:val="nil"/>
            </w:tcBorders>
            <w:vAlign w:val="center"/>
          </w:tcPr>
          <w:p w14:paraId="0666CEEB" w14:textId="77777777" w:rsidR="00C23BD4" w:rsidRDefault="00C23BD4">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311CC3FF" w14:textId="77777777" w:rsidR="00C23BD4" w:rsidRDefault="00073637">
            <w:pPr>
              <w:rPr>
                <w:rFonts w:ascii="Arial" w:hAnsi="Arial" w:cs="Arial"/>
              </w:rPr>
            </w:pPr>
            <w:r>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3797D113" w14:textId="77777777" w:rsidR="00C23BD4" w:rsidRDefault="00073637">
            <w:pPr>
              <w:jc w:val="center"/>
              <w:rPr>
                <w:rFonts w:ascii="Arial" w:hAnsi="Arial" w:cs="Arial"/>
              </w:rPr>
            </w:pPr>
            <w:r>
              <w:rPr>
                <w:rFonts w:ascii="Arial" w:hAnsi="Arial" w:cs="Arial"/>
              </w:rPr>
              <w:t>74.266</w:t>
            </w:r>
          </w:p>
        </w:tc>
        <w:tc>
          <w:tcPr>
            <w:tcW w:w="1030" w:type="dxa"/>
            <w:tcBorders>
              <w:top w:val="nil"/>
              <w:left w:val="single" w:sz="8" w:space="0" w:color="000000"/>
              <w:bottom w:val="nil"/>
              <w:right w:val="single" w:sz="8" w:space="0" w:color="000000"/>
            </w:tcBorders>
            <w:shd w:val="clear" w:color="auto" w:fill="FFFFFF"/>
            <w:vAlign w:val="center"/>
          </w:tcPr>
          <w:p w14:paraId="563C8BA9" w14:textId="77777777" w:rsidR="00C23BD4" w:rsidRDefault="00073637">
            <w:pPr>
              <w:jc w:val="center"/>
              <w:rPr>
                <w:rFonts w:ascii="Arial" w:hAnsi="Arial" w:cs="Arial"/>
              </w:rPr>
            </w:pPr>
            <w:r>
              <w:rPr>
                <w:rFonts w:ascii="Arial" w:hAnsi="Arial" w:cs="Arial"/>
              </w:rPr>
              <w:t>303</w:t>
            </w:r>
          </w:p>
        </w:tc>
        <w:tc>
          <w:tcPr>
            <w:tcW w:w="1415" w:type="dxa"/>
            <w:tcBorders>
              <w:top w:val="nil"/>
              <w:left w:val="single" w:sz="8" w:space="0" w:color="000000"/>
              <w:bottom w:val="nil"/>
              <w:right w:val="single" w:sz="8" w:space="0" w:color="000000"/>
            </w:tcBorders>
            <w:shd w:val="clear" w:color="auto" w:fill="FFFFFF"/>
            <w:vAlign w:val="center"/>
          </w:tcPr>
          <w:p w14:paraId="6BC6B05A" w14:textId="77777777" w:rsidR="00C23BD4" w:rsidRDefault="00073637">
            <w:pPr>
              <w:jc w:val="center"/>
              <w:rPr>
                <w:rFonts w:ascii="Arial" w:hAnsi="Arial" w:cs="Arial"/>
              </w:rPr>
            </w:pPr>
            <w:r>
              <w:rPr>
                <w:rFonts w:ascii="Arial" w:hAnsi="Arial" w:cs="Arial"/>
              </w:rPr>
              <w:t>.245</w:t>
            </w:r>
          </w:p>
        </w:tc>
        <w:tc>
          <w:tcPr>
            <w:tcW w:w="1030" w:type="dxa"/>
            <w:tcBorders>
              <w:top w:val="nil"/>
              <w:left w:val="single" w:sz="8" w:space="0" w:color="000000"/>
              <w:bottom w:val="nil"/>
              <w:right w:val="single" w:sz="8" w:space="0" w:color="000000"/>
            </w:tcBorders>
            <w:shd w:val="clear" w:color="auto" w:fill="FFFFFF"/>
            <w:vAlign w:val="center"/>
          </w:tcPr>
          <w:p w14:paraId="4068645B" w14:textId="77777777" w:rsidR="00C23BD4" w:rsidRDefault="00C23BD4">
            <w:pPr>
              <w:jc w:val="center"/>
              <w:rPr>
                <w:rFonts w:ascii="Arial" w:hAnsi="Arial" w:cs="Arial"/>
              </w:rPr>
            </w:pPr>
          </w:p>
        </w:tc>
        <w:tc>
          <w:tcPr>
            <w:tcW w:w="512" w:type="dxa"/>
            <w:tcBorders>
              <w:top w:val="nil"/>
              <w:left w:val="single" w:sz="8" w:space="0" w:color="000000"/>
              <w:bottom w:val="nil"/>
              <w:right w:val="single" w:sz="18" w:space="0" w:color="000000"/>
            </w:tcBorders>
            <w:shd w:val="clear" w:color="auto" w:fill="FFFFFF"/>
            <w:vAlign w:val="center"/>
          </w:tcPr>
          <w:p w14:paraId="7FDED40B" w14:textId="77777777" w:rsidR="00C23BD4" w:rsidRDefault="00C23BD4">
            <w:pPr>
              <w:jc w:val="center"/>
              <w:rPr>
                <w:rFonts w:ascii="Arial" w:hAnsi="Arial" w:cs="Arial"/>
              </w:rPr>
            </w:pPr>
          </w:p>
        </w:tc>
      </w:tr>
      <w:tr w:rsidR="00C23BD4" w14:paraId="286470F3" w14:textId="77777777">
        <w:trPr>
          <w:cantSplit/>
          <w:jc w:val="center"/>
        </w:trPr>
        <w:tc>
          <w:tcPr>
            <w:tcW w:w="1477" w:type="dxa"/>
            <w:vMerge/>
            <w:tcBorders>
              <w:top w:val="nil"/>
              <w:left w:val="single" w:sz="18" w:space="0" w:color="000000"/>
              <w:bottom w:val="single" w:sz="18" w:space="0" w:color="000000"/>
              <w:right w:val="nil"/>
            </w:tcBorders>
            <w:vAlign w:val="center"/>
          </w:tcPr>
          <w:p w14:paraId="2D27BEDE" w14:textId="77777777" w:rsidR="00C23BD4" w:rsidRDefault="00C23BD4">
            <w:pPr>
              <w:jc w:val="center"/>
              <w:rPr>
                <w:rFonts w:ascii="Arial" w:hAnsi="Arial" w:cs="Arial"/>
              </w:rPr>
            </w:pPr>
          </w:p>
        </w:tc>
        <w:tc>
          <w:tcPr>
            <w:tcW w:w="1707" w:type="dxa"/>
            <w:tcBorders>
              <w:top w:val="nil"/>
              <w:left w:val="nil"/>
              <w:bottom w:val="single" w:sz="18" w:space="0" w:color="000000"/>
              <w:right w:val="single" w:sz="18" w:space="0" w:color="000000"/>
            </w:tcBorders>
            <w:shd w:val="clear" w:color="auto" w:fill="FFFFFF"/>
          </w:tcPr>
          <w:p w14:paraId="68D2289B" w14:textId="77777777" w:rsidR="00C23BD4" w:rsidRDefault="00073637">
            <w:pPr>
              <w:rPr>
                <w:rFonts w:ascii="Arial" w:hAnsi="Arial" w:cs="Arial"/>
              </w:rPr>
            </w:pPr>
            <w:r>
              <w:rPr>
                <w:rFonts w:ascii="Arial" w:hAnsi="Arial" w:cs="Arial"/>
              </w:rPr>
              <w:t>Total</w:t>
            </w:r>
          </w:p>
        </w:tc>
        <w:tc>
          <w:tcPr>
            <w:tcW w:w="1476" w:type="dxa"/>
            <w:tcBorders>
              <w:top w:val="nil"/>
              <w:left w:val="single" w:sz="18" w:space="0" w:color="000000"/>
              <w:bottom w:val="single" w:sz="18" w:space="0" w:color="000000"/>
              <w:right w:val="single" w:sz="8" w:space="0" w:color="000000"/>
            </w:tcBorders>
            <w:shd w:val="clear" w:color="auto" w:fill="FFFFFF"/>
            <w:vAlign w:val="center"/>
          </w:tcPr>
          <w:p w14:paraId="616CB9F8" w14:textId="77777777" w:rsidR="00C23BD4" w:rsidRDefault="00073637">
            <w:pPr>
              <w:jc w:val="center"/>
              <w:rPr>
                <w:rFonts w:ascii="Arial" w:hAnsi="Arial" w:cs="Arial"/>
              </w:rPr>
            </w:pPr>
            <w:r>
              <w:rPr>
                <w:rFonts w:ascii="Arial" w:hAnsi="Arial" w:cs="Arial"/>
              </w:rPr>
              <w:t>75.118</w:t>
            </w: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23273C02" w14:textId="77777777" w:rsidR="00C23BD4" w:rsidRDefault="00073637">
            <w:pPr>
              <w:jc w:val="center"/>
              <w:rPr>
                <w:rFonts w:ascii="Arial" w:hAnsi="Arial" w:cs="Arial"/>
              </w:rPr>
            </w:pPr>
            <w:r>
              <w:rPr>
                <w:rFonts w:ascii="Arial" w:hAnsi="Arial" w:cs="Arial"/>
              </w:rPr>
              <w:t>306</w:t>
            </w:r>
          </w:p>
        </w:tc>
        <w:tc>
          <w:tcPr>
            <w:tcW w:w="1415" w:type="dxa"/>
            <w:tcBorders>
              <w:top w:val="nil"/>
              <w:left w:val="single" w:sz="8" w:space="0" w:color="000000"/>
              <w:bottom w:val="single" w:sz="18" w:space="0" w:color="000000"/>
              <w:right w:val="single" w:sz="8" w:space="0" w:color="000000"/>
            </w:tcBorders>
            <w:shd w:val="clear" w:color="auto" w:fill="FFFFFF"/>
            <w:vAlign w:val="center"/>
          </w:tcPr>
          <w:p w14:paraId="3335D532" w14:textId="77777777" w:rsidR="00C23BD4" w:rsidRDefault="00C23BD4">
            <w:pPr>
              <w:jc w:val="center"/>
              <w:rPr>
                <w:rFonts w:ascii="Arial" w:hAnsi="Arial" w:cs="Arial"/>
              </w:rPr>
            </w:pP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3340A90B" w14:textId="77777777" w:rsidR="00C23BD4" w:rsidRDefault="00C23BD4">
            <w:pPr>
              <w:jc w:val="center"/>
              <w:rPr>
                <w:rFonts w:ascii="Arial" w:hAnsi="Arial" w:cs="Arial"/>
              </w:rPr>
            </w:pPr>
          </w:p>
        </w:tc>
        <w:tc>
          <w:tcPr>
            <w:tcW w:w="512" w:type="dxa"/>
            <w:tcBorders>
              <w:top w:val="nil"/>
              <w:left w:val="single" w:sz="8" w:space="0" w:color="000000"/>
              <w:bottom w:val="single" w:sz="18" w:space="0" w:color="000000"/>
              <w:right w:val="single" w:sz="18" w:space="0" w:color="000000"/>
            </w:tcBorders>
            <w:shd w:val="clear" w:color="auto" w:fill="FFFFFF"/>
            <w:vAlign w:val="center"/>
          </w:tcPr>
          <w:p w14:paraId="52A1E895" w14:textId="77777777" w:rsidR="00C23BD4" w:rsidRDefault="00C23BD4">
            <w:pPr>
              <w:jc w:val="center"/>
              <w:rPr>
                <w:rFonts w:ascii="Arial" w:hAnsi="Arial" w:cs="Arial"/>
              </w:rPr>
            </w:pPr>
          </w:p>
        </w:tc>
      </w:tr>
    </w:tbl>
    <w:p w14:paraId="304DE56F" w14:textId="77777777" w:rsidR="00C23BD4" w:rsidRDefault="00C23BD4">
      <w:pPr>
        <w:jc w:val="both"/>
        <w:rPr>
          <w:rFonts w:ascii="Arial" w:hAnsi="Arial" w:cs="Arial"/>
        </w:rPr>
      </w:pPr>
    </w:p>
    <w:p w14:paraId="37678DEB" w14:textId="202B3D1A" w:rsidR="00C23BD4" w:rsidRDefault="000C791C">
      <w:pPr>
        <w:jc w:val="both"/>
        <w:rPr>
          <w:rFonts w:ascii="Arial" w:hAnsi="Arial" w:cs="Arial"/>
        </w:rPr>
      </w:pPr>
      <w:r>
        <w:rPr>
          <w:rFonts w:ascii="Arial" w:hAnsi="Arial" w:cs="Arial"/>
        </w:rPr>
        <w:t>The results of the ANOVA indicated that there were no significant differences in satisfaction levels when respondents were grouped by course. However, a significant difference was observed when grouped by year level (p = 0.016), showing that satisfaction varied across different stages of study</w:t>
      </w:r>
      <w:r w:rsidR="00073637">
        <w:rPr>
          <w:rFonts w:ascii="Arial" w:hAnsi="Arial" w:cs="Arial"/>
        </w:rPr>
        <w:t>. For the Academic category, the F-value is 1.033 with a p-value of 0.378, which is above the typical significance threshold of 0.05. This means that the satisfaction levels related to academic services did not vary significantly between the different programs. Similarly, for the Non-Academic category, the F-value is 1.375 with a p-value of 0.250, which also exceeds the 0.05 threshold, indicating that there were no significant differences in satisfaction with non-academic services across the different programs.</w:t>
      </w:r>
    </w:p>
    <w:p w14:paraId="1ABC4BDC" w14:textId="77777777" w:rsidR="00C23BD4" w:rsidRDefault="00073637">
      <w:pPr>
        <w:jc w:val="both"/>
        <w:rPr>
          <w:rFonts w:ascii="Arial" w:hAnsi="Arial" w:cs="Arial"/>
        </w:rPr>
      </w:pPr>
      <w:r>
        <w:rPr>
          <w:rFonts w:ascii="Arial" w:hAnsi="Arial" w:cs="Arial"/>
        </w:rPr>
        <w:t>Furthermore, for the Overall Satisfaction category, the F-value is 1.159, and the p-value is 0.326, which again is greater than 0.05, suggesting that overall satisfaction with both academic and non-academic services does not significantly differ between the various programs. In conclusion, the data suggested that the level of satisfaction with both academic and non-academic services is fairly consistent across the different programs, meaning that respondents from different programs do not experience significantly different levels of satisfaction with the university's services.</w:t>
      </w:r>
    </w:p>
    <w:p w14:paraId="44B70872" w14:textId="77777777" w:rsidR="00C23BD4" w:rsidRDefault="00C23BD4">
      <w:pPr>
        <w:rPr>
          <w:rFonts w:ascii="Arial" w:hAnsi="Arial" w:cs="Arial"/>
        </w:rPr>
      </w:pPr>
    </w:p>
    <w:p w14:paraId="3CCBC8DE" w14:textId="6028CE8F" w:rsidR="00C23BD4" w:rsidRDefault="00073637">
      <w:pPr>
        <w:jc w:val="center"/>
        <w:rPr>
          <w:rFonts w:ascii="Arial" w:hAnsi="Arial" w:cs="Arial"/>
          <w:b/>
          <w:bCs/>
          <w:sz w:val="22"/>
          <w:szCs w:val="22"/>
        </w:rPr>
      </w:pPr>
      <w:r>
        <w:rPr>
          <w:rFonts w:ascii="Arial" w:hAnsi="Arial" w:cs="Arial"/>
          <w:b/>
          <w:bCs/>
          <w:sz w:val="22"/>
          <w:szCs w:val="22"/>
        </w:rPr>
        <w:t>Table 1</w:t>
      </w:r>
      <w:r w:rsidR="00236ECC">
        <w:rPr>
          <w:rFonts w:ascii="Arial" w:hAnsi="Arial" w:cs="Arial"/>
          <w:b/>
          <w:bCs/>
          <w:sz w:val="22"/>
          <w:szCs w:val="22"/>
        </w:rPr>
        <w:t>9</w:t>
      </w:r>
      <w:r>
        <w:rPr>
          <w:rFonts w:ascii="Arial" w:hAnsi="Arial" w:cs="Arial"/>
          <w:b/>
          <w:bCs/>
          <w:sz w:val="22"/>
          <w:szCs w:val="22"/>
        </w:rPr>
        <w:t xml:space="preserve">. </w:t>
      </w:r>
      <w:bookmarkStart w:id="15" w:name="_Hlk197598730"/>
      <w:r>
        <w:rPr>
          <w:rFonts w:ascii="Arial" w:hAnsi="Arial" w:cs="Arial"/>
          <w:b/>
          <w:bCs/>
          <w:sz w:val="22"/>
          <w:szCs w:val="22"/>
        </w:rPr>
        <w:t>Comparison of Students' Satisfaction with Academic and Non-Academic Services in Terms of Year Level</w:t>
      </w:r>
      <w:bookmarkEnd w:id="15"/>
    </w:p>
    <w:p w14:paraId="70E5C31D" w14:textId="77777777" w:rsidR="00C23BD4" w:rsidRDefault="00C23BD4">
      <w:pPr>
        <w:jc w:val="center"/>
        <w:rPr>
          <w:rFonts w:ascii="Arial" w:hAnsi="Arial" w:cs="Arial"/>
          <w:b/>
          <w:bCs/>
          <w:sz w:val="22"/>
          <w:szCs w:val="22"/>
        </w:rPr>
      </w:pP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6"/>
        <w:gridCol w:w="1643"/>
        <w:gridCol w:w="1541"/>
        <w:gridCol w:w="1030"/>
        <w:gridCol w:w="1256"/>
        <w:gridCol w:w="992"/>
        <w:gridCol w:w="709"/>
      </w:tblGrid>
      <w:tr w:rsidR="00C23BD4" w14:paraId="4D754FEB" w14:textId="77777777">
        <w:trPr>
          <w:cantSplit/>
          <w:jc w:val="center"/>
        </w:trPr>
        <w:tc>
          <w:tcPr>
            <w:tcW w:w="3119" w:type="dxa"/>
            <w:gridSpan w:val="2"/>
            <w:tcBorders>
              <w:top w:val="single" w:sz="18" w:space="0" w:color="000000"/>
              <w:left w:val="single" w:sz="18" w:space="0" w:color="000000"/>
              <w:bottom w:val="single" w:sz="18" w:space="0" w:color="000000"/>
              <w:right w:val="nil"/>
            </w:tcBorders>
            <w:shd w:val="clear" w:color="auto" w:fill="FFFFFF"/>
            <w:vAlign w:val="bottom"/>
          </w:tcPr>
          <w:p w14:paraId="397B20E7" w14:textId="77777777" w:rsidR="00C23BD4" w:rsidRDefault="00C23BD4">
            <w:pPr>
              <w:ind w:firstLine="720"/>
              <w:jc w:val="right"/>
              <w:rPr>
                <w:rFonts w:ascii="Arial" w:hAnsi="Arial" w:cs="Arial"/>
              </w:rPr>
            </w:pPr>
          </w:p>
        </w:tc>
        <w:tc>
          <w:tcPr>
            <w:tcW w:w="1541"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43AA1103" w14:textId="77777777" w:rsidR="00C23BD4" w:rsidRDefault="00073637">
            <w:pPr>
              <w:jc w:val="center"/>
              <w:rPr>
                <w:rFonts w:ascii="Arial" w:hAnsi="Arial" w:cs="Arial"/>
              </w:rPr>
            </w:pPr>
            <w:r>
              <w:rPr>
                <w:rFonts w:ascii="Arial" w:hAnsi="Arial" w:cs="Arial"/>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6E5B8AC9" w14:textId="77777777" w:rsidR="00C23BD4" w:rsidRDefault="00073637">
            <w:pPr>
              <w:jc w:val="center"/>
              <w:rPr>
                <w:rFonts w:ascii="Arial" w:hAnsi="Arial" w:cs="Arial"/>
              </w:rPr>
            </w:pPr>
            <w:r>
              <w:rPr>
                <w:rFonts w:ascii="Arial" w:hAnsi="Arial" w:cs="Arial"/>
              </w:rPr>
              <w:t>Df</w:t>
            </w:r>
          </w:p>
        </w:tc>
        <w:tc>
          <w:tcPr>
            <w:tcW w:w="1256"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48E83409" w14:textId="77777777" w:rsidR="00C23BD4" w:rsidRDefault="00073637">
            <w:pPr>
              <w:jc w:val="center"/>
              <w:rPr>
                <w:rFonts w:ascii="Arial" w:hAnsi="Arial" w:cs="Arial"/>
              </w:rPr>
            </w:pPr>
            <w:r>
              <w:rPr>
                <w:rFonts w:ascii="Arial" w:hAnsi="Arial" w:cs="Arial"/>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0F211038" w14:textId="77777777" w:rsidR="00C23BD4" w:rsidRDefault="00073637">
            <w:pPr>
              <w:jc w:val="center"/>
              <w:rPr>
                <w:rFonts w:ascii="Arial" w:hAnsi="Arial" w:cs="Arial"/>
              </w:rPr>
            </w:pPr>
            <w:r>
              <w:rPr>
                <w:rFonts w:ascii="Arial" w:hAnsi="Arial" w:cs="Arial"/>
              </w:rPr>
              <w:t>F</w:t>
            </w:r>
          </w:p>
        </w:tc>
        <w:tc>
          <w:tcPr>
            <w:tcW w:w="709"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0277EABF" w14:textId="77777777" w:rsidR="00C23BD4" w:rsidRDefault="00073637">
            <w:pPr>
              <w:ind w:firstLine="720"/>
              <w:jc w:val="center"/>
              <w:rPr>
                <w:rFonts w:ascii="Arial" w:hAnsi="Arial" w:cs="Arial"/>
              </w:rPr>
            </w:pPr>
            <w:r>
              <w:rPr>
                <w:rFonts w:ascii="Arial" w:hAnsi="Arial" w:cs="Arial"/>
              </w:rPr>
              <w:t>Sig.</w:t>
            </w:r>
          </w:p>
        </w:tc>
      </w:tr>
      <w:tr w:rsidR="00C23BD4" w14:paraId="4420F3BF" w14:textId="77777777">
        <w:trPr>
          <w:cantSplit/>
          <w:jc w:val="center"/>
        </w:trPr>
        <w:tc>
          <w:tcPr>
            <w:tcW w:w="1476" w:type="dxa"/>
            <w:vMerge w:val="restart"/>
            <w:tcBorders>
              <w:top w:val="single" w:sz="18" w:space="0" w:color="000000"/>
              <w:left w:val="single" w:sz="18" w:space="0" w:color="000000"/>
              <w:bottom w:val="single" w:sz="8" w:space="0" w:color="000000"/>
              <w:right w:val="nil"/>
            </w:tcBorders>
            <w:shd w:val="clear" w:color="auto" w:fill="FFFFFF"/>
          </w:tcPr>
          <w:p w14:paraId="2887BC7F" w14:textId="77777777" w:rsidR="00C23BD4" w:rsidRDefault="00073637">
            <w:pPr>
              <w:rPr>
                <w:rFonts w:ascii="Arial" w:hAnsi="Arial" w:cs="Arial"/>
              </w:rPr>
            </w:pPr>
            <w:r>
              <w:rPr>
                <w:rFonts w:ascii="Arial" w:hAnsi="Arial" w:cs="Arial"/>
              </w:rPr>
              <w:t>Academic</w:t>
            </w:r>
          </w:p>
        </w:tc>
        <w:tc>
          <w:tcPr>
            <w:tcW w:w="1643" w:type="dxa"/>
            <w:tcBorders>
              <w:top w:val="single" w:sz="18" w:space="0" w:color="000000"/>
              <w:left w:val="nil"/>
              <w:bottom w:val="nil"/>
              <w:right w:val="single" w:sz="18" w:space="0" w:color="000000"/>
            </w:tcBorders>
            <w:shd w:val="clear" w:color="auto" w:fill="FFFFFF"/>
          </w:tcPr>
          <w:p w14:paraId="7A57219C" w14:textId="77777777" w:rsidR="00C23BD4" w:rsidRDefault="00073637">
            <w:pPr>
              <w:rPr>
                <w:rFonts w:ascii="Arial" w:hAnsi="Arial" w:cs="Arial"/>
              </w:rPr>
            </w:pPr>
            <w:r>
              <w:rPr>
                <w:rFonts w:ascii="Arial" w:hAnsi="Arial" w:cs="Arial"/>
              </w:rPr>
              <w:t>Between Groups</w:t>
            </w:r>
          </w:p>
        </w:tc>
        <w:tc>
          <w:tcPr>
            <w:tcW w:w="1541" w:type="dxa"/>
            <w:tcBorders>
              <w:top w:val="single" w:sz="18" w:space="0" w:color="000000"/>
              <w:left w:val="single" w:sz="18" w:space="0" w:color="000000"/>
              <w:bottom w:val="nil"/>
              <w:right w:val="single" w:sz="8" w:space="0" w:color="000000"/>
            </w:tcBorders>
            <w:shd w:val="clear" w:color="auto" w:fill="FFFFFF"/>
            <w:vAlign w:val="center"/>
          </w:tcPr>
          <w:p w14:paraId="7BB156D4" w14:textId="77777777" w:rsidR="00C23BD4" w:rsidRDefault="00073637">
            <w:pPr>
              <w:jc w:val="center"/>
              <w:rPr>
                <w:rFonts w:ascii="Arial" w:hAnsi="Arial" w:cs="Arial"/>
              </w:rPr>
            </w:pPr>
            <w:r>
              <w:rPr>
                <w:rFonts w:ascii="Arial" w:hAnsi="Arial" w:cs="Arial"/>
              </w:rPr>
              <w:t>3.700</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5D5CF847" w14:textId="77777777" w:rsidR="00C23BD4" w:rsidRDefault="00073637">
            <w:pPr>
              <w:jc w:val="center"/>
              <w:rPr>
                <w:rFonts w:ascii="Arial" w:hAnsi="Arial" w:cs="Arial"/>
              </w:rPr>
            </w:pPr>
            <w:r>
              <w:rPr>
                <w:rFonts w:ascii="Arial" w:hAnsi="Arial" w:cs="Arial"/>
              </w:rPr>
              <w:t>3</w:t>
            </w:r>
          </w:p>
        </w:tc>
        <w:tc>
          <w:tcPr>
            <w:tcW w:w="1256" w:type="dxa"/>
            <w:tcBorders>
              <w:top w:val="single" w:sz="18" w:space="0" w:color="000000"/>
              <w:left w:val="single" w:sz="8" w:space="0" w:color="000000"/>
              <w:bottom w:val="nil"/>
              <w:right w:val="single" w:sz="8" w:space="0" w:color="000000"/>
            </w:tcBorders>
            <w:shd w:val="clear" w:color="auto" w:fill="FFFFFF"/>
            <w:vAlign w:val="center"/>
          </w:tcPr>
          <w:p w14:paraId="52AD9FF9" w14:textId="77777777" w:rsidR="00C23BD4" w:rsidRDefault="00073637">
            <w:pPr>
              <w:jc w:val="center"/>
              <w:rPr>
                <w:rFonts w:ascii="Arial" w:hAnsi="Arial" w:cs="Arial"/>
              </w:rPr>
            </w:pPr>
            <w:r>
              <w:rPr>
                <w:rFonts w:ascii="Arial" w:hAnsi="Arial" w:cs="Arial"/>
              </w:rPr>
              <w:t>1.233</w:t>
            </w:r>
          </w:p>
        </w:tc>
        <w:tc>
          <w:tcPr>
            <w:tcW w:w="992" w:type="dxa"/>
            <w:tcBorders>
              <w:top w:val="single" w:sz="18" w:space="0" w:color="000000"/>
              <w:left w:val="single" w:sz="8" w:space="0" w:color="000000"/>
              <w:bottom w:val="nil"/>
              <w:right w:val="single" w:sz="8" w:space="0" w:color="000000"/>
            </w:tcBorders>
            <w:shd w:val="clear" w:color="auto" w:fill="FFFFFF"/>
            <w:vAlign w:val="center"/>
          </w:tcPr>
          <w:p w14:paraId="69DEE7AD" w14:textId="77777777" w:rsidR="00C23BD4" w:rsidRDefault="00073637">
            <w:pPr>
              <w:jc w:val="center"/>
              <w:rPr>
                <w:rFonts w:ascii="Arial" w:hAnsi="Arial" w:cs="Arial"/>
              </w:rPr>
            </w:pPr>
            <w:r>
              <w:rPr>
                <w:rFonts w:ascii="Arial" w:hAnsi="Arial" w:cs="Arial"/>
              </w:rPr>
              <w:t>5.641</w:t>
            </w:r>
          </w:p>
        </w:tc>
        <w:tc>
          <w:tcPr>
            <w:tcW w:w="709" w:type="dxa"/>
            <w:tcBorders>
              <w:top w:val="single" w:sz="18" w:space="0" w:color="000000"/>
              <w:left w:val="single" w:sz="8" w:space="0" w:color="000000"/>
              <w:bottom w:val="nil"/>
              <w:right w:val="single" w:sz="18" w:space="0" w:color="000000"/>
            </w:tcBorders>
            <w:shd w:val="clear" w:color="auto" w:fill="FFFFFF"/>
            <w:vAlign w:val="center"/>
          </w:tcPr>
          <w:p w14:paraId="276AB7FC" w14:textId="77777777" w:rsidR="00C23BD4" w:rsidRDefault="00073637">
            <w:pPr>
              <w:jc w:val="center"/>
              <w:rPr>
                <w:rFonts w:ascii="Arial" w:hAnsi="Arial" w:cs="Arial"/>
              </w:rPr>
            </w:pPr>
            <w:r>
              <w:rPr>
                <w:rFonts w:ascii="Arial" w:hAnsi="Arial" w:cs="Arial"/>
              </w:rPr>
              <w:t>.001</w:t>
            </w:r>
          </w:p>
        </w:tc>
      </w:tr>
      <w:tr w:rsidR="00C23BD4" w14:paraId="1645B9D9"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3F33BEE1"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3F2E8512"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76B3DA61" w14:textId="77777777" w:rsidR="00C23BD4" w:rsidRDefault="00073637">
            <w:pPr>
              <w:jc w:val="center"/>
              <w:rPr>
                <w:rFonts w:ascii="Arial" w:hAnsi="Arial" w:cs="Arial"/>
              </w:rPr>
            </w:pPr>
            <w:r>
              <w:rPr>
                <w:rFonts w:ascii="Arial" w:hAnsi="Arial" w:cs="Arial"/>
              </w:rPr>
              <w:t>66.238</w:t>
            </w:r>
          </w:p>
        </w:tc>
        <w:tc>
          <w:tcPr>
            <w:tcW w:w="1030" w:type="dxa"/>
            <w:tcBorders>
              <w:top w:val="nil"/>
              <w:left w:val="single" w:sz="8" w:space="0" w:color="000000"/>
              <w:bottom w:val="nil"/>
              <w:right w:val="single" w:sz="8" w:space="0" w:color="000000"/>
            </w:tcBorders>
            <w:shd w:val="clear" w:color="auto" w:fill="FFFFFF"/>
            <w:vAlign w:val="center"/>
          </w:tcPr>
          <w:p w14:paraId="6CCDA915"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28DC6F8F" w14:textId="77777777" w:rsidR="00C23BD4" w:rsidRDefault="00073637">
            <w:pPr>
              <w:jc w:val="center"/>
              <w:rPr>
                <w:rFonts w:ascii="Arial" w:hAnsi="Arial" w:cs="Arial"/>
              </w:rPr>
            </w:pPr>
            <w:r>
              <w:rPr>
                <w:rFonts w:ascii="Arial" w:hAnsi="Arial" w:cs="Arial"/>
              </w:rPr>
              <w:t>.219</w:t>
            </w:r>
          </w:p>
        </w:tc>
        <w:tc>
          <w:tcPr>
            <w:tcW w:w="992" w:type="dxa"/>
            <w:tcBorders>
              <w:top w:val="nil"/>
              <w:left w:val="single" w:sz="8" w:space="0" w:color="000000"/>
              <w:bottom w:val="nil"/>
              <w:right w:val="single" w:sz="8" w:space="0" w:color="000000"/>
            </w:tcBorders>
            <w:shd w:val="clear" w:color="auto" w:fill="FFFFFF"/>
            <w:vAlign w:val="center"/>
          </w:tcPr>
          <w:p w14:paraId="2BB08E34"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2F4C1EC8" w14:textId="77777777" w:rsidR="00C23BD4" w:rsidRDefault="00C23BD4">
            <w:pPr>
              <w:ind w:firstLine="720"/>
              <w:jc w:val="center"/>
              <w:rPr>
                <w:rFonts w:ascii="Arial" w:hAnsi="Arial" w:cs="Arial"/>
              </w:rPr>
            </w:pPr>
          </w:p>
        </w:tc>
      </w:tr>
      <w:tr w:rsidR="00C23BD4" w14:paraId="028A6CDD"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0BF76F7C" w14:textId="77777777" w:rsidR="00C23BD4" w:rsidRDefault="00C23BD4">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2E7C9D9F"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7DB7B1BA" w14:textId="77777777" w:rsidR="00C23BD4" w:rsidRDefault="00073637">
            <w:pPr>
              <w:jc w:val="center"/>
              <w:rPr>
                <w:rFonts w:ascii="Arial" w:hAnsi="Arial" w:cs="Arial"/>
              </w:rPr>
            </w:pPr>
            <w:r>
              <w:rPr>
                <w:rFonts w:ascii="Arial" w:hAnsi="Arial" w:cs="Arial"/>
              </w:rPr>
              <w:t>69.937</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0B2A2C07"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6BE7BAF8" w14:textId="77777777" w:rsidR="00C23BD4" w:rsidRDefault="00C23BD4">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33FC9F4D" w14:textId="77777777" w:rsidR="00C23BD4" w:rsidRDefault="00C23BD4">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7D781354" w14:textId="77777777" w:rsidR="00C23BD4" w:rsidRDefault="00C23BD4">
            <w:pPr>
              <w:ind w:firstLine="720"/>
              <w:jc w:val="center"/>
              <w:rPr>
                <w:rFonts w:ascii="Arial" w:hAnsi="Arial" w:cs="Arial"/>
              </w:rPr>
            </w:pPr>
          </w:p>
        </w:tc>
      </w:tr>
      <w:tr w:rsidR="00C23BD4" w14:paraId="1C511BF9" w14:textId="77777777">
        <w:trPr>
          <w:cantSplit/>
          <w:jc w:val="center"/>
        </w:trPr>
        <w:tc>
          <w:tcPr>
            <w:tcW w:w="1476" w:type="dxa"/>
            <w:vMerge w:val="restart"/>
            <w:tcBorders>
              <w:top w:val="nil"/>
              <w:left w:val="single" w:sz="18" w:space="0" w:color="000000"/>
              <w:bottom w:val="single" w:sz="8" w:space="0" w:color="000000"/>
              <w:right w:val="nil"/>
            </w:tcBorders>
            <w:shd w:val="clear" w:color="auto" w:fill="FFFFFF"/>
          </w:tcPr>
          <w:p w14:paraId="137F0AC4" w14:textId="77777777" w:rsidR="00C23BD4" w:rsidRDefault="00073637">
            <w:pPr>
              <w:rPr>
                <w:rFonts w:ascii="Arial" w:hAnsi="Arial" w:cs="Arial"/>
              </w:rPr>
            </w:pPr>
            <w:r>
              <w:rPr>
                <w:rFonts w:ascii="Arial" w:hAnsi="Arial" w:cs="Arial"/>
              </w:rPr>
              <w:t>Non-</w:t>
            </w:r>
          </w:p>
          <w:p w14:paraId="0BCCC8B1" w14:textId="77777777" w:rsidR="00C23BD4" w:rsidRDefault="00073637">
            <w:pPr>
              <w:rPr>
                <w:rFonts w:ascii="Arial" w:hAnsi="Arial" w:cs="Arial"/>
              </w:rPr>
            </w:pPr>
            <w:r>
              <w:rPr>
                <w:rFonts w:ascii="Arial" w:hAnsi="Arial" w:cs="Arial"/>
              </w:rPr>
              <w:t>Academic</w:t>
            </w:r>
          </w:p>
        </w:tc>
        <w:tc>
          <w:tcPr>
            <w:tcW w:w="1643" w:type="dxa"/>
            <w:tcBorders>
              <w:top w:val="nil"/>
              <w:left w:val="nil"/>
              <w:bottom w:val="nil"/>
              <w:right w:val="single" w:sz="18" w:space="0" w:color="000000"/>
            </w:tcBorders>
            <w:shd w:val="clear" w:color="auto" w:fill="FFFFFF"/>
          </w:tcPr>
          <w:p w14:paraId="4A3BDD5B" w14:textId="77777777" w:rsidR="00C23BD4" w:rsidRDefault="00073637">
            <w:pPr>
              <w:rPr>
                <w:rFonts w:ascii="Arial" w:hAnsi="Arial" w:cs="Arial"/>
              </w:rPr>
            </w:pPr>
            <w:r>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75A7C898" w14:textId="77777777" w:rsidR="00C23BD4" w:rsidRDefault="00073637">
            <w:pPr>
              <w:jc w:val="center"/>
              <w:rPr>
                <w:rFonts w:ascii="Arial" w:hAnsi="Arial" w:cs="Arial"/>
              </w:rPr>
            </w:pPr>
            <w:r>
              <w:rPr>
                <w:rFonts w:ascii="Arial" w:hAnsi="Arial" w:cs="Arial"/>
              </w:rPr>
              <w:t>2.116</w:t>
            </w:r>
          </w:p>
        </w:tc>
        <w:tc>
          <w:tcPr>
            <w:tcW w:w="1030" w:type="dxa"/>
            <w:tcBorders>
              <w:top w:val="nil"/>
              <w:left w:val="single" w:sz="8" w:space="0" w:color="000000"/>
              <w:bottom w:val="nil"/>
              <w:right w:val="single" w:sz="8" w:space="0" w:color="000000"/>
            </w:tcBorders>
            <w:shd w:val="clear" w:color="auto" w:fill="FFFFFF"/>
            <w:vAlign w:val="center"/>
          </w:tcPr>
          <w:p w14:paraId="40C75592" w14:textId="77777777" w:rsidR="00C23BD4" w:rsidRDefault="00073637">
            <w:pPr>
              <w:jc w:val="center"/>
              <w:rPr>
                <w:rFonts w:ascii="Arial" w:hAnsi="Arial" w:cs="Arial"/>
              </w:rPr>
            </w:pPr>
            <w:r>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3A2AA0AD" w14:textId="77777777" w:rsidR="00C23BD4" w:rsidRDefault="00073637">
            <w:pPr>
              <w:jc w:val="center"/>
              <w:rPr>
                <w:rFonts w:ascii="Arial" w:hAnsi="Arial" w:cs="Arial"/>
              </w:rPr>
            </w:pPr>
            <w:r>
              <w:rPr>
                <w:rFonts w:ascii="Arial" w:hAnsi="Arial" w:cs="Arial"/>
              </w:rPr>
              <w:t>.705</w:t>
            </w:r>
          </w:p>
        </w:tc>
        <w:tc>
          <w:tcPr>
            <w:tcW w:w="992" w:type="dxa"/>
            <w:tcBorders>
              <w:top w:val="nil"/>
              <w:left w:val="single" w:sz="8" w:space="0" w:color="000000"/>
              <w:bottom w:val="nil"/>
              <w:right w:val="single" w:sz="8" w:space="0" w:color="000000"/>
            </w:tcBorders>
            <w:shd w:val="clear" w:color="auto" w:fill="FFFFFF"/>
            <w:vAlign w:val="center"/>
          </w:tcPr>
          <w:p w14:paraId="1062D023" w14:textId="77777777" w:rsidR="00C23BD4" w:rsidRDefault="00073637">
            <w:pPr>
              <w:jc w:val="center"/>
              <w:rPr>
                <w:rFonts w:ascii="Arial" w:hAnsi="Arial" w:cs="Arial"/>
              </w:rPr>
            </w:pPr>
            <w:r>
              <w:rPr>
                <w:rFonts w:ascii="Arial" w:hAnsi="Arial" w:cs="Arial"/>
              </w:rPr>
              <w:t>2.266</w:t>
            </w:r>
          </w:p>
        </w:tc>
        <w:tc>
          <w:tcPr>
            <w:tcW w:w="709" w:type="dxa"/>
            <w:tcBorders>
              <w:top w:val="nil"/>
              <w:left w:val="single" w:sz="8" w:space="0" w:color="000000"/>
              <w:bottom w:val="nil"/>
              <w:right w:val="single" w:sz="18" w:space="0" w:color="000000"/>
            </w:tcBorders>
            <w:shd w:val="clear" w:color="auto" w:fill="FFFFFF"/>
            <w:vAlign w:val="center"/>
          </w:tcPr>
          <w:p w14:paraId="39D7868A" w14:textId="77777777" w:rsidR="00C23BD4" w:rsidRDefault="00073637">
            <w:pPr>
              <w:jc w:val="center"/>
              <w:rPr>
                <w:rFonts w:ascii="Arial" w:hAnsi="Arial" w:cs="Arial"/>
              </w:rPr>
            </w:pPr>
            <w:r>
              <w:rPr>
                <w:rFonts w:ascii="Arial" w:hAnsi="Arial" w:cs="Arial"/>
              </w:rPr>
              <w:t>.081</w:t>
            </w:r>
          </w:p>
        </w:tc>
      </w:tr>
      <w:tr w:rsidR="00C23BD4" w14:paraId="3B8C5049" w14:textId="77777777">
        <w:trPr>
          <w:cantSplit/>
          <w:jc w:val="center"/>
        </w:trPr>
        <w:tc>
          <w:tcPr>
            <w:tcW w:w="1476" w:type="dxa"/>
            <w:vMerge/>
            <w:tcBorders>
              <w:top w:val="nil"/>
              <w:left w:val="single" w:sz="18" w:space="0" w:color="000000"/>
              <w:bottom w:val="single" w:sz="8" w:space="0" w:color="000000"/>
              <w:right w:val="nil"/>
            </w:tcBorders>
            <w:vAlign w:val="center"/>
          </w:tcPr>
          <w:p w14:paraId="6EAAF001"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2EC63A52"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05B81B42" w14:textId="77777777" w:rsidR="00C23BD4" w:rsidRDefault="00073637">
            <w:pPr>
              <w:jc w:val="center"/>
              <w:rPr>
                <w:rFonts w:ascii="Arial" w:hAnsi="Arial" w:cs="Arial"/>
              </w:rPr>
            </w:pPr>
            <w:r>
              <w:rPr>
                <w:rFonts w:ascii="Arial" w:hAnsi="Arial" w:cs="Arial"/>
              </w:rPr>
              <w:t>94.345</w:t>
            </w:r>
          </w:p>
        </w:tc>
        <w:tc>
          <w:tcPr>
            <w:tcW w:w="1030" w:type="dxa"/>
            <w:tcBorders>
              <w:top w:val="nil"/>
              <w:left w:val="single" w:sz="8" w:space="0" w:color="000000"/>
              <w:bottom w:val="nil"/>
              <w:right w:val="single" w:sz="8" w:space="0" w:color="000000"/>
            </w:tcBorders>
            <w:shd w:val="clear" w:color="auto" w:fill="FFFFFF"/>
            <w:vAlign w:val="center"/>
          </w:tcPr>
          <w:p w14:paraId="02FA60B0"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5A5BEBC5" w14:textId="77777777" w:rsidR="00C23BD4" w:rsidRDefault="00073637">
            <w:pPr>
              <w:jc w:val="center"/>
              <w:rPr>
                <w:rFonts w:ascii="Arial" w:hAnsi="Arial" w:cs="Arial"/>
              </w:rPr>
            </w:pPr>
            <w:r>
              <w:rPr>
                <w:rFonts w:ascii="Arial" w:hAnsi="Arial" w:cs="Arial"/>
              </w:rPr>
              <w:t>.311</w:t>
            </w:r>
          </w:p>
        </w:tc>
        <w:tc>
          <w:tcPr>
            <w:tcW w:w="992" w:type="dxa"/>
            <w:tcBorders>
              <w:top w:val="nil"/>
              <w:left w:val="single" w:sz="8" w:space="0" w:color="000000"/>
              <w:bottom w:val="nil"/>
              <w:right w:val="single" w:sz="8" w:space="0" w:color="000000"/>
            </w:tcBorders>
            <w:shd w:val="clear" w:color="auto" w:fill="FFFFFF"/>
            <w:vAlign w:val="center"/>
          </w:tcPr>
          <w:p w14:paraId="1370C860"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68C3D341" w14:textId="77777777" w:rsidR="00C23BD4" w:rsidRDefault="00C23BD4">
            <w:pPr>
              <w:ind w:firstLine="720"/>
              <w:jc w:val="center"/>
              <w:rPr>
                <w:rFonts w:ascii="Arial" w:hAnsi="Arial" w:cs="Arial"/>
              </w:rPr>
            </w:pPr>
          </w:p>
        </w:tc>
      </w:tr>
      <w:tr w:rsidR="00C23BD4" w14:paraId="1961CBC7" w14:textId="77777777">
        <w:trPr>
          <w:cantSplit/>
          <w:jc w:val="center"/>
        </w:trPr>
        <w:tc>
          <w:tcPr>
            <w:tcW w:w="1476" w:type="dxa"/>
            <w:vMerge/>
            <w:tcBorders>
              <w:top w:val="nil"/>
              <w:left w:val="single" w:sz="18" w:space="0" w:color="000000"/>
              <w:bottom w:val="single" w:sz="8" w:space="0" w:color="000000"/>
              <w:right w:val="nil"/>
            </w:tcBorders>
            <w:vAlign w:val="center"/>
          </w:tcPr>
          <w:p w14:paraId="10F0DB09" w14:textId="77777777" w:rsidR="00C23BD4" w:rsidRDefault="00C23BD4">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030FABEF"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0B43A421" w14:textId="77777777" w:rsidR="00C23BD4" w:rsidRDefault="00073637">
            <w:pPr>
              <w:jc w:val="center"/>
              <w:rPr>
                <w:rFonts w:ascii="Arial" w:hAnsi="Arial" w:cs="Arial"/>
              </w:rPr>
            </w:pPr>
            <w:r>
              <w:rPr>
                <w:rFonts w:ascii="Arial" w:hAnsi="Arial" w:cs="Arial"/>
              </w:rPr>
              <w:t>96.462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3CFC313A"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31F9411F" w14:textId="77777777" w:rsidR="00C23BD4" w:rsidRDefault="00C23BD4">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4244229F" w14:textId="77777777" w:rsidR="00C23BD4" w:rsidRDefault="00C23BD4">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4AF0F7DE" w14:textId="77777777" w:rsidR="00C23BD4" w:rsidRDefault="00C23BD4">
            <w:pPr>
              <w:ind w:firstLine="720"/>
              <w:jc w:val="center"/>
              <w:rPr>
                <w:rFonts w:ascii="Arial" w:hAnsi="Arial" w:cs="Arial"/>
              </w:rPr>
            </w:pPr>
          </w:p>
        </w:tc>
      </w:tr>
      <w:tr w:rsidR="00C23BD4" w14:paraId="4922BF09" w14:textId="77777777">
        <w:trPr>
          <w:cantSplit/>
          <w:jc w:val="center"/>
        </w:trPr>
        <w:tc>
          <w:tcPr>
            <w:tcW w:w="1476" w:type="dxa"/>
            <w:vMerge w:val="restart"/>
            <w:tcBorders>
              <w:top w:val="nil"/>
              <w:left w:val="single" w:sz="18" w:space="0" w:color="000000"/>
              <w:bottom w:val="single" w:sz="18" w:space="0" w:color="000000"/>
              <w:right w:val="nil"/>
            </w:tcBorders>
            <w:shd w:val="clear" w:color="auto" w:fill="FFFFFF"/>
          </w:tcPr>
          <w:p w14:paraId="57D359BF" w14:textId="77777777" w:rsidR="00C23BD4" w:rsidRDefault="00073637">
            <w:pPr>
              <w:rPr>
                <w:rFonts w:ascii="Arial" w:hAnsi="Arial" w:cs="Arial"/>
              </w:rPr>
            </w:pPr>
            <w:r>
              <w:rPr>
                <w:rFonts w:ascii="Arial" w:hAnsi="Arial" w:cs="Arial"/>
              </w:rPr>
              <w:t>Satisfaction</w:t>
            </w:r>
          </w:p>
        </w:tc>
        <w:tc>
          <w:tcPr>
            <w:tcW w:w="1643" w:type="dxa"/>
            <w:tcBorders>
              <w:top w:val="nil"/>
              <w:left w:val="nil"/>
              <w:bottom w:val="nil"/>
              <w:right w:val="single" w:sz="18" w:space="0" w:color="000000"/>
            </w:tcBorders>
            <w:shd w:val="clear" w:color="auto" w:fill="FFFFFF"/>
          </w:tcPr>
          <w:p w14:paraId="6226E706" w14:textId="77777777" w:rsidR="00C23BD4" w:rsidRDefault="00073637">
            <w:pPr>
              <w:rPr>
                <w:rFonts w:ascii="Arial" w:hAnsi="Arial" w:cs="Arial"/>
              </w:rPr>
            </w:pPr>
            <w:r>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0979CDF0" w14:textId="77777777" w:rsidR="00C23BD4" w:rsidRDefault="00073637">
            <w:pPr>
              <w:jc w:val="center"/>
              <w:rPr>
                <w:rFonts w:ascii="Arial" w:hAnsi="Arial" w:cs="Arial"/>
              </w:rPr>
            </w:pPr>
            <w:r>
              <w:rPr>
                <w:rFonts w:ascii="Arial" w:hAnsi="Arial" w:cs="Arial"/>
              </w:rPr>
              <w:t>2.500</w:t>
            </w:r>
          </w:p>
        </w:tc>
        <w:tc>
          <w:tcPr>
            <w:tcW w:w="1030" w:type="dxa"/>
            <w:tcBorders>
              <w:top w:val="nil"/>
              <w:left w:val="single" w:sz="8" w:space="0" w:color="000000"/>
              <w:bottom w:val="nil"/>
              <w:right w:val="single" w:sz="8" w:space="0" w:color="000000"/>
            </w:tcBorders>
            <w:shd w:val="clear" w:color="auto" w:fill="FFFFFF"/>
            <w:vAlign w:val="center"/>
          </w:tcPr>
          <w:p w14:paraId="20DE343A" w14:textId="77777777" w:rsidR="00C23BD4" w:rsidRDefault="00073637">
            <w:pPr>
              <w:jc w:val="center"/>
              <w:rPr>
                <w:rFonts w:ascii="Arial" w:hAnsi="Arial" w:cs="Arial"/>
              </w:rPr>
            </w:pPr>
            <w:r>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078645DA" w14:textId="77777777" w:rsidR="00C23BD4" w:rsidRDefault="00073637">
            <w:pPr>
              <w:jc w:val="center"/>
              <w:rPr>
                <w:rFonts w:ascii="Arial" w:hAnsi="Arial" w:cs="Arial"/>
              </w:rPr>
            </w:pPr>
            <w:r>
              <w:rPr>
                <w:rFonts w:ascii="Arial" w:hAnsi="Arial" w:cs="Arial"/>
              </w:rPr>
              <w:t>.833</w:t>
            </w:r>
          </w:p>
        </w:tc>
        <w:tc>
          <w:tcPr>
            <w:tcW w:w="992" w:type="dxa"/>
            <w:tcBorders>
              <w:top w:val="nil"/>
              <w:left w:val="single" w:sz="8" w:space="0" w:color="000000"/>
              <w:bottom w:val="nil"/>
              <w:right w:val="single" w:sz="8" w:space="0" w:color="000000"/>
            </w:tcBorders>
            <w:shd w:val="clear" w:color="auto" w:fill="FFFFFF"/>
            <w:vAlign w:val="center"/>
          </w:tcPr>
          <w:p w14:paraId="45327930" w14:textId="77777777" w:rsidR="00C23BD4" w:rsidRDefault="00073637">
            <w:pPr>
              <w:jc w:val="center"/>
              <w:rPr>
                <w:rFonts w:ascii="Arial" w:hAnsi="Arial" w:cs="Arial"/>
              </w:rPr>
            </w:pPr>
            <w:r>
              <w:rPr>
                <w:rFonts w:ascii="Arial" w:hAnsi="Arial" w:cs="Arial"/>
              </w:rPr>
              <w:t>3.477</w:t>
            </w:r>
          </w:p>
        </w:tc>
        <w:tc>
          <w:tcPr>
            <w:tcW w:w="709" w:type="dxa"/>
            <w:tcBorders>
              <w:top w:val="nil"/>
              <w:left w:val="single" w:sz="8" w:space="0" w:color="000000"/>
              <w:bottom w:val="nil"/>
              <w:right w:val="single" w:sz="18" w:space="0" w:color="000000"/>
            </w:tcBorders>
            <w:shd w:val="clear" w:color="auto" w:fill="FFFFFF"/>
            <w:vAlign w:val="center"/>
          </w:tcPr>
          <w:p w14:paraId="3C5FFABB" w14:textId="77777777" w:rsidR="00C23BD4" w:rsidRDefault="00073637">
            <w:pPr>
              <w:jc w:val="center"/>
              <w:rPr>
                <w:rFonts w:ascii="Arial" w:hAnsi="Arial" w:cs="Arial"/>
              </w:rPr>
            </w:pPr>
            <w:r>
              <w:rPr>
                <w:rFonts w:ascii="Arial" w:hAnsi="Arial" w:cs="Arial"/>
              </w:rPr>
              <w:t>.016</w:t>
            </w:r>
          </w:p>
        </w:tc>
      </w:tr>
      <w:tr w:rsidR="00C23BD4" w14:paraId="52EC842A" w14:textId="77777777">
        <w:trPr>
          <w:cantSplit/>
          <w:jc w:val="center"/>
        </w:trPr>
        <w:tc>
          <w:tcPr>
            <w:tcW w:w="1476" w:type="dxa"/>
            <w:vMerge/>
            <w:tcBorders>
              <w:top w:val="nil"/>
              <w:left w:val="single" w:sz="18" w:space="0" w:color="000000"/>
              <w:bottom w:val="single" w:sz="18" w:space="0" w:color="000000"/>
              <w:right w:val="nil"/>
            </w:tcBorders>
            <w:vAlign w:val="center"/>
          </w:tcPr>
          <w:p w14:paraId="550793B6" w14:textId="77777777" w:rsidR="00C23BD4" w:rsidRDefault="00C23BD4">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1EBA85FC" w14:textId="77777777" w:rsidR="00C23BD4" w:rsidRDefault="00073637">
            <w:pPr>
              <w:rPr>
                <w:rFonts w:ascii="Arial" w:hAnsi="Arial" w:cs="Arial"/>
              </w:rPr>
            </w:pPr>
            <w:r>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74B2D85B" w14:textId="77777777" w:rsidR="00C23BD4" w:rsidRDefault="00073637">
            <w:pPr>
              <w:jc w:val="center"/>
              <w:rPr>
                <w:rFonts w:ascii="Arial" w:hAnsi="Arial" w:cs="Arial"/>
              </w:rPr>
            </w:pPr>
            <w:r>
              <w:rPr>
                <w:rFonts w:ascii="Arial" w:hAnsi="Arial" w:cs="Arial"/>
              </w:rPr>
              <w:t>72.618</w:t>
            </w:r>
          </w:p>
        </w:tc>
        <w:tc>
          <w:tcPr>
            <w:tcW w:w="1030" w:type="dxa"/>
            <w:tcBorders>
              <w:top w:val="nil"/>
              <w:left w:val="single" w:sz="8" w:space="0" w:color="000000"/>
              <w:bottom w:val="nil"/>
              <w:right w:val="single" w:sz="8" w:space="0" w:color="000000"/>
            </w:tcBorders>
            <w:shd w:val="clear" w:color="auto" w:fill="FFFFFF"/>
            <w:vAlign w:val="center"/>
          </w:tcPr>
          <w:p w14:paraId="0C2303A9" w14:textId="77777777" w:rsidR="00C23BD4" w:rsidRDefault="00073637">
            <w:pPr>
              <w:jc w:val="center"/>
              <w:rPr>
                <w:rFonts w:ascii="Arial" w:hAnsi="Arial" w:cs="Arial"/>
              </w:rPr>
            </w:pPr>
            <w:r>
              <w:rPr>
                <w:rFonts w:ascii="Arial" w:hAnsi="Arial" w:cs="Arial"/>
              </w:rPr>
              <w:t>303</w:t>
            </w:r>
          </w:p>
        </w:tc>
        <w:tc>
          <w:tcPr>
            <w:tcW w:w="1256" w:type="dxa"/>
            <w:tcBorders>
              <w:top w:val="nil"/>
              <w:left w:val="single" w:sz="8" w:space="0" w:color="000000"/>
              <w:bottom w:val="nil"/>
              <w:right w:val="single" w:sz="8" w:space="0" w:color="000000"/>
            </w:tcBorders>
            <w:shd w:val="clear" w:color="auto" w:fill="FFFFFF"/>
            <w:vAlign w:val="center"/>
          </w:tcPr>
          <w:p w14:paraId="365033C0" w14:textId="77777777" w:rsidR="00C23BD4" w:rsidRDefault="00073637">
            <w:pPr>
              <w:jc w:val="center"/>
              <w:rPr>
                <w:rFonts w:ascii="Arial" w:hAnsi="Arial" w:cs="Arial"/>
              </w:rPr>
            </w:pPr>
            <w:r>
              <w:rPr>
                <w:rFonts w:ascii="Arial" w:hAnsi="Arial" w:cs="Arial"/>
              </w:rPr>
              <w:t>.240</w:t>
            </w:r>
          </w:p>
        </w:tc>
        <w:tc>
          <w:tcPr>
            <w:tcW w:w="992" w:type="dxa"/>
            <w:tcBorders>
              <w:top w:val="nil"/>
              <w:left w:val="single" w:sz="8" w:space="0" w:color="000000"/>
              <w:bottom w:val="nil"/>
              <w:right w:val="single" w:sz="8" w:space="0" w:color="000000"/>
            </w:tcBorders>
            <w:shd w:val="clear" w:color="auto" w:fill="FFFFFF"/>
            <w:vAlign w:val="center"/>
          </w:tcPr>
          <w:p w14:paraId="3DDE1FEC" w14:textId="77777777" w:rsidR="00C23BD4" w:rsidRDefault="00C23BD4">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0D7B6C0A" w14:textId="77777777" w:rsidR="00C23BD4" w:rsidRDefault="00C23BD4">
            <w:pPr>
              <w:ind w:firstLine="720"/>
              <w:jc w:val="center"/>
              <w:rPr>
                <w:rFonts w:ascii="Arial" w:hAnsi="Arial" w:cs="Arial"/>
              </w:rPr>
            </w:pPr>
          </w:p>
        </w:tc>
      </w:tr>
      <w:tr w:rsidR="00C23BD4" w14:paraId="5BD159BE" w14:textId="77777777">
        <w:trPr>
          <w:cantSplit/>
          <w:jc w:val="center"/>
        </w:trPr>
        <w:tc>
          <w:tcPr>
            <w:tcW w:w="1476" w:type="dxa"/>
            <w:vMerge/>
            <w:tcBorders>
              <w:top w:val="nil"/>
              <w:left w:val="single" w:sz="18" w:space="0" w:color="000000"/>
              <w:bottom w:val="single" w:sz="18" w:space="0" w:color="000000"/>
              <w:right w:val="nil"/>
            </w:tcBorders>
            <w:vAlign w:val="center"/>
          </w:tcPr>
          <w:p w14:paraId="56971281" w14:textId="77777777" w:rsidR="00C23BD4" w:rsidRDefault="00C23BD4">
            <w:pPr>
              <w:ind w:firstLine="720"/>
              <w:jc w:val="right"/>
              <w:rPr>
                <w:rFonts w:ascii="Arial" w:hAnsi="Arial" w:cs="Arial"/>
              </w:rPr>
            </w:pPr>
          </w:p>
        </w:tc>
        <w:tc>
          <w:tcPr>
            <w:tcW w:w="1643" w:type="dxa"/>
            <w:tcBorders>
              <w:top w:val="nil"/>
              <w:left w:val="nil"/>
              <w:bottom w:val="single" w:sz="18" w:space="0" w:color="000000"/>
              <w:right w:val="single" w:sz="18" w:space="0" w:color="000000"/>
            </w:tcBorders>
            <w:shd w:val="clear" w:color="auto" w:fill="FFFFFF"/>
          </w:tcPr>
          <w:p w14:paraId="7CADB122" w14:textId="77777777" w:rsidR="00C23BD4" w:rsidRDefault="00073637">
            <w:pPr>
              <w:rPr>
                <w:rFonts w:ascii="Arial" w:hAnsi="Arial" w:cs="Arial"/>
              </w:rPr>
            </w:pPr>
            <w:r>
              <w:rPr>
                <w:rFonts w:ascii="Arial" w:hAnsi="Arial" w:cs="Arial"/>
              </w:rPr>
              <w:t>Total</w:t>
            </w:r>
          </w:p>
        </w:tc>
        <w:tc>
          <w:tcPr>
            <w:tcW w:w="1541" w:type="dxa"/>
            <w:tcBorders>
              <w:top w:val="nil"/>
              <w:left w:val="single" w:sz="18" w:space="0" w:color="000000"/>
              <w:bottom w:val="single" w:sz="18" w:space="0" w:color="000000"/>
              <w:right w:val="single" w:sz="8" w:space="0" w:color="000000"/>
            </w:tcBorders>
            <w:shd w:val="clear" w:color="auto" w:fill="FFFFFF"/>
            <w:vAlign w:val="center"/>
          </w:tcPr>
          <w:p w14:paraId="2E715020" w14:textId="77777777" w:rsidR="00C23BD4" w:rsidRDefault="00073637">
            <w:pPr>
              <w:jc w:val="center"/>
              <w:rPr>
                <w:rFonts w:ascii="Arial" w:hAnsi="Arial" w:cs="Arial"/>
              </w:rPr>
            </w:pPr>
            <w:r>
              <w:rPr>
                <w:rFonts w:ascii="Arial" w:hAnsi="Arial" w:cs="Arial"/>
              </w:rPr>
              <w:t>75.118</w:t>
            </w:r>
          </w:p>
        </w:tc>
        <w:tc>
          <w:tcPr>
            <w:tcW w:w="1030" w:type="dxa"/>
            <w:tcBorders>
              <w:top w:val="nil"/>
              <w:left w:val="single" w:sz="8" w:space="0" w:color="000000"/>
              <w:bottom w:val="single" w:sz="18" w:space="0" w:color="000000"/>
              <w:right w:val="single" w:sz="8" w:space="0" w:color="000000"/>
            </w:tcBorders>
            <w:shd w:val="clear" w:color="auto" w:fill="FFFFFF"/>
            <w:vAlign w:val="center"/>
          </w:tcPr>
          <w:p w14:paraId="4C1BAF52" w14:textId="77777777" w:rsidR="00C23BD4" w:rsidRDefault="00073637">
            <w:pPr>
              <w:jc w:val="center"/>
              <w:rPr>
                <w:rFonts w:ascii="Arial" w:hAnsi="Arial" w:cs="Arial"/>
              </w:rPr>
            </w:pPr>
            <w:r>
              <w:rPr>
                <w:rFonts w:ascii="Arial" w:hAnsi="Arial" w:cs="Arial"/>
              </w:rPr>
              <w:t>306</w:t>
            </w:r>
          </w:p>
        </w:tc>
        <w:tc>
          <w:tcPr>
            <w:tcW w:w="1256" w:type="dxa"/>
            <w:tcBorders>
              <w:top w:val="nil"/>
              <w:left w:val="single" w:sz="8" w:space="0" w:color="000000"/>
              <w:bottom w:val="single" w:sz="18" w:space="0" w:color="000000"/>
              <w:right w:val="single" w:sz="8" w:space="0" w:color="000000"/>
            </w:tcBorders>
            <w:shd w:val="clear" w:color="auto" w:fill="FFFFFF"/>
            <w:vAlign w:val="center"/>
          </w:tcPr>
          <w:p w14:paraId="5D21B281" w14:textId="77777777" w:rsidR="00C23BD4" w:rsidRDefault="00C23BD4">
            <w:pPr>
              <w:ind w:firstLine="720"/>
              <w:jc w:val="center"/>
              <w:rPr>
                <w:rFonts w:ascii="Arial" w:hAnsi="Arial" w:cs="Arial"/>
              </w:rPr>
            </w:pPr>
          </w:p>
        </w:tc>
        <w:tc>
          <w:tcPr>
            <w:tcW w:w="992" w:type="dxa"/>
            <w:tcBorders>
              <w:top w:val="nil"/>
              <w:left w:val="single" w:sz="8" w:space="0" w:color="000000"/>
              <w:bottom w:val="single" w:sz="18" w:space="0" w:color="000000"/>
              <w:right w:val="single" w:sz="8" w:space="0" w:color="000000"/>
            </w:tcBorders>
            <w:shd w:val="clear" w:color="auto" w:fill="FFFFFF"/>
            <w:vAlign w:val="center"/>
          </w:tcPr>
          <w:p w14:paraId="70C9F745" w14:textId="77777777" w:rsidR="00C23BD4" w:rsidRDefault="00C23BD4">
            <w:pPr>
              <w:ind w:firstLine="720"/>
              <w:jc w:val="center"/>
              <w:rPr>
                <w:rFonts w:ascii="Arial" w:hAnsi="Arial" w:cs="Arial"/>
              </w:rPr>
            </w:pPr>
          </w:p>
        </w:tc>
        <w:tc>
          <w:tcPr>
            <w:tcW w:w="709" w:type="dxa"/>
            <w:tcBorders>
              <w:top w:val="nil"/>
              <w:left w:val="single" w:sz="8" w:space="0" w:color="000000"/>
              <w:bottom w:val="single" w:sz="18" w:space="0" w:color="000000"/>
              <w:right w:val="single" w:sz="18" w:space="0" w:color="000000"/>
            </w:tcBorders>
            <w:shd w:val="clear" w:color="auto" w:fill="FFFFFF"/>
            <w:vAlign w:val="center"/>
          </w:tcPr>
          <w:p w14:paraId="0F200E4D" w14:textId="77777777" w:rsidR="00C23BD4" w:rsidRDefault="00C23BD4">
            <w:pPr>
              <w:ind w:firstLine="720"/>
              <w:jc w:val="center"/>
              <w:rPr>
                <w:rFonts w:ascii="Arial" w:hAnsi="Arial" w:cs="Arial"/>
              </w:rPr>
            </w:pPr>
          </w:p>
        </w:tc>
      </w:tr>
    </w:tbl>
    <w:p w14:paraId="096CA997" w14:textId="77777777" w:rsidR="00C23BD4" w:rsidRDefault="00C23BD4">
      <w:pPr>
        <w:jc w:val="center"/>
        <w:rPr>
          <w:rFonts w:ascii="Arial" w:hAnsi="Arial" w:cs="Arial"/>
        </w:rPr>
      </w:pPr>
    </w:p>
    <w:p w14:paraId="28B2B7FC" w14:textId="12677998" w:rsidR="00C23BD4" w:rsidRDefault="001F5E40">
      <w:pPr>
        <w:ind w:firstLine="720"/>
        <w:jc w:val="both"/>
        <w:rPr>
          <w:rFonts w:ascii="Arial" w:hAnsi="Arial" w:cs="Arial"/>
        </w:rPr>
      </w:pPr>
      <w:r>
        <w:rPr>
          <w:rFonts w:ascii="Arial" w:hAnsi="Arial" w:cs="Arial"/>
        </w:rPr>
        <w:t xml:space="preserve">Table 18 shows that there were no significant differences in satisfaction levels across courses. However, as shown in Table 19, the ANOVA revealed a significant difference in satisfaction when respondents were grouped by year level (p = 0.016). </w:t>
      </w:r>
      <w:r w:rsidR="00616319">
        <w:rPr>
          <w:rFonts w:ascii="Arial" w:hAnsi="Arial" w:cs="Arial"/>
        </w:rPr>
        <w:t xml:space="preserve">This finding aligns with </w:t>
      </w:r>
      <w:proofErr w:type="spellStart"/>
      <w:r w:rsidR="00616319">
        <w:rPr>
          <w:rFonts w:ascii="Arial" w:hAnsi="Arial" w:cs="Arial"/>
        </w:rPr>
        <w:t>Asio</w:t>
      </w:r>
      <w:proofErr w:type="spellEnd"/>
      <w:r w:rsidR="00616319">
        <w:rPr>
          <w:rFonts w:ascii="Arial" w:hAnsi="Arial" w:cs="Arial"/>
        </w:rPr>
        <w:t xml:space="preserve"> and Jimenez (2020), who emphasized the role of student services in influencing satisfaction. Similarly, De Guzman and Javier (2021) found that service quality directly predicts satisfaction among Philippine HEI students, reinforcing the idea that institutional services shape perceptions across academic levels.</w:t>
      </w:r>
      <w:r w:rsidR="00257115">
        <w:rPr>
          <w:rFonts w:ascii="Arial" w:hAnsi="Arial" w:cs="Arial"/>
        </w:rPr>
        <w:t xml:space="preserve"> </w:t>
      </w:r>
      <w:r>
        <w:rPr>
          <w:rFonts w:ascii="Arial" w:hAnsi="Arial" w:cs="Arial"/>
        </w:rPr>
        <w:t>This indicates that student satisfaction varied across different stages of study, with first-year students generally reporting higher satisfaction compared to upper-year levels.</w:t>
      </w:r>
      <w:r w:rsidR="00073637">
        <w:rPr>
          <w:rFonts w:ascii="Arial" w:hAnsi="Arial" w:cs="Arial"/>
        </w:rPr>
        <w:t xml:space="preserve"> Specifically, the Satisfaction category shows a significant </w:t>
      </w:r>
      <w:r w:rsidR="00073637">
        <w:rPr>
          <w:rFonts w:ascii="Arial" w:hAnsi="Arial" w:cs="Arial"/>
        </w:rPr>
        <w:lastRenderedPageBreak/>
        <w:t>difference between groups, as evidenced by the F-value of 3.477 and a p-value of 0.016, which is below the commonly used threshold of 0.05. This means that the level of satisfaction varies significantly across different year levels of respondents. In other words, the satisfaction levels differ in a statistically meaningful way depending on which year level the respondents belong to.</w:t>
      </w:r>
    </w:p>
    <w:p w14:paraId="6B4905E0" w14:textId="77777777" w:rsidR="00C23BD4" w:rsidRDefault="00073637">
      <w:pPr>
        <w:ind w:firstLine="720"/>
        <w:jc w:val="both"/>
        <w:rPr>
          <w:rFonts w:ascii="Arial" w:hAnsi="Arial" w:cs="Arial"/>
        </w:rPr>
      </w:pPr>
      <w:r>
        <w:rPr>
          <w:rFonts w:ascii="Arial" w:hAnsi="Arial" w:cs="Arial"/>
        </w:rPr>
        <w:t>On the other hand, the Academic and Non-Academic categories did not show significant differences based on the p-values. For the Academic category, the p-value of 0.001 indicated a significant difference, suggesting that there are differences in satisfaction levels between groups. However, the Non-Academic category showed a p-value of 0.081, which is greater than 0.05, indicating that there is no significant difference between groups in the Non-Academic category. Thus, the significant finding is specifically within the Satisfaction category, where respondents' satisfaction levels do indeed vary depending on their year level.</w:t>
      </w:r>
    </w:p>
    <w:p w14:paraId="6B735F94" w14:textId="77777777" w:rsidR="00C23BD4" w:rsidRDefault="00C23BD4">
      <w:pPr>
        <w:jc w:val="both"/>
        <w:rPr>
          <w:rFonts w:ascii="Arial" w:hAnsi="Arial" w:cs="Arial"/>
        </w:rPr>
      </w:pPr>
    </w:p>
    <w:p w14:paraId="44269EAF" w14:textId="7A2B6090" w:rsidR="00C23BD4" w:rsidRDefault="00073637">
      <w:pPr>
        <w:jc w:val="center"/>
        <w:rPr>
          <w:rFonts w:ascii="Arial" w:hAnsi="Arial" w:cs="Arial"/>
          <w:b/>
          <w:bCs/>
          <w:sz w:val="22"/>
          <w:szCs w:val="22"/>
        </w:rPr>
      </w:pPr>
      <w:r>
        <w:rPr>
          <w:rFonts w:ascii="Arial" w:hAnsi="Arial" w:cs="Arial"/>
          <w:b/>
          <w:bCs/>
          <w:sz w:val="22"/>
          <w:szCs w:val="22"/>
        </w:rPr>
        <w:t xml:space="preserve">Table </w:t>
      </w:r>
      <w:r w:rsidR="00236ECC">
        <w:rPr>
          <w:rFonts w:ascii="Arial" w:hAnsi="Arial" w:cs="Arial"/>
          <w:b/>
          <w:bCs/>
          <w:sz w:val="22"/>
          <w:szCs w:val="22"/>
        </w:rPr>
        <w:t>20</w:t>
      </w:r>
      <w:r>
        <w:rPr>
          <w:rFonts w:ascii="Arial" w:hAnsi="Arial" w:cs="Arial"/>
          <w:b/>
          <w:bCs/>
          <w:sz w:val="22"/>
          <w:szCs w:val="22"/>
        </w:rPr>
        <w:t xml:space="preserve">. </w:t>
      </w:r>
      <w:bookmarkStart w:id="16" w:name="_Hlk197598751"/>
      <w:r>
        <w:rPr>
          <w:rFonts w:ascii="Arial" w:hAnsi="Arial" w:cs="Arial"/>
          <w:b/>
          <w:bCs/>
          <w:sz w:val="22"/>
          <w:szCs w:val="22"/>
        </w:rPr>
        <w:t>Comparison of Student Satisfaction Across Year Levels for Academic and Non-Academic services</w:t>
      </w:r>
    </w:p>
    <w:bookmarkEnd w:id="16"/>
    <w:p w14:paraId="18A28B66" w14:textId="77777777" w:rsidR="00C23BD4" w:rsidRDefault="00C23BD4">
      <w:pPr>
        <w:jc w:val="both"/>
        <w:rPr>
          <w:rFonts w:ascii="Arial" w:hAnsi="Arial" w:cs="Arial"/>
        </w:rPr>
      </w:pPr>
    </w:p>
    <w:tbl>
      <w:tblPr>
        <w:tblW w:w="8647" w:type="dxa"/>
        <w:jc w:val="center"/>
        <w:tblLayout w:type="fixed"/>
        <w:tblLook w:val="04A0" w:firstRow="1" w:lastRow="0" w:firstColumn="1" w:lastColumn="0" w:noHBand="0" w:noVBand="1"/>
      </w:tblPr>
      <w:tblGrid>
        <w:gridCol w:w="993"/>
        <w:gridCol w:w="1275"/>
        <w:gridCol w:w="993"/>
        <w:gridCol w:w="992"/>
        <w:gridCol w:w="992"/>
        <w:gridCol w:w="992"/>
        <w:gridCol w:w="1134"/>
        <w:gridCol w:w="1276"/>
      </w:tblGrid>
      <w:tr w:rsidR="00C23BD4" w14:paraId="05DD28AC" w14:textId="77777777">
        <w:trPr>
          <w:trHeight w:val="390"/>
          <w:jc w:val="center"/>
        </w:trPr>
        <w:tc>
          <w:tcPr>
            <w:tcW w:w="3261" w:type="dxa"/>
            <w:gridSpan w:val="3"/>
            <w:vMerge w:val="restart"/>
            <w:tcBorders>
              <w:top w:val="single" w:sz="4" w:space="0" w:color="auto"/>
              <w:left w:val="single" w:sz="4" w:space="0" w:color="auto"/>
              <w:bottom w:val="single" w:sz="4" w:space="0" w:color="auto"/>
              <w:right w:val="single" w:sz="4" w:space="0" w:color="auto"/>
            </w:tcBorders>
            <w:vAlign w:val="center"/>
          </w:tcPr>
          <w:p w14:paraId="2ECA8A25" w14:textId="77777777" w:rsidR="00C23BD4" w:rsidRDefault="00073637">
            <w:pPr>
              <w:jc w:val="both"/>
              <w:rPr>
                <w:rFonts w:ascii="Arial" w:hAnsi="Arial" w:cs="Arial"/>
                <w:sz w:val="16"/>
                <w:szCs w:val="16"/>
              </w:rPr>
            </w:pPr>
            <w:r>
              <w:rPr>
                <w:rFonts w:ascii="Arial" w:hAnsi="Arial" w:cs="Arial"/>
                <w:sz w:val="16"/>
                <w:szCs w:val="16"/>
              </w:rPr>
              <w:t>Dependent Variable</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B2268DC" w14:textId="77777777" w:rsidR="00C23BD4" w:rsidRDefault="00073637">
            <w:pPr>
              <w:jc w:val="both"/>
              <w:rPr>
                <w:rFonts w:ascii="Arial" w:hAnsi="Arial" w:cs="Arial"/>
                <w:sz w:val="16"/>
                <w:szCs w:val="16"/>
              </w:rPr>
            </w:pPr>
            <w:r>
              <w:rPr>
                <w:rFonts w:ascii="Arial" w:hAnsi="Arial" w:cs="Arial"/>
                <w:sz w:val="16"/>
                <w:szCs w:val="16"/>
              </w:rPr>
              <w:t xml:space="preserve">Mean Difference      </w:t>
            </w:r>
            <w:proofErr w:type="gramStart"/>
            <w:r>
              <w:rPr>
                <w:rFonts w:ascii="Arial" w:hAnsi="Arial" w:cs="Arial"/>
                <w:sz w:val="16"/>
                <w:szCs w:val="16"/>
              </w:rPr>
              <w:t xml:space="preserve">   (</w:t>
            </w:r>
            <w:proofErr w:type="gramEnd"/>
            <w:r>
              <w:rPr>
                <w:rFonts w:ascii="Arial" w:hAnsi="Arial" w:cs="Arial"/>
                <w:sz w:val="16"/>
                <w:szCs w:val="16"/>
              </w:rPr>
              <w:t>I-J)</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21D9B55" w14:textId="77777777" w:rsidR="00C23BD4" w:rsidRDefault="00073637">
            <w:pPr>
              <w:jc w:val="both"/>
              <w:rPr>
                <w:rFonts w:ascii="Arial" w:hAnsi="Arial" w:cs="Arial"/>
                <w:sz w:val="16"/>
                <w:szCs w:val="16"/>
              </w:rPr>
            </w:pPr>
            <w:r>
              <w:rPr>
                <w:rFonts w:ascii="Arial" w:hAnsi="Arial" w:cs="Arial"/>
                <w:sz w:val="16"/>
                <w:szCs w:val="16"/>
              </w:rPr>
              <w:t>Std. Error</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CFCCC" w14:textId="77777777" w:rsidR="00C23BD4" w:rsidRDefault="00073637">
            <w:pPr>
              <w:jc w:val="both"/>
              <w:rPr>
                <w:rFonts w:ascii="Arial" w:hAnsi="Arial" w:cs="Arial"/>
                <w:sz w:val="16"/>
                <w:szCs w:val="16"/>
              </w:rPr>
            </w:pPr>
            <w:r>
              <w:rPr>
                <w:rFonts w:ascii="Arial" w:hAnsi="Arial" w:cs="Arial"/>
                <w:sz w:val="16"/>
                <w:szCs w:val="16"/>
              </w:rPr>
              <w:t>Sig.</w:t>
            </w:r>
          </w:p>
        </w:tc>
        <w:tc>
          <w:tcPr>
            <w:tcW w:w="2410" w:type="dxa"/>
            <w:gridSpan w:val="2"/>
            <w:tcBorders>
              <w:top w:val="single" w:sz="4" w:space="0" w:color="auto"/>
              <w:left w:val="nil"/>
              <w:bottom w:val="single" w:sz="4" w:space="0" w:color="auto"/>
              <w:right w:val="single" w:sz="4" w:space="0" w:color="auto"/>
            </w:tcBorders>
            <w:vAlign w:val="bottom"/>
          </w:tcPr>
          <w:p w14:paraId="4CDAEDAF" w14:textId="77777777" w:rsidR="00C23BD4" w:rsidRDefault="00073637">
            <w:pPr>
              <w:jc w:val="both"/>
              <w:rPr>
                <w:rFonts w:ascii="Arial" w:hAnsi="Arial" w:cs="Arial"/>
                <w:sz w:val="16"/>
                <w:szCs w:val="16"/>
              </w:rPr>
            </w:pPr>
            <w:r>
              <w:rPr>
                <w:rFonts w:ascii="Arial" w:hAnsi="Arial" w:cs="Arial"/>
                <w:sz w:val="16"/>
                <w:szCs w:val="16"/>
              </w:rPr>
              <w:t>95% Confidence Interval</w:t>
            </w:r>
          </w:p>
        </w:tc>
      </w:tr>
      <w:tr w:rsidR="00C23BD4" w14:paraId="1BB9C1F3" w14:textId="77777777">
        <w:trPr>
          <w:trHeight w:val="390"/>
          <w:jc w:val="center"/>
        </w:trPr>
        <w:tc>
          <w:tcPr>
            <w:tcW w:w="3261" w:type="dxa"/>
            <w:gridSpan w:val="3"/>
            <w:vMerge/>
            <w:tcBorders>
              <w:top w:val="single" w:sz="4" w:space="0" w:color="auto"/>
              <w:left w:val="single" w:sz="4" w:space="0" w:color="auto"/>
              <w:bottom w:val="single" w:sz="4" w:space="0" w:color="auto"/>
              <w:right w:val="single" w:sz="4" w:space="0" w:color="auto"/>
            </w:tcBorders>
            <w:vAlign w:val="center"/>
          </w:tcPr>
          <w:p w14:paraId="106DF6A6"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59BFF91"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A83F89" w14:textId="77777777" w:rsidR="00C23BD4" w:rsidRDefault="00C23BD4">
            <w:pPr>
              <w:jc w:val="both"/>
              <w:rPr>
                <w:rFonts w:ascii="Arial" w:hAnsi="Arial" w:cs="Arial"/>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D9A26C9" w14:textId="77777777" w:rsidR="00C23BD4" w:rsidRDefault="00C23BD4">
            <w:pPr>
              <w:jc w:val="both"/>
              <w:rPr>
                <w:rFonts w:ascii="Arial" w:hAnsi="Arial" w:cs="Arial"/>
                <w:sz w:val="16"/>
                <w:szCs w:val="16"/>
              </w:rPr>
            </w:pPr>
          </w:p>
        </w:tc>
        <w:tc>
          <w:tcPr>
            <w:tcW w:w="1134" w:type="dxa"/>
            <w:tcBorders>
              <w:top w:val="nil"/>
              <w:left w:val="nil"/>
              <w:bottom w:val="single" w:sz="4" w:space="0" w:color="auto"/>
              <w:right w:val="single" w:sz="4" w:space="0" w:color="auto"/>
            </w:tcBorders>
            <w:vAlign w:val="bottom"/>
          </w:tcPr>
          <w:p w14:paraId="2DCED9D1" w14:textId="77777777" w:rsidR="00C23BD4" w:rsidRDefault="00073637">
            <w:pPr>
              <w:jc w:val="both"/>
              <w:rPr>
                <w:rFonts w:ascii="Arial" w:hAnsi="Arial" w:cs="Arial"/>
                <w:sz w:val="16"/>
                <w:szCs w:val="16"/>
              </w:rPr>
            </w:pPr>
            <w:r>
              <w:rPr>
                <w:rFonts w:ascii="Arial" w:hAnsi="Arial" w:cs="Arial"/>
                <w:sz w:val="16"/>
                <w:szCs w:val="16"/>
              </w:rPr>
              <w:t>Lower Bound</w:t>
            </w:r>
          </w:p>
        </w:tc>
        <w:tc>
          <w:tcPr>
            <w:tcW w:w="1276" w:type="dxa"/>
            <w:tcBorders>
              <w:top w:val="nil"/>
              <w:left w:val="nil"/>
              <w:bottom w:val="single" w:sz="4" w:space="0" w:color="auto"/>
              <w:right w:val="single" w:sz="4" w:space="0" w:color="auto"/>
            </w:tcBorders>
            <w:vAlign w:val="bottom"/>
          </w:tcPr>
          <w:p w14:paraId="7386F6DF" w14:textId="77777777" w:rsidR="00C23BD4" w:rsidRDefault="00073637">
            <w:pPr>
              <w:jc w:val="both"/>
              <w:rPr>
                <w:rFonts w:ascii="Arial" w:hAnsi="Arial" w:cs="Arial"/>
                <w:sz w:val="16"/>
                <w:szCs w:val="16"/>
              </w:rPr>
            </w:pPr>
            <w:r>
              <w:rPr>
                <w:rFonts w:ascii="Arial" w:hAnsi="Arial" w:cs="Arial"/>
                <w:sz w:val="16"/>
                <w:szCs w:val="16"/>
              </w:rPr>
              <w:t>Upper Bound</w:t>
            </w:r>
          </w:p>
        </w:tc>
      </w:tr>
      <w:tr w:rsidR="00C23BD4" w14:paraId="72A8DE36"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40524159" w14:textId="77777777" w:rsidR="00C23BD4" w:rsidRDefault="00073637">
            <w:pPr>
              <w:jc w:val="both"/>
              <w:rPr>
                <w:rFonts w:ascii="Arial" w:hAnsi="Arial" w:cs="Arial"/>
                <w:sz w:val="16"/>
                <w:szCs w:val="16"/>
              </w:rPr>
            </w:pPr>
            <w:r>
              <w:rPr>
                <w:rFonts w:ascii="Arial" w:hAnsi="Arial" w:cs="Arial"/>
                <w:sz w:val="16"/>
                <w:szCs w:val="16"/>
              </w:rPr>
              <w:t>Academic</w:t>
            </w:r>
          </w:p>
        </w:tc>
        <w:tc>
          <w:tcPr>
            <w:tcW w:w="1275" w:type="dxa"/>
            <w:vMerge w:val="restart"/>
            <w:tcBorders>
              <w:top w:val="nil"/>
              <w:left w:val="single" w:sz="4" w:space="0" w:color="auto"/>
              <w:bottom w:val="single" w:sz="4" w:space="0" w:color="auto"/>
              <w:right w:val="single" w:sz="4" w:space="0" w:color="auto"/>
            </w:tcBorders>
          </w:tcPr>
          <w:p w14:paraId="2EA1C468"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0EF891CA"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70FDBB36" w14:textId="77777777" w:rsidR="00C23BD4" w:rsidRDefault="00073637">
            <w:pPr>
              <w:jc w:val="center"/>
              <w:rPr>
                <w:rFonts w:ascii="Arial" w:hAnsi="Arial" w:cs="Arial"/>
              </w:rPr>
            </w:pPr>
            <w:r>
              <w:rPr>
                <w:rFonts w:ascii="Arial" w:hAnsi="Arial" w:cs="Arial"/>
              </w:rPr>
              <w:t>0.266</w:t>
            </w:r>
          </w:p>
        </w:tc>
        <w:tc>
          <w:tcPr>
            <w:tcW w:w="992" w:type="dxa"/>
            <w:tcBorders>
              <w:top w:val="nil"/>
              <w:left w:val="nil"/>
              <w:bottom w:val="single" w:sz="4" w:space="0" w:color="auto"/>
              <w:right w:val="single" w:sz="4" w:space="0" w:color="auto"/>
            </w:tcBorders>
            <w:noWrap/>
            <w:vAlign w:val="center"/>
          </w:tcPr>
          <w:p w14:paraId="5103F5BC" w14:textId="77777777" w:rsidR="00C23BD4" w:rsidRDefault="00073637">
            <w:pPr>
              <w:jc w:val="center"/>
              <w:rPr>
                <w:rFonts w:ascii="Arial" w:hAnsi="Arial" w:cs="Arial"/>
              </w:rPr>
            </w:pPr>
            <w:r>
              <w:rPr>
                <w:rFonts w:ascii="Arial" w:hAnsi="Arial" w:cs="Arial"/>
              </w:rPr>
              <w:t>0.072</w:t>
            </w:r>
          </w:p>
        </w:tc>
        <w:tc>
          <w:tcPr>
            <w:tcW w:w="992" w:type="dxa"/>
            <w:tcBorders>
              <w:top w:val="nil"/>
              <w:left w:val="nil"/>
              <w:bottom w:val="single" w:sz="4" w:space="0" w:color="auto"/>
              <w:right w:val="single" w:sz="4" w:space="0" w:color="auto"/>
            </w:tcBorders>
            <w:noWrap/>
            <w:vAlign w:val="center"/>
          </w:tcPr>
          <w:p w14:paraId="1FF71586" w14:textId="77777777" w:rsidR="00C23BD4" w:rsidRDefault="00073637">
            <w:pPr>
              <w:jc w:val="center"/>
              <w:rPr>
                <w:rFonts w:ascii="Arial" w:hAnsi="Arial" w:cs="Arial"/>
                <w:b/>
                <w:bCs/>
              </w:rPr>
            </w:pPr>
            <w:r>
              <w:rPr>
                <w:rFonts w:ascii="Arial" w:hAnsi="Arial" w:cs="Arial"/>
                <w:b/>
                <w:bCs/>
              </w:rPr>
              <w:t>0.002</w:t>
            </w:r>
          </w:p>
        </w:tc>
        <w:tc>
          <w:tcPr>
            <w:tcW w:w="1134" w:type="dxa"/>
            <w:tcBorders>
              <w:top w:val="nil"/>
              <w:left w:val="nil"/>
              <w:bottom w:val="single" w:sz="4" w:space="0" w:color="auto"/>
              <w:right w:val="single" w:sz="4" w:space="0" w:color="auto"/>
            </w:tcBorders>
            <w:noWrap/>
            <w:vAlign w:val="center"/>
          </w:tcPr>
          <w:p w14:paraId="6501828E" w14:textId="77777777" w:rsidR="00C23BD4" w:rsidRDefault="00073637">
            <w:pPr>
              <w:jc w:val="center"/>
              <w:rPr>
                <w:rFonts w:ascii="Arial" w:hAnsi="Arial" w:cs="Arial"/>
              </w:rPr>
            </w:pPr>
            <w:r>
              <w:rPr>
                <w:rFonts w:ascii="Arial" w:hAnsi="Arial" w:cs="Arial"/>
              </w:rPr>
              <w:t>0.079</w:t>
            </w:r>
          </w:p>
        </w:tc>
        <w:tc>
          <w:tcPr>
            <w:tcW w:w="1276" w:type="dxa"/>
            <w:tcBorders>
              <w:top w:val="nil"/>
              <w:left w:val="nil"/>
              <w:bottom w:val="single" w:sz="4" w:space="0" w:color="auto"/>
              <w:right w:val="single" w:sz="4" w:space="0" w:color="auto"/>
            </w:tcBorders>
            <w:noWrap/>
            <w:vAlign w:val="center"/>
          </w:tcPr>
          <w:p w14:paraId="05FA695E" w14:textId="77777777" w:rsidR="00C23BD4" w:rsidRDefault="00073637">
            <w:pPr>
              <w:jc w:val="center"/>
              <w:rPr>
                <w:rFonts w:ascii="Arial" w:hAnsi="Arial" w:cs="Arial"/>
              </w:rPr>
            </w:pPr>
            <w:r>
              <w:rPr>
                <w:rFonts w:ascii="Arial" w:hAnsi="Arial" w:cs="Arial"/>
              </w:rPr>
              <w:t>0.453</w:t>
            </w:r>
          </w:p>
        </w:tc>
      </w:tr>
      <w:tr w:rsidR="00C23BD4" w14:paraId="5D780380"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5361BE1E"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67C77284"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69812830"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1AEFAB68" w14:textId="77777777" w:rsidR="00C23BD4" w:rsidRDefault="00073637">
            <w:pPr>
              <w:jc w:val="center"/>
              <w:rPr>
                <w:rFonts w:ascii="Arial" w:hAnsi="Arial" w:cs="Arial"/>
              </w:rPr>
            </w:pPr>
            <w:r>
              <w:rPr>
                <w:rFonts w:ascii="Arial" w:hAnsi="Arial" w:cs="Arial"/>
              </w:rPr>
              <w:t>0.247</w:t>
            </w:r>
          </w:p>
        </w:tc>
        <w:tc>
          <w:tcPr>
            <w:tcW w:w="992" w:type="dxa"/>
            <w:tcBorders>
              <w:top w:val="nil"/>
              <w:left w:val="nil"/>
              <w:bottom w:val="single" w:sz="4" w:space="0" w:color="auto"/>
              <w:right w:val="single" w:sz="4" w:space="0" w:color="auto"/>
            </w:tcBorders>
            <w:noWrap/>
            <w:vAlign w:val="center"/>
          </w:tcPr>
          <w:p w14:paraId="778F72D2" w14:textId="77777777" w:rsidR="00C23BD4" w:rsidRDefault="00073637">
            <w:pPr>
              <w:jc w:val="center"/>
              <w:rPr>
                <w:rFonts w:ascii="Arial" w:hAnsi="Arial" w:cs="Arial"/>
              </w:rPr>
            </w:pPr>
            <w:r>
              <w:rPr>
                <w:rFonts w:ascii="Arial" w:hAnsi="Arial" w:cs="Arial"/>
              </w:rPr>
              <w:t>0.075</w:t>
            </w:r>
          </w:p>
        </w:tc>
        <w:tc>
          <w:tcPr>
            <w:tcW w:w="992" w:type="dxa"/>
            <w:tcBorders>
              <w:top w:val="nil"/>
              <w:left w:val="nil"/>
              <w:bottom w:val="single" w:sz="4" w:space="0" w:color="auto"/>
              <w:right w:val="single" w:sz="4" w:space="0" w:color="auto"/>
            </w:tcBorders>
            <w:noWrap/>
            <w:vAlign w:val="center"/>
          </w:tcPr>
          <w:p w14:paraId="5534CB6A" w14:textId="77777777" w:rsidR="00C23BD4" w:rsidRDefault="00073637">
            <w:pPr>
              <w:jc w:val="center"/>
              <w:rPr>
                <w:rFonts w:ascii="Arial" w:hAnsi="Arial" w:cs="Arial"/>
                <w:b/>
                <w:bCs/>
              </w:rPr>
            </w:pPr>
            <w:r>
              <w:rPr>
                <w:rFonts w:ascii="Arial" w:hAnsi="Arial" w:cs="Arial"/>
                <w:b/>
                <w:bCs/>
              </w:rPr>
              <w:t>0.006</w:t>
            </w:r>
          </w:p>
        </w:tc>
        <w:tc>
          <w:tcPr>
            <w:tcW w:w="1134" w:type="dxa"/>
            <w:tcBorders>
              <w:top w:val="nil"/>
              <w:left w:val="nil"/>
              <w:bottom w:val="single" w:sz="4" w:space="0" w:color="auto"/>
              <w:right w:val="single" w:sz="4" w:space="0" w:color="auto"/>
            </w:tcBorders>
            <w:noWrap/>
            <w:vAlign w:val="center"/>
          </w:tcPr>
          <w:p w14:paraId="656C755A" w14:textId="77777777" w:rsidR="00C23BD4" w:rsidRDefault="00073637">
            <w:pPr>
              <w:jc w:val="center"/>
              <w:rPr>
                <w:rFonts w:ascii="Arial" w:hAnsi="Arial" w:cs="Arial"/>
              </w:rPr>
            </w:pPr>
            <w:r>
              <w:rPr>
                <w:rFonts w:ascii="Arial" w:hAnsi="Arial" w:cs="Arial"/>
              </w:rPr>
              <w:t>0.054</w:t>
            </w:r>
          </w:p>
        </w:tc>
        <w:tc>
          <w:tcPr>
            <w:tcW w:w="1276" w:type="dxa"/>
            <w:tcBorders>
              <w:top w:val="nil"/>
              <w:left w:val="nil"/>
              <w:bottom w:val="single" w:sz="4" w:space="0" w:color="auto"/>
              <w:right w:val="single" w:sz="4" w:space="0" w:color="auto"/>
            </w:tcBorders>
            <w:noWrap/>
            <w:vAlign w:val="center"/>
          </w:tcPr>
          <w:p w14:paraId="0CDEE15A" w14:textId="77777777" w:rsidR="00C23BD4" w:rsidRDefault="00073637">
            <w:pPr>
              <w:jc w:val="center"/>
              <w:rPr>
                <w:rFonts w:ascii="Arial" w:hAnsi="Arial" w:cs="Arial"/>
              </w:rPr>
            </w:pPr>
            <w:r>
              <w:rPr>
                <w:rFonts w:ascii="Arial" w:hAnsi="Arial" w:cs="Arial"/>
              </w:rPr>
              <w:t>0.440</w:t>
            </w:r>
          </w:p>
        </w:tc>
      </w:tr>
      <w:tr w:rsidR="00C23BD4" w14:paraId="330BCEA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602B1C1E"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0E283D6"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CE899E2"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26457BB" w14:textId="77777777" w:rsidR="00C23BD4" w:rsidRDefault="00073637">
            <w:pPr>
              <w:jc w:val="center"/>
              <w:rPr>
                <w:rFonts w:ascii="Arial" w:hAnsi="Arial" w:cs="Arial"/>
              </w:rPr>
            </w:pPr>
            <w:r>
              <w:rPr>
                <w:rFonts w:ascii="Arial" w:hAnsi="Arial" w:cs="Arial"/>
              </w:rPr>
              <w:t>0.147</w:t>
            </w:r>
          </w:p>
        </w:tc>
        <w:tc>
          <w:tcPr>
            <w:tcW w:w="992" w:type="dxa"/>
            <w:tcBorders>
              <w:top w:val="nil"/>
              <w:left w:val="nil"/>
              <w:bottom w:val="single" w:sz="4" w:space="0" w:color="auto"/>
              <w:right w:val="single" w:sz="4" w:space="0" w:color="auto"/>
            </w:tcBorders>
            <w:noWrap/>
            <w:vAlign w:val="center"/>
          </w:tcPr>
          <w:p w14:paraId="1E86789A" w14:textId="77777777" w:rsidR="00C23BD4" w:rsidRDefault="00073637">
            <w:pPr>
              <w:jc w:val="center"/>
              <w:rPr>
                <w:rFonts w:ascii="Arial" w:hAnsi="Arial" w:cs="Arial"/>
              </w:rPr>
            </w:pPr>
            <w:r>
              <w:rPr>
                <w:rFonts w:ascii="Arial" w:hAnsi="Arial" w:cs="Arial"/>
              </w:rPr>
              <w:t>0.075</w:t>
            </w:r>
          </w:p>
        </w:tc>
        <w:tc>
          <w:tcPr>
            <w:tcW w:w="992" w:type="dxa"/>
            <w:tcBorders>
              <w:top w:val="nil"/>
              <w:left w:val="nil"/>
              <w:bottom w:val="single" w:sz="4" w:space="0" w:color="auto"/>
              <w:right w:val="single" w:sz="4" w:space="0" w:color="auto"/>
            </w:tcBorders>
            <w:noWrap/>
            <w:vAlign w:val="center"/>
          </w:tcPr>
          <w:p w14:paraId="27CD735B" w14:textId="77777777" w:rsidR="00C23BD4" w:rsidRDefault="00073637">
            <w:pPr>
              <w:jc w:val="center"/>
              <w:rPr>
                <w:rFonts w:ascii="Arial" w:hAnsi="Arial" w:cs="Arial"/>
              </w:rPr>
            </w:pPr>
            <w:r>
              <w:rPr>
                <w:rFonts w:ascii="Arial" w:hAnsi="Arial" w:cs="Arial"/>
              </w:rPr>
              <w:t>0.206</w:t>
            </w:r>
          </w:p>
        </w:tc>
        <w:tc>
          <w:tcPr>
            <w:tcW w:w="1134" w:type="dxa"/>
            <w:tcBorders>
              <w:top w:val="nil"/>
              <w:left w:val="nil"/>
              <w:bottom w:val="single" w:sz="4" w:space="0" w:color="auto"/>
              <w:right w:val="single" w:sz="4" w:space="0" w:color="auto"/>
            </w:tcBorders>
            <w:noWrap/>
            <w:vAlign w:val="center"/>
          </w:tcPr>
          <w:p w14:paraId="0FCF2182" w14:textId="77777777" w:rsidR="00C23BD4" w:rsidRDefault="00073637">
            <w:pPr>
              <w:jc w:val="center"/>
              <w:rPr>
                <w:rFonts w:ascii="Arial" w:hAnsi="Arial" w:cs="Arial"/>
              </w:rPr>
            </w:pPr>
            <w:r>
              <w:rPr>
                <w:rFonts w:ascii="Arial" w:hAnsi="Arial" w:cs="Arial"/>
              </w:rPr>
              <w:t>-0.047</w:t>
            </w:r>
          </w:p>
        </w:tc>
        <w:tc>
          <w:tcPr>
            <w:tcW w:w="1276" w:type="dxa"/>
            <w:tcBorders>
              <w:top w:val="nil"/>
              <w:left w:val="nil"/>
              <w:bottom w:val="single" w:sz="4" w:space="0" w:color="auto"/>
              <w:right w:val="single" w:sz="4" w:space="0" w:color="auto"/>
            </w:tcBorders>
            <w:noWrap/>
            <w:vAlign w:val="center"/>
          </w:tcPr>
          <w:p w14:paraId="18453B97" w14:textId="77777777" w:rsidR="00C23BD4" w:rsidRDefault="00073637">
            <w:pPr>
              <w:jc w:val="center"/>
              <w:rPr>
                <w:rFonts w:ascii="Arial" w:hAnsi="Arial" w:cs="Arial"/>
              </w:rPr>
            </w:pPr>
            <w:r>
              <w:rPr>
                <w:rFonts w:ascii="Arial" w:hAnsi="Arial" w:cs="Arial"/>
              </w:rPr>
              <w:t>0.341</w:t>
            </w:r>
          </w:p>
        </w:tc>
      </w:tr>
      <w:tr w:rsidR="00C23BD4" w14:paraId="1F71C7E9"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67037205"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tcPr>
          <w:p w14:paraId="0A3A211B"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7314C2E0"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7E8502CF" w14:textId="77777777" w:rsidR="00C23BD4" w:rsidRDefault="00073637">
            <w:pPr>
              <w:jc w:val="center"/>
              <w:rPr>
                <w:rFonts w:ascii="Arial" w:hAnsi="Arial" w:cs="Arial"/>
              </w:rPr>
            </w:pPr>
            <w:r>
              <w:rPr>
                <w:rFonts w:ascii="Arial" w:hAnsi="Arial" w:cs="Arial"/>
              </w:rPr>
              <w:t>-0.019</w:t>
            </w:r>
          </w:p>
        </w:tc>
        <w:tc>
          <w:tcPr>
            <w:tcW w:w="992" w:type="dxa"/>
            <w:tcBorders>
              <w:top w:val="nil"/>
              <w:left w:val="nil"/>
              <w:bottom w:val="single" w:sz="4" w:space="0" w:color="auto"/>
              <w:right w:val="single" w:sz="4" w:space="0" w:color="auto"/>
            </w:tcBorders>
            <w:noWrap/>
            <w:vAlign w:val="center"/>
          </w:tcPr>
          <w:p w14:paraId="4FC9ADB8" w14:textId="77777777" w:rsidR="00C23BD4" w:rsidRDefault="00073637">
            <w:pPr>
              <w:jc w:val="center"/>
              <w:rPr>
                <w:rFonts w:ascii="Arial" w:hAnsi="Arial" w:cs="Arial"/>
              </w:rPr>
            </w:pPr>
            <w:r>
              <w:rPr>
                <w:rFonts w:ascii="Arial" w:hAnsi="Arial" w:cs="Arial"/>
              </w:rPr>
              <w:t>0.077</w:t>
            </w:r>
          </w:p>
        </w:tc>
        <w:tc>
          <w:tcPr>
            <w:tcW w:w="992" w:type="dxa"/>
            <w:tcBorders>
              <w:top w:val="nil"/>
              <w:left w:val="nil"/>
              <w:bottom w:val="single" w:sz="4" w:space="0" w:color="auto"/>
              <w:right w:val="single" w:sz="4" w:space="0" w:color="auto"/>
            </w:tcBorders>
            <w:noWrap/>
            <w:vAlign w:val="center"/>
          </w:tcPr>
          <w:p w14:paraId="071A42B0" w14:textId="77777777" w:rsidR="00C23BD4" w:rsidRDefault="00073637">
            <w:pPr>
              <w:jc w:val="center"/>
              <w:rPr>
                <w:rFonts w:ascii="Arial" w:hAnsi="Arial" w:cs="Arial"/>
              </w:rPr>
            </w:pPr>
            <w:r>
              <w:rPr>
                <w:rFonts w:ascii="Arial" w:hAnsi="Arial" w:cs="Arial"/>
              </w:rPr>
              <w:t>0.994</w:t>
            </w:r>
          </w:p>
        </w:tc>
        <w:tc>
          <w:tcPr>
            <w:tcW w:w="1134" w:type="dxa"/>
            <w:tcBorders>
              <w:top w:val="nil"/>
              <w:left w:val="nil"/>
              <w:bottom w:val="single" w:sz="4" w:space="0" w:color="auto"/>
              <w:right w:val="single" w:sz="4" w:space="0" w:color="auto"/>
            </w:tcBorders>
            <w:noWrap/>
            <w:vAlign w:val="center"/>
          </w:tcPr>
          <w:p w14:paraId="157D216C" w14:textId="77777777" w:rsidR="00C23BD4" w:rsidRDefault="00073637">
            <w:pPr>
              <w:jc w:val="center"/>
              <w:rPr>
                <w:rFonts w:ascii="Arial" w:hAnsi="Arial" w:cs="Arial"/>
              </w:rPr>
            </w:pPr>
            <w:r>
              <w:rPr>
                <w:rFonts w:ascii="Arial" w:hAnsi="Arial" w:cs="Arial"/>
              </w:rPr>
              <w:t>-0.217</w:t>
            </w:r>
          </w:p>
        </w:tc>
        <w:tc>
          <w:tcPr>
            <w:tcW w:w="1276" w:type="dxa"/>
            <w:tcBorders>
              <w:top w:val="nil"/>
              <w:left w:val="nil"/>
              <w:bottom w:val="single" w:sz="4" w:space="0" w:color="auto"/>
              <w:right w:val="single" w:sz="4" w:space="0" w:color="auto"/>
            </w:tcBorders>
            <w:noWrap/>
            <w:vAlign w:val="center"/>
          </w:tcPr>
          <w:p w14:paraId="7C77EAA5" w14:textId="77777777" w:rsidR="00C23BD4" w:rsidRDefault="00073637">
            <w:pPr>
              <w:jc w:val="center"/>
              <w:rPr>
                <w:rFonts w:ascii="Arial" w:hAnsi="Arial" w:cs="Arial"/>
              </w:rPr>
            </w:pPr>
            <w:r>
              <w:rPr>
                <w:rFonts w:ascii="Arial" w:hAnsi="Arial" w:cs="Arial"/>
              </w:rPr>
              <w:t>0.179</w:t>
            </w:r>
          </w:p>
        </w:tc>
      </w:tr>
      <w:tr w:rsidR="00C23BD4" w14:paraId="72AA11B0"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6B0EF4CF"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7D287C2"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22AF004F"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2EABA094" w14:textId="77777777" w:rsidR="00C23BD4" w:rsidRDefault="00073637">
            <w:pPr>
              <w:jc w:val="center"/>
              <w:rPr>
                <w:rFonts w:ascii="Arial" w:hAnsi="Arial" w:cs="Arial"/>
              </w:rPr>
            </w:pPr>
            <w:r>
              <w:rPr>
                <w:rFonts w:ascii="Arial" w:hAnsi="Arial" w:cs="Arial"/>
              </w:rPr>
              <w:t>-0.119</w:t>
            </w:r>
          </w:p>
        </w:tc>
        <w:tc>
          <w:tcPr>
            <w:tcW w:w="992" w:type="dxa"/>
            <w:tcBorders>
              <w:top w:val="nil"/>
              <w:left w:val="nil"/>
              <w:bottom w:val="single" w:sz="4" w:space="0" w:color="auto"/>
              <w:right w:val="single" w:sz="4" w:space="0" w:color="auto"/>
            </w:tcBorders>
            <w:noWrap/>
            <w:vAlign w:val="center"/>
          </w:tcPr>
          <w:p w14:paraId="093C2B5B" w14:textId="77777777" w:rsidR="00C23BD4" w:rsidRDefault="00073637">
            <w:pPr>
              <w:jc w:val="center"/>
              <w:rPr>
                <w:rFonts w:ascii="Arial" w:hAnsi="Arial" w:cs="Arial"/>
              </w:rPr>
            </w:pPr>
            <w:r>
              <w:rPr>
                <w:rFonts w:ascii="Arial" w:hAnsi="Arial" w:cs="Arial"/>
              </w:rPr>
              <w:t>0.077</w:t>
            </w:r>
          </w:p>
        </w:tc>
        <w:tc>
          <w:tcPr>
            <w:tcW w:w="992" w:type="dxa"/>
            <w:tcBorders>
              <w:top w:val="nil"/>
              <w:left w:val="nil"/>
              <w:bottom w:val="single" w:sz="4" w:space="0" w:color="auto"/>
              <w:right w:val="single" w:sz="4" w:space="0" w:color="auto"/>
            </w:tcBorders>
            <w:noWrap/>
            <w:vAlign w:val="center"/>
          </w:tcPr>
          <w:p w14:paraId="6457F083" w14:textId="77777777" w:rsidR="00C23BD4" w:rsidRDefault="00073637">
            <w:pPr>
              <w:jc w:val="center"/>
              <w:rPr>
                <w:rFonts w:ascii="Arial" w:hAnsi="Arial" w:cs="Arial"/>
              </w:rPr>
            </w:pPr>
            <w:r>
              <w:rPr>
                <w:rFonts w:ascii="Arial" w:hAnsi="Arial" w:cs="Arial"/>
              </w:rPr>
              <w:t>0.413</w:t>
            </w:r>
          </w:p>
        </w:tc>
        <w:tc>
          <w:tcPr>
            <w:tcW w:w="1134" w:type="dxa"/>
            <w:tcBorders>
              <w:top w:val="nil"/>
              <w:left w:val="nil"/>
              <w:bottom w:val="single" w:sz="4" w:space="0" w:color="auto"/>
              <w:right w:val="single" w:sz="4" w:space="0" w:color="auto"/>
            </w:tcBorders>
            <w:noWrap/>
            <w:vAlign w:val="center"/>
          </w:tcPr>
          <w:p w14:paraId="1CB2C31C" w14:textId="77777777" w:rsidR="00C23BD4" w:rsidRDefault="00073637">
            <w:pPr>
              <w:jc w:val="center"/>
              <w:rPr>
                <w:rFonts w:ascii="Arial" w:hAnsi="Arial" w:cs="Arial"/>
              </w:rPr>
            </w:pPr>
            <w:r>
              <w:rPr>
                <w:rFonts w:ascii="Arial" w:hAnsi="Arial" w:cs="Arial"/>
              </w:rPr>
              <w:t>-0.318</w:t>
            </w:r>
          </w:p>
        </w:tc>
        <w:tc>
          <w:tcPr>
            <w:tcW w:w="1276" w:type="dxa"/>
            <w:tcBorders>
              <w:top w:val="nil"/>
              <w:left w:val="nil"/>
              <w:bottom w:val="single" w:sz="4" w:space="0" w:color="auto"/>
              <w:right w:val="single" w:sz="4" w:space="0" w:color="auto"/>
            </w:tcBorders>
            <w:noWrap/>
            <w:vAlign w:val="center"/>
          </w:tcPr>
          <w:p w14:paraId="10F3C3C5" w14:textId="77777777" w:rsidR="00C23BD4" w:rsidRDefault="00073637">
            <w:pPr>
              <w:jc w:val="center"/>
              <w:rPr>
                <w:rFonts w:ascii="Arial" w:hAnsi="Arial" w:cs="Arial"/>
              </w:rPr>
            </w:pPr>
            <w:r>
              <w:rPr>
                <w:rFonts w:ascii="Arial" w:hAnsi="Arial" w:cs="Arial"/>
              </w:rPr>
              <w:t>0.080</w:t>
            </w:r>
          </w:p>
        </w:tc>
      </w:tr>
      <w:tr w:rsidR="00C23BD4" w14:paraId="588DA5B2"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017584D4"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14755E1C"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75A8084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A52624C" w14:textId="77777777" w:rsidR="00C23BD4" w:rsidRDefault="00073637">
            <w:pPr>
              <w:jc w:val="center"/>
              <w:rPr>
                <w:rFonts w:ascii="Arial" w:hAnsi="Arial" w:cs="Arial"/>
              </w:rPr>
            </w:pPr>
            <w:r>
              <w:rPr>
                <w:rFonts w:ascii="Arial" w:hAnsi="Arial" w:cs="Arial"/>
              </w:rPr>
              <w:t>-0.100</w:t>
            </w:r>
          </w:p>
        </w:tc>
        <w:tc>
          <w:tcPr>
            <w:tcW w:w="992" w:type="dxa"/>
            <w:tcBorders>
              <w:top w:val="nil"/>
              <w:left w:val="nil"/>
              <w:bottom w:val="single" w:sz="4" w:space="0" w:color="auto"/>
              <w:right w:val="single" w:sz="4" w:space="0" w:color="auto"/>
            </w:tcBorders>
            <w:noWrap/>
            <w:vAlign w:val="center"/>
          </w:tcPr>
          <w:p w14:paraId="5591DF64" w14:textId="77777777" w:rsidR="00C23BD4" w:rsidRDefault="00073637">
            <w:pPr>
              <w:jc w:val="center"/>
              <w:rPr>
                <w:rFonts w:ascii="Arial" w:hAnsi="Arial" w:cs="Arial"/>
              </w:rPr>
            </w:pPr>
            <w:r>
              <w:rPr>
                <w:rFonts w:ascii="Arial" w:hAnsi="Arial" w:cs="Arial"/>
              </w:rPr>
              <w:t>0.079</w:t>
            </w:r>
          </w:p>
        </w:tc>
        <w:tc>
          <w:tcPr>
            <w:tcW w:w="992" w:type="dxa"/>
            <w:tcBorders>
              <w:top w:val="nil"/>
              <w:left w:val="nil"/>
              <w:bottom w:val="single" w:sz="4" w:space="0" w:color="auto"/>
              <w:right w:val="single" w:sz="4" w:space="0" w:color="auto"/>
            </w:tcBorders>
            <w:noWrap/>
            <w:vAlign w:val="center"/>
          </w:tcPr>
          <w:p w14:paraId="5833DABD" w14:textId="77777777" w:rsidR="00C23BD4" w:rsidRDefault="00073637">
            <w:pPr>
              <w:jc w:val="center"/>
              <w:rPr>
                <w:rFonts w:ascii="Arial" w:hAnsi="Arial" w:cs="Arial"/>
              </w:rPr>
            </w:pPr>
            <w:r>
              <w:rPr>
                <w:rFonts w:ascii="Arial" w:hAnsi="Arial" w:cs="Arial"/>
              </w:rPr>
              <w:t>0.591</w:t>
            </w:r>
          </w:p>
        </w:tc>
        <w:tc>
          <w:tcPr>
            <w:tcW w:w="1134" w:type="dxa"/>
            <w:tcBorders>
              <w:top w:val="nil"/>
              <w:left w:val="nil"/>
              <w:bottom w:val="single" w:sz="4" w:space="0" w:color="auto"/>
              <w:right w:val="single" w:sz="4" w:space="0" w:color="auto"/>
            </w:tcBorders>
            <w:noWrap/>
            <w:vAlign w:val="center"/>
          </w:tcPr>
          <w:p w14:paraId="585B7593" w14:textId="77777777" w:rsidR="00C23BD4" w:rsidRDefault="00073637">
            <w:pPr>
              <w:jc w:val="center"/>
              <w:rPr>
                <w:rFonts w:ascii="Arial" w:hAnsi="Arial" w:cs="Arial"/>
              </w:rPr>
            </w:pPr>
            <w:r>
              <w:rPr>
                <w:rFonts w:ascii="Arial" w:hAnsi="Arial" w:cs="Arial"/>
              </w:rPr>
              <w:t>-0.305</w:t>
            </w:r>
          </w:p>
        </w:tc>
        <w:tc>
          <w:tcPr>
            <w:tcW w:w="1276" w:type="dxa"/>
            <w:tcBorders>
              <w:top w:val="nil"/>
              <w:left w:val="nil"/>
              <w:bottom w:val="single" w:sz="4" w:space="0" w:color="auto"/>
              <w:right w:val="single" w:sz="4" w:space="0" w:color="auto"/>
            </w:tcBorders>
            <w:noWrap/>
            <w:vAlign w:val="center"/>
          </w:tcPr>
          <w:p w14:paraId="47BA7E57" w14:textId="77777777" w:rsidR="00C23BD4" w:rsidRDefault="00073637">
            <w:pPr>
              <w:jc w:val="center"/>
              <w:rPr>
                <w:rFonts w:ascii="Arial" w:hAnsi="Arial" w:cs="Arial"/>
              </w:rPr>
            </w:pPr>
            <w:r>
              <w:rPr>
                <w:rFonts w:ascii="Arial" w:hAnsi="Arial" w:cs="Arial"/>
              </w:rPr>
              <w:t>0.105</w:t>
            </w:r>
          </w:p>
        </w:tc>
      </w:tr>
      <w:tr w:rsidR="00C23BD4" w14:paraId="465DD192"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4D1A928D" w14:textId="77777777" w:rsidR="00C23BD4" w:rsidRDefault="00073637">
            <w:pPr>
              <w:jc w:val="both"/>
              <w:rPr>
                <w:rFonts w:ascii="Arial" w:hAnsi="Arial" w:cs="Arial"/>
                <w:sz w:val="16"/>
                <w:szCs w:val="16"/>
              </w:rPr>
            </w:pPr>
            <w:r>
              <w:rPr>
                <w:rFonts w:ascii="Arial" w:hAnsi="Arial" w:cs="Arial"/>
                <w:sz w:val="16"/>
                <w:szCs w:val="16"/>
              </w:rPr>
              <w:t>Non-Academic</w:t>
            </w:r>
          </w:p>
        </w:tc>
        <w:tc>
          <w:tcPr>
            <w:tcW w:w="1275" w:type="dxa"/>
            <w:vMerge w:val="restart"/>
            <w:tcBorders>
              <w:top w:val="nil"/>
              <w:left w:val="single" w:sz="4" w:space="0" w:color="auto"/>
              <w:bottom w:val="single" w:sz="4" w:space="0" w:color="auto"/>
              <w:right w:val="single" w:sz="4" w:space="0" w:color="auto"/>
            </w:tcBorders>
            <w:vAlign w:val="center"/>
          </w:tcPr>
          <w:p w14:paraId="0F7512DA"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1960F0B1"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36FE7252" w14:textId="77777777" w:rsidR="00C23BD4" w:rsidRDefault="00073637">
            <w:pPr>
              <w:jc w:val="center"/>
              <w:rPr>
                <w:rFonts w:ascii="Arial" w:hAnsi="Arial" w:cs="Arial"/>
              </w:rPr>
            </w:pPr>
            <w:r>
              <w:rPr>
                <w:rFonts w:ascii="Arial" w:hAnsi="Arial" w:cs="Arial"/>
              </w:rPr>
              <w:t>0.177</w:t>
            </w:r>
          </w:p>
        </w:tc>
        <w:tc>
          <w:tcPr>
            <w:tcW w:w="992" w:type="dxa"/>
            <w:tcBorders>
              <w:top w:val="nil"/>
              <w:left w:val="nil"/>
              <w:bottom w:val="single" w:sz="4" w:space="0" w:color="auto"/>
              <w:right w:val="single" w:sz="4" w:space="0" w:color="auto"/>
            </w:tcBorders>
            <w:noWrap/>
            <w:vAlign w:val="center"/>
          </w:tcPr>
          <w:p w14:paraId="5A747A38" w14:textId="77777777" w:rsidR="00C23BD4" w:rsidRDefault="00073637">
            <w:pPr>
              <w:jc w:val="center"/>
              <w:rPr>
                <w:rFonts w:ascii="Arial" w:hAnsi="Arial" w:cs="Arial"/>
              </w:rPr>
            </w:pPr>
            <w:r>
              <w:rPr>
                <w:rFonts w:ascii="Arial" w:hAnsi="Arial" w:cs="Arial"/>
              </w:rPr>
              <w:t>0.086</w:t>
            </w:r>
          </w:p>
        </w:tc>
        <w:tc>
          <w:tcPr>
            <w:tcW w:w="992" w:type="dxa"/>
            <w:tcBorders>
              <w:top w:val="nil"/>
              <w:left w:val="nil"/>
              <w:bottom w:val="single" w:sz="4" w:space="0" w:color="auto"/>
              <w:right w:val="single" w:sz="4" w:space="0" w:color="auto"/>
            </w:tcBorders>
            <w:noWrap/>
            <w:vAlign w:val="center"/>
          </w:tcPr>
          <w:p w14:paraId="4181ACA8" w14:textId="77777777" w:rsidR="00C23BD4" w:rsidRDefault="00073637">
            <w:pPr>
              <w:jc w:val="center"/>
              <w:rPr>
                <w:rFonts w:ascii="Arial" w:hAnsi="Arial" w:cs="Arial"/>
              </w:rPr>
            </w:pPr>
            <w:r>
              <w:rPr>
                <w:rFonts w:ascii="Arial" w:hAnsi="Arial" w:cs="Arial"/>
              </w:rPr>
              <w:t>0.172</w:t>
            </w:r>
          </w:p>
        </w:tc>
        <w:tc>
          <w:tcPr>
            <w:tcW w:w="1134" w:type="dxa"/>
            <w:tcBorders>
              <w:top w:val="nil"/>
              <w:left w:val="nil"/>
              <w:bottom w:val="single" w:sz="4" w:space="0" w:color="auto"/>
              <w:right w:val="single" w:sz="4" w:space="0" w:color="auto"/>
            </w:tcBorders>
            <w:noWrap/>
            <w:vAlign w:val="center"/>
          </w:tcPr>
          <w:p w14:paraId="26C97B9B" w14:textId="77777777" w:rsidR="00C23BD4" w:rsidRDefault="00073637">
            <w:pPr>
              <w:jc w:val="center"/>
              <w:rPr>
                <w:rFonts w:ascii="Arial" w:hAnsi="Arial" w:cs="Arial"/>
              </w:rPr>
            </w:pPr>
            <w:r>
              <w:rPr>
                <w:rFonts w:ascii="Arial" w:hAnsi="Arial" w:cs="Arial"/>
              </w:rPr>
              <w:t>-0.046</w:t>
            </w:r>
          </w:p>
        </w:tc>
        <w:tc>
          <w:tcPr>
            <w:tcW w:w="1276" w:type="dxa"/>
            <w:tcBorders>
              <w:top w:val="nil"/>
              <w:left w:val="nil"/>
              <w:bottom w:val="single" w:sz="4" w:space="0" w:color="auto"/>
              <w:right w:val="single" w:sz="4" w:space="0" w:color="auto"/>
            </w:tcBorders>
            <w:noWrap/>
            <w:vAlign w:val="center"/>
          </w:tcPr>
          <w:p w14:paraId="1A97A33B" w14:textId="77777777" w:rsidR="00C23BD4" w:rsidRDefault="00073637">
            <w:pPr>
              <w:jc w:val="center"/>
              <w:rPr>
                <w:rFonts w:ascii="Arial" w:hAnsi="Arial" w:cs="Arial"/>
              </w:rPr>
            </w:pPr>
            <w:r>
              <w:rPr>
                <w:rFonts w:ascii="Arial" w:hAnsi="Arial" w:cs="Arial"/>
              </w:rPr>
              <w:t>0.400</w:t>
            </w:r>
          </w:p>
        </w:tc>
      </w:tr>
      <w:tr w:rsidR="00C23BD4" w14:paraId="7CCA1E9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183D9E4A"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0EEE44F8"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65D88787"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3ED4310A" w14:textId="77777777" w:rsidR="00C23BD4" w:rsidRDefault="00073637">
            <w:pPr>
              <w:jc w:val="center"/>
              <w:rPr>
                <w:rFonts w:ascii="Arial" w:hAnsi="Arial" w:cs="Arial"/>
              </w:rPr>
            </w:pPr>
            <w:r>
              <w:rPr>
                <w:rFonts w:ascii="Arial" w:hAnsi="Arial" w:cs="Arial"/>
              </w:rPr>
              <w:t>0.089</w:t>
            </w:r>
          </w:p>
        </w:tc>
        <w:tc>
          <w:tcPr>
            <w:tcW w:w="992" w:type="dxa"/>
            <w:tcBorders>
              <w:top w:val="nil"/>
              <w:left w:val="nil"/>
              <w:bottom w:val="single" w:sz="4" w:space="0" w:color="auto"/>
              <w:right w:val="single" w:sz="4" w:space="0" w:color="auto"/>
            </w:tcBorders>
            <w:noWrap/>
            <w:vAlign w:val="center"/>
          </w:tcPr>
          <w:p w14:paraId="6D6A3528" w14:textId="77777777" w:rsidR="00C23BD4" w:rsidRDefault="00073637">
            <w:pPr>
              <w:jc w:val="center"/>
              <w:rPr>
                <w:rFonts w:ascii="Arial" w:hAnsi="Arial" w:cs="Arial"/>
              </w:rPr>
            </w:pPr>
            <w:r>
              <w:rPr>
                <w:rFonts w:ascii="Arial" w:hAnsi="Arial" w:cs="Arial"/>
              </w:rPr>
              <w:t>0.089</w:t>
            </w:r>
          </w:p>
        </w:tc>
        <w:tc>
          <w:tcPr>
            <w:tcW w:w="992" w:type="dxa"/>
            <w:tcBorders>
              <w:top w:val="nil"/>
              <w:left w:val="nil"/>
              <w:bottom w:val="single" w:sz="4" w:space="0" w:color="auto"/>
              <w:right w:val="single" w:sz="4" w:space="0" w:color="auto"/>
            </w:tcBorders>
            <w:noWrap/>
            <w:vAlign w:val="center"/>
          </w:tcPr>
          <w:p w14:paraId="1E862849" w14:textId="77777777" w:rsidR="00C23BD4" w:rsidRDefault="00073637">
            <w:pPr>
              <w:jc w:val="center"/>
              <w:rPr>
                <w:rFonts w:ascii="Arial" w:hAnsi="Arial" w:cs="Arial"/>
              </w:rPr>
            </w:pPr>
            <w:r>
              <w:rPr>
                <w:rFonts w:ascii="Arial" w:hAnsi="Arial" w:cs="Arial"/>
              </w:rPr>
              <w:t>0.752</w:t>
            </w:r>
          </w:p>
        </w:tc>
        <w:tc>
          <w:tcPr>
            <w:tcW w:w="1134" w:type="dxa"/>
            <w:tcBorders>
              <w:top w:val="nil"/>
              <w:left w:val="nil"/>
              <w:bottom w:val="single" w:sz="4" w:space="0" w:color="auto"/>
              <w:right w:val="single" w:sz="4" w:space="0" w:color="auto"/>
            </w:tcBorders>
            <w:noWrap/>
            <w:vAlign w:val="center"/>
          </w:tcPr>
          <w:p w14:paraId="1BC4299A" w14:textId="77777777" w:rsidR="00C23BD4" w:rsidRDefault="00073637">
            <w:pPr>
              <w:jc w:val="center"/>
              <w:rPr>
                <w:rFonts w:ascii="Arial" w:hAnsi="Arial" w:cs="Arial"/>
              </w:rPr>
            </w:pPr>
            <w:r>
              <w:rPr>
                <w:rFonts w:ascii="Arial" w:hAnsi="Arial" w:cs="Arial"/>
              </w:rPr>
              <w:t>-0.142</w:t>
            </w:r>
          </w:p>
        </w:tc>
        <w:tc>
          <w:tcPr>
            <w:tcW w:w="1276" w:type="dxa"/>
            <w:tcBorders>
              <w:top w:val="nil"/>
              <w:left w:val="nil"/>
              <w:bottom w:val="single" w:sz="4" w:space="0" w:color="auto"/>
              <w:right w:val="single" w:sz="4" w:space="0" w:color="auto"/>
            </w:tcBorders>
            <w:noWrap/>
            <w:vAlign w:val="center"/>
          </w:tcPr>
          <w:p w14:paraId="4F7CAB72" w14:textId="77777777" w:rsidR="00C23BD4" w:rsidRDefault="00073637">
            <w:pPr>
              <w:jc w:val="center"/>
              <w:rPr>
                <w:rFonts w:ascii="Arial" w:hAnsi="Arial" w:cs="Arial"/>
              </w:rPr>
            </w:pPr>
            <w:r>
              <w:rPr>
                <w:rFonts w:ascii="Arial" w:hAnsi="Arial" w:cs="Arial"/>
              </w:rPr>
              <w:t>0.319</w:t>
            </w:r>
          </w:p>
        </w:tc>
      </w:tr>
      <w:tr w:rsidR="00C23BD4" w14:paraId="6356127C"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71044917"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4C74E713"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BD1972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72A05F13" w14:textId="77777777" w:rsidR="00C23BD4" w:rsidRDefault="00073637">
            <w:pPr>
              <w:jc w:val="center"/>
              <w:rPr>
                <w:rFonts w:ascii="Arial" w:hAnsi="Arial" w:cs="Arial"/>
              </w:rPr>
            </w:pPr>
            <w:r>
              <w:rPr>
                <w:rFonts w:ascii="Arial" w:hAnsi="Arial" w:cs="Arial"/>
              </w:rPr>
              <w:t>-0.038</w:t>
            </w:r>
          </w:p>
        </w:tc>
        <w:tc>
          <w:tcPr>
            <w:tcW w:w="992" w:type="dxa"/>
            <w:tcBorders>
              <w:top w:val="nil"/>
              <w:left w:val="nil"/>
              <w:bottom w:val="single" w:sz="4" w:space="0" w:color="auto"/>
              <w:right w:val="single" w:sz="4" w:space="0" w:color="auto"/>
            </w:tcBorders>
            <w:noWrap/>
            <w:vAlign w:val="center"/>
          </w:tcPr>
          <w:p w14:paraId="0D6C46AE" w14:textId="77777777" w:rsidR="00C23BD4" w:rsidRDefault="00073637">
            <w:pPr>
              <w:jc w:val="center"/>
              <w:rPr>
                <w:rFonts w:ascii="Arial" w:hAnsi="Arial" w:cs="Arial"/>
              </w:rPr>
            </w:pPr>
            <w:r>
              <w:rPr>
                <w:rFonts w:ascii="Arial" w:hAnsi="Arial" w:cs="Arial"/>
              </w:rPr>
              <w:t>0.090</w:t>
            </w:r>
          </w:p>
        </w:tc>
        <w:tc>
          <w:tcPr>
            <w:tcW w:w="992" w:type="dxa"/>
            <w:tcBorders>
              <w:top w:val="nil"/>
              <w:left w:val="nil"/>
              <w:bottom w:val="single" w:sz="4" w:space="0" w:color="auto"/>
              <w:right w:val="single" w:sz="4" w:space="0" w:color="auto"/>
            </w:tcBorders>
            <w:noWrap/>
            <w:vAlign w:val="center"/>
          </w:tcPr>
          <w:p w14:paraId="0DE02E8C" w14:textId="77777777" w:rsidR="00C23BD4" w:rsidRDefault="00073637">
            <w:pPr>
              <w:jc w:val="center"/>
              <w:rPr>
                <w:rFonts w:ascii="Arial" w:hAnsi="Arial" w:cs="Arial"/>
              </w:rPr>
            </w:pPr>
            <w:r>
              <w:rPr>
                <w:rFonts w:ascii="Arial" w:hAnsi="Arial" w:cs="Arial"/>
              </w:rPr>
              <w:t>0.974</w:t>
            </w:r>
          </w:p>
        </w:tc>
        <w:tc>
          <w:tcPr>
            <w:tcW w:w="1134" w:type="dxa"/>
            <w:tcBorders>
              <w:top w:val="nil"/>
              <w:left w:val="nil"/>
              <w:bottom w:val="single" w:sz="4" w:space="0" w:color="auto"/>
              <w:right w:val="single" w:sz="4" w:space="0" w:color="auto"/>
            </w:tcBorders>
            <w:noWrap/>
            <w:vAlign w:val="center"/>
          </w:tcPr>
          <w:p w14:paraId="6C666036" w14:textId="77777777" w:rsidR="00C23BD4" w:rsidRDefault="00073637">
            <w:pPr>
              <w:jc w:val="center"/>
              <w:rPr>
                <w:rFonts w:ascii="Arial" w:hAnsi="Arial" w:cs="Arial"/>
              </w:rPr>
            </w:pPr>
            <w:r>
              <w:rPr>
                <w:rFonts w:ascii="Arial" w:hAnsi="Arial" w:cs="Arial"/>
              </w:rPr>
              <w:t>-0.269</w:t>
            </w:r>
          </w:p>
        </w:tc>
        <w:tc>
          <w:tcPr>
            <w:tcW w:w="1276" w:type="dxa"/>
            <w:tcBorders>
              <w:top w:val="nil"/>
              <w:left w:val="nil"/>
              <w:bottom w:val="single" w:sz="4" w:space="0" w:color="auto"/>
              <w:right w:val="single" w:sz="4" w:space="0" w:color="auto"/>
            </w:tcBorders>
            <w:noWrap/>
            <w:vAlign w:val="center"/>
          </w:tcPr>
          <w:p w14:paraId="2E85F007" w14:textId="77777777" w:rsidR="00C23BD4" w:rsidRDefault="00073637">
            <w:pPr>
              <w:jc w:val="center"/>
              <w:rPr>
                <w:rFonts w:ascii="Arial" w:hAnsi="Arial" w:cs="Arial"/>
              </w:rPr>
            </w:pPr>
            <w:r>
              <w:rPr>
                <w:rFonts w:ascii="Arial" w:hAnsi="Arial" w:cs="Arial"/>
              </w:rPr>
              <w:t>0.193</w:t>
            </w:r>
          </w:p>
        </w:tc>
      </w:tr>
      <w:tr w:rsidR="00C23BD4" w14:paraId="1096A9F7"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781005FF"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vAlign w:val="center"/>
          </w:tcPr>
          <w:p w14:paraId="19C2F782"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679DF10B"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31352364" w14:textId="77777777" w:rsidR="00C23BD4" w:rsidRDefault="00073637">
            <w:pPr>
              <w:jc w:val="center"/>
              <w:rPr>
                <w:rFonts w:ascii="Arial" w:hAnsi="Arial" w:cs="Arial"/>
              </w:rPr>
            </w:pPr>
            <w:r>
              <w:rPr>
                <w:rFonts w:ascii="Arial" w:hAnsi="Arial" w:cs="Arial"/>
              </w:rPr>
              <w:t>-0.088</w:t>
            </w:r>
          </w:p>
        </w:tc>
        <w:tc>
          <w:tcPr>
            <w:tcW w:w="992" w:type="dxa"/>
            <w:tcBorders>
              <w:top w:val="nil"/>
              <w:left w:val="nil"/>
              <w:bottom w:val="single" w:sz="4" w:space="0" w:color="auto"/>
              <w:right w:val="single" w:sz="4" w:space="0" w:color="auto"/>
            </w:tcBorders>
            <w:noWrap/>
            <w:vAlign w:val="center"/>
          </w:tcPr>
          <w:p w14:paraId="5E9B787C" w14:textId="77777777" w:rsidR="00C23BD4" w:rsidRDefault="00073637">
            <w:pPr>
              <w:jc w:val="center"/>
              <w:rPr>
                <w:rFonts w:ascii="Arial" w:hAnsi="Arial" w:cs="Arial"/>
              </w:rPr>
            </w:pPr>
            <w:r>
              <w:rPr>
                <w:rFonts w:ascii="Arial" w:hAnsi="Arial" w:cs="Arial"/>
              </w:rPr>
              <w:t>0.092</w:t>
            </w:r>
          </w:p>
        </w:tc>
        <w:tc>
          <w:tcPr>
            <w:tcW w:w="992" w:type="dxa"/>
            <w:tcBorders>
              <w:top w:val="nil"/>
              <w:left w:val="nil"/>
              <w:bottom w:val="single" w:sz="4" w:space="0" w:color="auto"/>
              <w:right w:val="single" w:sz="4" w:space="0" w:color="auto"/>
            </w:tcBorders>
            <w:noWrap/>
            <w:vAlign w:val="center"/>
          </w:tcPr>
          <w:p w14:paraId="0D6A1FFE" w14:textId="77777777" w:rsidR="00C23BD4" w:rsidRDefault="00073637">
            <w:pPr>
              <w:jc w:val="center"/>
              <w:rPr>
                <w:rFonts w:ascii="Arial" w:hAnsi="Arial" w:cs="Arial"/>
              </w:rPr>
            </w:pPr>
            <w:r>
              <w:rPr>
                <w:rFonts w:ascii="Arial" w:hAnsi="Arial" w:cs="Arial"/>
              </w:rPr>
              <w:t>0.771</w:t>
            </w:r>
          </w:p>
        </w:tc>
        <w:tc>
          <w:tcPr>
            <w:tcW w:w="1134" w:type="dxa"/>
            <w:tcBorders>
              <w:top w:val="nil"/>
              <w:left w:val="nil"/>
              <w:bottom w:val="single" w:sz="4" w:space="0" w:color="auto"/>
              <w:right w:val="single" w:sz="4" w:space="0" w:color="auto"/>
            </w:tcBorders>
            <w:noWrap/>
            <w:vAlign w:val="center"/>
          </w:tcPr>
          <w:p w14:paraId="3B59F8D0" w14:textId="77777777" w:rsidR="00C23BD4" w:rsidRDefault="00073637">
            <w:pPr>
              <w:jc w:val="center"/>
              <w:rPr>
                <w:rFonts w:ascii="Arial" w:hAnsi="Arial" w:cs="Arial"/>
              </w:rPr>
            </w:pPr>
            <w:r>
              <w:rPr>
                <w:rFonts w:ascii="Arial" w:hAnsi="Arial" w:cs="Arial"/>
              </w:rPr>
              <w:t>-0.325</w:t>
            </w:r>
          </w:p>
        </w:tc>
        <w:tc>
          <w:tcPr>
            <w:tcW w:w="1276" w:type="dxa"/>
            <w:tcBorders>
              <w:top w:val="nil"/>
              <w:left w:val="nil"/>
              <w:bottom w:val="single" w:sz="4" w:space="0" w:color="auto"/>
              <w:right w:val="single" w:sz="4" w:space="0" w:color="auto"/>
            </w:tcBorders>
            <w:noWrap/>
            <w:vAlign w:val="center"/>
          </w:tcPr>
          <w:p w14:paraId="05AB1D7B" w14:textId="77777777" w:rsidR="00C23BD4" w:rsidRDefault="00073637">
            <w:pPr>
              <w:jc w:val="center"/>
              <w:rPr>
                <w:rFonts w:ascii="Arial" w:hAnsi="Arial" w:cs="Arial"/>
              </w:rPr>
            </w:pPr>
            <w:r>
              <w:rPr>
                <w:rFonts w:ascii="Arial" w:hAnsi="Arial" w:cs="Arial"/>
              </w:rPr>
              <w:t>0.148</w:t>
            </w:r>
          </w:p>
        </w:tc>
      </w:tr>
      <w:tr w:rsidR="00C23BD4" w14:paraId="552B383E"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7F0317A2"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4AE96D1"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28DC983C"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31C8F423" w14:textId="77777777" w:rsidR="00C23BD4" w:rsidRDefault="00073637">
            <w:pPr>
              <w:jc w:val="center"/>
              <w:rPr>
                <w:rFonts w:ascii="Arial" w:hAnsi="Arial" w:cs="Arial"/>
              </w:rPr>
            </w:pPr>
            <w:r>
              <w:rPr>
                <w:rFonts w:ascii="Arial" w:hAnsi="Arial" w:cs="Arial"/>
              </w:rPr>
              <w:t>-0.215</w:t>
            </w:r>
          </w:p>
        </w:tc>
        <w:tc>
          <w:tcPr>
            <w:tcW w:w="992" w:type="dxa"/>
            <w:tcBorders>
              <w:top w:val="nil"/>
              <w:left w:val="nil"/>
              <w:bottom w:val="single" w:sz="4" w:space="0" w:color="auto"/>
              <w:right w:val="single" w:sz="4" w:space="0" w:color="auto"/>
            </w:tcBorders>
            <w:noWrap/>
            <w:vAlign w:val="center"/>
          </w:tcPr>
          <w:p w14:paraId="054AC15A" w14:textId="77777777" w:rsidR="00C23BD4" w:rsidRDefault="00073637">
            <w:pPr>
              <w:jc w:val="center"/>
              <w:rPr>
                <w:rFonts w:ascii="Arial" w:hAnsi="Arial" w:cs="Arial"/>
              </w:rPr>
            </w:pPr>
            <w:r>
              <w:rPr>
                <w:rFonts w:ascii="Arial" w:hAnsi="Arial" w:cs="Arial"/>
              </w:rPr>
              <w:t>0.092</w:t>
            </w:r>
          </w:p>
        </w:tc>
        <w:tc>
          <w:tcPr>
            <w:tcW w:w="992" w:type="dxa"/>
            <w:tcBorders>
              <w:top w:val="nil"/>
              <w:left w:val="nil"/>
              <w:bottom w:val="single" w:sz="4" w:space="0" w:color="auto"/>
              <w:right w:val="single" w:sz="4" w:space="0" w:color="auto"/>
            </w:tcBorders>
            <w:noWrap/>
            <w:vAlign w:val="center"/>
          </w:tcPr>
          <w:p w14:paraId="1FE85CFC" w14:textId="77777777" w:rsidR="00C23BD4" w:rsidRDefault="00073637">
            <w:pPr>
              <w:jc w:val="center"/>
              <w:rPr>
                <w:rFonts w:ascii="Arial" w:hAnsi="Arial" w:cs="Arial"/>
                <w:b/>
                <w:bCs/>
              </w:rPr>
            </w:pPr>
            <w:r>
              <w:rPr>
                <w:rFonts w:ascii="Arial" w:hAnsi="Arial" w:cs="Arial"/>
                <w:b/>
                <w:bCs/>
              </w:rPr>
              <w:t>0.092</w:t>
            </w:r>
          </w:p>
        </w:tc>
        <w:tc>
          <w:tcPr>
            <w:tcW w:w="1134" w:type="dxa"/>
            <w:tcBorders>
              <w:top w:val="nil"/>
              <w:left w:val="nil"/>
              <w:bottom w:val="single" w:sz="4" w:space="0" w:color="auto"/>
              <w:right w:val="single" w:sz="4" w:space="0" w:color="auto"/>
            </w:tcBorders>
            <w:noWrap/>
            <w:vAlign w:val="center"/>
          </w:tcPr>
          <w:p w14:paraId="3043E75F" w14:textId="77777777" w:rsidR="00C23BD4" w:rsidRDefault="00073637">
            <w:pPr>
              <w:jc w:val="center"/>
              <w:rPr>
                <w:rFonts w:ascii="Arial" w:hAnsi="Arial" w:cs="Arial"/>
              </w:rPr>
            </w:pPr>
            <w:r>
              <w:rPr>
                <w:rFonts w:ascii="Arial" w:hAnsi="Arial" w:cs="Arial"/>
              </w:rPr>
              <w:t>-0.452</w:t>
            </w:r>
          </w:p>
        </w:tc>
        <w:tc>
          <w:tcPr>
            <w:tcW w:w="1276" w:type="dxa"/>
            <w:tcBorders>
              <w:top w:val="nil"/>
              <w:left w:val="nil"/>
              <w:bottom w:val="single" w:sz="4" w:space="0" w:color="auto"/>
              <w:right w:val="single" w:sz="4" w:space="0" w:color="auto"/>
            </w:tcBorders>
            <w:noWrap/>
            <w:vAlign w:val="center"/>
          </w:tcPr>
          <w:p w14:paraId="380FE75A" w14:textId="77777777" w:rsidR="00C23BD4" w:rsidRDefault="00073637">
            <w:pPr>
              <w:jc w:val="center"/>
              <w:rPr>
                <w:rFonts w:ascii="Arial" w:hAnsi="Arial" w:cs="Arial"/>
              </w:rPr>
            </w:pPr>
            <w:r>
              <w:rPr>
                <w:rFonts w:ascii="Arial" w:hAnsi="Arial" w:cs="Arial"/>
              </w:rPr>
              <w:t>0.023</w:t>
            </w:r>
          </w:p>
        </w:tc>
      </w:tr>
      <w:tr w:rsidR="00C23BD4" w14:paraId="086761C7"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7619867A"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4C48DBFF"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222CB236"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27BD7CAA" w14:textId="77777777" w:rsidR="00C23BD4" w:rsidRDefault="00073637">
            <w:pPr>
              <w:jc w:val="center"/>
              <w:rPr>
                <w:rFonts w:ascii="Arial" w:hAnsi="Arial" w:cs="Arial"/>
              </w:rPr>
            </w:pPr>
            <w:r>
              <w:rPr>
                <w:rFonts w:ascii="Arial" w:hAnsi="Arial" w:cs="Arial"/>
              </w:rPr>
              <w:t>-0.127</w:t>
            </w:r>
          </w:p>
        </w:tc>
        <w:tc>
          <w:tcPr>
            <w:tcW w:w="992" w:type="dxa"/>
            <w:tcBorders>
              <w:top w:val="nil"/>
              <w:left w:val="nil"/>
              <w:bottom w:val="single" w:sz="4" w:space="0" w:color="auto"/>
              <w:right w:val="single" w:sz="4" w:space="0" w:color="auto"/>
            </w:tcBorders>
            <w:noWrap/>
            <w:vAlign w:val="center"/>
          </w:tcPr>
          <w:p w14:paraId="2B643E55" w14:textId="77777777" w:rsidR="00C23BD4" w:rsidRDefault="00073637">
            <w:pPr>
              <w:jc w:val="center"/>
              <w:rPr>
                <w:rFonts w:ascii="Arial" w:hAnsi="Arial" w:cs="Arial"/>
              </w:rPr>
            </w:pPr>
            <w:r>
              <w:rPr>
                <w:rFonts w:ascii="Arial" w:hAnsi="Arial" w:cs="Arial"/>
              </w:rPr>
              <w:t>0.095</w:t>
            </w:r>
          </w:p>
        </w:tc>
        <w:tc>
          <w:tcPr>
            <w:tcW w:w="992" w:type="dxa"/>
            <w:tcBorders>
              <w:top w:val="nil"/>
              <w:left w:val="nil"/>
              <w:bottom w:val="single" w:sz="4" w:space="0" w:color="auto"/>
              <w:right w:val="single" w:sz="4" w:space="0" w:color="auto"/>
            </w:tcBorders>
            <w:noWrap/>
            <w:vAlign w:val="center"/>
          </w:tcPr>
          <w:p w14:paraId="3FB7FBAD" w14:textId="77777777" w:rsidR="00C23BD4" w:rsidRDefault="00073637">
            <w:pPr>
              <w:jc w:val="center"/>
              <w:rPr>
                <w:rFonts w:ascii="Arial" w:hAnsi="Arial" w:cs="Arial"/>
              </w:rPr>
            </w:pPr>
            <w:r>
              <w:rPr>
                <w:rFonts w:ascii="Arial" w:hAnsi="Arial" w:cs="Arial"/>
              </w:rPr>
              <w:t>0.539</w:t>
            </w:r>
          </w:p>
        </w:tc>
        <w:tc>
          <w:tcPr>
            <w:tcW w:w="1134" w:type="dxa"/>
            <w:tcBorders>
              <w:top w:val="nil"/>
              <w:left w:val="nil"/>
              <w:bottom w:val="single" w:sz="4" w:space="0" w:color="auto"/>
              <w:right w:val="single" w:sz="4" w:space="0" w:color="auto"/>
            </w:tcBorders>
            <w:noWrap/>
            <w:vAlign w:val="center"/>
          </w:tcPr>
          <w:p w14:paraId="103EE98D" w14:textId="77777777" w:rsidR="00C23BD4" w:rsidRDefault="00073637">
            <w:pPr>
              <w:jc w:val="center"/>
              <w:rPr>
                <w:rFonts w:ascii="Arial" w:hAnsi="Arial" w:cs="Arial"/>
              </w:rPr>
            </w:pPr>
            <w:r>
              <w:rPr>
                <w:rFonts w:ascii="Arial" w:hAnsi="Arial" w:cs="Arial"/>
              </w:rPr>
              <w:t>-0.371</w:t>
            </w:r>
          </w:p>
        </w:tc>
        <w:tc>
          <w:tcPr>
            <w:tcW w:w="1276" w:type="dxa"/>
            <w:tcBorders>
              <w:top w:val="nil"/>
              <w:left w:val="nil"/>
              <w:bottom w:val="single" w:sz="4" w:space="0" w:color="auto"/>
              <w:right w:val="single" w:sz="4" w:space="0" w:color="auto"/>
            </w:tcBorders>
            <w:noWrap/>
            <w:vAlign w:val="center"/>
          </w:tcPr>
          <w:p w14:paraId="5892878F" w14:textId="77777777" w:rsidR="00C23BD4" w:rsidRDefault="00073637">
            <w:pPr>
              <w:jc w:val="center"/>
              <w:rPr>
                <w:rFonts w:ascii="Arial" w:hAnsi="Arial" w:cs="Arial"/>
              </w:rPr>
            </w:pPr>
            <w:r>
              <w:rPr>
                <w:rFonts w:ascii="Arial" w:hAnsi="Arial" w:cs="Arial"/>
              </w:rPr>
              <w:t>0.118</w:t>
            </w:r>
          </w:p>
        </w:tc>
      </w:tr>
      <w:tr w:rsidR="00C23BD4" w14:paraId="6C7EF5DB" w14:textId="77777777">
        <w:trPr>
          <w:trHeight w:val="300"/>
          <w:jc w:val="center"/>
        </w:trPr>
        <w:tc>
          <w:tcPr>
            <w:tcW w:w="993" w:type="dxa"/>
            <w:vMerge w:val="restart"/>
            <w:tcBorders>
              <w:top w:val="nil"/>
              <w:left w:val="single" w:sz="4" w:space="0" w:color="auto"/>
              <w:bottom w:val="single" w:sz="4" w:space="0" w:color="auto"/>
              <w:right w:val="single" w:sz="4" w:space="0" w:color="auto"/>
            </w:tcBorders>
            <w:vAlign w:val="center"/>
          </w:tcPr>
          <w:p w14:paraId="011EC732" w14:textId="77777777" w:rsidR="00C23BD4" w:rsidRDefault="00073637">
            <w:pPr>
              <w:jc w:val="both"/>
              <w:rPr>
                <w:rFonts w:ascii="Arial" w:hAnsi="Arial" w:cs="Arial"/>
                <w:sz w:val="16"/>
                <w:szCs w:val="16"/>
              </w:rPr>
            </w:pPr>
            <w:r>
              <w:rPr>
                <w:rFonts w:ascii="Arial" w:hAnsi="Arial" w:cs="Arial"/>
                <w:sz w:val="16"/>
                <w:szCs w:val="16"/>
              </w:rPr>
              <w:t>Overall Satisfaction</w:t>
            </w:r>
          </w:p>
        </w:tc>
        <w:tc>
          <w:tcPr>
            <w:tcW w:w="1275" w:type="dxa"/>
            <w:vMerge w:val="restart"/>
            <w:tcBorders>
              <w:top w:val="nil"/>
              <w:left w:val="single" w:sz="4" w:space="0" w:color="auto"/>
              <w:bottom w:val="single" w:sz="4" w:space="0" w:color="auto"/>
              <w:right w:val="single" w:sz="4" w:space="0" w:color="auto"/>
            </w:tcBorders>
          </w:tcPr>
          <w:p w14:paraId="14CC699C" w14:textId="77777777" w:rsidR="00C23BD4" w:rsidRDefault="00073637">
            <w:pPr>
              <w:jc w:val="both"/>
              <w:rPr>
                <w:rFonts w:ascii="Arial" w:hAnsi="Arial" w:cs="Arial"/>
                <w:sz w:val="16"/>
                <w:szCs w:val="16"/>
              </w:rPr>
            </w:pPr>
            <w:r>
              <w:rPr>
                <w:rFonts w:ascii="Arial" w:hAnsi="Arial" w:cs="Arial"/>
                <w:sz w:val="16"/>
                <w:szCs w:val="16"/>
              </w:rPr>
              <w:t>First Year</w:t>
            </w:r>
          </w:p>
        </w:tc>
        <w:tc>
          <w:tcPr>
            <w:tcW w:w="993" w:type="dxa"/>
            <w:tcBorders>
              <w:top w:val="nil"/>
              <w:left w:val="nil"/>
              <w:bottom w:val="single" w:sz="4" w:space="0" w:color="auto"/>
              <w:right w:val="single" w:sz="4" w:space="0" w:color="auto"/>
            </w:tcBorders>
          </w:tcPr>
          <w:p w14:paraId="00FC521B" w14:textId="77777777" w:rsidR="00C23BD4" w:rsidRDefault="00073637">
            <w:pPr>
              <w:jc w:val="both"/>
              <w:rPr>
                <w:rFonts w:ascii="Arial" w:hAnsi="Arial" w:cs="Arial"/>
                <w:sz w:val="16"/>
                <w:szCs w:val="16"/>
              </w:rPr>
            </w:pPr>
            <w:r>
              <w:rPr>
                <w:rFonts w:ascii="Arial" w:hAnsi="Arial" w:cs="Arial"/>
                <w:sz w:val="16"/>
                <w:szCs w:val="16"/>
              </w:rPr>
              <w:t>Second Year</w:t>
            </w:r>
          </w:p>
        </w:tc>
        <w:tc>
          <w:tcPr>
            <w:tcW w:w="992" w:type="dxa"/>
            <w:tcBorders>
              <w:top w:val="nil"/>
              <w:left w:val="nil"/>
              <w:bottom w:val="single" w:sz="4" w:space="0" w:color="auto"/>
              <w:right w:val="single" w:sz="4" w:space="0" w:color="auto"/>
            </w:tcBorders>
            <w:noWrap/>
            <w:vAlign w:val="center"/>
          </w:tcPr>
          <w:p w14:paraId="6AE678E9" w14:textId="77777777" w:rsidR="00C23BD4" w:rsidRDefault="00073637">
            <w:pPr>
              <w:jc w:val="center"/>
              <w:rPr>
                <w:rFonts w:ascii="Arial" w:hAnsi="Arial" w:cs="Arial"/>
              </w:rPr>
            </w:pPr>
            <w:r>
              <w:rPr>
                <w:rFonts w:ascii="Arial" w:hAnsi="Arial" w:cs="Arial"/>
              </w:rPr>
              <w:t>0.221</w:t>
            </w:r>
          </w:p>
        </w:tc>
        <w:tc>
          <w:tcPr>
            <w:tcW w:w="992" w:type="dxa"/>
            <w:tcBorders>
              <w:top w:val="nil"/>
              <w:left w:val="nil"/>
              <w:bottom w:val="single" w:sz="4" w:space="0" w:color="auto"/>
              <w:right w:val="single" w:sz="4" w:space="0" w:color="auto"/>
            </w:tcBorders>
            <w:noWrap/>
            <w:vAlign w:val="center"/>
          </w:tcPr>
          <w:p w14:paraId="26B97374" w14:textId="77777777" w:rsidR="00C23BD4" w:rsidRDefault="00073637">
            <w:pPr>
              <w:jc w:val="center"/>
              <w:rPr>
                <w:rFonts w:ascii="Arial" w:hAnsi="Arial" w:cs="Arial"/>
              </w:rPr>
            </w:pPr>
            <w:r>
              <w:rPr>
                <w:rFonts w:ascii="Arial" w:hAnsi="Arial" w:cs="Arial"/>
              </w:rPr>
              <w:t>0.076</w:t>
            </w:r>
          </w:p>
        </w:tc>
        <w:tc>
          <w:tcPr>
            <w:tcW w:w="992" w:type="dxa"/>
            <w:tcBorders>
              <w:top w:val="nil"/>
              <w:left w:val="nil"/>
              <w:bottom w:val="single" w:sz="4" w:space="0" w:color="auto"/>
              <w:right w:val="single" w:sz="4" w:space="0" w:color="auto"/>
            </w:tcBorders>
            <w:noWrap/>
            <w:vAlign w:val="center"/>
          </w:tcPr>
          <w:p w14:paraId="338EE6A8" w14:textId="77777777" w:rsidR="00C23BD4" w:rsidRDefault="00073637">
            <w:pPr>
              <w:jc w:val="center"/>
              <w:rPr>
                <w:rFonts w:ascii="Arial" w:hAnsi="Arial" w:cs="Arial"/>
                <w:b/>
                <w:bCs/>
              </w:rPr>
            </w:pPr>
            <w:r>
              <w:rPr>
                <w:rFonts w:ascii="Arial" w:hAnsi="Arial" w:cs="Arial"/>
                <w:b/>
                <w:bCs/>
              </w:rPr>
              <w:t>0.019</w:t>
            </w:r>
          </w:p>
        </w:tc>
        <w:tc>
          <w:tcPr>
            <w:tcW w:w="1134" w:type="dxa"/>
            <w:tcBorders>
              <w:top w:val="nil"/>
              <w:left w:val="nil"/>
              <w:bottom w:val="single" w:sz="4" w:space="0" w:color="auto"/>
              <w:right w:val="single" w:sz="4" w:space="0" w:color="auto"/>
            </w:tcBorders>
            <w:noWrap/>
            <w:vAlign w:val="center"/>
          </w:tcPr>
          <w:p w14:paraId="0C3399BE" w14:textId="77777777" w:rsidR="00C23BD4" w:rsidRDefault="00073637">
            <w:pPr>
              <w:jc w:val="center"/>
              <w:rPr>
                <w:rFonts w:ascii="Arial" w:hAnsi="Arial" w:cs="Arial"/>
              </w:rPr>
            </w:pPr>
            <w:r>
              <w:rPr>
                <w:rFonts w:ascii="Arial" w:hAnsi="Arial" w:cs="Arial"/>
              </w:rPr>
              <w:t>0.026</w:t>
            </w:r>
          </w:p>
        </w:tc>
        <w:tc>
          <w:tcPr>
            <w:tcW w:w="1276" w:type="dxa"/>
            <w:tcBorders>
              <w:top w:val="nil"/>
              <w:left w:val="nil"/>
              <w:bottom w:val="single" w:sz="4" w:space="0" w:color="auto"/>
              <w:right w:val="single" w:sz="4" w:space="0" w:color="auto"/>
            </w:tcBorders>
            <w:noWrap/>
            <w:vAlign w:val="center"/>
          </w:tcPr>
          <w:p w14:paraId="329DD847" w14:textId="77777777" w:rsidR="00C23BD4" w:rsidRDefault="00073637">
            <w:pPr>
              <w:jc w:val="center"/>
              <w:rPr>
                <w:rFonts w:ascii="Arial" w:hAnsi="Arial" w:cs="Arial"/>
              </w:rPr>
            </w:pPr>
            <w:r>
              <w:rPr>
                <w:rFonts w:ascii="Arial" w:hAnsi="Arial" w:cs="Arial"/>
              </w:rPr>
              <w:t>0.417</w:t>
            </w:r>
          </w:p>
        </w:tc>
      </w:tr>
      <w:tr w:rsidR="00C23BD4" w14:paraId="3D235C06"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5DAAB922"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98D40D0"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3AFC683E"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0037F5F5" w14:textId="77777777" w:rsidR="00C23BD4" w:rsidRDefault="00073637">
            <w:pPr>
              <w:jc w:val="center"/>
              <w:rPr>
                <w:rFonts w:ascii="Arial" w:hAnsi="Arial" w:cs="Arial"/>
              </w:rPr>
            </w:pPr>
            <w:r>
              <w:rPr>
                <w:rFonts w:ascii="Arial" w:hAnsi="Arial" w:cs="Arial"/>
              </w:rPr>
              <w:t>0.168</w:t>
            </w:r>
          </w:p>
        </w:tc>
        <w:tc>
          <w:tcPr>
            <w:tcW w:w="992" w:type="dxa"/>
            <w:tcBorders>
              <w:top w:val="nil"/>
              <w:left w:val="nil"/>
              <w:bottom w:val="single" w:sz="4" w:space="0" w:color="auto"/>
              <w:right w:val="single" w:sz="4" w:space="0" w:color="auto"/>
            </w:tcBorders>
            <w:noWrap/>
            <w:vAlign w:val="center"/>
          </w:tcPr>
          <w:p w14:paraId="7DE36CE6" w14:textId="77777777" w:rsidR="00C23BD4" w:rsidRDefault="00073637">
            <w:pPr>
              <w:jc w:val="center"/>
              <w:rPr>
                <w:rFonts w:ascii="Arial" w:hAnsi="Arial" w:cs="Arial"/>
              </w:rPr>
            </w:pPr>
            <w:r>
              <w:rPr>
                <w:rFonts w:ascii="Arial" w:hAnsi="Arial" w:cs="Arial"/>
              </w:rPr>
              <w:t>0.078</w:t>
            </w:r>
          </w:p>
        </w:tc>
        <w:tc>
          <w:tcPr>
            <w:tcW w:w="992" w:type="dxa"/>
            <w:tcBorders>
              <w:top w:val="nil"/>
              <w:left w:val="nil"/>
              <w:bottom w:val="single" w:sz="4" w:space="0" w:color="auto"/>
              <w:right w:val="single" w:sz="4" w:space="0" w:color="auto"/>
            </w:tcBorders>
            <w:noWrap/>
            <w:vAlign w:val="center"/>
          </w:tcPr>
          <w:p w14:paraId="18D5BCE7" w14:textId="77777777" w:rsidR="00C23BD4" w:rsidRDefault="00073637">
            <w:pPr>
              <w:jc w:val="center"/>
              <w:rPr>
                <w:rFonts w:ascii="Arial" w:hAnsi="Arial" w:cs="Arial"/>
              </w:rPr>
            </w:pPr>
            <w:r>
              <w:rPr>
                <w:rFonts w:ascii="Arial" w:hAnsi="Arial" w:cs="Arial"/>
              </w:rPr>
              <w:t>0.142</w:t>
            </w:r>
          </w:p>
        </w:tc>
        <w:tc>
          <w:tcPr>
            <w:tcW w:w="1134" w:type="dxa"/>
            <w:tcBorders>
              <w:top w:val="nil"/>
              <w:left w:val="nil"/>
              <w:bottom w:val="single" w:sz="4" w:space="0" w:color="auto"/>
              <w:right w:val="single" w:sz="4" w:space="0" w:color="auto"/>
            </w:tcBorders>
            <w:noWrap/>
            <w:vAlign w:val="center"/>
          </w:tcPr>
          <w:p w14:paraId="5ABCA9D5" w14:textId="77777777" w:rsidR="00C23BD4" w:rsidRDefault="00073637">
            <w:pPr>
              <w:jc w:val="center"/>
              <w:rPr>
                <w:rFonts w:ascii="Arial" w:hAnsi="Arial" w:cs="Arial"/>
              </w:rPr>
            </w:pPr>
            <w:r>
              <w:rPr>
                <w:rFonts w:ascii="Arial" w:hAnsi="Arial" w:cs="Arial"/>
              </w:rPr>
              <w:t>-0.034</w:t>
            </w:r>
          </w:p>
        </w:tc>
        <w:tc>
          <w:tcPr>
            <w:tcW w:w="1276" w:type="dxa"/>
            <w:tcBorders>
              <w:top w:val="nil"/>
              <w:left w:val="nil"/>
              <w:bottom w:val="single" w:sz="4" w:space="0" w:color="auto"/>
              <w:right w:val="single" w:sz="4" w:space="0" w:color="auto"/>
            </w:tcBorders>
            <w:noWrap/>
            <w:vAlign w:val="center"/>
          </w:tcPr>
          <w:p w14:paraId="12CC27E6" w14:textId="77777777" w:rsidR="00C23BD4" w:rsidRDefault="00073637">
            <w:pPr>
              <w:jc w:val="center"/>
              <w:rPr>
                <w:rFonts w:ascii="Arial" w:hAnsi="Arial" w:cs="Arial"/>
              </w:rPr>
            </w:pPr>
            <w:r>
              <w:rPr>
                <w:rFonts w:ascii="Arial" w:hAnsi="Arial" w:cs="Arial"/>
              </w:rPr>
              <w:t>0.370</w:t>
            </w:r>
          </w:p>
        </w:tc>
      </w:tr>
      <w:tr w:rsidR="00C23BD4" w14:paraId="3F1CD3FC"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108E383C"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3B101869"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738539FA"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590E10BF" w14:textId="77777777" w:rsidR="00C23BD4" w:rsidRDefault="00073637">
            <w:pPr>
              <w:jc w:val="center"/>
              <w:rPr>
                <w:rFonts w:ascii="Arial" w:hAnsi="Arial" w:cs="Arial"/>
              </w:rPr>
            </w:pPr>
            <w:r>
              <w:rPr>
                <w:rFonts w:ascii="Arial" w:hAnsi="Arial" w:cs="Arial"/>
              </w:rPr>
              <w:t>0.055</w:t>
            </w:r>
          </w:p>
        </w:tc>
        <w:tc>
          <w:tcPr>
            <w:tcW w:w="992" w:type="dxa"/>
            <w:tcBorders>
              <w:top w:val="nil"/>
              <w:left w:val="nil"/>
              <w:bottom w:val="single" w:sz="4" w:space="0" w:color="auto"/>
              <w:right w:val="single" w:sz="4" w:space="0" w:color="auto"/>
            </w:tcBorders>
            <w:noWrap/>
            <w:vAlign w:val="center"/>
          </w:tcPr>
          <w:p w14:paraId="0BA56301" w14:textId="77777777" w:rsidR="00C23BD4" w:rsidRDefault="00073637">
            <w:pPr>
              <w:jc w:val="center"/>
              <w:rPr>
                <w:rFonts w:ascii="Arial" w:hAnsi="Arial" w:cs="Arial"/>
              </w:rPr>
            </w:pPr>
            <w:r>
              <w:rPr>
                <w:rFonts w:ascii="Arial" w:hAnsi="Arial" w:cs="Arial"/>
              </w:rPr>
              <w:t>0.079</w:t>
            </w:r>
          </w:p>
        </w:tc>
        <w:tc>
          <w:tcPr>
            <w:tcW w:w="992" w:type="dxa"/>
            <w:tcBorders>
              <w:top w:val="nil"/>
              <w:left w:val="nil"/>
              <w:bottom w:val="single" w:sz="4" w:space="0" w:color="auto"/>
              <w:right w:val="single" w:sz="4" w:space="0" w:color="auto"/>
            </w:tcBorders>
            <w:noWrap/>
            <w:vAlign w:val="center"/>
          </w:tcPr>
          <w:p w14:paraId="62D3DB41" w14:textId="77777777" w:rsidR="00C23BD4" w:rsidRDefault="00073637">
            <w:pPr>
              <w:jc w:val="center"/>
              <w:rPr>
                <w:rFonts w:ascii="Arial" w:hAnsi="Arial" w:cs="Arial"/>
              </w:rPr>
            </w:pPr>
            <w:r>
              <w:rPr>
                <w:rFonts w:ascii="Arial" w:hAnsi="Arial" w:cs="Arial"/>
              </w:rPr>
              <w:t>0.899</w:t>
            </w:r>
          </w:p>
        </w:tc>
        <w:tc>
          <w:tcPr>
            <w:tcW w:w="1134" w:type="dxa"/>
            <w:tcBorders>
              <w:top w:val="nil"/>
              <w:left w:val="nil"/>
              <w:bottom w:val="single" w:sz="4" w:space="0" w:color="auto"/>
              <w:right w:val="single" w:sz="4" w:space="0" w:color="auto"/>
            </w:tcBorders>
            <w:noWrap/>
            <w:vAlign w:val="center"/>
          </w:tcPr>
          <w:p w14:paraId="748F27CC" w14:textId="77777777" w:rsidR="00C23BD4" w:rsidRDefault="00073637">
            <w:pPr>
              <w:jc w:val="center"/>
              <w:rPr>
                <w:rFonts w:ascii="Arial" w:hAnsi="Arial" w:cs="Arial"/>
              </w:rPr>
            </w:pPr>
            <w:r>
              <w:rPr>
                <w:rFonts w:ascii="Arial" w:hAnsi="Arial" w:cs="Arial"/>
              </w:rPr>
              <w:t>-0.148</w:t>
            </w:r>
          </w:p>
        </w:tc>
        <w:tc>
          <w:tcPr>
            <w:tcW w:w="1276" w:type="dxa"/>
            <w:tcBorders>
              <w:top w:val="nil"/>
              <w:left w:val="nil"/>
              <w:bottom w:val="single" w:sz="4" w:space="0" w:color="auto"/>
              <w:right w:val="single" w:sz="4" w:space="0" w:color="auto"/>
            </w:tcBorders>
            <w:noWrap/>
            <w:vAlign w:val="center"/>
          </w:tcPr>
          <w:p w14:paraId="32F6BF7C" w14:textId="77777777" w:rsidR="00C23BD4" w:rsidRDefault="00073637">
            <w:pPr>
              <w:jc w:val="center"/>
              <w:rPr>
                <w:rFonts w:ascii="Arial" w:hAnsi="Arial" w:cs="Arial"/>
              </w:rPr>
            </w:pPr>
            <w:r>
              <w:rPr>
                <w:rFonts w:ascii="Arial" w:hAnsi="Arial" w:cs="Arial"/>
              </w:rPr>
              <w:t>0.257</w:t>
            </w:r>
          </w:p>
        </w:tc>
      </w:tr>
      <w:tr w:rsidR="00C23BD4" w14:paraId="08739650"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4FFD3F84" w14:textId="77777777" w:rsidR="00C23BD4" w:rsidRDefault="00C23BD4">
            <w:pPr>
              <w:jc w:val="both"/>
              <w:rPr>
                <w:rFonts w:ascii="Arial" w:hAnsi="Arial" w:cs="Arial"/>
                <w:sz w:val="16"/>
                <w:szCs w:val="16"/>
              </w:rPr>
            </w:pPr>
          </w:p>
        </w:tc>
        <w:tc>
          <w:tcPr>
            <w:tcW w:w="1275" w:type="dxa"/>
            <w:vMerge w:val="restart"/>
            <w:tcBorders>
              <w:top w:val="nil"/>
              <w:left w:val="single" w:sz="4" w:space="0" w:color="auto"/>
              <w:bottom w:val="single" w:sz="4" w:space="0" w:color="auto"/>
              <w:right w:val="single" w:sz="4" w:space="0" w:color="auto"/>
            </w:tcBorders>
            <w:vAlign w:val="center"/>
          </w:tcPr>
          <w:p w14:paraId="417A840B" w14:textId="77777777" w:rsidR="00C23BD4" w:rsidRDefault="00073637">
            <w:pPr>
              <w:jc w:val="both"/>
              <w:rPr>
                <w:rFonts w:ascii="Arial" w:hAnsi="Arial" w:cs="Arial"/>
                <w:sz w:val="16"/>
                <w:szCs w:val="16"/>
              </w:rPr>
            </w:pPr>
            <w:r>
              <w:rPr>
                <w:rFonts w:ascii="Arial" w:hAnsi="Arial" w:cs="Arial"/>
                <w:sz w:val="16"/>
                <w:szCs w:val="16"/>
              </w:rPr>
              <w:t>Second Year</w:t>
            </w:r>
          </w:p>
        </w:tc>
        <w:tc>
          <w:tcPr>
            <w:tcW w:w="993" w:type="dxa"/>
            <w:tcBorders>
              <w:top w:val="nil"/>
              <w:left w:val="nil"/>
              <w:bottom w:val="single" w:sz="4" w:space="0" w:color="auto"/>
              <w:right w:val="single" w:sz="4" w:space="0" w:color="auto"/>
            </w:tcBorders>
          </w:tcPr>
          <w:p w14:paraId="142872B7" w14:textId="77777777" w:rsidR="00C23BD4" w:rsidRDefault="00073637">
            <w:pPr>
              <w:jc w:val="both"/>
              <w:rPr>
                <w:rFonts w:ascii="Arial" w:hAnsi="Arial" w:cs="Arial"/>
                <w:sz w:val="16"/>
                <w:szCs w:val="16"/>
              </w:rPr>
            </w:pPr>
            <w:r>
              <w:rPr>
                <w:rFonts w:ascii="Arial" w:hAnsi="Arial" w:cs="Arial"/>
                <w:sz w:val="16"/>
                <w:szCs w:val="16"/>
              </w:rPr>
              <w:t>Third Year</w:t>
            </w:r>
          </w:p>
        </w:tc>
        <w:tc>
          <w:tcPr>
            <w:tcW w:w="992" w:type="dxa"/>
            <w:tcBorders>
              <w:top w:val="nil"/>
              <w:left w:val="nil"/>
              <w:bottom w:val="single" w:sz="4" w:space="0" w:color="auto"/>
              <w:right w:val="single" w:sz="4" w:space="0" w:color="auto"/>
            </w:tcBorders>
            <w:noWrap/>
            <w:vAlign w:val="center"/>
          </w:tcPr>
          <w:p w14:paraId="6EC58C5A" w14:textId="77777777" w:rsidR="00C23BD4" w:rsidRDefault="00073637">
            <w:pPr>
              <w:jc w:val="center"/>
              <w:rPr>
                <w:rFonts w:ascii="Arial" w:hAnsi="Arial" w:cs="Arial"/>
              </w:rPr>
            </w:pPr>
            <w:r>
              <w:rPr>
                <w:rFonts w:ascii="Arial" w:hAnsi="Arial" w:cs="Arial"/>
              </w:rPr>
              <w:t>-0.054</w:t>
            </w:r>
          </w:p>
        </w:tc>
        <w:tc>
          <w:tcPr>
            <w:tcW w:w="992" w:type="dxa"/>
            <w:tcBorders>
              <w:top w:val="nil"/>
              <w:left w:val="nil"/>
              <w:bottom w:val="single" w:sz="4" w:space="0" w:color="auto"/>
              <w:right w:val="single" w:sz="4" w:space="0" w:color="auto"/>
            </w:tcBorders>
            <w:noWrap/>
            <w:vAlign w:val="center"/>
          </w:tcPr>
          <w:p w14:paraId="2BA6498A" w14:textId="77777777" w:rsidR="00C23BD4" w:rsidRDefault="00073637">
            <w:pPr>
              <w:jc w:val="center"/>
              <w:rPr>
                <w:rFonts w:ascii="Arial" w:hAnsi="Arial" w:cs="Arial"/>
              </w:rPr>
            </w:pPr>
            <w:r>
              <w:rPr>
                <w:rFonts w:ascii="Arial" w:hAnsi="Arial" w:cs="Arial"/>
              </w:rPr>
              <w:t>0.080</w:t>
            </w:r>
          </w:p>
        </w:tc>
        <w:tc>
          <w:tcPr>
            <w:tcW w:w="992" w:type="dxa"/>
            <w:tcBorders>
              <w:top w:val="nil"/>
              <w:left w:val="nil"/>
              <w:bottom w:val="single" w:sz="4" w:space="0" w:color="auto"/>
              <w:right w:val="single" w:sz="4" w:space="0" w:color="auto"/>
            </w:tcBorders>
            <w:noWrap/>
            <w:vAlign w:val="center"/>
          </w:tcPr>
          <w:p w14:paraId="255FFBE4" w14:textId="77777777" w:rsidR="00C23BD4" w:rsidRDefault="00073637">
            <w:pPr>
              <w:jc w:val="center"/>
              <w:rPr>
                <w:rFonts w:ascii="Arial" w:hAnsi="Arial" w:cs="Arial"/>
              </w:rPr>
            </w:pPr>
            <w:r>
              <w:rPr>
                <w:rFonts w:ascii="Arial" w:hAnsi="Arial" w:cs="Arial"/>
              </w:rPr>
              <w:t>0.909</w:t>
            </w:r>
          </w:p>
        </w:tc>
        <w:tc>
          <w:tcPr>
            <w:tcW w:w="1134" w:type="dxa"/>
            <w:tcBorders>
              <w:top w:val="nil"/>
              <w:left w:val="nil"/>
              <w:bottom w:val="single" w:sz="4" w:space="0" w:color="auto"/>
              <w:right w:val="single" w:sz="4" w:space="0" w:color="auto"/>
            </w:tcBorders>
            <w:noWrap/>
            <w:vAlign w:val="center"/>
          </w:tcPr>
          <w:p w14:paraId="6E4F1B9D" w14:textId="77777777" w:rsidR="00C23BD4" w:rsidRDefault="00073637">
            <w:pPr>
              <w:jc w:val="center"/>
              <w:rPr>
                <w:rFonts w:ascii="Arial" w:hAnsi="Arial" w:cs="Arial"/>
              </w:rPr>
            </w:pPr>
            <w:r>
              <w:rPr>
                <w:rFonts w:ascii="Arial" w:hAnsi="Arial" w:cs="Arial"/>
              </w:rPr>
              <w:t>-0.261</w:t>
            </w:r>
          </w:p>
        </w:tc>
        <w:tc>
          <w:tcPr>
            <w:tcW w:w="1276" w:type="dxa"/>
            <w:tcBorders>
              <w:top w:val="nil"/>
              <w:left w:val="nil"/>
              <w:bottom w:val="single" w:sz="4" w:space="0" w:color="auto"/>
              <w:right w:val="single" w:sz="4" w:space="0" w:color="auto"/>
            </w:tcBorders>
            <w:noWrap/>
            <w:vAlign w:val="center"/>
          </w:tcPr>
          <w:p w14:paraId="6BE3424E" w14:textId="77777777" w:rsidR="00C23BD4" w:rsidRDefault="00073637">
            <w:pPr>
              <w:jc w:val="center"/>
              <w:rPr>
                <w:rFonts w:ascii="Arial" w:hAnsi="Arial" w:cs="Arial"/>
              </w:rPr>
            </w:pPr>
            <w:r>
              <w:rPr>
                <w:rFonts w:ascii="Arial" w:hAnsi="Arial" w:cs="Arial"/>
              </w:rPr>
              <w:t>0.154</w:t>
            </w:r>
          </w:p>
        </w:tc>
      </w:tr>
      <w:tr w:rsidR="00C23BD4" w14:paraId="003A0A7B" w14:textId="77777777">
        <w:trPr>
          <w:trHeight w:val="480"/>
          <w:jc w:val="center"/>
        </w:trPr>
        <w:tc>
          <w:tcPr>
            <w:tcW w:w="993" w:type="dxa"/>
            <w:vMerge/>
            <w:tcBorders>
              <w:top w:val="nil"/>
              <w:left w:val="single" w:sz="4" w:space="0" w:color="auto"/>
              <w:bottom w:val="single" w:sz="4" w:space="0" w:color="auto"/>
              <w:right w:val="single" w:sz="4" w:space="0" w:color="auto"/>
            </w:tcBorders>
            <w:vAlign w:val="center"/>
          </w:tcPr>
          <w:p w14:paraId="555A24CC" w14:textId="77777777" w:rsidR="00C23BD4" w:rsidRDefault="00C23BD4">
            <w:pPr>
              <w:jc w:val="both"/>
              <w:rPr>
                <w:rFonts w:ascii="Arial" w:hAnsi="Arial" w:cs="Arial"/>
                <w:sz w:val="16"/>
                <w:szCs w:val="16"/>
              </w:rPr>
            </w:pPr>
          </w:p>
        </w:tc>
        <w:tc>
          <w:tcPr>
            <w:tcW w:w="1275" w:type="dxa"/>
            <w:vMerge/>
            <w:tcBorders>
              <w:top w:val="nil"/>
              <w:left w:val="single" w:sz="4" w:space="0" w:color="auto"/>
              <w:bottom w:val="single" w:sz="4" w:space="0" w:color="auto"/>
              <w:right w:val="single" w:sz="4" w:space="0" w:color="auto"/>
            </w:tcBorders>
            <w:vAlign w:val="center"/>
          </w:tcPr>
          <w:p w14:paraId="7E42869D" w14:textId="77777777" w:rsidR="00C23BD4" w:rsidRDefault="00C23BD4">
            <w:pPr>
              <w:jc w:val="both"/>
              <w:rPr>
                <w:rFonts w:ascii="Arial" w:hAnsi="Arial" w:cs="Arial"/>
                <w:sz w:val="16"/>
                <w:szCs w:val="16"/>
              </w:rPr>
            </w:pPr>
          </w:p>
        </w:tc>
        <w:tc>
          <w:tcPr>
            <w:tcW w:w="993" w:type="dxa"/>
            <w:tcBorders>
              <w:top w:val="nil"/>
              <w:left w:val="nil"/>
              <w:bottom w:val="single" w:sz="4" w:space="0" w:color="auto"/>
              <w:right w:val="single" w:sz="4" w:space="0" w:color="auto"/>
            </w:tcBorders>
          </w:tcPr>
          <w:p w14:paraId="59333370"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1C493A03" w14:textId="77777777" w:rsidR="00C23BD4" w:rsidRDefault="00073637">
            <w:pPr>
              <w:jc w:val="center"/>
              <w:rPr>
                <w:rFonts w:ascii="Arial" w:hAnsi="Arial" w:cs="Arial"/>
              </w:rPr>
            </w:pPr>
            <w:r>
              <w:rPr>
                <w:rFonts w:ascii="Arial" w:hAnsi="Arial" w:cs="Arial"/>
              </w:rPr>
              <w:t>-0.167</w:t>
            </w:r>
          </w:p>
        </w:tc>
        <w:tc>
          <w:tcPr>
            <w:tcW w:w="992" w:type="dxa"/>
            <w:tcBorders>
              <w:top w:val="nil"/>
              <w:left w:val="nil"/>
              <w:bottom w:val="single" w:sz="4" w:space="0" w:color="auto"/>
              <w:right w:val="single" w:sz="4" w:space="0" w:color="auto"/>
            </w:tcBorders>
            <w:noWrap/>
            <w:vAlign w:val="center"/>
          </w:tcPr>
          <w:p w14:paraId="40435543" w14:textId="77777777" w:rsidR="00C23BD4" w:rsidRDefault="00073637">
            <w:pPr>
              <w:jc w:val="center"/>
              <w:rPr>
                <w:rFonts w:ascii="Arial" w:hAnsi="Arial" w:cs="Arial"/>
              </w:rPr>
            </w:pPr>
            <w:r>
              <w:rPr>
                <w:rFonts w:ascii="Arial" w:hAnsi="Arial" w:cs="Arial"/>
              </w:rPr>
              <w:t>0.081</w:t>
            </w:r>
          </w:p>
        </w:tc>
        <w:tc>
          <w:tcPr>
            <w:tcW w:w="992" w:type="dxa"/>
            <w:tcBorders>
              <w:top w:val="nil"/>
              <w:left w:val="nil"/>
              <w:bottom w:val="single" w:sz="4" w:space="0" w:color="auto"/>
              <w:right w:val="single" w:sz="4" w:space="0" w:color="auto"/>
            </w:tcBorders>
            <w:noWrap/>
            <w:vAlign w:val="center"/>
          </w:tcPr>
          <w:p w14:paraId="722AD2D0" w14:textId="77777777" w:rsidR="00C23BD4" w:rsidRDefault="00073637">
            <w:pPr>
              <w:jc w:val="center"/>
              <w:rPr>
                <w:rFonts w:ascii="Arial" w:hAnsi="Arial" w:cs="Arial"/>
              </w:rPr>
            </w:pPr>
            <w:r>
              <w:rPr>
                <w:rFonts w:ascii="Arial" w:hAnsi="Arial" w:cs="Arial"/>
              </w:rPr>
              <w:t>0.166</w:t>
            </w:r>
          </w:p>
        </w:tc>
        <w:tc>
          <w:tcPr>
            <w:tcW w:w="1134" w:type="dxa"/>
            <w:tcBorders>
              <w:top w:val="nil"/>
              <w:left w:val="nil"/>
              <w:bottom w:val="single" w:sz="4" w:space="0" w:color="auto"/>
              <w:right w:val="single" w:sz="4" w:space="0" w:color="auto"/>
            </w:tcBorders>
            <w:noWrap/>
            <w:vAlign w:val="center"/>
          </w:tcPr>
          <w:p w14:paraId="6FE66FD8" w14:textId="77777777" w:rsidR="00C23BD4" w:rsidRDefault="00073637">
            <w:pPr>
              <w:jc w:val="center"/>
              <w:rPr>
                <w:rFonts w:ascii="Arial" w:hAnsi="Arial" w:cs="Arial"/>
              </w:rPr>
            </w:pPr>
            <w:r>
              <w:rPr>
                <w:rFonts w:ascii="Arial" w:hAnsi="Arial" w:cs="Arial"/>
              </w:rPr>
              <w:t>-0.375</w:t>
            </w:r>
          </w:p>
        </w:tc>
        <w:tc>
          <w:tcPr>
            <w:tcW w:w="1276" w:type="dxa"/>
            <w:tcBorders>
              <w:top w:val="nil"/>
              <w:left w:val="nil"/>
              <w:bottom w:val="single" w:sz="4" w:space="0" w:color="auto"/>
              <w:right w:val="single" w:sz="4" w:space="0" w:color="auto"/>
            </w:tcBorders>
            <w:noWrap/>
            <w:vAlign w:val="center"/>
          </w:tcPr>
          <w:p w14:paraId="765D9C17" w14:textId="77777777" w:rsidR="00C23BD4" w:rsidRDefault="00073637">
            <w:pPr>
              <w:jc w:val="center"/>
              <w:rPr>
                <w:rFonts w:ascii="Arial" w:hAnsi="Arial" w:cs="Arial"/>
              </w:rPr>
            </w:pPr>
            <w:r>
              <w:rPr>
                <w:rFonts w:ascii="Arial" w:hAnsi="Arial" w:cs="Arial"/>
              </w:rPr>
              <w:t>0.042</w:t>
            </w:r>
          </w:p>
        </w:tc>
      </w:tr>
      <w:tr w:rsidR="00C23BD4" w14:paraId="3CDC1C8B" w14:textId="77777777">
        <w:trPr>
          <w:trHeight w:val="300"/>
          <w:jc w:val="center"/>
        </w:trPr>
        <w:tc>
          <w:tcPr>
            <w:tcW w:w="993" w:type="dxa"/>
            <w:vMerge/>
            <w:tcBorders>
              <w:top w:val="nil"/>
              <w:left w:val="single" w:sz="4" w:space="0" w:color="auto"/>
              <w:bottom w:val="single" w:sz="4" w:space="0" w:color="auto"/>
              <w:right w:val="single" w:sz="4" w:space="0" w:color="auto"/>
            </w:tcBorders>
            <w:vAlign w:val="center"/>
          </w:tcPr>
          <w:p w14:paraId="4DB0C85B" w14:textId="77777777" w:rsidR="00C23BD4" w:rsidRDefault="00C23BD4">
            <w:pPr>
              <w:jc w:val="both"/>
              <w:rPr>
                <w:rFonts w:ascii="Arial" w:hAnsi="Arial" w:cs="Arial"/>
                <w:sz w:val="16"/>
                <w:szCs w:val="16"/>
              </w:rPr>
            </w:pPr>
          </w:p>
        </w:tc>
        <w:tc>
          <w:tcPr>
            <w:tcW w:w="1275" w:type="dxa"/>
            <w:tcBorders>
              <w:top w:val="nil"/>
              <w:left w:val="nil"/>
              <w:bottom w:val="single" w:sz="4" w:space="0" w:color="auto"/>
              <w:right w:val="single" w:sz="4" w:space="0" w:color="auto"/>
            </w:tcBorders>
          </w:tcPr>
          <w:p w14:paraId="12032354" w14:textId="77777777" w:rsidR="00C23BD4" w:rsidRDefault="00073637">
            <w:pPr>
              <w:jc w:val="both"/>
              <w:rPr>
                <w:rFonts w:ascii="Arial" w:hAnsi="Arial" w:cs="Arial"/>
                <w:sz w:val="16"/>
                <w:szCs w:val="16"/>
              </w:rPr>
            </w:pPr>
            <w:r>
              <w:rPr>
                <w:rFonts w:ascii="Arial" w:hAnsi="Arial" w:cs="Arial"/>
                <w:sz w:val="16"/>
                <w:szCs w:val="16"/>
              </w:rPr>
              <w:t>Third Year</w:t>
            </w:r>
          </w:p>
        </w:tc>
        <w:tc>
          <w:tcPr>
            <w:tcW w:w="993" w:type="dxa"/>
            <w:tcBorders>
              <w:top w:val="nil"/>
              <w:left w:val="nil"/>
              <w:bottom w:val="single" w:sz="4" w:space="0" w:color="auto"/>
              <w:right w:val="single" w:sz="4" w:space="0" w:color="auto"/>
            </w:tcBorders>
          </w:tcPr>
          <w:p w14:paraId="1D6F0E55" w14:textId="77777777" w:rsidR="00C23BD4" w:rsidRDefault="00073637">
            <w:pPr>
              <w:jc w:val="both"/>
              <w:rPr>
                <w:rFonts w:ascii="Arial" w:hAnsi="Arial" w:cs="Arial"/>
                <w:sz w:val="16"/>
                <w:szCs w:val="16"/>
              </w:rPr>
            </w:pPr>
            <w:r>
              <w:rPr>
                <w:rFonts w:ascii="Arial" w:hAnsi="Arial" w:cs="Arial"/>
                <w:sz w:val="16"/>
                <w:szCs w:val="16"/>
              </w:rPr>
              <w:t>Fourth Year</w:t>
            </w:r>
          </w:p>
        </w:tc>
        <w:tc>
          <w:tcPr>
            <w:tcW w:w="992" w:type="dxa"/>
            <w:tcBorders>
              <w:top w:val="nil"/>
              <w:left w:val="nil"/>
              <w:bottom w:val="single" w:sz="4" w:space="0" w:color="auto"/>
              <w:right w:val="single" w:sz="4" w:space="0" w:color="auto"/>
            </w:tcBorders>
            <w:noWrap/>
            <w:vAlign w:val="center"/>
          </w:tcPr>
          <w:p w14:paraId="48858AED" w14:textId="77777777" w:rsidR="00C23BD4" w:rsidRDefault="00073637">
            <w:pPr>
              <w:jc w:val="center"/>
              <w:rPr>
                <w:rFonts w:ascii="Arial" w:hAnsi="Arial" w:cs="Arial"/>
              </w:rPr>
            </w:pPr>
            <w:r>
              <w:rPr>
                <w:rFonts w:ascii="Arial" w:hAnsi="Arial" w:cs="Arial"/>
              </w:rPr>
              <w:t>-0.113</w:t>
            </w:r>
          </w:p>
        </w:tc>
        <w:tc>
          <w:tcPr>
            <w:tcW w:w="992" w:type="dxa"/>
            <w:tcBorders>
              <w:top w:val="nil"/>
              <w:left w:val="nil"/>
              <w:bottom w:val="single" w:sz="4" w:space="0" w:color="auto"/>
              <w:right w:val="single" w:sz="4" w:space="0" w:color="auto"/>
            </w:tcBorders>
            <w:noWrap/>
            <w:vAlign w:val="center"/>
          </w:tcPr>
          <w:p w14:paraId="462F7AD7" w14:textId="77777777" w:rsidR="00C23BD4" w:rsidRDefault="00073637">
            <w:pPr>
              <w:jc w:val="center"/>
              <w:rPr>
                <w:rFonts w:ascii="Arial" w:hAnsi="Arial" w:cs="Arial"/>
              </w:rPr>
            </w:pPr>
            <w:r>
              <w:rPr>
                <w:rFonts w:ascii="Arial" w:hAnsi="Arial" w:cs="Arial"/>
              </w:rPr>
              <w:t>0.083</w:t>
            </w:r>
          </w:p>
        </w:tc>
        <w:tc>
          <w:tcPr>
            <w:tcW w:w="992" w:type="dxa"/>
            <w:tcBorders>
              <w:top w:val="nil"/>
              <w:left w:val="nil"/>
              <w:bottom w:val="single" w:sz="4" w:space="0" w:color="auto"/>
              <w:right w:val="single" w:sz="4" w:space="0" w:color="auto"/>
            </w:tcBorders>
            <w:noWrap/>
            <w:vAlign w:val="center"/>
          </w:tcPr>
          <w:p w14:paraId="268874A8" w14:textId="77777777" w:rsidR="00C23BD4" w:rsidRDefault="00073637">
            <w:pPr>
              <w:jc w:val="center"/>
              <w:rPr>
                <w:rFonts w:ascii="Arial" w:hAnsi="Arial" w:cs="Arial"/>
              </w:rPr>
            </w:pPr>
            <w:r>
              <w:rPr>
                <w:rFonts w:ascii="Arial" w:hAnsi="Arial" w:cs="Arial"/>
              </w:rPr>
              <w:t>0.524</w:t>
            </w:r>
          </w:p>
        </w:tc>
        <w:tc>
          <w:tcPr>
            <w:tcW w:w="1134" w:type="dxa"/>
            <w:tcBorders>
              <w:top w:val="nil"/>
              <w:left w:val="nil"/>
              <w:bottom w:val="single" w:sz="4" w:space="0" w:color="auto"/>
              <w:right w:val="single" w:sz="4" w:space="0" w:color="auto"/>
            </w:tcBorders>
            <w:noWrap/>
            <w:vAlign w:val="center"/>
          </w:tcPr>
          <w:p w14:paraId="5BF00FBF" w14:textId="77777777" w:rsidR="00C23BD4" w:rsidRDefault="00073637">
            <w:pPr>
              <w:jc w:val="center"/>
              <w:rPr>
                <w:rFonts w:ascii="Arial" w:hAnsi="Arial" w:cs="Arial"/>
              </w:rPr>
            </w:pPr>
            <w:r>
              <w:rPr>
                <w:rFonts w:ascii="Arial" w:hAnsi="Arial" w:cs="Arial"/>
              </w:rPr>
              <w:t>-0.328</w:t>
            </w:r>
          </w:p>
        </w:tc>
        <w:tc>
          <w:tcPr>
            <w:tcW w:w="1276" w:type="dxa"/>
            <w:tcBorders>
              <w:top w:val="nil"/>
              <w:left w:val="nil"/>
              <w:bottom w:val="single" w:sz="4" w:space="0" w:color="auto"/>
              <w:right w:val="single" w:sz="4" w:space="0" w:color="auto"/>
            </w:tcBorders>
            <w:noWrap/>
            <w:vAlign w:val="center"/>
          </w:tcPr>
          <w:p w14:paraId="2398ED80" w14:textId="77777777" w:rsidR="00C23BD4" w:rsidRDefault="00073637">
            <w:pPr>
              <w:jc w:val="center"/>
              <w:rPr>
                <w:rFonts w:ascii="Arial" w:hAnsi="Arial" w:cs="Arial"/>
              </w:rPr>
            </w:pPr>
            <w:r>
              <w:rPr>
                <w:rFonts w:ascii="Arial" w:hAnsi="Arial" w:cs="Arial"/>
              </w:rPr>
              <w:t>0.101</w:t>
            </w:r>
          </w:p>
        </w:tc>
      </w:tr>
    </w:tbl>
    <w:p w14:paraId="633FE08D" w14:textId="77777777" w:rsidR="00C23BD4" w:rsidRDefault="00C23BD4">
      <w:pPr>
        <w:jc w:val="center"/>
        <w:rPr>
          <w:rFonts w:ascii="Arial" w:hAnsi="Arial" w:cs="Arial"/>
        </w:rPr>
      </w:pPr>
    </w:p>
    <w:p w14:paraId="24967C2F" w14:textId="77777777" w:rsidR="00C23BD4" w:rsidRDefault="00C23BD4">
      <w:pPr>
        <w:jc w:val="both"/>
        <w:rPr>
          <w:rFonts w:ascii="Arial" w:hAnsi="Arial" w:cs="Arial"/>
        </w:rPr>
      </w:pPr>
    </w:p>
    <w:p w14:paraId="3C26CD53" w14:textId="77777777" w:rsidR="00C23BD4" w:rsidRDefault="00073637">
      <w:pPr>
        <w:jc w:val="both"/>
        <w:rPr>
          <w:rFonts w:ascii="Arial" w:hAnsi="Arial" w:cs="Arial"/>
        </w:rPr>
      </w:pPr>
      <w:r>
        <w:rPr>
          <w:rFonts w:ascii="Arial" w:hAnsi="Arial" w:cs="Arial"/>
        </w:rPr>
        <w:lastRenderedPageBreak/>
        <w:t>The table presents the results of pairwise comparisons of student satisfaction across year levels for academic, non-academic, and overall satisfaction. The significant p-values in bold indicate where there are statistically significant differences in satisfaction between the year levels for each service category.</w:t>
      </w:r>
    </w:p>
    <w:p w14:paraId="379FB01C" w14:textId="279AF0DE" w:rsidR="00C23BD4" w:rsidRDefault="00073637">
      <w:pPr>
        <w:jc w:val="both"/>
        <w:rPr>
          <w:rFonts w:ascii="Arial" w:hAnsi="Arial" w:cs="Arial"/>
        </w:rPr>
      </w:pPr>
      <w:r>
        <w:rPr>
          <w:rFonts w:ascii="Arial" w:hAnsi="Arial" w:cs="Arial"/>
        </w:rPr>
        <w:t xml:space="preserve">This suggested that first-year students report higher satisfaction levels compared to their upper-year counterparts. These findings are consistent with the study by </w:t>
      </w:r>
      <w:r w:rsidR="0053708D">
        <w:rPr>
          <w:rFonts w:ascii="Arial" w:hAnsi="Arial" w:cs="Arial"/>
        </w:rPr>
        <w:t>García-</w:t>
      </w:r>
      <w:proofErr w:type="spellStart"/>
      <w:r w:rsidR="0053708D">
        <w:rPr>
          <w:rFonts w:ascii="Arial" w:hAnsi="Arial" w:cs="Arial"/>
        </w:rPr>
        <w:t>Aracil</w:t>
      </w:r>
      <w:proofErr w:type="spellEnd"/>
      <w:r w:rsidR="0053708D">
        <w:rPr>
          <w:rFonts w:ascii="Arial" w:hAnsi="Arial" w:cs="Arial"/>
        </w:rPr>
        <w:t xml:space="preserve"> &amp; </w:t>
      </w:r>
      <w:proofErr w:type="spellStart"/>
      <w:r w:rsidR="0053708D">
        <w:rPr>
          <w:rFonts w:ascii="Arial" w:hAnsi="Arial" w:cs="Arial"/>
        </w:rPr>
        <w:t>Palomares</w:t>
      </w:r>
      <w:proofErr w:type="spellEnd"/>
      <w:r w:rsidR="0053708D">
        <w:rPr>
          <w:rFonts w:ascii="Arial" w:hAnsi="Arial" w:cs="Arial"/>
        </w:rPr>
        <w:t>-Montero</w:t>
      </w:r>
      <w:r>
        <w:rPr>
          <w:rFonts w:ascii="Arial" w:hAnsi="Arial" w:cs="Arial"/>
        </w:rPr>
        <w:t xml:space="preserve"> (201</w:t>
      </w:r>
      <w:r w:rsidR="00A34FA2">
        <w:rPr>
          <w:rFonts w:ascii="Arial" w:hAnsi="Arial" w:cs="Arial"/>
        </w:rPr>
        <w:t>7</w:t>
      </w:r>
      <w:r>
        <w:rPr>
          <w:rFonts w:ascii="Arial" w:hAnsi="Arial" w:cs="Arial"/>
        </w:rPr>
        <w:t>), which found that freshmen often enter university with high expectations and enthusiasm about academic support services, but satisfaction tends to moderate or decline as students’ progress through their academic journey due to increasing academic demands and awareness of institutional limitations. Moreover, Lopez and Garcia (2020) emphasized that upper-year students develop a more critical perspective of academic services based on their prolonged engagement, which may explain the relatively lower satisfaction in later years observed in this study.</w:t>
      </w:r>
    </w:p>
    <w:p w14:paraId="0433FC8A" w14:textId="11B9829B" w:rsidR="00C23BD4" w:rsidRDefault="00073637">
      <w:pPr>
        <w:jc w:val="both"/>
        <w:rPr>
          <w:rFonts w:ascii="Arial" w:hAnsi="Arial" w:cs="Arial"/>
        </w:rPr>
      </w:pPr>
      <w:r>
        <w:rPr>
          <w:rFonts w:ascii="Arial" w:hAnsi="Arial" w:cs="Arial"/>
        </w:rPr>
        <w:t xml:space="preserve">Conversely, satisfaction with non-academic services did not show statistically significant differences across year levels, with p-values exceeding the typical significance threshold of 0.05. This aligns with Mendoza and Cruz’s (2019) research, which suggests that students generally perceive non-academic services, such as security, administrative, and maintenance support, as consistently stable throughout their academic tenure. The overall satisfaction differences reflect a similar pattern where first-year students report higher satisfaction compared to second-year students, p = 0.019, supporting the idea that initial university experiences strongly shape overall satisfaction levels. This finding concurs with </w:t>
      </w:r>
      <w:r w:rsidR="00181F64">
        <w:rPr>
          <w:rFonts w:ascii="Arial" w:hAnsi="Arial" w:cs="Arial"/>
        </w:rPr>
        <w:t>Gao</w:t>
      </w:r>
      <w:r>
        <w:rPr>
          <w:rFonts w:ascii="Arial" w:hAnsi="Arial" w:cs="Arial"/>
        </w:rPr>
        <w:t xml:space="preserve"> et al. (20</w:t>
      </w:r>
      <w:r w:rsidR="00181F64">
        <w:rPr>
          <w:rFonts w:ascii="Arial" w:hAnsi="Arial" w:cs="Arial"/>
        </w:rPr>
        <w:t>20</w:t>
      </w:r>
      <w:r>
        <w:rPr>
          <w:rFonts w:ascii="Arial" w:hAnsi="Arial" w:cs="Arial"/>
        </w:rPr>
        <w:t>), who noted that freshmen's initial experiences, both academic and non-academic, significantly influence their overall perception of the institution. These results underscore the importance of continuous engagement and service improvement across all years to maintain and enhance student satisfaction.</w:t>
      </w:r>
    </w:p>
    <w:p w14:paraId="596BEFDB" w14:textId="77777777" w:rsidR="00C23BD4" w:rsidRDefault="00073637">
      <w:pPr>
        <w:jc w:val="both"/>
        <w:rPr>
          <w:rFonts w:ascii="Arial" w:hAnsi="Arial" w:cs="Arial"/>
        </w:rPr>
      </w:pPr>
      <w:r>
        <w:rPr>
          <w:rFonts w:ascii="Arial" w:hAnsi="Arial" w:cs="Arial"/>
        </w:rPr>
        <w:t>In the overall satisfaction category, a significant difference was found between First Year and Second Year students, with a p-value of 0.019, meaning that overall satisfaction levels differ between these two groups. However, no significant differences were found between First Year and Third Year p-value of 0.142, or First Year and Fourth Year p-value of 0.899. Similarly, there were no significant differences between the second year and third year p-values of 0.909 and the second year and fourth year p-values of 0.166. These results suggest that while first-year students have significantly different overall satisfaction compared to second-year students, the overall satisfaction between other year groups remains similar.</w:t>
      </w:r>
    </w:p>
    <w:p w14:paraId="1CDD8777" w14:textId="77777777" w:rsidR="00C23BD4" w:rsidRDefault="00C23BD4">
      <w:pPr>
        <w:rPr>
          <w:rFonts w:ascii="Arial" w:hAnsi="Arial" w:cs="Arial"/>
          <w:b/>
          <w:bCs/>
        </w:rPr>
      </w:pPr>
    </w:p>
    <w:p w14:paraId="79A2B113" w14:textId="77777777" w:rsidR="00C23BD4" w:rsidRDefault="00C23BD4">
      <w:pPr>
        <w:pStyle w:val="Body"/>
        <w:spacing w:after="0"/>
        <w:rPr>
          <w:rFonts w:ascii="Arial" w:hAnsi="Arial" w:cs="Arial"/>
        </w:rPr>
      </w:pPr>
    </w:p>
    <w:p w14:paraId="717025BA" w14:textId="77777777" w:rsidR="00C23BD4" w:rsidRDefault="00073637">
      <w:pPr>
        <w:pStyle w:val="ConcHead"/>
        <w:spacing w:after="0"/>
        <w:jc w:val="both"/>
        <w:rPr>
          <w:rFonts w:ascii="Arial" w:hAnsi="Arial" w:cs="Arial"/>
        </w:rPr>
      </w:pPr>
      <w:r>
        <w:rPr>
          <w:rFonts w:ascii="Arial" w:hAnsi="Arial" w:cs="Arial"/>
        </w:rPr>
        <w:t>4. Conclusion</w:t>
      </w:r>
    </w:p>
    <w:p w14:paraId="76644C46" w14:textId="77777777" w:rsidR="00C23BD4" w:rsidRDefault="00C23BD4">
      <w:pPr>
        <w:pStyle w:val="ConcHead"/>
        <w:spacing w:after="0"/>
        <w:jc w:val="both"/>
        <w:rPr>
          <w:rFonts w:ascii="Arial" w:hAnsi="Arial" w:cs="Arial"/>
        </w:rPr>
      </w:pPr>
    </w:p>
    <w:p w14:paraId="00CF1571" w14:textId="77777777" w:rsidR="00C23BD4" w:rsidRDefault="00073637">
      <w:pPr>
        <w:jc w:val="both"/>
        <w:rPr>
          <w:rFonts w:ascii="Arial" w:hAnsi="Arial" w:cs="Arial"/>
          <w:bCs/>
        </w:rPr>
      </w:pPr>
      <w:r>
        <w:rPr>
          <w:rFonts w:ascii="Arial" w:hAnsi="Arial" w:cs="Arial"/>
          <w:bCs/>
        </w:rPr>
        <w:t xml:space="preserve">The study found out that students at Davao Oriental State University – </w:t>
      </w:r>
      <w:proofErr w:type="spellStart"/>
      <w:r>
        <w:rPr>
          <w:rFonts w:ascii="Arial" w:hAnsi="Arial" w:cs="Arial"/>
          <w:bCs/>
        </w:rPr>
        <w:t>Cateel</w:t>
      </w:r>
      <w:proofErr w:type="spellEnd"/>
      <w:r>
        <w:rPr>
          <w:rFonts w:ascii="Arial" w:hAnsi="Arial" w:cs="Arial"/>
          <w:bCs/>
        </w:rPr>
        <w:t xml:space="preserve"> Campus are generally highly satisfied with the academic services provided. Areas such as instructional practices, library services, and the enrollment process stood out with particularly strong ratings. Students appreciated how well-prepared their instructors were, the helpfulness of support staff, and the easy access to learning materials. Still, there were a few areas that could use attention, for example, integrating more critical thinking activities in lessons, ensuring textbooks are up-to-date, and making health checkups more consistent.</w:t>
      </w:r>
    </w:p>
    <w:p w14:paraId="237634D8" w14:textId="77777777" w:rsidR="00C23BD4" w:rsidRDefault="00C23BD4">
      <w:pPr>
        <w:jc w:val="both"/>
        <w:rPr>
          <w:rFonts w:ascii="Arial" w:hAnsi="Arial" w:cs="Arial"/>
          <w:bCs/>
        </w:rPr>
      </w:pPr>
    </w:p>
    <w:p w14:paraId="08D5FD11" w14:textId="77777777" w:rsidR="00C23BD4" w:rsidRDefault="00073637">
      <w:pPr>
        <w:jc w:val="both"/>
        <w:rPr>
          <w:rFonts w:ascii="Arial" w:hAnsi="Arial" w:cs="Arial"/>
          <w:bCs/>
        </w:rPr>
      </w:pPr>
      <w:r>
        <w:rPr>
          <w:rFonts w:ascii="Arial" w:hAnsi="Arial" w:cs="Arial"/>
          <w:bCs/>
        </w:rPr>
        <w:t>When it comes to non-academic services, students also reported a high level of satisfaction. They felt safe on campus, valued the efficiency of administrative processes, and found maintenance services reliable. Accounting services received good marks as well, although some students hoped for more transparency and modernized systems when handling financial transactions. These services may not be directly tied to academics, but they play a big part in creating a positive and less stressful learning environment.</w:t>
      </w:r>
    </w:p>
    <w:p w14:paraId="145A35CE" w14:textId="77777777" w:rsidR="00C23BD4" w:rsidRDefault="00C23BD4">
      <w:pPr>
        <w:jc w:val="both"/>
        <w:rPr>
          <w:rFonts w:ascii="Arial" w:hAnsi="Arial" w:cs="Arial"/>
          <w:bCs/>
        </w:rPr>
      </w:pPr>
    </w:p>
    <w:p w14:paraId="63CED9A4" w14:textId="77777777" w:rsidR="00C23BD4" w:rsidRDefault="00073637">
      <w:pPr>
        <w:jc w:val="both"/>
        <w:rPr>
          <w:rFonts w:ascii="Arial" w:hAnsi="Arial" w:cs="Arial"/>
          <w:bCs/>
        </w:rPr>
      </w:pPr>
      <w:r>
        <w:rPr>
          <w:rFonts w:ascii="Arial" w:hAnsi="Arial" w:cs="Arial"/>
          <w:bCs/>
        </w:rPr>
        <w:lastRenderedPageBreak/>
        <w:t xml:space="preserve">The research also looked at how satisfaction levels varied by course and year level, and it turns out they do. For example, upper-year students might care more about career services or lab access, while freshmen are more focused on enrollment and orientation. This shows that a one-size-fits-all approach doesn’t work, and the university would benefit from adapting some services to better fit the unique needs of students at different stages of their college journey. Both academic and non-academic services at the </w:t>
      </w:r>
      <w:proofErr w:type="spellStart"/>
      <w:r>
        <w:rPr>
          <w:rFonts w:ascii="Arial" w:hAnsi="Arial" w:cs="Arial"/>
          <w:bCs/>
        </w:rPr>
        <w:t>Cateel</w:t>
      </w:r>
      <w:proofErr w:type="spellEnd"/>
      <w:r>
        <w:rPr>
          <w:rFonts w:ascii="Arial" w:hAnsi="Arial" w:cs="Arial"/>
          <w:bCs/>
        </w:rPr>
        <w:t xml:space="preserve"> Campus are doing well in supporting students, as reflected in the high satisfaction ratings. But there’s always room to grow. By continuously improving and adapting its services, especially in areas where students see room for improvement, the university can further enrich the student experience, help students succeed, and encourage them to stay and thrive throughout their studies.</w:t>
      </w:r>
    </w:p>
    <w:p w14:paraId="11805ACF" w14:textId="77777777" w:rsidR="00C23BD4" w:rsidRDefault="00C23BD4">
      <w:pPr>
        <w:jc w:val="both"/>
        <w:rPr>
          <w:rFonts w:ascii="Arial" w:hAnsi="Arial" w:cs="Arial"/>
          <w:bCs/>
        </w:rPr>
      </w:pPr>
    </w:p>
    <w:p w14:paraId="066D4991" w14:textId="77777777" w:rsidR="00C23BD4" w:rsidRDefault="00C23BD4">
      <w:pPr>
        <w:jc w:val="both"/>
        <w:rPr>
          <w:rFonts w:ascii="Arial" w:hAnsi="Arial" w:cs="Arial"/>
          <w:bCs/>
        </w:rPr>
      </w:pPr>
    </w:p>
    <w:p w14:paraId="29ABE2D2" w14:textId="77777777" w:rsidR="00C23BD4" w:rsidRDefault="00073637">
      <w:pPr>
        <w:pStyle w:val="ReferHead"/>
        <w:spacing w:after="0"/>
        <w:jc w:val="both"/>
        <w:rPr>
          <w:rFonts w:ascii="Arial" w:hAnsi="Arial" w:cs="Arial"/>
          <w:bCs/>
        </w:rPr>
      </w:pPr>
      <w:r>
        <w:rPr>
          <w:rFonts w:ascii="Arial" w:hAnsi="Arial" w:cs="Arial"/>
          <w:bCs/>
        </w:rPr>
        <w:t>Ethical approval</w:t>
      </w:r>
    </w:p>
    <w:p w14:paraId="42294D08" w14:textId="77777777" w:rsidR="00C23BD4" w:rsidRDefault="00C23BD4">
      <w:pPr>
        <w:jc w:val="both"/>
        <w:rPr>
          <w:rFonts w:ascii="Arial" w:hAnsi="Arial" w:cs="Arial"/>
          <w:b/>
          <w:sz w:val="22"/>
          <w:szCs w:val="22"/>
        </w:rPr>
      </w:pPr>
    </w:p>
    <w:p w14:paraId="457D1555" w14:textId="3A877396" w:rsidR="00C23BD4" w:rsidRDefault="00073637">
      <w:pPr>
        <w:pStyle w:val="ReferHead"/>
        <w:spacing w:after="0"/>
        <w:jc w:val="both"/>
        <w:rPr>
          <w:rFonts w:ascii="Arial" w:hAnsi="Arial" w:cs="Arial"/>
          <w:b w:val="0"/>
          <w:caps w:val="0"/>
          <w:sz w:val="20"/>
        </w:rPr>
      </w:pPr>
      <w:r>
        <w:rPr>
          <w:rFonts w:ascii="Arial" w:hAnsi="Arial" w:cs="Arial"/>
          <w:b w:val="0"/>
          <w:sz w:val="20"/>
        </w:rPr>
        <w:t>E</w:t>
      </w:r>
      <w:r>
        <w:rPr>
          <w:rFonts w:ascii="Arial" w:hAnsi="Arial" w:cs="Arial"/>
          <w:b w:val="0"/>
          <w:caps w:val="0"/>
          <w:sz w:val="20"/>
        </w:rPr>
        <w:t xml:space="preserve">thical clearance was obtained from Davao Oriental State University - Research Ethics Board. </w:t>
      </w:r>
    </w:p>
    <w:p w14:paraId="0178809E" w14:textId="77777777" w:rsidR="00564361" w:rsidRDefault="00564361" w:rsidP="00564361">
      <w:pPr>
        <w:pStyle w:val="ReferHead"/>
        <w:jc w:val="both"/>
        <w:rPr>
          <w:rFonts w:ascii="Arial" w:hAnsi="Arial" w:cs="Arial"/>
          <w:b w:val="0"/>
          <w:caps w:val="0"/>
          <w:sz w:val="20"/>
        </w:rPr>
      </w:pPr>
    </w:p>
    <w:p w14:paraId="1BC9E084" w14:textId="4399E1CE" w:rsidR="00564361" w:rsidRPr="00564361" w:rsidRDefault="00564361" w:rsidP="00564361">
      <w:pPr>
        <w:pStyle w:val="ReferHead"/>
        <w:jc w:val="both"/>
        <w:rPr>
          <w:rFonts w:ascii="Arial" w:hAnsi="Arial" w:cs="Arial"/>
          <w:caps w:val="0"/>
          <w:sz w:val="20"/>
        </w:rPr>
      </w:pPr>
      <w:r w:rsidRPr="00564361">
        <w:rPr>
          <w:rFonts w:ascii="Arial" w:hAnsi="Arial" w:cs="Arial"/>
          <w:caps w:val="0"/>
          <w:sz w:val="20"/>
        </w:rPr>
        <w:t xml:space="preserve">Consent </w:t>
      </w:r>
    </w:p>
    <w:p w14:paraId="796A1E40" w14:textId="2AB6D86F" w:rsidR="00564361" w:rsidRDefault="00564361" w:rsidP="00564361">
      <w:pPr>
        <w:pStyle w:val="ReferHead"/>
        <w:spacing w:after="0"/>
        <w:jc w:val="both"/>
        <w:rPr>
          <w:rFonts w:ascii="Arial" w:hAnsi="Arial" w:cs="Arial"/>
          <w:b w:val="0"/>
          <w:caps w:val="0"/>
          <w:sz w:val="20"/>
        </w:rPr>
      </w:pPr>
      <w:r w:rsidRPr="00564361">
        <w:rPr>
          <w:rFonts w:ascii="Arial" w:hAnsi="Arial" w:cs="Arial"/>
          <w:b w:val="0"/>
          <w:caps w:val="0"/>
          <w:sz w:val="20"/>
        </w:rPr>
        <w:t>As per international standards or university standards, respondents’ written consent has been collected and preserved by the author(s).</w:t>
      </w:r>
    </w:p>
    <w:p w14:paraId="4B4297B3" w14:textId="77777777" w:rsidR="00C14412" w:rsidRDefault="00C14412">
      <w:pPr>
        <w:pStyle w:val="ReferHead"/>
        <w:spacing w:after="0"/>
        <w:jc w:val="both"/>
        <w:rPr>
          <w:rFonts w:ascii="Arial" w:hAnsi="Arial" w:cs="Arial"/>
          <w:b w:val="0"/>
          <w:caps w:val="0"/>
          <w:sz w:val="20"/>
        </w:rPr>
      </w:pPr>
    </w:p>
    <w:p w14:paraId="73FBB388" w14:textId="77777777" w:rsidR="00C14412" w:rsidRDefault="00C14412">
      <w:pPr>
        <w:pStyle w:val="ReferHead"/>
        <w:spacing w:after="0"/>
        <w:jc w:val="both"/>
        <w:rPr>
          <w:rFonts w:ascii="Arial" w:hAnsi="Arial" w:cs="Arial"/>
          <w:b w:val="0"/>
          <w:caps w:val="0"/>
          <w:sz w:val="20"/>
        </w:rPr>
      </w:pPr>
    </w:p>
    <w:p w14:paraId="75FBE62A" w14:textId="2A388737" w:rsidR="00F95197" w:rsidRPr="00F95197" w:rsidRDefault="00F83BC6" w:rsidP="00F95197">
      <w:pPr>
        <w:spacing w:after="200" w:line="276" w:lineRule="auto"/>
        <w:jc w:val="both"/>
        <w:rPr>
          <w:rFonts w:ascii="Arial" w:eastAsiaTheme="minorEastAsia" w:hAnsi="Arial" w:cs="Arial"/>
          <w:b/>
          <w:bCs/>
          <w:sz w:val="22"/>
          <w:szCs w:val="22"/>
          <w:lang w:val="en-GB" w:eastAsia="en-GB"/>
        </w:rPr>
      </w:pPr>
      <w:r w:rsidRPr="00F95197">
        <w:rPr>
          <w:rFonts w:ascii="Arial" w:eastAsiaTheme="minorEastAsia" w:hAnsi="Arial" w:cs="Arial"/>
          <w:b/>
          <w:bCs/>
          <w:sz w:val="22"/>
          <w:szCs w:val="22"/>
          <w:lang w:val="en-GB" w:eastAsia="en-GB"/>
        </w:rPr>
        <w:t>DISCLAIMER (</w:t>
      </w:r>
      <w:r w:rsidR="008C0005" w:rsidRPr="00F95197">
        <w:rPr>
          <w:rFonts w:ascii="Arial" w:eastAsiaTheme="minorEastAsia" w:hAnsi="Arial" w:cs="Arial"/>
          <w:b/>
          <w:bCs/>
          <w:sz w:val="22"/>
          <w:szCs w:val="22"/>
          <w:lang w:val="en-GB" w:eastAsia="en-GB"/>
        </w:rPr>
        <w:t>AI USAGE)</w:t>
      </w:r>
    </w:p>
    <w:p w14:paraId="5BB9D483" w14:textId="77777777" w:rsidR="00F95197" w:rsidRDefault="00F95197" w:rsidP="00F95197">
      <w:pPr>
        <w:spacing w:after="200" w:line="276" w:lineRule="auto"/>
        <w:jc w:val="both"/>
        <w:rPr>
          <w:rFonts w:ascii="Arial" w:eastAsiaTheme="minorEastAsia" w:hAnsi="Arial" w:cs="Arial"/>
          <w:lang w:val="en-GB" w:eastAsia="en-GB"/>
        </w:rPr>
      </w:pPr>
      <w:r w:rsidRPr="00F95197">
        <w:rPr>
          <w:rFonts w:ascii="Arial" w:eastAsiaTheme="minorEastAsia" w:hAnsi="Arial" w:cs="Arial"/>
          <w:lang w:val="en-GB" w:eastAsia="en-GB"/>
        </w:rPr>
        <w:t xml:space="preserve">The author(s) hereby declare that no generative AI technologies (such as Large Language Models like </w:t>
      </w:r>
      <w:proofErr w:type="spellStart"/>
      <w:r w:rsidRPr="00F95197">
        <w:rPr>
          <w:rFonts w:ascii="Arial" w:eastAsiaTheme="minorEastAsia" w:hAnsi="Arial" w:cs="Arial"/>
          <w:lang w:val="en-GB" w:eastAsia="en-GB"/>
        </w:rPr>
        <w:t>ChatGPT</w:t>
      </w:r>
      <w:proofErr w:type="spellEnd"/>
      <w:r w:rsidRPr="00F95197">
        <w:rPr>
          <w:rFonts w:ascii="Arial" w:eastAsiaTheme="minorEastAsia" w:hAnsi="Arial" w:cs="Arial"/>
          <w:lang w:val="en-GB" w:eastAsia="en-GB"/>
        </w:rPr>
        <w:t xml:space="preserve">, </w:t>
      </w:r>
      <w:proofErr w:type="spellStart"/>
      <w:r w:rsidRPr="00F95197">
        <w:rPr>
          <w:rFonts w:ascii="Arial" w:eastAsiaTheme="minorEastAsia" w:hAnsi="Arial" w:cs="Arial"/>
          <w:lang w:val="en-GB" w:eastAsia="en-GB"/>
        </w:rPr>
        <w:t>Copilot</w:t>
      </w:r>
      <w:proofErr w:type="spellEnd"/>
      <w:r w:rsidRPr="00F95197">
        <w:rPr>
          <w:rFonts w:ascii="Arial" w:eastAsiaTheme="minorEastAsia" w:hAnsi="Arial" w:cs="Arial"/>
          <w:lang w:val="en-GB" w:eastAsia="en-GB"/>
        </w:rPr>
        <w:t>, or any text-to-image generators) were used during the writing or editing of this manuscript.</w:t>
      </w:r>
    </w:p>
    <w:p w14:paraId="68CB5191" w14:textId="66ABD13B" w:rsidR="001B5533" w:rsidRPr="005D1FEF" w:rsidRDefault="00B92A63" w:rsidP="005D1FEF">
      <w:pPr>
        <w:spacing w:after="200" w:line="276" w:lineRule="auto"/>
        <w:jc w:val="both"/>
        <w:rPr>
          <w:rFonts w:ascii="Arial" w:eastAsiaTheme="minorEastAsia" w:hAnsi="Arial" w:cs="Arial"/>
          <w:b/>
          <w:bCs/>
          <w:lang w:val="en-GB" w:eastAsia="en-GB"/>
        </w:rPr>
      </w:pPr>
      <w:r>
        <w:rPr>
          <w:rFonts w:ascii="Arial" w:eastAsiaTheme="minorEastAsia" w:hAnsi="Arial" w:cs="Arial"/>
          <w:b/>
          <w:bCs/>
          <w:lang w:val="en-GB" w:eastAsia="en-GB"/>
        </w:rPr>
        <w:t>REFE</w:t>
      </w:r>
      <w:r w:rsidR="00702BE5">
        <w:rPr>
          <w:rFonts w:ascii="Arial" w:eastAsiaTheme="minorEastAsia" w:hAnsi="Arial" w:cs="Arial"/>
          <w:b/>
          <w:bCs/>
          <w:lang w:val="en-GB" w:eastAsia="en-GB"/>
        </w:rPr>
        <w:t>RENCE</w:t>
      </w:r>
      <w:r w:rsidR="00461304" w:rsidRPr="00CE00EC">
        <w:rPr>
          <w:rFonts w:ascii="Arial" w:eastAsia="Book Antiqua" w:hAnsi="Arial" w:cs="Arial"/>
          <w:color w:val="000000" w:themeColor="text1"/>
          <w:highlight w:val="red"/>
          <w:lang w:val="en-PH"/>
        </w:rPr>
        <w:t xml:space="preserve"> </w:t>
      </w:r>
    </w:p>
    <w:p w14:paraId="5B051CA3"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Alabi, A. O., &amp; Bakare, F. B. (2019). Book availability and performance measure in an academic library: The case of the Walter Sisulu University. </w:t>
      </w:r>
      <w:r w:rsidRPr="005D1FEF">
        <w:rPr>
          <w:rStyle w:val="Emphasis"/>
          <w:rFonts w:ascii="Arial" w:hAnsi="Arial" w:cs="Arial"/>
          <w:sz w:val="20"/>
          <w:szCs w:val="20"/>
        </w:rPr>
        <w:t>Library Philosophy and Practice.</w:t>
      </w:r>
      <w:r w:rsidRPr="005D1FEF">
        <w:rPr>
          <w:rFonts w:ascii="Arial" w:hAnsi="Arial" w:cs="Arial"/>
          <w:sz w:val="20"/>
          <w:szCs w:val="20"/>
        </w:rPr>
        <w:t xml:space="preserve"> </w:t>
      </w:r>
      <w:hyperlink r:id="rId15" w:history="1">
        <w:r w:rsidRPr="00B739AC">
          <w:rPr>
            <w:rStyle w:val="Hyperlink"/>
            <w:rFonts w:ascii="Arial" w:hAnsi="Arial" w:cs="Arial"/>
            <w:color w:val="000000" w:themeColor="text1"/>
            <w:sz w:val="20"/>
            <w:szCs w:val="20"/>
            <w:u w:val="none"/>
          </w:rPr>
          <w:t>https://digitalcommons.unl.edu/libphilprac/454/</w:t>
        </w:r>
      </w:hyperlink>
    </w:p>
    <w:p w14:paraId="63EB549D" w14:textId="70D1994C" w:rsidR="00703010" w:rsidRPr="00A6477E" w:rsidRDefault="00703010" w:rsidP="00A6477E">
      <w:pPr>
        <w:pStyle w:val="NormalWeb"/>
        <w:numPr>
          <w:ilvl w:val="0"/>
          <w:numId w:val="4"/>
        </w:numPr>
        <w:divId w:val="1979872208"/>
        <w:rPr>
          <w:rFonts w:ascii="Arial" w:hAnsi="Arial" w:cs="Arial"/>
          <w:sz w:val="20"/>
          <w:szCs w:val="20"/>
        </w:rPr>
      </w:pPr>
      <w:bookmarkStart w:id="17" w:name="_GoBack"/>
      <w:bookmarkEnd w:id="17"/>
      <w:proofErr w:type="spellStart"/>
      <w:r>
        <w:rPr>
          <w:rFonts w:ascii="Arial" w:hAnsi="Arial" w:cs="Arial"/>
          <w:sz w:val="20"/>
          <w:szCs w:val="20"/>
        </w:rPr>
        <w:t>Almaiah</w:t>
      </w:r>
      <w:proofErr w:type="spellEnd"/>
      <w:r>
        <w:rPr>
          <w:rFonts w:ascii="Arial" w:hAnsi="Arial" w:cs="Arial"/>
          <w:sz w:val="20"/>
          <w:szCs w:val="20"/>
        </w:rPr>
        <w:t>, M. A., Al-</w:t>
      </w:r>
      <w:proofErr w:type="spellStart"/>
      <w:r>
        <w:rPr>
          <w:rFonts w:ascii="Arial" w:hAnsi="Arial" w:cs="Arial"/>
          <w:sz w:val="20"/>
          <w:szCs w:val="20"/>
        </w:rPr>
        <w:t>Khasawneh</w:t>
      </w:r>
      <w:proofErr w:type="spellEnd"/>
      <w:r>
        <w:rPr>
          <w:rFonts w:ascii="Arial" w:hAnsi="Arial" w:cs="Arial"/>
          <w:sz w:val="20"/>
          <w:szCs w:val="20"/>
        </w:rPr>
        <w:t xml:space="preserve">, A., &amp; </w:t>
      </w:r>
      <w:proofErr w:type="spellStart"/>
      <w:r>
        <w:rPr>
          <w:rFonts w:ascii="Arial" w:hAnsi="Arial" w:cs="Arial"/>
          <w:sz w:val="20"/>
          <w:szCs w:val="20"/>
        </w:rPr>
        <w:t>Althunibat</w:t>
      </w:r>
      <w:proofErr w:type="spellEnd"/>
      <w:r>
        <w:rPr>
          <w:rFonts w:ascii="Arial" w:hAnsi="Arial" w:cs="Arial"/>
          <w:sz w:val="20"/>
          <w:szCs w:val="20"/>
        </w:rPr>
        <w:t>, A. (2020). Exploring the critical challenges and factors influencing the e-learning system usage during COVID-19 pandemic. Education and Information Technologies, 25(6), 5261–5280. https://doi.org/10.1007/s10639-020-10219-y</w:t>
      </w:r>
    </w:p>
    <w:p w14:paraId="241F4E2A"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Creswell, J. W. (2014). </w:t>
      </w:r>
      <w:r w:rsidRPr="005D1FEF">
        <w:rPr>
          <w:rStyle w:val="Emphasis"/>
          <w:rFonts w:ascii="Arial" w:hAnsi="Arial" w:cs="Arial"/>
          <w:sz w:val="20"/>
          <w:szCs w:val="20"/>
        </w:rPr>
        <w:t>Research design: Qualitative, quantitative, and mixed methods approaches</w:t>
      </w:r>
      <w:r w:rsidRPr="005D1FEF">
        <w:rPr>
          <w:rFonts w:ascii="Arial" w:hAnsi="Arial" w:cs="Arial"/>
          <w:sz w:val="20"/>
          <w:szCs w:val="20"/>
        </w:rPr>
        <w:t xml:space="preserve"> (4th ed.). Sage Publications.</w:t>
      </w:r>
    </w:p>
    <w:p w14:paraId="60065661"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Elliot, K. M., &amp; Healy, M. A. (2019). Key factors influencing student satisfaction related to recruitment and retention. </w:t>
      </w:r>
      <w:r w:rsidRPr="005D1FEF">
        <w:rPr>
          <w:rStyle w:val="Emphasis"/>
          <w:rFonts w:ascii="Arial" w:hAnsi="Arial" w:cs="Arial"/>
          <w:sz w:val="20"/>
          <w:szCs w:val="20"/>
        </w:rPr>
        <w:t>Journal of Marketing for Higher Education, 10</w:t>
      </w:r>
      <w:r w:rsidRPr="005D1FEF">
        <w:rPr>
          <w:rFonts w:ascii="Arial" w:hAnsi="Arial" w:cs="Arial"/>
          <w:sz w:val="20"/>
          <w:szCs w:val="20"/>
        </w:rPr>
        <w:t xml:space="preserve">(4), 1–11. </w:t>
      </w:r>
      <w:hyperlink r:id="rId16" w:history="1">
        <w:r w:rsidRPr="00C12753">
          <w:rPr>
            <w:rStyle w:val="Hyperlink"/>
            <w:rFonts w:ascii="Arial" w:hAnsi="Arial" w:cs="Arial"/>
            <w:color w:val="000000" w:themeColor="text1"/>
            <w:sz w:val="20"/>
            <w:szCs w:val="20"/>
            <w:u w:val="none"/>
          </w:rPr>
          <w:t>https://doi.org/10.1300/J050v10n04_01</w:t>
        </w:r>
      </w:hyperlink>
    </w:p>
    <w:p w14:paraId="6E2CBF1F"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Gay, L. R., Mills, G. E., &amp; </w:t>
      </w:r>
      <w:proofErr w:type="spellStart"/>
      <w:r w:rsidRPr="005D1FEF">
        <w:rPr>
          <w:rFonts w:ascii="Arial" w:hAnsi="Arial" w:cs="Arial"/>
          <w:sz w:val="20"/>
          <w:szCs w:val="20"/>
        </w:rPr>
        <w:t>Airasian</w:t>
      </w:r>
      <w:proofErr w:type="spellEnd"/>
      <w:r w:rsidRPr="005D1FEF">
        <w:rPr>
          <w:rFonts w:ascii="Arial" w:hAnsi="Arial" w:cs="Arial"/>
          <w:sz w:val="20"/>
          <w:szCs w:val="20"/>
        </w:rPr>
        <w:t xml:space="preserve">, P. (2012). </w:t>
      </w:r>
      <w:r w:rsidRPr="005D1FEF">
        <w:rPr>
          <w:rStyle w:val="Emphasis"/>
          <w:rFonts w:ascii="Arial" w:hAnsi="Arial" w:cs="Arial"/>
          <w:sz w:val="20"/>
          <w:szCs w:val="20"/>
        </w:rPr>
        <w:t>Educational research: Competencies for analysis and applications</w:t>
      </w:r>
      <w:r w:rsidRPr="005D1FEF">
        <w:rPr>
          <w:rFonts w:ascii="Arial" w:hAnsi="Arial" w:cs="Arial"/>
          <w:sz w:val="20"/>
          <w:szCs w:val="20"/>
        </w:rPr>
        <w:t xml:space="preserve"> (10th ed.). Pearson Education.</w:t>
      </w:r>
    </w:p>
    <w:p w14:paraId="45ACFA14" w14:textId="77777777" w:rsidR="001B5533" w:rsidRPr="005D1FEF" w:rsidRDefault="001B5533" w:rsidP="001B5533">
      <w:pPr>
        <w:pStyle w:val="NormalWeb"/>
        <w:numPr>
          <w:ilvl w:val="0"/>
          <w:numId w:val="4"/>
        </w:numPr>
        <w:divId w:val="1979872208"/>
        <w:rPr>
          <w:rFonts w:ascii="Arial" w:hAnsi="Arial" w:cs="Arial"/>
          <w:sz w:val="20"/>
          <w:szCs w:val="20"/>
        </w:rPr>
      </w:pPr>
      <w:proofErr w:type="spellStart"/>
      <w:r w:rsidRPr="005D1FEF">
        <w:rPr>
          <w:rFonts w:ascii="Arial" w:hAnsi="Arial" w:cs="Arial"/>
          <w:sz w:val="20"/>
          <w:szCs w:val="20"/>
        </w:rPr>
        <w:t>Gocotano</w:t>
      </w:r>
      <w:proofErr w:type="spellEnd"/>
      <w:r w:rsidRPr="005D1FEF">
        <w:rPr>
          <w:rFonts w:ascii="Arial" w:hAnsi="Arial" w:cs="Arial"/>
          <w:sz w:val="20"/>
          <w:szCs w:val="20"/>
        </w:rPr>
        <w:t xml:space="preserve">, T. E., Jerod </w:t>
      </w:r>
      <w:proofErr w:type="spellStart"/>
      <w:r w:rsidRPr="005D1FEF">
        <w:rPr>
          <w:rFonts w:ascii="Arial" w:hAnsi="Arial" w:cs="Arial"/>
          <w:sz w:val="20"/>
          <w:szCs w:val="20"/>
        </w:rPr>
        <w:t>Iaz</w:t>
      </w:r>
      <w:proofErr w:type="spellEnd"/>
      <w:r w:rsidRPr="005D1FEF">
        <w:rPr>
          <w:rFonts w:ascii="Arial" w:hAnsi="Arial" w:cs="Arial"/>
          <w:sz w:val="20"/>
          <w:szCs w:val="20"/>
        </w:rPr>
        <w:t xml:space="preserve">, M. A. L., </w:t>
      </w:r>
      <w:proofErr w:type="spellStart"/>
      <w:r w:rsidRPr="005D1FEF">
        <w:rPr>
          <w:rFonts w:ascii="Arial" w:hAnsi="Arial" w:cs="Arial"/>
          <w:sz w:val="20"/>
          <w:szCs w:val="20"/>
        </w:rPr>
        <w:t>Banggay</w:t>
      </w:r>
      <w:proofErr w:type="spellEnd"/>
      <w:r w:rsidRPr="005D1FEF">
        <w:rPr>
          <w:rFonts w:ascii="Arial" w:hAnsi="Arial" w:cs="Arial"/>
          <w:sz w:val="20"/>
          <w:szCs w:val="20"/>
        </w:rPr>
        <w:t xml:space="preserve">, J. C. P., </w:t>
      </w:r>
      <w:proofErr w:type="spellStart"/>
      <w:r w:rsidRPr="005D1FEF">
        <w:rPr>
          <w:rFonts w:ascii="Arial" w:hAnsi="Arial" w:cs="Arial"/>
          <w:sz w:val="20"/>
          <w:szCs w:val="20"/>
        </w:rPr>
        <w:t>Nasibog</w:t>
      </w:r>
      <w:proofErr w:type="spellEnd"/>
      <w:r w:rsidRPr="005D1FEF">
        <w:rPr>
          <w:rFonts w:ascii="Arial" w:hAnsi="Arial" w:cs="Arial"/>
          <w:sz w:val="20"/>
          <w:szCs w:val="20"/>
        </w:rPr>
        <w:t xml:space="preserve">, H. B. R., &amp; Go, M. B. (2021). Higher education students’ challenges on flexible online learning implementation in rural areas: A Philippine case. </w:t>
      </w:r>
      <w:r w:rsidRPr="005D1FEF">
        <w:rPr>
          <w:rStyle w:val="Emphasis"/>
          <w:rFonts w:ascii="Arial" w:hAnsi="Arial" w:cs="Arial"/>
          <w:sz w:val="20"/>
          <w:szCs w:val="20"/>
        </w:rPr>
        <w:t>International Journal of Learning, Teaching and Educational Research, 20</w:t>
      </w:r>
      <w:r w:rsidRPr="005D1FEF">
        <w:rPr>
          <w:rFonts w:ascii="Arial" w:hAnsi="Arial" w:cs="Arial"/>
          <w:sz w:val="20"/>
          <w:szCs w:val="20"/>
        </w:rPr>
        <w:t xml:space="preserve">(7), 262–290. </w:t>
      </w:r>
      <w:hyperlink r:id="rId17" w:history="1">
        <w:r w:rsidRPr="00C12753">
          <w:rPr>
            <w:rStyle w:val="Hyperlink"/>
            <w:rFonts w:ascii="Arial" w:hAnsi="Arial" w:cs="Arial"/>
            <w:color w:val="000000" w:themeColor="text1"/>
            <w:sz w:val="20"/>
            <w:szCs w:val="20"/>
            <w:u w:val="none"/>
          </w:rPr>
          <w:t>https://doi.org/10.26803/ijlter.20.7.15</w:t>
        </w:r>
      </w:hyperlink>
    </w:p>
    <w:p w14:paraId="1E0AE235" w14:textId="77777777" w:rsidR="001B5533" w:rsidRPr="005D1FEF" w:rsidRDefault="001B5533" w:rsidP="001B5533">
      <w:pPr>
        <w:pStyle w:val="NormalWeb"/>
        <w:numPr>
          <w:ilvl w:val="0"/>
          <w:numId w:val="4"/>
        </w:numPr>
        <w:divId w:val="1979872208"/>
        <w:rPr>
          <w:rFonts w:ascii="Arial" w:hAnsi="Arial" w:cs="Arial"/>
          <w:sz w:val="20"/>
          <w:szCs w:val="20"/>
        </w:rPr>
      </w:pPr>
      <w:proofErr w:type="spellStart"/>
      <w:r w:rsidRPr="005D1FEF">
        <w:rPr>
          <w:rFonts w:ascii="Arial" w:hAnsi="Arial" w:cs="Arial"/>
          <w:sz w:val="20"/>
          <w:szCs w:val="20"/>
        </w:rPr>
        <w:lastRenderedPageBreak/>
        <w:t>Kahu</w:t>
      </w:r>
      <w:proofErr w:type="spellEnd"/>
      <w:r w:rsidRPr="005D1FEF">
        <w:rPr>
          <w:rFonts w:ascii="Arial" w:hAnsi="Arial" w:cs="Arial"/>
          <w:sz w:val="20"/>
          <w:szCs w:val="20"/>
        </w:rPr>
        <w:t xml:space="preserve">, E. R., &amp; Nelson, K. (2018). Student engagement in the educational interface: Understanding the mechanisms of student success. </w:t>
      </w:r>
      <w:r w:rsidRPr="005D1FEF">
        <w:rPr>
          <w:rStyle w:val="Emphasis"/>
          <w:rFonts w:ascii="Arial" w:hAnsi="Arial" w:cs="Arial"/>
          <w:sz w:val="20"/>
          <w:szCs w:val="20"/>
        </w:rPr>
        <w:t>Higher Education Research &amp; Development, 37</w:t>
      </w:r>
      <w:r w:rsidRPr="005D1FEF">
        <w:rPr>
          <w:rFonts w:ascii="Arial" w:hAnsi="Arial" w:cs="Arial"/>
          <w:sz w:val="20"/>
          <w:szCs w:val="20"/>
        </w:rPr>
        <w:t xml:space="preserve">(1), 58–71. </w:t>
      </w:r>
      <w:hyperlink r:id="rId18" w:history="1">
        <w:r w:rsidRPr="00C12753">
          <w:rPr>
            <w:rStyle w:val="Hyperlink"/>
            <w:rFonts w:ascii="Arial" w:hAnsi="Arial" w:cs="Arial"/>
            <w:color w:val="000000" w:themeColor="text1"/>
            <w:sz w:val="20"/>
            <w:szCs w:val="20"/>
            <w:u w:val="none"/>
          </w:rPr>
          <w:t>https://doi.org/10.1080/07294360.2017.1344197</w:t>
        </w:r>
      </w:hyperlink>
    </w:p>
    <w:p w14:paraId="4342B11E"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Letcher, D. W., &amp; Neves, J. S. (2017). Determinants of undergraduate business student satisfaction. </w:t>
      </w:r>
      <w:r w:rsidRPr="005D1FEF">
        <w:rPr>
          <w:rStyle w:val="Emphasis"/>
          <w:rFonts w:ascii="Arial" w:hAnsi="Arial" w:cs="Arial"/>
          <w:sz w:val="20"/>
          <w:szCs w:val="20"/>
        </w:rPr>
        <w:t>Research in Higher Education Journal, 29,</w:t>
      </w:r>
      <w:r w:rsidRPr="005D1FEF">
        <w:rPr>
          <w:rFonts w:ascii="Arial" w:hAnsi="Arial" w:cs="Arial"/>
          <w:sz w:val="20"/>
          <w:szCs w:val="20"/>
        </w:rPr>
        <w:t xml:space="preserve"> 1–26. </w:t>
      </w:r>
      <w:hyperlink r:id="rId19" w:history="1">
        <w:r w:rsidRPr="00DC56A1">
          <w:rPr>
            <w:rStyle w:val="Hyperlink"/>
            <w:rFonts w:ascii="Arial" w:hAnsi="Arial" w:cs="Arial"/>
            <w:color w:val="000000" w:themeColor="text1"/>
            <w:sz w:val="20"/>
            <w:szCs w:val="20"/>
            <w:u w:val="none"/>
          </w:rPr>
          <w:t>https://www.aabri.com/manuscripts/162574.pdf</w:t>
        </w:r>
      </w:hyperlink>
    </w:p>
    <w:p w14:paraId="4E96BF32" w14:textId="77777777" w:rsidR="00385476" w:rsidRPr="00385476" w:rsidRDefault="00385476" w:rsidP="001B5533">
      <w:pPr>
        <w:pStyle w:val="NormalWeb"/>
        <w:numPr>
          <w:ilvl w:val="0"/>
          <w:numId w:val="4"/>
        </w:numPr>
        <w:divId w:val="1979872208"/>
        <w:rPr>
          <w:rFonts w:ascii="Arial" w:hAnsi="Arial" w:cs="Arial"/>
          <w:color w:val="000000" w:themeColor="text1"/>
          <w:sz w:val="20"/>
          <w:szCs w:val="20"/>
        </w:rPr>
      </w:pPr>
      <w:proofErr w:type="spellStart"/>
      <w:r w:rsidRPr="00385476">
        <w:rPr>
          <w:rFonts w:ascii="Arial" w:hAnsi="Arial" w:cs="Arial"/>
          <w:color w:val="000000" w:themeColor="text1"/>
          <w:sz w:val="20"/>
          <w:szCs w:val="20"/>
        </w:rPr>
        <w:t>Sarsale</w:t>
      </w:r>
      <w:proofErr w:type="spellEnd"/>
      <w:r w:rsidRPr="00385476">
        <w:rPr>
          <w:rFonts w:ascii="Arial" w:hAnsi="Arial" w:cs="Arial"/>
          <w:color w:val="000000" w:themeColor="text1"/>
          <w:sz w:val="20"/>
          <w:szCs w:val="20"/>
        </w:rPr>
        <w:t xml:space="preserve">, M. S. (2020). Exploring quality of student services of a </w:t>
      </w:r>
      <w:proofErr w:type="spellStart"/>
      <w:r w:rsidRPr="00385476">
        <w:rPr>
          <w:rFonts w:ascii="Arial" w:hAnsi="Arial" w:cs="Arial"/>
          <w:color w:val="000000" w:themeColor="text1"/>
          <w:sz w:val="20"/>
          <w:szCs w:val="20"/>
        </w:rPr>
        <w:t>philippine</w:t>
      </w:r>
      <w:proofErr w:type="spellEnd"/>
      <w:r w:rsidRPr="00385476">
        <w:rPr>
          <w:rFonts w:ascii="Arial" w:hAnsi="Arial" w:cs="Arial"/>
          <w:color w:val="000000" w:themeColor="text1"/>
          <w:sz w:val="20"/>
          <w:szCs w:val="20"/>
        </w:rPr>
        <w:t xml:space="preserve"> state university satellite campus using </w:t>
      </w:r>
      <w:proofErr w:type="spellStart"/>
      <w:r w:rsidRPr="00385476">
        <w:rPr>
          <w:rFonts w:ascii="Arial" w:hAnsi="Arial" w:cs="Arial"/>
          <w:color w:val="000000" w:themeColor="text1"/>
          <w:sz w:val="20"/>
          <w:szCs w:val="20"/>
        </w:rPr>
        <w:t>servqual</w:t>
      </w:r>
      <w:proofErr w:type="spellEnd"/>
      <w:r w:rsidRPr="00385476">
        <w:rPr>
          <w:rFonts w:ascii="Arial" w:hAnsi="Arial" w:cs="Arial"/>
          <w:color w:val="000000" w:themeColor="text1"/>
          <w:sz w:val="20"/>
          <w:szCs w:val="20"/>
        </w:rPr>
        <w:t xml:space="preserve"> and service improvement matrix. MOJEM: Malaysian Online Journal of Educational Management, 8(2), 59-71. </w:t>
      </w:r>
    </w:p>
    <w:p w14:paraId="1EC3D302" w14:textId="32F3D09C" w:rsidR="001B5533" w:rsidRPr="005D1FEF" w:rsidRDefault="001B5533" w:rsidP="001B5533">
      <w:pPr>
        <w:pStyle w:val="NormalWeb"/>
        <w:numPr>
          <w:ilvl w:val="0"/>
          <w:numId w:val="4"/>
        </w:numPr>
        <w:divId w:val="1979872208"/>
        <w:rPr>
          <w:rFonts w:ascii="Arial" w:hAnsi="Arial" w:cs="Arial"/>
          <w:sz w:val="20"/>
          <w:szCs w:val="20"/>
        </w:rPr>
      </w:pPr>
      <w:proofErr w:type="spellStart"/>
      <w:r w:rsidRPr="005D1FEF">
        <w:rPr>
          <w:rFonts w:ascii="Arial" w:hAnsi="Arial" w:cs="Arial"/>
          <w:sz w:val="20"/>
          <w:szCs w:val="20"/>
        </w:rPr>
        <w:t>Oanh</w:t>
      </w:r>
      <w:proofErr w:type="spellEnd"/>
      <w:r w:rsidRPr="005D1FEF">
        <w:rPr>
          <w:rFonts w:ascii="Arial" w:hAnsi="Arial" w:cs="Arial"/>
          <w:sz w:val="20"/>
          <w:szCs w:val="20"/>
        </w:rPr>
        <w:t xml:space="preserve">, D. T. K. (2020). The value of lecturer-student interaction on learning satisfaction. </w:t>
      </w:r>
      <w:r w:rsidRPr="005D1FEF">
        <w:rPr>
          <w:rStyle w:val="Emphasis"/>
          <w:rFonts w:ascii="Arial" w:hAnsi="Arial" w:cs="Arial"/>
          <w:sz w:val="20"/>
          <w:szCs w:val="20"/>
        </w:rPr>
        <w:t>Journal of Classroom Engagement, 14</w:t>
      </w:r>
      <w:r w:rsidRPr="005D1FEF">
        <w:rPr>
          <w:rFonts w:ascii="Arial" w:hAnsi="Arial" w:cs="Arial"/>
          <w:sz w:val="20"/>
          <w:szCs w:val="20"/>
        </w:rPr>
        <w:t>(3), 56–70.</w:t>
      </w:r>
    </w:p>
    <w:p w14:paraId="23E9CECE" w14:textId="33C5CA52" w:rsidR="00B925CA" w:rsidRPr="00B925CA" w:rsidRDefault="00B925CA" w:rsidP="00B925CA">
      <w:pPr>
        <w:pStyle w:val="NormalWeb"/>
        <w:numPr>
          <w:ilvl w:val="0"/>
          <w:numId w:val="4"/>
        </w:numPr>
        <w:divId w:val="1979872208"/>
        <w:rPr>
          <w:rFonts w:ascii="Arial" w:hAnsi="Arial" w:cs="Arial"/>
          <w:sz w:val="20"/>
          <w:szCs w:val="20"/>
        </w:rPr>
      </w:pPr>
      <w:r>
        <w:rPr>
          <w:rFonts w:ascii="Arial" w:hAnsi="Arial" w:cs="Arial"/>
          <w:sz w:val="20"/>
          <w:szCs w:val="20"/>
        </w:rPr>
        <w:t xml:space="preserve">Patience, N., &amp; </w:t>
      </w:r>
      <w:proofErr w:type="spellStart"/>
      <w:r>
        <w:rPr>
          <w:rFonts w:ascii="Arial" w:hAnsi="Arial" w:cs="Arial"/>
          <w:sz w:val="20"/>
          <w:szCs w:val="20"/>
        </w:rPr>
        <w:t>Kabwe</w:t>
      </w:r>
      <w:proofErr w:type="spellEnd"/>
      <w:r>
        <w:rPr>
          <w:rFonts w:ascii="Arial" w:hAnsi="Arial" w:cs="Arial"/>
          <w:sz w:val="20"/>
          <w:szCs w:val="20"/>
        </w:rPr>
        <w:t>, C. (2018). Student satisfaction as a measure of quality library services provided by the University of Zambia. Journal of Education and Practice, 9(20), 94–101. https://www.researchgate.net/publication/</w:t>
      </w:r>
    </w:p>
    <w:p w14:paraId="5F5C4A7B" w14:textId="77777777" w:rsidR="001B5533" w:rsidRPr="005D1FEF" w:rsidRDefault="001B5533" w:rsidP="001B5533">
      <w:pPr>
        <w:pStyle w:val="NormalWeb"/>
        <w:numPr>
          <w:ilvl w:val="0"/>
          <w:numId w:val="4"/>
        </w:numPr>
        <w:divId w:val="1979872208"/>
        <w:rPr>
          <w:rFonts w:ascii="Arial" w:hAnsi="Arial" w:cs="Arial"/>
          <w:sz w:val="20"/>
          <w:szCs w:val="20"/>
        </w:rPr>
      </w:pPr>
      <w:r w:rsidRPr="005D1FEF">
        <w:rPr>
          <w:rFonts w:ascii="Arial" w:hAnsi="Arial" w:cs="Arial"/>
          <w:sz w:val="20"/>
          <w:szCs w:val="20"/>
        </w:rPr>
        <w:t xml:space="preserve">Tang, Y. M., Chen, P. C., Law, K. M. Y., Wu, C. H., Lau, Y., Guan, J., He, D., &amp; Ho, G. T. S. (2020). Comparative analysis of student’s live online learning readiness during the coronavirus (COVID-19) pandemic in higher education. </w:t>
      </w:r>
      <w:r w:rsidRPr="005D1FEF">
        <w:rPr>
          <w:rStyle w:val="Emphasis"/>
          <w:rFonts w:ascii="Arial" w:hAnsi="Arial" w:cs="Arial"/>
          <w:sz w:val="20"/>
          <w:szCs w:val="20"/>
        </w:rPr>
        <w:t>Computers &amp; Education, 168,</w:t>
      </w:r>
      <w:r w:rsidRPr="005D1FEF">
        <w:rPr>
          <w:rFonts w:ascii="Arial" w:hAnsi="Arial" w:cs="Arial"/>
          <w:sz w:val="20"/>
          <w:szCs w:val="20"/>
        </w:rPr>
        <w:t xml:space="preserve"> 104211. </w:t>
      </w:r>
      <w:hyperlink r:id="rId20" w:history="1">
        <w:r w:rsidRPr="00DC56A1">
          <w:rPr>
            <w:rStyle w:val="Hyperlink"/>
            <w:rFonts w:ascii="Arial" w:hAnsi="Arial" w:cs="Arial"/>
            <w:color w:val="000000" w:themeColor="text1"/>
            <w:sz w:val="20"/>
            <w:szCs w:val="20"/>
            <w:u w:val="none"/>
          </w:rPr>
          <w:t>https://doi.org/10.1016/j.compedu.2021.104211</w:t>
        </w:r>
      </w:hyperlink>
    </w:p>
    <w:p w14:paraId="58765EF1" w14:textId="369971A4" w:rsidR="00186641" w:rsidRDefault="00691351" w:rsidP="00186641">
      <w:pPr>
        <w:pStyle w:val="NormalWeb"/>
        <w:numPr>
          <w:ilvl w:val="0"/>
          <w:numId w:val="4"/>
        </w:numPr>
        <w:divId w:val="1979872208"/>
        <w:rPr>
          <w:rFonts w:ascii="Arial" w:hAnsi="Arial" w:cs="Arial"/>
          <w:sz w:val="20"/>
          <w:szCs w:val="20"/>
        </w:rPr>
      </w:pPr>
      <w:r>
        <w:rPr>
          <w:rFonts w:ascii="Arial" w:hAnsi="Arial" w:cs="Arial"/>
          <w:sz w:val="20"/>
          <w:szCs w:val="20"/>
        </w:rPr>
        <w:t>Wilkins, S., Balakrishnan, M. S., &amp; Huisman, J. (2012). Student satisfaction and student perceptions of quality at international branch campuses in the United Arab Emirates. Journal of Higher Education Policy and Management, 34(5), 543–556.</w:t>
      </w:r>
      <w:r w:rsidR="00186641">
        <w:rPr>
          <w:rFonts w:ascii="Arial" w:hAnsi="Arial" w:cs="Arial"/>
          <w:sz w:val="20"/>
          <w:szCs w:val="20"/>
        </w:rPr>
        <w:t xml:space="preserve"> </w:t>
      </w:r>
      <w:r w:rsidRPr="00186641">
        <w:rPr>
          <w:rFonts w:ascii="Arial" w:hAnsi="Arial" w:cs="Arial"/>
          <w:sz w:val="20"/>
          <w:szCs w:val="20"/>
        </w:rPr>
        <w:t>https://doi.org/10.1080/1360080X.2012.716003.</w:t>
      </w:r>
    </w:p>
    <w:p w14:paraId="35AE5D8D" w14:textId="5723E46E" w:rsidR="00997AD5" w:rsidRPr="00186641" w:rsidRDefault="00997AD5" w:rsidP="00186641">
      <w:pPr>
        <w:pStyle w:val="NormalWeb"/>
        <w:numPr>
          <w:ilvl w:val="0"/>
          <w:numId w:val="4"/>
        </w:numPr>
        <w:divId w:val="1979872208"/>
        <w:rPr>
          <w:rFonts w:ascii="Arial" w:hAnsi="Arial" w:cs="Arial"/>
          <w:sz w:val="20"/>
          <w:szCs w:val="20"/>
        </w:rPr>
      </w:pPr>
      <w:proofErr w:type="spellStart"/>
      <w:r>
        <w:rPr>
          <w:rFonts w:ascii="Arial" w:hAnsi="Arial" w:cs="Arial"/>
          <w:sz w:val="20"/>
          <w:szCs w:val="20"/>
        </w:rPr>
        <w:t>Yusoff</w:t>
      </w:r>
      <w:proofErr w:type="spellEnd"/>
      <w:r>
        <w:rPr>
          <w:rFonts w:ascii="Arial" w:hAnsi="Arial" w:cs="Arial"/>
          <w:sz w:val="20"/>
          <w:szCs w:val="20"/>
        </w:rPr>
        <w:t xml:space="preserve">, M., McLeay, F., &amp; </w:t>
      </w:r>
      <w:proofErr w:type="spellStart"/>
      <w:r>
        <w:rPr>
          <w:rFonts w:ascii="Arial" w:hAnsi="Arial" w:cs="Arial"/>
          <w:sz w:val="20"/>
          <w:szCs w:val="20"/>
        </w:rPr>
        <w:t>Woodruffe</w:t>
      </w:r>
      <w:proofErr w:type="spellEnd"/>
      <w:r>
        <w:rPr>
          <w:rFonts w:ascii="Arial" w:hAnsi="Arial" w:cs="Arial"/>
          <w:sz w:val="20"/>
          <w:szCs w:val="20"/>
        </w:rPr>
        <w:t>-Burton, H. (2015). Dimensions driving business student satisfaction in higher education. Quality Assurance in Education, 23(1), 70–94. https://doi.org/10.1108/QAE-08-2013-0035</w:t>
      </w:r>
    </w:p>
    <w:p w14:paraId="1F0CDA26" w14:textId="57FFC88C" w:rsidR="00D961D6" w:rsidRPr="00DC56A1" w:rsidRDefault="00D961D6" w:rsidP="00DC56A1">
      <w:pPr>
        <w:rPr>
          <w:rFonts w:ascii="Arial" w:eastAsia="Book Antiqua" w:hAnsi="Arial" w:cs="Arial"/>
          <w:color w:val="000000" w:themeColor="text1"/>
          <w:lang w:val="en-PH"/>
        </w:rPr>
      </w:pPr>
    </w:p>
    <w:sectPr w:rsidR="00D961D6" w:rsidRPr="00DC56A1" w:rsidSect="00D5342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39769" w14:textId="77777777" w:rsidR="00B1269E" w:rsidRDefault="00B1269E">
      <w:r>
        <w:separator/>
      </w:r>
    </w:p>
  </w:endnote>
  <w:endnote w:type="continuationSeparator" w:id="0">
    <w:p w14:paraId="11E81498" w14:textId="77777777" w:rsidR="00B1269E" w:rsidRDefault="00B1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65E1" w14:textId="77777777" w:rsidR="00DE7E3D" w:rsidRDefault="00DE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4515" w14:textId="77777777" w:rsidR="00DE7E3D" w:rsidRDefault="00DE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28DD" w14:textId="071BD8D9" w:rsidR="00DE7E3D" w:rsidRPr="00BA514F" w:rsidRDefault="00DE7E3D" w:rsidP="00BA5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61CF" w14:textId="77777777" w:rsidR="00DE7E3D" w:rsidRDefault="00DE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A34C" w14:textId="77777777" w:rsidR="00B1269E" w:rsidRDefault="00B1269E">
      <w:r>
        <w:separator/>
      </w:r>
    </w:p>
  </w:footnote>
  <w:footnote w:type="continuationSeparator" w:id="0">
    <w:p w14:paraId="4F0AB300" w14:textId="77777777" w:rsidR="00B1269E" w:rsidRDefault="00B1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9CF8" w14:textId="008745EF" w:rsidR="00DE7E3D" w:rsidRDefault="00B1269E">
    <w:pPr>
      <w:pStyle w:val="Header"/>
    </w:pPr>
    <w:r>
      <w:rPr>
        <w:noProof/>
      </w:rPr>
      <w:pict w14:anchorId="061F7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2" o:spid="_x0000_s2054"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87F" w14:textId="5EA0C6DA" w:rsidR="00DE7E3D" w:rsidRDefault="00B1269E">
    <w:pPr>
      <w:pStyle w:val="Header"/>
    </w:pPr>
    <w:r>
      <w:rPr>
        <w:noProof/>
      </w:rPr>
      <w:pict w14:anchorId="1EAFF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3" o:spid="_x0000_s2053"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7432" w14:textId="09EFD428" w:rsidR="00DE7E3D" w:rsidRDefault="00B1269E">
    <w:pPr>
      <w:ind w:left="2160"/>
      <w:jc w:val="center"/>
      <w:rPr>
        <w:rFonts w:ascii="Times New Roman" w:eastAsia="Calibri" w:hAnsi="Times New Roman"/>
        <w:i/>
        <w:sz w:val="18"/>
        <w:szCs w:val="22"/>
      </w:rPr>
    </w:pPr>
    <w:r>
      <w:rPr>
        <w:noProof/>
      </w:rPr>
      <w:pict w14:anchorId="705B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75421" o:spid="_x0000_s2052" type="#_x0000_t136" style="position:absolute;left:0;text-align:left;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BF48FB" w14:textId="77777777" w:rsidR="00DE7E3D" w:rsidRDefault="00DE7E3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85F7C1B" w14:textId="77777777" w:rsidR="00DE7E3D" w:rsidRDefault="00DE7E3D">
    <w:pPr>
      <w:jc w:val="center"/>
      <w:rPr>
        <w:rFonts w:ascii="Times New Roman" w:eastAsia="Calibri" w:hAnsi="Times New Roman"/>
        <w:i/>
        <w:sz w:val="18"/>
        <w:szCs w:val="22"/>
      </w:rPr>
    </w:pPr>
    <w:r>
      <w:rPr>
        <w:rFonts w:ascii="Times New Roman" w:eastAsia="Calibri" w:hAnsi="Times New Roman"/>
        <w:i/>
        <w:sz w:val="18"/>
        <w:szCs w:val="22"/>
      </w:rPr>
      <w:t>.</w:t>
    </w:r>
  </w:p>
  <w:p w14:paraId="4228F71E" w14:textId="77777777" w:rsidR="00DE7E3D" w:rsidRDefault="00DE7E3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89D1589" w14:textId="77777777" w:rsidR="00DE7E3D" w:rsidRDefault="00DE7E3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D50083A" w14:textId="77777777" w:rsidR="00DE7E3D" w:rsidRDefault="00DE7E3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5882A6" w14:textId="77777777" w:rsidR="00DE7E3D" w:rsidRDefault="00DE7E3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9FE7" w14:textId="4A063E30" w:rsidR="00DE7E3D" w:rsidRDefault="00B1269E">
    <w:pPr>
      <w:pStyle w:val="Header"/>
    </w:pPr>
    <w:r>
      <w:rPr>
        <w:noProof/>
      </w:rPr>
      <w:pict w14:anchorId="20251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60B5" w14:textId="0177916E" w:rsidR="00DE7E3D" w:rsidRDefault="00B1269E">
    <w:pPr>
      <w:pStyle w:val="Header"/>
    </w:pPr>
    <w:r>
      <w:rPr>
        <w:noProof/>
      </w:rPr>
      <w:pict w14:anchorId="39801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7BD3" w14:textId="692D6D5D" w:rsidR="00DE7E3D" w:rsidRDefault="00B1269E">
    <w:pPr>
      <w:pStyle w:val="Header"/>
    </w:pPr>
    <w:r>
      <w:rPr>
        <w:noProof/>
      </w:rPr>
      <w:pict w14:anchorId="372A3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789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BC75F"/>
    <w:multiLevelType w:val="singleLevel"/>
    <w:tmpl w:val="2A3BC75F"/>
    <w:lvl w:ilvl="0">
      <w:start w:val="1"/>
      <w:numFmt w:val="decimal"/>
      <w:suff w:val="space"/>
      <w:lvlText w:val="%1."/>
      <w:lvlJc w:val="left"/>
      <w:rPr>
        <w:rFonts w:hint="default"/>
        <w:color w:val="auto"/>
      </w:rPr>
    </w:lvl>
  </w:abstractNum>
  <w:abstractNum w:abstractNumId="2" w15:restartNumberingAfterBreak="0">
    <w:nsid w:val="68B81655"/>
    <w:multiLevelType w:val="hybridMultilevel"/>
    <w:tmpl w:val="83B6442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80B"/>
    <w:rsid w:val="00026FB0"/>
    <w:rsid w:val="00030174"/>
    <w:rsid w:val="000323E5"/>
    <w:rsid w:val="0004579C"/>
    <w:rsid w:val="00073637"/>
    <w:rsid w:val="00095FDC"/>
    <w:rsid w:val="000A47FA"/>
    <w:rsid w:val="000A5D57"/>
    <w:rsid w:val="000A65D3"/>
    <w:rsid w:val="000B0823"/>
    <w:rsid w:val="000B1E33"/>
    <w:rsid w:val="000B2CF1"/>
    <w:rsid w:val="000C2B03"/>
    <w:rsid w:val="000C5675"/>
    <w:rsid w:val="000C791C"/>
    <w:rsid w:val="000D2FBC"/>
    <w:rsid w:val="000D559B"/>
    <w:rsid w:val="000D689F"/>
    <w:rsid w:val="000E7B7B"/>
    <w:rsid w:val="000E7D62"/>
    <w:rsid w:val="000F0E92"/>
    <w:rsid w:val="000F4528"/>
    <w:rsid w:val="00103357"/>
    <w:rsid w:val="00103EF1"/>
    <w:rsid w:val="00104B50"/>
    <w:rsid w:val="00112843"/>
    <w:rsid w:val="001151C4"/>
    <w:rsid w:val="001156B2"/>
    <w:rsid w:val="0011605E"/>
    <w:rsid w:val="00123C9F"/>
    <w:rsid w:val="00126190"/>
    <w:rsid w:val="00130902"/>
    <w:rsid w:val="00130F17"/>
    <w:rsid w:val="001320BF"/>
    <w:rsid w:val="001413AE"/>
    <w:rsid w:val="00152737"/>
    <w:rsid w:val="00160C89"/>
    <w:rsid w:val="00163BC4"/>
    <w:rsid w:val="00176145"/>
    <w:rsid w:val="00181F64"/>
    <w:rsid w:val="00186641"/>
    <w:rsid w:val="00191062"/>
    <w:rsid w:val="00192B72"/>
    <w:rsid w:val="00195CDE"/>
    <w:rsid w:val="001A29D8"/>
    <w:rsid w:val="001A52EB"/>
    <w:rsid w:val="001A5CAA"/>
    <w:rsid w:val="001A6E34"/>
    <w:rsid w:val="001B0427"/>
    <w:rsid w:val="001B5533"/>
    <w:rsid w:val="001C15F8"/>
    <w:rsid w:val="001D00C0"/>
    <w:rsid w:val="001D3A51"/>
    <w:rsid w:val="001D4932"/>
    <w:rsid w:val="001D4C85"/>
    <w:rsid w:val="001E10D2"/>
    <w:rsid w:val="001E16FD"/>
    <w:rsid w:val="001E25B4"/>
    <w:rsid w:val="001E44FE"/>
    <w:rsid w:val="001F26A9"/>
    <w:rsid w:val="001F5E40"/>
    <w:rsid w:val="00200447"/>
    <w:rsid w:val="00200595"/>
    <w:rsid w:val="00204835"/>
    <w:rsid w:val="00206751"/>
    <w:rsid w:val="00217504"/>
    <w:rsid w:val="002244B2"/>
    <w:rsid w:val="00231920"/>
    <w:rsid w:val="0023195C"/>
    <w:rsid w:val="002349DD"/>
    <w:rsid w:val="00235840"/>
    <w:rsid w:val="00236ECC"/>
    <w:rsid w:val="0024282C"/>
    <w:rsid w:val="002460DC"/>
    <w:rsid w:val="00250985"/>
    <w:rsid w:val="002556F6"/>
    <w:rsid w:val="00256B76"/>
    <w:rsid w:val="00257115"/>
    <w:rsid w:val="00261BF6"/>
    <w:rsid w:val="00275F62"/>
    <w:rsid w:val="00283105"/>
    <w:rsid w:val="00284C4C"/>
    <w:rsid w:val="00287E68"/>
    <w:rsid w:val="00295CCF"/>
    <w:rsid w:val="00296529"/>
    <w:rsid w:val="002B27FB"/>
    <w:rsid w:val="002B289C"/>
    <w:rsid w:val="002B685A"/>
    <w:rsid w:val="002B69FA"/>
    <w:rsid w:val="002C57D2"/>
    <w:rsid w:val="002C64D6"/>
    <w:rsid w:val="002D5CAF"/>
    <w:rsid w:val="002D6D05"/>
    <w:rsid w:val="002E0D56"/>
    <w:rsid w:val="002E7F02"/>
    <w:rsid w:val="0030040D"/>
    <w:rsid w:val="003045E4"/>
    <w:rsid w:val="00311F92"/>
    <w:rsid w:val="00311FFC"/>
    <w:rsid w:val="003134EF"/>
    <w:rsid w:val="00313A97"/>
    <w:rsid w:val="00315186"/>
    <w:rsid w:val="0033343E"/>
    <w:rsid w:val="00341E1D"/>
    <w:rsid w:val="003512C2"/>
    <w:rsid w:val="00357C5F"/>
    <w:rsid w:val="00367EFB"/>
    <w:rsid w:val="00371FB6"/>
    <w:rsid w:val="003749F7"/>
    <w:rsid w:val="003763C1"/>
    <w:rsid w:val="00376BBE"/>
    <w:rsid w:val="00385476"/>
    <w:rsid w:val="0039224F"/>
    <w:rsid w:val="003A43A4"/>
    <w:rsid w:val="003A7E18"/>
    <w:rsid w:val="003B136B"/>
    <w:rsid w:val="003B2A2F"/>
    <w:rsid w:val="003C4C86"/>
    <w:rsid w:val="003C6258"/>
    <w:rsid w:val="003D441D"/>
    <w:rsid w:val="003E2904"/>
    <w:rsid w:val="003F0A68"/>
    <w:rsid w:val="00400E13"/>
    <w:rsid w:val="00401927"/>
    <w:rsid w:val="0041027F"/>
    <w:rsid w:val="00412475"/>
    <w:rsid w:val="00413B25"/>
    <w:rsid w:val="00423789"/>
    <w:rsid w:val="00440F43"/>
    <w:rsid w:val="00441B6F"/>
    <w:rsid w:val="00446221"/>
    <w:rsid w:val="0044686E"/>
    <w:rsid w:val="00447461"/>
    <w:rsid w:val="00450E62"/>
    <w:rsid w:val="004539DB"/>
    <w:rsid w:val="00461304"/>
    <w:rsid w:val="004642B3"/>
    <w:rsid w:val="00466262"/>
    <w:rsid w:val="004716A7"/>
    <w:rsid w:val="00471A80"/>
    <w:rsid w:val="00472C96"/>
    <w:rsid w:val="004A0EA8"/>
    <w:rsid w:val="004A60CE"/>
    <w:rsid w:val="004C662E"/>
    <w:rsid w:val="004D305E"/>
    <w:rsid w:val="004D4277"/>
    <w:rsid w:val="004F0FD2"/>
    <w:rsid w:val="004F488E"/>
    <w:rsid w:val="00502516"/>
    <w:rsid w:val="00505F06"/>
    <w:rsid w:val="00506828"/>
    <w:rsid w:val="0051516D"/>
    <w:rsid w:val="00515ED2"/>
    <w:rsid w:val="0053056E"/>
    <w:rsid w:val="00530DB9"/>
    <w:rsid w:val="00533C07"/>
    <w:rsid w:val="0053708D"/>
    <w:rsid w:val="0054424D"/>
    <w:rsid w:val="00546D7E"/>
    <w:rsid w:val="00554A1E"/>
    <w:rsid w:val="00554FDA"/>
    <w:rsid w:val="00564361"/>
    <w:rsid w:val="005648DA"/>
    <w:rsid w:val="00575E12"/>
    <w:rsid w:val="00593971"/>
    <w:rsid w:val="005A55BF"/>
    <w:rsid w:val="005B074B"/>
    <w:rsid w:val="005B486C"/>
    <w:rsid w:val="005C74EF"/>
    <w:rsid w:val="005C784C"/>
    <w:rsid w:val="005D17F6"/>
    <w:rsid w:val="005D1FEF"/>
    <w:rsid w:val="005E5539"/>
    <w:rsid w:val="005F3B6D"/>
    <w:rsid w:val="00602BF5"/>
    <w:rsid w:val="00616319"/>
    <w:rsid w:val="00617FDD"/>
    <w:rsid w:val="006232CD"/>
    <w:rsid w:val="00624D9A"/>
    <w:rsid w:val="00633614"/>
    <w:rsid w:val="00633F68"/>
    <w:rsid w:val="00636EB2"/>
    <w:rsid w:val="006375B8"/>
    <w:rsid w:val="00637EB9"/>
    <w:rsid w:val="006504C9"/>
    <w:rsid w:val="00654D32"/>
    <w:rsid w:val="0066510A"/>
    <w:rsid w:val="00673F9F"/>
    <w:rsid w:val="006832B4"/>
    <w:rsid w:val="00686953"/>
    <w:rsid w:val="00686A73"/>
    <w:rsid w:val="00687DEA"/>
    <w:rsid w:val="00687E67"/>
    <w:rsid w:val="00691351"/>
    <w:rsid w:val="006967F7"/>
    <w:rsid w:val="006A250C"/>
    <w:rsid w:val="006A4EF7"/>
    <w:rsid w:val="006B21D3"/>
    <w:rsid w:val="006B57D0"/>
    <w:rsid w:val="006D0539"/>
    <w:rsid w:val="006D2B1A"/>
    <w:rsid w:val="006D30FF"/>
    <w:rsid w:val="006D3BA8"/>
    <w:rsid w:val="006D6940"/>
    <w:rsid w:val="006E14E4"/>
    <w:rsid w:val="006E789A"/>
    <w:rsid w:val="006F11EC"/>
    <w:rsid w:val="006F423B"/>
    <w:rsid w:val="006F5F0A"/>
    <w:rsid w:val="007004DE"/>
    <w:rsid w:val="0070082C"/>
    <w:rsid w:val="00702BE5"/>
    <w:rsid w:val="00703010"/>
    <w:rsid w:val="007369E6"/>
    <w:rsid w:val="007403D2"/>
    <w:rsid w:val="00741B31"/>
    <w:rsid w:val="00746E59"/>
    <w:rsid w:val="0075232D"/>
    <w:rsid w:val="00754C9A"/>
    <w:rsid w:val="0075599A"/>
    <w:rsid w:val="00755B01"/>
    <w:rsid w:val="00756E7A"/>
    <w:rsid w:val="00761D52"/>
    <w:rsid w:val="0077749E"/>
    <w:rsid w:val="00790ADA"/>
    <w:rsid w:val="00792D70"/>
    <w:rsid w:val="007933C2"/>
    <w:rsid w:val="007A387F"/>
    <w:rsid w:val="007D0947"/>
    <w:rsid w:val="007D178E"/>
    <w:rsid w:val="007D2288"/>
    <w:rsid w:val="007E088F"/>
    <w:rsid w:val="007F0F96"/>
    <w:rsid w:val="007F719B"/>
    <w:rsid w:val="007F7B32"/>
    <w:rsid w:val="00804BC2"/>
    <w:rsid w:val="00810191"/>
    <w:rsid w:val="0081431A"/>
    <w:rsid w:val="00817EF2"/>
    <w:rsid w:val="0083216F"/>
    <w:rsid w:val="008339A6"/>
    <w:rsid w:val="008341C7"/>
    <w:rsid w:val="00860000"/>
    <w:rsid w:val="00863BD3"/>
    <w:rsid w:val="008641ED"/>
    <w:rsid w:val="00866D66"/>
    <w:rsid w:val="008671C6"/>
    <w:rsid w:val="00871B77"/>
    <w:rsid w:val="00874220"/>
    <w:rsid w:val="00875803"/>
    <w:rsid w:val="0087706A"/>
    <w:rsid w:val="00880F31"/>
    <w:rsid w:val="008B2799"/>
    <w:rsid w:val="008B459E"/>
    <w:rsid w:val="008C0005"/>
    <w:rsid w:val="008C5398"/>
    <w:rsid w:val="008D7EA4"/>
    <w:rsid w:val="008E13AE"/>
    <w:rsid w:val="008E1506"/>
    <w:rsid w:val="008E710C"/>
    <w:rsid w:val="008F357F"/>
    <w:rsid w:val="008F69D6"/>
    <w:rsid w:val="00902823"/>
    <w:rsid w:val="00904B79"/>
    <w:rsid w:val="00905DDB"/>
    <w:rsid w:val="00915CA6"/>
    <w:rsid w:val="00927834"/>
    <w:rsid w:val="009500A6"/>
    <w:rsid w:val="0095369C"/>
    <w:rsid w:val="00957C18"/>
    <w:rsid w:val="009659BA"/>
    <w:rsid w:val="00981A46"/>
    <w:rsid w:val="00983040"/>
    <w:rsid w:val="0098588D"/>
    <w:rsid w:val="009945F7"/>
    <w:rsid w:val="009966BC"/>
    <w:rsid w:val="00997AD5"/>
    <w:rsid w:val="009B3FB9"/>
    <w:rsid w:val="009C156C"/>
    <w:rsid w:val="009C2465"/>
    <w:rsid w:val="009D35A0"/>
    <w:rsid w:val="009D5678"/>
    <w:rsid w:val="009D7EB7"/>
    <w:rsid w:val="009E048A"/>
    <w:rsid w:val="009E08E9"/>
    <w:rsid w:val="009E3DB9"/>
    <w:rsid w:val="009E6E35"/>
    <w:rsid w:val="009F0EDA"/>
    <w:rsid w:val="00A03B96"/>
    <w:rsid w:val="00A05B19"/>
    <w:rsid w:val="00A1134E"/>
    <w:rsid w:val="00A11CC7"/>
    <w:rsid w:val="00A12243"/>
    <w:rsid w:val="00A20893"/>
    <w:rsid w:val="00A24E7E"/>
    <w:rsid w:val="00A258C3"/>
    <w:rsid w:val="00A25D9E"/>
    <w:rsid w:val="00A26AF1"/>
    <w:rsid w:val="00A34054"/>
    <w:rsid w:val="00A347C0"/>
    <w:rsid w:val="00A34FA2"/>
    <w:rsid w:val="00A36502"/>
    <w:rsid w:val="00A405A7"/>
    <w:rsid w:val="00A45335"/>
    <w:rsid w:val="00A51431"/>
    <w:rsid w:val="00A52009"/>
    <w:rsid w:val="00A539AD"/>
    <w:rsid w:val="00A6477E"/>
    <w:rsid w:val="00A77C22"/>
    <w:rsid w:val="00A860B3"/>
    <w:rsid w:val="00A869C8"/>
    <w:rsid w:val="00A94063"/>
    <w:rsid w:val="00AA6219"/>
    <w:rsid w:val="00AA74E0"/>
    <w:rsid w:val="00AB2DD4"/>
    <w:rsid w:val="00AB703F"/>
    <w:rsid w:val="00AC1E7E"/>
    <w:rsid w:val="00AC6BB8"/>
    <w:rsid w:val="00AD06C1"/>
    <w:rsid w:val="00AD2547"/>
    <w:rsid w:val="00AE008F"/>
    <w:rsid w:val="00AE3962"/>
    <w:rsid w:val="00AE7468"/>
    <w:rsid w:val="00AF1F5B"/>
    <w:rsid w:val="00B01FCD"/>
    <w:rsid w:val="00B1269E"/>
    <w:rsid w:val="00B1776C"/>
    <w:rsid w:val="00B52583"/>
    <w:rsid w:val="00B52896"/>
    <w:rsid w:val="00B62CB8"/>
    <w:rsid w:val="00B66FF1"/>
    <w:rsid w:val="00B674CB"/>
    <w:rsid w:val="00B70969"/>
    <w:rsid w:val="00B70D20"/>
    <w:rsid w:val="00B739AC"/>
    <w:rsid w:val="00B860D4"/>
    <w:rsid w:val="00B925CA"/>
    <w:rsid w:val="00B92A63"/>
    <w:rsid w:val="00B935B6"/>
    <w:rsid w:val="00B95236"/>
    <w:rsid w:val="00B96BD9"/>
    <w:rsid w:val="00B9760C"/>
    <w:rsid w:val="00BA1B01"/>
    <w:rsid w:val="00BA2641"/>
    <w:rsid w:val="00BA514F"/>
    <w:rsid w:val="00BB37AA"/>
    <w:rsid w:val="00BC2358"/>
    <w:rsid w:val="00BC53A0"/>
    <w:rsid w:val="00BE62AD"/>
    <w:rsid w:val="00BF121F"/>
    <w:rsid w:val="00BF1F80"/>
    <w:rsid w:val="00C00745"/>
    <w:rsid w:val="00C03929"/>
    <w:rsid w:val="00C03F41"/>
    <w:rsid w:val="00C06653"/>
    <w:rsid w:val="00C12753"/>
    <w:rsid w:val="00C14412"/>
    <w:rsid w:val="00C166EF"/>
    <w:rsid w:val="00C17EB0"/>
    <w:rsid w:val="00C23BD4"/>
    <w:rsid w:val="00C25FDC"/>
    <w:rsid w:val="00C27F5F"/>
    <w:rsid w:val="00C30A0F"/>
    <w:rsid w:val="00C32543"/>
    <w:rsid w:val="00C36BC4"/>
    <w:rsid w:val="00C37E61"/>
    <w:rsid w:val="00C41ADE"/>
    <w:rsid w:val="00C42C69"/>
    <w:rsid w:val="00C42FD6"/>
    <w:rsid w:val="00C56044"/>
    <w:rsid w:val="00C607F8"/>
    <w:rsid w:val="00C665B5"/>
    <w:rsid w:val="00C70F1B"/>
    <w:rsid w:val="00C71A47"/>
    <w:rsid w:val="00C7464C"/>
    <w:rsid w:val="00C821AF"/>
    <w:rsid w:val="00C85588"/>
    <w:rsid w:val="00CA5B07"/>
    <w:rsid w:val="00CB0C88"/>
    <w:rsid w:val="00CD6755"/>
    <w:rsid w:val="00CD6856"/>
    <w:rsid w:val="00CE0089"/>
    <w:rsid w:val="00CE00EC"/>
    <w:rsid w:val="00CE3F2E"/>
    <w:rsid w:val="00CE59EB"/>
    <w:rsid w:val="00CE6E23"/>
    <w:rsid w:val="00CE793C"/>
    <w:rsid w:val="00CF193C"/>
    <w:rsid w:val="00D173F1"/>
    <w:rsid w:val="00D27F91"/>
    <w:rsid w:val="00D42AD8"/>
    <w:rsid w:val="00D454AC"/>
    <w:rsid w:val="00D53428"/>
    <w:rsid w:val="00D74CB0"/>
    <w:rsid w:val="00D8295D"/>
    <w:rsid w:val="00D961D6"/>
    <w:rsid w:val="00DC2A65"/>
    <w:rsid w:val="00DC4A03"/>
    <w:rsid w:val="00DC56A1"/>
    <w:rsid w:val="00DD307E"/>
    <w:rsid w:val="00DE15F0"/>
    <w:rsid w:val="00DE1819"/>
    <w:rsid w:val="00DE5663"/>
    <w:rsid w:val="00DE78AA"/>
    <w:rsid w:val="00DE7E3D"/>
    <w:rsid w:val="00DF7D55"/>
    <w:rsid w:val="00E053D0"/>
    <w:rsid w:val="00E15994"/>
    <w:rsid w:val="00E166E4"/>
    <w:rsid w:val="00E2072A"/>
    <w:rsid w:val="00E22808"/>
    <w:rsid w:val="00E3114E"/>
    <w:rsid w:val="00E31A70"/>
    <w:rsid w:val="00E35B02"/>
    <w:rsid w:val="00E37270"/>
    <w:rsid w:val="00E41507"/>
    <w:rsid w:val="00E528AD"/>
    <w:rsid w:val="00E66496"/>
    <w:rsid w:val="00E66B35"/>
    <w:rsid w:val="00E66E10"/>
    <w:rsid w:val="00E736FB"/>
    <w:rsid w:val="00E75016"/>
    <w:rsid w:val="00E76634"/>
    <w:rsid w:val="00E769F6"/>
    <w:rsid w:val="00E8407C"/>
    <w:rsid w:val="00E84F3C"/>
    <w:rsid w:val="00E87B17"/>
    <w:rsid w:val="00EA012C"/>
    <w:rsid w:val="00EA6DB6"/>
    <w:rsid w:val="00EC37FA"/>
    <w:rsid w:val="00EC6A55"/>
    <w:rsid w:val="00ED0288"/>
    <w:rsid w:val="00EE52CB"/>
    <w:rsid w:val="00EF4973"/>
    <w:rsid w:val="00EF581D"/>
    <w:rsid w:val="00EF7FD8"/>
    <w:rsid w:val="00F0621A"/>
    <w:rsid w:val="00F06F59"/>
    <w:rsid w:val="00F100D9"/>
    <w:rsid w:val="00F17988"/>
    <w:rsid w:val="00F23A79"/>
    <w:rsid w:val="00F2616E"/>
    <w:rsid w:val="00F44D96"/>
    <w:rsid w:val="00F469F0"/>
    <w:rsid w:val="00F5060A"/>
    <w:rsid w:val="00F53273"/>
    <w:rsid w:val="00F54986"/>
    <w:rsid w:val="00F60EA7"/>
    <w:rsid w:val="00F64F72"/>
    <w:rsid w:val="00F723C9"/>
    <w:rsid w:val="00F755E4"/>
    <w:rsid w:val="00F77D02"/>
    <w:rsid w:val="00F800C5"/>
    <w:rsid w:val="00F81BA4"/>
    <w:rsid w:val="00F83BC6"/>
    <w:rsid w:val="00F95197"/>
    <w:rsid w:val="00FB3A86"/>
    <w:rsid w:val="00FD36C8"/>
    <w:rsid w:val="00FF2CDE"/>
    <w:rsid w:val="00FF4F9A"/>
    <w:rsid w:val="00FF7229"/>
    <w:rsid w:val="00FF74C6"/>
    <w:rsid w:val="15EA26B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7FA4BAB"/>
  <w15:docId w15:val="{377507DE-7A04-4BFB-8F7F-10CE479C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41">
    <w:name w:val="Plain Table 41"/>
    <w:basedOn w:val="TableNormal"/>
    <w:uiPriority w:val="44"/>
    <w:qFormat/>
    <w:rPr>
      <w:rFonts w:eastAsia="SimSun"/>
      <w:lang w:val="en-PH" w:eastAsia="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E789A"/>
    <w:rPr>
      <w:color w:val="605E5C"/>
      <w:shd w:val="clear" w:color="auto" w:fill="E1DFDD"/>
    </w:rPr>
  </w:style>
  <w:style w:type="paragraph" w:styleId="ListParagraph">
    <w:name w:val="List Paragraph"/>
    <w:basedOn w:val="Normal"/>
    <w:uiPriority w:val="99"/>
    <w:unhideWhenUsed/>
    <w:rsid w:val="00702BE5"/>
    <w:pPr>
      <w:ind w:left="720"/>
      <w:contextualSpacing/>
    </w:pPr>
  </w:style>
  <w:style w:type="paragraph" w:styleId="NormalWeb">
    <w:name w:val="Normal (Web)"/>
    <w:basedOn w:val="Normal"/>
    <w:uiPriority w:val="99"/>
    <w:unhideWhenUsed/>
    <w:rsid w:val="001B5533"/>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1B5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80/07294360.2017.134419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6803/ijlter.20.7.1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00/J050v10n04_01" TargetMode="External"/><Relationship Id="rId20" Type="http://schemas.openxmlformats.org/officeDocument/2006/relationships/hyperlink" Target="https://doi.org/10.1016/j.compedu.2021.104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igitalcommons.unl.edu/libphilprac/454/"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aabri.com/manuscripts/162574.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5B89C-E183-4A77-9A71-B12239DE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24</Pages>
  <Words>10840</Words>
  <Characters>61794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1999-07-06T11:00:00Z</cp:lastPrinted>
  <dcterms:created xsi:type="dcterms:W3CDTF">2025-09-20T13:45:00Z</dcterms:created>
  <dcterms:modified xsi:type="dcterms:W3CDTF">2025-09-22T11:58:00Z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79EB9CF47C1D4D4DBB4197220C652A0C_12</vt:lpwstr>
  </property>
</Properties>
</file>