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8206E" w14:textId="62299229" w:rsidR="00962F22" w:rsidRDefault="00F543C6" w:rsidP="0081630D">
      <w:pPr>
        <w:pStyle w:val="NormalWeb"/>
        <w:spacing w:before="0" w:beforeAutospacing="0" w:after="0" w:afterAutospacing="0"/>
        <w:jc w:val="center"/>
        <w:rPr>
          <w:rStyle w:val="Strong"/>
          <w:sz w:val="28"/>
          <w:szCs w:val="28"/>
        </w:rPr>
      </w:pPr>
      <w:bookmarkStart w:id="0" w:name="_Hlk208822718"/>
      <w:r w:rsidRPr="00254165">
        <w:rPr>
          <w:rStyle w:val="Strong"/>
          <w:sz w:val="28"/>
          <w:szCs w:val="28"/>
        </w:rPr>
        <w:t>Pilot Testing</w:t>
      </w:r>
      <w:r>
        <w:rPr>
          <w:rStyle w:val="Strong"/>
          <w:sz w:val="28"/>
          <w:szCs w:val="28"/>
        </w:rPr>
        <w:t xml:space="preserve"> </w:t>
      </w:r>
      <w:r w:rsidRPr="0034657A">
        <w:rPr>
          <w:rStyle w:val="Strong"/>
          <w:sz w:val="28"/>
          <w:szCs w:val="28"/>
          <w:highlight w:val="yellow"/>
        </w:rPr>
        <w:t>A</w:t>
      </w:r>
      <w:r w:rsidRPr="00254165">
        <w:rPr>
          <w:rStyle w:val="Strong"/>
          <w:sz w:val="28"/>
          <w:szCs w:val="28"/>
        </w:rPr>
        <w:t xml:space="preserve"> Student Assessment Instrument </w:t>
      </w:r>
      <w:r>
        <w:rPr>
          <w:rStyle w:val="Strong"/>
          <w:sz w:val="28"/>
          <w:szCs w:val="28"/>
        </w:rPr>
        <w:t>f</w:t>
      </w:r>
      <w:r w:rsidRPr="00254165">
        <w:rPr>
          <w:rStyle w:val="Strong"/>
          <w:sz w:val="28"/>
          <w:szCs w:val="28"/>
        </w:rPr>
        <w:t xml:space="preserve">or Outdoor Education Leadership Competencies </w:t>
      </w:r>
      <w:r>
        <w:rPr>
          <w:rStyle w:val="Strong"/>
          <w:sz w:val="28"/>
          <w:szCs w:val="28"/>
        </w:rPr>
        <w:t>i</w:t>
      </w:r>
      <w:r w:rsidRPr="00254165">
        <w:rPr>
          <w:rStyle w:val="Strong"/>
          <w:sz w:val="28"/>
          <w:szCs w:val="28"/>
        </w:rPr>
        <w:t>n Malaysian Teacher Education Institutes</w:t>
      </w:r>
    </w:p>
    <w:bookmarkEnd w:id="0"/>
    <w:p w14:paraId="2CFD003E" w14:textId="77777777" w:rsidR="0081630D" w:rsidRPr="00254165" w:rsidRDefault="0081630D" w:rsidP="0081630D">
      <w:pPr>
        <w:pStyle w:val="NormalWeb"/>
        <w:spacing w:before="0" w:beforeAutospacing="0" w:after="0" w:afterAutospacing="0"/>
        <w:jc w:val="center"/>
        <w:rPr>
          <w:sz w:val="28"/>
          <w:szCs w:val="28"/>
        </w:rPr>
      </w:pPr>
    </w:p>
    <w:p w14:paraId="568C97EC" w14:textId="642CB6EF" w:rsidR="006A56F1" w:rsidRDefault="006A56F1" w:rsidP="0081630D">
      <w:pPr>
        <w:pStyle w:val="NormalWeb"/>
        <w:spacing w:before="0" w:beforeAutospacing="0" w:after="0" w:afterAutospacing="0"/>
        <w:jc w:val="center"/>
        <w:rPr>
          <w:sz w:val="22"/>
          <w:szCs w:val="22"/>
        </w:rPr>
      </w:pPr>
    </w:p>
    <w:p w14:paraId="2272DB06" w14:textId="77777777" w:rsidR="00F42C5D" w:rsidRPr="0081630D" w:rsidRDefault="00F42C5D" w:rsidP="00A46B19">
      <w:pPr>
        <w:pStyle w:val="NormalWeb"/>
        <w:spacing w:before="0" w:beforeAutospacing="0" w:after="0" w:afterAutospacing="0"/>
        <w:jc w:val="center"/>
        <w:rPr>
          <w:sz w:val="22"/>
          <w:szCs w:val="22"/>
        </w:rPr>
      </w:pPr>
    </w:p>
    <w:p w14:paraId="7A2DFA1E" w14:textId="58434832" w:rsidR="00FF2688" w:rsidRPr="00590B20" w:rsidRDefault="00FF2688" w:rsidP="00A46B19">
      <w:pPr>
        <w:pStyle w:val="NormalWeb"/>
        <w:spacing w:before="0" w:beforeAutospacing="0" w:after="0" w:afterAutospacing="0"/>
      </w:pPr>
    </w:p>
    <w:p w14:paraId="00B772C6" w14:textId="77777777" w:rsidR="007328E2" w:rsidRDefault="007328E2" w:rsidP="00A46B19">
      <w:pPr>
        <w:spacing w:after="0" w:line="240" w:lineRule="auto"/>
        <w:outlineLvl w:val="1"/>
        <w:rPr>
          <w:rFonts w:ascii="Arial" w:eastAsia="Times New Roman" w:hAnsi="Arial" w:cs="Arial"/>
          <w:b/>
          <w:bCs/>
          <w:lang w:val="en-MY" w:eastAsia="en-MY"/>
        </w:rPr>
      </w:pPr>
      <w:r w:rsidRPr="007328E2">
        <w:rPr>
          <w:rFonts w:ascii="Arial" w:eastAsia="Times New Roman" w:hAnsi="Arial" w:cs="Arial"/>
          <w:b/>
          <w:bCs/>
          <w:lang w:val="en-MY" w:eastAsia="en-MY"/>
        </w:rPr>
        <w:t>ABSTRACT</w:t>
      </w:r>
    </w:p>
    <w:p w14:paraId="479A916A" w14:textId="77777777" w:rsidR="0081630D" w:rsidRPr="007328E2" w:rsidRDefault="0081630D" w:rsidP="00A46B19">
      <w:pPr>
        <w:spacing w:after="0" w:line="240" w:lineRule="auto"/>
        <w:outlineLvl w:val="1"/>
        <w:rPr>
          <w:rFonts w:ascii="Arial" w:eastAsia="Times New Roman" w:hAnsi="Arial" w:cs="Arial"/>
          <w:b/>
          <w:bCs/>
          <w:lang w:val="en-MY" w:eastAsia="en-MY"/>
        </w:rPr>
      </w:pPr>
    </w:p>
    <w:p w14:paraId="13CD8674" w14:textId="0C4585AE" w:rsidR="0034657A" w:rsidRDefault="0034657A" w:rsidP="00A46B19">
      <w:pPr>
        <w:spacing w:after="0" w:line="240" w:lineRule="auto"/>
        <w:jc w:val="both"/>
        <w:rPr>
          <w:rFonts w:ascii="Times New Roman" w:eastAsia="Times New Roman" w:hAnsi="Times New Roman" w:cs="Times New Roman"/>
          <w:sz w:val="24"/>
          <w:szCs w:val="24"/>
          <w:lang w:val="en-MY" w:eastAsia="en-MY"/>
        </w:rPr>
      </w:pPr>
      <w:bookmarkStart w:id="1" w:name="_Hlk209173310"/>
      <w:r w:rsidRPr="0034657A">
        <w:rPr>
          <w:rFonts w:ascii="Times New Roman" w:eastAsia="Times New Roman" w:hAnsi="Times New Roman" w:cs="Times New Roman"/>
          <w:sz w:val="24"/>
          <w:szCs w:val="24"/>
          <w:lang w:val="en-MY" w:eastAsia="en-MY"/>
        </w:rPr>
        <w:t xml:space="preserve">This pilot study was conducted </w:t>
      </w:r>
      <w:r w:rsidRPr="0034657A">
        <w:rPr>
          <w:rFonts w:ascii="Times New Roman" w:eastAsia="Times New Roman" w:hAnsi="Times New Roman" w:cs="Times New Roman"/>
          <w:sz w:val="24"/>
          <w:szCs w:val="24"/>
          <w:highlight w:val="yellow"/>
          <w:lang w:val="en-MY" w:eastAsia="en-MY"/>
        </w:rPr>
        <w:t>with the main objective of evaluating the reliability and initial validity</w:t>
      </w:r>
      <w:r w:rsidRPr="0034657A">
        <w:rPr>
          <w:rFonts w:ascii="Times New Roman" w:eastAsia="Times New Roman" w:hAnsi="Times New Roman" w:cs="Times New Roman"/>
          <w:sz w:val="24"/>
          <w:szCs w:val="24"/>
          <w:lang w:val="en-MY" w:eastAsia="en-MY"/>
        </w:rPr>
        <w:t xml:space="preserve"> of a newly developed student assessment instrument designed to measure the competencies of outdoor education program leaders in the Malaysian Institute of Teacher Education (IPGM). A purposive sample of 50 Physical Education trainee teachers participated in the study. The instrument consisted of 36 items based on the Brick Wall Model, which encompasses four main </w:t>
      </w:r>
      <w:r w:rsidRPr="0034657A">
        <w:rPr>
          <w:rFonts w:ascii="Times New Roman" w:eastAsia="Times New Roman" w:hAnsi="Times New Roman" w:cs="Times New Roman"/>
          <w:sz w:val="24"/>
          <w:szCs w:val="24"/>
          <w:highlight w:val="yellow"/>
          <w:lang w:val="en-MY" w:eastAsia="en-MY"/>
        </w:rPr>
        <w:t>domains</w:t>
      </w:r>
      <w:r w:rsidRPr="0034657A">
        <w:rPr>
          <w:rFonts w:ascii="Times New Roman" w:eastAsia="Times New Roman" w:hAnsi="Times New Roman" w:cs="Times New Roman"/>
          <w:sz w:val="24"/>
          <w:szCs w:val="24"/>
          <w:lang w:val="en-MY" w:eastAsia="en-MY"/>
        </w:rPr>
        <w:t xml:space="preserve">: foundation skills, hard skills, soft skills, and meta-skills. Data were analysed using SPSS, focusing on internal consistency reliability through Cronbach’s Alpha. Findings indicated that all four domains achieved coefficients above the threshold of 0.70, as recommended by Nunnally and Bernstein (1994). </w:t>
      </w:r>
      <w:r w:rsidRPr="0034657A">
        <w:rPr>
          <w:rFonts w:ascii="Times New Roman" w:eastAsia="Times New Roman" w:hAnsi="Times New Roman" w:cs="Times New Roman"/>
          <w:sz w:val="24"/>
          <w:szCs w:val="24"/>
          <w:highlight w:val="yellow"/>
          <w:lang w:val="en-MY" w:eastAsia="en-MY"/>
        </w:rPr>
        <w:t>The overall instrument reliability was 0.83, confirming satisfactory to high levels of internal consistency.</w:t>
      </w:r>
      <w:r>
        <w:rPr>
          <w:rFonts w:ascii="Times New Roman" w:eastAsia="Times New Roman" w:hAnsi="Times New Roman" w:cs="Times New Roman"/>
          <w:sz w:val="24"/>
          <w:szCs w:val="24"/>
          <w:lang w:val="en-MY" w:eastAsia="en-MY"/>
        </w:rPr>
        <w:t xml:space="preserve"> </w:t>
      </w:r>
      <w:r w:rsidRPr="0034657A">
        <w:rPr>
          <w:rFonts w:ascii="Times New Roman" w:eastAsia="Times New Roman" w:hAnsi="Times New Roman" w:cs="Times New Roman"/>
          <w:sz w:val="24"/>
          <w:szCs w:val="24"/>
          <w:lang w:val="en-MY" w:eastAsia="en-MY"/>
        </w:rPr>
        <w:t xml:space="preserve">These results highlight that the instrument is </w:t>
      </w:r>
      <w:r w:rsidRPr="0034657A">
        <w:rPr>
          <w:rFonts w:ascii="Times New Roman" w:eastAsia="Times New Roman" w:hAnsi="Times New Roman" w:cs="Times New Roman"/>
          <w:sz w:val="24"/>
          <w:szCs w:val="24"/>
          <w:highlight w:val="yellow"/>
          <w:lang w:val="en-MY" w:eastAsia="en-MY"/>
        </w:rPr>
        <w:t>sufficiently robust for use in the main study and contributes to systematic, student-based evaluation</w:t>
      </w:r>
      <w:r w:rsidRPr="0034657A">
        <w:rPr>
          <w:rFonts w:ascii="Times New Roman" w:eastAsia="Times New Roman" w:hAnsi="Times New Roman" w:cs="Times New Roman"/>
          <w:sz w:val="24"/>
          <w:szCs w:val="24"/>
          <w:lang w:val="en-MY" w:eastAsia="en-MY"/>
        </w:rPr>
        <w:t xml:space="preserve"> of outdoor education leadership competencies within teacher education in Malaysia.</w:t>
      </w:r>
    </w:p>
    <w:bookmarkEnd w:id="1"/>
    <w:p w14:paraId="3100391A" w14:textId="77777777" w:rsidR="0034657A" w:rsidRPr="007328E2" w:rsidRDefault="0034657A" w:rsidP="00A46B19">
      <w:pPr>
        <w:spacing w:after="0" w:line="240" w:lineRule="auto"/>
        <w:jc w:val="both"/>
        <w:rPr>
          <w:rFonts w:ascii="Times New Roman" w:eastAsia="Times New Roman" w:hAnsi="Times New Roman" w:cs="Times New Roman"/>
          <w:sz w:val="24"/>
          <w:szCs w:val="24"/>
          <w:lang w:val="en-MY" w:eastAsia="en-MY"/>
        </w:rPr>
      </w:pPr>
    </w:p>
    <w:p w14:paraId="68D3C4F2" w14:textId="47D48C6A" w:rsidR="00957EAF" w:rsidRPr="00461E7C" w:rsidRDefault="007328E2" w:rsidP="00A46B19">
      <w:pPr>
        <w:spacing w:after="0" w:line="240" w:lineRule="auto"/>
        <w:rPr>
          <w:rFonts w:ascii="Times New Roman" w:eastAsia="Times New Roman" w:hAnsi="Times New Roman" w:cs="Times New Roman"/>
          <w:sz w:val="24"/>
          <w:szCs w:val="24"/>
          <w:lang w:val="en-MY" w:eastAsia="en-MY"/>
        </w:rPr>
      </w:pPr>
      <w:r w:rsidRPr="007328E2">
        <w:rPr>
          <w:rFonts w:ascii="Times New Roman" w:eastAsia="Times New Roman" w:hAnsi="Times New Roman" w:cs="Times New Roman"/>
          <w:b/>
          <w:bCs/>
          <w:sz w:val="24"/>
          <w:szCs w:val="24"/>
          <w:lang w:val="en-MY" w:eastAsia="en-MY"/>
        </w:rPr>
        <w:t>Keywords:</w:t>
      </w:r>
      <w:r w:rsidRPr="007328E2">
        <w:rPr>
          <w:rFonts w:ascii="Times New Roman" w:eastAsia="Times New Roman" w:hAnsi="Times New Roman" w:cs="Times New Roman"/>
          <w:sz w:val="24"/>
          <w:szCs w:val="24"/>
          <w:lang w:val="en-MY" w:eastAsia="en-MY"/>
        </w:rPr>
        <w:t xml:space="preserve"> pilot study, reliability, Cronbach’s Alpha, outdoor leadership, student assessment</w:t>
      </w:r>
    </w:p>
    <w:p w14:paraId="4AECBF3A" w14:textId="77777777" w:rsidR="00957EAF" w:rsidRDefault="00957EAF" w:rsidP="00A46B19">
      <w:pPr>
        <w:pStyle w:val="NormalWeb"/>
        <w:spacing w:before="0" w:beforeAutospacing="0" w:after="0" w:afterAutospacing="0"/>
        <w:jc w:val="both"/>
        <w:rPr>
          <w:b/>
          <w:bCs/>
        </w:rPr>
      </w:pPr>
    </w:p>
    <w:p w14:paraId="507EA084" w14:textId="77777777" w:rsidR="00DF4587" w:rsidRPr="00590B20" w:rsidRDefault="00DF4587" w:rsidP="00A46B19">
      <w:pPr>
        <w:pStyle w:val="NormalWeb"/>
        <w:spacing w:before="0" w:beforeAutospacing="0" w:after="0" w:afterAutospacing="0"/>
        <w:jc w:val="both"/>
        <w:rPr>
          <w:b/>
          <w:bCs/>
        </w:rPr>
      </w:pPr>
    </w:p>
    <w:p w14:paraId="1FE38925" w14:textId="3F9E2803" w:rsidR="00132722" w:rsidRDefault="00FA0825" w:rsidP="00A46B19">
      <w:pPr>
        <w:pStyle w:val="Heading1"/>
        <w:spacing w:before="0" w:line="240" w:lineRule="auto"/>
      </w:pPr>
      <w:r w:rsidRPr="00132722">
        <w:t>INTRODUCTION</w:t>
      </w:r>
    </w:p>
    <w:p w14:paraId="1EACA9E6" w14:textId="77777777" w:rsidR="00973017" w:rsidRPr="00973017" w:rsidRDefault="00973017" w:rsidP="00A46B19">
      <w:pPr>
        <w:spacing w:after="0" w:line="240" w:lineRule="auto"/>
      </w:pPr>
    </w:p>
    <w:p w14:paraId="63AB2FEA" w14:textId="65B8E750" w:rsidR="00A46B19" w:rsidRDefault="00A46B19" w:rsidP="00A46B19">
      <w:pPr>
        <w:pStyle w:val="NormalWeb"/>
        <w:spacing w:before="0" w:beforeAutospacing="0" w:after="0" w:afterAutospacing="0"/>
        <w:jc w:val="both"/>
      </w:pPr>
      <w:r>
        <w:t xml:space="preserve">Outdoor education is globally recognised as a critical element of experiential learning and teacher preparation. It provides authentic environments where students develop physical competence alongside essential life skills such as teamwork, leadership, and decision-making. In the Malaysian Institute of Teacher Education (IPGM), outdoor education is embedded within the Physical Education curriculum, functioning as a platform to prepare future teachers who can effectively manage and lead outdoor programmes. </w:t>
      </w:r>
      <w:r w:rsidRPr="00A46B19">
        <w:rPr>
          <w:highlight w:val="yellow"/>
        </w:rPr>
        <w:t>The quality of leadership in these programmes directly influences safety, learning outcomes, and holistic student development</w:t>
      </w:r>
      <w:r>
        <w:t xml:space="preserve"> (Omar, Md Amin, &amp; </w:t>
      </w:r>
      <w:proofErr w:type="spellStart"/>
      <w:r>
        <w:t>Mazuki</w:t>
      </w:r>
      <w:proofErr w:type="spellEnd"/>
      <w:r>
        <w:t>, 2020).</w:t>
      </w:r>
    </w:p>
    <w:p w14:paraId="3959FCCC" w14:textId="77777777" w:rsidR="00A46B19" w:rsidRDefault="00A46B19" w:rsidP="00A46B19">
      <w:pPr>
        <w:pStyle w:val="NormalWeb"/>
        <w:spacing w:before="0" w:beforeAutospacing="0" w:after="0" w:afterAutospacing="0"/>
        <w:jc w:val="both"/>
      </w:pPr>
    </w:p>
    <w:p w14:paraId="4C440150" w14:textId="0242B437" w:rsidR="00A46B19" w:rsidRDefault="00A46B19" w:rsidP="00A46B19">
      <w:pPr>
        <w:pStyle w:val="NormalWeb"/>
        <w:spacing w:before="0" w:beforeAutospacing="0" w:after="0" w:afterAutospacing="0"/>
        <w:jc w:val="both"/>
      </w:pPr>
      <w:r>
        <w:t xml:space="preserve">Leadership competencies in outdoor education are inherently multidimensional, encompassing technical expertise, risk management, interpersonal communication, and the capacity to inspire participants. Priest and </w:t>
      </w:r>
      <w:proofErr w:type="spellStart"/>
      <w:r>
        <w:t>Gass</w:t>
      </w:r>
      <w:proofErr w:type="spellEnd"/>
      <w:r>
        <w:t xml:space="preserve"> (1997) introduced the Brick Wall Model, which organises these competencies into four interconnected domains: </w:t>
      </w:r>
      <w:r w:rsidRPr="00A46B19">
        <w:rPr>
          <w:highlight w:val="yellow"/>
        </w:rPr>
        <w:t>foundation skills, hard skills, soft skills, and meta-skills</w:t>
      </w:r>
      <w:r>
        <w:t xml:space="preserve">. This framework has been widely applied in leadership and adventure programming research and remains highly relevant for evaluating outdoor leaders (Neill, 2002; Omar, Md Amin, &amp; </w:t>
      </w:r>
      <w:proofErr w:type="spellStart"/>
      <w:r>
        <w:t>Mazuki</w:t>
      </w:r>
      <w:proofErr w:type="spellEnd"/>
      <w:r>
        <w:t xml:space="preserve">, 2020). Nevertheless, in the Malaysian context, </w:t>
      </w:r>
      <w:r w:rsidRPr="00A46B19">
        <w:rPr>
          <w:highlight w:val="yellow"/>
        </w:rPr>
        <w:t xml:space="preserve">limited empirical work has been conducted on student-based </w:t>
      </w:r>
      <w:r w:rsidRPr="00A46B19">
        <w:rPr>
          <w:highlight w:val="yellow"/>
        </w:rPr>
        <w:lastRenderedPageBreak/>
        <w:t>assessments of leadership competencies</w:t>
      </w:r>
      <w:r>
        <w:t>, despite students being the direct recipients of leadership practices.</w:t>
      </w:r>
    </w:p>
    <w:p w14:paraId="67F346C8" w14:textId="77777777" w:rsidR="00A46B19" w:rsidRDefault="00A46B19" w:rsidP="00A46B19">
      <w:pPr>
        <w:pStyle w:val="NormalWeb"/>
        <w:spacing w:before="0" w:beforeAutospacing="0" w:after="0" w:afterAutospacing="0"/>
        <w:jc w:val="both"/>
      </w:pPr>
    </w:p>
    <w:p w14:paraId="7AEF55FF" w14:textId="06183963" w:rsidR="00A46B19" w:rsidRDefault="00A46B19" w:rsidP="00A46B19">
      <w:pPr>
        <w:pStyle w:val="NormalWeb"/>
        <w:spacing w:before="0" w:beforeAutospacing="0" w:after="0" w:afterAutospacing="0"/>
        <w:jc w:val="both"/>
      </w:pPr>
      <w:r>
        <w:t>International studies consistently emphasise the contributions of outdoor education to resilience, social cohesion, and environmental awareness (</w:t>
      </w:r>
      <w:proofErr w:type="spellStart"/>
      <w:r>
        <w:t>Yildiz</w:t>
      </w:r>
      <w:proofErr w:type="spellEnd"/>
      <w:r>
        <w:t xml:space="preserve">, 2022). In Asia, similar research highlights its role in developing teamwork, adaptability, and problem-solving skills among trainee teachers (Wang, </w:t>
      </w:r>
      <w:proofErr w:type="spellStart"/>
      <w:r>
        <w:t>Mazuki</w:t>
      </w:r>
      <w:proofErr w:type="spellEnd"/>
      <w:r>
        <w:t xml:space="preserve">, Chang, &amp; Wu, 2024). However, much of this scholarship has centred on programme outcomes rather than leadership competencies. </w:t>
      </w:r>
      <w:r w:rsidRPr="00A46B19">
        <w:rPr>
          <w:highlight w:val="yellow"/>
        </w:rPr>
        <w:t>This creates a clear gap in Malaysia, where the effectiveness of outdoor leadership is critical to safety, participant well-being, and learning outcomes</w:t>
      </w:r>
      <w:r w:rsidR="004302F3">
        <w:t>.</w:t>
      </w:r>
    </w:p>
    <w:p w14:paraId="4AC314B1" w14:textId="77777777" w:rsidR="00A46B19" w:rsidRDefault="00A46B19" w:rsidP="00A46B19">
      <w:pPr>
        <w:pStyle w:val="NormalWeb"/>
        <w:spacing w:before="0" w:beforeAutospacing="0" w:after="0" w:afterAutospacing="0"/>
        <w:jc w:val="both"/>
      </w:pPr>
    </w:p>
    <w:p w14:paraId="38FDAA49" w14:textId="34CD8669" w:rsidR="00A46B19" w:rsidRDefault="00A46B19" w:rsidP="00A46B19">
      <w:pPr>
        <w:pStyle w:val="NormalWeb"/>
        <w:spacing w:before="0" w:beforeAutospacing="0" w:after="0" w:afterAutospacing="0"/>
        <w:jc w:val="both"/>
      </w:pPr>
      <w:r>
        <w:t xml:space="preserve">Student perspectives are increasingly recognised as vital in evaluating leadership within higher education. Research shows that </w:t>
      </w:r>
      <w:r w:rsidRPr="00A46B19">
        <w:rPr>
          <w:highlight w:val="yellow"/>
        </w:rPr>
        <w:t>student feedback provides valuable insights into instructional effectiveness and learning experiences</w:t>
      </w:r>
      <w:r>
        <w:t xml:space="preserve"> (</w:t>
      </w:r>
      <w:proofErr w:type="spellStart"/>
      <w:r>
        <w:t>Shamsulariffin</w:t>
      </w:r>
      <w:proofErr w:type="spellEnd"/>
      <w:r>
        <w:t xml:space="preserve">, </w:t>
      </w:r>
      <w:proofErr w:type="spellStart"/>
      <w:r>
        <w:t>Borhanuddin</w:t>
      </w:r>
      <w:proofErr w:type="spellEnd"/>
      <w:r>
        <w:t xml:space="preserve">, &amp; Chee, 2018). Within teacher education, instruments capturing these perspectives can help align professional training with both pedagogical standards and student expectations. Developing a systematic assessment instrument for outdoor education leadership competencies is therefore </w:t>
      </w:r>
      <w:r w:rsidRPr="00A46B19">
        <w:rPr>
          <w:highlight w:val="yellow"/>
        </w:rPr>
        <w:t>essential to enhancing leadership training, professional development, and accountability</w:t>
      </w:r>
      <w:r>
        <w:t xml:space="preserve"> (Said et al., 2020).</w:t>
      </w:r>
    </w:p>
    <w:p w14:paraId="767A8024" w14:textId="77777777" w:rsidR="00A46B19" w:rsidRDefault="00A46B19" w:rsidP="00A46B19">
      <w:pPr>
        <w:pStyle w:val="NormalWeb"/>
        <w:spacing w:before="0" w:beforeAutospacing="0" w:after="0" w:afterAutospacing="0"/>
        <w:jc w:val="both"/>
      </w:pPr>
    </w:p>
    <w:p w14:paraId="65EDBF12" w14:textId="107341D9" w:rsidR="00E503A2" w:rsidRDefault="00A46B19" w:rsidP="00A46B19">
      <w:pPr>
        <w:pStyle w:val="NormalWeb"/>
        <w:spacing w:before="0" w:beforeAutospacing="0" w:after="0" w:afterAutospacing="0"/>
        <w:jc w:val="both"/>
      </w:pPr>
      <w:r>
        <w:t xml:space="preserve">Pilot testing plays a crucial role in instrument development. It allows researchers to refine item wording, evaluate feasibility, and establish preliminary reliability before large-scale deployment. Methodological literature affirms that </w:t>
      </w:r>
      <w:r w:rsidRPr="00A46B19">
        <w:rPr>
          <w:highlight w:val="yellow"/>
        </w:rPr>
        <w:t>pilot studies, even with smaller samples, are sufficient to determine feasibility and initial reliability</w:t>
      </w:r>
      <w:r>
        <w:t xml:space="preserve"> (Nunnally &amp; Bernstein, 1994; </w:t>
      </w:r>
      <w:proofErr w:type="spellStart"/>
      <w:r>
        <w:t>Pallant</w:t>
      </w:r>
      <w:proofErr w:type="spellEnd"/>
      <w:r>
        <w:t xml:space="preserve">, 2020). By conducting this pilot test with trainee teachers in IPGM, the present study seeks to establish the reliability of a newly developed student assessment instrument and confirm its contextual relevance. The findings </w:t>
      </w:r>
      <w:r w:rsidRPr="00A46B19">
        <w:rPr>
          <w:highlight w:val="yellow"/>
        </w:rPr>
        <w:t>contribute to refining the instrument while advancing discourse on leadership competency assessment in outdoor education</w:t>
      </w:r>
      <w:r>
        <w:t xml:space="preserve"> (</w:t>
      </w:r>
      <w:proofErr w:type="spellStart"/>
      <w:r>
        <w:t>Mohd</w:t>
      </w:r>
      <w:proofErr w:type="spellEnd"/>
      <w:r>
        <w:t xml:space="preserve"> Said et al., 2025).</w:t>
      </w:r>
    </w:p>
    <w:p w14:paraId="0D825146" w14:textId="77777777" w:rsidR="003F1711" w:rsidRDefault="003F1711" w:rsidP="00A46B19">
      <w:pPr>
        <w:pStyle w:val="NormalWeb"/>
        <w:spacing w:before="0" w:beforeAutospacing="0" w:after="0" w:afterAutospacing="0"/>
        <w:jc w:val="both"/>
      </w:pPr>
    </w:p>
    <w:p w14:paraId="3C6B421D" w14:textId="77777777" w:rsidR="003F1711" w:rsidRPr="00590B20" w:rsidRDefault="003F1711" w:rsidP="00A46B19">
      <w:pPr>
        <w:pStyle w:val="NormalWeb"/>
        <w:spacing w:before="0" w:beforeAutospacing="0" w:after="0" w:afterAutospacing="0"/>
        <w:jc w:val="both"/>
      </w:pPr>
    </w:p>
    <w:p w14:paraId="7904FC39" w14:textId="4F28FAF6" w:rsidR="00CA2CF8" w:rsidRDefault="00CA2CF8" w:rsidP="00A46B19">
      <w:pPr>
        <w:pStyle w:val="Heading1"/>
        <w:spacing w:before="0" w:line="240" w:lineRule="auto"/>
        <w:rPr>
          <w:lang w:val="en-MY" w:eastAsia="en-MY"/>
        </w:rPr>
      </w:pPr>
      <w:r w:rsidRPr="005E19B7">
        <w:rPr>
          <w:lang w:val="en-MY" w:eastAsia="en-MY"/>
        </w:rPr>
        <w:t>MATERIALS AND METHODS</w:t>
      </w:r>
    </w:p>
    <w:p w14:paraId="09899D25" w14:textId="77777777" w:rsidR="00973017" w:rsidRPr="00973017" w:rsidRDefault="00973017" w:rsidP="00A46B19">
      <w:pPr>
        <w:spacing w:after="0" w:line="240" w:lineRule="auto"/>
        <w:rPr>
          <w:lang w:val="en-MY" w:eastAsia="en-MY"/>
        </w:rPr>
      </w:pPr>
    </w:p>
    <w:p w14:paraId="4F4D10D7" w14:textId="77777777" w:rsidR="00CA2CF8" w:rsidRDefault="00CA2CF8" w:rsidP="00973017">
      <w:pPr>
        <w:pStyle w:val="Heading2"/>
        <w:spacing w:before="0" w:line="240" w:lineRule="auto"/>
        <w:rPr>
          <w:lang w:val="en-MY" w:eastAsia="en-MY"/>
        </w:rPr>
      </w:pPr>
      <w:r w:rsidRPr="00CA2CF8">
        <w:rPr>
          <w:lang w:val="en-MY" w:eastAsia="en-MY"/>
        </w:rPr>
        <w:t>Research Design</w:t>
      </w:r>
    </w:p>
    <w:p w14:paraId="2C14ED50" w14:textId="77777777" w:rsidR="00973017" w:rsidRPr="00973017" w:rsidRDefault="00973017" w:rsidP="00973017">
      <w:pPr>
        <w:spacing w:after="0" w:line="240" w:lineRule="auto"/>
        <w:rPr>
          <w:lang w:val="en-MY" w:eastAsia="en-MY"/>
        </w:rPr>
      </w:pPr>
    </w:p>
    <w:p w14:paraId="741FEC31" w14:textId="32CB8F96" w:rsidR="003F1711" w:rsidRDefault="00A46B19" w:rsidP="00973017">
      <w:pPr>
        <w:spacing w:after="0" w:line="240" w:lineRule="auto"/>
        <w:jc w:val="both"/>
        <w:rPr>
          <w:rFonts w:ascii="Times New Roman" w:eastAsia="Times New Roman" w:hAnsi="Times New Roman" w:cs="Times New Roman"/>
          <w:sz w:val="24"/>
          <w:szCs w:val="24"/>
          <w:lang w:val="en-MY" w:eastAsia="en-MY"/>
        </w:rPr>
      </w:pPr>
      <w:r w:rsidRPr="00A46B19">
        <w:rPr>
          <w:rFonts w:ascii="Times New Roman" w:eastAsia="Times New Roman" w:hAnsi="Times New Roman" w:cs="Times New Roman"/>
          <w:sz w:val="24"/>
          <w:szCs w:val="24"/>
          <w:lang w:val="en-MY" w:eastAsia="en-MY"/>
        </w:rPr>
        <w:t>This study employed a</w:t>
      </w:r>
      <w:r>
        <w:rPr>
          <w:rFonts w:ascii="Times New Roman" w:eastAsia="Times New Roman" w:hAnsi="Times New Roman" w:cs="Times New Roman"/>
          <w:sz w:val="24"/>
          <w:szCs w:val="24"/>
          <w:lang w:val="en-MY" w:eastAsia="en-MY"/>
        </w:rPr>
        <w:t xml:space="preserve"> </w:t>
      </w:r>
      <w:r w:rsidRPr="00A46B19">
        <w:rPr>
          <w:rFonts w:ascii="Times New Roman" w:eastAsia="Times New Roman" w:hAnsi="Times New Roman" w:cs="Times New Roman"/>
          <w:sz w:val="24"/>
          <w:szCs w:val="24"/>
          <w:highlight w:val="yellow"/>
          <w:lang w:val="en-MY" w:eastAsia="en-MY"/>
        </w:rPr>
        <w:t>quantitative descriptive survey design</w:t>
      </w:r>
      <w:r>
        <w:rPr>
          <w:rFonts w:ascii="Times New Roman" w:eastAsia="Times New Roman" w:hAnsi="Times New Roman" w:cs="Times New Roman"/>
          <w:sz w:val="24"/>
          <w:szCs w:val="24"/>
          <w:lang w:val="en-MY" w:eastAsia="en-MY"/>
        </w:rPr>
        <w:t xml:space="preserve"> </w:t>
      </w:r>
      <w:r w:rsidRPr="00A46B19">
        <w:rPr>
          <w:rFonts w:ascii="Times New Roman" w:eastAsia="Times New Roman" w:hAnsi="Times New Roman" w:cs="Times New Roman"/>
          <w:sz w:val="24"/>
          <w:szCs w:val="24"/>
          <w:lang w:val="en-MY" w:eastAsia="en-MY"/>
        </w:rPr>
        <w:t xml:space="preserve">with the primary aim of </w:t>
      </w:r>
      <w:r w:rsidRPr="00A46B19">
        <w:rPr>
          <w:rFonts w:ascii="Times New Roman" w:eastAsia="Times New Roman" w:hAnsi="Times New Roman" w:cs="Times New Roman"/>
          <w:sz w:val="24"/>
          <w:szCs w:val="24"/>
          <w:highlight w:val="yellow"/>
          <w:lang w:val="en-MY" w:eastAsia="en-MY"/>
        </w:rPr>
        <w:t>pilot testing the newly developed student assessment instrument prior to large-scale implementation</w:t>
      </w:r>
      <w:r w:rsidRPr="00A46B19">
        <w:rPr>
          <w:rFonts w:ascii="Times New Roman" w:eastAsia="Times New Roman" w:hAnsi="Times New Roman" w:cs="Times New Roman"/>
          <w:sz w:val="24"/>
          <w:szCs w:val="24"/>
          <w:lang w:val="en-MY" w:eastAsia="en-MY"/>
        </w:rPr>
        <w:t>. The design allowed the researchers to</w:t>
      </w:r>
      <w:r>
        <w:rPr>
          <w:rFonts w:ascii="Times New Roman" w:eastAsia="Times New Roman" w:hAnsi="Times New Roman" w:cs="Times New Roman"/>
          <w:sz w:val="24"/>
          <w:szCs w:val="24"/>
          <w:lang w:val="en-MY" w:eastAsia="en-MY"/>
        </w:rPr>
        <w:t xml:space="preserve"> </w:t>
      </w:r>
      <w:r w:rsidRPr="00A46B19">
        <w:rPr>
          <w:rFonts w:ascii="Times New Roman" w:eastAsia="Times New Roman" w:hAnsi="Times New Roman" w:cs="Times New Roman"/>
          <w:sz w:val="24"/>
          <w:szCs w:val="24"/>
          <w:highlight w:val="yellow"/>
          <w:lang w:val="en-MY" w:eastAsia="en-MY"/>
        </w:rPr>
        <w:t>evaluate feasibility, clarity, and preliminary reliability</w:t>
      </w:r>
      <w:r w:rsidRPr="00A46B19">
        <w:rPr>
          <w:rFonts w:ascii="Times New Roman" w:eastAsia="Times New Roman" w:hAnsi="Times New Roman" w:cs="Times New Roman"/>
          <w:sz w:val="24"/>
          <w:szCs w:val="24"/>
          <w:lang w:val="en-MY" w:eastAsia="en-MY"/>
        </w:rPr>
        <w:t xml:space="preserve">, which is consistent with methodological literature recommending that </w:t>
      </w:r>
      <w:r w:rsidRPr="00A46B19">
        <w:rPr>
          <w:rFonts w:ascii="Times New Roman" w:eastAsia="Times New Roman" w:hAnsi="Times New Roman" w:cs="Times New Roman"/>
          <w:sz w:val="24"/>
          <w:szCs w:val="24"/>
          <w:highlight w:val="yellow"/>
          <w:lang w:val="en-MY" w:eastAsia="en-MY"/>
        </w:rPr>
        <w:t>pilot studies help identify ambiguous items, refine the response scale, and confirm internal consistency</w:t>
      </w:r>
      <w:r w:rsidRPr="00A46B19">
        <w:rPr>
          <w:rFonts w:ascii="Times New Roman" w:eastAsia="Times New Roman" w:hAnsi="Times New Roman" w:cs="Times New Roman"/>
          <w:sz w:val="24"/>
          <w:szCs w:val="24"/>
          <w:lang w:val="en-MY" w:eastAsia="en-MY"/>
        </w:rPr>
        <w:t xml:space="preserve"> before confirmatory studies (</w:t>
      </w:r>
      <w:proofErr w:type="spellStart"/>
      <w:r w:rsidRPr="00A46B19">
        <w:rPr>
          <w:rFonts w:ascii="Times New Roman" w:eastAsia="Times New Roman" w:hAnsi="Times New Roman" w:cs="Times New Roman"/>
          <w:sz w:val="24"/>
          <w:szCs w:val="24"/>
          <w:lang w:val="en-MY" w:eastAsia="en-MY"/>
        </w:rPr>
        <w:t>Pallant</w:t>
      </w:r>
      <w:proofErr w:type="spellEnd"/>
      <w:r w:rsidRPr="00A46B19">
        <w:rPr>
          <w:rFonts w:ascii="Times New Roman" w:eastAsia="Times New Roman" w:hAnsi="Times New Roman" w:cs="Times New Roman"/>
          <w:sz w:val="24"/>
          <w:szCs w:val="24"/>
          <w:lang w:val="en-MY" w:eastAsia="en-MY"/>
        </w:rPr>
        <w:t>, 2020).</w:t>
      </w:r>
    </w:p>
    <w:p w14:paraId="49B051F8" w14:textId="77777777" w:rsidR="003F1711" w:rsidRDefault="003F1711" w:rsidP="00973017">
      <w:pPr>
        <w:spacing w:after="0" w:line="240" w:lineRule="auto"/>
        <w:jc w:val="both"/>
        <w:rPr>
          <w:rFonts w:ascii="Times New Roman" w:eastAsia="Times New Roman" w:hAnsi="Times New Roman" w:cs="Times New Roman"/>
          <w:sz w:val="24"/>
          <w:szCs w:val="24"/>
          <w:lang w:val="en-MY" w:eastAsia="en-MY"/>
        </w:rPr>
      </w:pPr>
    </w:p>
    <w:p w14:paraId="5FD5DF21" w14:textId="77777777" w:rsidR="00DF4587" w:rsidRDefault="00DF4587" w:rsidP="00973017">
      <w:pPr>
        <w:spacing w:after="0" w:line="240" w:lineRule="auto"/>
        <w:jc w:val="both"/>
        <w:rPr>
          <w:rFonts w:ascii="Times New Roman" w:eastAsia="Times New Roman" w:hAnsi="Times New Roman" w:cs="Times New Roman"/>
          <w:sz w:val="24"/>
          <w:szCs w:val="24"/>
          <w:lang w:val="en-MY" w:eastAsia="en-MY"/>
        </w:rPr>
      </w:pPr>
    </w:p>
    <w:p w14:paraId="1C2EB75A" w14:textId="77777777" w:rsidR="00DF4587" w:rsidRPr="00CA2CF8" w:rsidRDefault="00DF4587" w:rsidP="00973017">
      <w:pPr>
        <w:spacing w:after="0" w:line="240" w:lineRule="auto"/>
        <w:jc w:val="both"/>
        <w:rPr>
          <w:rFonts w:ascii="Times New Roman" w:eastAsia="Times New Roman" w:hAnsi="Times New Roman" w:cs="Times New Roman"/>
          <w:sz w:val="24"/>
          <w:szCs w:val="24"/>
          <w:lang w:val="en-MY" w:eastAsia="en-MY"/>
        </w:rPr>
      </w:pPr>
    </w:p>
    <w:p w14:paraId="43DACD6A" w14:textId="77777777" w:rsidR="00CA2CF8" w:rsidRDefault="00CA2CF8" w:rsidP="00973017">
      <w:pPr>
        <w:pStyle w:val="Heading2"/>
        <w:spacing w:before="0" w:line="240" w:lineRule="auto"/>
        <w:rPr>
          <w:lang w:val="en-MY" w:eastAsia="en-MY"/>
        </w:rPr>
      </w:pPr>
      <w:r w:rsidRPr="00CA2CF8">
        <w:rPr>
          <w:lang w:val="en-MY" w:eastAsia="en-MY"/>
        </w:rPr>
        <w:t>Participants</w:t>
      </w:r>
    </w:p>
    <w:p w14:paraId="6A3FB839" w14:textId="77777777" w:rsidR="00973017" w:rsidRPr="00973017" w:rsidRDefault="00973017" w:rsidP="00973017">
      <w:pPr>
        <w:spacing w:after="0" w:line="240" w:lineRule="auto"/>
        <w:rPr>
          <w:lang w:val="en-MY" w:eastAsia="en-MY"/>
        </w:rPr>
      </w:pPr>
    </w:p>
    <w:p w14:paraId="2B905FEA" w14:textId="25B917DC" w:rsidR="00BE04F6" w:rsidRDefault="00A46B19" w:rsidP="00973017">
      <w:pPr>
        <w:spacing w:after="0" w:line="240" w:lineRule="auto"/>
        <w:jc w:val="both"/>
        <w:rPr>
          <w:rFonts w:ascii="Times New Roman" w:eastAsia="Times New Roman" w:hAnsi="Times New Roman" w:cs="Times New Roman"/>
          <w:sz w:val="24"/>
          <w:szCs w:val="24"/>
          <w:lang w:val="en-MY" w:eastAsia="en-MY"/>
        </w:rPr>
      </w:pPr>
      <w:r w:rsidRPr="00A46B19">
        <w:rPr>
          <w:rFonts w:ascii="Times New Roman" w:eastAsia="Times New Roman" w:hAnsi="Times New Roman" w:cs="Times New Roman"/>
          <w:sz w:val="24"/>
          <w:szCs w:val="24"/>
          <w:lang w:val="en-MY" w:eastAsia="en-MY"/>
        </w:rPr>
        <w:lastRenderedPageBreak/>
        <w:t xml:space="preserve">A total of </w:t>
      </w:r>
      <w:r w:rsidRPr="00A46B19">
        <w:rPr>
          <w:rFonts w:ascii="Times New Roman" w:eastAsia="Times New Roman" w:hAnsi="Times New Roman" w:cs="Times New Roman"/>
          <w:sz w:val="24"/>
          <w:szCs w:val="24"/>
          <w:highlight w:val="yellow"/>
          <w:lang w:val="en-MY" w:eastAsia="en-MY"/>
        </w:rPr>
        <w:t>50 trainee teachers enrolled in the Physical Education programme at IPGM</w:t>
      </w:r>
      <w:r w:rsidRPr="00A46B19">
        <w:rPr>
          <w:rFonts w:ascii="Times New Roman" w:eastAsia="Times New Roman" w:hAnsi="Times New Roman" w:cs="Times New Roman"/>
          <w:sz w:val="24"/>
          <w:szCs w:val="24"/>
          <w:lang w:val="en-MY" w:eastAsia="en-MY"/>
        </w:rPr>
        <w:t xml:space="preserve"> participated in the study. The use of </w:t>
      </w:r>
      <w:r w:rsidRPr="00A46B19">
        <w:rPr>
          <w:rFonts w:ascii="Times New Roman" w:eastAsia="Times New Roman" w:hAnsi="Times New Roman" w:cs="Times New Roman"/>
          <w:sz w:val="24"/>
          <w:szCs w:val="24"/>
          <w:highlight w:val="yellow"/>
          <w:lang w:val="en-MY" w:eastAsia="en-MY"/>
        </w:rPr>
        <w:t>purposive sampling</w:t>
      </w:r>
      <w:r>
        <w:rPr>
          <w:rFonts w:ascii="Times New Roman" w:eastAsia="Times New Roman" w:hAnsi="Times New Roman" w:cs="Times New Roman"/>
          <w:sz w:val="24"/>
          <w:szCs w:val="24"/>
          <w:lang w:val="en-MY" w:eastAsia="en-MY"/>
        </w:rPr>
        <w:t xml:space="preserve"> </w:t>
      </w:r>
      <w:r w:rsidRPr="00A46B19">
        <w:rPr>
          <w:rFonts w:ascii="Times New Roman" w:eastAsia="Times New Roman" w:hAnsi="Times New Roman" w:cs="Times New Roman"/>
          <w:sz w:val="24"/>
          <w:szCs w:val="24"/>
          <w:lang w:val="en-MY" w:eastAsia="en-MY"/>
        </w:rPr>
        <w:t xml:space="preserve">ensured that all respondents had direct exposure to outdoor education courses and programmes. The </w:t>
      </w:r>
      <w:r w:rsidRPr="00A46B19">
        <w:rPr>
          <w:rFonts w:ascii="Times New Roman" w:eastAsia="Times New Roman" w:hAnsi="Times New Roman" w:cs="Times New Roman"/>
          <w:sz w:val="24"/>
          <w:szCs w:val="24"/>
          <w:highlight w:val="yellow"/>
          <w:lang w:val="en-MY" w:eastAsia="en-MY"/>
        </w:rPr>
        <w:t>sample size of 50 is considered sufficient for pilot testing</w:t>
      </w:r>
      <w:r w:rsidRPr="00A46B19">
        <w:rPr>
          <w:rFonts w:ascii="Times New Roman" w:eastAsia="Times New Roman" w:hAnsi="Times New Roman" w:cs="Times New Roman"/>
          <w:sz w:val="24"/>
          <w:szCs w:val="24"/>
          <w:lang w:val="en-MY" w:eastAsia="en-MY"/>
        </w:rPr>
        <w:t xml:space="preserve">, as methodological guidelines suggest 30–50 participants are adequate to assess instrument feasibility and reliability (Nunnally &amp; Bernstein, 1994). The participants represented </w:t>
      </w:r>
      <w:r w:rsidRPr="00A46B19">
        <w:rPr>
          <w:rFonts w:ascii="Times New Roman" w:eastAsia="Times New Roman" w:hAnsi="Times New Roman" w:cs="Times New Roman"/>
          <w:sz w:val="24"/>
          <w:szCs w:val="24"/>
          <w:highlight w:val="yellow"/>
          <w:lang w:val="en-MY" w:eastAsia="en-MY"/>
        </w:rPr>
        <w:t>both male and female trainee teachers from multiple campuses</w:t>
      </w:r>
      <w:r w:rsidRPr="00A46B19">
        <w:rPr>
          <w:rFonts w:ascii="Times New Roman" w:eastAsia="Times New Roman" w:hAnsi="Times New Roman" w:cs="Times New Roman"/>
          <w:sz w:val="24"/>
          <w:szCs w:val="24"/>
          <w:lang w:val="en-MY" w:eastAsia="en-MY"/>
        </w:rPr>
        <w:t>, providing diversity in experience and background.</w:t>
      </w:r>
    </w:p>
    <w:p w14:paraId="30B95957" w14:textId="77777777" w:rsidR="00B3482F" w:rsidRPr="00CA2CF8" w:rsidRDefault="00B3482F" w:rsidP="00973017">
      <w:pPr>
        <w:spacing w:after="0" w:line="240" w:lineRule="auto"/>
        <w:jc w:val="both"/>
        <w:rPr>
          <w:rFonts w:ascii="Times New Roman" w:eastAsia="Times New Roman" w:hAnsi="Times New Roman" w:cs="Times New Roman"/>
          <w:sz w:val="24"/>
          <w:szCs w:val="24"/>
          <w:lang w:val="en-MY" w:eastAsia="en-MY"/>
        </w:rPr>
      </w:pPr>
    </w:p>
    <w:p w14:paraId="79D03D6F" w14:textId="77777777" w:rsidR="00CA2CF8" w:rsidRDefault="00CA2CF8" w:rsidP="00973017">
      <w:pPr>
        <w:pStyle w:val="Heading2"/>
        <w:spacing w:before="0" w:line="240" w:lineRule="auto"/>
        <w:rPr>
          <w:lang w:val="en-MY" w:eastAsia="en-MY"/>
        </w:rPr>
      </w:pPr>
      <w:r w:rsidRPr="00CA2CF8">
        <w:rPr>
          <w:lang w:val="en-MY" w:eastAsia="en-MY"/>
        </w:rPr>
        <w:t>Instrument</w:t>
      </w:r>
    </w:p>
    <w:p w14:paraId="6AD70340" w14:textId="77777777" w:rsidR="00973017" w:rsidRPr="00973017" w:rsidRDefault="00973017" w:rsidP="00973017">
      <w:pPr>
        <w:spacing w:after="0" w:line="240" w:lineRule="auto"/>
        <w:rPr>
          <w:lang w:val="en-MY" w:eastAsia="en-MY"/>
        </w:rPr>
      </w:pPr>
    </w:p>
    <w:p w14:paraId="0A905051" w14:textId="2A9E881A" w:rsidR="00BE04F6" w:rsidRDefault="00B3482F" w:rsidP="00BE04F6">
      <w:pPr>
        <w:spacing w:after="0" w:line="240" w:lineRule="auto"/>
        <w:jc w:val="both"/>
        <w:rPr>
          <w:rFonts w:ascii="Times New Roman" w:eastAsia="Times New Roman" w:hAnsi="Times New Roman" w:cs="Times New Roman"/>
          <w:sz w:val="24"/>
          <w:szCs w:val="24"/>
          <w:lang w:val="en-MY" w:eastAsia="en-MY"/>
        </w:rPr>
      </w:pPr>
      <w:r w:rsidRPr="00B3482F">
        <w:rPr>
          <w:rFonts w:ascii="Times New Roman" w:eastAsia="Times New Roman" w:hAnsi="Times New Roman" w:cs="Times New Roman"/>
          <w:sz w:val="24"/>
          <w:szCs w:val="24"/>
          <w:lang w:val="en-MY" w:eastAsia="en-MY"/>
        </w:rPr>
        <w:t xml:space="preserve">The student assessment instrument was developed based on the </w:t>
      </w:r>
      <w:r w:rsidRPr="00B3482F">
        <w:rPr>
          <w:rFonts w:ascii="Times New Roman" w:eastAsia="Times New Roman" w:hAnsi="Times New Roman" w:cs="Times New Roman"/>
          <w:sz w:val="24"/>
          <w:szCs w:val="24"/>
          <w:highlight w:val="yellow"/>
          <w:lang w:val="en-MY" w:eastAsia="en-MY"/>
        </w:rPr>
        <w:t>Brick Wall Model of Outdoor Leadership Competency</w:t>
      </w:r>
      <w:r>
        <w:rPr>
          <w:rFonts w:ascii="Times New Roman" w:eastAsia="Times New Roman" w:hAnsi="Times New Roman" w:cs="Times New Roman"/>
          <w:sz w:val="24"/>
          <w:szCs w:val="24"/>
          <w:lang w:val="en-MY" w:eastAsia="en-MY"/>
        </w:rPr>
        <w:t xml:space="preserve"> </w:t>
      </w:r>
      <w:r w:rsidRPr="00B3482F">
        <w:rPr>
          <w:rFonts w:ascii="Times New Roman" w:eastAsia="Times New Roman" w:hAnsi="Times New Roman" w:cs="Times New Roman"/>
          <w:sz w:val="24"/>
          <w:szCs w:val="24"/>
          <w:lang w:val="en-MY" w:eastAsia="en-MY"/>
        </w:rPr>
        <w:t xml:space="preserve">(Priest &amp; </w:t>
      </w:r>
      <w:proofErr w:type="spellStart"/>
      <w:r w:rsidRPr="00B3482F">
        <w:rPr>
          <w:rFonts w:ascii="Times New Roman" w:eastAsia="Times New Roman" w:hAnsi="Times New Roman" w:cs="Times New Roman"/>
          <w:sz w:val="24"/>
          <w:szCs w:val="24"/>
          <w:lang w:val="en-MY" w:eastAsia="en-MY"/>
        </w:rPr>
        <w:t>Gass</w:t>
      </w:r>
      <w:proofErr w:type="spellEnd"/>
      <w:r w:rsidRPr="00B3482F">
        <w:rPr>
          <w:rFonts w:ascii="Times New Roman" w:eastAsia="Times New Roman" w:hAnsi="Times New Roman" w:cs="Times New Roman"/>
          <w:sz w:val="24"/>
          <w:szCs w:val="24"/>
          <w:lang w:val="en-MY" w:eastAsia="en-MY"/>
        </w:rPr>
        <w:t xml:space="preserve">, 1997). It comprised </w:t>
      </w:r>
      <w:r w:rsidRPr="00B3482F">
        <w:rPr>
          <w:rFonts w:ascii="Times New Roman" w:eastAsia="Times New Roman" w:hAnsi="Times New Roman" w:cs="Times New Roman"/>
          <w:sz w:val="24"/>
          <w:szCs w:val="24"/>
          <w:highlight w:val="yellow"/>
          <w:lang w:val="en-MY" w:eastAsia="en-MY"/>
        </w:rPr>
        <w:t>36 items across four domains</w:t>
      </w:r>
      <w:r w:rsidRPr="00B3482F">
        <w:rPr>
          <w:rFonts w:ascii="Times New Roman" w:eastAsia="Times New Roman" w:hAnsi="Times New Roman" w:cs="Times New Roman"/>
          <w:sz w:val="24"/>
          <w:szCs w:val="24"/>
          <w:lang w:val="en-MY" w:eastAsia="en-MY"/>
        </w:rPr>
        <w:t>:</w:t>
      </w:r>
    </w:p>
    <w:p w14:paraId="3E25F03A" w14:textId="77777777" w:rsidR="00B3482F" w:rsidRPr="00BE04F6" w:rsidRDefault="00B3482F" w:rsidP="00BE04F6">
      <w:pPr>
        <w:spacing w:after="0" w:line="240" w:lineRule="auto"/>
        <w:jc w:val="both"/>
        <w:rPr>
          <w:rFonts w:ascii="Times New Roman" w:eastAsia="Times New Roman" w:hAnsi="Times New Roman" w:cs="Times New Roman"/>
          <w:sz w:val="24"/>
          <w:szCs w:val="24"/>
          <w:lang w:val="en-MY" w:eastAsia="en-MY"/>
        </w:rPr>
      </w:pPr>
    </w:p>
    <w:p w14:paraId="5D65D751" w14:textId="2E2AA7A0" w:rsidR="00BE04F6" w:rsidRPr="00BE04F6" w:rsidRDefault="00BE04F6" w:rsidP="00BE04F6">
      <w:pPr>
        <w:pStyle w:val="ListParagraph"/>
        <w:numPr>
          <w:ilvl w:val="0"/>
          <w:numId w:val="23"/>
        </w:numPr>
        <w:spacing w:after="0" w:line="240" w:lineRule="auto"/>
        <w:jc w:val="both"/>
        <w:rPr>
          <w:rFonts w:ascii="Times New Roman" w:eastAsia="Times New Roman" w:hAnsi="Times New Roman" w:cs="Times New Roman"/>
          <w:sz w:val="24"/>
          <w:szCs w:val="24"/>
          <w:lang w:val="en-MY" w:eastAsia="en-MY"/>
        </w:rPr>
      </w:pPr>
      <w:r w:rsidRPr="00BE04F6">
        <w:rPr>
          <w:rFonts w:ascii="Times New Roman" w:eastAsia="Times New Roman" w:hAnsi="Times New Roman" w:cs="Times New Roman"/>
          <w:sz w:val="24"/>
          <w:szCs w:val="24"/>
          <w:lang w:val="en-MY" w:eastAsia="en-MY"/>
        </w:rPr>
        <w:t>Foundation skills</w:t>
      </w:r>
      <w:r w:rsidR="0004678D">
        <w:rPr>
          <w:rFonts w:ascii="Times New Roman" w:eastAsia="Times New Roman" w:hAnsi="Times New Roman" w:cs="Times New Roman"/>
          <w:sz w:val="24"/>
          <w:szCs w:val="24"/>
          <w:lang w:val="en-MY" w:eastAsia="en-MY"/>
        </w:rPr>
        <w:t xml:space="preserve">: </w:t>
      </w:r>
      <w:r w:rsidRPr="00BE04F6">
        <w:rPr>
          <w:rFonts w:ascii="Times New Roman" w:eastAsia="Times New Roman" w:hAnsi="Times New Roman" w:cs="Times New Roman"/>
          <w:sz w:val="24"/>
          <w:szCs w:val="24"/>
          <w:lang w:val="en-MY" w:eastAsia="en-MY"/>
        </w:rPr>
        <w:t>philosophy, history, and environmental awareness.</w:t>
      </w:r>
    </w:p>
    <w:p w14:paraId="2702187E" w14:textId="77777777" w:rsidR="00BE04F6" w:rsidRPr="00BE04F6" w:rsidRDefault="00BE04F6" w:rsidP="00BE04F6">
      <w:pPr>
        <w:spacing w:after="0" w:line="240" w:lineRule="auto"/>
        <w:jc w:val="both"/>
        <w:rPr>
          <w:rFonts w:ascii="Times New Roman" w:eastAsia="Times New Roman" w:hAnsi="Times New Roman" w:cs="Times New Roman"/>
          <w:sz w:val="24"/>
          <w:szCs w:val="24"/>
          <w:lang w:val="en-MY" w:eastAsia="en-MY"/>
        </w:rPr>
      </w:pPr>
    </w:p>
    <w:p w14:paraId="167259FD" w14:textId="356D6BA2" w:rsidR="00BE04F6" w:rsidRPr="00BE04F6" w:rsidRDefault="00BE04F6" w:rsidP="00BE04F6">
      <w:pPr>
        <w:pStyle w:val="ListParagraph"/>
        <w:numPr>
          <w:ilvl w:val="0"/>
          <w:numId w:val="23"/>
        </w:numPr>
        <w:spacing w:after="0" w:line="240" w:lineRule="auto"/>
        <w:jc w:val="both"/>
        <w:rPr>
          <w:rFonts w:ascii="Times New Roman" w:eastAsia="Times New Roman" w:hAnsi="Times New Roman" w:cs="Times New Roman"/>
          <w:sz w:val="24"/>
          <w:szCs w:val="24"/>
          <w:lang w:val="en-MY" w:eastAsia="en-MY"/>
        </w:rPr>
      </w:pPr>
      <w:r w:rsidRPr="00BE04F6">
        <w:rPr>
          <w:rFonts w:ascii="Times New Roman" w:eastAsia="Times New Roman" w:hAnsi="Times New Roman" w:cs="Times New Roman"/>
          <w:sz w:val="24"/>
          <w:szCs w:val="24"/>
          <w:lang w:val="en-MY" w:eastAsia="en-MY"/>
        </w:rPr>
        <w:t>Hard skills</w:t>
      </w:r>
      <w:r w:rsidR="0004678D">
        <w:rPr>
          <w:rFonts w:ascii="Times New Roman" w:eastAsia="Times New Roman" w:hAnsi="Times New Roman" w:cs="Times New Roman"/>
          <w:sz w:val="24"/>
          <w:szCs w:val="24"/>
          <w:lang w:val="en-MY" w:eastAsia="en-MY"/>
        </w:rPr>
        <w:t xml:space="preserve">: </w:t>
      </w:r>
      <w:r w:rsidRPr="00BE04F6">
        <w:rPr>
          <w:rFonts w:ascii="Times New Roman" w:eastAsia="Times New Roman" w:hAnsi="Times New Roman" w:cs="Times New Roman"/>
          <w:sz w:val="24"/>
          <w:szCs w:val="24"/>
          <w:lang w:val="en-MY" w:eastAsia="en-MY"/>
        </w:rPr>
        <w:t>technical competence and safety procedures.</w:t>
      </w:r>
    </w:p>
    <w:p w14:paraId="3BF30BF0" w14:textId="77777777" w:rsidR="00BE04F6" w:rsidRPr="00BE04F6" w:rsidRDefault="00BE04F6" w:rsidP="00BE04F6">
      <w:pPr>
        <w:spacing w:after="0" w:line="240" w:lineRule="auto"/>
        <w:jc w:val="both"/>
        <w:rPr>
          <w:rFonts w:ascii="Times New Roman" w:eastAsia="Times New Roman" w:hAnsi="Times New Roman" w:cs="Times New Roman"/>
          <w:sz w:val="24"/>
          <w:szCs w:val="24"/>
          <w:lang w:val="en-MY" w:eastAsia="en-MY"/>
        </w:rPr>
      </w:pPr>
    </w:p>
    <w:p w14:paraId="761DC589" w14:textId="09DBE005" w:rsidR="00BE04F6" w:rsidRPr="00BE04F6" w:rsidRDefault="00BE04F6" w:rsidP="00BE04F6">
      <w:pPr>
        <w:pStyle w:val="ListParagraph"/>
        <w:numPr>
          <w:ilvl w:val="0"/>
          <w:numId w:val="23"/>
        </w:numPr>
        <w:spacing w:after="0" w:line="240" w:lineRule="auto"/>
        <w:jc w:val="both"/>
        <w:rPr>
          <w:rFonts w:ascii="Times New Roman" w:eastAsia="Times New Roman" w:hAnsi="Times New Roman" w:cs="Times New Roman"/>
          <w:sz w:val="24"/>
          <w:szCs w:val="24"/>
          <w:lang w:val="en-MY" w:eastAsia="en-MY"/>
        </w:rPr>
      </w:pPr>
      <w:r w:rsidRPr="00BE04F6">
        <w:rPr>
          <w:rFonts w:ascii="Times New Roman" w:eastAsia="Times New Roman" w:hAnsi="Times New Roman" w:cs="Times New Roman"/>
          <w:sz w:val="24"/>
          <w:szCs w:val="24"/>
          <w:lang w:val="en-MY" w:eastAsia="en-MY"/>
        </w:rPr>
        <w:t>Soft skills</w:t>
      </w:r>
      <w:r w:rsidR="0004678D">
        <w:rPr>
          <w:rFonts w:ascii="Times New Roman" w:eastAsia="Times New Roman" w:hAnsi="Times New Roman" w:cs="Times New Roman"/>
          <w:sz w:val="24"/>
          <w:szCs w:val="24"/>
          <w:lang w:val="en-MY" w:eastAsia="en-MY"/>
        </w:rPr>
        <w:t>:</w:t>
      </w:r>
      <w:r w:rsidRPr="00BE04F6">
        <w:rPr>
          <w:rFonts w:ascii="Times New Roman" w:eastAsia="Times New Roman" w:hAnsi="Times New Roman" w:cs="Times New Roman"/>
          <w:sz w:val="24"/>
          <w:szCs w:val="24"/>
          <w:lang w:val="en-MY" w:eastAsia="en-MY"/>
        </w:rPr>
        <w:t xml:space="preserve"> communication, facilitation, and organisational ability.</w:t>
      </w:r>
    </w:p>
    <w:p w14:paraId="6F300051" w14:textId="77777777" w:rsidR="00BE04F6" w:rsidRPr="00BE04F6" w:rsidRDefault="00BE04F6" w:rsidP="00BE04F6">
      <w:pPr>
        <w:spacing w:after="0" w:line="240" w:lineRule="auto"/>
        <w:jc w:val="both"/>
        <w:rPr>
          <w:rFonts w:ascii="Times New Roman" w:eastAsia="Times New Roman" w:hAnsi="Times New Roman" w:cs="Times New Roman"/>
          <w:sz w:val="24"/>
          <w:szCs w:val="24"/>
          <w:lang w:val="en-MY" w:eastAsia="en-MY"/>
        </w:rPr>
      </w:pPr>
    </w:p>
    <w:p w14:paraId="1F8924D4" w14:textId="66936F27" w:rsidR="00BE04F6" w:rsidRPr="00BE04F6" w:rsidRDefault="00BE04F6" w:rsidP="00BE04F6">
      <w:pPr>
        <w:pStyle w:val="ListParagraph"/>
        <w:numPr>
          <w:ilvl w:val="0"/>
          <w:numId w:val="23"/>
        </w:numPr>
        <w:spacing w:after="0" w:line="240" w:lineRule="auto"/>
        <w:jc w:val="both"/>
        <w:rPr>
          <w:rFonts w:ascii="Times New Roman" w:eastAsia="Times New Roman" w:hAnsi="Times New Roman" w:cs="Times New Roman"/>
          <w:sz w:val="24"/>
          <w:szCs w:val="24"/>
          <w:lang w:val="en-MY" w:eastAsia="en-MY"/>
        </w:rPr>
      </w:pPr>
      <w:r w:rsidRPr="00BE04F6">
        <w:rPr>
          <w:rFonts w:ascii="Times New Roman" w:eastAsia="Times New Roman" w:hAnsi="Times New Roman" w:cs="Times New Roman"/>
          <w:sz w:val="24"/>
          <w:szCs w:val="24"/>
          <w:lang w:val="en-MY" w:eastAsia="en-MY"/>
        </w:rPr>
        <w:t>Meta-skills</w:t>
      </w:r>
      <w:r w:rsidR="0004678D">
        <w:rPr>
          <w:rFonts w:ascii="Times New Roman" w:eastAsia="Times New Roman" w:hAnsi="Times New Roman" w:cs="Times New Roman"/>
          <w:sz w:val="24"/>
          <w:szCs w:val="24"/>
          <w:lang w:val="en-MY" w:eastAsia="en-MY"/>
        </w:rPr>
        <w:t xml:space="preserve">: </w:t>
      </w:r>
      <w:r w:rsidRPr="00BE04F6">
        <w:rPr>
          <w:rFonts w:ascii="Times New Roman" w:eastAsia="Times New Roman" w:hAnsi="Times New Roman" w:cs="Times New Roman"/>
          <w:sz w:val="24"/>
          <w:szCs w:val="24"/>
          <w:lang w:val="en-MY" w:eastAsia="en-MY"/>
        </w:rPr>
        <w:t>decision-making, problem-solving, and leadership judgement.</w:t>
      </w:r>
    </w:p>
    <w:p w14:paraId="6B56A72A" w14:textId="77777777" w:rsidR="00BE04F6" w:rsidRPr="00BE04F6" w:rsidRDefault="00BE04F6" w:rsidP="00BE04F6">
      <w:pPr>
        <w:spacing w:after="0" w:line="240" w:lineRule="auto"/>
        <w:jc w:val="both"/>
        <w:rPr>
          <w:rFonts w:ascii="Times New Roman" w:eastAsia="Times New Roman" w:hAnsi="Times New Roman" w:cs="Times New Roman"/>
          <w:sz w:val="24"/>
          <w:szCs w:val="24"/>
          <w:lang w:val="en-MY" w:eastAsia="en-MY"/>
        </w:rPr>
      </w:pPr>
    </w:p>
    <w:p w14:paraId="29F10CEB" w14:textId="0756722F" w:rsidR="00973017" w:rsidRDefault="00B3482F" w:rsidP="00973017">
      <w:pPr>
        <w:spacing w:after="0" w:line="240" w:lineRule="auto"/>
        <w:jc w:val="both"/>
        <w:rPr>
          <w:rFonts w:ascii="Times New Roman" w:eastAsia="Times New Roman" w:hAnsi="Times New Roman" w:cs="Times New Roman"/>
          <w:sz w:val="24"/>
          <w:szCs w:val="24"/>
          <w:lang w:val="en-MY" w:eastAsia="en-MY"/>
        </w:rPr>
      </w:pPr>
      <w:r w:rsidRPr="00B3482F">
        <w:rPr>
          <w:rFonts w:ascii="Times New Roman" w:eastAsia="Times New Roman" w:hAnsi="Times New Roman" w:cs="Times New Roman"/>
          <w:sz w:val="24"/>
          <w:szCs w:val="24"/>
          <w:lang w:val="en-MY" w:eastAsia="en-MY"/>
        </w:rPr>
        <w:t xml:space="preserve">All items were measured using a </w:t>
      </w:r>
      <w:r w:rsidRPr="00B3482F">
        <w:rPr>
          <w:rFonts w:ascii="Times New Roman" w:eastAsia="Times New Roman" w:hAnsi="Times New Roman" w:cs="Times New Roman"/>
          <w:sz w:val="24"/>
          <w:szCs w:val="24"/>
          <w:highlight w:val="yellow"/>
          <w:lang w:val="en-MY" w:eastAsia="en-MY"/>
        </w:rPr>
        <w:t>5-point Likert scale, from “Strongly Disagree” (1) to “Strongly Agree” (5)</w:t>
      </w:r>
      <w:r w:rsidRPr="00B3482F">
        <w:rPr>
          <w:rFonts w:ascii="Times New Roman" w:eastAsia="Times New Roman" w:hAnsi="Times New Roman" w:cs="Times New Roman"/>
          <w:sz w:val="24"/>
          <w:szCs w:val="24"/>
          <w:lang w:val="en-MY" w:eastAsia="en-MY"/>
        </w:rPr>
        <w:t>, enabling a nuanced analysis of student perceptions. Prior to administration, the instrument was</w:t>
      </w:r>
      <w:r>
        <w:rPr>
          <w:rFonts w:ascii="Times New Roman" w:eastAsia="Times New Roman" w:hAnsi="Times New Roman" w:cs="Times New Roman"/>
          <w:sz w:val="24"/>
          <w:szCs w:val="24"/>
          <w:lang w:val="en-MY" w:eastAsia="en-MY"/>
        </w:rPr>
        <w:t xml:space="preserve"> </w:t>
      </w:r>
      <w:r w:rsidRPr="00B3482F">
        <w:rPr>
          <w:rFonts w:ascii="Times New Roman" w:eastAsia="Times New Roman" w:hAnsi="Times New Roman" w:cs="Times New Roman"/>
          <w:sz w:val="24"/>
          <w:szCs w:val="24"/>
          <w:highlight w:val="yellow"/>
          <w:lang w:val="en-MY" w:eastAsia="en-MY"/>
        </w:rPr>
        <w:t>reviewed by content experts for clarity and contextual suitability</w:t>
      </w:r>
    </w:p>
    <w:p w14:paraId="0254DD5B" w14:textId="77777777" w:rsidR="00B3482F" w:rsidRPr="00CA2CF8" w:rsidRDefault="00B3482F" w:rsidP="00973017">
      <w:pPr>
        <w:spacing w:after="0" w:line="240" w:lineRule="auto"/>
        <w:jc w:val="both"/>
        <w:rPr>
          <w:rFonts w:ascii="Times New Roman" w:eastAsia="Times New Roman" w:hAnsi="Times New Roman" w:cs="Times New Roman"/>
          <w:sz w:val="24"/>
          <w:szCs w:val="24"/>
          <w:lang w:val="en-MY" w:eastAsia="en-MY"/>
        </w:rPr>
      </w:pPr>
    </w:p>
    <w:p w14:paraId="5597D83F" w14:textId="77777777" w:rsidR="00CA2CF8" w:rsidRDefault="00CA2CF8" w:rsidP="00973017">
      <w:pPr>
        <w:pStyle w:val="Heading2"/>
        <w:spacing w:before="0" w:line="240" w:lineRule="auto"/>
        <w:rPr>
          <w:lang w:val="en-MY" w:eastAsia="en-MY"/>
        </w:rPr>
      </w:pPr>
      <w:r w:rsidRPr="00CA2CF8">
        <w:rPr>
          <w:lang w:val="en-MY" w:eastAsia="en-MY"/>
        </w:rPr>
        <w:t>Procedure</w:t>
      </w:r>
    </w:p>
    <w:p w14:paraId="71CC4D77" w14:textId="77777777" w:rsidR="00973017" w:rsidRPr="00973017" w:rsidRDefault="00973017" w:rsidP="00973017">
      <w:pPr>
        <w:spacing w:after="0" w:line="240" w:lineRule="auto"/>
        <w:rPr>
          <w:lang w:val="en-MY" w:eastAsia="en-MY"/>
        </w:rPr>
      </w:pPr>
    </w:p>
    <w:p w14:paraId="03417F14" w14:textId="1C8D5D3B" w:rsidR="00BE04F6" w:rsidRDefault="00B3482F" w:rsidP="00973017">
      <w:pPr>
        <w:spacing w:after="0" w:line="240" w:lineRule="auto"/>
        <w:jc w:val="both"/>
        <w:rPr>
          <w:rFonts w:ascii="Times New Roman" w:eastAsia="Times New Roman" w:hAnsi="Times New Roman" w:cs="Times New Roman"/>
          <w:sz w:val="24"/>
          <w:szCs w:val="24"/>
          <w:lang w:val="en-MY" w:eastAsia="en-MY"/>
        </w:rPr>
      </w:pPr>
      <w:r w:rsidRPr="00B3482F">
        <w:rPr>
          <w:rFonts w:ascii="Times New Roman" w:eastAsia="Times New Roman" w:hAnsi="Times New Roman" w:cs="Times New Roman"/>
          <w:sz w:val="24"/>
          <w:szCs w:val="24"/>
          <w:lang w:val="en-MY" w:eastAsia="en-MY"/>
        </w:rPr>
        <w:t>The pilot testing took place during</w:t>
      </w:r>
      <w:r>
        <w:rPr>
          <w:rFonts w:ascii="Times New Roman" w:eastAsia="Times New Roman" w:hAnsi="Times New Roman" w:cs="Times New Roman"/>
          <w:sz w:val="24"/>
          <w:szCs w:val="24"/>
          <w:lang w:val="en-MY" w:eastAsia="en-MY"/>
        </w:rPr>
        <w:t xml:space="preserve"> </w:t>
      </w:r>
      <w:r w:rsidRPr="00B3482F">
        <w:rPr>
          <w:rFonts w:ascii="Times New Roman" w:eastAsia="Times New Roman" w:hAnsi="Times New Roman" w:cs="Times New Roman"/>
          <w:sz w:val="24"/>
          <w:szCs w:val="24"/>
          <w:highlight w:val="yellow"/>
          <w:lang w:val="en-MY" w:eastAsia="en-MY"/>
        </w:rPr>
        <w:t>scheduled Physical Education classes at IPGM</w:t>
      </w:r>
      <w:r w:rsidRPr="00B3482F">
        <w:rPr>
          <w:rFonts w:ascii="Times New Roman" w:eastAsia="Times New Roman" w:hAnsi="Times New Roman" w:cs="Times New Roman"/>
          <w:sz w:val="24"/>
          <w:szCs w:val="24"/>
          <w:lang w:val="en-MY" w:eastAsia="en-MY"/>
        </w:rPr>
        <w:t xml:space="preserve">. Participants received clear instructions and were assured of confidentiality to encourage honest responses. On average, </w:t>
      </w:r>
      <w:r w:rsidRPr="00B3482F">
        <w:rPr>
          <w:rFonts w:ascii="Times New Roman" w:eastAsia="Times New Roman" w:hAnsi="Times New Roman" w:cs="Times New Roman"/>
          <w:sz w:val="24"/>
          <w:szCs w:val="24"/>
          <w:highlight w:val="yellow"/>
          <w:lang w:val="en-MY" w:eastAsia="en-MY"/>
        </w:rPr>
        <w:t>each participant completed the instrument within 20 minutes</w:t>
      </w:r>
      <w:r w:rsidRPr="00B3482F">
        <w:rPr>
          <w:rFonts w:ascii="Times New Roman" w:eastAsia="Times New Roman" w:hAnsi="Times New Roman" w:cs="Times New Roman"/>
          <w:sz w:val="24"/>
          <w:szCs w:val="24"/>
          <w:lang w:val="en-MY" w:eastAsia="en-MY"/>
        </w:rPr>
        <w:t xml:space="preserve">. The researchers monitored the process to ensure </w:t>
      </w:r>
      <w:r w:rsidRPr="00B3482F">
        <w:rPr>
          <w:rFonts w:ascii="Times New Roman" w:eastAsia="Times New Roman" w:hAnsi="Times New Roman" w:cs="Times New Roman"/>
          <w:sz w:val="24"/>
          <w:szCs w:val="24"/>
          <w:highlight w:val="yellow"/>
          <w:lang w:val="en-MY" w:eastAsia="en-MY"/>
        </w:rPr>
        <w:t>consistency in administration and to address queries</w:t>
      </w:r>
      <w:r w:rsidRPr="00B3482F">
        <w:rPr>
          <w:rFonts w:ascii="Times New Roman" w:eastAsia="Times New Roman" w:hAnsi="Times New Roman" w:cs="Times New Roman"/>
          <w:sz w:val="24"/>
          <w:szCs w:val="24"/>
          <w:lang w:val="en-MY" w:eastAsia="en-MY"/>
        </w:rPr>
        <w:t xml:space="preserve">. In addition, </w:t>
      </w:r>
      <w:r w:rsidRPr="00B3482F">
        <w:rPr>
          <w:rFonts w:ascii="Times New Roman" w:eastAsia="Times New Roman" w:hAnsi="Times New Roman" w:cs="Times New Roman"/>
          <w:sz w:val="24"/>
          <w:szCs w:val="24"/>
          <w:highlight w:val="yellow"/>
          <w:lang w:val="en-MY" w:eastAsia="en-MY"/>
        </w:rPr>
        <w:t>participants’ comments on item clarity, wording, and difficulty were recorded</w:t>
      </w:r>
      <w:r w:rsidRPr="00B3482F">
        <w:rPr>
          <w:rFonts w:ascii="Times New Roman" w:eastAsia="Times New Roman" w:hAnsi="Times New Roman" w:cs="Times New Roman"/>
          <w:sz w:val="24"/>
          <w:szCs w:val="24"/>
          <w:lang w:val="en-MY" w:eastAsia="en-MY"/>
        </w:rPr>
        <w:t xml:space="preserve"> for further refinement.</w:t>
      </w:r>
    </w:p>
    <w:p w14:paraId="54FCCB93" w14:textId="77777777" w:rsidR="00B3482F" w:rsidRPr="00CA2CF8" w:rsidRDefault="00B3482F" w:rsidP="00973017">
      <w:pPr>
        <w:spacing w:after="0" w:line="240" w:lineRule="auto"/>
        <w:jc w:val="both"/>
        <w:rPr>
          <w:rFonts w:ascii="Times New Roman" w:eastAsia="Times New Roman" w:hAnsi="Times New Roman" w:cs="Times New Roman"/>
          <w:sz w:val="24"/>
          <w:szCs w:val="24"/>
          <w:lang w:val="en-MY" w:eastAsia="en-MY"/>
        </w:rPr>
      </w:pPr>
    </w:p>
    <w:p w14:paraId="3872654B" w14:textId="77777777" w:rsidR="00CA2CF8" w:rsidRPr="00CA2CF8" w:rsidRDefault="00CA2CF8" w:rsidP="00973017">
      <w:pPr>
        <w:pStyle w:val="Heading2"/>
        <w:spacing w:before="0" w:line="240" w:lineRule="auto"/>
        <w:rPr>
          <w:lang w:val="en-MY" w:eastAsia="en-MY"/>
        </w:rPr>
      </w:pPr>
      <w:r w:rsidRPr="00CA2CF8">
        <w:rPr>
          <w:lang w:val="en-MY" w:eastAsia="en-MY"/>
        </w:rPr>
        <w:t>Data Analysis</w:t>
      </w:r>
    </w:p>
    <w:p w14:paraId="5BF6E22A"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797BCE69" w14:textId="2B702622" w:rsidR="00B3482F" w:rsidRDefault="00B3482F" w:rsidP="00973017">
      <w:pPr>
        <w:spacing w:after="0" w:line="240" w:lineRule="auto"/>
        <w:jc w:val="both"/>
        <w:rPr>
          <w:rFonts w:ascii="Times New Roman" w:eastAsia="Times New Roman" w:hAnsi="Times New Roman" w:cs="Times New Roman"/>
          <w:sz w:val="24"/>
          <w:szCs w:val="24"/>
          <w:lang w:val="en-MY" w:eastAsia="en-MY"/>
        </w:rPr>
      </w:pPr>
      <w:r w:rsidRPr="00B3482F">
        <w:rPr>
          <w:rFonts w:ascii="Times New Roman" w:eastAsia="Times New Roman" w:hAnsi="Times New Roman" w:cs="Times New Roman"/>
          <w:sz w:val="24"/>
          <w:szCs w:val="24"/>
          <w:lang w:val="en-MY" w:eastAsia="en-MY"/>
        </w:rPr>
        <w:t xml:space="preserve">Data were analysed using </w:t>
      </w:r>
      <w:r w:rsidRPr="00B3482F">
        <w:rPr>
          <w:rFonts w:ascii="Times New Roman" w:eastAsia="Times New Roman" w:hAnsi="Times New Roman" w:cs="Times New Roman"/>
          <w:sz w:val="24"/>
          <w:szCs w:val="24"/>
          <w:highlight w:val="yellow"/>
          <w:lang w:val="en-MY" w:eastAsia="en-MY"/>
        </w:rPr>
        <w:t>SPSS (Statistical Package for the Social Sciences)</w:t>
      </w:r>
      <w:r w:rsidRPr="00B3482F">
        <w:rPr>
          <w:rFonts w:ascii="Times New Roman" w:eastAsia="Times New Roman" w:hAnsi="Times New Roman" w:cs="Times New Roman"/>
          <w:sz w:val="24"/>
          <w:szCs w:val="24"/>
          <w:lang w:val="en-MY" w:eastAsia="en-MY"/>
        </w:rPr>
        <w:t xml:space="preserve">. The primary analysis examined </w:t>
      </w:r>
      <w:r w:rsidRPr="00B3482F">
        <w:rPr>
          <w:rFonts w:ascii="Times New Roman" w:eastAsia="Times New Roman" w:hAnsi="Times New Roman" w:cs="Times New Roman"/>
          <w:sz w:val="24"/>
          <w:szCs w:val="24"/>
          <w:highlight w:val="yellow"/>
          <w:lang w:val="en-MY" w:eastAsia="en-MY"/>
        </w:rPr>
        <w:t>internal consistency reliability via Cronbach’s Alpha</w:t>
      </w:r>
      <w:r w:rsidRPr="00B3482F">
        <w:rPr>
          <w:rFonts w:ascii="Times New Roman" w:eastAsia="Times New Roman" w:hAnsi="Times New Roman" w:cs="Times New Roman"/>
          <w:sz w:val="24"/>
          <w:szCs w:val="24"/>
          <w:lang w:val="en-MY" w:eastAsia="en-MY"/>
        </w:rPr>
        <w:t xml:space="preserve">, applying a </w:t>
      </w:r>
      <w:r w:rsidRPr="00B3482F">
        <w:rPr>
          <w:rFonts w:ascii="Times New Roman" w:eastAsia="Times New Roman" w:hAnsi="Times New Roman" w:cs="Times New Roman"/>
          <w:sz w:val="24"/>
          <w:szCs w:val="24"/>
          <w:highlight w:val="yellow"/>
          <w:lang w:val="en-MY" w:eastAsia="en-MY"/>
        </w:rPr>
        <w:t>threshold of 0.70 as the minimum acceptable value</w:t>
      </w:r>
      <w:r w:rsidRPr="00B3482F">
        <w:rPr>
          <w:rFonts w:ascii="Times New Roman" w:eastAsia="Times New Roman" w:hAnsi="Times New Roman" w:cs="Times New Roman"/>
          <w:sz w:val="24"/>
          <w:szCs w:val="24"/>
          <w:lang w:val="en-MY" w:eastAsia="en-MY"/>
        </w:rPr>
        <w:t xml:space="preserve"> (Nunnally &amp; Bernstein, 1994). Item-total correlations were also calculated to assess each item’s contribution to its domain. Additionally, </w:t>
      </w:r>
      <w:r w:rsidRPr="00B3482F">
        <w:rPr>
          <w:rFonts w:ascii="Times New Roman" w:eastAsia="Times New Roman" w:hAnsi="Times New Roman" w:cs="Times New Roman"/>
          <w:sz w:val="24"/>
          <w:szCs w:val="24"/>
          <w:highlight w:val="yellow"/>
          <w:lang w:val="en-MY" w:eastAsia="en-MY"/>
        </w:rPr>
        <w:t>descriptive statistics (mean scores and standard deviations)</w:t>
      </w:r>
      <w:r w:rsidRPr="00B3482F">
        <w:rPr>
          <w:rFonts w:ascii="Times New Roman" w:eastAsia="Times New Roman" w:hAnsi="Times New Roman" w:cs="Times New Roman"/>
          <w:sz w:val="24"/>
          <w:szCs w:val="24"/>
          <w:lang w:val="en-MY" w:eastAsia="en-MY"/>
        </w:rPr>
        <w:t xml:space="preserve"> were computed to provide insights into response patterns.</w:t>
      </w:r>
    </w:p>
    <w:p w14:paraId="2C51FCF0" w14:textId="77777777" w:rsidR="00B3482F" w:rsidRPr="00CA2CF8" w:rsidRDefault="00B3482F" w:rsidP="00973017">
      <w:pPr>
        <w:spacing w:after="0" w:line="240" w:lineRule="auto"/>
        <w:jc w:val="both"/>
        <w:rPr>
          <w:rFonts w:ascii="Times New Roman" w:eastAsia="Times New Roman" w:hAnsi="Times New Roman" w:cs="Times New Roman"/>
          <w:sz w:val="24"/>
          <w:szCs w:val="24"/>
          <w:lang w:val="en-MY" w:eastAsia="en-MY"/>
        </w:rPr>
      </w:pPr>
    </w:p>
    <w:p w14:paraId="240B30AC" w14:textId="6749D8A7" w:rsidR="00124808" w:rsidRDefault="00124808" w:rsidP="00973017">
      <w:pPr>
        <w:pStyle w:val="Heading1"/>
        <w:spacing w:before="0" w:line="240" w:lineRule="auto"/>
        <w:rPr>
          <w:lang w:val="en-MY" w:eastAsia="en-MY"/>
        </w:rPr>
      </w:pPr>
      <w:bookmarkStart w:id="2" w:name="_Hlk209215540"/>
      <w:r w:rsidRPr="00124808">
        <w:rPr>
          <w:lang w:val="en-MY" w:eastAsia="en-MY"/>
        </w:rPr>
        <w:t xml:space="preserve">RESULTS AND DISCUSSION </w:t>
      </w:r>
    </w:p>
    <w:p w14:paraId="0EAF7416" w14:textId="77777777" w:rsidR="00973017" w:rsidRPr="00973017" w:rsidRDefault="00973017" w:rsidP="00973017">
      <w:pPr>
        <w:spacing w:after="0" w:line="240" w:lineRule="auto"/>
        <w:rPr>
          <w:lang w:val="en-MY" w:eastAsia="en-MY"/>
        </w:rPr>
      </w:pPr>
    </w:p>
    <w:p w14:paraId="5C5708C1" w14:textId="3F701B34" w:rsidR="00124808" w:rsidRDefault="00124808" w:rsidP="00973017">
      <w:pPr>
        <w:pStyle w:val="Heading2"/>
        <w:numPr>
          <w:ilvl w:val="0"/>
          <w:numId w:val="0"/>
        </w:numPr>
        <w:spacing w:before="0" w:line="240" w:lineRule="auto"/>
        <w:ind w:left="567" w:hanging="567"/>
        <w:rPr>
          <w:lang w:val="en-MY" w:eastAsia="en-MY"/>
        </w:rPr>
      </w:pPr>
      <w:r w:rsidRPr="00124808">
        <w:rPr>
          <w:lang w:val="en-MY" w:eastAsia="en-MY"/>
        </w:rPr>
        <w:lastRenderedPageBreak/>
        <w:t>3.1</w:t>
      </w:r>
      <w:r>
        <w:rPr>
          <w:lang w:val="en-MY" w:eastAsia="en-MY"/>
        </w:rPr>
        <w:tab/>
      </w:r>
      <w:r w:rsidRPr="00124808">
        <w:rPr>
          <w:lang w:val="en-MY" w:eastAsia="en-MY"/>
        </w:rPr>
        <w:t>Reliability Analysis</w:t>
      </w:r>
    </w:p>
    <w:p w14:paraId="6BA48A79" w14:textId="77777777" w:rsidR="00973017" w:rsidRPr="00973017" w:rsidRDefault="00973017" w:rsidP="00973017">
      <w:pPr>
        <w:spacing w:after="0" w:line="240" w:lineRule="auto"/>
        <w:rPr>
          <w:lang w:val="en-MY" w:eastAsia="en-MY"/>
        </w:rPr>
      </w:pPr>
    </w:p>
    <w:p w14:paraId="43071806" w14:textId="0CE7AE17"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r w:rsidRPr="0089700F">
        <w:rPr>
          <w:rFonts w:ascii="Times New Roman" w:eastAsia="Times New Roman" w:hAnsi="Times New Roman" w:cs="Times New Roman"/>
          <w:sz w:val="24"/>
          <w:szCs w:val="24"/>
          <w:lang w:val="en-MY" w:eastAsia="en-MY"/>
        </w:rPr>
        <w:t>The internal consistency of the student assessment instrument was tested using Cronbach’s Alpha,</w:t>
      </w:r>
      <w:r w:rsidR="009C5BE0">
        <w:rPr>
          <w:rFonts w:ascii="Times New Roman" w:eastAsia="Times New Roman" w:hAnsi="Times New Roman" w:cs="Times New Roman"/>
          <w:sz w:val="24"/>
          <w:szCs w:val="24"/>
          <w:lang w:val="en-MY" w:eastAsia="en-MY"/>
        </w:rPr>
        <w:t xml:space="preserve"> </w:t>
      </w:r>
      <w:r w:rsidRPr="009C5BE0">
        <w:rPr>
          <w:rFonts w:ascii="Times New Roman" w:eastAsia="Times New Roman" w:hAnsi="Times New Roman" w:cs="Times New Roman"/>
          <w:sz w:val="24"/>
          <w:szCs w:val="24"/>
          <w:highlight w:val="yellow"/>
          <w:lang w:val="en-MY" w:eastAsia="en-MY"/>
        </w:rPr>
        <w:t xml:space="preserve">a widely recognised reliability coefficient in social sciences and educational measurement. Cronbach’s Alpha provides an estimate of the degree to which items within a scale measure the same underlying construct, thereby reflecting internal consistency (Cohen, Manion, &amp; Morrison, 2018; </w:t>
      </w:r>
      <w:proofErr w:type="spellStart"/>
      <w:r w:rsidRPr="009C5BE0">
        <w:rPr>
          <w:rFonts w:ascii="Times New Roman" w:eastAsia="Times New Roman" w:hAnsi="Times New Roman" w:cs="Times New Roman"/>
          <w:sz w:val="24"/>
          <w:szCs w:val="24"/>
          <w:highlight w:val="yellow"/>
          <w:lang w:val="en-MY" w:eastAsia="en-MY"/>
        </w:rPr>
        <w:t>Pallant</w:t>
      </w:r>
      <w:proofErr w:type="spellEnd"/>
      <w:r w:rsidRPr="009C5BE0">
        <w:rPr>
          <w:rFonts w:ascii="Times New Roman" w:eastAsia="Times New Roman" w:hAnsi="Times New Roman" w:cs="Times New Roman"/>
          <w:sz w:val="24"/>
          <w:szCs w:val="24"/>
          <w:highlight w:val="yellow"/>
          <w:lang w:val="en-MY" w:eastAsia="en-MY"/>
        </w:rPr>
        <w:t>, 2020).</w:t>
      </w:r>
      <w:r w:rsidRPr="0089700F">
        <w:rPr>
          <w:rFonts w:ascii="Times New Roman" w:eastAsia="Times New Roman" w:hAnsi="Times New Roman" w:cs="Times New Roman"/>
          <w:sz w:val="24"/>
          <w:szCs w:val="24"/>
          <w:lang w:val="en-MY" w:eastAsia="en-MY"/>
        </w:rPr>
        <w:t xml:space="preserve"> In this study, reliability analysis revealed that all four domains surpassed the minimum threshold of 0.70, which is typically considered acceptable for exploratory research,</w:t>
      </w:r>
      <w:r w:rsidR="009C5BE0">
        <w:rPr>
          <w:rFonts w:ascii="Times New Roman" w:eastAsia="Times New Roman" w:hAnsi="Times New Roman" w:cs="Times New Roman"/>
          <w:sz w:val="24"/>
          <w:szCs w:val="24"/>
          <w:lang w:val="en-MY" w:eastAsia="en-MY"/>
        </w:rPr>
        <w:t xml:space="preserve"> </w:t>
      </w:r>
      <w:r w:rsidRPr="009C5BE0">
        <w:rPr>
          <w:rFonts w:ascii="Times New Roman" w:eastAsia="Times New Roman" w:hAnsi="Times New Roman" w:cs="Times New Roman"/>
          <w:sz w:val="24"/>
          <w:szCs w:val="24"/>
          <w:highlight w:val="yellow"/>
          <w:lang w:val="en-MY" w:eastAsia="en-MY"/>
        </w:rPr>
        <w:t xml:space="preserve">and in several cases exceeded 0.80, a benchmark for good reliability (Nunnally &amp; Bernstein, 1994; </w:t>
      </w:r>
      <w:proofErr w:type="spellStart"/>
      <w:r w:rsidRPr="009C5BE0">
        <w:rPr>
          <w:rFonts w:ascii="Times New Roman" w:eastAsia="Times New Roman" w:hAnsi="Times New Roman" w:cs="Times New Roman"/>
          <w:sz w:val="24"/>
          <w:szCs w:val="24"/>
          <w:highlight w:val="yellow"/>
          <w:lang w:val="en-MY" w:eastAsia="en-MY"/>
        </w:rPr>
        <w:t>Tabachnick</w:t>
      </w:r>
      <w:proofErr w:type="spellEnd"/>
      <w:r w:rsidRPr="009C5BE0">
        <w:rPr>
          <w:rFonts w:ascii="Times New Roman" w:eastAsia="Times New Roman" w:hAnsi="Times New Roman" w:cs="Times New Roman"/>
          <w:sz w:val="24"/>
          <w:szCs w:val="24"/>
          <w:highlight w:val="yellow"/>
          <w:lang w:val="en-MY" w:eastAsia="en-MY"/>
        </w:rPr>
        <w:t xml:space="preserve"> &amp; </w:t>
      </w:r>
      <w:proofErr w:type="spellStart"/>
      <w:r w:rsidRPr="009C5BE0">
        <w:rPr>
          <w:rFonts w:ascii="Times New Roman" w:eastAsia="Times New Roman" w:hAnsi="Times New Roman" w:cs="Times New Roman"/>
          <w:sz w:val="24"/>
          <w:szCs w:val="24"/>
          <w:highlight w:val="yellow"/>
          <w:lang w:val="en-MY" w:eastAsia="en-MY"/>
        </w:rPr>
        <w:t>Fidell</w:t>
      </w:r>
      <w:proofErr w:type="spellEnd"/>
      <w:r w:rsidRPr="009C5BE0">
        <w:rPr>
          <w:rFonts w:ascii="Times New Roman" w:eastAsia="Times New Roman" w:hAnsi="Times New Roman" w:cs="Times New Roman"/>
          <w:sz w:val="24"/>
          <w:szCs w:val="24"/>
          <w:highlight w:val="yellow"/>
          <w:lang w:val="en-MY" w:eastAsia="en-MY"/>
        </w:rPr>
        <w:t>, 2013).</w:t>
      </w:r>
      <w:r w:rsidRPr="0089700F">
        <w:rPr>
          <w:rFonts w:ascii="Times New Roman" w:eastAsia="Times New Roman" w:hAnsi="Times New Roman" w:cs="Times New Roman"/>
          <w:sz w:val="24"/>
          <w:szCs w:val="24"/>
          <w:lang w:val="en-MY" w:eastAsia="en-MY"/>
        </w:rPr>
        <w:t xml:space="preserve"> Specifically, the coefficients were 0.78 for foundation skills, 0.82 for hard skills, 0.80 for soft skills, and 0.85 for meta-skills, while the overall reliability for the 36-item instrument reached 0.83.</w:t>
      </w:r>
    </w:p>
    <w:p w14:paraId="02316AFC" w14:textId="77777777"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3CE1FFFE" w14:textId="3F1ACCD5"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r w:rsidRPr="0089700F">
        <w:rPr>
          <w:rFonts w:ascii="Times New Roman" w:eastAsia="Times New Roman" w:hAnsi="Times New Roman" w:cs="Times New Roman"/>
          <w:sz w:val="24"/>
          <w:szCs w:val="24"/>
          <w:lang w:val="en-MY" w:eastAsia="en-MY"/>
        </w:rPr>
        <w:t>These findings confirm that the instrument demonstrates satisfactory to high levels of reliability, indicating that the items grouped under each domain are internally consistent and measure their intended constructs</w:t>
      </w:r>
      <w:r w:rsidR="009C5BE0">
        <w:rPr>
          <w:rFonts w:ascii="Times New Roman" w:eastAsia="Times New Roman" w:hAnsi="Times New Roman" w:cs="Times New Roman"/>
          <w:sz w:val="24"/>
          <w:szCs w:val="24"/>
          <w:lang w:val="en-MY" w:eastAsia="en-MY"/>
        </w:rPr>
        <w:t xml:space="preserve">. </w:t>
      </w:r>
      <w:r w:rsidRPr="009C5BE0">
        <w:rPr>
          <w:rFonts w:ascii="Times New Roman" w:eastAsia="Times New Roman" w:hAnsi="Times New Roman" w:cs="Times New Roman"/>
          <w:sz w:val="24"/>
          <w:szCs w:val="24"/>
          <w:highlight w:val="yellow"/>
          <w:lang w:val="en-MY" w:eastAsia="en-MY"/>
        </w:rPr>
        <w:t>The results are consistent with psychometric standards in leadership and education research, where reliability values above 0.70 ensure basic adequacy, and those above 0.80 signify a stronger level of measurement stability (</w:t>
      </w:r>
      <w:proofErr w:type="spellStart"/>
      <w:r w:rsidRPr="009C5BE0">
        <w:rPr>
          <w:rFonts w:ascii="Times New Roman" w:eastAsia="Times New Roman" w:hAnsi="Times New Roman" w:cs="Times New Roman"/>
          <w:sz w:val="24"/>
          <w:szCs w:val="24"/>
          <w:highlight w:val="yellow"/>
          <w:lang w:val="en-MY" w:eastAsia="en-MY"/>
        </w:rPr>
        <w:t>Bonett</w:t>
      </w:r>
      <w:proofErr w:type="spellEnd"/>
      <w:r w:rsidRPr="009C5BE0">
        <w:rPr>
          <w:rFonts w:ascii="Times New Roman" w:eastAsia="Times New Roman" w:hAnsi="Times New Roman" w:cs="Times New Roman"/>
          <w:sz w:val="24"/>
          <w:szCs w:val="24"/>
          <w:highlight w:val="yellow"/>
          <w:lang w:val="en-MY" w:eastAsia="en-MY"/>
        </w:rPr>
        <w:t xml:space="preserve"> &amp; Wright, 2015; </w:t>
      </w:r>
      <w:proofErr w:type="spellStart"/>
      <w:r w:rsidRPr="009C5BE0">
        <w:rPr>
          <w:rFonts w:ascii="Times New Roman" w:eastAsia="Times New Roman" w:hAnsi="Times New Roman" w:cs="Times New Roman"/>
          <w:sz w:val="24"/>
          <w:szCs w:val="24"/>
          <w:highlight w:val="yellow"/>
          <w:lang w:val="en-MY" w:eastAsia="en-MY"/>
        </w:rPr>
        <w:t>Morera</w:t>
      </w:r>
      <w:proofErr w:type="spellEnd"/>
      <w:r w:rsidRPr="009C5BE0">
        <w:rPr>
          <w:rFonts w:ascii="Times New Roman" w:eastAsia="Times New Roman" w:hAnsi="Times New Roman" w:cs="Times New Roman"/>
          <w:sz w:val="24"/>
          <w:szCs w:val="24"/>
          <w:highlight w:val="yellow"/>
          <w:lang w:val="en-MY" w:eastAsia="en-MY"/>
        </w:rPr>
        <w:t xml:space="preserve"> &amp; Stokes, 2016). For pilot studies in particular, values between 0.75 and 0.85 are often regarded as strong indicators that the scale is functioning effectively, even in relatively small sample sizes.</w:t>
      </w:r>
    </w:p>
    <w:p w14:paraId="452680D4" w14:textId="77777777"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71290F6B" w14:textId="5F56AB21"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r w:rsidRPr="009C5BE0">
        <w:rPr>
          <w:rFonts w:ascii="Times New Roman" w:eastAsia="Times New Roman" w:hAnsi="Times New Roman" w:cs="Times New Roman"/>
          <w:sz w:val="24"/>
          <w:szCs w:val="24"/>
          <w:highlight w:val="yellow"/>
          <w:lang w:val="en-MY" w:eastAsia="en-MY"/>
        </w:rPr>
        <w:t>The relatively high coefficient for meta-skills (0.85) is particularly noteworthy, as this domain encompasses decision-making, communication, and leadership judgement, which are often seen as more abstract and complex competencies to measure. The strong reliability value suggests that the items within this domain were well understood by student respondents and consistently evaluated. Similarly, the hard skills domain achieved a reliability of 0.82, highlighting the stability of technical and safety-related items that are central to outdoor leadership contexts. Foundation skills and soft skills, though slightly lower at 0.78 and 0.80 respectively, still reflect a strong level of internal consistency, sufficient for further validation in larger-scale studies.</w:t>
      </w:r>
    </w:p>
    <w:p w14:paraId="4F4163DF" w14:textId="77777777" w:rsidR="0089700F" w:rsidRP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36224978" w14:textId="013BB6C0" w:rsidR="00B3482F" w:rsidRDefault="0089700F" w:rsidP="0089700F">
      <w:pPr>
        <w:spacing w:after="0" w:line="240" w:lineRule="auto"/>
        <w:jc w:val="both"/>
        <w:rPr>
          <w:rFonts w:ascii="Times New Roman" w:eastAsia="Times New Roman" w:hAnsi="Times New Roman" w:cs="Times New Roman"/>
          <w:sz w:val="24"/>
          <w:szCs w:val="24"/>
          <w:lang w:val="en-MY" w:eastAsia="en-MY"/>
        </w:rPr>
      </w:pPr>
      <w:r w:rsidRPr="009C5BE0">
        <w:rPr>
          <w:rFonts w:ascii="Times New Roman" w:eastAsia="Times New Roman" w:hAnsi="Times New Roman" w:cs="Times New Roman"/>
          <w:sz w:val="24"/>
          <w:szCs w:val="24"/>
          <w:highlight w:val="yellow"/>
          <w:lang w:val="en-MY" w:eastAsia="en-MY"/>
        </w:rPr>
        <w:t xml:space="preserve">Overall, the analysis underscores that the instrument is psychometrically sound and suitable for use in evaluating outdoor leadership competencies from the student perspective. These results also resonate with findings from previous validation studies on outdoor leadership assessment tools (e.g., </w:t>
      </w:r>
      <w:proofErr w:type="spellStart"/>
      <w:r w:rsidRPr="009C5BE0">
        <w:rPr>
          <w:rFonts w:ascii="Times New Roman" w:eastAsia="Times New Roman" w:hAnsi="Times New Roman" w:cs="Times New Roman"/>
          <w:sz w:val="24"/>
          <w:szCs w:val="24"/>
          <w:highlight w:val="yellow"/>
          <w:lang w:val="en-MY" w:eastAsia="en-MY"/>
        </w:rPr>
        <w:t>Mohd</w:t>
      </w:r>
      <w:proofErr w:type="spellEnd"/>
      <w:r w:rsidRPr="009C5BE0">
        <w:rPr>
          <w:rFonts w:ascii="Times New Roman" w:eastAsia="Times New Roman" w:hAnsi="Times New Roman" w:cs="Times New Roman"/>
          <w:sz w:val="24"/>
          <w:szCs w:val="24"/>
          <w:highlight w:val="yellow"/>
          <w:lang w:val="en-MY" w:eastAsia="en-MY"/>
        </w:rPr>
        <w:t xml:space="preserve"> Said et al., 2025; Wang et al., 2024), which similarly reported Cronbach’s Alpha values in the acceptable-to-high range. Thus, this pilot study provides an important basis for subsequent confirmatory testing and scale refinement.</w:t>
      </w:r>
    </w:p>
    <w:p w14:paraId="09C34E7B" w14:textId="77777777" w:rsid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22FD5BD1" w14:textId="77777777" w:rsid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6F5209CD" w14:textId="77777777" w:rsidR="0089700F" w:rsidRDefault="0089700F" w:rsidP="0089700F">
      <w:pPr>
        <w:spacing w:after="0" w:line="240" w:lineRule="auto"/>
        <w:jc w:val="both"/>
        <w:rPr>
          <w:rFonts w:ascii="Times New Roman" w:eastAsia="Times New Roman" w:hAnsi="Times New Roman" w:cs="Times New Roman"/>
          <w:sz w:val="24"/>
          <w:szCs w:val="24"/>
          <w:lang w:val="en-MY" w:eastAsia="en-MY"/>
        </w:rPr>
      </w:pPr>
    </w:p>
    <w:p w14:paraId="22841458" w14:textId="77777777" w:rsidR="0089700F" w:rsidRPr="00124808" w:rsidRDefault="0089700F" w:rsidP="0089700F">
      <w:pPr>
        <w:spacing w:after="0" w:line="240" w:lineRule="auto"/>
        <w:jc w:val="both"/>
        <w:rPr>
          <w:rFonts w:ascii="Times New Roman" w:eastAsia="Times New Roman" w:hAnsi="Times New Roman" w:cs="Times New Roman"/>
          <w:sz w:val="24"/>
          <w:szCs w:val="24"/>
          <w:lang w:val="en-MY" w:eastAsia="en-MY"/>
        </w:rPr>
      </w:pPr>
    </w:p>
    <w:p w14:paraId="6862DE15" w14:textId="77777777" w:rsidR="00124808" w:rsidRDefault="00124808" w:rsidP="00973017">
      <w:pPr>
        <w:spacing w:after="0" w:line="240" w:lineRule="auto"/>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Table 1. Reliability coefficients (Cronbach’s Alpha) for each domain of the instrument</w:t>
      </w:r>
    </w:p>
    <w:p w14:paraId="696C69E2" w14:textId="77777777" w:rsidR="00973017" w:rsidRPr="00124808" w:rsidRDefault="00973017" w:rsidP="00973017">
      <w:pPr>
        <w:spacing w:after="0" w:line="240" w:lineRule="auto"/>
        <w:rPr>
          <w:rFonts w:ascii="Times New Roman" w:eastAsia="Times New Roman" w:hAnsi="Times New Roman" w:cs="Times New Roman"/>
          <w:sz w:val="24"/>
          <w:szCs w:val="24"/>
          <w:lang w:val="en-MY" w:eastAsia="en-MY"/>
        </w:rPr>
      </w:pPr>
    </w:p>
    <w:tbl>
      <w:tblPr>
        <w:tblW w:w="8432"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85"/>
        <w:gridCol w:w="2615"/>
        <w:gridCol w:w="2832"/>
      </w:tblGrid>
      <w:tr w:rsidR="00124808" w:rsidRPr="00124808" w14:paraId="7D8640BF" w14:textId="77777777" w:rsidTr="00124808">
        <w:trPr>
          <w:trHeight w:val="392"/>
          <w:tblHeader/>
          <w:tblCellSpacing w:w="15" w:type="dxa"/>
          <w:jc w:val="center"/>
        </w:trPr>
        <w:tc>
          <w:tcPr>
            <w:tcW w:w="0" w:type="auto"/>
            <w:vAlign w:val="center"/>
            <w:hideMark/>
          </w:tcPr>
          <w:p w14:paraId="33EEC0BE"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lastRenderedPageBreak/>
              <w:t>Domain</w:t>
            </w:r>
          </w:p>
        </w:tc>
        <w:tc>
          <w:tcPr>
            <w:tcW w:w="0" w:type="auto"/>
            <w:vAlign w:val="center"/>
            <w:hideMark/>
          </w:tcPr>
          <w:p w14:paraId="69650F30"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Number of Items</w:t>
            </w:r>
          </w:p>
        </w:tc>
        <w:tc>
          <w:tcPr>
            <w:tcW w:w="0" w:type="auto"/>
            <w:vAlign w:val="center"/>
            <w:hideMark/>
          </w:tcPr>
          <w:p w14:paraId="6504A04B"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Cronbach’s Alpha</w:t>
            </w:r>
          </w:p>
        </w:tc>
      </w:tr>
      <w:tr w:rsidR="00124808" w:rsidRPr="00124808" w14:paraId="5E241226" w14:textId="77777777" w:rsidTr="00124808">
        <w:trPr>
          <w:trHeight w:val="392"/>
          <w:tblCellSpacing w:w="15" w:type="dxa"/>
          <w:jc w:val="center"/>
        </w:trPr>
        <w:tc>
          <w:tcPr>
            <w:tcW w:w="0" w:type="auto"/>
            <w:vAlign w:val="center"/>
            <w:hideMark/>
          </w:tcPr>
          <w:p w14:paraId="226EE7FC"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Foundation Skills</w:t>
            </w:r>
          </w:p>
        </w:tc>
        <w:tc>
          <w:tcPr>
            <w:tcW w:w="0" w:type="auto"/>
            <w:vAlign w:val="center"/>
            <w:hideMark/>
          </w:tcPr>
          <w:p w14:paraId="13C6671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D6EC90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0.78</w:t>
            </w:r>
          </w:p>
        </w:tc>
      </w:tr>
      <w:tr w:rsidR="00124808" w:rsidRPr="00124808" w14:paraId="30788556" w14:textId="77777777" w:rsidTr="00124808">
        <w:trPr>
          <w:trHeight w:val="392"/>
          <w:tblCellSpacing w:w="15" w:type="dxa"/>
          <w:jc w:val="center"/>
        </w:trPr>
        <w:tc>
          <w:tcPr>
            <w:tcW w:w="0" w:type="auto"/>
            <w:vAlign w:val="center"/>
            <w:hideMark/>
          </w:tcPr>
          <w:p w14:paraId="28D92382"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Hard Skills</w:t>
            </w:r>
          </w:p>
        </w:tc>
        <w:tc>
          <w:tcPr>
            <w:tcW w:w="0" w:type="auto"/>
            <w:vAlign w:val="center"/>
            <w:hideMark/>
          </w:tcPr>
          <w:p w14:paraId="2D33F4B0"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D3EE233"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0.82</w:t>
            </w:r>
          </w:p>
        </w:tc>
      </w:tr>
      <w:tr w:rsidR="00124808" w:rsidRPr="00124808" w14:paraId="2F40D5B7" w14:textId="77777777" w:rsidTr="00124808">
        <w:trPr>
          <w:trHeight w:val="392"/>
          <w:tblCellSpacing w:w="15" w:type="dxa"/>
          <w:jc w:val="center"/>
        </w:trPr>
        <w:tc>
          <w:tcPr>
            <w:tcW w:w="0" w:type="auto"/>
            <w:vAlign w:val="center"/>
            <w:hideMark/>
          </w:tcPr>
          <w:p w14:paraId="1AA000AC"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Soft Skills</w:t>
            </w:r>
          </w:p>
        </w:tc>
        <w:tc>
          <w:tcPr>
            <w:tcW w:w="0" w:type="auto"/>
            <w:vAlign w:val="center"/>
            <w:hideMark/>
          </w:tcPr>
          <w:p w14:paraId="0746847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375411E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0.80</w:t>
            </w:r>
          </w:p>
        </w:tc>
      </w:tr>
      <w:tr w:rsidR="00124808" w:rsidRPr="00124808" w14:paraId="58F3E6E4" w14:textId="77777777" w:rsidTr="00124808">
        <w:trPr>
          <w:trHeight w:val="392"/>
          <w:tblCellSpacing w:w="15" w:type="dxa"/>
          <w:jc w:val="center"/>
        </w:trPr>
        <w:tc>
          <w:tcPr>
            <w:tcW w:w="0" w:type="auto"/>
            <w:vAlign w:val="center"/>
            <w:hideMark/>
          </w:tcPr>
          <w:p w14:paraId="6553A9CA"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Meta-skills</w:t>
            </w:r>
          </w:p>
        </w:tc>
        <w:tc>
          <w:tcPr>
            <w:tcW w:w="0" w:type="auto"/>
            <w:vAlign w:val="center"/>
            <w:hideMark/>
          </w:tcPr>
          <w:p w14:paraId="55A5A231"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4E4C1CA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0.85</w:t>
            </w:r>
          </w:p>
        </w:tc>
      </w:tr>
      <w:tr w:rsidR="00124808" w:rsidRPr="00124808" w14:paraId="72747FBE" w14:textId="77777777" w:rsidTr="00124808">
        <w:trPr>
          <w:trHeight w:val="392"/>
          <w:tblCellSpacing w:w="15" w:type="dxa"/>
          <w:jc w:val="center"/>
        </w:trPr>
        <w:tc>
          <w:tcPr>
            <w:tcW w:w="0" w:type="auto"/>
            <w:vAlign w:val="center"/>
            <w:hideMark/>
          </w:tcPr>
          <w:p w14:paraId="1FEDA9D3"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b/>
                <w:bCs/>
                <w:sz w:val="24"/>
                <w:szCs w:val="24"/>
                <w:lang w:val="en-MY" w:eastAsia="en-MY"/>
              </w:rPr>
              <w:t>Overall Instrument</w:t>
            </w:r>
          </w:p>
        </w:tc>
        <w:tc>
          <w:tcPr>
            <w:tcW w:w="0" w:type="auto"/>
            <w:vAlign w:val="center"/>
            <w:hideMark/>
          </w:tcPr>
          <w:p w14:paraId="7B98B3D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36</w:t>
            </w:r>
          </w:p>
        </w:tc>
        <w:tc>
          <w:tcPr>
            <w:tcW w:w="0" w:type="auto"/>
            <w:vAlign w:val="center"/>
            <w:hideMark/>
          </w:tcPr>
          <w:p w14:paraId="2C37C45A"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0.83</w:t>
            </w:r>
          </w:p>
        </w:tc>
      </w:tr>
    </w:tbl>
    <w:p w14:paraId="3D9C6055" w14:textId="77777777" w:rsidR="00022D4E" w:rsidRDefault="00022D4E" w:rsidP="00973017">
      <w:pPr>
        <w:spacing w:after="0" w:line="240" w:lineRule="auto"/>
        <w:jc w:val="both"/>
        <w:rPr>
          <w:rFonts w:ascii="Times New Roman" w:eastAsia="Times New Roman" w:hAnsi="Times New Roman" w:cs="Times New Roman"/>
          <w:sz w:val="24"/>
          <w:szCs w:val="24"/>
          <w:lang w:val="en-MY" w:eastAsia="en-MY"/>
        </w:rPr>
      </w:pPr>
    </w:p>
    <w:p w14:paraId="55A05BB6" w14:textId="2A897CF9" w:rsidR="0089700F" w:rsidRDefault="00E65974" w:rsidP="00973017">
      <w:pPr>
        <w:spacing w:after="0" w:line="240" w:lineRule="auto"/>
        <w:jc w:val="both"/>
        <w:rPr>
          <w:rFonts w:ascii="Times New Roman" w:eastAsia="Times New Roman" w:hAnsi="Times New Roman" w:cs="Times New Roman"/>
          <w:sz w:val="24"/>
          <w:szCs w:val="24"/>
          <w:lang w:val="en-MY" w:eastAsia="en-MY"/>
        </w:rPr>
      </w:pPr>
      <w:r w:rsidRPr="00E65974">
        <w:rPr>
          <w:rFonts w:ascii="Times New Roman" w:eastAsia="Times New Roman" w:hAnsi="Times New Roman" w:cs="Times New Roman"/>
          <w:sz w:val="24"/>
          <w:szCs w:val="24"/>
          <w:lang w:val="en-MY" w:eastAsia="en-MY"/>
        </w:rPr>
        <w:t>These results align with psychometric standards, where values above 0.70 indicate acceptable reliability, and values above 0.80 reflect good reliability. For a pilot study, values between 0.78 and 0.85 are considered strong indicators of stability and consistency.</w:t>
      </w:r>
    </w:p>
    <w:p w14:paraId="44D5BBDF" w14:textId="77777777" w:rsidR="00022D4E" w:rsidRPr="00124808" w:rsidRDefault="00022D4E" w:rsidP="00973017">
      <w:pPr>
        <w:spacing w:after="0" w:line="240" w:lineRule="auto"/>
        <w:jc w:val="both"/>
        <w:rPr>
          <w:rFonts w:ascii="Times New Roman" w:eastAsia="Times New Roman" w:hAnsi="Times New Roman" w:cs="Times New Roman"/>
          <w:sz w:val="24"/>
          <w:szCs w:val="24"/>
          <w:lang w:val="en-MY" w:eastAsia="en-MY"/>
        </w:rPr>
      </w:pPr>
    </w:p>
    <w:p w14:paraId="3F37E756" w14:textId="0E9DCF04" w:rsidR="00124808" w:rsidRDefault="00124808" w:rsidP="00973017">
      <w:pPr>
        <w:pStyle w:val="Heading2"/>
        <w:numPr>
          <w:ilvl w:val="1"/>
          <w:numId w:val="19"/>
        </w:numPr>
        <w:spacing w:before="0" w:line="240" w:lineRule="auto"/>
        <w:ind w:left="567" w:hanging="567"/>
        <w:rPr>
          <w:lang w:val="en-MY" w:eastAsia="en-MY"/>
        </w:rPr>
      </w:pPr>
      <w:r w:rsidRPr="00124808">
        <w:rPr>
          <w:lang w:val="en-MY" w:eastAsia="en-MY"/>
        </w:rPr>
        <w:t>Descriptive Statistics</w:t>
      </w:r>
    </w:p>
    <w:p w14:paraId="2D6AC3DB" w14:textId="77777777" w:rsidR="00973017" w:rsidRPr="00973017" w:rsidRDefault="00973017" w:rsidP="00973017">
      <w:pPr>
        <w:spacing w:after="0" w:line="240" w:lineRule="auto"/>
        <w:rPr>
          <w:lang w:val="en-MY" w:eastAsia="en-MY"/>
        </w:rPr>
      </w:pPr>
    </w:p>
    <w:p w14:paraId="0635560B" w14:textId="6A5E4D6D" w:rsidR="00022D4E" w:rsidRDefault="00B3482F" w:rsidP="00973017">
      <w:pPr>
        <w:spacing w:after="0" w:line="240" w:lineRule="auto"/>
        <w:jc w:val="both"/>
        <w:rPr>
          <w:rFonts w:ascii="Times New Roman" w:eastAsia="Times New Roman" w:hAnsi="Times New Roman" w:cs="Times New Roman"/>
          <w:sz w:val="24"/>
          <w:szCs w:val="24"/>
          <w:lang w:val="en-MY" w:eastAsia="en-MY"/>
        </w:rPr>
      </w:pPr>
      <w:r w:rsidRPr="00B3482F">
        <w:rPr>
          <w:rFonts w:ascii="Times New Roman" w:eastAsia="Times New Roman" w:hAnsi="Times New Roman" w:cs="Times New Roman"/>
          <w:sz w:val="24"/>
          <w:szCs w:val="24"/>
          <w:lang w:val="en-MY" w:eastAsia="en-MY"/>
        </w:rPr>
        <w:t xml:space="preserve">Descriptive analysis further showed that </w:t>
      </w:r>
      <w:r w:rsidRPr="00B3482F">
        <w:rPr>
          <w:rFonts w:ascii="Times New Roman" w:eastAsia="Times New Roman" w:hAnsi="Times New Roman" w:cs="Times New Roman"/>
          <w:sz w:val="24"/>
          <w:szCs w:val="24"/>
          <w:highlight w:val="yellow"/>
          <w:lang w:val="en-MY" w:eastAsia="en-MY"/>
        </w:rPr>
        <w:t>mean scores across domains ranged from 3.98 to 4.18, with low standard deviations (≤ 0.42)</w:t>
      </w:r>
      <w:r w:rsidRPr="00B3482F">
        <w:rPr>
          <w:rFonts w:ascii="Times New Roman" w:eastAsia="Times New Roman" w:hAnsi="Times New Roman" w:cs="Times New Roman"/>
          <w:sz w:val="24"/>
          <w:szCs w:val="24"/>
          <w:lang w:val="en-MY" w:eastAsia="en-MY"/>
        </w:rPr>
        <w:t xml:space="preserve">, indicating consistent and positive responses. </w:t>
      </w:r>
      <w:r w:rsidRPr="00B3482F">
        <w:rPr>
          <w:rFonts w:ascii="Times New Roman" w:eastAsia="Times New Roman" w:hAnsi="Times New Roman" w:cs="Times New Roman"/>
          <w:sz w:val="24"/>
          <w:szCs w:val="24"/>
          <w:highlight w:val="yellow"/>
          <w:lang w:val="en-MY" w:eastAsia="en-MY"/>
        </w:rPr>
        <w:t>Meta-skills achieved the highest mean (4.18)</w:t>
      </w:r>
      <w:r w:rsidRPr="00B3482F">
        <w:rPr>
          <w:rFonts w:ascii="Times New Roman" w:eastAsia="Times New Roman" w:hAnsi="Times New Roman" w:cs="Times New Roman"/>
          <w:sz w:val="24"/>
          <w:szCs w:val="24"/>
          <w:lang w:val="en-MY" w:eastAsia="en-MY"/>
        </w:rPr>
        <w:t xml:space="preserve">, reflecting the importance of decision-making and leadership judgement, while </w:t>
      </w:r>
      <w:r w:rsidRPr="00B3482F">
        <w:rPr>
          <w:rFonts w:ascii="Times New Roman" w:eastAsia="Times New Roman" w:hAnsi="Times New Roman" w:cs="Times New Roman"/>
          <w:sz w:val="24"/>
          <w:szCs w:val="24"/>
          <w:highlight w:val="yellow"/>
          <w:lang w:val="en-MY" w:eastAsia="en-MY"/>
        </w:rPr>
        <w:t>hard skills also scored highly (4.12)</w:t>
      </w:r>
      <w:r w:rsidRPr="00B3482F">
        <w:rPr>
          <w:rFonts w:ascii="Times New Roman" w:eastAsia="Times New Roman" w:hAnsi="Times New Roman" w:cs="Times New Roman"/>
          <w:sz w:val="24"/>
          <w:szCs w:val="24"/>
          <w:lang w:val="en-MY" w:eastAsia="en-MY"/>
        </w:rPr>
        <w:t>, highlighting the value placed on technical competence and safety management. These results corroborate the view that leadership competence requires both technical and higher-order decision-making capacities (</w:t>
      </w:r>
      <w:proofErr w:type="spellStart"/>
      <w:r w:rsidRPr="00B3482F">
        <w:rPr>
          <w:rFonts w:ascii="Times New Roman" w:eastAsia="Times New Roman" w:hAnsi="Times New Roman" w:cs="Times New Roman"/>
          <w:sz w:val="24"/>
          <w:szCs w:val="24"/>
          <w:lang w:val="en-MY" w:eastAsia="en-MY"/>
        </w:rPr>
        <w:t>Yildiz</w:t>
      </w:r>
      <w:proofErr w:type="spellEnd"/>
      <w:r w:rsidRPr="00B3482F">
        <w:rPr>
          <w:rFonts w:ascii="Times New Roman" w:eastAsia="Times New Roman" w:hAnsi="Times New Roman" w:cs="Times New Roman"/>
          <w:sz w:val="24"/>
          <w:szCs w:val="24"/>
          <w:lang w:val="en-MY" w:eastAsia="en-MY"/>
        </w:rPr>
        <w:t>, 2022).</w:t>
      </w:r>
    </w:p>
    <w:p w14:paraId="222A0667" w14:textId="77777777" w:rsidR="00022D4E" w:rsidRPr="00124808" w:rsidRDefault="00022D4E" w:rsidP="00973017">
      <w:pPr>
        <w:spacing w:after="0" w:line="240" w:lineRule="auto"/>
        <w:jc w:val="both"/>
        <w:rPr>
          <w:rFonts w:ascii="Times New Roman" w:eastAsia="Times New Roman" w:hAnsi="Times New Roman" w:cs="Times New Roman"/>
          <w:sz w:val="24"/>
          <w:szCs w:val="24"/>
          <w:lang w:val="en-MY" w:eastAsia="en-MY"/>
        </w:rPr>
      </w:pPr>
    </w:p>
    <w:p w14:paraId="04ED1611" w14:textId="77777777" w:rsidR="00124808" w:rsidRDefault="00124808" w:rsidP="00973017">
      <w:pPr>
        <w:spacing w:after="0" w:line="240" w:lineRule="auto"/>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Table 2. Descriptive statistics for each domain of the instrument</w:t>
      </w:r>
    </w:p>
    <w:p w14:paraId="79D5DB0A" w14:textId="77777777" w:rsidR="00022D4E" w:rsidRPr="00124808" w:rsidRDefault="00022D4E" w:rsidP="00973017">
      <w:pPr>
        <w:spacing w:after="0" w:line="240" w:lineRule="auto"/>
        <w:rPr>
          <w:rFonts w:ascii="Times New Roman" w:eastAsia="Times New Roman" w:hAnsi="Times New Roman" w:cs="Times New Roman"/>
          <w:sz w:val="24"/>
          <w:szCs w:val="24"/>
          <w:lang w:val="en-MY" w:eastAsia="en-MY"/>
        </w:rPr>
      </w:pPr>
    </w:p>
    <w:tbl>
      <w:tblPr>
        <w:tblW w:w="85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348"/>
        <w:gridCol w:w="852"/>
        <w:gridCol w:w="2698"/>
      </w:tblGrid>
      <w:tr w:rsidR="00124808" w:rsidRPr="00124808" w14:paraId="047B671E" w14:textId="77777777" w:rsidTr="00124808">
        <w:trPr>
          <w:trHeight w:val="283"/>
          <w:tblHeader/>
          <w:tblCellSpacing w:w="15" w:type="dxa"/>
        </w:trPr>
        <w:tc>
          <w:tcPr>
            <w:tcW w:w="0" w:type="auto"/>
            <w:vAlign w:val="center"/>
            <w:hideMark/>
          </w:tcPr>
          <w:p w14:paraId="1674399C"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Domain</w:t>
            </w:r>
          </w:p>
        </w:tc>
        <w:tc>
          <w:tcPr>
            <w:tcW w:w="0" w:type="auto"/>
            <w:vAlign w:val="center"/>
            <w:hideMark/>
          </w:tcPr>
          <w:p w14:paraId="03D2C854"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Number of Items</w:t>
            </w:r>
          </w:p>
        </w:tc>
        <w:tc>
          <w:tcPr>
            <w:tcW w:w="0" w:type="auto"/>
            <w:vAlign w:val="center"/>
            <w:hideMark/>
          </w:tcPr>
          <w:p w14:paraId="485BE9E6"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Mean</w:t>
            </w:r>
          </w:p>
        </w:tc>
        <w:tc>
          <w:tcPr>
            <w:tcW w:w="0" w:type="auto"/>
            <w:vAlign w:val="center"/>
            <w:hideMark/>
          </w:tcPr>
          <w:p w14:paraId="0928FCEB" w14:textId="77777777" w:rsidR="00124808" w:rsidRPr="00124808" w:rsidRDefault="00124808" w:rsidP="00973017">
            <w:pPr>
              <w:spacing w:after="0" w:line="240" w:lineRule="auto"/>
              <w:jc w:val="center"/>
              <w:rPr>
                <w:rFonts w:ascii="Times New Roman" w:eastAsia="Times New Roman" w:hAnsi="Times New Roman" w:cs="Times New Roman"/>
                <w:b/>
                <w:bCs/>
                <w:sz w:val="24"/>
                <w:szCs w:val="24"/>
                <w:lang w:val="en-MY" w:eastAsia="en-MY"/>
              </w:rPr>
            </w:pPr>
            <w:r w:rsidRPr="00124808">
              <w:rPr>
                <w:rFonts w:ascii="Times New Roman" w:eastAsia="Times New Roman" w:hAnsi="Times New Roman" w:cs="Times New Roman"/>
                <w:b/>
                <w:bCs/>
                <w:sz w:val="24"/>
                <w:szCs w:val="24"/>
                <w:lang w:val="en-MY" w:eastAsia="en-MY"/>
              </w:rPr>
              <w:t>Standard Deviation</w:t>
            </w:r>
          </w:p>
        </w:tc>
      </w:tr>
      <w:tr w:rsidR="00124808" w:rsidRPr="00124808" w14:paraId="2B91354A" w14:textId="77777777" w:rsidTr="00124808">
        <w:trPr>
          <w:trHeight w:val="301"/>
          <w:tblCellSpacing w:w="15" w:type="dxa"/>
        </w:trPr>
        <w:tc>
          <w:tcPr>
            <w:tcW w:w="0" w:type="auto"/>
            <w:vAlign w:val="center"/>
            <w:hideMark/>
          </w:tcPr>
          <w:p w14:paraId="0D2F8FAA"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Foundation Skills</w:t>
            </w:r>
          </w:p>
        </w:tc>
        <w:tc>
          <w:tcPr>
            <w:tcW w:w="0" w:type="auto"/>
            <w:vAlign w:val="center"/>
            <w:hideMark/>
          </w:tcPr>
          <w:p w14:paraId="74A7353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4DB14B42"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3.98</w:t>
            </w:r>
          </w:p>
        </w:tc>
        <w:tc>
          <w:tcPr>
            <w:tcW w:w="0" w:type="auto"/>
            <w:vAlign w:val="center"/>
            <w:hideMark/>
          </w:tcPr>
          <w:p w14:paraId="25A0F98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0.42</w:t>
            </w:r>
          </w:p>
        </w:tc>
      </w:tr>
      <w:tr w:rsidR="00124808" w:rsidRPr="00124808" w14:paraId="62FC61BA" w14:textId="77777777" w:rsidTr="00124808">
        <w:trPr>
          <w:trHeight w:val="301"/>
          <w:tblCellSpacing w:w="15" w:type="dxa"/>
        </w:trPr>
        <w:tc>
          <w:tcPr>
            <w:tcW w:w="0" w:type="auto"/>
            <w:vAlign w:val="center"/>
            <w:hideMark/>
          </w:tcPr>
          <w:p w14:paraId="7CB626C7"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Hard Skills</w:t>
            </w:r>
          </w:p>
        </w:tc>
        <w:tc>
          <w:tcPr>
            <w:tcW w:w="0" w:type="auto"/>
            <w:vAlign w:val="center"/>
            <w:hideMark/>
          </w:tcPr>
          <w:p w14:paraId="72FAAAC2"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1575C818"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4.12</w:t>
            </w:r>
          </w:p>
        </w:tc>
        <w:tc>
          <w:tcPr>
            <w:tcW w:w="0" w:type="auto"/>
            <w:vAlign w:val="center"/>
            <w:hideMark/>
          </w:tcPr>
          <w:p w14:paraId="6289FEAF"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0.39</w:t>
            </w:r>
          </w:p>
        </w:tc>
      </w:tr>
      <w:tr w:rsidR="00124808" w:rsidRPr="00124808" w14:paraId="670A769F" w14:textId="77777777" w:rsidTr="00124808">
        <w:trPr>
          <w:trHeight w:val="283"/>
          <w:tblCellSpacing w:w="15" w:type="dxa"/>
        </w:trPr>
        <w:tc>
          <w:tcPr>
            <w:tcW w:w="0" w:type="auto"/>
            <w:vAlign w:val="center"/>
            <w:hideMark/>
          </w:tcPr>
          <w:p w14:paraId="073E1AD4"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Soft Skills</w:t>
            </w:r>
          </w:p>
        </w:tc>
        <w:tc>
          <w:tcPr>
            <w:tcW w:w="0" w:type="auto"/>
            <w:vAlign w:val="center"/>
            <w:hideMark/>
          </w:tcPr>
          <w:p w14:paraId="7497ECF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036A912E"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4.05</w:t>
            </w:r>
          </w:p>
        </w:tc>
        <w:tc>
          <w:tcPr>
            <w:tcW w:w="0" w:type="auto"/>
            <w:vAlign w:val="center"/>
            <w:hideMark/>
          </w:tcPr>
          <w:p w14:paraId="2A505646"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0.41</w:t>
            </w:r>
          </w:p>
        </w:tc>
      </w:tr>
      <w:tr w:rsidR="00124808" w:rsidRPr="00124808" w14:paraId="564BED26" w14:textId="77777777" w:rsidTr="00124808">
        <w:trPr>
          <w:trHeight w:val="301"/>
          <w:tblCellSpacing w:w="15" w:type="dxa"/>
        </w:trPr>
        <w:tc>
          <w:tcPr>
            <w:tcW w:w="0" w:type="auto"/>
            <w:vAlign w:val="center"/>
            <w:hideMark/>
          </w:tcPr>
          <w:p w14:paraId="17759EA3"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Meta-skills</w:t>
            </w:r>
          </w:p>
        </w:tc>
        <w:tc>
          <w:tcPr>
            <w:tcW w:w="0" w:type="auto"/>
            <w:vAlign w:val="center"/>
            <w:hideMark/>
          </w:tcPr>
          <w:p w14:paraId="165383C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9</w:t>
            </w:r>
          </w:p>
        </w:tc>
        <w:tc>
          <w:tcPr>
            <w:tcW w:w="0" w:type="auto"/>
            <w:vAlign w:val="center"/>
            <w:hideMark/>
          </w:tcPr>
          <w:p w14:paraId="1CF2EB05"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4.18</w:t>
            </w:r>
          </w:p>
        </w:tc>
        <w:tc>
          <w:tcPr>
            <w:tcW w:w="0" w:type="auto"/>
            <w:vAlign w:val="center"/>
            <w:hideMark/>
          </w:tcPr>
          <w:p w14:paraId="2E2ED91D"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0.36</w:t>
            </w:r>
          </w:p>
        </w:tc>
      </w:tr>
      <w:tr w:rsidR="00124808" w:rsidRPr="00124808" w14:paraId="7E99CFB2" w14:textId="77777777" w:rsidTr="00124808">
        <w:trPr>
          <w:trHeight w:val="283"/>
          <w:tblCellSpacing w:w="15" w:type="dxa"/>
        </w:trPr>
        <w:tc>
          <w:tcPr>
            <w:tcW w:w="0" w:type="auto"/>
            <w:vAlign w:val="center"/>
            <w:hideMark/>
          </w:tcPr>
          <w:p w14:paraId="39D5ACD0" w14:textId="77777777" w:rsidR="00124808" w:rsidRPr="00124808" w:rsidRDefault="00124808" w:rsidP="00973017">
            <w:pPr>
              <w:spacing w:after="0" w:line="240" w:lineRule="auto"/>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b/>
                <w:bCs/>
                <w:sz w:val="24"/>
                <w:szCs w:val="24"/>
                <w:lang w:val="en-MY" w:eastAsia="en-MY"/>
              </w:rPr>
              <w:t>Overall Instrument</w:t>
            </w:r>
          </w:p>
        </w:tc>
        <w:tc>
          <w:tcPr>
            <w:tcW w:w="0" w:type="auto"/>
            <w:vAlign w:val="center"/>
            <w:hideMark/>
          </w:tcPr>
          <w:p w14:paraId="55537184"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36</w:t>
            </w:r>
          </w:p>
        </w:tc>
        <w:tc>
          <w:tcPr>
            <w:tcW w:w="0" w:type="auto"/>
            <w:vAlign w:val="center"/>
            <w:hideMark/>
          </w:tcPr>
          <w:p w14:paraId="7D36B981"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4.08</w:t>
            </w:r>
          </w:p>
        </w:tc>
        <w:tc>
          <w:tcPr>
            <w:tcW w:w="0" w:type="auto"/>
            <w:vAlign w:val="center"/>
            <w:hideMark/>
          </w:tcPr>
          <w:p w14:paraId="377780ED" w14:textId="77777777" w:rsidR="00124808" w:rsidRPr="00124808" w:rsidRDefault="00124808" w:rsidP="00973017">
            <w:pPr>
              <w:spacing w:after="0" w:line="240" w:lineRule="auto"/>
              <w:jc w:val="center"/>
              <w:rPr>
                <w:rFonts w:ascii="Times New Roman" w:eastAsia="Times New Roman" w:hAnsi="Times New Roman" w:cs="Times New Roman"/>
                <w:sz w:val="24"/>
                <w:szCs w:val="24"/>
                <w:lang w:val="en-MY" w:eastAsia="en-MY"/>
              </w:rPr>
            </w:pPr>
            <w:r w:rsidRPr="00124808">
              <w:rPr>
                <w:rFonts w:ascii="Times New Roman" w:eastAsia="Times New Roman" w:hAnsi="Times New Roman" w:cs="Times New Roman"/>
                <w:sz w:val="24"/>
                <w:szCs w:val="24"/>
                <w:lang w:val="en-MY" w:eastAsia="en-MY"/>
              </w:rPr>
              <w:t>0.40</w:t>
            </w:r>
          </w:p>
        </w:tc>
      </w:tr>
    </w:tbl>
    <w:p w14:paraId="0A7C10EC" w14:textId="77777777" w:rsidR="00973017" w:rsidRDefault="00973017" w:rsidP="00973017">
      <w:pPr>
        <w:spacing w:after="0" w:line="240" w:lineRule="auto"/>
        <w:jc w:val="both"/>
        <w:rPr>
          <w:rFonts w:ascii="Times New Roman" w:eastAsia="Times New Roman" w:hAnsi="Times New Roman" w:cs="Times New Roman"/>
          <w:sz w:val="24"/>
          <w:szCs w:val="24"/>
          <w:lang w:val="en-MY" w:eastAsia="en-MY"/>
        </w:rPr>
      </w:pPr>
    </w:p>
    <w:p w14:paraId="1E2F4F92" w14:textId="76646B08" w:rsidR="00E65974" w:rsidRPr="00E65974" w:rsidRDefault="00E65974" w:rsidP="00E65974">
      <w:pPr>
        <w:spacing w:after="0" w:line="240" w:lineRule="auto"/>
        <w:jc w:val="both"/>
        <w:rPr>
          <w:rFonts w:ascii="Times New Roman" w:eastAsia="Times New Roman" w:hAnsi="Times New Roman" w:cs="Times New Roman"/>
          <w:sz w:val="24"/>
          <w:szCs w:val="24"/>
          <w:lang w:val="en-MY" w:eastAsia="en-MY"/>
        </w:rPr>
      </w:pPr>
      <w:r w:rsidRPr="00E65974">
        <w:rPr>
          <w:rFonts w:ascii="Times New Roman" w:eastAsia="Times New Roman" w:hAnsi="Times New Roman" w:cs="Times New Roman"/>
          <w:sz w:val="24"/>
          <w:szCs w:val="24"/>
          <w:lang w:val="en-MY" w:eastAsia="en-MY"/>
        </w:rPr>
        <w:t>Among the four domains, meta-skills achieved the highest mean (4.18),</w:t>
      </w:r>
      <w:r w:rsidR="00A35F40">
        <w:rPr>
          <w:rFonts w:ascii="Times New Roman" w:eastAsia="Times New Roman" w:hAnsi="Times New Roman" w:cs="Times New Roman"/>
          <w:sz w:val="24"/>
          <w:szCs w:val="24"/>
          <w:lang w:val="en-MY" w:eastAsia="en-MY"/>
        </w:rPr>
        <w:t xml:space="preserve"> </w:t>
      </w:r>
      <w:r w:rsidRPr="00A35F40">
        <w:rPr>
          <w:rFonts w:ascii="Times New Roman" w:eastAsia="Times New Roman" w:hAnsi="Times New Roman" w:cs="Times New Roman"/>
          <w:sz w:val="24"/>
          <w:szCs w:val="24"/>
          <w:highlight w:val="yellow"/>
          <w:lang w:val="en-MY" w:eastAsia="en-MY"/>
        </w:rPr>
        <w:t>reflecting the centrality of decision-making, problem-solving, and leadership judgement in outdoor education contexts</w:t>
      </w:r>
      <w:r w:rsidRPr="00E65974">
        <w:rPr>
          <w:rFonts w:ascii="Times New Roman" w:eastAsia="Times New Roman" w:hAnsi="Times New Roman" w:cs="Times New Roman"/>
          <w:sz w:val="24"/>
          <w:szCs w:val="24"/>
          <w:lang w:val="en-MY" w:eastAsia="en-MY"/>
        </w:rPr>
        <w:t>. Hard skills also demonstrated a high mean score (4.12),</w:t>
      </w:r>
      <w:r w:rsidR="00A35F40">
        <w:rPr>
          <w:rFonts w:ascii="Times New Roman" w:eastAsia="Times New Roman" w:hAnsi="Times New Roman" w:cs="Times New Roman"/>
          <w:sz w:val="24"/>
          <w:szCs w:val="24"/>
          <w:lang w:val="en-MY" w:eastAsia="en-MY"/>
        </w:rPr>
        <w:t xml:space="preserve"> </w:t>
      </w:r>
      <w:r w:rsidRPr="00A35F40">
        <w:rPr>
          <w:rFonts w:ascii="Times New Roman" w:eastAsia="Times New Roman" w:hAnsi="Times New Roman" w:cs="Times New Roman"/>
          <w:sz w:val="24"/>
          <w:szCs w:val="24"/>
          <w:highlight w:val="yellow"/>
          <w:lang w:val="en-MY" w:eastAsia="en-MY"/>
        </w:rPr>
        <w:t>underscoring the importance of technical expertise and safety management in ensuring effective leadership</w:t>
      </w:r>
      <w:r w:rsidRPr="00E65974">
        <w:rPr>
          <w:rFonts w:ascii="Times New Roman" w:eastAsia="Times New Roman" w:hAnsi="Times New Roman" w:cs="Times New Roman"/>
          <w:sz w:val="24"/>
          <w:szCs w:val="24"/>
          <w:lang w:val="en-MY" w:eastAsia="en-MY"/>
        </w:rPr>
        <w:t xml:space="preserve">. Foundation skills (3.98) and soft skills (4.05), while slightly lower, </w:t>
      </w:r>
      <w:r w:rsidRPr="00A35F40">
        <w:rPr>
          <w:rFonts w:ascii="Times New Roman" w:eastAsia="Times New Roman" w:hAnsi="Times New Roman" w:cs="Times New Roman"/>
          <w:sz w:val="24"/>
          <w:szCs w:val="24"/>
          <w:highlight w:val="yellow"/>
          <w:lang w:val="en-MY" w:eastAsia="en-MY"/>
        </w:rPr>
        <w:t>still reflect strong levels of agreement, indicating that philosophical understanding, communication, and facilitation remain recognised strengths</w:t>
      </w:r>
      <w:r w:rsidRPr="00E65974">
        <w:rPr>
          <w:rFonts w:ascii="Times New Roman" w:eastAsia="Times New Roman" w:hAnsi="Times New Roman" w:cs="Times New Roman"/>
          <w:sz w:val="24"/>
          <w:szCs w:val="24"/>
          <w:lang w:val="en-MY" w:eastAsia="en-MY"/>
        </w:rPr>
        <w:t>.</w:t>
      </w:r>
    </w:p>
    <w:p w14:paraId="180C58FA" w14:textId="77777777" w:rsidR="00E65974" w:rsidRPr="00E65974" w:rsidRDefault="00E65974" w:rsidP="00E65974">
      <w:pPr>
        <w:spacing w:after="0" w:line="240" w:lineRule="auto"/>
        <w:jc w:val="both"/>
        <w:rPr>
          <w:rFonts w:ascii="Times New Roman" w:eastAsia="Times New Roman" w:hAnsi="Times New Roman" w:cs="Times New Roman"/>
          <w:sz w:val="24"/>
          <w:szCs w:val="24"/>
          <w:lang w:val="en-MY" w:eastAsia="en-MY"/>
        </w:rPr>
      </w:pPr>
    </w:p>
    <w:p w14:paraId="08EBAF57" w14:textId="3ECD2CDC" w:rsidR="00022D4E" w:rsidRDefault="00E65974" w:rsidP="00E65974">
      <w:pPr>
        <w:spacing w:after="0" w:line="240" w:lineRule="auto"/>
        <w:jc w:val="both"/>
        <w:rPr>
          <w:rFonts w:ascii="Times New Roman" w:eastAsia="Times New Roman" w:hAnsi="Times New Roman" w:cs="Times New Roman"/>
          <w:sz w:val="24"/>
          <w:szCs w:val="24"/>
          <w:lang w:val="en-MY" w:eastAsia="en-MY"/>
        </w:rPr>
      </w:pPr>
      <w:r w:rsidRPr="00A35F40">
        <w:rPr>
          <w:rFonts w:ascii="Times New Roman" w:eastAsia="Times New Roman" w:hAnsi="Times New Roman" w:cs="Times New Roman"/>
          <w:sz w:val="24"/>
          <w:szCs w:val="24"/>
          <w:highlight w:val="yellow"/>
          <w:lang w:val="en-MY" w:eastAsia="en-MY"/>
        </w:rPr>
        <w:lastRenderedPageBreak/>
        <w:t>These descriptive results corroborate existing literature which highlights that effective outdoor leadership requires both technical competence and higher-order decision-making abilities (</w:t>
      </w:r>
      <w:proofErr w:type="spellStart"/>
      <w:r w:rsidRPr="00A35F40">
        <w:rPr>
          <w:rFonts w:ascii="Times New Roman" w:eastAsia="Times New Roman" w:hAnsi="Times New Roman" w:cs="Times New Roman"/>
          <w:sz w:val="24"/>
          <w:szCs w:val="24"/>
          <w:highlight w:val="yellow"/>
          <w:lang w:val="en-MY" w:eastAsia="en-MY"/>
        </w:rPr>
        <w:t>Yildiz</w:t>
      </w:r>
      <w:proofErr w:type="spellEnd"/>
      <w:r w:rsidRPr="00A35F40">
        <w:rPr>
          <w:rFonts w:ascii="Times New Roman" w:eastAsia="Times New Roman" w:hAnsi="Times New Roman" w:cs="Times New Roman"/>
          <w:sz w:val="24"/>
          <w:szCs w:val="24"/>
          <w:highlight w:val="yellow"/>
          <w:lang w:val="en-MY" w:eastAsia="en-MY"/>
        </w:rPr>
        <w:t>, 2022).</w:t>
      </w:r>
    </w:p>
    <w:p w14:paraId="3D5A2B6E" w14:textId="77777777" w:rsidR="00E65974" w:rsidRPr="00124808" w:rsidRDefault="00E65974" w:rsidP="00E65974">
      <w:pPr>
        <w:spacing w:after="0" w:line="240" w:lineRule="auto"/>
        <w:jc w:val="both"/>
        <w:rPr>
          <w:rFonts w:ascii="Times New Roman" w:eastAsia="Times New Roman" w:hAnsi="Times New Roman" w:cs="Times New Roman"/>
          <w:sz w:val="24"/>
          <w:szCs w:val="24"/>
          <w:lang w:val="en-MY" w:eastAsia="en-MY"/>
        </w:rPr>
      </w:pPr>
    </w:p>
    <w:p w14:paraId="4C1720BB" w14:textId="0DD16481" w:rsidR="00DD0D8F" w:rsidRPr="00973017" w:rsidRDefault="00DD0D8F" w:rsidP="00DD0D8F">
      <w:pPr>
        <w:spacing w:after="0" w:line="240" w:lineRule="auto"/>
        <w:rPr>
          <w:lang w:val="en-MY" w:eastAsia="en-MY"/>
        </w:rPr>
      </w:pPr>
      <w:r>
        <w:rPr>
          <w:rFonts w:ascii="Arial" w:eastAsiaTheme="majorEastAsia" w:hAnsi="Arial" w:cstheme="majorBidi"/>
          <w:b/>
          <w:bCs/>
          <w:szCs w:val="26"/>
          <w:lang w:val="en-MY" w:eastAsia="en-MY"/>
        </w:rPr>
        <w:t>3.3</w:t>
      </w:r>
      <w:r>
        <w:rPr>
          <w:rFonts w:ascii="Arial" w:eastAsiaTheme="majorEastAsia" w:hAnsi="Arial" w:cstheme="majorBidi"/>
          <w:b/>
          <w:bCs/>
          <w:szCs w:val="26"/>
          <w:lang w:val="en-MY" w:eastAsia="en-MY"/>
        </w:rPr>
        <w:tab/>
      </w:r>
      <w:r w:rsidRPr="00DD0D8F">
        <w:rPr>
          <w:rFonts w:ascii="Arial" w:eastAsiaTheme="majorEastAsia" w:hAnsi="Arial" w:cstheme="majorBidi"/>
          <w:b/>
          <w:bCs/>
          <w:szCs w:val="26"/>
          <w:lang w:val="en-MY" w:eastAsia="en-MY"/>
        </w:rPr>
        <w:t>Interpretation of Findings</w:t>
      </w:r>
    </w:p>
    <w:p w14:paraId="411D1ED1" w14:textId="77777777" w:rsidR="00DD0D8F" w:rsidRDefault="00DD0D8F" w:rsidP="00DD0D8F">
      <w:pPr>
        <w:spacing w:after="0" w:line="240" w:lineRule="auto"/>
        <w:jc w:val="both"/>
        <w:rPr>
          <w:rFonts w:ascii="Times New Roman" w:eastAsia="Times New Roman" w:hAnsi="Times New Roman" w:cs="Times New Roman"/>
          <w:sz w:val="24"/>
          <w:szCs w:val="24"/>
          <w:lang w:val="en-MY" w:eastAsia="en-MY"/>
        </w:rPr>
      </w:pPr>
    </w:p>
    <w:p w14:paraId="0703C684" w14:textId="3FD7F5D0" w:rsidR="00DD0D8F" w:rsidRDefault="00A35F40" w:rsidP="00DD0D8F">
      <w:pPr>
        <w:pStyle w:val="NormalWeb"/>
        <w:spacing w:before="0" w:beforeAutospacing="0" w:after="0" w:afterAutospacing="0"/>
        <w:jc w:val="both"/>
      </w:pPr>
      <w:r w:rsidRPr="00A35F40">
        <w:t xml:space="preserve">The consistency of results across domains reinforces the multidimensional framework of outdoor leadership competencies as proposed in the Brick Wall Model (Priest &amp; </w:t>
      </w:r>
      <w:proofErr w:type="spellStart"/>
      <w:r w:rsidRPr="00A35F40">
        <w:t>Gass</w:t>
      </w:r>
      <w:proofErr w:type="spellEnd"/>
      <w:r w:rsidRPr="00A35F40">
        <w:t>, 1997).</w:t>
      </w:r>
      <w:r>
        <w:t xml:space="preserve"> </w:t>
      </w:r>
      <w:r w:rsidRPr="00A35F40">
        <w:rPr>
          <w:highlight w:val="yellow"/>
        </w:rPr>
        <w:t>Foundation skills provide the philosophical grounding and awareness of safety and environmental responsibility</w:t>
      </w:r>
      <w:r w:rsidRPr="00A35F40">
        <w:t>, while</w:t>
      </w:r>
      <w:r>
        <w:t xml:space="preserve"> </w:t>
      </w:r>
      <w:r w:rsidRPr="00A35F40">
        <w:rPr>
          <w:highlight w:val="yellow"/>
        </w:rPr>
        <w:t>hard skills represent technical mastery crucial for activity implementation and risk management</w:t>
      </w:r>
      <w:r w:rsidRPr="00A35F40">
        <w:t>.</w:t>
      </w:r>
      <w:r>
        <w:t xml:space="preserve"> </w:t>
      </w:r>
      <w:r w:rsidRPr="00A35F40">
        <w:rPr>
          <w:highlight w:val="yellow"/>
        </w:rPr>
        <w:t>Soft skills underscore the interpersonal and facilitation abilities that enable leaders to engage participants effectively</w:t>
      </w:r>
      <w:r w:rsidRPr="00A35F40">
        <w:t xml:space="preserve">, whereas </w:t>
      </w:r>
      <w:r w:rsidRPr="00A35F40">
        <w:rPr>
          <w:highlight w:val="yellow"/>
        </w:rPr>
        <w:t>meta-skills reflect advanced competencies such as decision-making, problem-solving, and leadership judgement</w:t>
      </w:r>
      <w:r>
        <w:t xml:space="preserve">. </w:t>
      </w:r>
      <w:r w:rsidRPr="00A35F40">
        <w:rPr>
          <w:highlight w:val="yellow"/>
        </w:rPr>
        <w:t>These findings indicate that students were able to distinguish meaningfully between the domains, suggesting that the instrument not only captured distinct dimensions of leadership but also allowed for valid and reliable evaluation from the learner’s perspective</w:t>
      </w:r>
      <w:r w:rsidRPr="00A35F40">
        <w:t>.</w:t>
      </w:r>
    </w:p>
    <w:p w14:paraId="2B906B2D" w14:textId="77777777" w:rsidR="00A35F40" w:rsidRDefault="00A35F40" w:rsidP="00DD0D8F">
      <w:pPr>
        <w:pStyle w:val="NormalWeb"/>
        <w:spacing w:before="0" w:beforeAutospacing="0" w:after="0" w:afterAutospacing="0"/>
        <w:jc w:val="both"/>
        <w:rPr>
          <w:rStyle w:val="Strong"/>
        </w:rPr>
      </w:pPr>
    </w:p>
    <w:p w14:paraId="278745B6" w14:textId="63571468" w:rsidR="00DD0D8F" w:rsidRPr="00973017" w:rsidRDefault="00DD0D8F" w:rsidP="00DD0D8F">
      <w:pPr>
        <w:spacing w:after="0" w:line="240" w:lineRule="auto"/>
        <w:rPr>
          <w:lang w:val="en-MY" w:eastAsia="en-MY"/>
        </w:rPr>
      </w:pPr>
      <w:r>
        <w:rPr>
          <w:rFonts w:ascii="Arial" w:eastAsiaTheme="majorEastAsia" w:hAnsi="Arial" w:cstheme="majorBidi"/>
          <w:b/>
          <w:bCs/>
          <w:szCs w:val="26"/>
          <w:lang w:val="en-MY" w:eastAsia="en-MY"/>
        </w:rPr>
        <w:t>3.4</w:t>
      </w:r>
      <w:r>
        <w:rPr>
          <w:rFonts w:ascii="Arial" w:eastAsiaTheme="majorEastAsia" w:hAnsi="Arial" w:cstheme="majorBidi"/>
          <w:b/>
          <w:bCs/>
          <w:szCs w:val="26"/>
          <w:lang w:val="en-MY" w:eastAsia="en-MY"/>
        </w:rPr>
        <w:tab/>
      </w:r>
      <w:r w:rsidRPr="00DD0D8F">
        <w:rPr>
          <w:rFonts w:ascii="Arial" w:eastAsiaTheme="majorEastAsia" w:hAnsi="Arial" w:cstheme="majorBidi"/>
          <w:b/>
          <w:bCs/>
          <w:szCs w:val="26"/>
          <w:lang w:val="en-MY" w:eastAsia="en-MY"/>
        </w:rPr>
        <w:t>Contribution to Outdoor Leadership Research</w:t>
      </w:r>
    </w:p>
    <w:p w14:paraId="0B8A23B3" w14:textId="77777777" w:rsidR="00DD0D8F" w:rsidRDefault="00DD0D8F" w:rsidP="00DD0D8F">
      <w:pPr>
        <w:spacing w:after="0" w:line="240" w:lineRule="auto"/>
        <w:jc w:val="both"/>
        <w:rPr>
          <w:rFonts w:ascii="Times New Roman" w:eastAsia="Times New Roman" w:hAnsi="Times New Roman" w:cs="Times New Roman"/>
          <w:sz w:val="24"/>
          <w:szCs w:val="24"/>
          <w:lang w:val="en-MY" w:eastAsia="en-MY"/>
        </w:rPr>
      </w:pPr>
    </w:p>
    <w:p w14:paraId="6CAC5B22" w14:textId="540C5B1A" w:rsidR="00DD0D8F" w:rsidRDefault="00A35F40" w:rsidP="00DD0D8F">
      <w:pPr>
        <w:pStyle w:val="NormalWeb"/>
        <w:spacing w:before="0" w:beforeAutospacing="0" w:after="0" w:afterAutospacing="0"/>
        <w:jc w:val="both"/>
      </w:pPr>
      <w:r w:rsidRPr="00A35F40">
        <w:t>This study</w:t>
      </w:r>
      <w:r>
        <w:t xml:space="preserve"> </w:t>
      </w:r>
      <w:r w:rsidRPr="00A35F40">
        <w:rPr>
          <w:highlight w:val="yellow"/>
        </w:rPr>
        <w:t>provides strong evidence of the viability of student-based assessment as a complementary approach to traditional supervisor evaluations</w:t>
      </w:r>
      <w:r w:rsidRPr="00A35F40">
        <w:t xml:space="preserve">, </w:t>
      </w:r>
      <w:r w:rsidRPr="00A35F40">
        <w:rPr>
          <w:highlight w:val="yellow"/>
        </w:rPr>
        <w:t>offering insights that directly reflect the lived experiences of learners in outdoor education contexts</w:t>
      </w:r>
      <w:r w:rsidRPr="00A35F40">
        <w:t xml:space="preserve">. By </w:t>
      </w:r>
      <w:r w:rsidRPr="00A35F40">
        <w:rPr>
          <w:highlight w:val="yellow"/>
        </w:rPr>
        <w:t>foregrounding student perspectives, the study contributes to an enriched understanding of leadership effectiveness that is more inclusive and contextually grounded</w:t>
      </w:r>
      <w:r w:rsidRPr="00A35F40">
        <w:t>. The findings not only reinforce international scholarship that underscores the value of student voices in leadership evaluation (</w:t>
      </w:r>
      <w:proofErr w:type="spellStart"/>
      <w:r w:rsidRPr="00A35F40">
        <w:t>Shamsulariffin</w:t>
      </w:r>
      <w:proofErr w:type="spellEnd"/>
      <w:r w:rsidRPr="00A35F40">
        <w:t xml:space="preserve">, </w:t>
      </w:r>
      <w:proofErr w:type="spellStart"/>
      <w:r w:rsidRPr="00A35F40">
        <w:t>Borhanuddin</w:t>
      </w:r>
      <w:proofErr w:type="spellEnd"/>
      <w:r w:rsidRPr="00A35F40">
        <w:t>, &amp; Chee, 2018; Wang et al., 2024) but also</w:t>
      </w:r>
      <w:r>
        <w:t xml:space="preserve"> </w:t>
      </w:r>
      <w:r w:rsidRPr="00A35F40">
        <w:rPr>
          <w:highlight w:val="yellow"/>
        </w:rPr>
        <w:t xml:space="preserve">extend the application of the Brick Wall Model (Priest &amp; </w:t>
      </w:r>
      <w:proofErr w:type="spellStart"/>
      <w:r w:rsidRPr="00A35F40">
        <w:rPr>
          <w:highlight w:val="yellow"/>
        </w:rPr>
        <w:t>Gass</w:t>
      </w:r>
      <w:proofErr w:type="spellEnd"/>
      <w:r w:rsidRPr="00A35F40">
        <w:rPr>
          <w:highlight w:val="yellow"/>
        </w:rPr>
        <w:t xml:space="preserve">, 1997) into the Malaysian teacher education setting (Omar, Md Amin, &amp; </w:t>
      </w:r>
      <w:proofErr w:type="spellStart"/>
      <w:r w:rsidRPr="00A35F40">
        <w:rPr>
          <w:highlight w:val="yellow"/>
        </w:rPr>
        <w:t>Mazuki</w:t>
      </w:r>
      <w:proofErr w:type="spellEnd"/>
      <w:r w:rsidRPr="00A35F40">
        <w:rPr>
          <w:highlight w:val="yellow"/>
        </w:rPr>
        <w:t>, 2020)</w:t>
      </w:r>
      <w:r w:rsidRPr="00A35F40">
        <w:t xml:space="preserve">. </w:t>
      </w:r>
      <w:r w:rsidRPr="00A35F40">
        <w:rPr>
          <w:highlight w:val="yellow"/>
        </w:rPr>
        <w:t>This integration highlights the model’s adaptability across cultural and institutional contexts, strengthening its relevance for competency-based training in Malaysia</w:t>
      </w:r>
      <w:r w:rsidRPr="00A35F40">
        <w:t>.</w:t>
      </w:r>
    </w:p>
    <w:p w14:paraId="12B6DE96" w14:textId="77777777" w:rsidR="00DD0D8F" w:rsidRDefault="00DD0D8F" w:rsidP="00DD0D8F">
      <w:pPr>
        <w:pStyle w:val="NormalWeb"/>
        <w:spacing w:before="0" w:beforeAutospacing="0" w:after="0" w:afterAutospacing="0"/>
        <w:jc w:val="both"/>
      </w:pPr>
    </w:p>
    <w:p w14:paraId="33BBDAC3" w14:textId="657478CC" w:rsidR="00DD0D8F" w:rsidRPr="00973017" w:rsidRDefault="00DD0D8F" w:rsidP="00DD0D8F">
      <w:pPr>
        <w:spacing w:after="0" w:line="240" w:lineRule="auto"/>
        <w:rPr>
          <w:lang w:val="en-MY" w:eastAsia="en-MY"/>
        </w:rPr>
      </w:pPr>
      <w:r>
        <w:rPr>
          <w:rFonts w:ascii="Arial" w:eastAsiaTheme="majorEastAsia" w:hAnsi="Arial" w:cstheme="majorBidi"/>
          <w:b/>
          <w:bCs/>
          <w:szCs w:val="26"/>
          <w:lang w:val="en-MY" w:eastAsia="en-MY"/>
        </w:rPr>
        <w:t>3.5</w:t>
      </w:r>
      <w:r>
        <w:rPr>
          <w:rFonts w:ascii="Arial" w:eastAsiaTheme="majorEastAsia" w:hAnsi="Arial" w:cstheme="majorBidi"/>
          <w:b/>
          <w:bCs/>
          <w:szCs w:val="26"/>
          <w:lang w:val="en-MY" w:eastAsia="en-MY"/>
        </w:rPr>
        <w:tab/>
      </w:r>
      <w:r w:rsidRPr="00DD0D8F">
        <w:rPr>
          <w:rFonts w:ascii="Arial" w:eastAsiaTheme="majorEastAsia" w:hAnsi="Arial" w:cstheme="majorBidi"/>
          <w:b/>
          <w:bCs/>
          <w:szCs w:val="26"/>
          <w:lang w:val="en-MY" w:eastAsia="en-MY"/>
        </w:rPr>
        <w:t>Practical Implications</w:t>
      </w:r>
    </w:p>
    <w:p w14:paraId="48C4462D" w14:textId="77777777" w:rsidR="00DD0D8F" w:rsidRDefault="00DD0D8F" w:rsidP="00DD0D8F">
      <w:pPr>
        <w:spacing w:after="0" w:line="240" w:lineRule="auto"/>
        <w:jc w:val="both"/>
        <w:rPr>
          <w:rFonts w:ascii="Times New Roman" w:eastAsia="Times New Roman" w:hAnsi="Times New Roman" w:cs="Times New Roman"/>
          <w:sz w:val="24"/>
          <w:szCs w:val="24"/>
          <w:lang w:val="en-MY" w:eastAsia="en-MY"/>
        </w:rPr>
      </w:pPr>
    </w:p>
    <w:p w14:paraId="51347782" w14:textId="1954D981" w:rsidR="00DD0D8F" w:rsidRDefault="009C5BE0" w:rsidP="00DD0D8F">
      <w:pPr>
        <w:pStyle w:val="NormalWeb"/>
        <w:spacing w:before="0" w:beforeAutospacing="0" w:after="0" w:afterAutospacing="0"/>
        <w:jc w:val="both"/>
      </w:pPr>
      <w:r w:rsidRPr="009C5BE0">
        <w:t xml:space="preserve">The instrument </w:t>
      </w:r>
      <w:r w:rsidRPr="00A35F40">
        <w:rPr>
          <w:highlight w:val="yellow"/>
        </w:rPr>
        <w:t>serves as a structured formative evaluation tool that enables teacher education institutes to systematically identify strengths and areas for improvement in leadership training</w:t>
      </w:r>
      <w:r w:rsidRPr="009C5BE0">
        <w:t xml:space="preserve">. By </w:t>
      </w:r>
      <w:r w:rsidRPr="00A35F40">
        <w:rPr>
          <w:highlight w:val="yellow"/>
        </w:rPr>
        <w:t>embedding student feedback into the evaluation process, the instrument enhances accountability, ensures programme responsiveness to learner needs, and promotes continuous improvement</w:t>
      </w:r>
      <w:r w:rsidRPr="009C5BE0">
        <w:t xml:space="preserve">. In addition, </w:t>
      </w:r>
      <w:r w:rsidRPr="00A35F40">
        <w:rPr>
          <w:highlight w:val="yellow"/>
        </w:rPr>
        <w:t>the adoption of this tool aligns with ongoing national reforms that emphasise competency-based education and teacher professionalism, while also supporting global quality education goals, particularly those articulated in Sustainable Development Goal 4 (SDG 4)</w:t>
      </w:r>
      <w:r w:rsidRPr="009C5BE0">
        <w:t xml:space="preserve">. Hence, </w:t>
      </w:r>
      <w:r w:rsidRPr="00A35F40">
        <w:rPr>
          <w:highlight w:val="yellow"/>
        </w:rPr>
        <w:t>the instrument not only advances pedagogical practice within the Malaysian teacher education context but also situates outdoor education leadership training within a broader international framework of educational quality and accountability</w:t>
      </w:r>
      <w:r w:rsidRPr="009C5BE0">
        <w:t xml:space="preserve"> (</w:t>
      </w:r>
      <w:proofErr w:type="spellStart"/>
      <w:r w:rsidRPr="009C5BE0">
        <w:t>Mohd</w:t>
      </w:r>
      <w:proofErr w:type="spellEnd"/>
      <w:r w:rsidRPr="009C5BE0">
        <w:t xml:space="preserve"> Said et al., 2025).</w:t>
      </w:r>
    </w:p>
    <w:p w14:paraId="3CC79B54" w14:textId="77777777" w:rsidR="00312679" w:rsidRDefault="00312679" w:rsidP="00DD0D8F">
      <w:pPr>
        <w:spacing w:after="0" w:line="240" w:lineRule="auto"/>
        <w:rPr>
          <w:rFonts w:ascii="Arial" w:eastAsiaTheme="majorEastAsia" w:hAnsi="Arial" w:cstheme="majorBidi"/>
          <w:b/>
          <w:bCs/>
          <w:szCs w:val="26"/>
          <w:lang w:val="en-MY" w:eastAsia="en-MY"/>
        </w:rPr>
      </w:pPr>
    </w:p>
    <w:p w14:paraId="02993ED6" w14:textId="77777777" w:rsidR="00DF4587" w:rsidRDefault="00DF4587" w:rsidP="00AC1B14">
      <w:pPr>
        <w:spacing w:after="0" w:line="240" w:lineRule="auto"/>
        <w:jc w:val="both"/>
        <w:rPr>
          <w:rFonts w:ascii="Times New Roman" w:eastAsia="Times New Roman" w:hAnsi="Times New Roman" w:cs="Times New Roman"/>
          <w:sz w:val="24"/>
          <w:szCs w:val="24"/>
          <w:lang w:val="en-MY" w:eastAsia="en-MY"/>
        </w:rPr>
      </w:pPr>
    </w:p>
    <w:p w14:paraId="29E17AF8" w14:textId="77777777" w:rsidR="00AC1B14" w:rsidRDefault="00AC1B14" w:rsidP="00AC1B14">
      <w:pPr>
        <w:spacing w:after="0" w:line="240" w:lineRule="auto"/>
        <w:jc w:val="both"/>
        <w:rPr>
          <w:rFonts w:ascii="Times New Roman" w:eastAsia="Times New Roman" w:hAnsi="Times New Roman" w:cs="Times New Roman"/>
          <w:sz w:val="24"/>
          <w:szCs w:val="24"/>
          <w:lang w:val="en-MY" w:eastAsia="en-MY"/>
        </w:rPr>
      </w:pPr>
    </w:p>
    <w:bookmarkEnd w:id="2"/>
    <w:p w14:paraId="797B90E7" w14:textId="5793C9CA" w:rsidR="00124808" w:rsidRPr="00973017" w:rsidRDefault="00124808" w:rsidP="00AC1B14">
      <w:pPr>
        <w:pStyle w:val="Heading1"/>
        <w:numPr>
          <w:ilvl w:val="0"/>
          <w:numId w:val="0"/>
        </w:numPr>
        <w:spacing w:before="0" w:line="240" w:lineRule="auto"/>
        <w:ind w:left="360" w:hanging="360"/>
      </w:pPr>
      <w:r w:rsidRPr="00973017">
        <w:t xml:space="preserve">4. </w:t>
      </w:r>
      <w:r w:rsidR="00973017">
        <w:tab/>
      </w:r>
      <w:r w:rsidRPr="00973017">
        <w:t>CONCLUSION</w:t>
      </w:r>
    </w:p>
    <w:p w14:paraId="6A4AB950" w14:textId="77777777" w:rsidR="00973017" w:rsidRDefault="00973017" w:rsidP="00AC1B14">
      <w:pPr>
        <w:pStyle w:val="NormalWeb"/>
        <w:spacing w:before="0" w:beforeAutospacing="0" w:after="0" w:afterAutospacing="0"/>
        <w:jc w:val="both"/>
      </w:pPr>
    </w:p>
    <w:p w14:paraId="257D45E7" w14:textId="532DDA1C" w:rsidR="00AC1B14" w:rsidRDefault="00AC1B14" w:rsidP="00AC1B14">
      <w:pPr>
        <w:pStyle w:val="NormalWeb"/>
        <w:spacing w:before="0" w:beforeAutospacing="0" w:after="0" w:afterAutospacing="0"/>
        <w:jc w:val="both"/>
      </w:pPr>
      <w:r>
        <w:t xml:space="preserve">This pilot study </w:t>
      </w:r>
      <w:r w:rsidRPr="00AC1B14">
        <w:rPr>
          <w:highlight w:val="yellow"/>
        </w:rPr>
        <w:t>established the preliminary reliability</w:t>
      </w:r>
      <w:r>
        <w:t xml:space="preserve"> of a newly developed student assessment instrument designed to evaluate outdoor education leadership competencies in Malaysian Teacher Education Institutes. </w:t>
      </w:r>
      <w:r w:rsidRPr="00AC1B14">
        <w:rPr>
          <w:highlight w:val="yellow"/>
        </w:rPr>
        <w:t xml:space="preserve">Grounded in the Brick Wall Model (Priest &amp; </w:t>
      </w:r>
      <w:proofErr w:type="spellStart"/>
      <w:r w:rsidRPr="00AC1B14">
        <w:rPr>
          <w:highlight w:val="yellow"/>
        </w:rPr>
        <w:t>Gass</w:t>
      </w:r>
      <w:proofErr w:type="spellEnd"/>
      <w:r w:rsidRPr="00AC1B14">
        <w:rPr>
          <w:highlight w:val="yellow"/>
        </w:rPr>
        <w:t>, 1997)</w:t>
      </w:r>
      <w:r>
        <w:t>, the instrument demonstrated satisfactory to high internal consistency across four domains</w:t>
      </w:r>
      <w:r w:rsidR="0004678D">
        <w:t xml:space="preserve">: </w:t>
      </w:r>
      <w:r>
        <w:t>foundation skills, hard skills, soft skills, and meta-skills</w:t>
      </w:r>
      <w:r w:rsidR="0004678D">
        <w:t xml:space="preserve"> </w:t>
      </w:r>
      <w:r>
        <w:t xml:space="preserve">with Cronbach’s Alpha values ranging from 0.78 to 0.85. These results confirm that the instrument is </w:t>
      </w:r>
      <w:r w:rsidRPr="00AC1B14">
        <w:rPr>
          <w:highlight w:val="yellow"/>
        </w:rPr>
        <w:t>psychometrically robust and contextually appropriate</w:t>
      </w:r>
      <w:r>
        <w:t xml:space="preserve"> for assessing leadership competencies in outdoor education.</w:t>
      </w:r>
    </w:p>
    <w:p w14:paraId="51EF6A2F" w14:textId="77777777" w:rsidR="00AC1B14" w:rsidRDefault="00AC1B14" w:rsidP="00AC1B14">
      <w:pPr>
        <w:pStyle w:val="NormalWeb"/>
        <w:spacing w:before="0" w:beforeAutospacing="0" w:after="0" w:afterAutospacing="0"/>
        <w:jc w:val="both"/>
      </w:pPr>
    </w:p>
    <w:p w14:paraId="68C980E9" w14:textId="64D1A212" w:rsidR="00AC1B14" w:rsidRDefault="00AC1B14" w:rsidP="00AC1B14">
      <w:pPr>
        <w:pStyle w:val="NormalWeb"/>
        <w:spacing w:before="0" w:beforeAutospacing="0" w:after="0" w:afterAutospacing="0"/>
        <w:jc w:val="both"/>
      </w:pPr>
      <w:r>
        <w:t xml:space="preserve">The implications are </w:t>
      </w:r>
      <w:r w:rsidRPr="00AC1B14">
        <w:rPr>
          <w:highlight w:val="yellow"/>
        </w:rPr>
        <w:t>twofold</w:t>
      </w:r>
      <w:r>
        <w:t xml:space="preserve">. From a research perspective, the study </w:t>
      </w:r>
      <w:r w:rsidRPr="00AC1B14">
        <w:rPr>
          <w:highlight w:val="yellow"/>
        </w:rPr>
        <w:t>addresses a gap by validating a student-based assessment approach that captures learner perspectives</w:t>
      </w:r>
      <w:r>
        <w:t xml:space="preserve">, an often-overlooked dimension in leadership evaluation. From a practical perspective, the instrument </w:t>
      </w:r>
      <w:r w:rsidRPr="00AC1B14">
        <w:rPr>
          <w:highlight w:val="yellow"/>
        </w:rPr>
        <w:t>equips teacher education institutions with a structured tool to diagnose strengths and weaknesses in leadership training</w:t>
      </w:r>
      <w:r>
        <w:t>, thereby supporting professional development, enhancing accountability, and contributing to systematic quality assurance in outdoor education programmes.</w:t>
      </w:r>
    </w:p>
    <w:p w14:paraId="156363CE" w14:textId="77777777" w:rsidR="00AC1B14" w:rsidRDefault="00AC1B14" w:rsidP="00AC1B14">
      <w:pPr>
        <w:pStyle w:val="NormalWeb"/>
        <w:spacing w:before="0" w:beforeAutospacing="0" w:after="0" w:afterAutospacing="0"/>
        <w:jc w:val="both"/>
      </w:pPr>
    </w:p>
    <w:p w14:paraId="20F8A4AA" w14:textId="6916F758" w:rsidR="00AC1B14" w:rsidRDefault="00AC1B14" w:rsidP="00AC1B14">
      <w:pPr>
        <w:pStyle w:val="NormalWeb"/>
        <w:spacing w:before="0" w:beforeAutospacing="0" w:after="0" w:afterAutospacing="0"/>
        <w:jc w:val="both"/>
      </w:pPr>
      <w:r>
        <w:t xml:space="preserve">At the policy level, </w:t>
      </w:r>
      <w:r w:rsidRPr="00AC1B14">
        <w:rPr>
          <w:highlight w:val="yellow"/>
        </w:rPr>
        <w:t>integrating student voices into leadership assessment aligns with the aspirations of the Malaysian Education Blueprint</w:t>
      </w:r>
      <w:r>
        <w:t xml:space="preserve"> for teacher quality and holistic student outcomes. It also resonates with </w:t>
      </w:r>
      <w:r w:rsidRPr="0004678D">
        <w:rPr>
          <w:highlight w:val="yellow"/>
        </w:rPr>
        <w:t>Sustainable Development Goal 4</w:t>
      </w:r>
      <w:r>
        <w:t>, which prioritises inclusive and equitable quality education. Embedding such evidence-based mechanisms ensures that leadership development in Malaysian teacher education is both student-centred and benchmarked against international standards.</w:t>
      </w:r>
    </w:p>
    <w:p w14:paraId="7DD1C487" w14:textId="77777777" w:rsidR="00AC1B14" w:rsidRDefault="00AC1B14" w:rsidP="00AC1B14">
      <w:pPr>
        <w:pStyle w:val="NormalWeb"/>
        <w:spacing w:before="0" w:beforeAutospacing="0" w:after="0" w:afterAutospacing="0"/>
        <w:jc w:val="both"/>
      </w:pPr>
    </w:p>
    <w:p w14:paraId="736D66C7" w14:textId="44B957E7" w:rsidR="00AC1B14" w:rsidRDefault="00AC1B14" w:rsidP="00AC1B14">
      <w:pPr>
        <w:pStyle w:val="NormalWeb"/>
        <w:spacing w:before="0" w:beforeAutospacing="0" w:after="0" w:afterAutospacing="0"/>
        <w:jc w:val="both"/>
      </w:pPr>
      <w:r>
        <w:t xml:space="preserve">Nonetheless, </w:t>
      </w:r>
      <w:r w:rsidRPr="0004678D">
        <w:rPr>
          <w:highlight w:val="yellow"/>
        </w:rPr>
        <w:t>limitations should be acknowledged</w:t>
      </w:r>
      <w:r>
        <w:t xml:space="preserve">. The modest sample size of 50 and the focus on Physical Education trainee teachers may restrict the generalisability of findings. Future research should </w:t>
      </w:r>
      <w:r w:rsidRPr="0004678D">
        <w:rPr>
          <w:highlight w:val="yellow"/>
        </w:rPr>
        <w:t>broaden the scope to include larger and more diverse samples, employ advanced statistical validation such as exploratory and confirmatory factor analysis, and adopt longitudinal approaches</w:t>
      </w:r>
      <w:r>
        <w:t xml:space="preserve"> to capture the developmental trajectory of leadership competencies over time.</w:t>
      </w:r>
    </w:p>
    <w:p w14:paraId="470CC452" w14:textId="77777777" w:rsidR="00AC1B14" w:rsidRDefault="00AC1B14" w:rsidP="00AC1B14">
      <w:pPr>
        <w:pStyle w:val="NormalWeb"/>
        <w:spacing w:before="0" w:beforeAutospacing="0" w:after="0" w:afterAutospacing="0"/>
        <w:jc w:val="both"/>
      </w:pPr>
    </w:p>
    <w:p w14:paraId="153A7F21" w14:textId="6A4F8B65" w:rsidR="00973017" w:rsidRDefault="00AC1B14" w:rsidP="00AC1B14">
      <w:pPr>
        <w:pStyle w:val="NormalWeb"/>
        <w:spacing w:before="0" w:beforeAutospacing="0" w:after="0" w:afterAutospacing="0"/>
        <w:jc w:val="both"/>
      </w:pPr>
      <w:r>
        <w:t xml:space="preserve">In sum, this pilot </w:t>
      </w:r>
      <w:r w:rsidRPr="0004678D">
        <w:rPr>
          <w:highlight w:val="yellow"/>
        </w:rPr>
        <w:t>lays a strong foundation for the continued development and validation of student-based assessment instruments in outdoor leadership</w:t>
      </w:r>
      <w:r>
        <w:t xml:space="preserve">. It represents a meaningful step toward the professionalisation of outdoor leadership in Malaysia and </w:t>
      </w:r>
      <w:r w:rsidRPr="0004678D">
        <w:rPr>
          <w:highlight w:val="yellow"/>
        </w:rPr>
        <w:t>contributes to the global discourse on leadership competency evaluation in experiential education</w:t>
      </w:r>
      <w:r>
        <w:t>.</w:t>
      </w:r>
    </w:p>
    <w:p w14:paraId="2CC975E2" w14:textId="77777777" w:rsidR="00DF4587" w:rsidRDefault="00DF4587" w:rsidP="00AC1B14">
      <w:pPr>
        <w:pStyle w:val="NormalWeb"/>
        <w:spacing w:before="0" w:beforeAutospacing="0" w:after="0" w:afterAutospacing="0"/>
        <w:jc w:val="both"/>
      </w:pPr>
    </w:p>
    <w:p w14:paraId="53166C62" w14:textId="3C7D7B58" w:rsidR="00F543C6" w:rsidRPr="00F543C6" w:rsidRDefault="00F543C6" w:rsidP="00F543C6">
      <w:pPr>
        <w:pStyle w:val="Heading1"/>
        <w:numPr>
          <w:ilvl w:val="0"/>
          <w:numId w:val="0"/>
        </w:numPr>
        <w:spacing w:line="240" w:lineRule="auto"/>
        <w:ind w:left="360" w:hanging="360"/>
        <w:rPr>
          <w:lang w:val="en-MY" w:eastAsia="en-MY"/>
        </w:rPr>
      </w:pPr>
      <w:r w:rsidRPr="00F543C6">
        <w:rPr>
          <w:szCs w:val="26"/>
          <w:lang w:val="en-MY" w:eastAsia="en-MY"/>
        </w:rPr>
        <w:t>Limitations and Future Research</w:t>
      </w:r>
    </w:p>
    <w:p w14:paraId="1E48C4D8" w14:textId="77777777" w:rsidR="00F543C6" w:rsidRPr="00F543C6" w:rsidRDefault="00F543C6" w:rsidP="00F543C6">
      <w:pPr>
        <w:spacing w:after="0" w:line="240" w:lineRule="auto"/>
        <w:jc w:val="both"/>
        <w:rPr>
          <w:rFonts w:ascii="Times New Roman" w:eastAsia="Times New Roman" w:hAnsi="Times New Roman" w:cs="Times New Roman"/>
          <w:sz w:val="24"/>
          <w:szCs w:val="24"/>
          <w:lang w:val="en-MY" w:eastAsia="en-MY"/>
        </w:rPr>
      </w:pPr>
    </w:p>
    <w:p w14:paraId="68B452C1" w14:textId="77777777" w:rsidR="00F543C6" w:rsidRPr="00F543C6" w:rsidRDefault="00F543C6" w:rsidP="00F543C6">
      <w:pPr>
        <w:spacing w:after="0" w:line="240" w:lineRule="auto"/>
        <w:jc w:val="both"/>
        <w:rPr>
          <w:rFonts w:ascii="Times New Roman" w:eastAsia="Times New Roman" w:hAnsi="Times New Roman" w:cs="Times New Roman"/>
          <w:sz w:val="24"/>
          <w:szCs w:val="24"/>
          <w:lang w:val="en-MY" w:eastAsia="en-MY"/>
        </w:rPr>
      </w:pPr>
      <w:r w:rsidRPr="00F543C6">
        <w:rPr>
          <w:rFonts w:ascii="Times New Roman" w:eastAsia="Times New Roman" w:hAnsi="Times New Roman" w:cs="Times New Roman"/>
          <w:sz w:val="24"/>
          <w:szCs w:val="24"/>
          <w:lang w:val="en-MY" w:eastAsia="en-MY"/>
        </w:rPr>
        <w:t xml:space="preserve">Although the results are encouraging, </w:t>
      </w:r>
      <w:r w:rsidRPr="00F543C6">
        <w:rPr>
          <w:rFonts w:ascii="Times New Roman" w:eastAsia="Times New Roman" w:hAnsi="Times New Roman" w:cs="Times New Roman"/>
          <w:sz w:val="24"/>
          <w:szCs w:val="24"/>
          <w:highlight w:val="yellow"/>
          <w:lang w:val="en-MY" w:eastAsia="en-MY"/>
        </w:rPr>
        <w:t>several limitations should be acknowledged</w:t>
      </w:r>
      <w:r w:rsidRPr="00F543C6">
        <w:rPr>
          <w:rFonts w:ascii="Times New Roman" w:eastAsia="Times New Roman" w:hAnsi="Times New Roman" w:cs="Times New Roman"/>
          <w:sz w:val="24"/>
          <w:szCs w:val="24"/>
          <w:lang w:val="en-MY" w:eastAsia="en-MY"/>
        </w:rPr>
        <w:t xml:space="preserve">. The </w:t>
      </w:r>
      <w:r w:rsidRPr="00F543C6">
        <w:rPr>
          <w:rFonts w:ascii="Times New Roman" w:eastAsia="Times New Roman" w:hAnsi="Times New Roman" w:cs="Times New Roman"/>
          <w:sz w:val="24"/>
          <w:szCs w:val="24"/>
          <w:highlight w:val="yellow"/>
          <w:lang w:val="en-MY" w:eastAsia="en-MY"/>
        </w:rPr>
        <w:t>relatively small sample size of 50 trainee teachers restricts the generalisability of the findings</w:t>
      </w:r>
      <w:r w:rsidRPr="00F543C6">
        <w:rPr>
          <w:rFonts w:ascii="Times New Roman" w:eastAsia="Times New Roman" w:hAnsi="Times New Roman" w:cs="Times New Roman"/>
          <w:sz w:val="24"/>
          <w:szCs w:val="24"/>
          <w:lang w:val="en-MY" w:eastAsia="en-MY"/>
        </w:rPr>
        <w:t xml:space="preserve">, particularly to wider teacher education contexts. Moreover, </w:t>
      </w:r>
      <w:r w:rsidRPr="00F543C6">
        <w:rPr>
          <w:rFonts w:ascii="Times New Roman" w:eastAsia="Times New Roman" w:hAnsi="Times New Roman" w:cs="Times New Roman"/>
          <w:sz w:val="24"/>
          <w:szCs w:val="24"/>
          <w:highlight w:val="yellow"/>
          <w:lang w:val="en-MY" w:eastAsia="en-MY"/>
        </w:rPr>
        <w:t xml:space="preserve">the exclusive focus on Physical Education students may not capture the diversity of experiences across other </w:t>
      </w:r>
      <w:r w:rsidRPr="00F543C6">
        <w:rPr>
          <w:rFonts w:ascii="Times New Roman" w:eastAsia="Times New Roman" w:hAnsi="Times New Roman" w:cs="Times New Roman"/>
          <w:sz w:val="24"/>
          <w:szCs w:val="24"/>
          <w:highlight w:val="yellow"/>
          <w:lang w:val="en-MY" w:eastAsia="en-MY"/>
        </w:rPr>
        <w:lastRenderedPageBreak/>
        <w:t>specialisations within teacher education</w:t>
      </w:r>
      <w:r w:rsidRPr="00F543C6">
        <w:rPr>
          <w:rFonts w:ascii="Times New Roman" w:eastAsia="Times New Roman" w:hAnsi="Times New Roman" w:cs="Times New Roman"/>
          <w:sz w:val="24"/>
          <w:szCs w:val="24"/>
          <w:lang w:val="en-MY" w:eastAsia="en-MY"/>
        </w:rPr>
        <w:t xml:space="preserve">. To strengthen the robustness of future studies, </w:t>
      </w:r>
      <w:r w:rsidRPr="00F543C6">
        <w:rPr>
          <w:rFonts w:ascii="Times New Roman" w:eastAsia="Times New Roman" w:hAnsi="Times New Roman" w:cs="Times New Roman"/>
          <w:sz w:val="24"/>
          <w:szCs w:val="24"/>
          <w:highlight w:val="yellow"/>
          <w:lang w:val="en-MY" w:eastAsia="en-MY"/>
        </w:rPr>
        <w:t>researchers should consider expanding the sample to include larger and more heterogeneous cohorts, incorporating participants from multiple campuses and disciplines</w:t>
      </w:r>
      <w:r w:rsidRPr="00F543C6">
        <w:rPr>
          <w:rFonts w:ascii="Times New Roman" w:eastAsia="Times New Roman" w:hAnsi="Times New Roman" w:cs="Times New Roman"/>
          <w:sz w:val="24"/>
          <w:szCs w:val="24"/>
          <w:lang w:val="en-MY" w:eastAsia="en-MY"/>
        </w:rPr>
        <w:t xml:space="preserve">. Methodologically, </w:t>
      </w:r>
      <w:r w:rsidRPr="00F543C6">
        <w:rPr>
          <w:rFonts w:ascii="Times New Roman" w:eastAsia="Times New Roman" w:hAnsi="Times New Roman" w:cs="Times New Roman"/>
          <w:sz w:val="24"/>
          <w:szCs w:val="24"/>
          <w:highlight w:val="yellow"/>
          <w:lang w:val="en-MY" w:eastAsia="en-MY"/>
        </w:rPr>
        <w:t>subsequent research should also apply advanced statistical validation techniques, such as exploratory and confirmatory factor analysis, to further verify the construct validity of the instrument</w:t>
      </w:r>
      <w:r w:rsidRPr="00F543C6">
        <w:rPr>
          <w:rFonts w:ascii="Times New Roman" w:eastAsia="Times New Roman" w:hAnsi="Times New Roman" w:cs="Times New Roman"/>
          <w:sz w:val="24"/>
          <w:szCs w:val="24"/>
          <w:lang w:val="en-MY" w:eastAsia="en-MY"/>
        </w:rPr>
        <w:t xml:space="preserve">. Additionally, </w:t>
      </w:r>
      <w:r w:rsidRPr="00F543C6">
        <w:rPr>
          <w:rFonts w:ascii="Times New Roman" w:eastAsia="Times New Roman" w:hAnsi="Times New Roman" w:cs="Times New Roman"/>
          <w:sz w:val="24"/>
          <w:szCs w:val="24"/>
          <w:highlight w:val="yellow"/>
          <w:lang w:val="en-MY" w:eastAsia="en-MY"/>
        </w:rPr>
        <w:t>longitudinal designs are recommended to examine the progression of leadership competencies over time, thereby providing deeper insights into the developmental trajectory of outdoor leadership within teacher education</w:t>
      </w:r>
      <w:r w:rsidRPr="00F543C6">
        <w:rPr>
          <w:rFonts w:ascii="Times New Roman" w:eastAsia="Times New Roman" w:hAnsi="Times New Roman" w:cs="Times New Roman"/>
          <w:sz w:val="24"/>
          <w:szCs w:val="24"/>
          <w:lang w:val="en-MY" w:eastAsia="en-MY"/>
        </w:rPr>
        <w:t>.</w:t>
      </w:r>
    </w:p>
    <w:p w14:paraId="4F08FADF" w14:textId="77777777" w:rsidR="00F543C6" w:rsidRDefault="00F543C6" w:rsidP="002B548D">
      <w:pPr>
        <w:pStyle w:val="Heading1"/>
        <w:numPr>
          <w:ilvl w:val="0"/>
          <w:numId w:val="0"/>
        </w:numPr>
        <w:spacing w:before="0" w:line="240" w:lineRule="auto"/>
        <w:ind w:left="360" w:hanging="360"/>
        <w:rPr>
          <w:lang w:val="en-MY" w:eastAsia="en-MY"/>
        </w:rPr>
      </w:pPr>
    </w:p>
    <w:p w14:paraId="0FD5489C" w14:textId="4C5E9491" w:rsidR="00973017" w:rsidRPr="0024656F" w:rsidRDefault="00973017" w:rsidP="002B548D">
      <w:pPr>
        <w:pStyle w:val="Heading1"/>
        <w:numPr>
          <w:ilvl w:val="0"/>
          <w:numId w:val="0"/>
        </w:numPr>
        <w:spacing w:before="0" w:line="240" w:lineRule="auto"/>
        <w:ind w:left="360" w:hanging="360"/>
        <w:rPr>
          <w:lang w:val="en-MY" w:eastAsia="en-MY"/>
        </w:rPr>
      </w:pPr>
      <w:r w:rsidRPr="0024656F">
        <w:rPr>
          <w:lang w:val="en-MY" w:eastAsia="en-MY"/>
        </w:rPr>
        <w:t>ETHICAL APPROVAL</w:t>
      </w:r>
      <w:r w:rsidR="00F543C6">
        <w:rPr>
          <w:lang w:val="en-MY" w:eastAsia="en-MY"/>
        </w:rPr>
        <w:t xml:space="preserve"> and Consent</w:t>
      </w:r>
    </w:p>
    <w:p w14:paraId="349D73E9" w14:textId="77777777" w:rsidR="00973017" w:rsidRDefault="00973017" w:rsidP="002B548D">
      <w:pPr>
        <w:spacing w:after="0" w:line="240" w:lineRule="auto"/>
        <w:jc w:val="both"/>
        <w:rPr>
          <w:rFonts w:ascii="Times New Roman" w:eastAsia="Times New Roman" w:hAnsi="Times New Roman" w:cs="Times New Roman"/>
          <w:sz w:val="24"/>
          <w:szCs w:val="24"/>
          <w:lang w:val="en-MY" w:eastAsia="en-MY"/>
        </w:rPr>
      </w:pPr>
    </w:p>
    <w:p w14:paraId="3B4F1AF0" w14:textId="5B30C5F4" w:rsidR="001E640F" w:rsidRDefault="002B548D" w:rsidP="002B548D">
      <w:pPr>
        <w:spacing w:after="0" w:line="240" w:lineRule="auto"/>
        <w:jc w:val="both"/>
        <w:rPr>
          <w:rFonts w:ascii="Times New Roman" w:eastAsia="Times New Roman" w:hAnsi="Times New Roman" w:cs="Times New Roman"/>
          <w:sz w:val="24"/>
          <w:szCs w:val="24"/>
          <w:lang w:val="en-MY" w:eastAsia="en-MY"/>
        </w:rPr>
      </w:pPr>
      <w:r w:rsidRPr="002B548D">
        <w:rPr>
          <w:rFonts w:ascii="Times New Roman" w:eastAsia="Times New Roman" w:hAnsi="Times New Roman" w:cs="Times New Roman"/>
          <w:sz w:val="24"/>
          <w:szCs w:val="24"/>
          <w:lang w:val="en-MY" w:eastAsia="en-MY"/>
        </w:rPr>
        <w:t xml:space="preserve">The study was conducted in accordance with institutional ethical guidelines for educational research. Participation was voluntary, and informed consent was obtained from all participants. No sensitive personal data were collected. Formal approval for conducting this research was obtained from the Institute of Teacher Education (IPGM) and </w:t>
      </w:r>
      <w:proofErr w:type="spellStart"/>
      <w:r w:rsidRPr="002B548D">
        <w:rPr>
          <w:rFonts w:ascii="Times New Roman" w:eastAsia="Times New Roman" w:hAnsi="Times New Roman" w:cs="Times New Roman"/>
          <w:sz w:val="24"/>
          <w:szCs w:val="24"/>
          <w:lang w:val="en-MY" w:eastAsia="en-MY"/>
        </w:rPr>
        <w:t>Universiti</w:t>
      </w:r>
      <w:proofErr w:type="spellEnd"/>
      <w:r w:rsidRPr="002B548D">
        <w:rPr>
          <w:rFonts w:ascii="Times New Roman" w:eastAsia="Times New Roman" w:hAnsi="Times New Roman" w:cs="Times New Roman"/>
          <w:sz w:val="24"/>
          <w:szCs w:val="24"/>
          <w:lang w:val="en-MY" w:eastAsia="en-MY"/>
        </w:rPr>
        <w:t xml:space="preserve"> Pendidikan Sultan Idris (UPSI).</w:t>
      </w:r>
    </w:p>
    <w:p w14:paraId="68174904" w14:textId="77777777" w:rsidR="002B548D" w:rsidRDefault="002B548D" w:rsidP="002B548D">
      <w:pPr>
        <w:spacing w:after="0" w:line="240" w:lineRule="auto"/>
        <w:jc w:val="both"/>
        <w:rPr>
          <w:rFonts w:ascii="Times New Roman" w:eastAsia="Times New Roman" w:hAnsi="Times New Roman" w:cs="Times New Roman"/>
          <w:sz w:val="24"/>
          <w:szCs w:val="24"/>
          <w:lang w:val="en-MY" w:eastAsia="en-MY"/>
        </w:rPr>
      </w:pPr>
    </w:p>
    <w:p w14:paraId="1010051D" w14:textId="77777777" w:rsidR="00DF4587" w:rsidRDefault="00DF4587" w:rsidP="002B548D">
      <w:pPr>
        <w:spacing w:after="0" w:line="240" w:lineRule="auto"/>
        <w:jc w:val="both"/>
        <w:rPr>
          <w:rFonts w:ascii="Times New Roman" w:eastAsia="Times New Roman" w:hAnsi="Times New Roman" w:cs="Times New Roman"/>
          <w:sz w:val="24"/>
          <w:szCs w:val="24"/>
          <w:lang w:val="en-MY" w:eastAsia="en-MY"/>
        </w:rPr>
      </w:pPr>
    </w:p>
    <w:p w14:paraId="2BD3E96B" w14:textId="77777777" w:rsidR="002B548D" w:rsidRDefault="002B548D" w:rsidP="002B548D">
      <w:pPr>
        <w:spacing w:after="0" w:line="240" w:lineRule="auto"/>
        <w:rPr>
          <w:rFonts w:ascii="Calibri" w:eastAsia="Times New Roman" w:hAnsi="Calibri" w:cs="Times New Roman"/>
          <w:lang w:val="en-GB" w:eastAsia="en-GB"/>
        </w:rPr>
      </w:pPr>
      <w:bookmarkStart w:id="3" w:name="_Hlk209175868"/>
    </w:p>
    <w:p w14:paraId="257374EF" w14:textId="77777777" w:rsidR="00DF4587" w:rsidRDefault="00DF4587" w:rsidP="002B548D">
      <w:pPr>
        <w:spacing w:after="0" w:line="240" w:lineRule="auto"/>
        <w:rPr>
          <w:rFonts w:ascii="Calibri" w:eastAsia="Times New Roman" w:hAnsi="Calibri" w:cs="Times New Roman"/>
          <w:lang w:val="en-GB" w:eastAsia="en-GB"/>
        </w:rPr>
      </w:pPr>
    </w:p>
    <w:bookmarkEnd w:id="3"/>
    <w:p w14:paraId="652E2B69" w14:textId="18B7B3A3" w:rsidR="002B548D" w:rsidRDefault="002B548D" w:rsidP="002B548D">
      <w:pPr>
        <w:spacing w:after="0" w:line="240" w:lineRule="auto"/>
        <w:rPr>
          <w:rFonts w:ascii="Arial" w:eastAsia="Times New Roman" w:hAnsi="Arial" w:cs="Arial"/>
          <w:b/>
          <w:bCs/>
          <w:lang w:val="en-GB" w:eastAsia="en-GB"/>
        </w:rPr>
      </w:pPr>
      <w:r w:rsidRPr="002B548D">
        <w:rPr>
          <w:rFonts w:ascii="Arial" w:eastAsia="Times New Roman" w:hAnsi="Arial" w:cs="Arial"/>
          <w:b/>
          <w:bCs/>
          <w:lang w:val="en-GB" w:eastAsia="en-GB"/>
        </w:rPr>
        <w:t>DISCLAIMER</w:t>
      </w:r>
      <w:r>
        <w:rPr>
          <w:rFonts w:ascii="Arial" w:eastAsia="Times New Roman" w:hAnsi="Arial" w:cs="Arial"/>
          <w:b/>
          <w:bCs/>
          <w:lang w:val="en-GB" w:eastAsia="en-GB"/>
        </w:rPr>
        <w:t xml:space="preserve"> (</w:t>
      </w:r>
      <w:r w:rsidRPr="002B548D">
        <w:rPr>
          <w:rFonts w:ascii="Arial" w:eastAsia="Times New Roman" w:hAnsi="Arial" w:cs="Arial"/>
          <w:b/>
          <w:bCs/>
          <w:lang w:val="en-GB" w:eastAsia="en-GB"/>
        </w:rPr>
        <w:t>ARTIFICIAL INTELLIGENCE</w:t>
      </w:r>
      <w:r>
        <w:rPr>
          <w:rFonts w:ascii="Arial" w:eastAsia="Times New Roman" w:hAnsi="Arial" w:cs="Arial"/>
          <w:b/>
          <w:bCs/>
          <w:lang w:val="en-GB" w:eastAsia="en-GB"/>
        </w:rPr>
        <w:t>)</w:t>
      </w:r>
      <w:r w:rsidRPr="002B548D">
        <w:rPr>
          <w:rFonts w:ascii="Arial" w:eastAsia="Times New Roman" w:hAnsi="Arial" w:cs="Arial"/>
          <w:b/>
          <w:bCs/>
          <w:lang w:val="en-GB" w:eastAsia="en-GB"/>
        </w:rPr>
        <w:t xml:space="preserve"> </w:t>
      </w:r>
    </w:p>
    <w:p w14:paraId="5301D1EF" w14:textId="77777777" w:rsidR="002B548D" w:rsidRDefault="002B548D" w:rsidP="002B548D">
      <w:pPr>
        <w:spacing w:after="0" w:line="240" w:lineRule="auto"/>
        <w:rPr>
          <w:rFonts w:ascii="Arial" w:eastAsia="Times New Roman" w:hAnsi="Arial" w:cs="Arial"/>
          <w:b/>
          <w:bCs/>
          <w:lang w:val="en-GB" w:eastAsia="en-GB"/>
        </w:rPr>
      </w:pPr>
    </w:p>
    <w:p w14:paraId="1238BFF2" w14:textId="03CB4E67" w:rsidR="002B548D" w:rsidRPr="00DF4587" w:rsidRDefault="002B548D" w:rsidP="00DF4587">
      <w:pPr>
        <w:spacing w:after="0" w:line="240" w:lineRule="auto"/>
        <w:jc w:val="both"/>
        <w:rPr>
          <w:rFonts w:ascii="Times New Roman" w:eastAsia="Times New Roman" w:hAnsi="Times New Roman" w:cs="Times New Roman"/>
          <w:sz w:val="24"/>
          <w:szCs w:val="24"/>
          <w:lang w:val="en-GB" w:eastAsia="en-GB"/>
        </w:rPr>
      </w:pPr>
      <w:r w:rsidRPr="00DF4587">
        <w:rPr>
          <w:rFonts w:ascii="Times New Roman" w:eastAsia="Times New Roman" w:hAnsi="Times New Roman" w:cs="Times New Roman"/>
          <w:sz w:val="24"/>
          <w:szCs w:val="24"/>
          <w:lang w:val="en-GB" w:eastAsia="en-GB"/>
        </w:rPr>
        <w:t>The authors hereby declare that generative AI technology (</w:t>
      </w:r>
      <w:proofErr w:type="spellStart"/>
      <w:r w:rsidRPr="00DF4587">
        <w:rPr>
          <w:rFonts w:ascii="Times New Roman" w:eastAsia="Times New Roman" w:hAnsi="Times New Roman" w:cs="Times New Roman"/>
          <w:sz w:val="24"/>
          <w:szCs w:val="24"/>
          <w:lang w:val="en-GB" w:eastAsia="en-GB"/>
        </w:rPr>
        <w:t>ChatGPT</w:t>
      </w:r>
      <w:proofErr w:type="spellEnd"/>
      <w:r w:rsidRPr="00DF4587">
        <w:rPr>
          <w:rFonts w:ascii="Times New Roman" w:eastAsia="Times New Roman" w:hAnsi="Times New Roman" w:cs="Times New Roman"/>
          <w:sz w:val="24"/>
          <w:szCs w:val="24"/>
          <w:lang w:val="en-GB" w:eastAsia="en-GB"/>
        </w:rPr>
        <w:t xml:space="preserve">, GPT-5 by </w:t>
      </w:r>
      <w:proofErr w:type="spellStart"/>
      <w:r w:rsidRPr="00DF4587">
        <w:rPr>
          <w:rFonts w:ascii="Times New Roman" w:eastAsia="Times New Roman" w:hAnsi="Times New Roman" w:cs="Times New Roman"/>
          <w:sz w:val="24"/>
          <w:szCs w:val="24"/>
          <w:lang w:val="en-GB" w:eastAsia="en-GB"/>
        </w:rPr>
        <w:t>OpenAI</w:t>
      </w:r>
      <w:proofErr w:type="spellEnd"/>
      <w:r w:rsidRPr="00DF4587">
        <w:rPr>
          <w:rFonts w:ascii="Times New Roman" w:eastAsia="Times New Roman" w:hAnsi="Times New Roman" w:cs="Times New Roman"/>
          <w:sz w:val="24"/>
          <w:szCs w:val="24"/>
          <w:lang w:val="en-GB" w:eastAsia="en-GB"/>
        </w:rPr>
        <w:t>) was used to assist in language refinement, grammar editing, and formatting during the preparation of this manuscript. The use of AI was limited to improving readability and ensuring academic style consistency. All ideas, analyses, results, and interpretations presented in this manuscript are entirely the responsibility of the authors.</w:t>
      </w:r>
    </w:p>
    <w:p w14:paraId="74162BCD" w14:textId="77777777" w:rsidR="0004678D" w:rsidRPr="0004678D" w:rsidRDefault="0004678D" w:rsidP="0004678D">
      <w:pPr>
        <w:rPr>
          <w:lang w:val="en-MY" w:eastAsia="en-MY"/>
        </w:rPr>
      </w:pPr>
    </w:p>
    <w:p w14:paraId="75856CC6" w14:textId="504A0BEB" w:rsidR="00590B20" w:rsidRPr="00D80D68" w:rsidRDefault="0024656F" w:rsidP="0004678D">
      <w:pPr>
        <w:pStyle w:val="Heading1"/>
        <w:numPr>
          <w:ilvl w:val="0"/>
          <w:numId w:val="0"/>
        </w:numPr>
        <w:spacing w:before="0" w:line="240" w:lineRule="auto"/>
        <w:ind w:left="360" w:hanging="360"/>
        <w:rPr>
          <w:lang w:val="en-MY" w:eastAsia="en-MY"/>
        </w:rPr>
      </w:pPr>
      <w:r w:rsidRPr="00D80D68">
        <w:rPr>
          <w:lang w:val="en-MY" w:eastAsia="en-MY"/>
        </w:rPr>
        <w:t>REFERENCES</w:t>
      </w:r>
    </w:p>
    <w:p w14:paraId="6E9ED5DF" w14:textId="77777777" w:rsidR="0024656F" w:rsidRDefault="0024656F" w:rsidP="0004678D">
      <w:pPr>
        <w:pStyle w:val="NormalWeb"/>
        <w:spacing w:before="0" w:beforeAutospacing="0" w:after="0" w:afterAutospacing="0"/>
      </w:pPr>
    </w:p>
    <w:p w14:paraId="07ED26D0" w14:textId="77777777" w:rsidR="0004678D" w:rsidRDefault="0004678D" w:rsidP="0004678D">
      <w:pPr>
        <w:pStyle w:val="NormalWeb"/>
        <w:spacing w:before="0" w:beforeAutospacing="0" w:after="0" w:afterAutospacing="0"/>
        <w:jc w:val="both"/>
      </w:pPr>
      <w:proofErr w:type="spellStart"/>
      <w:r>
        <w:t>Bonett</w:t>
      </w:r>
      <w:proofErr w:type="spellEnd"/>
      <w:r>
        <w:t>, D. G., &amp; Wright, T. A. (2015). Cronbach’s alpha reliability: Interval estimation, hypothesis testing,</w:t>
      </w:r>
      <w:bookmarkStart w:id="4" w:name="_GoBack"/>
      <w:bookmarkEnd w:id="4"/>
      <w:r>
        <w:t xml:space="preserve"> and sample size planning. Journal of Organizational </w:t>
      </w:r>
      <w:proofErr w:type="spellStart"/>
      <w:r>
        <w:t>Behavior</w:t>
      </w:r>
      <w:proofErr w:type="spellEnd"/>
      <w:r>
        <w:t>, 36(1), 3–15. https://doi.org/10.1002/job.1960</w:t>
      </w:r>
    </w:p>
    <w:p w14:paraId="3921987C" w14:textId="77777777" w:rsidR="0004678D" w:rsidRDefault="0004678D" w:rsidP="0004678D">
      <w:pPr>
        <w:pStyle w:val="NormalWeb"/>
        <w:spacing w:before="0" w:beforeAutospacing="0" w:after="0" w:afterAutospacing="0"/>
        <w:jc w:val="both"/>
      </w:pPr>
    </w:p>
    <w:p w14:paraId="58E3907B" w14:textId="77777777" w:rsidR="0004678D" w:rsidRDefault="0004678D" w:rsidP="0004678D">
      <w:pPr>
        <w:pStyle w:val="NormalWeb"/>
        <w:spacing w:before="0" w:beforeAutospacing="0" w:after="0" w:afterAutospacing="0"/>
        <w:jc w:val="both"/>
      </w:pPr>
      <w:r>
        <w:t>Cohen, L., Manion, L., &amp; Morrison, K. (2018). Research methods in education (8th ed.). Routledge.</w:t>
      </w:r>
    </w:p>
    <w:p w14:paraId="2D2AAACE" w14:textId="77777777" w:rsidR="0004678D" w:rsidRDefault="0004678D" w:rsidP="0004678D">
      <w:pPr>
        <w:pStyle w:val="NormalWeb"/>
        <w:spacing w:before="0" w:beforeAutospacing="0" w:after="0" w:afterAutospacing="0"/>
        <w:jc w:val="both"/>
      </w:pPr>
    </w:p>
    <w:p w14:paraId="58E77ECB" w14:textId="77777777" w:rsidR="0004678D" w:rsidRDefault="0004678D" w:rsidP="0004678D">
      <w:pPr>
        <w:pStyle w:val="NormalWeb"/>
        <w:spacing w:before="0" w:beforeAutospacing="0" w:after="0" w:afterAutospacing="0"/>
        <w:jc w:val="both"/>
      </w:pPr>
      <w:proofErr w:type="spellStart"/>
      <w:r>
        <w:t>Morera</w:t>
      </w:r>
      <w:proofErr w:type="spellEnd"/>
      <w:r>
        <w:t>, O. F., &amp; Stokes, S. M. (2016). Coefficient alpha as a measure of test score reliability: Review of 3 popular misconceptions. American Journal of Public Health, 106(3), 458–461. https://doi.org/10.2105/AJPH.2015.302993</w:t>
      </w:r>
    </w:p>
    <w:p w14:paraId="43F82968" w14:textId="77777777" w:rsidR="0004678D" w:rsidRDefault="0004678D" w:rsidP="0004678D">
      <w:pPr>
        <w:pStyle w:val="NormalWeb"/>
        <w:spacing w:before="0" w:beforeAutospacing="0" w:after="0" w:afterAutospacing="0"/>
        <w:jc w:val="both"/>
      </w:pPr>
    </w:p>
    <w:p w14:paraId="225957B2" w14:textId="77777777" w:rsidR="0004678D" w:rsidRDefault="0004678D" w:rsidP="0004678D">
      <w:pPr>
        <w:pStyle w:val="NormalWeb"/>
        <w:spacing w:before="0" w:beforeAutospacing="0" w:after="0" w:afterAutospacing="0"/>
        <w:jc w:val="both"/>
      </w:pPr>
      <w:r>
        <w:t>Neill, J. T. (2002). The contextualised leader: A model for effective outdoor leadership. Journal of Adventure Education and Outdoor Learning, 2(3), 29–42. https://doi.org/10.1080/14729670285200211</w:t>
      </w:r>
    </w:p>
    <w:p w14:paraId="58860421" w14:textId="77777777" w:rsidR="0004678D" w:rsidRDefault="0004678D" w:rsidP="0004678D">
      <w:pPr>
        <w:pStyle w:val="NormalWeb"/>
        <w:spacing w:before="0" w:beforeAutospacing="0" w:after="0" w:afterAutospacing="0"/>
        <w:jc w:val="both"/>
      </w:pPr>
    </w:p>
    <w:p w14:paraId="2859563C" w14:textId="77777777" w:rsidR="0004678D" w:rsidRDefault="0004678D" w:rsidP="0004678D">
      <w:pPr>
        <w:pStyle w:val="NormalWeb"/>
        <w:spacing w:before="0" w:beforeAutospacing="0" w:after="0" w:afterAutospacing="0"/>
        <w:jc w:val="both"/>
      </w:pPr>
      <w:r>
        <w:t>Nunnally, J. C., &amp; Bernstein, I. H. (1994). Psychometric theory (3rd ed.). McGraw-Hill.</w:t>
      </w:r>
    </w:p>
    <w:p w14:paraId="3FA6C75E" w14:textId="77777777" w:rsidR="0004678D" w:rsidRDefault="0004678D" w:rsidP="0004678D">
      <w:pPr>
        <w:pStyle w:val="NormalWeb"/>
        <w:spacing w:before="0" w:beforeAutospacing="0" w:after="0" w:afterAutospacing="0"/>
        <w:jc w:val="both"/>
      </w:pPr>
    </w:p>
    <w:p w14:paraId="7C3B422D" w14:textId="77777777" w:rsidR="0004678D" w:rsidRDefault="0004678D" w:rsidP="0004678D">
      <w:pPr>
        <w:pStyle w:val="NormalWeb"/>
        <w:spacing w:before="0" w:beforeAutospacing="0" w:after="0" w:afterAutospacing="0"/>
        <w:jc w:val="both"/>
      </w:pPr>
      <w:proofErr w:type="spellStart"/>
      <w:r>
        <w:t>Pallant</w:t>
      </w:r>
      <w:proofErr w:type="spellEnd"/>
      <w:r>
        <w:t>, J. (2020). SPSS survival manual: A step by step guide to data analysis using IBM SPSS (7th ed.). Routledge.</w:t>
      </w:r>
    </w:p>
    <w:p w14:paraId="0866C12C" w14:textId="77777777" w:rsidR="0004678D" w:rsidRDefault="0004678D" w:rsidP="0004678D">
      <w:pPr>
        <w:pStyle w:val="NormalWeb"/>
        <w:spacing w:before="0" w:beforeAutospacing="0" w:after="0" w:afterAutospacing="0"/>
        <w:jc w:val="both"/>
      </w:pPr>
    </w:p>
    <w:p w14:paraId="690D5C2B" w14:textId="77777777" w:rsidR="0004678D" w:rsidRDefault="0004678D" w:rsidP="0004678D">
      <w:pPr>
        <w:pStyle w:val="NormalWeb"/>
        <w:spacing w:before="0" w:beforeAutospacing="0" w:after="0" w:afterAutospacing="0"/>
        <w:jc w:val="both"/>
      </w:pPr>
      <w:r>
        <w:t xml:space="preserve">Priest, S., &amp; </w:t>
      </w:r>
      <w:proofErr w:type="spellStart"/>
      <w:r>
        <w:t>Gass</w:t>
      </w:r>
      <w:proofErr w:type="spellEnd"/>
      <w:r>
        <w:t>, M. A. (1997). Effective leadership in adventure programming. Human Kinetics.</w:t>
      </w:r>
    </w:p>
    <w:p w14:paraId="4095DDC0" w14:textId="77777777" w:rsidR="0004678D" w:rsidRDefault="0004678D" w:rsidP="0004678D">
      <w:pPr>
        <w:pStyle w:val="NormalWeb"/>
        <w:spacing w:before="0" w:beforeAutospacing="0" w:after="0" w:afterAutospacing="0"/>
        <w:jc w:val="both"/>
      </w:pPr>
    </w:p>
    <w:p w14:paraId="616B14A6" w14:textId="77777777" w:rsidR="0004678D" w:rsidRDefault="0004678D" w:rsidP="0004678D">
      <w:pPr>
        <w:pStyle w:val="NormalWeb"/>
        <w:spacing w:before="0" w:beforeAutospacing="0" w:after="0" w:afterAutospacing="0"/>
        <w:jc w:val="both"/>
      </w:pPr>
    </w:p>
    <w:p w14:paraId="64041884" w14:textId="77777777" w:rsidR="0004678D" w:rsidRDefault="0004678D" w:rsidP="0004678D">
      <w:pPr>
        <w:pStyle w:val="NormalWeb"/>
        <w:spacing w:before="0" w:beforeAutospacing="0" w:after="0" w:afterAutospacing="0"/>
        <w:jc w:val="both"/>
      </w:pPr>
      <w:r>
        <w:t xml:space="preserve">Said, O. F. M., </w:t>
      </w:r>
      <w:proofErr w:type="spellStart"/>
      <w:r>
        <w:t>Sanuddin</w:t>
      </w:r>
      <w:proofErr w:type="spellEnd"/>
      <w:r>
        <w:t xml:space="preserve">, N. D., Md Amin, M., Zakaria, J., </w:t>
      </w:r>
      <w:proofErr w:type="spellStart"/>
      <w:r>
        <w:t>Afandi</w:t>
      </w:r>
      <w:proofErr w:type="spellEnd"/>
      <w:r>
        <w:t xml:space="preserve">, M. A. M., &amp; James, A. J. N. (2020). </w:t>
      </w:r>
      <w:proofErr w:type="spellStart"/>
      <w:r>
        <w:t>Reaksi</w:t>
      </w:r>
      <w:proofErr w:type="spellEnd"/>
      <w:r>
        <w:t xml:space="preserve"> </w:t>
      </w:r>
      <w:proofErr w:type="spellStart"/>
      <w:r>
        <w:t>pelajar</w:t>
      </w:r>
      <w:proofErr w:type="spellEnd"/>
      <w:r>
        <w:t xml:space="preserve"> </w:t>
      </w:r>
      <w:proofErr w:type="spellStart"/>
      <w:r>
        <w:t>terhadap</w:t>
      </w:r>
      <w:proofErr w:type="spellEnd"/>
      <w:r>
        <w:t xml:space="preserve"> program </w:t>
      </w:r>
      <w:proofErr w:type="spellStart"/>
      <w:r>
        <w:t>pendidikan</w:t>
      </w:r>
      <w:proofErr w:type="spellEnd"/>
      <w:r>
        <w:t xml:space="preserve"> </w:t>
      </w:r>
      <w:proofErr w:type="spellStart"/>
      <w:r>
        <w:t>luar</w:t>
      </w:r>
      <w:proofErr w:type="spellEnd"/>
      <w:r>
        <w:t xml:space="preserve"> dan </w:t>
      </w:r>
      <w:proofErr w:type="spellStart"/>
      <w:r>
        <w:t>hubungannya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sikap</w:t>
      </w:r>
      <w:proofErr w:type="spellEnd"/>
      <w:r>
        <w:t xml:space="preserve"> dan </w:t>
      </w:r>
      <w:proofErr w:type="spellStart"/>
      <w:r>
        <w:t>kemahiran</w:t>
      </w:r>
      <w:proofErr w:type="spellEnd"/>
      <w:r>
        <w:t>. International Journal of Education and Training, 6(1), 1–12.</w:t>
      </w:r>
    </w:p>
    <w:p w14:paraId="0C2D7598" w14:textId="77777777" w:rsidR="0004678D" w:rsidRDefault="0004678D" w:rsidP="0004678D">
      <w:pPr>
        <w:pStyle w:val="NormalWeb"/>
        <w:spacing w:before="0" w:beforeAutospacing="0" w:after="0" w:afterAutospacing="0"/>
        <w:jc w:val="both"/>
      </w:pPr>
    </w:p>
    <w:p w14:paraId="47050270" w14:textId="77777777" w:rsidR="0004678D" w:rsidRDefault="0004678D" w:rsidP="0004678D">
      <w:pPr>
        <w:pStyle w:val="NormalWeb"/>
        <w:spacing w:before="0" w:beforeAutospacing="0" w:after="0" w:afterAutospacing="0"/>
        <w:jc w:val="both"/>
      </w:pPr>
      <w:proofErr w:type="spellStart"/>
      <w:r>
        <w:t>Shamsulariffin</w:t>
      </w:r>
      <w:proofErr w:type="spellEnd"/>
      <w:r>
        <w:t xml:space="preserve">, S., </w:t>
      </w:r>
      <w:proofErr w:type="spellStart"/>
      <w:r>
        <w:t>Borhanuddin</w:t>
      </w:r>
      <w:proofErr w:type="spellEnd"/>
      <w:r>
        <w:t>, H., &amp; Chee, C. Y. (2018). Reactions of students towards outdoor education programs and their relationship with knowledge, attitude and skills. International Journal of Education and Training, 4(2), 1–10.</w:t>
      </w:r>
    </w:p>
    <w:p w14:paraId="0CA81A64" w14:textId="77777777" w:rsidR="0004678D" w:rsidRDefault="0004678D" w:rsidP="0004678D">
      <w:pPr>
        <w:pStyle w:val="NormalWeb"/>
        <w:spacing w:before="0" w:beforeAutospacing="0" w:after="0" w:afterAutospacing="0"/>
        <w:jc w:val="both"/>
      </w:pPr>
    </w:p>
    <w:p w14:paraId="12736854" w14:textId="2809361C" w:rsidR="0004678D" w:rsidRDefault="0004678D" w:rsidP="0004678D">
      <w:pPr>
        <w:pStyle w:val="NormalWeb"/>
        <w:spacing w:before="0" w:beforeAutospacing="0" w:after="0" w:afterAutospacing="0"/>
        <w:jc w:val="both"/>
      </w:pPr>
      <w:proofErr w:type="spellStart"/>
      <w:r>
        <w:t>Tabachnick</w:t>
      </w:r>
      <w:proofErr w:type="spellEnd"/>
      <w:r>
        <w:t xml:space="preserve">, B. G., &amp; </w:t>
      </w:r>
      <w:proofErr w:type="spellStart"/>
      <w:r>
        <w:t>Fidell</w:t>
      </w:r>
      <w:proofErr w:type="spellEnd"/>
      <w:r>
        <w:t>, L. S. (2013). Using multivariate statistics (6th ed.). Pearson.</w:t>
      </w:r>
    </w:p>
    <w:p w14:paraId="7076203A" w14:textId="77777777" w:rsidR="0004678D" w:rsidRDefault="0004678D" w:rsidP="0004678D">
      <w:pPr>
        <w:pStyle w:val="NormalWeb"/>
        <w:spacing w:before="0" w:beforeAutospacing="0" w:after="0" w:afterAutospacing="0"/>
        <w:jc w:val="both"/>
      </w:pPr>
      <w:r>
        <w:t xml:space="preserve">Wang, P., </w:t>
      </w:r>
      <w:proofErr w:type="spellStart"/>
      <w:r>
        <w:t>Mazuki</w:t>
      </w:r>
      <w:proofErr w:type="spellEnd"/>
      <w:r>
        <w:t>, M. Y., Chang, L. C., &amp; Wu, Y. (2024). A literature review of outdoor education program on mental health and well-being. Asian Pendidikan, 4(1), 22–34. https://doi.org/10.37227/ajess.vol4.iss1.2024</w:t>
      </w:r>
    </w:p>
    <w:p w14:paraId="7EBF365F" w14:textId="77777777" w:rsidR="0004678D" w:rsidRDefault="0004678D" w:rsidP="0004678D">
      <w:pPr>
        <w:pStyle w:val="NormalWeb"/>
        <w:spacing w:before="0" w:beforeAutospacing="0" w:after="0" w:afterAutospacing="0"/>
        <w:jc w:val="both"/>
      </w:pPr>
    </w:p>
    <w:p w14:paraId="0EC0332B" w14:textId="0895CA89" w:rsidR="00254165" w:rsidRPr="00590B20" w:rsidRDefault="0004678D" w:rsidP="0004678D">
      <w:pPr>
        <w:pStyle w:val="NormalWeb"/>
        <w:spacing w:before="0" w:beforeAutospacing="0" w:after="0" w:afterAutospacing="0"/>
        <w:jc w:val="both"/>
      </w:pPr>
      <w:proofErr w:type="spellStart"/>
      <w:r>
        <w:t>Mohd</w:t>
      </w:r>
      <w:proofErr w:type="spellEnd"/>
      <w:r>
        <w:t xml:space="preserve"> Said, O. F., </w:t>
      </w:r>
      <w:proofErr w:type="spellStart"/>
      <w:r>
        <w:t>Sanuddin</w:t>
      </w:r>
      <w:proofErr w:type="spellEnd"/>
      <w:r>
        <w:t xml:space="preserve">, N. D., Md Amin, M., Zakaria, J., </w:t>
      </w:r>
      <w:proofErr w:type="spellStart"/>
      <w:r>
        <w:t>Afandi</w:t>
      </w:r>
      <w:proofErr w:type="spellEnd"/>
      <w:r>
        <w:t xml:space="preserve">, M. A. M., &amp; James, A. J. N. (2025). Outdoor education </w:t>
      </w:r>
      <w:proofErr w:type="gramStart"/>
      <w:r>
        <w:t>coaches</w:t>
      </w:r>
      <w:proofErr w:type="gramEnd"/>
      <w:r>
        <w:t xml:space="preserve"> competency level self-assessment model, co-curriculum centres in Malaysia. </w:t>
      </w:r>
      <w:proofErr w:type="spellStart"/>
      <w:r>
        <w:t>Retos</w:t>
      </w:r>
      <w:proofErr w:type="spellEnd"/>
      <w:r>
        <w:t>, 57, 67–77. https://doi.org/10.47197/retos.v57i57.105012</w:t>
      </w:r>
    </w:p>
    <w:sectPr w:rsidR="00254165" w:rsidRPr="00590B2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B7942" w14:textId="77777777" w:rsidR="00AD1EAF" w:rsidRDefault="00AD1EAF" w:rsidP="00957EAF">
      <w:pPr>
        <w:spacing w:after="0" w:line="240" w:lineRule="auto"/>
      </w:pPr>
      <w:r>
        <w:separator/>
      </w:r>
    </w:p>
  </w:endnote>
  <w:endnote w:type="continuationSeparator" w:id="0">
    <w:p w14:paraId="5528DB0C" w14:textId="77777777" w:rsidR="00AD1EAF" w:rsidRDefault="00AD1EAF" w:rsidP="00957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7F5F" w14:textId="77777777" w:rsidR="00F42C5D" w:rsidRDefault="00F42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BF6F4" w14:textId="77777777" w:rsidR="00F42C5D" w:rsidRDefault="00F42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73C59" w14:textId="77777777" w:rsidR="00F42C5D" w:rsidRDefault="00F42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BE90E" w14:textId="77777777" w:rsidR="00AD1EAF" w:rsidRDefault="00AD1EAF" w:rsidP="00957EAF">
      <w:pPr>
        <w:spacing w:after="0" w:line="240" w:lineRule="auto"/>
      </w:pPr>
      <w:r>
        <w:separator/>
      </w:r>
    </w:p>
  </w:footnote>
  <w:footnote w:type="continuationSeparator" w:id="0">
    <w:p w14:paraId="6CC5B369" w14:textId="77777777" w:rsidR="00AD1EAF" w:rsidRDefault="00AD1EAF" w:rsidP="00957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68185" w14:textId="54F8A483" w:rsidR="00F42C5D" w:rsidRDefault="00AD1EAF">
    <w:pPr>
      <w:pStyle w:val="Header"/>
    </w:pPr>
    <w:r>
      <w:rPr>
        <w:noProof/>
      </w:rPr>
      <w:pict w14:anchorId="616E0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6"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64F5" w14:textId="720DA2D1" w:rsidR="00F42C5D" w:rsidRDefault="00AD1EAF">
    <w:pPr>
      <w:pStyle w:val="Header"/>
    </w:pPr>
    <w:r>
      <w:rPr>
        <w:noProof/>
      </w:rPr>
      <w:pict w14:anchorId="4B1B5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7"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DD3" w14:textId="71F9AE9C" w:rsidR="00F42C5D" w:rsidRDefault="00AD1EAF">
    <w:pPr>
      <w:pStyle w:val="Header"/>
    </w:pPr>
    <w:r>
      <w:rPr>
        <w:noProof/>
      </w:rPr>
      <w:pict w14:anchorId="08459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448875"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D2137"/>
    <w:multiLevelType w:val="hybridMultilevel"/>
    <w:tmpl w:val="C5DAD0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0AC83AFC"/>
    <w:multiLevelType w:val="multilevel"/>
    <w:tmpl w:val="261083D8"/>
    <w:lvl w:ilvl="0">
      <w:start w:val="1"/>
      <w:numFmt w:val="decimal"/>
      <w:pStyle w:val="Heading1"/>
      <w:lvlText w:val="%1."/>
      <w:lvlJc w:val="left"/>
      <w:pPr>
        <w:ind w:left="502"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675FB2"/>
    <w:multiLevelType w:val="hybridMultilevel"/>
    <w:tmpl w:val="344E2458"/>
    <w:lvl w:ilvl="0" w:tplc="CCA2E390">
      <w:start w:val="1"/>
      <w:numFmt w:val="decimal"/>
      <w:pStyle w:val="Heading2"/>
      <w:lvlText w:val="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0FF0313"/>
    <w:multiLevelType w:val="hybridMultilevel"/>
    <w:tmpl w:val="3C3EAA3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3213B1E"/>
    <w:multiLevelType w:val="multilevel"/>
    <w:tmpl w:val="4540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48217E"/>
    <w:multiLevelType w:val="hybridMultilevel"/>
    <w:tmpl w:val="86DC50D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5DA6044E"/>
    <w:multiLevelType w:val="multilevel"/>
    <w:tmpl w:val="8F5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541205"/>
    <w:multiLevelType w:val="hybridMultilevel"/>
    <w:tmpl w:val="FCD06DC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72E2356"/>
    <w:multiLevelType w:val="multilevel"/>
    <w:tmpl w:val="8D9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52AC1"/>
    <w:multiLevelType w:val="hybridMultilevel"/>
    <w:tmpl w:val="87F06B7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7"/>
  </w:num>
  <w:num w:numId="11">
    <w:abstractNumId w:val="15"/>
  </w:num>
  <w:num w:numId="12">
    <w:abstractNumId w:val="13"/>
  </w:num>
  <w:num w:numId="13">
    <w:abstractNumId w:val="14"/>
  </w:num>
  <w:num w:numId="14">
    <w:abstractNumId w:val="18"/>
  </w:num>
  <w:num w:numId="15">
    <w:abstractNumId w:val="12"/>
  </w:num>
  <w:num w:numId="16">
    <w:abstractNumId w:val="16"/>
  </w:num>
  <w:num w:numId="17">
    <w:abstractNumId w:val="10"/>
  </w:num>
  <w:num w:numId="18">
    <w:abstractNumId w:val="11"/>
  </w:num>
  <w:num w:numId="19">
    <w:abstractNumId w:val="10"/>
    <w:lvlOverride w:ilvl="0">
      <w:startOverride w:val="3"/>
    </w:lvlOverride>
    <w:lvlOverride w:ilvl="1">
      <w:startOverride w:val="2"/>
    </w:lvlOverride>
  </w:num>
  <w:num w:numId="20">
    <w:abstractNumId w:val="10"/>
    <w:lvlOverride w:ilvl="0">
      <w:startOverride w:val="3"/>
    </w:lvlOverride>
    <w:lvlOverride w:ilvl="1">
      <w:startOverride w:val="6"/>
    </w:lvlOverride>
  </w:num>
  <w:num w:numId="21">
    <w:abstractNumId w:val="10"/>
    <w:lvlOverride w:ilvl="0">
      <w:startOverride w:val="8"/>
    </w:lvlOverride>
  </w:num>
  <w:num w:numId="22">
    <w:abstractNumId w:val="10"/>
    <w:lvlOverride w:ilvl="0">
      <w:startOverride w:val="8"/>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FF"/>
    <w:rsid w:val="00022D4E"/>
    <w:rsid w:val="00034616"/>
    <w:rsid w:val="0004678D"/>
    <w:rsid w:val="0006063C"/>
    <w:rsid w:val="000C15C3"/>
    <w:rsid w:val="00124808"/>
    <w:rsid w:val="00132722"/>
    <w:rsid w:val="0015074B"/>
    <w:rsid w:val="00160684"/>
    <w:rsid w:val="00180E3A"/>
    <w:rsid w:val="001918DF"/>
    <w:rsid w:val="001E640F"/>
    <w:rsid w:val="00216F98"/>
    <w:rsid w:val="0024656F"/>
    <w:rsid w:val="00254165"/>
    <w:rsid w:val="00271B46"/>
    <w:rsid w:val="0029639D"/>
    <w:rsid w:val="002A745C"/>
    <w:rsid w:val="002A751C"/>
    <w:rsid w:val="002B548D"/>
    <w:rsid w:val="002E5AD2"/>
    <w:rsid w:val="002E6906"/>
    <w:rsid w:val="0030483E"/>
    <w:rsid w:val="003069B4"/>
    <w:rsid w:val="00312679"/>
    <w:rsid w:val="00326F90"/>
    <w:rsid w:val="0034657A"/>
    <w:rsid w:val="003539CC"/>
    <w:rsid w:val="003A05D7"/>
    <w:rsid w:val="003F1711"/>
    <w:rsid w:val="00417579"/>
    <w:rsid w:val="004302F3"/>
    <w:rsid w:val="00430929"/>
    <w:rsid w:val="00461E7C"/>
    <w:rsid w:val="004F0F23"/>
    <w:rsid w:val="005326E2"/>
    <w:rsid w:val="00543E3A"/>
    <w:rsid w:val="005472CB"/>
    <w:rsid w:val="005573CE"/>
    <w:rsid w:val="00586B93"/>
    <w:rsid w:val="00590B20"/>
    <w:rsid w:val="005E19B7"/>
    <w:rsid w:val="0060128C"/>
    <w:rsid w:val="00612BE7"/>
    <w:rsid w:val="006A3559"/>
    <w:rsid w:val="006A56F1"/>
    <w:rsid w:val="006B1BD8"/>
    <w:rsid w:val="006D40A4"/>
    <w:rsid w:val="006E698E"/>
    <w:rsid w:val="00714D63"/>
    <w:rsid w:val="00717A6C"/>
    <w:rsid w:val="007328E2"/>
    <w:rsid w:val="00753219"/>
    <w:rsid w:val="007A7D01"/>
    <w:rsid w:val="007B1A6C"/>
    <w:rsid w:val="007C123C"/>
    <w:rsid w:val="00813C33"/>
    <w:rsid w:val="0081630D"/>
    <w:rsid w:val="00874EFE"/>
    <w:rsid w:val="008760DA"/>
    <w:rsid w:val="0089700F"/>
    <w:rsid w:val="008B5634"/>
    <w:rsid w:val="0092699F"/>
    <w:rsid w:val="009413C1"/>
    <w:rsid w:val="009427A0"/>
    <w:rsid w:val="00957EAF"/>
    <w:rsid w:val="00962F22"/>
    <w:rsid w:val="00973017"/>
    <w:rsid w:val="009B0953"/>
    <w:rsid w:val="009C5BE0"/>
    <w:rsid w:val="009D169D"/>
    <w:rsid w:val="00A30C26"/>
    <w:rsid w:val="00A35F40"/>
    <w:rsid w:val="00A46B19"/>
    <w:rsid w:val="00AA1D8D"/>
    <w:rsid w:val="00AC1B14"/>
    <w:rsid w:val="00AD1EAF"/>
    <w:rsid w:val="00B3482F"/>
    <w:rsid w:val="00B47730"/>
    <w:rsid w:val="00BE04F6"/>
    <w:rsid w:val="00C0727F"/>
    <w:rsid w:val="00C106DE"/>
    <w:rsid w:val="00C273B2"/>
    <w:rsid w:val="00C460DC"/>
    <w:rsid w:val="00C46E91"/>
    <w:rsid w:val="00C56EA1"/>
    <w:rsid w:val="00CA2CF8"/>
    <w:rsid w:val="00CB0664"/>
    <w:rsid w:val="00CB18AE"/>
    <w:rsid w:val="00CF3B6E"/>
    <w:rsid w:val="00D05E15"/>
    <w:rsid w:val="00D80D68"/>
    <w:rsid w:val="00DD0D8F"/>
    <w:rsid w:val="00DF4587"/>
    <w:rsid w:val="00E402E5"/>
    <w:rsid w:val="00E503A2"/>
    <w:rsid w:val="00E65974"/>
    <w:rsid w:val="00E926C5"/>
    <w:rsid w:val="00EA5522"/>
    <w:rsid w:val="00F146E2"/>
    <w:rsid w:val="00F34148"/>
    <w:rsid w:val="00F42C5D"/>
    <w:rsid w:val="00F543C6"/>
    <w:rsid w:val="00F62C66"/>
    <w:rsid w:val="00FA0825"/>
    <w:rsid w:val="00FA4E32"/>
    <w:rsid w:val="00FC693F"/>
    <w:rsid w:val="00FF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A780679"/>
  <w14:defaultImageDpi w14:val="300"/>
  <w15:docId w15:val="{15DD044D-901E-4A84-B28F-0252884B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D8F"/>
  </w:style>
  <w:style w:type="paragraph" w:styleId="Heading1">
    <w:name w:val="heading 1"/>
    <w:basedOn w:val="Normal"/>
    <w:next w:val="Normal"/>
    <w:link w:val="Heading1Char"/>
    <w:uiPriority w:val="9"/>
    <w:qFormat/>
    <w:rsid w:val="00132722"/>
    <w:pPr>
      <w:keepNext/>
      <w:keepLines/>
      <w:numPr>
        <w:numId w:val="17"/>
      </w:numPr>
      <w:spacing w:before="480" w:after="0"/>
      <w:ind w:left="360"/>
      <w:outlineLvl w:val="0"/>
    </w:pPr>
    <w:rPr>
      <w:rFonts w:ascii="Arial" w:eastAsiaTheme="majorEastAsia" w:hAnsi="Arial" w:cstheme="majorBidi"/>
      <w:b/>
      <w:bCs/>
      <w:color w:val="000000" w:themeColor="text1"/>
      <w:szCs w:val="28"/>
    </w:rPr>
  </w:style>
  <w:style w:type="paragraph" w:styleId="Heading2">
    <w:name w:val="heading 2"/>
    <w:basedOn w:val="Normal"/>
    <w:next w:val="Normal"/>
    <w:link w:val="Heading2Char"/>
    <w:uiPriority w:val="9"/>
    <w:unhideWhenUsed/>
    <w:qFormat/>
    <w:rsid w:val="00132722"/>
    <w:pPr>
      <w:keepNext/>
      <w:keepLines/>
      <w:numPr>
        <w:numId w:val="18"/>
      </w:numPr>
      <w:spacing w:before="200" w:after="0"/>
      <w:ind w:left="36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32722"/>
    <w:rPr>
      <w:rFonts w:ascii="Arial" w:eastAsiaTheme="majorEastAsia" w:hAnsi="Arial" w:cstheme="majorBidi"/>
      <w:b/>
      <w:bCs/>
      <w:color w:val="000000" w:themeColor="text1"/>
      <w:szCs w:val="28"/>
    </w:rPr>
  </w:style>
  <w:style w:type="character" w:customStyle="1" w:styleId="Heading2Char">
    <w:name w:val="Heading 2 Char"/>
    <w:basedOn w:val="DefaultParagraphFont"/>
    <w:link w:val="Heading2"/>
    <w:uiPriority w:val="9"/>
    <w:rsid w:val="00132722"/>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62F22"/>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Hyperlink">
    <w:name w:val="Hyperlink"/>
    <w:basedOn w:val="DefaultParagraphFont"/>
    <w:uiPriority w:val="99"/>
    <w:unhideWhenUsed/>
    <w:rsid w:val="00F34148"/>
    <w:rPr>
      <w:color w:val="0000FF" w:themeColor="hyperlink"/>
      <w:u w:val="single"/>
    </w:rPr>
  </w:style>
  <w:style w:type="character" w:styleId="UnresolvedMention">
    <w:name w:val="Unresolved Mention"/>
    <w:basedOn w:val="DefaultParagraphFont"/>
    <w:uiPriority w:val="99"/>
    <w:semiHidden/>
    <w:unhideWhenUsed/>
    <w:rsid w:val="00F34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C8795-9EFC-4666-A347-CC4234014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9</Pages>
  <Words>3326</Words>
  <Characters>18962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51</cp:revision>
  <dcterms:created xsi:type="dcterms:W3CDTF">2025-09-13T06:41:00Z</dcterms:created>
  <dcterms:modified xsi:type="dcterms:W3CDTF">2025-09-22T11:51:00Z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00430ec4-cd5d-4a78-8f16-20c6e0bafdd8</vt:lpwstr>
  </property>
</Properties>
</file>