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D1079" w14:textId="77777777" w:rsidR="00754C9A" w:rsidRDefault="00754C9A" w:rsidP="00441B6F">
      <w:pPr>
        <w:pStyle w:val="Title"/>
        <w:spacing w:after="0"/>
        <w:jc w:val="both"/>
        <w:rPr>
          <w:rFonts w:ascii="Arial" w:hAnsi="Arial" w:cs="Arial"/>
        </w:rPr>
      </w:pPr>
    </w:p>
    <w:p w14:paraId="72BDCF77" w14:textId="4AB6A35E" w:rsidR="00163BC4" w:rsidRPr="00163BC4" w:rsidRDefault="005E5717" w:rsidP="00441B6F">
      <w:pPr>
        <w:pStyle w:val="Author"/>
        <w:spacing w:line="240" w:lineRule="auto"/>
        <w:rPr>
          <w:rFonts w:ascii="Arial" w:hAnsi="Arial" w:cs="Arial"/>
          <w:bCs/>
          <w:iCs/>
          <w:kern w:val="28"/>
          <w:sz w:val="36"/>
        </w:rPr>
      </w:pPr>
      <w:r w:rsidRPr="005E5717">
        <w:rPr>
          <w:rFonts w:ascii="Arial" w:hAnsi="Arial" w:cs="Arial"/>
          <w:bCs/>
          <w:iCs/>
          <w:kern w:val="28"/>
          <w:sz w:val="36"/>
        </w:rPr>
        <w:t xml:space="preserve">Local Tourism-Based Economic Transformation Through Creative Education, </w:t>
      </w:r>
      <w:r w:rsidR="00655C1E" w:rsidRPr="00DB0C49">
        <w:rPr>
          <w:rFonts w:ascii="Arial" w:hAnsi="Arial" w:cs="Arial"/>
          <w:bCs/>
          <w:iCs/>
          <w:kern w:val="28"/>
          <w:sz w:val="36"/>
          <w:highlight w:val="yellow"/>
        </w:rPr>
        <w:t>Digitalisation</w:t>
      </w:r>
      <w:r w:rsidRPr="00DB0C49">
        <w:rPr>
          <w:rFonts w:ascii="Arial" w:hAnsi="Arial" w:cs="Arial"/>
          <w:bCs/>
          <w:iCs/>
          <w:kern w:val="28"/>
          <w:sz w:val="36"/>
          <w:highlight w:val="yellow"/>
        </w:rPr>
        <w:t xml:space="preserve"> and</w:t>
      </w:r>
      <w:r w:rsidRPr="005E5717">
        <w:rPr>
          <w:rFonts w:ascii="Arial" w:hAnsi="Arial" w:cs="Arial"/>
          <w:bCs/>
          <w:iCs/>
          <w:kern w:val="28"/>
          <w:sz w:val="36"/>
        </w:rPr>
        <w:t xml:space="preserve"> MSME Collaboration: A Case Study of Danau Perintis </w:t>
      </w:r>
    </w:p>
    <w:p w14:paraId="76CCFC71" w14:textId="77777777" w:rsidR="00A258C3" w:rsidRPr="00790ADA" w:rsidRDefault="00A258C3" w:rsidP="00441B6F">
      <w:pPr>
        <w:pStyle w:val="Author"/>
        <w:spacing w:line="240" w:lineRule="auto"/>
        <w:jc w:val="both"/>
        <w:rPr>
          <w:rFonts w:ascii="Arial" w:hAnsi="Arial" w:cs="Arial"/>
          <w:sz w:val="36"/>
        </w:rPr>
      </w:pPr>
    </w:p>
    <w:p w14:paraId="1FD39E4F" w14:textId="77777777" w:rsidR="00790ADA" w:rsidRDefault="00790ADA" w:rsidP="00441B6F">
      <w:pPr>
        <w:pStyle w:val="Affiliation"/>
        <w:spacing w:after="0" w:line="240" w:lineRule="auto"/>
        <w:jc w:val="both"/>
        <w:rPr>
          <w:rFonts w:ascii="Arial" w:hAnsi="Arial" w:cs="Arial"/>
        </w:rPr>
      </w:pPr>
    </w:p>
    <w:p w14:paraId="146D0CA7" w14:textId="77777777" w:rsidR="002C57D2" w:rsidRPr="00FB3A86" w:rsidRDefault="002C57D2" w:rsidP="00441B6F">
      <w:pPr>
        <w:pStyle w:val="Affiliation"/>
        <w:spacing w:after="0" w:line="240" w:lineRule="auto"/>
        <w:jc w:val="both"/>
        <w:rPr>
          <w:rFonts w:ascii="Arial" w:hAnsi="Arial" w:cs="Arial"/>
        </w:rPr>
      </w:pPr>
    </w:p>
    <w:p w14:paraId="368B0EE0" w14:textId="77777777" w:rsidR="00B01FCD" w:rsidRPr="00FB3A86" w:rsidRDefault="00E6551E" w:rsidP="00441B6F">
      <w:pPr>
        <w:pStyle w:val="Copyright"/>
        <w:spacing w:after="0" w:line="240" w:lineRule="auto"/>
        <w:jc w:val="both"/>
        <w:rPr>
          <w:rFonts w:ascii="Arial" w:hAnsi="Arial" w:cs="Arial"/>
        </w:rPr>
        <w:sectPr w:rsidR="00B01FCD" w:rsidRPr="00FB3A86" w:rsidSect="001258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CE27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C687A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5E5717">
        <w:rPr>
          <w:rFonts w:ascii="Arial" w:hAnsi="Arial" w:cs="Arial"/>
        </w:rPr>
        <w:t xml:space="preserve"> </w:t>
      </w:r>
    </w:p>
    <w:p w14:paraId="4E4F218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BC272E0" w14:textId="77777777" w:rsidTr="001E44FE">
        <w:tc>
          <w:tcPr>
            <w:tcW w:w="9576" w:type="dxa"/>
            <w:shd w:val="clear" w:color="auto" w:fill="F2F2F2"/>
          </w:tcPr>
          <w:p w14:paraId="69F8AB1C" w14:textId="0A8FBAB1" w:rsidR="005E5717" w:rsidRDefault="00087FFA" w:rsidP="00DB0C49">
            <w:pPr>
              <w:jc w:val="both"/>
            </w:pPr>
            <w:r w:rsidRPr="00DB0C49">
              <w:rPr>
                <w:rFonts w:ascii="Arial" w:hAnsi="Arial" w:cs="Arial"/>
                <w:highlight w:val="yellow"/>
              </w:rPr>
              <w:t>In many developing countries, tourism is not only a major source of foreign exchange but also an effective tool for accelerating regional development, reducing poverty, and promoting local community empowerment. This makes tourism an instrument of inclusive and sustainable development, provided that it is managed properly and takes into account social, economic, and environmental aspects in a balanced manner.</w:t>
            </w:r>
            <w:r>
              <w:rPr>
                <w:rFonts w:ascii="Arial" w:hAnsi="Arial" w:cs="Arial"/>
              </w:rPr>
              <w:t xml:space="preserve"> </w:t>
            </w:r>
            <w:r w:rsidR="005E5717">
              <w:t xml:space="preserve">This study aims to </w:t>
            </w:r>
            <w:r w:rsidR="00DB3275" w:rsidRPr="00DB0C49">
              <w:rPr>
                <w:highlight w:val="yellow"/>
              </w:rPr>
              <w:t xml:space="preserve">analyse </w:t>
            </w:r>
            <w:r w:rsidR="005E5717" w:rsidRPr="00DB0C49">
              <w:rPr>
                <w:highlight w:val="yellow"/>
              </w:rPr>
              <w:t>the</w:t>
            </w:r>
            <w:r w:rsidR="005E5717">
              <w:t xml:space="preserve"> effect of creative economy education, digital marketing, and MSME collaboration on local economic growth in the Perintis Lake tourist area, Bone Bolango Regency. The background of this study is based on the urgency of integrating non-physical strategies in tourism development, particularly in the context of secondary tourist destinations that have not been widely researched. This study uses a quantitative approach with a survey design, involving 100 MSME actors as research samples. Data were collected through field observations, Likert scale questionnaires, and documentation, then </w:t>
            </w:r>
            <w:r w:rsidR="00DB3275" w:rsidRPr="00DB0C49">
              <w:rPr>
                <w:highlight w:val="yellow"/>
              </w:rPr>
              <w:t xml:space="preserve">analysed </w:t>
            </w:r>
            <w:r w:rsidR="005E5717" w:rsidRPr="00DB0C49">
              <w:rPr>
                <w:highlight w:val="yellow"/>
              </w:rPr>
              <w:t>using</w:t>
            </w:r>
            <w:r w:rsidR="005E5717">
              <w:t xml:space="preserve"> multiple linear regression with the help of SPSS.</w:t>
            </w:r>
            <w:r w:rsidR="00B8376D">
              <w:t xml:space="preserve"> </w:t>
            </w:r>
            <w:r w:rsidR="005E5717">
              <w:t xml:space="preserve">The results show that all independent variables—creative economy education, digital marketing, and MSME collaboration—have a positive and significant effect on local economic growth. </w:t>
            </w:r>
            <w:r w:rsidR="002012B6" w:rsidRPr="00DB0C49">
              <w:rPr>
                <w:highlight w:val="yellow"/>
              </w:rPr>
              <w:t>The R² value of 0.581 indicates that 58.1% of the variation in local economic growth can be explained by these three variables.</w:t>
            </w:r>
            <w:r w:rsidR="002012B6">
              <w:t xml:space="preserve"> </w:t>
            </w:r>
            <w:r w:rsidR="005E5717">
              <w:t xml:space="preserve">MSME collaboration is the variable with the most dominant effect (β = 0.412), followed by creative economy education (β = 0.302) and digital marketing (β = 0.194). </w:t>
            </w:r>
            <w:r w:rsidR="005E5717" w:rsidRPr="00DB0C49">
              <w:rPr>
                <w:highlight w:val="yellow"/>
              </w:rPr>
              <w:t>The</w:t>
            </w:r>
            <w:r w:rsidR="005E5717">
              <w:t xml:space="preserve"> conclusion of this study </w:t>
            </w:r>
            <w:r w:rsidR="00DB3275" w:rsidRPr="00DB0C49">
              <w:rPr>
                <w:highlight w:val="yellow"/>
              </w:rPr>
              <w:t xml:space="preserve">emphasises </w:t>
            </w:r>
            <w:r w:rsidR="005E5717" w:rsidRPr="00DB0C49">
              <w:rPr>
                <w:highlight w:val="yellow"/>
              </w:rPr>
              <w:t>th</w:t>
            </w:r>
            <w:r w:rsidR="005E5717">
              <w:t>e importance of an integrative approach in tourism-based economic development. Its academic contribution lies in filling a gap in the literature with a synergistic analysis model, while its practical contribution provides a basis for formulating policies based on the empowerment of local MSMEs.</w:t>
            </w:r>
          </w:p>
          <w:p w14:paraId="03C94756" w14:textId="77777777" w:rsidR="00505F06" w:rsidRPr="00BA1B01" w:rsidRDefault="00505F06" w:rsidP="00441B6F">
            <w:pPr>
              <w:pStyle w:val="Body"/>
              <w:spacing w:after="0"/>
              <w:rPr>
                <w:rFonts w:ascii="Arial" w:eastAsia="Calibri" w:hAnsi="Arial" w:cs="Arial"/>
                <w:szCs w:val="22"/>
              </w:rPr>
            </w:pPr>
          </w:p>
        </w:tc>
      </w:tr>
    </w:tbl>
    <w:p w14:paraId="4DBDE3E6" w14:textId="77777777" w:rsidR="00636EB2" w:rsidRDefault="00636EB2" w:rsidP="00441B6F">
      <w:pPr>
        <w:pStyle w:val="Body"/>
        <w:spacing w:after="0"/>
        <w:rPr>
          <w:rFonts w:ascii="Arial" w:hAnsi="Arial" w:cs="Arial"/>
          <w:i/>
        </w:rPr>
      </w:pPr>
    </w:p>
    <w:p w14:paraId="0F5BF697" w14:textId="46F9D2D2" w:rsidR="0024282C" w:rsidRPr="00B36493" w:rsidRDefault="00A24E7E" w:rsidP="00441B6F">
      <w:pPr>
        <w:pStyle w:val="Body"/>
        <w:spacing w:after="0"/>
        <w:rPr>
          <w:rFonts w:ascii="Arial" w:hAnsi="Arial" w:cs="Arial"/>
          <w:i/>
        </w:rPr>
      </w:pPr>
      <w:r w:rsidRPr="00DB0C49">
        <w:rPr>
          <w:rFonts w:ascii="Arial" w:hAnsi="Arial" w:cs="Arial"/>
          <w:b/>
          <w:bCs/>
          <w:iCs/>
        </w:rPr>
        <w:t>Keywords</w:t>
      </w:r>
      <w:r>
        <w:rPr>
          <w:rFonts w:ascii="Arial" w:hAnsi="Arial" w:cs="Arial"/>
          <w:i/>
        </w:rPr>
        <w:t xml:space="preserve">: </w:t>
      </w:r>
      <w:r w:rsidR="005E5717">
        <w:rPr>
          <w:rFonts w:ascii="Arial" w:hAnsi="Arial" w:cs="Arial"/>
          <w:i/>
        </w:rPr>
        <w:t>C</w:t>
      </w:r>
      <w:r w:rsidR="005E5717" w:rsidRPr="005E5717">
        <w:rPr>
          <w:rFonts w:ascii="Arial" w:hAnsi="Arial" w:cs="Arial"/>
          <w:i/>
        </w:rPr>
        <w:t xml:space="preserve">reative economy, </w:t>
      </w:r>
      <w:r w:rsidR="005E5717">
        <w:rPr>
          <w:rFonts w:ascii="Arial" w:hAnsi="Arial" w:cs="Arial"/>
          <w:i/>
        </w:rPr>
        <w:t>D</w:t>
      </w:r>
      <w:r w:rsidR="005E5717" w:rsidRPr="005E5717">
        <w:rPr>
          <w:rFonts w:ascii="Arial" w:hAnsi="Arial" w:cs="Arial"/>
          <w:i/>
        </w:rPr>
        <w:t>igital marketing, SME colla</w:t>
      </w:r>
      <w:r w:rsidR="005E5717">
        <w:rPr>
          <w:rFonts w:ascii="Arial" w:hAnsi="Arial" w:cs="Arial"/>
          <w:i/>
        </w:rPr>
        <w:t xml:space="preserve">boration, Local economic growth </w:t>
      </w:r>
    </w:p>
    <w:p w14:paraId="560FB747" w14:textId="77777777" w:rsidR="00505F06" w:rsidRPr="00A24E7E" w:rsidRDefault="00505F06" w:rsidP="00441B6F">
      <w:pPr>
        <w:pStyle w:val="Body"/>
        <w:spacing w:after="0"/>
        <w:rPr>
          <w:rFonts w:ascii="Arial" w:hAnsi="Arial" w:cs="Arial"/>
          <w:i/>
        </w:rPr>
      </w:pPr>
    </w:p>
    <w:p w14:paraId="33F6F004"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629F66" w14:textId="65BB58D7" w:rsidR="005E5717" w:rsidRPr="005E5717" w:rsidRDefault="005E5717" w:rsidP="005E5717">
      <w:pPr>
        <w:pStyle w:val="Body"/>
        <w:spacing w:before="240"/>
        <w:rPr>
          <w:rFonts w:ascii="Arial" w:hAnsi="Arial" w:cs="Arial"/>
        </w:rPr>
      </w:pPr>
      <w:r w:rsidRPr="005E5717">
        <w:rPr>
          <w:rFonts w:ascii="Arial" w:hAnsi="Arial" w:cs="Arial"/>
        </w:rPr>
        <w:t xml:space="preserve">Tourism has grown to become one of the strategic sectors in global economic development. According to the UNWTO (2023), the contribution of the tourism sector to global gross domestic product (GDP) reaches more than 10%, and employs nearly one in ten jobs worldwide. </w:t>
      </w:r>
      <w:r w:rsidR="00F01B35" w:rsidRPr="00DB0C49">
        <w:rPr>
          <w:rFonts w:ascii="Arial" w:hAnsi="Arial" w:cs="Arial"/>
          <w:highlight w:val="yellow"/>
        </w:rPr>
        <w:t xml:space="preserve">The tourism sector offers employment to a significant proportion of </w:t>
      </w:r>
      <w:proofErr w:type="gramStart"/>
      <w:r w:rsidR="00F01B35" w:rsidRPr="00DB0C49">
        <w:rPr>
          <w:rFonts w:ascii="Arial" w:hAnsi="Arial" w:cs="Arial"/>
          <w:highlight w:val="yellow"/>
        </w:rPr>
        <w:t xml:space="preserve">youth,   </w:t>
      </w:r>
      <w:proofErr w:type="gramEnd"/>
      <w:r w:rsidR="00F01B35" w:rsidRPr="00DB0C49">
        <w:rPr>
          <w:rFonts w:ascii="Arial" w:hAnsi="Arial" w:cs="Arial"/>
          <w:highlight w:val="yellow"/>
        </w:rPr>
        <w:t xml:space="preserve">women, as well as employs </w:t>
      </w:r>
      <w:r w:rsidR="00F01B35">
        <w:rPr>
          <w:rFonts w:ascii="Arial" w:hAnsi="Arial" w:cs="Arial"/>
          <w:highlight w:val="yellow"/>
        </w:rPr>
        <w:t>low-skilled labour</w:t>
      </w:r>
      <w:r w:rsidR="00F01B35" w:rsidRPr="00DB0C49">
        <w:rPr>
          <w:rFonts w:ascii="Arial" w:hAnsi="Arial" w:cs="Arial"/>
          <w:highlight w:val="yellow"/>
        </w:rPr>
        <w:t>,</w:t>
      </w:r>
      <w:r w:rsidR="00F01B35">
        <w:rPr>
          <w:rFonts w:ascii="Arial" w:hAnsi="Arial" w:cs="Arial"/>
          <w:highlight w:val="yellow"/>
        </w:rPr>
        <w:t xml:space="preserve"> </w:t>
      </w:r>
      <w:r w:rsidR="00F01B35" w:rsidRPr="00DB0C49">
        <w:rPr>
          <w:rFonts w:ascii="Arial" w:hAnsi="Arial" w:cs="Arial"/>
          <w:highlight w:val="yellow"/>
        </w:rPr>
        <w:t>thus generating employment for families and the poor</w:t>
      </w:r>
      <w:r w:rsidR="00F01B35">
        <w:rPr>
          <w:rFonts w:ascii="Arial" w:hAnsi="Arial" w:cs="Arial"/>
          <w:highlight w:val="yellow"/>
        </w:rPr>
        <w:t xml:space="preserve"> (</w:t>
      </w:r>
      <w:r w:rsidR="00F01B35" w:rsidRPr="00EA25D2">
        <w:rPr>
          <w:highlight w:val="yellow"/>
        </w:rPr>
        <w:t>Hatibu</w:t>
      </w:r>
      <w:r w:rsidR="00F01B35">
        <w:rPr>
          <w:highlight w:val="yellow"/>
        </w:rPr>
        <w:t>, 2024</w:t>
      </w:r>
      <w:r w:rsidR="00F01B35">
        <w:rPr>
          <w:rFonts w:ascii="Arial" w:hAnsi="Arial" w:cs="Arial"/>
          <w:highlight w:val="yellow"/>
        </w:rPr>
        <w:t>)</w:t>
      </w:r>
      <w:r w:rsidR="00F01B35" w:rsidRPr="00DB0C49">
        <w:rPr>
          <w:rFonts w:ascii="Arial" w:hAnsi="Arial" w:cs="Arial"/>
          <w:highlight w:val="yellow"/>
        </w:rPr>
        <w:t>.</w:t>
      </w:r>
      <w:r w:rsidR="00F01B35" w:rsidRPr="00F01B35">
        <w:rPr>
          <w:rFonts w:ascii="Arial" w:hAnsi="Arial" w:cs="Arial"/>
        </w:rPr>
        <w:t xml:space="preserve"> </w:t>
      </w:r>
      <w:r w:rsidRPr="005E5717">
        <w:rPr>
          <w:rFonts w:ascii="Arial" w:hAnsi="Arial" w:cs="Arial"/>
        </w:rPr>
        <w:t>In many developing countries, tourism is not only a major source of foreign exchange but also an effective tool for accelerating regional development, reducing poverty, and promoting local community empowerment</w:t>
      </w:r>
      <w:r w:rsidR="004A7C34">
        <w:rPr>
          <w:rFonts w:ascii="Arial" w:hAnsi="Arial" w:cs="Arial"/>
        </w:rPr>
        <w:t xml:space="preserve"> </w:t>
      </w:r>
      <w:r w:rsidR="004A7C34" w:rsidRPr="00DB0C49">
        <w:rPr>
          <w:rFonts w:ascii="Arial" w:hAnsi="Arial" w:cs="Arial"/>
          <w:highlight w:val="yellow"/>
        </w:rPr>
        <w:t>(</w:t>
      </w:r>
      <w:r w:rsidR="004A7C34" w:rsidRPr="004A7C34">
        <w:rPr>
          <w:highlight w:val="yellow"/>
        </w:rPr>
        <w:t>Mukhlis</w:t>
      </w:r>
      <w:r w:rsidR="004A7C34" w:rsidRPr="00DB0C49">
        <w:rPr>
          <w:highlight w:val="yellow"/>
        </w:rPr>
        <w:t xml:space="preserve"> et al., 2021)</w:t>
      </w:r>
      <w:r w:rsidRPr="00DB0C49">
        <w:rPr>
          <w:rFonts w:ascii="Arial" w:hAnsi="Arial" w:cs="Arial"/>
          <w:highlight w:val="yellow"/>
        </w:rPr>
        <w:t>.</w:t>
      </w:r>
      <w:r w:rsidRPr="005E5717">
        <w:rPr>
          <w:rFonts w:ascii="Arial" w:hAnsi="Arial" w:cs="Arial"/>
        </w:rPr>
        <w:t xml:space="preserve"> This makes tourism an instrument of inclusive and sustainable development, provided that it is managed </w:t>
      </w:r>
      <w:r w:rsidRPr="005E5717">
        <w:rPr>
          <w:rFonts w:ascii="Arial" w:hAnsi="Arial" w:cs="Arial"/>
        </w:rPr>
        <w:lastRenderedPageBreak/>
        <w:t>properly and takes into account social, economic, and environmental aspects in a balanced manner (Gössling &amp; Hall, 2019).</w:t>
      </w:r>
    </w:p>
    <w:p w14:paraId="1989CCA5" w14:textId="05BF67B6" w:rsidR="005E5717" w:rsidRPr="005E5717" w:rsidRDefault="005E5717" w:rsidP="005E5717">
      <w:pPr>
        <w:pStyle w:val="Body"/>
        <w:spacing w:before="240" w:after="0"/>
        <w:rPr>
          <w:rFonts w:ascii="Arial" w:hAnsi="Arial" w:cs="Arial"/>
        </w:rPr>
      </w:pPr>
      <w:r w:rsidRPr="005E5717">
        <w:rPr>
          <w:rFonts w:ascii="Arial" w:hAnsi="Arial" w:cs="Arial"/>
        </w:rPr>
        <w:t xml:space="preserve">In the context of Indonesia, tourism has been identified as one of the national priority sectors in the 2020–2024 National Medium-Term Development Plan (RPJMN). </w:t>
      </w:r>
      <w:r w:rsidR="00D13710" w:rsidRPr="00DB0C49">
        <w:rPr>
          <w:rFonts w:ascii="Arial" w:hAnsi="Arial" w:cs="Arial"/>
          <w:highlight w:val="yellow"/>
        </w:rPr>
        <w:t>The Indonesian government had designated tourism as 1 of the 9 missions that must be carried out in the next 5 years, included in the second point regarding a productive, independent and competitive economic structure</w:t>
      </w:r>
      <w:r w:rsidR="00D13710">
        <w:rPr>
          <w:rFonts w:ascii="Arial" w:hAnsi="Arial" w:cs="Arial"/>
          <w:highlight w:val="yellow"/>
        </w:rPr>
        <w:t xml:space="preserve"> (</w:t>
      </w:r>
      <w:r w:rsidR="00F85819" w:rsidRPr="00DB0C49">
        <w:rPr>
          <w:highlight w:val="yellow"/>
        </w:rPr>
        <w:t>Silalahi</w:t>
      </w:r>
      <w:r w:rsidR="00F85819">
        <w:rPr>
          <w:highlight w:val="yellow"/>
        </w:rPr>
        <w:t xml:space="preserve"> </w:t>
      </w:r>
      <w:r w:rsidR="00F85819" w:rsidRPr="00DB0C49">
        <w:rPr>
          <w:highlight w:val="yellow"/>
        </w:rPr>
        <w:t xml:space="preserve">&amp; Agustina, </w:t>
      </w:r>
      <w:r w:rsidR="00F85819">
        <w:rPr>
          <w:highlight w:val="yellow"/>
        </w:rPr>
        <w:t>2024</w:t>
      </w:r>
      <w:r w:rsidR="00D13710">
        <w:rPr>
          <w:rFonts w:ascii="Arial" w:hAnsi="Arial" w:cs="Arial"/>
          <w:highlight w:val="yellow"/>
        </w:rPr>
        <w:t>)</w:t>
      </w:r>
      <w:r w:rsidR="00D13710" w:rsidRPr="00DB0C49">
        <w:rPr>
          <w:rFonts w:ascii="Arial" w:hAnsi="Arial" w:cs="Arial"/>
          <w:highlight w:val="yellow"/>
        </w:rPr>
        <w:t>.</w:t>
      </w:r>
      <w:r w:rsidR="00D13710">
        <w:rPr>
          <w:rFonts w:ascii="Arial" w:hAnsi="Arial" w:cs="Arial"/>
        </w:rPr>
        <w:t xml:space="preserve"> </w:t>
      </w:r>
      <w:r w:rsidRPr="005E5717">
        <w:rPr>
          <w:rFonts w:ascii="Arial" w:hAnsi="Arial" w:cs="Arial"/>
        </w:rPr>
        <w:t>The government aims to develop new leading destinations to reduce dependence on Bali, while spreading economic benefits more evenly across various regions (Bappenas, 2020). This policy reinforces the commitment to economic diversification, especially outside the extractive and traditional agricultural sectors, which have dominated the regional economic structure.</w:t>
      </w:r>
    </w:p>
    <w:p w14:paraId="567C9F72" w14:textId="732F17E9" w:rsidR="005E5717" w:rsidRPr="005E5717" w:rsidRDefault="005E5717" w:rsidP="005E5717">
      <w:pPr>
        <w:pStyle w:val="Body"/>
        <w:spacing w:before="240" w:after="0"/>
        <w:rPr>
          <w:rFonts w:ascii="Arial" w:hAnsi="Arial" w:cs="Arial"/>
        </w:rPr>
      </w:pPr>
      <w:r w:rsidRPr="005E5717">
        <w:rPr>
          <w:rFonts w:ascii="Arial" w:hAnsi="Arial" w:cs="Arial"/>
        </w:rPr>
        <w:t>Gorontalo Province, as one of the regions in Eastern Indonesia, has great potential in the tourism sector that has not been optimally exploited. One of its leading destinations is Lake Perintis, located in Bone Bolango Regency</w:t>
      </w:r>
      <w:r w:rsidR="00AA2818">
        <w:rPr>
          <w:rFonts w:ascii="Arial" w:hAnsi="Arial" w:cs="Arial"/>
        </w:rPr>
        <w:t xml:space="preserve"> </w:t>
      </w:r>
      <w:r w:rsidR="00AA2818" w:rsidRPr="00DB0C49">
        <w:rPr>
          <w:rFonts w:ascii="Arial" w:hAnsi="Arial" w:cs="Arial"/>
          <w:highlight w:val="yellow"/>
        </w:rPr>
        <w:t>(</w:t>
      </w:r>
      <w:r w:rsidR="00AA2818" w:rsidRPr="00DB0C49">
        <w:rPr>
          <w:highlight w:val="yellow"/>
        </w:rPr>
        <w:t xml:space="preserve">Hamzah </w:t>
      </w:r>
      <w:r w:rsidR="00AA2818">
        <w:rPr>
          <w:highlight w:val="yellow"/>
        </w:rPr>
        <w:t>et al., 2025</w:t>
      </w:r>
      <w:r w:rsidR="00AA2818" w:rsidRPr="00DB0C49">
        <w:rPr>
          <w:rFonts w:ascii="Arial" w:hAnsi="Arial" w:cs="Arial"/>
          <w:highlight w:val="yellow"/>
        </w:rPr>
        <w:t>)</w:t>
      </w:r>
      <w:r w:rsidRPr="00DB0C49">
        <w:rPr>
          <w:rFonts w:ascii="Arial" w:hAnsi="Arial" w:cs="Arial"/>
          <w:highlight w:val="yellow"/>
        </w:rPr>
        <w:t>.</w:t>
      </w:r>
      <w:r w:rsidRPr="005E5717">
        <w:rPr>
          <w:rFonts w:ascii="Arial" w:hAnsi="Arial" w:cs="Arial"/>
        </w:rPr>
        <w:t xml:space="preserve"> This lake not only has unique natural beauty, but is also surrounded by communities with unique cultural traditions. In the last five years, Danau Perintis has shown a significant increase in the number of domestic and regional tourist visits (BPS Bone Bolango, 2025). However, this increase in visits has not been directly proportional to sustainable local economic growth.</w:t>
      </w:r>
    </w:p>
    <w:p w14:paraId="05FDB986" w14:textId="77777777" w:rsidR="005E5717" w:rsidRPr="005E5717" w:rsidRDefault="005E5717" w:rsidP="005E5717">
      <w:pPr>
        <w:pStyle w:val="Body"/>
        <w:spacing w:before="240" w:after="0"/>
        <w:rPr>
          <w:rFonts w:ascii="Arial" w:hAnsi="Arial" w:cs="Arial"/>
        </w:rPr>
      </w:pPr>
      <w:r w:rsidRPr="005E5717">
        <w:rPr>
          <w:rFonts w:ascii="Arial" w:hAnsi="Arial" w:cs="Arial"/>
        </w:rPr>
        <w:t>Data from BPS shows that the Gross Regional Domestic Product (GRDP) of Bone Bolango Regency is still fluctuating, the open unemployment rate is relatively high, and the contribution of the tourism sector to GRDP is not yet optimal (BPS Bone Bolango, 2025). This phenomenon illustrates the dissonance between tourism growth and the improvement of local community welfare. From a regional development perspective, tourism should not only be a consumptive activity, but it should also be able to drive local economic productivity through job creation, increased income, and strengthening the competitiveness of micro, small, and medium enterprises (MSMEs).</w:t>
      </w:r>
    </w:p>
    <w:p w14:paraId="71C30CBD" w14:textId="72E08368" w:rsidR="005E5717" w:rsidRPr="005E5717" w:rsidRDefault="005E5717" w:rsidP="005E5717">
      <w:pPr>
        <w:pStyle w:val="Body"/>
        <w:spacing w:before="240" w:after="0"/>
        <w:rPr>
          <w:rFonts w:ascii="Arial" w:hAnsi="Arial" w:cs="Arial"/>
        </w:rPr>
      </w:pPr>
      <w:r w:rsidRPr="005E5717">
        <w:rPr>
          <w:rFonts w:ascii="Arial" w:hAnsi="Arial" w:cs="Arial"/>
        </w:rPr>
        <w:t xml:space="preserve">To address these challenges, recent studies </w:t>
      </w:r>
      <w:r w:rsidR="00DB3275" w:rsidRPr="00DB0C49">
        <w:rPr>
          <w:rFonts w:ascii="Arial" w:hAnsi="Arial" w:cs="Arial"/>
          <w:highlight w:val="yellow"/>
        </w:rPr>
        <w:t xml:space="preserve">emphasise </w:t>
      </w:r>
      <w:r w:rsidRPr="00DB0C49">
        <w:rPr>
          <w:rFonts w:ascii="Arial" w:hAnsi="Arial" w:cs="Arial"/>
          <w:highlight w:val="yellow"/>
        </w:rPr>
        <w:t>the</w:t>
      </w:r>
      <w:r w:rsidRPr="005E5717">
        <w:rPr>
          <w:rFonts w:ascii="Arial" w:hAnsi="Arial" w:cs="Arial"/>
        </w:rPr>
        <w:t xml:space="preserve"> importance of strengthening the non-physical dimensions of tourism development, particularly through creative economy approaches, the use of digital technology, and collaboration among local actors (Sharpley &amp; Telfer, 2015; </w:t>
      </w:r>
      <w:r w:rsidR="007C221B" w:rsidRPr="007C221B">
        <w:rPr>
          <w:rFonts w:ascii="Arial" w:hAnsi="Arial" w:cs="Arial"/>
        </w:rPr>
        <w:t>Brown</w:t>
      </w:r>
      <w:r w:rsidR="007C221B">
        <w:rPr>
          <w:rFonts w:ascii="Arial" w:hAnsi="Arial" w:cs="Arial"/>
        </w:rPr>
        <w:t xml:space="preserve"> &amp; </w:t>
      </w:r>
      <w:r w:rsidR="007C221B" w:rsidRPr="007C221B">
        <w:rPr>
          <w:rFonts w:ascii="Arial" w:hAnsi="Arial" w:cs="Arial"/>
        </w:rPr>
        <w:t>Hall</w:t>
      </w:r>
      <w:r w:rsidRPr="005E5717">
        <w:rPr>
          <w:rFonts w:ascii="Arial" w:hAnsi="Arial" w:cs="Arial"/>
        </w:rPr>
        <w:t>, 20</w:t>
      </w:r>
      <w:r w:rsidR="007C221B">
        <w:rPr>
          <w:rFonts w:ascii="Arial" w:hAnsi="Arial" w:cs="Arial"/>
        </w:rPr>
        <w:t>08</w:t>
      </w:r>
      <w:r w:rsidRPr="005E5717">
        <w:rPr>
          <w:rFonts w:ascii="Arial" w:hAnsi="Arial" w:cs="Arial"/>
        </w:rPr>
        <w:t>). The creative economy is a form of economic structure transformation based on knowledge, innovation, and creativity that provides high added value. This sector is highly relevant to tourism as it can create products with high cultural value, such as handicrafts, local cuisine, performing arts, and storytelling-based experiences.</w:t>
      </w:r>
      <w:r w:rsidR="004B74C2">
        <w:rPr>
          <w:rFonts w:ascii="Arial" w:hAnsi="Arial" w:cs="Arial"/>
        </w:rPr>
        <w:t xml:space="preserve"> </w:t>
      </w:r>
      <w:r w:rsidR="004B74C2" w:rsidRPr="00DB0C49">
        <w:rPr>
          <w:rFonts w:ascii="Arial" w:hAnsi="Arial" w:cs="Arial"/>
          <w:highlight w:val="yellow"/>
        </w:rPr>
        <w:t>It becomes the principal capital in every economic activity that produces a new industry, which will become the main strength of a creative industry. Tourism has a vital role in increasing a country's foreign exchange and in increasing regional income. As an archipelagic country, Indonesia has abundant natural wealth and a diverse culture, a potential tourist attraction spread throughout Indonesia</w:t>
      </w:r>
      <w:r w:rsidR="004B74C2">
        <w:rPr>
          <w:rFonts w:ascii="Arial" w:hAnsi="Arial" w:cs="Arial"/>
          <w:highlight w:val="yellow"/>
        </w:rPr>
        <w:t xml:space="preserve"> (</w:t>
      </w:r>
      <w:r w:rsidR="0022341E" w:rsidRPr="00EA25D2">
        <w:rPr>
          <w:highlight w:val="yellow"/>
        </w:rPr>
        <w:t>Azhana</w:t>
      </w:r>
      <w:r w:rsidR="0022341E">
        <w:rPr>
          <w:highlight w:val="yellow"/>
        </w:rPr>
        <w:t xml:space="preserve"> et al., 2024</w:t>
      </w:r>
      <w:r w:rsidR="004B74C2">
        <w:rPr>
          <w:rFonts w:ascii="Arial" w:hAnsi="Arial" w:cs="Arial"/>
          <w:highlight w:val="yellow"/>
        </w:rPr>
        <w:t>)</w:t>
      </w:r>
      <w:r w:rsidR="004B74C2" w:rsidRPr="00DB0C49">
        <w:rPr>
          <w:rFonts w:ascii="Arial" w:hAnsi="Arial" w:cs="Arial"/>
          <w:highlight w:val="yellow"/>
        </w:rPr>
        <w:t>.</w:t>
      </w:r>
    </w:p>
    <w:p w14:paraId="62CC9E4D" w14:textId="77777777" w:rsidR="005E5717" w:rsidRPr="005E5717" w:rsidRDefault="005E5717" w:rsidP="005E5717">
      <w:pPr>
        <w:pStyle w:val="Body"/>
        <w:spacing w:before="240" w:after="0"/>
        <w:rPr>
          <w:rFonts w:ascii="Arial" w:hAnsi="Arial" w:cs="Arial"/>
        </w:rPr>
      </w:pPr>
      <w:r w:rsidRPr="005E5717">
        <w:rPr>
          <w:rFonts w:ascii="Arial" w:hAnsi="Arial" w:cs="Arial"/>
        </w:rPr>
        <w:t>Creative economy education plays an important role in improving the capabilities of local human resources. Hanifah et al. (2023) show that creative economy training significantly improves the innovative skills and productivity of MSME actors in the tourism sector. This has a positive impact on the diversification of tourism products and services, as well as strengthening local economic resilience. However, this education needs to be designed contextually according to local needs and characteristics in order to be truly effective.</w:t>
      </w:r>
    </w:p>
    <w:p w14:paraId="5EE1E2B0" w14:textId="77777777" w:rsidR="005E5717" w:rsidRPr="005E5717" w:rsidRDefault="005E5717" w:rsidP="005E5717">
      <w:pPr>
        <w:pStyle w:val="Body"/>
        <w:spacing w:before="240" w:after="0"/>
        <w:rPr>
          <w:rFonts w:ascii="Arial" w:hAnsi="Arial" w:cs="Arial"/>
        </w:rPr>
      </w:pPr>
      <w:r w:rsidRPr="005E5717">
        <w:rPr>
          <w:rFonts w:ascii="Arial" w:hAnsi="Arial" w:cs="Arial"/>
        </w:rPr>
        <w:t xml:space="preserve">Furthermore, the use of digital technology, particularly in the form of digital marketing, has become a key strategy in increasing visibility and market access for tourist destinations. Rivaldi et al. (2024) mention that the use of social media, e-commerce platforms, and </w:t>
      </w:r>
      <w:r w:rsidRPr="005E5717">
        <w:rPr>
          <w:rFonts w:ascii="Arial" w:hAnsi="Arial" w:cs="Arial"/>
        </w:rPr>
        <w:lastRenderedPageBreak/>
        <w:t>location-based information technology can expand the market reach of tourism MSMEs, reduce promotion costs, and enhance the tourist experience in real-time. This digital transformation has become even more relevant in the wake of the COVID-19 pandemic, which has accelerated the adoption of technology in all economic sectors, including tourism.</w:t>
      </w:r>
    </w:p>
    <w:p w14:paraId="1AC2574D" w14:textId="77777777" w:rsidR="005E5717" w:rsidRPr="005E5717" w:rsidRDefault="005E5717" w:rsidP="005E5717">
      <w:pPr>
        <w:pStyle w:val="Body"/>
        <w:spacing w:before="240" w:after="0"/>
        <w:rPr>
          <w:rFonts w:ascii="Arial" w:hAnsi="Arial" w:cs="Arial"/>
        </w:rPr>
      </w:pPr>
      <w:r w:rsidRPr="005E5717">
        <w:rPr>
          <w:rFonts w:ascii="Arial" w:hAnsi="Arial" w:cs="Arial"/>
        </w:rPr>
        <w:t>Another important aspect is collaboration among MSMEs in the tourism ecosystem. In the endogenous development model, local collaboration functions as social capital that strengthens business networks, creates shared added value, and increases bargaining power in the market. Deviantri and Annisa (2022) argue that collaboration among MSME actors can increase production efficiency, expand distribution, and strengthen collective innovation in the destination ecosystem. This collaboration is particularly important in areas with limited resources that depend on the social solidarity of the local community.</w:t>
      </w:r>
    </w:p>
    <w:p w14:paraId="2C9BE4E3" w14:textId="77777777" w:rsidR="005E5717" w:rsidRPr="005E5717" w:rsidRDefault="005E5717" w:rsidP="005E5717">
      <w:pPr>
        <w:pStyle w:val="Body"/>
        <w:spacing w:before="240" w:after="0"/>
        <w:rPr>
          <w:rFonts w:ascii="Arial" w:hAnsi="Arial" w:cs="Arial"/>
        </w:rPr>
      </w:pPr>
      <w:r w:rsidRPr="005E5717">
        <w:rPr>
          <w:rFonts w:ascii="Arial" w:hAnsi="Arial" w:cs="Arial"/>
        </w:rPr>
        <w:t>Although the literature shows the importance of each of these factors in supporting tourism-based economic development, there is a significant research gap. Most studies still examine these variables separately and in the context of urban areas or major destinations. Research that simultaneously examines the relationship between creative economy education, digital marketing, and MSME collaboration within an integrative conceptual framework is still very limited, especially in the context of secondary tourist destinations such as Lake Perintis.</w:t>
      </w:r>
    </w:p>
    <w:p w14:paraId="73A8AFFA" w14:textId="77777777" w:rsidR="005E5717" w:rsidRPr="005E5717" w:rsidRDefault="005E5717" w:rsidP="005E5717">
      <w:pPr>
        <w:pStyle w:val="Body"/>
        <w:spacing w:before="240" w:after="0"/>
        <w:rPr>
          <w:rFonts w:ascii="Arial" w:hAnsi="Arial" w:cs="Arial"/>
        </w:rPr>
      </w:pPr>
      <w:r w:rsidRPr="005E5717">
        <w:rPr>
          <w:rFonts w:ascii="Arial" w:hAnsi="Arial" w:cs="Arial"/>
        </w:rPr>
        <w:t>The urgency of this study is reinforced by the fact that the development of tourist destinations in areas such as Bone Bolango faces multidimensional challenges, ranging from limited infrastructure, minimal local institutional capacity, to low community participation in tourism management. In this context, a holistic and empowerment-based approach is a strategic choice that relies not only on physical development but also on strengthening the local socio-economic ecosystem as a whole. Thus, research is needed to explain how these three variables (creative economy education, digital marketing, and MSME collaboration) are interrelated and together influence tourism-based local economic growth.</w:t>
      </w:r>
    </w:p>
    <w:p w14:paraId="29741005" w14:textId="06B2B1B9" w:rsidR="005E5717" w:rsidRPr="005E5717" w:rsidRDefault="005E5717" w:rsidP="005E5717">
      <w:pPr>
        <w:pStyle w:val="Body"/>
        <w:spacing w:before="240" w:after="0"/>
        <w:rPr>
          <w:rFonts w:ascii="Arial" w:hAnsi="Arial" w:cs="Arial"/>
        </w:rPr>
      </w:pPr>
      <w:r w:rsidRPr="005E5717">
        <w:rPr>
          <w:rFonts w:ascii="Arial" w:hAnsi="Arial" w:cs="Arial"/>
        </w:rPr>
        <w:t xml:space="preserve">This study aims to empirically </w:t>
      </w:r>
      <w:r w:rsidR="00DB3275" w:rsidRPr="00DB0C49">
        <w:rPr>
          <w:rFonts w:ascii="Arial" w:hAnsi="Arial" w:cs="Arial"/>
          <w:highlight w:val="yellow"/>
        </w:rPr>
        <w:t xml:space="preserve">analyse </w:t>
      </w:r>
      <w:r w:rsidRPr="005D73D9">
        <w:rPr>
          <w:rFonts w:ascii="Arial" w:hAnsi="Arial" w:cs="Arial"/>
        </w:rPr>
        <w:t>the relationship between creative economic education, digital marketing, and MSME collaboration</w:t>
      </w:r>
      <w:r w:rsidRPr="005E5717">
        <w:rPr>
          <w:rFonts w:ascii="Arial" w:hAnsi="Arial" w:cs="Arial"/>
        </w:rPr>
        <w:t xml:space="preserve"> on local economic growth in the Lake Perintis tourism area. This study will use a quantitative approach with primary and secondary data collection techniques, as well as multivariate statistical analysis to test the simultaneous and partial effects of each variable.</w:t>
      </w:r>
    </w:p>
    <w:p w14:paraId="64974F94" w14:textId="77777777" w:rsidR="005E5717" w:rsidRPr="005E5717" w:rsidRDefault="005E5717" w:rsidP="005E5717">
      <w:pPr>
        <w:pStyle w:val="Body"/>
        <w:spacing w:before="240" w:after="0"/>
        <w:rPr>
          <w:rFonts w:ascii="Arial" w:hAnsi="Arial" w:cs="Arial"/>
        </w:rPr>
      </w:pPr>
      <w:r w:rsidRPr="005E5717">
        <w:rPr>
          <w:rFonts w:ascii="Arial" w:hAnsi="Arial" w:cs="Arial"/>
        </w:rPr>
        <w:t>The main contributions of this research are divided into two dimensions: academic and practical. In the academic dimension, this study seeks to enrich the literature by offering a new conceptual framework that integrates creative economic education, digital marketing, and SME collaboration in the context of tourism-based local economic development. By adopting an integrative and field data-based approach, this study is expected to address theoretical gaps that have not been widely explored by previous studies, particularly in the context of non-metropolitan areas and secondary tourist destinations.</w:t>
      </w:r>
    </w:p>
    <w:p w14:paraId="1BD4D0B6" w14:textId="37177D67" w:rsidR="00B01FCD" w:rsidRDefault="005E5717" w:rsidP="005E5717">
      <w:pPr>
        <w:pStyle w:val="Body"/>
        <w:spacing w:before="240" w:after="0"/>
        <w:rPr>
          <w:rFonts w:ascii="Arial" w:hAnsi="Arial" w:cs="Arial"/>
        </w:rPr>
      </w:pPr>
      <w:r w:rsidRPr="005E5717">
        <w:rPr>
          <w:rFonts w:ascii="Arial" w:hAnsi="Arial" w:cs="Arial"/>
        </w:rPr>
        <w:t xml:space="preserve">Meanwhile, in the practical dimension, the results of this study can be used as a basis for formulating regional tourism development policies that are more contextual and based on local needs. Local governments, tourism industry players, and MSME communities can use the findings of this research to design creative economy training programs, build efficient digital marketing systems, and facilitate collaborative models between small businesses in an inclusive and sustainable tourism ecosystem. In addition, the results of this study can also be a reference for donor agencies and non-governmental </w:t>
      </w:r>
      <w:r w:rsidR="00DB3275" w:rsidRPr="00DB0C49">
        <w:rPr>
          <w:rFonts w:ascii="Arial" w:hAnsi="Arial" w:cs="Arial"/>
          <w:highlight w:val="yellow"/>
        </w:rPr>
        <w:t xml:space="preserve">organisations </w:t>
      </w:r>
      <w:r w:rsidRPr="00DB0C49">
        <w:rPr>
          <w:rFonts w:ascii="Arial" w:hAnsi="Arial" w:cs="Arial"/>
          <w:highlight w:val="yellow"/>
        </w:rPr>
        <w:t>in</w:t>
      </w:r>
      <w:r w:rsidRPr="005E5717">
        <w:rPr>
          <w:rFonts w:ascii="Arial" w:hAnsi="Arial" w:cs="Arial"/>
        </w:rPr>
        <w:t xml:space="preserve"> designing community empowerment-based development interventions.</w:t>
      </w:r>
    </w:p>
    <w:p w14:paraId="4E5797D4" w14:textId="77777777" w:rsidR="00790ADA" w:rsidRPr="00FB3A86" w:rsidRDefault="00790ADA" w:rsidP="00441B6F">
      <w:pPr>
        <w:pStyle w:val="Body"/>
        <w:spacing w:after="0"/>
        <w:rPr>
          <w:rFonts w:ascii="Arial" w:hAnsi="Arial" w:cs="Arial"/>
        </w:rPr>
      </w:pPr>
    </w:p>
    <w:p w14:paraId="11688552"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71CF6471" w14:textId="77777777" w:rsidR="005E5717" w:rsidRPr="005E5717" w:rsidRDefault="006B57D0" w:rsidP="005E5717">
      <w:pPr>
        <w:pStyle w:val="Body"/>
        <w:spacing w:before="240"/>
        <w:rPr>
          <w:rFonts w:ascii="Arial" w:hAnsi="Arial" w:cs="Arial"/>
        </w:rPr>
      </w:pPr>
      <w:r>
        <w:rPr>
          <w:rFonts w:ascii="Arial" w:hAnsi="Arial" w:cs="Arial"/>
        </w:rPr>
        <w:t>[</w:t>
      </w:r>
      <w:r w:rsidR="005E5717" w:rsidRPr="005E5717">
        <w:rPr>
          <w:rFonts w:ascii="Arial" w:hAnsi="Arial" w:cs="Arial"/>
          <w:b/>
          <w:sz w:val="22"/>
        </w:rPr>
        <w:t>2.1 Research Location and Time</w:t>
      </w:r>
      <w:r w:rsidR="005E5717" w:rsidRPr="005E5717">
        <w:rPr>
          <w:rFonts w:ascii="Arial" w:hAnsi="Arial" w:cs="Arial"/>
          <w:sz w:val="22"/>
        </w:rPr>
        <w:t xml:space="preserve">  </w:t>
      </w:r>
    </w:p>
    <w:p w14:paraId="3C4D3218" w14:textId="77777777" w:rsidR="005E5717" w:rsidRPr="005E5717" w:rsidRDefault="005E5717" w:rsidP="005E5717">
      <w:pPr>
        <w:pStyle w:val="Body"/>
        <w:spacing w:before="240" w:after="0"/>
        <w:rPr>
          <w:rFonts w:ascii="Arial" w:hAnsi="Arial" w:cs="Arial"/>
        </w:rPr>
      </w:pPr>
      <w:r w:rsidRPr="005E5717">
        <w:rPr>
          <w:rFonts w:ascii="Arial" w:hAnsi="Arial" w:cs="Arial"/>
        </w:rPr>
        <w:t>This research was conducted in the Perintis Lake tourist area, located in Huluduotama Village, Suwawa District, Bone Bolango Regency, Gorontalo Province. This location was chosen based on academic and practical considerations, namely its direct relevance to the research object, ease of access to information, and its relevance to the issue of local tourism-based economic development. This area has a high concentration of micro, small, and medium enterprises (MSMEs) engaged in the culinary sector, tourism services, transportation, and various forms of creative businesses that support tourism activities. The research was conducted from January to May 2025.</w:t>
      </w:r>
    </w:p>
    <w:p w14:paraId="7887A40C" w14:textId="77777777" w:rsidR="005E5717" w:rsidRPr="005E5717" w:rsidRDefault="005E5717" w:rsidP="005E5717">
      <w:pPr>
        <w:pStyle w:val="Body"/>
        <w:spacing w:before="240" w:after="0"/>
        <w:rPr>
          <w:rFonts w:ascii="Arial" w:hAnsi="Arial" w:cs="Arial"/>
          <w:b/>
          <w:sz w:val="22"/>
          <w:szCs w:val="22"/>
        </w:rPr>
      </w:pPr>
      <w:r w:rsidRPr="005E5717">
        <w:rPr>
          <w:rFonts w:ascii="Arial" w:hAnsi="Arial" w:cs="Arial"/>
          <w:b/>
          <w:sz w:val="22"/>
          <w:szCs w:val="22"/>
        </w:rPr>
        <w:t xml:space="preserve">2.2 Research Design </w:t>
      </w:r>
    </w:p>
    <w:p w14:paraId="06AD5EB1" w14:textId="1B32A3E0" w:rsidR="005E5717" w:rsidRPr="005E5717" w:rsidRDefault="005E5717" w:rsidP="005E5717">
      <w:pPr>
        <w:pStyle w:val="Body"/>
        <w:spacing w:before="240" w:after="0"/>
        <w:rPr>
          <w:rFonts w:ascii="Arial" w:hAnsi="Arial" w:cs="Arial"/>
        </w:rPr>
      </w:pPr>
      <w:r w:rsidRPr="005E5717">
        <w:rPr>
          <w:rFonts w:ascii="Arial" w:hAnsi="Arial" w:cs="Arial"/>
        </w:rPr>
        <w:t xml:space="preserve">This study uses a quantitative approach with a survey design. This design was chosen because it is able to provide an empirical description of the causal relationship between the variables studied. The independent variables consist of Creative Economy Education (X1), Digital Marketing (X2), and MSME Collaboration (X3), while the dependent variable is Local Economic Growth (Y). Through a quantitative approach, testing was carried out objectively using </w:t>
      </w:r>
      <w:r w:rsidR="00DB3275" w:rsidRPr="00DB0C49">
        <w:rPr>
          <w:rFonts w:ascii="Arial" w:hAnsi="Arial" w:cs="Arial"/>
          <w:highlight w:val="yellow"/>
        </w:rPr>
        <w:t xml:space="preserve">standardised </w:t>
      </w:r>
      <w:r w:rsidRPr="00DB0C49">
        <w:rPr>
          <w:rFonts w:ascii="Arial" w:hAnsi="Arial" w:cs="Arial"/>
          <w:highlight w:val="yellow"/>
        </w:rPr>
        <w:t>instruments</w:t>
      </w:r>
      <w:r w:rsidRPr="005E5717">
        <w:rPr>
          <w:rFonts w:ascii="Arial" w:hAnsi="Arial" w:cs="Arial"/>
        </w:rPr>
        <w:t xml:space="preserve"> so that the results obtained could be tested for validity and reliability (Sugiyono, 2018; Gulo et al., 2020). </w:t>
      </w:r>
    </w:p>
    <w:p w14:paraId="4416695E" w14:textId="77777777" w:rsidR="005E5717" w:rsidRPr="005E5717" w:rsidRDefault="005E5717" w:rsidP="005E5717">
      <w:pPr>
        <w:pStyle w:val="Body"/>
        <w:spacing w:before="240" w:after="0"/>
        <w:rPr>
          <w:rFonts w:ascii="Arial" w:hAnsi="Arial" w:cs="Arial"/>
        </w:rPr>
      </w:pPr>
    </w:p>
    <w:p w14:paraId="2AD5166A" w14:textId="77777777" w:rsidR="005E5717" w:rsidRPr="005E5717" w:rsidRDefault="005E5717" w:rsidP="005E5717">
      <w:pPr>
        <w:pStyle w:val="Body"/>
        <w:spacing w:before="240" w:after="0"/>
        <w:rPr>
          <w:rFonts w:ascii="Arial" w:hAnsi="Arial" w:cs="Arial"/>
          <w:b/>
          <w:sz w:val="22"/>
        </w:rPr>
      </w:pPr>
      <w:r w:rsidRPr="005E5717">
        <w:rPr>
          <w:rFonts w:ascii="Arial" w:hAnsi="Arial" w:cs="Arial"/>
          <w:b/>
          <w:sz w:val="22"/>
        </w:rPr>
        <w:t xml:space="preserve">2.3 Population and Sample </w:t>
      </w:r>
    </w:p>
    <w:p w14:paraId="4BC99D20" w14:textId="38C9A2AF" w:rsidR="005E5717" w:rsidRPr="005E5717" w:rsidRDefault="005E5717" w:rsidP="005E5717">
      <w:pPr>
        <w:pStyle w:val="Body"/>
        <w:spacing w:before="240" w:after="0"/>
        <w:rPr>
          <w:rFonts w:ascii="Arial" w:hAnsi="Arial" w:cs="Arial"/>
        </w:rPr>
      </w:pPr>
      <w:r w:rsidRPr="005E5717">
        <w:rPr>
          <w:rFonts w:ascii="Arial" w:hAnsi="Arial" w:cs="Arial"/>
        </w:rPr>
        <w:t>The research population consisted of all MSMEs operating in the Perintis Lake tourist area, which numbered 100 business units, including kiosks, restaurants, food booths, tourist transportation rentals, photography service providers, and cottage and recreational equipment rentals. This population was chosen because MSMEs play a strategic role in driving the local economy, both through their contribution to the Regional Domestic Product (RDP) and job creation (</w:t>
      </w:r>
      <w:r w:rsidR="00C5241F" w:rsidRPr="00C5241F">
        <w:rPr>
          <w:rFonts w:ascii="Arial" w:hAnsi="Arial" w:cs="Arial"/>
        </w:rPr>
        <w:t>Gobbi</w:t>
      </w:r>
      <w:r w:rsidRPr="005E5717">
        <w:rPr>
          <w:rFonts w:ascii="Arial" w:hAnsi="Arial" w:cs="Arial"/>
        </w:rPr>
        <w:t>, 20</w:t>
      </w:r>
      <w:r w:rsidR="00C5241F">
        <w:rPr>
          <w:rFonts w:ascii="Arial" w:hAnsi="Arial" w:cs="Arial"/>
        </w:rPr>
        <w:t>07</w:t>
      </w:r>
      <w:r w:rsidRPr="005E5717">
        <w:rPr>
          <w:rFonts w:ascii="Arial" w:hAnsi="Arial" w:cs="Arial"/>
        </w:rPr>
        <w:t xml:space="preserve">).  </w:t>
      </w:r>
    </w:p>
    <w:p w14:paraId="109DAC72" w14:textId="280F93C3" w:rsidR="005E5717" w:rsidRDefault="005E5717" w:rsidP="005E5717">
      <w:pPr>
        <w:pStyle w:val="Body"/>
        <w:spacing w:before="240" w:after="0"/>
        <w:rPr>
          <w:rFonts w:ascii="Arial" w:hAnsi="Arial" w:cs="Arial"/>
        </w:rPr>
      </w:pPr>
      <w:r w:rsidRPr="005E5717">
        <w:rPr>
          <w:rFonts w:ascii="Arial" w:hAnsi="Arial" w:cs="Arial"/>
        </w:rPr>
        <w:t xml:space="preserve">The sampling technique used </w:t>
      </w:r>
      <w:r w:rsidR="00DB3275" w:rsidRPr="00DB0C49">
        <w:rPr>
          <w:rFonts w:ascii="Arial" w:hAnsi="Arial" w:cs="Arial"/>
          <w:highlight w:val="yellow"/>
        </w:rPr>
        <w:t xml:space="preserve">was </w:t>
      </w:r>
      <w:r w:rsidRPr="00DB0C49">
        <w:rPr>
          <w:rFonts w:ascii="Arial" w:hAnsi="Arial" w:cs="Arial"/>
          <w:highlight w:val="yellow"/>
        </w:rPr>
        <w:t>probability</w:t>
      </w:r>
      <w:r w:rsidRPr="005E5717">
        <w:rPr>
          <w:rFonts w:ascii="Arial" w:hAnsi="Arial" w:cs="Arial"/>
        </w:rPr>
        <w:t xml:space="preserve"> sampling, which is a technique that gives every member of the population an equal chance of being selected as a respondent (Arikunto, 2019). In this study, the entire population of 100 business units was used as the research sample. Thus, the data obtained is expected to be representative of the actual conditions in the field.  </w:t>
      </w:r>
    </w:p>
    <w:p w14:paraId="0BED4066" w14:textId="77777777" w:rsidR="005E5717" w:rsidRPr="005E5717" w:rsidRDefault="005E5717" w:rsidP="005E5717">
      <w:pPr>
        <w:pStyle w:val="Body"/>
        <w:spacing w:before="240" w:after="0"/>
        <w:rPr>
          <w:rFonts w:ascii="Arial" w:hAnsi="Arial" w:cs="Arial"/>
          <w:b/>
          <w:sz w:val="22"/>
        </w:rPr>
      </w:pPr>
      <w:r>
        <w:rPr>
          <w:rFonts w:ascii="Arial" w:hAnsi="Arial" w:cs="Arial"/>
          <w:b/>
          <w:sz w:val="22"/>
        </w:rPr>
        <w:t xml:space="preserve">2.4 </w:t>
      </w:r>
      <w:r w:rsidRPr="005E5717">
        <w:rPr>
          <w:rFonts w:ascii="Arial" w:hAnsi="Arial" w:cs="Arial"/>
          <w:b/>
          <w:sz w:val="22"/>
        </w:rPr>
        <w:t xml:space="preserve">Data Collection Techniques  </w:t>
      </w:r>
    </w:p>
    <w:p w14:paraId="27CC3843" w14:textId="77777777" w:rsidR="005E5717" w:rsidRPr="005E5717" w:rsidRDefault="005E5717" w:rsidP="005E5717">
      <w:pPr>
        <w:pStyle w:val="Body"/>
        <w:spacing w:before="240" w:after="0"/>
        <w:rPr>
          <w:rFonts w:ascii="Arial" w:hAnsi="Arial" w:cs="Arial"/>
        </w:rPr>
      </w:pPr>
      <w:r w:rsidRPr="005E5717">
        <w:rPr>
          <w:rFonts w:ascii="Arial" w:hAnsi="Arial" w:cs="Arial"/>
        </w:rPr>
        <w:t>Data collection was carried out using three main techniques:</w:t>
      </w:r>
    </w:p>
    <w:p w14:paraId="60972673" w14:textId="1BE9B241"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t>Direct observation, which is field observation of MSME activities in relation to creative economic education, the application of digital marketing strategies, and forms of collaboration between business actors. This observation helps researchers understand the dynamics of socio-economic interactions that take place in tourist areas (</w:t>
      </w:r>
      <w:r w:rsidR="00C5241F" w:rsidRPr="00C5241F">
        <w:rPr>
          <w:rFonts w:ascii="Arial" w:hAnsi="Arial" w:cs="Arial"/>
        </w:rPr>
        <w:t>Tsuladze</w:t>
      </w:r>
      <w:r w:rsidRPr="005E5717">
        <w:rPr>
          <w:rFonts w:ascii="Arial" w:hAnsi="Arial" w:cs="Arial"/>
        </w:rPr>
        <w:t>, 20</w:t>
      </w:r>
      <w:r w:rsidR="00C5241F">
        <w:rPr>
          <w:rFonts w:ascii="Arial" w:hAnsi="Arial" w:cs="Arial"/>
        </w:rPr>
        <w:t>08</w:t>
      </w:r>
      <w:r w:rsidRPr="005E5717">
        <w:rPr>
          <w:rFonts w:ascii="Arial" w:hAnsi="Arial" w:cs="Arial"/>
        </w:rPr>
        <w:t xml:space="preserve">).  </w:t>
      </w:r>
    </w:p>
    <w:p w14:paraId="21AAE7E4" w14:textId="77777777" w:rsidR="005E5717" w:rsidRPr="005E5717" w:rsidRDefault="005E5717" w:rsidP="005E5717">
      <w:pPr>
        <w:pStyle w:val="Body"/>
        <w:spacing w:before="240" w:after="0"/>
        <w:rPr>
          <w:rFonts w:ascii="Arial" w:hAnsi="Arial" w:cs="Arial"/>
        </w:rPr>
      </w:pPr>
    </w:p>
    <w:p w14:paraId="348ECEB3" w14:textId="5412082A"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lastRenderedPageBreak/>
        <w:t>Questionnaires, which were compiled in the form of closed questions with a five-point Likert scale, ranging from “strongly agree” (score 5) to “strongly disagree” (score 1). The questionnaire was distributed to respondents using the Google Form platform to facilitate efficient and structured data collection (</w:t>
      </w:r>
      <w:r w:rsidR="007C221B" w:rsidRPr="007C221B">
        <w:rPr>
          <w:rFonts w:ascii="Arial" w:hAnsi="Arial" w:cs="Arial"/>
        </w:rPr>
        <w:t>Sadan</w:t>
      </w:r>
      <w:r w:rsidRPr="005E5717">
        <w:rPr>
          <w:rFonts w:ascii="Arial" w:hAnsi="Arial" w:cs="Arial"/>
        </w:rPr>
        <w:t>, 20</w:t>
      </w:r>
      <w:r w:rsidR="007C221B">
        <w:rPr>
          <w:rFonts w:ascii="Arial" w:hAnsi="Arial" w:cs="Arial"/>
        </w:rPr>
        <w:t>17</w:t>
      </w:r>
      <w:r w:rsidRPr="005E5717">
        <w:rPr>
          <w:rFonts w:ascii="Arial" w:hAnsi="Arial" w:cs="Arial"/>
        </w:rPr>
        <w:t>).</w:t>
      </w:r>
    </w:p>
    <w:p w14:paraId="659C7DB2" w14:textId="5561CAD4" w:rsidR="00580A0F" w:rsidRPr="005E5717" w:rsidRDefault="00A61044" w:rsidP="005E5717">
      <w:pPr>
        <w:pStyle w:val="Body"/>
        <w:numPr>
          <w:ilvl w:val="0"/>
          <w:numId w:val="33"/>
        </w:numPr>
        <w:spacing w:before="240" w:after="0"/>
        <w:rPr>
          <w:rFonts w:ascii="Arial" w:hAnsi="Arial" w:cs="Arial"/>
        </w:rPr>
      </w:pPr>
      <w:r w:rsidRPr="005E5717">
        <w:rPr>
          <w:rFonts w:ascii="Arial" w:hAnsi="Arial" w:cs="Arial"/>
        </w:rPr>
        <w:t>Documentation, in the form of secondary data collection through literature, statistical reports, local government archives, and visual evidence from research activities. Secondary data was used to supplement and compare the primary findings obtained through observation and questionnaires (</w:t>
      </w:r>
      <w:r w:rsidR="00665CAC" w:rsidRPr="00665CAC">
        <w:rPr>
          <w:rFonts w:ascii="Arial" w:hAnsi="Arial" w:cs="Arial"/>
        </w:rPr>
        <w:t>Saharan</w:t>
      </w:r>
      <w:r w:rsidR="00665CAC">
        <w:rPr>
          <w:rFonts w:ascii="Arial" w:hAnsi="Arial" w:cs="Arial"/>
        </w:rPr>
        <w:t xml:space="preserve"> et al.</w:t>
      </w:r>
      <w:r w:rsidRPr="005E5717">
        <w:rPr>
          <w:rFonts w:ascii="Arial" w:hAnsi="Arial" w:cs="Arial"/>
        </w:rPr>
        <w:t>, 202</w:t>
      </w:r>
      <w:r w:rsidR="00665CAC">
        <w:rPr>
          <w:rFonts w:ascii="Arial" w:hAnsi="Arial" w:cs="Arial"/>
        </w:rPr>
        <w:t>4</w:t>
      </w:r>
      <w:r w:rsidR="00C5241F">
        <w:rPr>
          <w:rFonts w:ascii="Arial" w:hAnsi="Arial" w:cs="Arial"/>
        </w:rPr>
        <w:t>)</w:t>
      </w:r>
    </w:p>
    <w:p w14:paraId="3F8EF93E" w14:textId="00C5787C" w:rsidR="005E5717" w:rsidRPr="005E5717" w:rsidRDefault="005E5717" w:rsidP="005E5717">
      <w:pPr>
        <w:pStyle w:val="Body"/>
        <w:spacing w:before="240" w:after="0"/>
        <w:rPr>
          <w:rFonts w:ascii="Arial" w:hAnsi="Arial" w:cs="Arial"/>
        </w:rPr>
      </w:pPr>
      <w:r w:rsidRPr="005E5717">
        <w:rPr>
          <w:rFonts w:ascii="Arial" w:hAnsi="Arial" w:cs="Arial"/>
        </w:rPr>
        <w:t xml:space="preserve">Data Analysis </w:t>
      </w:r>
      <w:r w:rsidR="00DB3275" w:rsidRPr="00DB0C49">
        <w:rPr>
          <w:rFonts w:ascii="Arial" w:hAnsi="Arial" w:cs="Arial"/>
          <w:highlight w:val="yellow"/>
        </w:rPr>
        <w:t xml:space="preserve">Techniques: </w:t>
      </w:r>
      <w:r w:rsidRPr="00DB0C49">
        <w:rPr>
          <w:rFonts w:ascii="Arial" w:hAnsi="Arial" w:cs="Arial"/>
          <w:highlight w:val="yellow"/>
        </w:rPr>
        <w:t>Data</w:t>
      </w:r>
      <w:r w:rsidRPr="005E5717">
        <w:rPr>
          <w:rFonts w:ascii="Arial" w:hAnsi="Arial" w:cs="Arial"/>
        </w:rPr>
        <w:t xml:space="preserve"> analysis was performed using SPSS version 20 software with the following steps: </w:t>
      </w:r>
    </w:p>
    <w:p w14:paraId="6AFCA8B8" w14:textId="04981FF7" w:rsidR="00580A0F" w:rsidRPr="005E5717" w:rsidRDefault="00A61044" w:rsidP="005E5717">
      <w:pPr>
        <w:pStyle w:val="Body"/>
        <w:numPr>
          <w:ilvl w:val="0"/>
          <w:numId w:val="34"/>
        </w:numPr>
        <w:spacing w:before="240" w:after="0"/>
        <w:rPr>
          <w:rFonts w:ascii="Arial" w:hAnsi="Arial" w:cs="Arial"/>
        </w:rPr>
      </w:pPr>
      <w:r w:rsidRPr="005E5717">
        <w:rPr>
          <w:rFonts w:ascii="Arial" w:hAnsi="Arial" w:cs="Arial"/>
        </w:rPr>
        <w:t xml:space="preserve">Instrument Test: Instrument validity was tested using Pearson's </w:t>
      </w:r>
      <w:r w:rsidR="00DB3275" w:rsidRPr="00DB0C49">
        <w:rPr>
          <w:rFonts w:ascii="Arial" w:hAnsi="Arial" w:cs="Arial"/>
          <w:highlight w:val="yellow"/>
        </w:rPr>
        <w:t>product-moment</w:t>
      </w:r>
      <w:r w:rsidRPr="00DB0C49">
        <w:rPr>
          <w:rFonts w:ascii="Arial" w:hAnsi="Arial" w:cs="Arial"/>
          <w:highlight w:val="yellow"/>
        </w:rPr>
        <w:t xml:space="preserve"> correlation</w:t>
      </w:r>
      <w:r w:rsidRPr="005E5717">
        <w:rPr>
          <w:rFonts w:ascii="Arial" w:hAnsi="Arial" w:cs="Arial"/>
        </w:rPr>
        <w:t xml:space="preserve"> with a significance level of 5%. Instrument reliability was tested using Cronbach's Alpha coefficient, with a reliability criterion of α &gt; 0.6 (Loindong et al., 2023).  </w:t>
      </w:r>
    </w:p>
    <w:p w14:paraId="79E19BF1" w14:textId="77777777" w:rsidR="00580A0F" w:rsidRPr="005E5717" w:rsidRDefault="00A61044" w:rsidP="005E5717">
      <w:pPr>
        <w:pStyle w:val="Body"/>
        <w:numPr>
          <w:ilvl w:val="0"/>
          <w:numId w:val="34"/>
        </w:numPr>
        <w:spacing w:before="240" w:after="0"/>
        <w:rPr>
          <w:rFonts w:ascii="Arial" w:hAnsi="Arial" w:cs="Arial"/>
        </w:rPr>
      </w:pPr>
      <w:r w:rsidRPr="005E5717">
        <w:rPr>
          <w:rFonts w:ascii="Arial" w:hAnsi="Arial" w:cs="Arial"/>
        </w:rPr>
        <w:t>Classical Assumption Test: This included a normality test using Kolmogorov-Smirnov, a multicollinearity test through the Variance Inflation Factor (VIF &lt; 10), and a heteroscedasticity test to ensure the homogeneity of the residual variance (Ghozali, 2018).  3. Multiple Linear Regression Analysis: Used to test the effect of independent variables on dependent variables. The regression model used is:</w:t>
      </w:r>
    </w:p>
    <w:p w14:paraId="5F286B8D" w14:textId="77777777" w:rsidR="005E5717" w:rsidRDefault="005E5717" w:rsidP="005E5717"/>
    <w:p w14:paraId="2CB2FBEE" w14:textId="77777777" w:rsidR="005E5717" w:rsidRDefault="005E5717" w:rsidP="005E5717">
      <w:pPr>
        <w:spacing w:after="240"/>
        <w:ind w:left="709"/>
      </w:pPr>
      <w:r>
        <w:t>Ŷ = a + b1X1 + b2X2 + b3X3 + ε</w:t>
      </w:r>
    </w:p>
    <w:p w14:paraId="6977AF07" w14:textId="77777777" w:rsidR="005E5717" w:rsidRDefault="005E5717" w:rsidP="005E5717">
      <w:pPr>
        <w:ind w:left="709"/>
      </w:pPr>
      <w:r>
        <w:t xml:space="preserve">Explanation: Ŷ = Local Economic Growth; X1 = Creative Economy Education; X2 = Digital Marketing; X3 = MSME Collaboration; a = constant; b1–b3 = regression coefficients; ε = error.  </w:t>
      </w:r>
    </w:p>
    <w:p w14:paraId="2F828A04" w14:textId="77777777" w:rsidR="005E5717" w:rsidRPr="005E5717" w:rsidRDefault="005E5717" w:rsidP="005E5717">
      <w:pPr>
        <w:pStyle w:val="Body"/>
        <w:spacing w:before="240" w:after="0"/>
        <w:rPr>
          <w:rFonts w:ascii="Arial" w:hAnsi="Arial" w:cs="Arial"/>
        </w:rPr>
      </w:pPr>
      <w:r w:rsidRPr="005E5717">
        <w:rPr>
          <w:rFonts w:ascii="Arial" w:hAnsi="Arial" w:cs="Arial"/>
        </w:rPr>
        <w:t>Hypothesis Testing:</w:t>
      </w:r>
    </w:p>
    <w:p w14:paraId="3DF59990" w14:textId="77777777" w:rsidR="00580A0F" w:rsidRPr="005E5717" w:rsidRDefault="00A61044" w:rsidP="005E5717">
      <w:pPr>
        <w:pStyle w:val="Body"/>
        <w:numPr>
          <w:ilvl w:val="0"/>
          <w:numId w:val="35"/>
        </w:numPr>
        <w:spacing w:after="0"/>
        <w:rPr>
          <w:rFonts w:ascii="Arial" w:hAnsi="Arial" w:cs="Arial"/>
        </w:rPr>
      </w:pPr>
      <w:r w:rsidRPr="005E5717">
        <w:rPr>
          <w:rFonts w:ascii="Arial" w:hAnsi="Arial" w:cs="Arial"/>
        </w:rPr>
        <w:t>The Coefficient of Determination (R²) is used to assess the extent to which the variation in the dependent variable can be explained by the independent variables.</w:t>
      </w:r>
    </w:p>
    <w:p w14:paraId="1211088D" w14:textId="77777777" w:rsidR="00580A0F" w:rsidRPr="005E5717" w:rsidRDefault="00A61044" w:rsidP="005E5717">
      <w:pPr>
        <w:pStyle w:val="Body"/>
        <w:numPr>
          <w:ilvl w:val="0"/>
          <w:numId w:val="35"/>
        </w:numPr>
        <w:spacing w:after="0"/>
        <w:rPr>
          <w:rFonts w:ascii="Arial" w:hAnsi="Arial" w:cs="Arial"/>
        </w:rPr>
      </w:pPr>
      <w:r w:rsidRPr="005E5717">
        <w:rPr>
          <w:rFonts w:ascii="Arial" w:hAnsi="Arial" w:cs="Arial"/>
        </w:rPr>
        <w:t xml:space="preserve">The F-test is performed to determine the simultaneous effect of all independent variables on the dependent variable. </w:t>
      </w:r>
    </w:p>
    <w:p w14:paraId="3281B788" w14:textId="0D185AE9" w:rsidR="005E5717" w:rsidRPr="005E5717" w:rsidRDefault="00A61044" w:rsidP="005E5717">
      <w:pPr>
        <w:pStyle w:val="Body"/>
        <w:numPr>
          <w:ilvl w:val="0"/>
          <w:numId w:val="35"/>
        </w:numPr>
        <w:spacing w:after="0"/>
        <w:rPr>
          <w:rFonts w:ascii="Arial" w:hAnsi="Arial" w:cs="Arial"/>
        </w:rPr>
      </w:pPr>
      <w:r w:rsidRPr="005E5717">
        <w:rPr>
          <w:rFonts w:ascii="Arial" w:hAnsi="Arial" w:cs="Arial"/>
        </w:rPr>
        <w:t>The t-test is used to test the partial effect of each independent variable on local economic growth at a significance level of 5% (</w:t>
      </w:r>
      <w:r w:rsidR="00C5241F" w:rsidRPr="00C5241F">
        <w:rPr>
          <w:rFonts w:ascii="Arial" w:hAnsi="Arial" w:cs="Arial"/>
        </w:rPr>
        <w:t>Gordo</w:t>
      </w:r>
      <w:r w:rsidR="00C5241F">
        <w:rPr>
          <w:rFonts w:ascii="Arial" w:hAnsi="Arial" w:cs="Arial"/>
        </w:rPr>
        <w:t>n</w:t>
      </w:r>
      <w:r w:rsidRPr="005E5717">
        <w:rPr>
          <w:rFonts w:ascii="Arial" w:hAnsi="Arial" w:cs="Arial"/>
        </w:rPr>
        <w:t>, 202</w:t>
      </w:r>
      <w:r w:rsidR="00C5241F">
        <w:rPr>
          <w:rFonts w:ascii="Arial" w:hAnsi="Arial" w:cs="Arial"/>
        </w:rPr>
        <w:t>3</w:t>
      </w:r>
      <w:r w:rsidRPr="005E5717">
        <w:rPr>
          <w:rFonts w:ascii="Arial" w:hAnsi="Arial" w:cs="Arial"/>
        </w:rPr>
        <w:t xml:space="preserve">).  </w:t>
      </w:r>
    </w:p>
    <w:p w14:paraId="356A99A0" w14:textId="77777777" w:rsidR="00AA74E0" w:rsidRDefault="00AA74E0" w:rsidP="00441B6F">
      <w:pPr>
        <w:pStyle w:val="Body"/>
        <w:spacing w:after="0"/>
        <w:rPr>
          <w:rFonts w:ascii="Arial" w:hAnsi="Arial" w:cs="Arial"/>
        </w:rPr>
      </w:pPr>
      <w:r>
        <w:rPr>
          <w:rFonts w:ascii="Arial" w:hAnsi="Arial" w:cs="Arial"/>
        </w:rPr>
        <w:t>]</w:t>
      </w:r>
      <w:r w:rsidRPr="00FB3A86">
        <w:rPr>
          <w:rFonts w:ascii="Arial" w:hAnsi="Arial" w:cs="Arial"/>
        </w:rPr>
        <w:t xml:space="preserve">  </w:t>
      </w:r>
    </w:p>
    <w:p w14:paraId="559451F6" w14:textId="77777777" w:rsidR="00790ADA" w:rsidRPr="00FB3A86" w:rsidRDefault="00790ADA" w:rsidP="00441B6F">
      <w:pPr>
        <w:pStyle w:val="Body"/>
        <w:spacing w:after="0"/>
        <w:rPr>
          <w:rFonts w:ascii="Arial" w:hAnsi="Arial" w:cs="Arial"/>
        </w:rPr>
      </w:pPr>
    </w:p>
    <w:p w14:paraId="3619251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B1555F" w14:textId="77777777" w:rsidR="00790ADA" w:rsidRPr="00FB3A86" w:rsidRDefault="00790ADA" w:rsidP="00441B6F">
      <w:pPr>
        <w:pStyle w:val="Head1"/>
        <w:spacing w:after="0"/>
        <w:jc w:val="both"/>
        <w:rPr>
          <w:rFonts w:ascii="Arial" w:hAnsi="Arial" w:cs="Arial"/>
        </w:rPr>
      </w:pPr>
    </w:p>
    <w:p w14:paraId="1725122E" w14:textId="29688093" w:rsidR="00D2233C" w:rsidRDefault="00DB3275" w:rsidP="00441B6F">
      <w:pPr>
        <w:pStyle w:val="Body"/>
        <w:spacing w:after="0"/>
        <w:rPr>
          <w:rFonts w:ascii="Arial" w:hAnsi="Arial" w:cs="Arial"/>
        </w:rPr>
      </w:pPr>
      <w:bookmarkStart w:id="0" w:name="_GoBack"/>
      <w:r w:rsidRPr="00DB0C49">
        <w:rPr>
          <w:rFonts w:ascii="Arial" w:hAnsi="Arial" w:cs="Arial"/>
          <w:b/>
          <w:bCs/>
        </w:rPr>
        <w:t>Table</w:t>
      </w:r>
      <w:bookmarkEnd w:id="0"/>
      <w:r w:rsidR="00342B1D" w:rsidRPr="00DB0C49">
        <w:rPr>
          <w:rFonts w:ascii="Arial" w:hAnsi="Arial" w:cs="Arial"/>
          <w:b/>
          <w:bCs/>
        </w:rPr>
        <w:t xml:space="preserve"> 1.</w:t>
      </w:r>
      <w:r w:rsidR="00342B1D">
        <w:rPr>
          <w:rFonts w:ascii="Arial" w:hAnsi="Arial" w:cs="Arial"/>
        </w:rPr>
        <w:t xml:space="preserve"> </w:t>
      </w:r>
      <w:r w:rsidR="00D2233C" w:rsidRPr="00D2233C">
        <w:rPr>
          <w:rFonts w:ascii="Arial" w:hAnsi="Arial" w:cs="Arial"/>
          <w:b/>
          <w:sz w:val="22"/>
        </w:rPr>
        <w:t xml:space="preserve"> </w:t>
      </w:r>
      <w:r w:rsidR="00C5241F" w:rsidRPr="00C5241F">
        <w:rPr>
          <w:rFonts w:ascii="Arial" w:hAnsi="Arial" w:cs="Arial"/>
          <w:b/>
          <w:sz w:val="22"/>
        </w:rPr>
        <w:t>The results of multiple linear regression</w:t>
      </w:r>
      <w:r w:rsidR="00C5241F">
        <w:rPr>
          <w:rFonts w:ascii="Arial" w:hAnsi="Arial" w:cs="Arial"/>
          <w:b/>
          <w:sz w:val="22"/>
        </w:rPr>
        <w:t xml:space="preserve"> analysis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72"/>
        <w:gridCol w:w="1428"/>
        <w:gridCol w:w="942"/>
        <w:gridCol w:w="717"/>
        <w:gridCol w:w="863"/>
        <w:gridCol w:w="717"/>
        <w:gridCol w:w="1385"/>
      </w:tblGrid>
      <w:tr w:rsidR="00D2233C" w:rsidRPr="00D2233C" w14:paraId="6E414C92" w14:textId="77777777" w:rsidTr="00D2233C">
        <w:tc>
          <w:tcPr>
            <w:tcW w:w="0" w:type="auto"/>
            <w:hideMark/>
          </w:tcPr>
          <w:p w14:paraId="04371B26" w14:textId="09606AEA"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Variables</w:t>
            </w:r>
          </w:p>
        </w:tc>
        <w:tc>
          <w:tcPr>
            <w:tcW w:w="0" w:type="auto"/>
            <w:hideMark/>
          </w:tcPr>
          <w:p w14:paraId="51192944" w14:textId="2AE458FE"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Coefficient</w:t>
            </w:r>
            <w:r w:rsidR="00D2233C" w:rsidRPr="00D2233C">
              <w:rPr>
                <w:rFonts w:ascii="Arial" w:hAnsi="Arial" w:cs="Arial"/>
                <w:b/>
                <w:bCs/>
                <w:sz w:val="20"/>
                <w:lang w:val="en-ID"/>
              </w:rPr>
              <w:t xml:space="preserve"> (B)</w:t>
            </w:r>
          </w:p>
        </w:tc>
        <w:tc>
          <w:tcPr>
            <w:tcW w:w="0" w:type="auto"/>
            <w:hideMark/>
          </w:tcPr>
          <w:p w14:paraId="4D50F2D7"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Std. Error</w:t>
            </w:r>
          </w:p>
        </w:tc>
        <w:tc>
          <w:tcPr>
            <w:tcW w:w="0" w:type="auto"/>
            <w:hideMark/>
          </w:tcPr>
          <w:p w14:paraId="3580F37B"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Beta</w:t>
            </w:r>
          </w:p>
        </w:tc>
        <w:tc>
          <w:tcPr>
            <w:tcW w:w="0" w:type="auto"/>
            <w:hideMark/>
          </w:tcPr>
          <w:p w14:paraId="2F097333" w14:textId="59194C70"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t-count</w:t>
            </w:r>
          </w:p>
        </w:tc>
        <w:tc>
          <w:tcPr>
            <w:tcW w:w="0" w:type="auto"/>
            <w:hideMark/>
          </w:tcPr>
          <w:p w14:paraId="18954A3D" w14:textId="77777777" w:rsidR="00D2233C" w:rsidRPr="00D2233C" w:rsidRDefault="00D2233C" w:rsidP="00D2233C">
            <w:pPr>
              <w:pStyle w:val="Body"/>
              <w:spacing w:after="0"/>
              <w:rPr>
                <w:rFonts w:ascii="Arial" w:hAnsi="Arial" w:cs="Arial"/>
                <w:b/>
                <w:bCs/>
                <w:sz w:val="20"/>
                <w:lang w:val="en-ID"/>
              </w:rPr>
            </w:pPr>
            <w:r w:rsidRPr="00D2233C">
              <w:rPr>
                <w:rFonts w:ascii="Arial" w:hAnsi="Arial" w:cs="Arial"/>
                <w:b/>
                <w:bCs/>
                <w:sz w:val="20"/>
                <w:lang w:val="en-ID"/>
              </w:rPr>
              <w:t>Sig.</w:t>
            </w:r>
          </w:p>
        </w:tc>
        <w:tc>
          <w:tcPr>
            <w:tcW w:w="0" w:type="auto"/>
            <w:hideMark/>
          </w:tcPr>
          <w:p w14:paraId="324DD06A" w14:textId="14FB1B29" w:rsidR="00D2233C" w:rsidRPr="00D2233C" w:rsidRDefault="00A419DF" w:rsidP="00D2233C">
            <w:pPr>
              <w:pStyle w:val="Body"/>
              <w:spacing w:after="0"/>
              <w:rPr>
                <w:rFonts w:ascii="Arial" w:hAnsi="Arial" w:cs="Arial"/>
                <w:b/>
                <w:bCs/>
                <w:sz w:val="20"/>
                <w:lang w:val="en-ID"/>
              </w:rPr>
            </w:pPr>
            <w:r w:rsidRPr="00A419DF">
              <w:rPr>
                <w:rFonts w:ascii="Arial" w:hAnsi="Arial" w:cs="Arial"/>
                <w:b/>
                <w:bCs/>
                <w:sz w:val="20"/>
                <w:lang w:val="en-ID"/>
              </w:rPr>
              <w:t>Information</w:t>
            </w:r>
          </w:p>
        </w:tc>
      </w:tr>
      <w:tr w:rsidR="00D2233C" w:rsidRPr="00D2233C" w14:paraId="503025BA" w14:textId="77777777" w:rsidTr="00D2233C">
        <w:tc>
          <w:tcPr>
            <w:tcW w:w="0" w:type="auto"/>
            <w:hideMark/>
          </w:tcPr>
          <w:p w14:paraId="5A23639D" w14:textId="43D8C7B3"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Constant</w:t>
            </w:r>
          </w:p>
        </w:tc>
        <w:tc>
          <w:tcPr>
            <w:tcW w:w="0" w:type="auto"/>
            <w:hideMark/>
          </w:tcPr>
          <w:p w14:paraId="1AB1718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80,596</w:t>
            </w:r>
          </w:p>
        </w:tc>
        <w:tc>
          <w:tcPr>
            <w:tcW w:w="0" w:type="auto"/>
            <w:hideMark/>
          </w:tcPr>
          <w:p w14:paraId="245C11D2"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2,319</w:t>
            </w:r>
          </w:p>
        </w:tc>
        <w:tc>
          <w:tcPr>
            <w:tcW w:w="0" w:type="auto"/>
            <w:hideMark/>
          </w:tcPr>
          <w:p w14:paraId="7B24625A"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w:t>
            </w:r>
          </w:p>
        </w:tc>
        <w:tc>
          <w:tcPr>
            <w:tcW w:w="0" w:type="auto"/>
            <w:hideMark/>
          </w:tcPr>
          <w:p w14:paraId="3DDE1852"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34,758</w:t>
            </w:r>
          </w:p>
        </w:tc>
        <w:tc>
          <w:tcPr>
            <w:tcW w:w="0" w:type="auto"/>
            <w:hideMark/>
          </w:tcPr>
          <w:p w14:paraId="0C57E4EC"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22F5F120" w14:textId="55441824"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Significant</w:t>
            </w:r>
          </w:p>
        </w:tc>
      </w:tr>
      <w:tr w:rsidR="00D2233C" w:rsidRPr="00D2233C" w14:paraId="4DA02F94" w14:textId="77777777" w:rsidTr="00D2233C">
        <w:tc>
          <w:tcPr>
            <w:tcW w:w="0" w:type="auto"/>
            <w:hideMark/>
          </w:tcPr>
          <w:p w14:paraId="622426E3" w14:textId="6C7820E8"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Creative Economy Education </w:t>
            </w:r>
            <w:r w:rsidR="00D2233C" w:rsidRPr="00D2233C">
              <w:rPr>
                <w:rFonts w:ascii="Arial" w:hAnsi="Arial" w:cs="Arial"/>
                <w:sz w:val="20"/>
                <w:lang w:val="en-ID"/>
              </w:rPr>
              <w:t>(X1)</w:t>
            </w:r>
          </w:p>
        </w:tc>
        <w:tc>
          <w:tcPr>
            <w:tcW w:w="0" w:type="auto"/>
            <w:hideMark/>
          </w:tcPr>
          <w:p w14:paraId="1FF4B5E6"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0,103</w:t>
            </w:r>
          </w:p>
        </w:tc>
        <w:tc>
          <w:tcPr>
            <w:tcW w:w="0" w:type="auto"/>
            <w:hideMark/>
          </w:tcPr>
          <w:p w14:paraId="09F2ED75"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0,031</w:t>
            </w:r>
          </w:p>
        </w:tc>
        <w:tc>
          <w:tcPr>
            <w:tcW w:w="0" w:type="auto"/>
            <w:hideMark/>
          </w:tcPr>
          <w:p w14:paraId="478C5E1F"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0,302</w:t>
            </w:r>
          </w:p>
        </w:tc>
        <w:tc>
          <w:tcPr>
            <w:tcW w:w="0" w:type="auto"/>
            <w:hideMark/>
          </w:tcPr>
          <w:p w14:paraId="6F03A313"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3,293</w:t>
            </w:r>
          </w:p>
        </w:tc>
        <w:tc>
          <w:tcPr>
            <w:tcW w:w="0" w:type="auto"/>
            <w:hideMark/>
          </w:tcPr>
          <w:p w14:paraId="79940B9B"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F8E3551" w14:textId="539B3960"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r w:rsidR="00D2233C" w:rsidRPr="00D2233C" w14:paraId="2EDF5CD1" w14:textId="77777777" w:rsidTr="00D2233C">
        <w:tc>
          <w:tcPr>
            <w:tcW w:w="0" w:type="auto"/>
            <w:hideMark/>
          </w:tcPr>
          <w:p w14:paraId="154E21BA" w14:textId="3C9FCC78"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Digital Marketing </w:t>
            </w:r>
            <w:r w:rsidR="00D2233C" w:rsidRPr="00D2233C">
              <w:rPr>
                <w:rFonts w:ascii="Arial" w:hAnsi="Arial" w:cs="Arial"/>
                <w:sz w:val="20"/>
                <w:lang w:val="en-ID"/>
              </w:rPr>
              <w:t>(X2)</w:t>
            </w:r>
          </w:p>
        </w:tc>
        <w:tc>
          <w:tcPr>
            <w:tcW w:w="0" w:type="auto"/>
            <w:hideMark/>
          </w:tcPr>
          <w:p w14:paraId="717091B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0,075</w:t>
            </w:r>
          </w:p>
        </w:tc>
        <w:tc>
          <w:tcPr>
            <w:tcW w:w="0" w:type="auto"/>
            <w:hideMark/>
          </w:tcPr>
          <w:p w14:paraId="06922B3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0,034</w:t>
            </w:r>
          </w:p>
        </w:tc>
        <w:tc>
          <w:tcPr>
            <w:tcW w:w="0" w:type="auto"/>
            <w:hideMark/>
          </w:tcPr>
          <w:p w14:paraId="308F9BE4"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0,194</w:t>
            </w:r>
          </w:p>
        </w:tc>
        <w:tc>
          <w:tcPr>
            <w:tcW w:w="0" w:type="auto"/>
            <w:hideMark/>
          </w:tcPr>
          <w:p w14:paraId="105C504C"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2,219</w:t>
            </w:r>
          </w:p>
        </w:tc>
        <w:tc>
          <w:tcPr>
            <w:tcW w:w="0" w:type="auto"/>
            <w:hideMark/>
          </w:tcPr>
          <w:p w14:paraId="40813E9D"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94BE00E" w14:textId="45802F0E"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r w:rsidR="00D2233C" w:rsidRPr="00D2233C" w14:paraId="6DC160C9" w14:textId="77777777" w:rsidTr="00D2233C">
        <w:tc>
          <w:tcPr>
            <w:tcW w:w="0" w:type="auto"/>
            <w:hideMark/>
          </w:tcPr>
          <w:p w14:paraId="49F88EB3" w14:textId="21F7A0D7"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MSME Collaboration </w:t>
            </w:r>
            <w:r w:rsidR="00D2233C" w:rsidRPr="00D2233C">
              <w:rPr>
                <w:rFonts w:ascii="Arial" w:hAnsi="Arial" w:cs="Arial"/>
                <w:sz w:val="20"/>
                <w:lang w:val="en-ID"/>
              </w:rPr>
              <w:t>(X3)</w:t>
            </w:r>
          </w:p>
        </w:tc>
        <w:tc>
          <w:tcPr>
            <w:tcW w:w="0" w:type="auto"/>
            <w:hideMark/>
          </w:tcPr>
          <w:p w14:paraId="5F873B86"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0,208</w:t>
            </w:r>
          </w:p>
        </w:tc>
        <w:tc>
          <w:tcPr>
            <w:tcW w:w="0" w:type="auto"/>
            <w:hideMark/>
          </w:tcPr>
          <w:p w14:paraId="62035CFE"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0,040</w:t>
            </w:r>
          </w:p>
        </w:tc>
        <w:tc>
          <w:tcPr>
            <w:tcW w:w="0" w:type="auto"/>
            <w:hideMark/>
          </w:tcPr>
          <w:p w14:paraId="361369E5"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0,412</w:t>
            </w:r>
          </w:p>
        </w:tc>
        <w:tc>
          <w:tcPr>
            <w:tcW w:w="0" w:type="auto"/>
            <w:hideMark/>
          </w:tcPr>
          <w:p w14:paraId="21D24611"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5,168</w:t>
            </w:r>
          </w:p>
        </w:tc>
        <w:tc>
          <w:tcPr>
            <w:tcW w:w="0" w:type="auto"/>
            <w:hideMark/>
          </w:tcPr>
          <w:p w14:paraId="1AD6C5C8" w14:textId="77777777" w:rsidR="00D2233C" w:rsidRPr="00D2233C" w:rsidRDefault="00D2233C" w:rsidP="00D2233C">
            <w:pPr>
              <w:pStyle w:val="Body"/>
              <w:spacing w:after="0"/>
              <w:rPr>
                <w:rFonts w:ascii="Arial" w:hAnsi="Arial" w:cs="Arial"/>
                <w:sz w:val="20"/>
                <w:lang w:val="en-ID"/>
              </w:rPr>
            </w:pPr>
            <w:r w:rsidRPr="00D2233C">
              <w:rPr>
                <w:rFonts w:ascii="Arial" w:hAnsi="Arial" w:cs="Arial"/>
                <w:sz w:val="20"/>
                <w:lang w:val="en-ID"/>
              </w:rPr>
              <w:t>0,000</w:t>
            </w:r>
          </w:p>
        </w:tc>
        <w:tc>
          <w:tcPr>
            <w:tcW w:w="0" w:type="auto"/>
            <w:hideMark/>
          </w:tcPr>
          <w:p w14:paraId="3C6E47B3" w14:textId="46848E0C" w:rsidR="00D2233C" w:rsidRPr="00D2233C" w:rsidRDefault="00A419DF" w:rsidP="00D2233C">
            <w:pPr>
              <w:pStyle w:val="Body"/>
              <w:spacing w:after="0"/>
              <w:rPr>
                <w:rFonts w:ascii="Arial" w:hAnsi="Arial" w:cs="Arial"/>
                <w:sz w:val="20"/>
                <w:lang w:val="en-ID"/>
              </w:rPr>
            </w:pPr>
            <w:r w:rsidRPr="00A419DF">
              <w:rPr>
                <w:rFonts w:ascii="Arial" w:hAnsi="Arial" w:cs="Arial"/>
                <w:sz w:val="20"/>
                <w:lang w:val="en-ID"/>
              </w:rPr>
              <w:t xml:space="preserve">Significant </w:t>
            </w:r>
            <w:r w:rsidR="00D2233C" w:rsidRPr="00D2233C">
              <w:rPr>
                <w:rFonts w:ascii="Arial" w:hAnsi="Arial" w:cs="Arial"/>
                <w:sz w:val="20"/>
                <w:lang w:val="en-ID"/>
              </w:rPr>
              <w:t>(+)</w:t>
            </w:r>
          </w:p>
        </w:tc>
      </w:tr>
    </w:tbl>
    <w:p w14:paraId="2EAAF927" w14:textId="77777777" w:rsidR="00D2233C" w:rsidRPr="00D2233C" w:rsidRDefault="00D2233C" w:rsidP="00D2233C">
      <w:pPr>
        <w:pStyle w:val="Body"/>
        <w:numPr>
          <w:ilvl w:val="0"/>
          <w:numId w:val="35"/>
        </w:numPr>
        <w:spacing w:after="0"/>
        <w:rPr>
          <w:rFonts w:ascii="Arial" w:hAnsi="Arial" w:cs="Arial"/>
          <w:bCs/>
          <w:lang w:val="en-ID"/>
        </w:rPr>
      </w:pPr>
      <w:r w:rsidRPr="00D2233C">
        <w:rPr>
          <w:rFonts w:ascii="Arial" w:hAnsi="Arial" w:cs="Arial"/>
          <w:bCs/>
          <w:lang w:val="en-ID"/>
        </w:rPr>
        <w:t>R² = 0,581</w:t>
      </w:r>
    </w:p>
    <w:p w14:paraId="70252A00" w14:textId="77777777" w:rsidR="00D2233C" w:rsidRPr="00D2233C" w:rsidRDefault="00D2233C" w:rsidP="00D2233C">
      <w:pPr>
        <w:pStyle w:val="Body"/>
        <w:numPr>
          <w:ilvl w:val="0"/>
          <w:numId w:val="35"/>
        </w:numPr>
        <w:spacing w:after="0"/>
        <w:rPr>
          <w:rFonts w:ascii="Arial" w:hAnsi="Arial" w:cs="Arial"/>
          <w:bCs/>
          <w:lang w:val="en-ID"/>
        </w:rPr>
      </w:pPr>
      <w:r w:rsidRPr="00D2233C">
        <w:rPr>
          <w:rFonts w:ascii="Arial" w:hAnsi="Arial" w:cs="Arial"/>
          <w:bCs/>
          <w:lang w:val="en-ID"/>
        </w:rPr>
        <w:lastRenderedPageBreak/>
        <w:t>F = 59,327; Sig. = 0,000</w:t>
      </w:r>
    </w:p>
    <w:p w14:paraId="5CC94439" w14:textId="77777777" w:rsidR="00D2233C" w:rsidRDefault="00D2233C" w:rsidP="00441B6F">
      <w:pPr>
        <w:pStyle w:val="Body"/>
        <w:spacing w:after="0"/>
        <w:rPr>
          <w:rFonts w:ascii="Arial" w:hAnsi="Arial" w:cs="Arial"/>
        </w:rPr>
      </w:pPr>
    </w:p>
    <w:p w14:paraId="304B3339" w14:textId="77777777" w:rsidR="00D2233C" w:rsidRPr="00D2233C" w:rsidRDefault="00D2233C" w:rsidP="00D2233C">
      <w:pPr>
        <w:pStyle w:val="Body"/>
        <w:rPr>
          <w:rFonts w:ascii="Arial" w:hAnsi="Arial" w:cs="Arial"/>
        </w:rPr>
      </w:pPr>
      <w:r w:rsidRPr="00D2233C">
        <w:rPr>
          <w:rFonts w:ascii="Arial" w:hAnsi="Arial" w:cs="Arial"/>
        </w:rPr>
        <w:t>The results of multiple linear regression show that all independent variables—creative economy education, digital marketing, and MSME collaboration—have a positive and significant effect on local economic growth in the Lake Perintis tourist area. The R² value of 0.581 indicates that 58.1% of the variation in local economic growth can be explained by these three variables, while 41.9% is influenced by other factors outside the research model.</w:t>
      </w:r>
    </w:p>
    <w:p w14:paraId="4FF8D67E" w14:textId="77777777" w:rsidR="00D2233C" w:rsidRPr="00D2233C" w:rsidRDefault="00D2233C" w:rsidP="00D2233C">
      <w:pPr>
        <w:pStyle w:val="Body"/>
        <w:rPr>
          <w:rFonts w:ascii="Arial" w:hAnsi="Arial" w:cs="Arial"/>
        </w:rPr>
      </w:pPr>
      <w:r w:rsidRPr="00D2233C">
        <w:rPr>
          <w:rFonts w:ascii="Arial" w:hAnsi="Arial" w:cs="Arial"/>
        </w:rPr>
        <w:t>Among the three variables, MSME collaboration (β = 0.412; Sig. = 0.000) has the most dominant effect. This confirms that synergy among business actors through cooperation, resource sharing, and mutual support can significantly increase productivity and competitiveness. Creative economic education also contributes significantly (β = 0.302; Sig. = 0.000), especially in encouraging innovation in value-added products and services. Meanwhile, digital marketing, although its influence is relatively smaller (β = 0.194; Sig. = 0.000), remains significant in expanding market reach and reducing promotion costs. Simultaneously, these three factors form a strong foundation for tourism-based economic growth at the local level.</w:t>
      </w:r>
    </w:p>
    <w:p w14:paraId="54559E85" w14:textId="77777777" w:rsidR="00D2233C" w:rsidRPr="00D2233C" w:rsidRDefault="00D2233C" w:rsidP="00441B6F">
      <w:pPr>
        <w:pStyle w:val="Body"/>
        <w:spacing w:after="0"/>
        <w:rPr>
          <w:rFonts w:ascii="Arial" w:hAnsi="Arial" w:cs="Arial"/>
          <w:b/>
          <w:u w:val="single"/>
        </w:rPr>
      </w:pPr>
    </w:p>
    <w:p w14:paraId="73AF2C5B" w14:textId="77777777" w:rsidR="00D2233C" w:rsidRPr="00D2233C" w:rsidRDefault="00D2233C" w:rsidP="00D2233C">
      <w:pPr>
        <w:pStyle w:val="Body"/>
        <w:rPr>
          <w:rFonts w:ascii="Arial" w:hAnsi="Arial" w:cs="Arial"/>
          <w:b/>
          <w:u w:val="single"/>
        </w:rPr>
      </w:pPr>
      <w:r w:rsidRPr="00D2233C">
        <w:rPr>
          <w:rFonts w:ascii="Arial" w:hAnsi="Arial" w:cs="Arial"/>
          <w:b/>
          <w:u w:val="single"/>
        </w:rPr>
        <w:t>3.2.1 Creative Economy Education and Its Impact on Local Economic Growth</w:t>
      </w:r>
    </w:p>
    <w:p w14:paraId="2245894F" w14:textId="5B0EE93C" w:rsidR="00D2233C" w:rsidRPr="00D2233C" w:rsidRDefault="00D2233C" w:rsidP="00D2233C">
      <w:pPr>
        <w:pStyle w:val="Body"/>
        <w:rPr>
          <w:rFonts w:ascii="Arial" w:hAnsi="Arial" w:cs="Arial"/>
        </w:rPr>
      </w:pPr>
      <w:r w:rsidRPr="00D2233C">
        <w:rPr>
          <w:rFonts w:ascii="Arial" w:hAnsi="Arial" w:cs="Arial"/>
        </w:rPr>
        <w:t xml:space="preserve">The results of this study indicate that creative economy education has a positive and significant impact on local economic growth. These findings show that mastery of knowledge and skills in the creative economy can encourage the creation of </w:t>
      </w:r>
      <w:r w:rsidR="00DB3275" w:rsidRPr="00DB0C49">
        <w:rPr>
          <w:rFonts w:ascii="Arial" w:hAnsi="Arial" w:cs="Arial"/>
          <w:highlight w:val="yellow"/>
        </w:rPr>
        <w:t>high-value-added</w:t>
      </w:r>
      <w:r w:rsidRPr="00DB0C49">
        <w:rPr>
          <w:rFonts w:ascii="Arial" w:hAnsi="Arial" w:cs="Arial"/>
          <w:highlight w:val="yellow"/>
        </w:rPr>
        <w:t xml:space="preserve"> products,</w:t>
      </w:r>
      <w:r w:rsidRPr="00D2233C">
        <w:rPr>
          <w:rFonts w:ascii="Arial" w:hAnsi="Arial" w:cs="Arial"/>
        </w:rPr>
        <w:t xml:space="preserve"> strengthen local cultural identity, and increase the competitiveness of MSME players in the tourism sector. In the context of Danau Perintis, business actors who participated in creative skills training tended to have better product diversification, such as regional souvenirs, handicrafts based on local motifs, and food products with innovative packaging.</w:t>
      </w:r>
    </w:p>
    <w:p w14:paraId="60B1650D" w14:textId="77777777" w:rsidR="00D2233C" w:rsidRPr="00D2233C" w:rsidRDefault="00D2233C" w:rsidP="00D2233C">
      <w:pPr>
        <w:pStyle w:val="Body"/>
        <w:rPr>
          <w:rFonts w:ascii="Arial" w:hAnsi="Arial" w:cs="Arial"/>
        </w:rPr>
      </w:pPr>
      <w:r w:rsidRPr="00D2233C">
        <w:rPr>
          <w:rFonts w:ascii="Arial" w:hAnsi="Arial" w:cs="Arial"/>
        </w:rPr>
        <w:t>Theoretically, the role of creative economy education in local development has been widely discussed in development economics literature. Education not only increases human capital but also shapes the innovative capacity and adaptability of economic actors to market dynamics (Florida, 2019). A study by Susanti et al. (2021) confirms that the creative economy contributes directly to job creation and increased community income, especially through sectors based on local wisdom such as culinary, crafts, and performing arts. This reinforces the findings of this study that creative education has a real impact on regional economic growth.</w:t>
      </w:r>
    </w:p>
    <w:p w14:paraId="107E9D42" w14:textId="77777777" w:rsidR="00D2233C" w:rsidRPr="00D2233C" w:rsidRDefault="00D2233C" w:rsidP="00D2233C">
      <w:pPr>
        <w:pStyle w:val="Body"/>
        <w:rPr>
          <w:rFonts w:ascii="Arial" w:hAnsi="Arial" w:cs="Arial"/>
        </w:rPr>
      </w:pPr>
      <w:r w:rsidRPr="00D2233C">
        <w:rPr>
          <w:rFonts w:ascii="Arial" w:hAnsi="Arial" w:cs="Arial"/>
        </w:rPr>
        <w:t>However, the implementation of creative economic education in regions such as Bone Bolango still faces various structural obstacles. Limited access to training programs, a lack of experienced facilitators, and low awareness among MSME actors of the importance of innovation are the main obstacles. In some cases, the training provided tends to be ceremonial and unsustainable, thus failing to have a real impact on business transformation.</w:t>
      </w:r>
    </w:p>
    <w:p w14:paraId="6463B847" w14:textId="77777777" w:rsidR="00D2233C" w:rsidRPr="00D2233C" w:rsidRDefault="00D2233C" w:rsidP="00D2233C">
      <w:pPr>
        <w:pStyle w:val="Body"/>
        <w:spacing w:before="240"/>
        <w:rPr>
          <w:rFonts w:ascii="Arial" w:hAnsi="Arial" w:cs="Arial"/>
        </w:rPr>
      </w:pPr>
      <w:r w:rsidRPr="00D2233C">
        <w:rPr>
          <w:rFonts w:ascii="Arial" w:hAnsi="Arial" w:cs="Arial"/>
        </w:rPr>
        <w:t>In response to these challenges, contextual and community-based policy interventions are urgently needed. Local governments and training institutions must develop training curricula based on local needs and hands-on practices, as well as build mentoring networks involving academics, creative industry players, and MSME practitioners. As stated by Anggraeni and Rachmawati (2023), practical and experience-based training has proven to be more effective in building the innovation capacity of small business actors. Therefore, capacity building for MSME actors in the tourism sector needs to be designed as an inclusive, participatory, and sustainable process.</w:t>
      </w:r>
    </w:p>
    <w:p w14:paraId="60A16AAF" w14:textId="77777777" w:rsidR="00D2233C" w:rsidRPr="00D2233C" w:rsidRDefault="00D2233C" w:rsidP="00D2233C">
      <w:pPr>
        <w:pStyle w:val="Body"/>
        <w:spacing w:before="240" w:after="0"/>
        <w:rPr>
          <w:rFonts w:ascii="Arial" w:hAnsi="Arial" w:cs="Arial"/>
          <w:b/>
          <w:u w:val="single"/>
        </w:rPr>
      </w:pPr>
      <w:r w:rsidRPr="00D2233C">
        <w:rPr>
          <w:rFonts w:ascii="Arial" w:hAnsi="Arial" w:cs="Arial"/>
          <w:b/>
          <w:u w:val="single"/>
        </w:rPr>
        <w:lastRenderedPageBreak/>
        <w:t>3.2.2 Digital Marketing as an Instrument of Local Economic Competitiveness</w:t>
      </w:r>
    </w:p>
    <w:p w14:paraId="2B86B52F" w14:textId="66168237" w:rsidR="00D2233C" w:rsidRPr="00D2233C" w:rsidRDefault="00DB3275" w:rsidP="00D2233C">
      <w:pPr>
        <w:pStyle w:val="Body"/>
        <w:spacing w:before="240" w:after="0"/>
        <w:rPr>
          <w:rFonts w:ascii="Arial" w:hAnsi="Arial" w:cs="Arial"/>
        </w:rPr>
      </w:pPr>
      <w:r w:rsidRPr="00DB0C49">
        <w:rPr>
          <w:rFonts w:ascii="Arial" w:hAnsi="Arial" w:cs="Arial"/>
          <w:highlight w:val="yellow"/>
        </w:rPr>
        <w:t xml:space="preserve">Digitalisation </w:t>
      </w:r>
      <w:r w:rsidR="00D2233C" w:rsidRPr="00DB0C49">
        <w:rPr>
          <w:rFonts w:ascii="Arial" w:hAnsi="Arial" w:cs="Arial"/>
          <w:highlight w:val="yellow"/>
        </w:rPr>
        <w:t>has</w:t>
      </w:r>
      <w:r w:rsidR="00D2233C" w:rsidRPr="00D2233C">
        <w:rPr>
          <w:rFonts w:ascii="Arial" w:hAnsi="Arial" w:cs="Arial"/>
        </w:rPr>
        <w:t xml:space="preserve"> become one of the main pillars of modern economic transformation, including in the context of tourism MSME development. In this study, digital marketing was found to have a significant influence on local economic growth, although its contribution was relatively smaller than other variables. This shows that the use of information and communication technology (ICT) can accelerate transaction processes, expand market reach, and reduce operational costs for MSME players.</w:t>
      </w:r>
    </w:p>
    <w:p w14:paraId="69E19E58" w14:textId="088E7138" w:rsidR="00D2233C" w:rsidRPr="00D2233C" w:rsidRDefault="00D2233C" w:rsidP="00D2233C">
      <w:pPr>
        <w:pStyle w:val="Body"/>
        <w:spacing w:before="240" w:after="0"/>
        <w:rPr>
          <w:rFonts w:ascii="Arial" w:hAnsi="Arial" w:cs="Arial"/>
        </w:rPr>
      </w:pPr>
      <w:r w:rsidRPr="00D2233C">
        <w:rPr>
          <w:rFonts w:ascii="Arial" w:hAnsi="Arial" w:cs="Arial"/>
        </w:rPr>
        <w:t xml:space="preserve">In practice, businesses in the Danau Perintis area </w:t>
      </w:r>
      <w:r w:rsidR="00DB3275" w:rsidRPr="00DB0C49">
        <w:rPr>
          <w:rFonts w:ascii="Arial" w:hAnsi="Arial" w:cs="Arial"/>
          <w:highlight w:val="yellow"/>
        </w:rPr>
        <w:t xml:space="preserve">utilise </w:t>
      </w:r>
      <w:r w:rsidRPr="00DB0C49">
        <w:rPr>
          <w:rFonts w:ascii="Arial" w:hAnsi="Arial" w:cs="Arial"/>
          <w:highlight w:val="yellow"/>
        </w:rPr>
        <w:t>social</w:t>
      </w:r>
      <w:r w:rsidRPr="00D2233C">
        <w:rPr>
          <w:rFonts w:ascii="Arial" w:hAnsi="Arial" w:cs="Arial"/>
        </w:rPr>
        <w:t xml:space="preserve"> media such as Instagram and Facebook for product promotion, use messaging applications such as WhatsApp Business for customer service, and sell products through national marketplaces. This shows a gradual adoption of technology that contributes to increased income, especially for young entrepreneurs who have higher digital literacy.</w:t>
      </w:r>
    </w:p>
    <w:p w14:paraId="0F8480BF" w14:textId="42E824F2" w:rsidR="00D2233C" w:rsidRPr="00D2233C" w:rsidRDefault="00D2233C" w:rsidP="00D2233C">
      <w:pPr>
        <w:pStyle w:val="Body"/>
        <w:spacing w:before="240" w:after="0"/>
        <w:rPr>
          <w:rFonts w:ascii="Arial" w:hAnsi="Arial" w:cs="Arial"/>
        </w:rPr>
      </w:pPr>
      <w:r w:rsidRPr="00D2233C">
        <w:rPr>
          <w:rFonts w:ascii="Arial" w:hAnsi="Arial" w:cs="Arial"/>
        </w:rPr>
        <w:t xml:space="preserve">These findings are supported by research by Nugroho and Aini (2022), which shows that marketing </w:t>
      </w:r>
      <w:r w:rsidR="00DB3275" w:rsidRPr="00DB0C49">
        <w:rPr>
          <w:rFonts w:ascii="Arial" w:hAnsi="Arial" w:cs="Arial"/>
          <w:highlight w:val="yellow"/>
        </w:rPr>
        <w:t>digitalisation</w:t>
      </w:r>
      <w:r w:rsidR="00DB3275" w:rsidRPr="00D2233C">
        <w:rPr>
          <w:rFonts w:ascii="Arial" w:hAnsi="Arial" w:cs="Arial"/>
        </w:rPr>
        <w:t xml:space="preserve"> </w:t>
      </w:r>
      <w:r w:rsidRPr="00D2233C">
        <w:rPr>
          <w:rFonts w:ascii="Arial" w:hAnsi="Arial" w:cs="Arial"/>
        </w:rPr>
        <w:t xml:space="preserve">strengthens MSME connections with consumers, accelerates the sales process, and enables businesses to reach cross-regional markets. Digital marketing also enables content </w:t>
      </w:r>
      <w:r w:rsidR="00DB3275" w:rsidRPr="00DB0C49">
        <w:rPr>
          <w:rFonts w:ascii="Arial" w:hAnsi="Arial" w:cs="Arial"/>
          <w:highlight w:val="yellow"/>
        </w:rPr>
        <w:t xml:space="preserve">personalisation </w:t>
      </w:r>
      <w:r w:rsidRPr="00DB0C49">
        <w:rPr>
          <w:rFonts w:ascii="Arial" w:hAnsi="Arial" w:cs="Arial"/>
          <w:highlight w:val="yellow"/>
        </w:rPr>
        <w:t>and</w:t>
      </w:r>
      <w:r w:rsidRPr="00D2233C">
        <w:rPr>
          <w:rFonts w:ascii="Arial" w:hAnsi="Arial" w:cs="Arial"/>
        </w:rPr>
        <w:t xml:space="preserve"> more effective communication with consumers, which in turn strengthens customer loyalty.</w:t>
      </w:r>
    </w:p>
    <w:p w14:paraId="694BCCA4" w14:textId="7A5BE39B" w:rsidR="00D2233C" w:rsidRPr="00D2233C" w:rsidRDefault="00D2233C" w:rsidP="00D2233C">
      <w:pPr>
        <w:pStyle w:val="Body"/>
        <w:spacing w:before="240" w:after="0"/>
        <w:rPr>
          <w:rFonts w:ascii="Arial" w:hAnsi="Arial" w:cs="Arial"/>
        </w:rPr>
      </w:pPr>
      <w:r w:rsidRPr="00D2233C">
        <w:rPr>
          <w:rFonts w:ascii="Arial" w:hAnsi="Arial" w:cs="Arial"/>
        </w:rPr>
        <w:t xml:space="preserve">However, the low level of digital literacy among traditional businesses remains a major obstacle. Many MSMEs in the study area do not understand the basics of digital marketing, do not have online business accounts, and still rely on conventional word-of-mouth promotion. </w:t>
      </w:r>
      <w:r w:rsidR="007C221B">
        <w:rPr>
          <w:rFonts w:ascii="Arial" w:hAnsi="Arial" w:cs="Arial"/>
        </w:rPr>
        <w:t>T</w:t>
      </w:r>
      <w:r w:rsidRPr="00D2233C">
        <w:rPr>
          <w:rFonts w:ascii="Arial" w:hAnsi="Arial" w:cs="Arial"/>
        </w:rPr>
        <w:t xml:space="preserve">he digital literacy gap can create new inequalities in the MSME ecosystem, especially between businesses that are already </w:t>
      </w:r>
      <w:r w:rsidR="00DB3275" w:rsidRPr="00DB0C49">
        <w:rPr>
          <w:rFonts w:ascii="Arial" w:hAnsi="Arial" w:cs="Arial"/>
          <w:highlight w:val="yellow"/>
        </w:rPr>
        <w:t xml:space="preserve">digitised </w:t>
      </w:r>
      <w:r w:rsidRPr="00DB0C49">
        <w:rPr>
          <w:rFonts w:ascii="Arial" w:hAnsi="Arial" w:cs="Arial"/>
          <w:highlight w:val="yellow"/>
        </w:rPr>
        <w:t>and those</w:t>
      </w:r>
      <w:r w:rsidRPr="00D2233C">
        <w:rPr>
          <w:rFonts w:ascii="Arial" w:hAnsi="Arial" w:cs="Arial"/>
        </w:rPr>
        <w:t xml:space="preserve"> that are not</w:t>
      </w:r>
      <w:r w:rsidR="007C221B">
        <w:rPr>
          <w:rFonts w:ascii="Arial" w:hAnsi="Arial" w:cs="Arial"/>
        </w:rPr>
        <w:t xml:space="preserve"> (</w:t>
      </w:r>
      <w:r w:rsidR="007C221B" w:rsidRPr="007C221B">
        <w:rPr>
          <w:rFonts w:ascii="Arial" w:hAnsi="Arial" w:cs="Arial"/>
        </w:rPr>
        <w:t>Hermansyah</w:t>
      </w:r>
      <w:r w:rsidR="007C221B">
        <w:rPr>
          <w:rFonts w:ascii="Arial" w:hAnsi="Arial" w:cs="Arial"/>
        </w:rPr>
        <w:t xml:space="preserve"> et al., 2025)</w:t>
      </w:r>
      <w:r w:rsidRPr="00D2233C">
        <w:rPr>
          <w:rFonts w:ascii="Arial" w:hAnsi="Arial" w:cs="Arial"/>
        </w:rPr>
        <w:t>.</w:t>
      </w:r>
    </w:p>
    <w:p w14:paraId="1BF6A4B2" w14:textId="71442678" w:rsidR="00D2233C" w:rsidRPr="00D2233C" w:rsidRDefault="00D2233C" w:rsidP="00D2233C">
      <w:pPr>
        <w:pStyle w:val="Body"/>
        <w:spacing w:before="240" w:after="0"/>
        <w:rPr>
          <w:rFonts w:ascii="Arial" w:hAnsi="Arial" w:cs="Arial"/>
        </w:rPr>
      </w:pPr>
      <w:r w:rsidRPr="00D2233C">
        <w:rPr>
          <w:rFonts w:ascii="Arial" w:hAnsi="Arial" w:cs="Arial"/>
        </w:rPr>
        <w:t xml:space="preserve">Therefore, technical assistance and digital literacy training strategies are very important. Local governments need to partner with universities, digital platforms, and non-governmental </w:t>
      </w:r>
      <w:r w:rsidR="00DB3275" w:rsidRPr="00DB0C49">
        <w:rPr>
          <w:rFonts w:ascii="Arial" w:hAnsi="Arial" w:cs="Arial"/>
          <w:highlight w:val="yellow"/>
        </w:rPr>
        <w:t xml:space="preserve">organisations </w:t>
      </w:r>
      <w:r w:rsidRPr="00DB0C49">
        <w:rPr>
          <w:rFonts w:ascii="Arial" w:hAnsi="Arial" w:cs="Arial"/>
          <w:highlight w:val="yellow"/>
        </w:rPr>
        <w:t>to provide</w:t>
      </w:r>
      <w:r w:rsidRPr="00D2233C">
        <w:rPr>
          <w:rFonts w:ascii="Arial" w:hAnsi="Arial" w:cs="Arial"/>
        </w:rPr>
        <w:t xml:space="preserve"> accessible digital marketing training that is tailored to local needs. This training should cover visual content creation, online promotion strategies, social media account management, and digital transaction security. </w:t>
      </w:r>
      <w:r w:rsidRPr="00DB0C49">
        <w:rPr>
          <w:rFonts w:ascii="Arial" w:hAnsi="Arial" w:cs="Arial"/>
          <w:highlight w:val="yellow"/>
        </w:rPr>
        <w:t xml:space="preserve">If </w:t>
      </w:r>
      <w:r w:rsidR="00DB3275" w:rsidRPr="00DB0C49">
        <w:rPr>
          <w:rFonts w:ascii="Arial" w:hAnsi="Arial" w:cs="Arial"/>
          <w:highlight w:val="yellow"/>
        </w:rPr>
        <w:t>maximised</w:t>
      </w:r>
      <w:r w:rsidRPr="00DB0C49">
        <w:rPr>
          <w:rFonts w:ascii="Arial" w:hAnsi="Arial" w:cs="Arial"/>
          <w:highlight w:val="yellow"/>
        </w:rPr>
        <w:t>,</w:t>
      </w:r>
      <w:r w:rsidRPr="00D2233C">
        <w:rPr>
          <w:rFonts w:ascii="Arial" w:hAnsi="Arial" w:cs="Arial"/>
        </w:rPr>
        <w:t xml:space="preserve"> the potential of </w:t>
      </w:r>
      <w:r w:rsidR="00DB3275" w:rsidRPr="00DB0C49">
        <w:rPr>
          <w:rFonts w:ascii="Arial" w:hAnsi="Arial" w:cs="Arial"/>
          <w:highlight w:val="yellow"/>
        </w:rPr>
        <w:t xml:space="preserve">digitalisation </w:t>
      </w:r>
      <w:r w:rsidRPr="00DB0C49">
        <w:rPr>
          <w:rFonts w:ascii="Arial" w:hAnsi="Arial" w:cs="Arial"/>
          <w:highlight w:val="yellow"/>
        </w:rPr>
        <w:t>can drive</w:t>
      </w:r>
      <w:r w:rsidRPr="00D2233C">
        <w:rPr>
          <w:rFonts w:ascii="Arial" w:hAnsi="Arial" w:cs="Arial"/>
        </w:rPr>
        <w:t xml:space="preserve"> the local economy towards greater inclusiveness and efficiency.</w:t>
      </w:r>
    </w:p>
    <w:p w14:paraId="6018F077" w14:textId="77777777" w:rsidR="00D2233C" w:rsidRDefault="00D2233C" w:rsidP="00441B6F">
      <w:pPr>
        <w:pStyle w:val="Body"/>
        <w:spacing w:after="0"/>
        <w:rPr>
          <w:rFonts w:ascii="Arial" w:hAnsi="Arial" w:cs="Arial"/>
        </w:rPr>
      </w:pPr>
    </w:p>
    <w:p w14:paraId="37CE0116" w14:textId="77777777" w:rsidR="00D2233C" w:rsidRPr="00D2233C" w:rsidRDefault="00D2233C" w:rsidP="00D2233C">
      <w:pPr>
        <w:pStyle w:val="Body"/>
        <w:spacing w:before="240" w:after="0"/>
        <w:rPr>
          <w:rFonts w:ascii="Arial" w:hAnsi="Arial" w:cs="Arial"/>
          <w:b/>
          <w:u w:val="single"/>
        </w:rPr>
      </w:pPr>
      <w:r w:rsidRPr="00D2233C">
        <w:rPr>
          <w:rFonts w:ascii="Arial" w:hAnsi="Arial" w:cs="Arial"/>
          <w:b/>
          <w:u w:val="single"/>
        </w:rPr>
        <w:t>3.2.3 MSME Collaboration as a Dominant Factor in Local Economic Growth</w:t>
      </w:r>
    </w:p>
    <w:p w14:paraId="750C8C7E" w14:textId="5E84B869" w:rsidR="00D2233C" w:rsidRPr="00D2233C" w:rsidRDefault="00D2233C" w:rsidP="00D2233C">
      <w:pPr>
        <w:pStyle w:val="Body"/>
        <w:spacing w:before="240" w:after="0"/>
        <w:rPr>
          <w:rFonts w:ascii="Arial" w:hAnsi="Arial" w:cs="Arial"/>
        </w:rPr>
      </w:pPr>
      <w:r w:rsidRPr="00D2233C">
        <w:rPr>
          <w:rFonts w:ascii="Arial" w:hAnsi="Arial" w:cs="Arial"/>
        </w:rPr>
        <w:t xml:space="preserve">An interesting finding in this study is that collaboration between MSME players is the variable that has the greatest influence on local economic growth. Collaboration allows business actors to share resources, </w:t>
      </w:r>
      <w:r w:rsidR="00DB3275" w:rsidRPr="00DB0C49">
        <w:rPr>
          <w:rFonts w:ascii="Arial" w:hAnsi="Arial" w:cs="Arial"/>
          <w:highlight w:val="yellow"/>
        </w:rPr>
        <w:t xml:space="preserve">minimise </w:t>
      </w:r>
      <w:r w:rsidRPr="00DB0C49">
        <w:rPr>
          <w:rFonts w:ascii="Arial" w:hAnsi="Arial" w:cs="Arial"/>
          <w:highlight w:val="yellow"/>
        </w:rPr>
        <w:t>risks</w:t>
      </w:r>
      <w:r w:rsidRPr="00D2233C">
        <w:rPr>
          <w:rFonts w:ascii="Arial" w:hAnsi="Arial" w:cs="Arial"/>
        </w:rPr>
        <w:t>, expand distribution channels, and create collective innovation. In the context of Danau Perintis, forms of collaboration such as the provision of integrated tour packages—which combine culinary services, local transportation, and photography services—have become a special attraction for tourists.</w:t>
      </w:r>
    </w:p>
    <w:p w14:paraId="7D76C65D" w14:textId="77777777" w:rsidR="00D2233C" w:rsidRPr="00D2233C" w:rsidRDefault="00D2233C" w:rsidP="00D2233C">
      <w:pPr>
        <w:pStyle w:val="Body"/>
        <w:spacing w:before="240" w:after="0"/>
        <w:rPr>
          <w:rFonts w:ascii="Arial" w:hAnsi="Arial" w:cs="Arial"/>
        </w:rPr>
      </w:pPr>
      <w:r w:rsidRPr="00D2233C">
        <w:rPr>
          <w:rFonts w:ascii="Arial" w:hAnsi="Arial" w:cs="Arial"/>
        </w:rPr>
        <w:t>A study by Setyawati et al. (2020) also found that collaborative networks between tourism SME actors in tourist areas can strengthen business resilience, especially in facing seasonal challenges or changes in consumer behavior. Collaboration also encourages the emergence of a mutually supportive business ecosystem based on local economic solidarity, which is relevant in the context of community-based tourism development.</w:t>
      </w:r>
    </w:p>
    <w:p w14:paraId="50A4E315" w14:textId="24A386DD" w:rsidR="00D2233C" w:rsidRPr="00D2233C" w:rsidRDefault="00D2233C" w:rsidP="00D2233C">
      <w:pPr>
        <w:pStyle w:val="Body"/>
        <w:spacing w:before="240" w:after="0"/>
        <w:rPr>
          <w:rFonts w:ascii="Arial" w:hAnsi="Arial" w:cs="Arial"/>
        </w:rPr>
      </w:pPr>
      <w:r w:rsidRPr="00D2233C">
        <w:rPr>
          <w:rFonts w:ascii="Arial" w:hAnsi="Arial" w:cs="Arial"/>
        </w:rPr>
        <w:t xml:space="preserve">On the other hand, collaboration requires prerequisites that are not always easy </w:t>
      </w:r>
      <w:r w:rsidRPr="00DB0C49">
        <w:rPr>
          <w:rFonts w:ascii="Arial" w:hAnsi="Arial" w:cs="Arial"/>
          <w:highlight w:val="yellow"/>
        </w:rPr>
        <w:t xml:space="preserve">to </w:t>
      </w:r>
      <w:r w:rsidR="00DB3275" w:rsidRPr="00DB0C49">
        <w:rPr>
          <w:rFonts w:ascii="Arial" w:hAnsi="Arial" w:cs="Arial"/>
          <w:highlight w:val="yellow"/>
        </w:rPr>
        <w:t>fulfil</w:t>
      </w:r>
      <w:r w:rsidRPr="00DB0C49">
        <w:rPr>
          <w:rFonts w:ascii="Arial" w:hAnsi="Arial" w:cs="Arial"/>
          <w:highlight w:val="yellow"/>
        </w:rPr>
        <w:t>,</w:t>
      </w:r>
      <w:r w:rsidRPr="00D2233C">
        <w:rPr>
          <w:rFonts w:ascii="Arial" w:hAnsi="Arial" w:cs="Arial"/>
        </w:rPr>
        <w:t xml:space="preserve"> such as trust between actors, strong community leadership, and adaptive local institutions. </w:t>
      </w:r>
      <w:r w:rsidRPr="00D2233C">
        <w:rPr>
          <w:rFonts w:ascii="Arial" w:hAnsi="Arial" w:cs="Arial"/>
        </w:rPr>
        <w:lastRenderedPageBreak/>
        <w:t>In the case of Danau Perintis, collaboration occurs informally, but there is still minimal institutional support</w:t>
      </w:r>
      <w:r w:rsidR="00DB3275">
        <w:rPr>
          <w:rFonts w:ascii="Arial" w:hAnsi="Arial" w:cs="Arial"/>
        </w:rPr>
        <w:t>,</w:t>
      </w:r>
      <w:r w:rsidRPr="00D2233C">
        <w:rPr>
          <w:rFonts w:ascii="Arial" w:hAnsi="Arial" w:cs="Arial"/>
        </w:rPr>
        <w:t xml:space="preserve"> such as tourism cooperatives or business associations.</w:t>
      </w:r>
    </w:p>
    <w:p w14:paraId="60A87BDC" w14:textId="77777777" w:rsidR="00D2233C" w:rsidRPr="00D2233C" w:rsidRDefault="00D2233C" w:rsidP="00D2233C">
      <w:pPr>
        <w:pStyle w:val="Body"/>
        <w:spacing w:before="240" w:after="0"/>
        <w:rPr>
          <w:rFonts w:ascii="Arial" w:hAnsi="Arial" w:cs="Arial"/>
        </w:rPr>
      </w:pPr>
      <w:r w:rsidRPr="00D2233C">
        <w:rPr>
          <w:rFonts w:ascii="Arial" w:hAnsi="Arial" w:cs="Arial"/>
        </w:rPr>
        <w:t>To increase the effectiveness of collaboration, local governments need to facilitate the establishment of joint business institutions, develop coordination forums for tourism actors, and provide incentives for cross-sector collaboration. As suggested by Puspita and Wahyuni (2023), strengthening local institutions is key to building a local economic ecosystem based on synergy between business actors and shared added value.</w:t>
      </w:r>
    </w:p>
    <w:p w14:paraId="3AA4A1F4" w14:textId="77777777" w:rsidR="00D2233C" w:rsidRPr="00D2233C" w:rsidRDefault="00D2233C" w:rsidP="00D2233C">
      <w:pPr>
        <w:pStyle w:val="Body"/>
        <w:spacing w:before="240" w:after="0"/>
        <w:rPr>
          <w:rFonts w:ascii="Arial" w:hAnsi="Arial" w:cs="Arial"/>
        </w:rPr>
      </w:pPr>
    </w:p>
    <w:p w14:paraId="58E5F138" w14:textId="77777777" w:rsidR="00D2233C" w:rsidRPr="00D2233C" w:rsidRDefault="00D2233C" w:rsidP="00D2233C">
      <w:pPr>
        <w:pStyle w:val="Body"/>
        <w:spacing w:before="240" w:after="0"/>
        <w:rPr>
          <w:rFonts w:ascii="Arial" w:hAnsi="Arial" w:cs="Arial"/>
          <w:b/>
        </w:rPr>
      </w:pPr>
      <w:r w:rsidRPr="00D2233C">
        <w:rPr>
          <w:rFonts w:ascii="Arial" w:hAnsi="Arial" w:cs="Arial"/>
          <w:b/>
        </w:rPr>
        <w:t>3.2.4 Implications for Tourism-Based Local Economic Growth</w:t>
      </w:r>
    </w:p>
    <w:p w14:paraId="0863DA8C" w14:textId="77777777" w:rsidR="00D2233C" w:rsidRPr="00D2233C" w:rsidRDefault="00D2233C" w:rsidP="00D2233C">
      <w:pPr>
        <w:pStyle w:val="Body"/>
        <w:spacing w:before="240" w:after="0"/>
        <w:rPr>
          <w:rFonts w:ascii="Arial" w:hAnsi="Arial" w:cs="Arial"/>
        </w:rPr>
      </w:pPr>
      <w:r w:rsidRPr="00D2233C">
        <w:rPr>
          <w:rFonts w:ascii="Arial" w:hAnsi="Arial" w:cs="Arial"/>
        </w:rPr>
        <w:t>Simultaneous testing results show that the integration of creative economy education, digital marketing, and MSME collaboration explains 58.1% of the variance in local economic growth. This indicates that these three variables have a synergistic and mutually reinforcing relationship in driving economic dynamics in the Lake Perintis tourist area. In other words, a partial approach is no longer adequate; local economic development strategies must be designed holistically and based on integration between sectors.</w:t>
      </w:r>
    </w:p>
    <w:p w14:paraId="79C3E13B" w14:textId="77777777" w:rsidR="00D2233C" w:rsidRPr="00D2233C" w:rsidRDefault="00D2233C" w:rsidP="00D2233C">
      <w:pPr>
        <w:pStyle w:val="Body"/>
        <w:spacing w:before="240" w:after="0"/>
        <w:rPr>
          <w:rFonts w:ascii="Arial" w:hAnsi="Arial" w:cs="Arial"/>
        </w:rPr>
      </w:pPr>
      <w:r w:rsidRPr="00D2233C">
        <w:rPr>
          <w:rFonts w:ascii="Arial" w:hAnsi="Arial" w:cs="Arial"/>
        </w:rPr>
        <w:t>This is in line with the findings of Hadiyati and Yuliana (2023), who state that successful local economic development in tourist destinations is determined by the integration of innovation, technology, and socio-economic collaboration. The combination of these three elements can create sustainable competitiveness, increase tourist retention, and strengthen the microeconomic structure based on local actors.</w:t>
      </w:r>
    </w:p>
    <w:p w14:paraId="6AA4935C" w14:textId="77777777" w:rsidR="00D2233C" w:rsidRPr="00D2233C" w:rsidRDefault="00D2233C" w:rsidP="00D2233C">
      <w:pPr>
        <w:pStyle w:val="Body"/>
        <w:spacing w:before="240" w:after="0"/>
        <w:rPr>
          <w:rFonts w:ascii="Arial" w:hAnsi="Arial" w:cs="Arial"/>
        </w:rPr>
      </w:pPr>
      <w:r w:rsidRPr="00D2233C">
        <w:rPr>
          <w:rFonts w:ascii="Arial" w:hAnsi="Arial" w:cs="Arial"/>
        </w:rPr>
        <w:t>The policy implication of these findings is the importance of a system-based development approach. Local governments cannot only focus on physical infrastructure or destination promotion, but must build a local economic ecosystem that includes training, digital access, and institutional collaboration. In addition, evidence-based policy-making is essential to respond to the real needs of business actors and ensure the effectiveness of government interventions.</w:t>
      </w:r>
    </w:p>
    <w:p w14:paraId="46B6253C" w14:textId="30798349" w:rsidR="00C30A0F" w:rsidRDefault="00D2233C" w:rsidP="00867C6C">
      <w:pPr>
        <w:pStyle w:val="Body"/>
        <w:spacing w:before="240" w:after="0"/>
        <w:rPr>
          <w:rFonts w:ascii="Arial" w:hAnsi="Arial" w:cs="Arial"/>
        </w:rPr>
      </w:pPr>
      <w:r w:rsidRPr="00D2233C">
        <w:rPr>
          <w:rFonts w:ascii="Arial" w:hAnsi="Arial" w:cs="Arial"/>
        </w:rPr>
        <w:t xml:space="preserve">Inclusive financing support, tax incentives for MSME collaboration, and sustainable capacity building programs need to be </w:t>
      </w:r>
      <w:r w:rsidR="00DB3275" w:rsidRPr="00DB0C49">
        <w:rPr>
          <w:rFonts w:ascii="Arial" w:hAnsi="Arial" w:cs="Arial"/>
          <w:highlight w:val="yellow"/>
        </w:rPr>
        <w:t xml:space="preserve">prioritised </w:t>
      </w:r>
      <w:r w:rsidRPr="00DB0C49">
        <w:rPr>
          <w:rFonts w:ascii="Arial" w:hAnsi="Arial" w:cs="Arial"/>
          <w:highlight w:val="yellow"/>
        </w:rPr>
        <w:t>in regional</w:t>
      </w:r>
      <w:r w:rsidRPr="00D2233C">
        <w:rPr>
          <w:rFonts w:ascii="Arial" w:hAnsi="Arial" w:cs="Arial"/>
        </w:rPr>
        <w:t xml:space="preserve"> development planning. The government can also develop public-private partnership (PPP) schemes to expand the scale of impact of local economic innovation.</w:t>
      </w:r>
      <w:r w:rsidR="00C30A0F" w:rsidRPr="00FB3A86">
        <w:rPr>
          <w:rFonts w:ascii="Arial" w:hAnsi="Arial" w:cs="Arial"/>
        </w:rPr>
        <w:t xml:space="preserve"> </w:t>
      </w:r>
    </w:p>
    <w:p w14:paraId="54BF4F74" w14:textId="77777777" w:rsidR="00E053D0" w:rsidRDefault="00E053D0" w:rsidP="00441B6F">
      <w:pPr>
        <w:pStyle w:val="Body"/>
        <w:spacing w:after="0"/>
        <w:rPr>
          <w:rFonts w:ascii="Arial" w:hAnsi="Arial" w:cs="Arial"/>
        </w:rPr>
      </w:pPr>
    </w:p>
    <w:p w14:paraId="4A57FB1E" w14:textId="77777777" w:rsidR="00790ADA" w:rsidRPr="00FB3A86" w:rsidRDefault="00790ADA" w:rsidP="00441B6F">
      <w:pPr>
        <w:pStyle w:val="Body"/>
        <w:spacing w:after="0"/>
        <w:rPr>
          <w:rFonts w:ascii="Arial" w:hAnsi="Arial" w:cs="Arial"/>
        </w:rPr>
      </w:pPr>
    </w:p>
    <w:p w14:paraId="2C498F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22813D" w14:textId="73BE2E34" w:rsidR="005E5717" w:rsidRPr="005E5717" w:rsidRDefault="005E5717" w:rsidP="00D2233C">
      <w:pPr>
        <w:pStyle w:val="Body"/>
        <w:spacing w:before="240" w:after="0"/>
        <w:rPr>
          <w:rFonts w:ascii="Arial" w:hAnsi="Arial" w:cs="Arial"/>
        </w:rPr>
      </w:pPr>
      <w:r w:rsidRPr="005E5717">
        <w:rPr>
          <w:rFonts w:ascii="Arial" w:hAnsi="Arial" w:cs="Arial"/>
        </w:rPr>
        <w:t>This study proves that creative economic education, digital marketing, and MSME collaboration simultaneously have a positive and significant effect on local economic growth in the Lake Perintis tourist area. Among the three, MSME collaboration is the dominant factor, followed by creative economic education and digital marketing. These results show that strategies based on synergy between business actors, creative skill enhancement, and digital transformation are important foundations in the development of tourism-based regional economies.</w:t>
      </w:r>
    </w:p>
    <w:p w14:paraId="4FC4BF5A" w14:textId="77777777" w:rsidR="005E5717" w:rsidRPr="005E5717" w:rsidRDefault="005E5717" w:rsidP="00D2233C">
      <w:pPr>
        <w:pStyle w:val="Body"/>
        <w:spacing w:before="240" w:after="0"/>
        <w:rPr>
          <w:rFonts w:ascii="Arial" w:hAnsi="Arial" w:cs="Arial"/>
        </w:rPr>
      </w:pPr>
      <w:r w:rsidRPr="005E5717">
        <w:rPr>
          <w:rFonts w:ascii="Arial" w:hAnsi="Arial" w:cs="Arial"/>
        </w:rPr>
        <w:t>The main contribution of this study lies in its integrative approach, which combines three key variables into a single analytical model, addressing the gap in previous literature that tended to be partial. These findings not only enrich academic discourse but also provide practical input for the formulation of community-based empowerment policies.</w:t>
      </w:r>
    </w:p>
    <w:p w14:paraId="49EDB065" w14:textId="1A7982F2" w:rsidR="00B01FCD" w:rsidRDefault="005E5717" w:rsidP="00D2233C">
      <w:pPr>
        <w:pStyle w:val="Body"/>
        <w:spacing w:before="240" w:after="0"/>
        <w:rPr>
          <w:rFonts w:ascii="Arial" w:hAnsi="Arial" w:cs="Arial"/>
        </w:rPr>
      </w:pPr>
      <w:r w:rsidRPr="005E5717">
        <w:rPr>
          <w:rFonts w:ascii="Arial" w:hAnsi="Arial" w:cs="Arial"/>
        </w:rPr>
        <w:lastRenderedPageBreak/>
        <w:t>Going forward, it is necessary to strengthen local institutions, provide needs-based training, and develop digital infrastructure that supports the sustainability of tourism MSMEs. Further research is recommended to explore other external factors</w:t>
      </w:r>
      <w:r w:rsidR="00DB3275">
        <w:rPr>
          <w:rFonts w:ascii="Arial" w:hAnsi="Arial" w:cs="Arial"/>
        </w:rPr>
        <w:t>,</w:t>
      </w:r>
      <w:r w:rsidRPr="005E5717">
        <w:rPr>
          <w:rFonts w:ascii="Arial" w:hAnsi="Arial" w:cs="Arial"/>
        </w:rPr>
        <w:t xml:space="preserve"> such as access to financing, the role of AI technology, and government policy dynamics</w:t>
      </w:r>
      <w:r w:rsidR="00DB3275">
        <w:rPr>
          <w:rFonts w:ascii="Arial" w:hAnsi="Arial" w:cs="Arial"/>
        </w:rPr>
        <w:t>,</w:t>
      </w:r>
      <w:r w:rsidRPr="005E5717">
        <w:rPr>
          <w:rFonts w:ascii="Arial" w:hAnsi="Arial" w:cs="Arial"/>
        </w:rPr>
        <w:t xml:space="preserve"> in supporting a more resilient and adaptive local economic ecosystem</w:t>
      </w:r>
      <w:r w:rsidR="00DB3275">
        <w:rPr>
          <w:rFonts w:ascii="Arial" w:hAnsi="Arial" w:cs="Arial"/>
        </w:rPr>
        <w:t xml:space="preserve">. </w:t>
      </w:r>
    </w:p>
    <w:p w14:paraId="3E94DE38" w14:textId="77777777" w:rsidR="00790ADA" w:rsidRDefault="00790ADA" w:rsidP="00441B6F">
      <w:pPr>
        <w:pStyle w:val="Body"/>
        <w:spacing w:after="0"/>
        <w:rPr>
          <w:rFonts w:ascii="Arial" w:hAnsi="Arial" w:cs="Arial"/>
        </w:rPr>
      </w:pPr>
    </w:p>
    <w:p w14:paraId="72DE24C9" w14:textId="4F361566" w:rsidR="005E2A07" w:rsidRDefault="005E2A07" w:rsidP="00A62F88">
      <w:pPr>
        <w:spacing w:after="200" w:line="276" w:lineRule="auto"/>
        <w:rPr>
          <w:rFonts w:asciiTheme="minorHAnsi" w:eastAsiaTheme="minorEastAsia" w:hAnsiTheme="minorHAnsi" w:cstheme="minorBidi"/>
          <w:sz w:val="22"/>
          <w:szCs w:val="22"/>
          <w:lang w:val="en-GB" w:eastAsia="en-GB"/>
        </w:rPr>
      </w:pPr>
    </w:p>
    <w:p w14:paraId="68DFD6EC" w14:textId="6E451903" w:rsidR="005E2A07" w:rsidRDefault="005E2A07" w:rsidP="00A62F88">
      <w:pPr>
        <w:spacing w:after="200" w:line="276" w:lineRule="auto"/>
        <w:rPr>
          <w:rFonts w:asciiTheme="minorHAnsi" w:eastAsiaTheme="minorEastAsia" w:hAnsiTheme="minorHAnsi" w:cstheme="minorBidi"/>
          <w:sz w:val="22"/>
          <w:szCs w:val="22"/>
          <w:lang w:val="en-GB" w:eastAsia="en-GB"/>
        </w:rPr>
      </w:pPr>
    </w:p>
    <w:p w14:paraId="2B0D8AA7" w14:textId="77777777" w:rsidR="005E2A07" w:rsidRPr="00C5241F" w:rsidRDefault="005E2A07" w:rsidP="005E2A07">
      <w:pPr>
        <w:rPr>
          <w:rFonts w:ascii="Calibri" w:eastAsia="Calibri" w:hAnsi="Calibri"/>
          <w:b/>
          <w:kern w:val="2"/>
          <w:highlight w:val="yellow"/>
        </w:rPr>
      </w:pPr>
      <w:bookmarkStart w:id="1" w:name="_Hlk197682619"/>
      <w:bookmarkStart w:id="2" w:name="_Hlk180402183"/>
      <w:bookmarkStart w:id="3" w:name="_Hlk183680988"/>
      <w:r w:rsidRPr="00C5241F">
        <w:rPr>
          <w:rFonts w:ascii="Calibri" w:eastAsia="Calibri" w:hAnsi="Calibri"/>
          <w:b/>
          <w:kern w:val="2"/>
          <w:highlight w:val="yellow"/>
        </w:rPr>
        <w:t>Disclaimer (Artificial intelligence)</w:t>
      </w:r>
    </w:p>
    <w:p w14:paraId="418CEF53"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 xml:space="preserve">Option 1: </w:t>
      </w:r>
    </w:p>
    <w:p w14:paraId="56C62801"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AF99AF0"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 xml:space="preserve">Option 2: </w:t>
      </w:r>
    </w:p>
    <w:p w14:paraId="24B9A43C"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DE4A5F"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AD7D74E"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1.</w:t>
      </w:r>
    </w:p>
    <w:p w14:paraId="756BBF66" w14:textId="77777777" w:rsidR="005E2A07" w:rsidRPr="009C5487" w:rsidRDefault="005E2A07" w:rsidP="005E2A07">
      <w:pPr>
        <w:rPr>
          <w:rFonts w:ascii="Calibri" w:eastAsia="Calibri" w:hAnsi="Calibri"/>
          <w:kern w:val="2"/>
          <w:highlight w:val="yellow"/>
        </w:rPr>
      </w:pPr>
      <w:r w:rsidRPr="009C5487">
        <w:rPr>
          <w:rFonts w:ascii="Calibri" w:eastAsia="Calibri" w:hAnsi="Calibri"/>
          <w:kern w:val="2"/>
          <w:highlight w:val="yellow"/>
        </w:rPr>
        <w:t>2.</w:t>
      </w:r>
    </w:p>
    <w:p w14:paraId="419A9F5F" w14:textId="77777777" w:rsidR="005E2A07" w:rsidRPr="009C5487" w:rsidRDefault="005E2A07" w:rsidP="005E2A07">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6BDD7CE7" w14:textId="77777777" w:rsidR="005E2A07" w:rsidRPr="00A62F88" w:rsidRDefault="005E2A07" w:rsidP="00A62F88">
      <w:pPr>
        <w:spacing w:after="200" w:line="276" w:lineRule="auto"/>
        <w:rPr>
          <w:rFonts w:asciiTheme="minorHAnsi" w:eastAsiaTheme="minorEastAsia" w:hAnsiTheme="minorHAnsi" w:cstheme="minorBidi"/>
          <w:sz w:val="22"/>
          <w:szCs w:val="22"/>
          <w:lang w:val="en-GB" w:eastAsia="en-GB"/>
        </w:rPr>
      </w:pPr>
    </w:p>
    <w:p w14:paraId="5CF2F6A4" w14:textId="77777777" w:rsidR="00A62F88" w:rsidRPr="00FB3A86" w:rsidRDefault="00A62F88" w:rsidP="00441B6F">
      <w:pPr>
        <w:pStyle w:val="Body"/>
        <w:spacing w:after="0"/>
        <w:rPr>
          <w:rFonts w:ascii="Arial" w:hAnsi="Arial" w:cs="Arial"/>
        </w:rPr>
      </w:pPr>
    </w:p>
    <w:p w14:paraId="701DE7C7" w14:textId="77777777" w:rsidR="00D2233C" w:rsidRDefault="00D2233C" w:rsidP="00441B6F">
      <w:pPr>
        <w:pStyle w:val="ReferHead"/>
        <w:spacing w:after="0"/>
        <w:jc w:val="both"/>
        <w:rPr>
          <w:rFonts w:ascii="Arial" w:hAnsi="Arial" w:cs="Arial"/>
        </w:rPr>
      </w:pPr>
    </w:p>
    <w:p w14:paraId="4651AA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0843AE" w14:textId="77777777" w:rsidR="00790ADA" w:rsidRPr="00FB3A86" w:rsidRDefault="00790ADA" w:rsidP="00441B6F">
      <w:pPr>
        <w:pStyle w:val="ReferHead"/>
        <w:spacing w:after="0"/>
        <w:jc w:val="both"/>
        <w:rPr>
          <w:rFonts w:ascii="Arial" w:hAnsi="Arial" w:cs="Arial"/>
        </w:rPr>
      </w:pPr>
    </w:p>
    <w:p w14:paraId="21F1C39F" w14:textId="078F54E9" w:rsidR="00C5241F" w:rsidRDefault="00C5241F" w:rsidP="0075540F">
      <w:pPr>
        <w:pStyle w:val="Body"/>
      </w:pPr>
      <w:r w:rsidRPr="00C5241F">
        <w:t xml:space="preserve">Gobbi, J., Ramírez, B. L., Muñoz, J., &amp; Cuellar, P. (2007). Methodology of socioeconomic research. In Carbon sequestration in tropical grassland ecosystems (pp. 103-111). Wageningen Academic. </w:t>
      </w:r>
      <w:r>
        <w:t>C</w:t>
      </w:r>
    </w:p>
    <w:p w14:paraId="2AD6799F" w14:textId="77777777" w:rsidR="00C5241F" w:rsidRDefault="00C5241F" w:rsidP="0075540F">
      <w:pPr>
        <w:pStyle w:val="Body"/>
      </w:pPr>
      <w:r w:rsidRPr="00C5241F">
        <w:t>Tsuladze, L. (2008). Quantitative Research Methods in Social Sciences. Tbilisi, Georgia.</w:t>
      </w:r>
    </w:p>
    <w:p w14:paraId="080B5863" w14:textId="77777777" w:rsidR="0075540F" w:rsidRDefault="0075540F" w:rsidP="0075540F">
      <w:pPr>
        <w:pStyle w:val="Body"/>
      </w:pPr>
      <w:r>
        <w:t>BPS Bone Bolango. (2025). Bone Bolango Regency in Figures 2025. Central Statistics Agency.</w:t>
      </w:r>
    </w:p>
    <w:p w14:paraId="63CD584A" w14:textId="77777777" w:rsidR="0075540F" w:rsidRDefault="0075540F" w:rsidP="0075540F">
      <w:pPr>
        <w:pStyle w:val="Body"/>
      </w:pPr>
      <w:r>
        <w:t>Florida, R. (2019). The Rise of the Creative Class: Revisited. Basic Books.</w:t>
      </w:r>
    </w:p>
    <w:p w14:paraId="52BAAB73" w14:textId="77777777" w:rsidR="00C5241F" w:rsidRDefault="00C5241F" w:rsidP="0075540F">
      <w:pPr>
        <w:pStyle w:val="Body"/>
      </w:pPr>
      <w:r w:rsidRPr="00C5241F">
        <w:t xml:space="preserve">Gordon, R. A. (2023). Applied statistics for the social and health sciences. Routledge. </w:t>
      </w:r>
    </w:p>
    <w:p w14:paraId="216A3353" w14:textId="778FBDA1" w:rsidR="0075540F" w:rsidRDefault="0075540F" w:rsidP="0075540F">
      <w:pPr>
        <w:pStyle w:val="Body"/>
      </w:pPr>
      <w:r>
        <w:t>Gulo, W., Sitompul, R., &amp; Manurung, B. (2020). Research Methodology. Jakarta: Grasindo.</w:t>
      </w:r>
      <w:r w:rsidR="007C221B" w:rsidRPr="007C221B">
        <w:t xml:space="preserve"> </w:t>
      </w:r>
      <w:hyperlink r:id="rId14" w:history="1">
        <w:r w:rsidR="007C221B" w:rsidRPr="00FB0721">
          <w:rPr>
            <w:rStyle w:val="Hyperlink"/>
          </w:rPr>
          <w:t>https://books.google.co.in/books?hl=en&amp;lr=&amp;id=lFJfR5jf-osC&amp;oi=fnd&amp;pg=PP8&amp;dq=Gulo+W+(2010)+Metodologi+Penelitian.+Jakarta:+Grasindo.&amp;ots=ZmwQ84o5g9&amp;sig=SRizaZ4k29NEO16xUEs9AO_aKPA#v=onepage&amp;q=Gulo%20W%20(2010)%20Metodologi%20Penelitian.%20Jakarta%3A%20Grasindo.&amp;f=false</w:t>
        </w:r>
      </w:hyperlink>
      <w:r w:rsidR="007C221B">
        <w:t xml:space="preserve"> </w:t>
      </w:r>
    </w:p>
    <w:p w14:paraId="023FC874" w14:textId="77777777" w:rsidR="0075540F" w:rsidRDefault="0075540F" w:rsidP="0075540F">
      <w:pPr>
        <w:pStyle w:val="Body"/>
      </w:pPr>
      <w:r>
        <w:t>Gössling, S., &amp; Hall, C. M. (2019). Sustainable Tourism: A Global Perspective. Routledge.</w:t>
      </w:r>
    </w:p>
    <w:p w14:paraId="63B3E64F" w14:textId="77777777" w:rsidR="007C221B" w:rsidRDefault="007C221B" w:rsidP="0075540F">
      <w:pPr>
        <w:pStyle w:val="Body"/>
      </w:pPr>
      <w:r w:rsidRPr="007C221B">
        <w:lastRenderedPageBreak/>
        <w:t xml:space="preserve">Sadan, V. (2017). Data collection methods in quantitative research. Indian Journal of Continuing Nursing Education, 18(2), 58-63. </w:t>
      </w:r>
    </w:p>
    <w:p w14:paraId="764DD7CC" w14:textId="77777777" w:rsidR="007C221B" w:rsidRDefault="007C221B" w:rsidP="0075540F">
      <w:pPr>
        <w:pStyle w:val="Body"/>
      </w:pPr>
      <w:r w:rsidRPr="007C221B">
        <w:t>Hermansyah, H., Suhud, U., &amp; Rizan, M. (2025). Empowering MSMEs in The Digital Era: A Systematic Literature Review on The Role of Digital Literacy. Greenation International Journal of Economics and Accounting, 3(2), 185-196.</w:t>
      </w:r>
    </w:p>
    <w:p w14:paraId="58660C6C" w14:textId="77777777" w:rsidR="007C221B" w:rsidRDefault="007C221B" w:rsidP="0075540F">
      <w:pPr>
        <w:pStyle w:val="Body"/>
      </w:pPr>
      <w:r w:rsidRPr="007C221B">
        <w:t xml:space="preserve">Brown, F., &amp; Hall, D. (2008). Tourism and development in the Global South: The issues. Third World Quarterly, 29(5), 839-849. </w:t>
      </w:r>
    </w:p>
    <w:p w14:paraId="2551C329" w14:textId="77777777" w:rsidR="00665CAC" w:rsidRDefault="00665CAC" w:rsidP="0075540F">
      <w:pPr>
        <w:pStyle w:val="Body"/>
      </w:pPr>
      <w:r w:rsidRPr="00665CAC">
        <w:t>Saharan, V. A., Kulhari, H., Jadhav, H., Pooja, D., Banerjee, S., &amp; Singh, A. (2024). Introduction to research methodology. In Principles of research methodology and ethics in pharmaceutical sciences (pp. 1-46). CRC Press.</w:t>
      </w:r>
    </w:p>
    <w:p w14:paraId="63D0AC32" w14:textId="563C638A" w:rsidR="0075540F" w:rsidRDefault="0075540F" w:rsidP="0075540F">
      <w:pPr>
        <w:pStyle w:val="Body"/>
      </w:pPr>
    </w:p>
    <w:p w14:paraId="576ADCC5" w14:textId="77777777" w:rsidR="0075540F" w:rsidRDefault="0075540F" w:rsidP="0075540F">
      <w:pPr>
        <w:pStyle w:val="Body"/>
      </w:pPr>
      <w:r>
        <w:t>Sharpley, R., &amp; Telfer, D. J. (2015). Tourism and Development in the Developing World. Routledge.</w:t>
      </w:r>
    </w:p>
    <w:p w14:paraId="39A44CE8" w14:textId="77777777" w:rsidR="0075540F" w:rsidRDefault="0075540F" w:rsidP="0075540F">
      <w:pPr>
        <w:pStyle w:val="Body"/>
      </w:pPr>
      <w:r>
        <w:t>Sugiyono, (2018). Quantitative, Qualitative, and R&amp;D Research Methods. Bandung: Alphabeta.</w:t>
      </w:r>
    </w:p>
    <w:p w14:paraId="19FA38C4" w14:textId="77777777" w:rsidR="0075540F" w:rsidRDefault="0075540F" w:rsidP="0075540F">
      <w:pPr>
        <w:pStyle w:val="Body"/>
        <w:spacing w:after="0"/>
      </w:pPr>
      <w:r>
        <w:t>UNWTO. (2023). Tourism Highlights 2023 Edition. World Tourism Organization.</w:t>
      </w:r>
    </w:p>
    <w:p w14:paraId="4A701C82" w14:textId="77777777" w:rsidR="00F01B35" w:rsidRDefault="00F01B35" w:rsidP="0075540F">
      <w:pPr>
        <w:pStyle w:val="Body"/>
        <w:spacing w:after="0"/>
      </w:pPr>
    </w:p>
    <w:p w14:paraId="5762EFA8" w14:textId="03074F0B" w:rsidR="00F01B35" w:rsidRDefault="00F01B35" w:rsidP="0075540F">
      <w:pPr>
        <w:pStyle w:val="Body"/>
        <w:spacing w:after="0"/>
      </w:pPr>
      <w:r w:rsidRPr="00DB0C49">
        <w:rPr>
          <w:highlight w:val="yellow"/>
        </w:rPr>
        <w:t xml:space="preserve">Hatibu, S. H. (2024). The multidimensional tourism carrying capacity model for Zanzibar. </w:t>
      </w:r>
      <w:r w:rsidRPr="00DB0C49">
        <w:rPr>
          <w:i/>
          <w:iCs/>
          <w:highlight w:val="yellow"/>
        </w:rPr>
        <w:t>Asian Journal of Economics, Business and Accounting, 24</w:t>
      </w:r>
      <w:r w:rsidRPr="00DB0C49">
        <w:rPr>
          <w:highlight w:val="yellow"/>
        </w:rPr>
        <w:t>(1), 63–80.</w:t>
      </w:r>
      <w:r w:rsidRPr="00F01B35">
        <w:t xml:space="preserve"> </w:t>
      </w:r>
    </w:p>
    <w:p w14:paraId="072A50C2" w14:textId="77777777" w:rsidR="004A7C34" w:rsidRDefault="004A7C34" w:rsidP="0075540F">
      <w:pPr>
        <w:pStyle w:val="Body"/>
        <w:spacing w:after="0"/>
      </w:pPr>
    </w:p>
    <w:p w14:paraId="0FC528A0" w14:textId="6A1578B8" w:rsidR="004A7C34" w:rsidRDefault="004A7C34" w:rsidP="0075540F">
      <w:pPr>
        <w:pStyle w:val="Body"/>
        <w:spacing w:after="0"/>
      </w:pPr>
      <w:r w:rsidRPr="00DB0C49">
        <w:rPr>
          <w:highlight w:val="yellow"/>
        </w:rPr>
        <w:t xml:space="preserve">Mukhlis, I., Hidayah, I., Pratama, A., Mas’ud, A. A., Agustin, G., &amp; Seprillina, L. (2021). Natural resource management to support tourism using circular economics business model: Case in Jatirejoyoso Village, Malang Regency, Indonesia. </w:t>
      </w:r>
      <w:r w:rsidRPr="00DB0C49">
        <w:rPr>
          <w:i/>
          <w:iCs/>
          <w:highlight w:val="yellow"/>
        </w:rPr>
        <w:t>Asian Journal of Agricultural Extension, Economics &amp; Sociology, 39</w:t>
      </w:r>
      <w:r w:rsidRPr="00DB0C49">
        <w:rPr>
          <w:highlight w:val="yellow"/>
        </w:rPr>
        <w:t>(11), 648–657.</w:t>
      </w:r>
    </w:p>
    <w:p w14:paraId="25AFB101" w14:textId="77777777" w:rsidR="00F85819" w:rsidRDefault="00F85819" w:rsidP="0075540F">
      <w:pPr>
        <w:pStyle w:val="Body"/>
        <w:spacing w:after="0"/>
      </w:pPr>
    </w:p>
    <w:p w14:paraId="1C15393D" w14:textId="15369EC9" w:rsidR="00F85819" w:rsidRDefault="00F85819" w:rsidP="0075540F">
      <w:pPr>
        <w:pStyle w:val="Body"/>
        <w:spacing w:after="0"/>
      </w:pPr>
      <w:r w:rsidRPr="00DB0C49">
        <w:rPr>
          <w:highlight w:val="yellow"/>
          <w:lang w:val="es-US"/>
        </w:rPr>
        <w:t xml:space="preserve">Silalahi, R. J., &amp; Agustina, N. (2024). </w:t>
      </w:r>
      <w:r w:rsidRPr="00DB0C49">
        <w:rPr>
          <w:highlight w:val="yellow"/>
        </w:rPr>
        <w:t>Analysis of Tourism Performance in Ten Priority Tourism Destinations in Indonesia. </w:t>
      </w:r>
      <w:r w:rsidRPr="00DB0C49">
        <w:rPr>
          <w:i/>
          <w:iCs/>
          <w:highlight w:val="yellow"/>
        </w:rPr>
        <w:t>Jurnal Kepariwisataan Indonesia: Jurnal Penelitian dan Pengembangan Kepariwisataan Indonesia</w:t>
      </w:r>
      <w:r w:rsidRPr="00DB0C49">
        <w:rPr>
          <w:highlight w:val="yellow"/>
        </w:rPr>
        <w:t>, </w:t>
      </w:r>
      <w:r w:rsidRPr="00DB0C49">
        <w:rPr>
          <w:i/>
          <w:iCs/>
          <w:highlight w:val="yellow"/>
        </w:rPr>
        <w:t>18</w:t>
      </w:r>
      <w:r w:rsidRPr="00DB0C49">
        <w:rPr>
          <w:highlight w:val="yellow"/>
        </w:rPr>
        <w:t>(2), 197-212.</w:t>
      </w:r>
    </w:p>
    <w:p w14:paraId="2625D16A" w14:textId="77777777" w:rsidR="00AA2818" w:rsidRDefault="00AA2818" w:rsidP="0075540F">
      <w:pPr>
        <w:pStyle w:val="Body"/>
        <w:spacing w:after="0"/>
      </w:pPr>
    </w:p>
    <w:p w14:paraId="3B124BE9" w14:textId="664EF5CB" w:rsidR="00AA2818" w:rsidRDefault="00AA2818" w:rsidP="0075540F">
      <w:pPr>
        <w:pStyle w:val="Body"/>
        <w:spacing w:after="0"/>
      </w:pPr>
      <w:r w:rsidRPr="00DB0C49">
        <w:rPr>
          <w:highlight w:val="yellow"/>
          <w:lang w:val="es-US"/>
        </w:rPr>
        <w:t xml:space="preserve">Hamzah, S. N., Sahami, F. M., Habibie, S. A., &amp; Djunaidi, S. (2025). </w:t>
      </w:r>
      <w:r w:rsidRPr="00DB0C49">
        <w:rPr>
          <w:highlight w:val="yellow"/>
        </w:rPr>
        <w:t>The Suitability of Tomini Bay Gorontalo for Marine Tourism: Opportunities and Challenges. </w:t>
      </w:r>
      <w:r w:rsidRPr="00DB0C49">
        <w:rPr>
          <w:i/>
          <w:iCs/>
          <w:highlight w:val="yellow"/>
        </w:rPr>
        <w:t>Jurnal Ilmiah Perikanan dan Kelautan</w:t>
      </w:r>
      <w:r w:rsidRPr="00DB0C49">
        <w:rPr>
          <w:highlight w:val="yellow"/>
        </w:rPr>
        <w:t>, </w:t>
      </w:r>
      <w:r w:rsidRPr="00DB0C49">
        <w:rPr>
          <w:i/>
          <w:iCs/>
          <w:highlight w:val="yellow"/>
        </w:rPr>
        <w:t>17</w:t>
      </w:r>
      <w:r w:rsidRPr="00DB0C49">
        <w:rPr>
          <w:highlight w:val="yellow"/>
        </w:rPr>
        <w:t>(2), 453.</w:t>
      </w:r>
    </w:p>
    <w:p w14:paraId="16F6A3FD" w14:textId="77777777" w:rsidR="0022341E" w:rsidRDefault="0022341E" w:rsidP="0075540F">
      <w:pPr>
        <w:pStyle w:val="Body"/>
        <w:spacing w:after="0"/>
      </w:pPr>
    </w:p>
    <w:p w14:paraId="6C85B56B" w14:textId="7B5C174B" w:rsidR="0022341E" w:rsidRDefault="0022341E" w:rsidP="0075540F">
      <w:pPr>
        <w:pStyle w:val="Body"/>
        <w:spacing w:after="0"/>
      </w:pPr>
      <w:r w:rsidRPr="00DB0C49">
        <w:rPr>
          <w:highlight w:val="yellow"/>
        </w:rPr>
        <w:t>Azhana, F. T. I., Setiawan, M., Susanti, L., Zakaria, M. R., Syafaat, R. R. A. K., &amp; Agustiningsih, N. (2024, April). Concept of Social Entrepreneurship in the Development of Creative Economy Tourism in Indonesia (Case Study: Cirendeu Village). In </w:t>
      </w:r>
      <w:r w:rsidRPr="00DB0C49">
        <w:rPr>
          <w:i/>
          <w:iCs/>
          <w:highlight w:val="yellow"/>
        </w:rPr>
        <w:t>IOP Conference Series: Earth and Environmental Science</w:t>
      </w:r>
      <w:r w:rsidRPr="00DB0C49">
        <w:rPr>
          <w:highlight w:val="yellow"/>
        </w:rPr>
        <w:t> (Vol. 1324, No. 1, p. 012073). IOP Publishing.</w:t>
      </w:r>
    </w:p>
    <w:p w14:paraId="0176D9ED" w14:textId="77777777" w:rsidR="00AA2818" w:rsidRDefault="00AA2818" w:rsidP="0075540F">
      <w:pPr>
        <w:pStyle w:val="Body"/>
        <w:spacing w:after="0"/>
      </w:pPr>
    </w:p>
    <w:p w14:paraId="45D285D0" w14:textId="77777777" w:rsidR="00AA2818" w:rsidRDefault="00AA2818" w:rsidP="0075540F">
      <w:pPr>
        <w:pStyle w:val="Body"/>
        <w:spacing w:after="0"/>
      </w:pPr>
    </w:p>
    <w:p w14:paraId="5A32DC42" w14:textId="77777777" w:rsidR="00F01B35" w:rsidRDefault="00F01B35" w:rsidP="0075540F">
      <w:pPr>
        <w:pStyle w:val="Body"/>
        <w:spacing w:after="0"/>
      </w:pPr>
    </w:p>
    <w:p w14:paraId="2F6069DB" w14:textId="77777777" w:rsidR="0075540F" w:rsidRDefault="0075540F" w:rsidP="0075540F">
      <w:pPr>
        <w:pStyle w:val="Body"/>
        <w:spacing w:after="0"/>
      </w:pPr>
    </w:p>
    <w:p w14:paraId="20C9C84F" w14:textId="77777777" w:rsidR="004D4277" w:rsidRPr="00FB3A86" w:rsidRDefault="004D4277" w:rsidP="00441B6F">
      <w:pPr>
        <w:pStyle w:val="Appendix"/>
        <w:spacing w:after="0"/>
        <w:jc w:val="both"/>
        <w:rPr>
          <w:rFonts w:ascii="Arial" w:hAnsi="Arial" w:cs="Arial"/>
          <w:b w:val="0"/>
        </w:rPr>
        <w:sectPr w:rsidR="004D4277" w:rsidRPr="00FB3A86" w:rsidSect="0012588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81638B1" w14:textId="77777777" w:rsidR="00B01FCD" w:rsidRPr="00FB3A86" w:rsidRDefault="00B01FCD" w:rsidP="00441B6F">
      <w:pPr>
        <w:pStyle w:val="Appendix"/>
        <w:spacing w:after="0"/>
        <w:jc w:val="both"/>
        <w:rPr>
          <w:rFonts w:ascii="Arial" w:hAnsi="Arial" w:cs="Arial"/>
          <w:b w:val="0"/>
        </w:rPr>
      </w:pPr>
    </w:p>
    <w:sectPr w:rsidR="00B01FCD" w:rsidRPr="00FB3A86" w:rsidSect="001258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9B578" w14:textId="77777777" w:rsidR="00E6551E" w:rsidRDefault="00E6551E" w:rsidP="00C37E61">
      <w:r>
        <w:separator/>
      </w:r>
    </w:p>
  </w:endnote>
  <w:endnote w:type="continuationSeparator" w:id="0">
    <w:p w14:paraId="53AE0E0B" w14:textId="77777777" w:rsidR="00E6551E" w:rsidRDefault="00E655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8F2E" w14:textId="77777777" w:rsidR="0012588B" w:rsidRDefault="0012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CAD1" w14:textId="77777777" w:rsidR="0012588B" w:rsidRDefault="00125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C72C" w14:textId="18A58A84" w:rsidR="00754C9A" w:rsidRPr="0012588B" w:rsidRDefault="00754C9A" w:rsidP="00125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A4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680A1" w14:textId="77777777" w:rsidR="00E6551E" w:rsidRDefault="00E6551E" w:rsidP="00C37E61">
      <w:r>
        <w:separator/>
      </w:r>
    </w:p>
  </w:footnote>
  <w:footnote w:type="continuationSeparator" w:id="0">
    <w:p w14:paraId="58BE94D4" w14:textId="77777777" w:rsidR="00E6551E" w:rsidRDefault="00E655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62D9" w14:textId="3EF307F1" w:rsidR="0012588B" w:rsidRDefault="00E6551E">
    <w:pPr>
      <w:pStyle w:val="Header"/>
    </w:pPr>
    <w:r>
      <w:rPr>
        <w:noProof/>
      </w:rPr>
      <w:pict w14:anchorId="637C9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5C6CD" w14:textId="7EECAD75" w:rsidR="0012588B" w:rsidRDefault="00E6551E">
    <w:pPr>
      <w:pStyle w:val="Header"/>
    </w:pPr>
    <w:r>
      <w:rPr>
        <w:noProof/>
      </w:rPr>
      <w:pict w14:anchorId="3369D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1731" w14:textId="611E9EC0" w:rsidR="00296529" w:rsidRPr="00296529" w:rsidRDefault="00E6551E" w:rsidP="00296529">
    <w:pPr>
      <w:ind w:left="2160"/>
      <w:jc w:val="center"/>
      <w:rPr>
        <w:rFonts w:ascii="Times New Roman" w:eastAsia="Calibri" w:hAnsi="Times New Roman"/>
        <w:i/>
        <w:sz w:val="18"/>
        <w:szCs w:val="22"/>
      </w:rPr>
    </w:pPr>
    <w:r>
      <w:rPr>
        <w:noProof/>
      </w:rPr>
      <w:pict w14:anchorId="478F5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4097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0F6D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619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73319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5B4D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C9CC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F2D7" w14:textId="2EF35182" w:rsidR="0012588B" w:rsidRDefault="00E6551E">
    <w:pPr>
      <w:pStyle w:val="Header"/>
    </w:pPr>
    <w:r>
      <w:rPr>
        <w:noProof/>
      </w:rPr>
      <w:pict w14:anchorId="35F26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29A4" w14:textId="4C475AAE" w:rsidR="0012588B" w:rsidRDefault="00E6551E">
    <w:pPr>
      <w:pStyle w:val="Header"/>
    </w:pPr>
    <w:r>
      <w:rPr>
        <w:noProof/>
      </w:rPr>
      <w:pict w14:anchorId="69D93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3070" w14:textId="5D9FA011" w:rsidR="0012588B" w:rsidRDefault="00E6551E">
    <w:pPr>
      <w:pStyle w:val="Header"/>
    </w:pPr>
    <w:r>
      <w:rPr>
        <w:noProof/>
      </w:rPr>
      <w:pict w14:anchorId="70C20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491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F563E"/>
    <w:multiLevelType w:val="hybridMultilevel"/>
    <w:tmpl w:val="A31047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C6B02"/>
    <w:multiLevelType w:val="hybridMultilevel"/>
    <w:tmpl w:val="F3F0FC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0479F"/>
    <w:multiLevelType w:val="hybridMultilevel"/>
    <w:tmpl w:val="BB8EA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B7621B"/>
    <w:multiLevelType w:val="hybridMultilevel"/>
    <w:tmpl w:val="1C24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540289"/>
    <w:multiLevelType w:val="hybridMultilevel"/>
    <w:tmpl w:val="441C4AF0"/>
    <w:lvl w:ilvl="0" w:tplc="4B5A0FB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0"/>
  </w:num>
  <w:num w:numId="25">
    <w:abstractNumId w:val="5"/>
  </w:num>
  <w:num w:numId="26">
    <w:abstractNumId w:val="18"/>
  </w:num>
  <w:num w:numId="27">
    <w:abstractNumId w:val="24"/>
  </w:num>
  <w:num w:numId="28">
    <w:abstractNumId w:val="31"/>
  </w:num>
  <w:num w:numId="29">
    <w:abstractNumId w:val="28"/>
  </w:num>
  <w:num w:numId="30">
    <w:abstractNumId w:val="11"/>
  </w:num>
  <w:num w:numId="31">
    <w:abstractNumId w:val="12"/>
  </w:num>
  <w:num w:numId="32">
    <w:abstractNumId w:val="21"/>
  </w:num>
  <w:num w:numId="33">
    <w:abstractNumId w:val="1"/>
  </w:num>
  <w:num w:numId="34">
    <w:abstractNumId w:val="1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zNTUxtzA1sjA1sLBU0lEKTi0uzszPAykwrAUAEmYqmCwAAAA="/>
  </w:docVars>
  <w:rsids>
    <w:rsidRoot w:val="00AA6219"/>
    <w:rsid w:val="00000F8F"/>
    <w:rsid w:val="00030174"/>
    <w:rsid w:val="0004579C"/>
    <w:rsid w:val="00087FFA"/>
    <w:rsid w:val="000A47FA"/>
    <w:rsid w:val="000A65D3"/>
    <w:rsid w:val="000B1E33"/>
    <w:rsid w:val="000D689F"/>
    <w:rsid w:val="000E7B7B"/>
    <w:rsid w:val="000E7D62"/>
    <w:rsid w:val="00103357"/>
    <w:rsid w:val="00123C9F"/>
    <w:rsid w:val="0012588B"/>
    <w:rsid w:val="00126190"/>
    <w:rsid w:val="00130F17"/>
    <w:rsid w:val="001320BF"/>
    <w:rsid w:val="00163B6B"/>
    <w:rsid w:val="00163BC4"/>
    <w:rsid w:val="00191062"/>
    <w:rsid w:val="00192B72"/>
    <w:rsid w:val="001A29D8"/>
    <w:rsid w:val="001A5CAA"/>
    <w:rsid w:val="001B0427"/>
    <w:rsid w:val="001D3A51"/>
    <w:rsid w:val="001E10D2"/>
    <w:rsid w:val="001E25B4"/>
    <w:rsid w:val="001E44FE"/>
    <w:rsid w:val="00200595"/>
    <w:rsid w:val="002012B6"/>
    <w:rsid w:val="00204835"/>
    <w:rsid w:val="0022341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978"/>
    <w:rsid w:val="0033343E"/>
    <w:rsid w:val="00342B1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086B"/>
    <w:rsid w:val="004A7C34"/>
    <w:rsid w:val="004B74C2"/>
    <w:rsid w:val="004D305E"/>
    <w:rsid w:val="004D4277"/>
    <w:rsid w:val="00502516"/>
    <w:rsid w:val="00505F06"/>
    <w:rsid w:val="00506828"/>
    <w:rsid w:val="0053056E"/>
    <w:rsid w:val="00554FDA"/>
    <w:rsid w:val="005550EF"/>
    <w:rsid w:val="00580A0F"/>
    <w:rsid w:val="005A0680"/>
    <w:rsid w:val="005C784C"/>
    <w:rsid w:val="005D17F6"/>
    <w:rsid w:val="005D73D9"/>
    <w:rsid w:val="005E2A07"/>
    <w:rsid w:val="005E5539"/>
    <w:rsid w:val="005E5717"/>
    <w:rsid w:val="00601E1B"/>
    <w:rsid w:val="00602BF5"/>
    <w:rsid w:val="00606F97"/>
    <w:rsid w:val="00607A5A"/>
    <w:rsid w:val="00617FDD"/>
    <w:rsid w:val="00633614"/>
    <w:rsid w:val="00633F68"/>
    <w:rsid w:val="00636EB2"/>
    <w:rsid w:val="006375B8"/>
    <w:rsid w:val="00655C1E"/>
    <w:rsid w:val="0066510A"/>
    <w:rsid w:val="00665CAC"/>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40F"/>
    <w:rsid w:val="0075599A"/>
    <w:rsid w:val="00761D52"/>
    <w:rsid w:val="0077749E"/>
    <w:rsid w:val="0078290D"/>
    <w:rsid w:val="00790ADA"/>
    <w:rsid w:val="007C221B"/>
    <w:rsid w:val="007D2288"/>
    <w:rsid w:val="007E088F"/>
    <w:rsid w:val="007F7B32"/>
    <w:rsid w:val="00804BC2"/>
    <w:rsid w:val="0081431A"/>
    <w:rsid w:val="00822371"/>
    <w:rsid w:val="0083216F"/>
    <w:rsid w:val="00832AB7"/>
    <w:rsid w:val="00860000"/>
    <w:rsid w:val="00863BD3"/>
    <w:rsid w:val="008641ED"/>
    <w:rsid w:val="00866D66"/>
    <w:rsid w:val="008671C6"/>
    <w:rsid w:val="00867C6C"/>
    <w:rsid w:val="00875803"/>
    <w:rsid w:val="008B459E"/>
    <w:rsid w:val="008D02FC"/>
    <w:rsid w:val="008E13AE"/>
    <w:rsid w:val="008E1506"/>
    <w:rsid w:val="008E710C"/>
    <w:rsid w:val="008F69D6"/>
    <w:rsid w:val="00902823"/>
    <w:rsid w:val="00915CA6"/>
    <w:rsid w:val="00927834"/>
    <w:rsid w:val="009500A6"/>
    <w:rsid w:val="00957C18"/>
    <w:rsid w:val="009628DE"/>
    <w:rsid w:val="009659BA"/>
    <w:rsid w:val="009770A2"/>
    <w:rsid w:val="00983040"/>
    <w:rsid w:val="009B3FB9"/>
    <w:rsid w:val="009C2465"/>
    <w:rsid w:val="009C3CFB"/>
    <w:rsid w:val="009D35A0"/>
    <w:rsid w:val="009D7EB7"/>
    <w:rsid w:val="009E048A"/>
    <w:rsid w:val="009E08E9"/>
    <w:rsid w:val="009E3DB9"/>
    <w:rsid w:val="009E6E35"/>
    <w:rsid w:val="009F0EDA"/>
    <w:rsid w:val="00A03B96"/>
    <w:rsid w:val="00A05B19"/>
    <w:rsid w:val="00A1134E"/>
    <w:rsid w:val="00A24E7E"/>
    <w:rsid w:val="00A258C3"/>
    <w:rsid w:val="00A347C0"/>
    <w:rsid w:val="00A419DF"/>
    <w:rsid w:val="00A51431"/>
    <w:rsid w:val="00A539AD"/>
    <w:rsid w:val="00A61044"/>
    <w:rsid w:val="00A62F88"/>
    <w:rsid w:val="00A72AA2"/>
    <w:rsid w:val="00A94063"/>
    <w:rsid w:val="00AA2818"/>
    <w:rsid w:val="00AA6219"/>
    <w:rsid w:val="00AA74E0"/>
    <w:rsid w:val="00AB703F"/>
    <w:rsid w:val="00AC6BB8"/>
    <w:rsid w:val="00AE008F"/>
    <w:rsid w:val="00B01FCD"/>
    <w:rsid w:val="00B1776C"/>
    <w:rsid w:val="00B2767C"/>
    <w:rsid w:val="00B36493"/>
    <w:rsid w:val="00B52583"/>
    <w:rsid w:val="00B52896"/>
    <w:rsid w:val="00B8376D"/>
    <w:rsid w:val="00B95236"/>
    <w:rsid w:val="00B96BD9"/>
    <w:rsid w:val="00BA1B01"/>
    <w:rsid w:val="00BA2641"/>
    <w:rsid w:val="00BA3CEC"/>
    <w:rsid w:val="00BB37AA"/>
    <w:rsid w:val="00BC53A0"/>
    <w:rsid w:val="00BE62AD"/>
    <w:rsid w:val="00BF121F"/>
    <w:rsid w:val="00BF1F80"/>
    <w:rsid w:val="00C166EF"/>
    <w:rsid w:val="00C17EB0"/>
    <w:rsid w:val="00C27F5F"/>
    <w:rsid w:val="00C30A0F"/>
    <w:rsid w:val="00C37E61"/>
    <w:rsid w:val="00C5241F"/>
    <w:rsid w:val="00C70F1B"/>
    <w:rsid w:val="00C71A47"/>
    <w:rsid w:val="00C7464C"/>
    <w:rsid w:val="00C85588"/>
    <w:rsid w:val="00CD6755"/>
    <w:rsid w:val="00CD6856"/>
    <w:rsid w:val="00CE0089"/>
    <w:rsid w:val="00CE793C"/>
    <w:rsid w:val="00CF193C"/>
    <w:rsid w:val="00D13710"/>
    <w:rsid w:val="00D173F1"/>
    <w:rsid w:val="00D2233C"/>
    <w:rsid w:val="00D46CA1"/>
    <w:rsid w:val="00D74CB0"/>
    <w:rsid w:val="00D8295D"/>
    <w:rsid w:val="00DB0C49"/>
    <w:rsid w:val="00DB3275"/>
    <w:rsid w:val="00DC2A65"/>
    <w:rsid w:val="00DE15F0"/>
    <w:rsid w:val="00DE15FF"/>
    <w:rsid w:val="00DE5663"/>
    <w:rsid w:val="00DE78AA"/>
    <w:rsid w:val="00DF640D"/>
    <w:rsid w:val="00E053D0"/>
    <w:rsid w:val="00E15994"/>
    <w:rsid w:val="00E3114E"/>
    <w:rsid w:val="00E31A70"/>
    <w:rsid w:val="00E35B02"/>
    <w:rsid w:val="00E6551E"/>
    <w:rsid w:val="00E65E3F"/>
    <w:rsid w:val="00E66496"/>
    <w:rsid w:val="00E66B35"/>
    <w:rsid w:val="00E66E10"/>
    <w:rsid w:val="00E769F6"/>
    <w:rsid w:val="00E8407C"/>
    <w:rsid w:val="00E84F3C"/>
    <w:rsid w:val="00EA012C"/>
    <w:rsid w:val="00EC6A55"/>
    <w:rsid w:val="00ED0288"/>
    <w:rsid w:val="00EE52CB"/>
    <w:rsid w:val="00EF581D"/>
    <w:rsid w:val="00EF7FD8"/>
    <w:rsid w:val="00F01B35"/>
    <w:rsid w:val="00F06F59"/>
    <w:rsid w:val="00F17988"/>
    <w:rsid w:val="00F207A1"/>
    <w:rsid w:val="00F41961"/>
    <w:rsid w:val="00F469F0"/>
    <w:rsid w:val="00F53273"/>
    <w:rsid w:val="00F755E4"/>
    <w:rsid w:val="00F77D02"/>
    <w:rsid w:val="00F8581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07B35A"/>
  <w15:docId w15:val="{88FD2DCA-1233-48B4-91B9-22159725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C524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9C3CFB"/>
    <w:rPr>
      <w:color w:val="605E5C"/>
      <w:shd w:val="clear" w:color="auto" w:fill="E1DFDD"/>
    </w:rPr>
  </w:style>
  <w:style w:type="paragraph" w:styleId="Revision">
    <w:name w:val="Revision"/>
    <w:hidden/>
    <w:uiPriority w:val="99"/>
    <w:semiHidden/>
    <w:rsid w:val="00655C1E"/>
    <w:rPr>
      <w:rFonts w:ascii="Helvetica" w:hAnsi="Helvetica"/>
    </w:rPr>
  </w:style>
  <w:style w:type="character" w:customStyle="1" w:styleId="Heading4Char">
    <w:name w:val="Heading 4 Char"/>
    <w:basedOn w:val="DefaultParagraphFont"/>
    <w:link w:val="Heading4"/>
    <w:semiHidden/>
    <w:rsid w:val="00C5241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12123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in/books?hl=en&amp;lr=&amp;id=lFJfR5jf-osC&amp;oi=fnd&amp;pg=PP8&amp;dq=Gulo+W+(2010)+Metodologi+Penelitian.+Jakarta:+Grasindo.&amp;ots=ZmwQ84o5g9&amp;sig=SRizaZ4k29NEO16xUEs9AO_aKPA#v=onepage&amp;q=Gulo%20W%20(2010)%20Metodologi%20Penelitian.%20Jakarta%3A%20Grasindo.&amp;f=fa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A0886-48C3-4836-915F-E90790D4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99</TotalTime>
  <Pages>10</Pages>
  <Words>4652</Words>
  <Characters>26520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57</cp:revision>
  <cp:lastPrinted>1999-07-06T11:00:00Z</cp:lastPrinted>
  <dcterms:created xsi:type="dcterms:W3CDTF">2014-10-25T14:34:00Z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2800454a-f193-4876-bf78-30dd46fb7237</vt:lpwstr>
  </property>
</Properties>
</file>