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4AA" w:rsidRDefault="00211741">
      <w:pPr>
        <w:spacing w:after="0"/>
        <w:ind w:left="1440"/>
        <w:jc w:val="right"/>
        <w:rPr>
          <w:rFonts w:ascii="Arial" w:hAnsi="Arial" w:cs="Arial"/>
          <w:b/>
          <w:sz w:val="36"/>
          <w:szCs w:val="36"/>
        </w:rPr>
      </w:pPr>
      <w:r>
        <w:rPr>
          <w:rFonts w:ascii="Arial" w:hAnsi="Arial"/>
          <w:b/>
          <w:sz w:val="36"/>
          <w:szCs w:val="36"/>
        </w:rPr>
        <w:t xml:space="preserve">Organizational Culture </w:t>
      </w:r>
      <w:r>
        <w:rPr>
          <w:rFonts w:ascii="Arial" w:hAnsi="Arial"/>
          <w:b/>
          <w:sz w:val="36"/>
          <w:szCs w:val="36"/>
          <w:lang w:val="en-US"/>
        </w:rPr>
        <w:t>a</w:t>
      </w:r>
      <w:proofErr w:type="spellStart"/>
      <w:r>
        <w:rPr>
          <w:rFonts w:ascii="Arial" w:hAnsi="Arial"/>
          <w:b/>
          <w:sz w:val="36"/>
          <w:szCs w:val="36"/>
        </w:rPr>
        <w:t>nd</w:t>
      </w:r>
      <w:proofErr w:type="spellEnd"/>
      <w:r>
        <w:rPr>
          <w:rFonts w:ascii="Arial" w:hAnsi="Arial"/>
          <w:b/>
          <w:sz w:val="36"/>
          <w:szCs w:val="36"/>
        </w:rPr>
        <w:t xml:space="preserve"> Employee Job Satisfaction </w:t>
      </w:r>
      <w:r>
        <w:rPr>
          <w:rFonts w:ascii="Arial" w:hAnsi="Arial"/>
          <w:b/>
          <w:sz w:val="36"/>
          <w:szCs w:val="36"/>
          <w:lang w:val="en-US"/>
        </w:rPr>
        <w:t>o</w:t>
      </w:r>
      <w:r>
        <w:rPr>
          <w:rFonts w:ascii="Arial" w:hAnsi="Arial"/>
          <w:b/>
          <w:sz w:val="36"/>
          <w:szCs w:val="36"/>
        </w:rPr>
        <w:t xml:space="preserve">f Local Government Unit </w:t>
      </w:r>
      <w:r>
        <w:rPr>
          <w:rFonts w:ascii="Arial" w:hAnsi="Arial"/>
          <w:b/>
          <w:sz w:val="36"/>
          <w:szCs w:val="36"/>
          <w:lang w:val="en-US"/>
        </w:rPr>
        <w:t>o</w:t>
      </w:r>
      <w:r>
        <w:rPr>
          <w:rFonts w:ascii="Arial" w:hAnsi="Arial"/>
          <w:b/>
          <w:sz w:val="36"/>
          <w:szCs w:val="36"/>
        </w:rPr>
        <w:t>f Boston</w:t>
      </w:r>
    </w:p>
    <w:p w:rsidR="00A034AA" w:rsidRDefault="00A034AA">
      <w:pPr>
        <w:spacing w:after="0"/>
        <w:rPr>
          <w:rFonts w:ascii="Arial" w:eastAsia="Arial" w:hAnsi="Arial" w:cs="Arial"/>
          <w:b/>
          <w:smallCaps/>
          <w:color w:val="000000"/>
          <w:lang w:val="en-US" w:eastAsia="en-PH"/>
        </w:rPr>
      </w:pPr>
    </w:p>
    <w:p w:rsidR="00A034AA" w:rsidRDefault="00A034AA">
      <w:pPr>
        <w:spacing w:after="0"/>
        <w:rPr>
          <w:rFonts w:ascii="Arial" w:eastAsia="Arial" w:hAnsi="Arial" w:cs="Arial"/>
          <w:b/>
          <w:smallCaps/>
          <w:color w:val="000000"/>
          <w:lang w:val="en-US" w:eastAsia="en-PH"/>
        </w:rPr>
      </w:pPr>
    </w:p>
    <w:p w:rsidR="00A034AA" w:rsidRDefault="00A034AA">
      <w:pPr>
        <w:spacing w:after="0"/>
        <w:rPr>
          <w:rFonts w:ascii="Arial" w:eastAsia="Arial" w:hAnsi="Arial" w:cs="Arial"/>
          <w:b/>
          <w:smallCaps/>
          <w:color w:val="000000"/>
          <w:lang w:val="en-US" w:eastAsia="en-PH"/>
        </w:rPr>
      </w:pPr>
    </w:p>
    <w:p w:rsidR="00A034AA" w:rsidRDefault="00A034AA">
      <w:pPr>
        <w:spacing w:after="0"/>
        <w:rPr>
          <w:rFonts w:ascii="Arial" w:eastAsia="Arial" w:hAnsi="Arial" w:cs="Arial"/>
          <w:b/>
          <w:smallCaps/>
          <w:color w:val="000000"/>
          <w:lang w:val="en-US" w:eastAsia="en-PH"/>
        </w:rPr>
      </w:pPr>
    </w:p>
    <w:p w:rsidR="00A034AA" w:rsidRDefault="00A034AA">
      <w:pPr>
        <w:spacing w:after="0"/>
        <w:rPr>
          <w:rFonts w:ascii="Arial" w:eastAsia="Arial" w:hAnsi="Arial" w:cs="Arial"/>
          <w:b/>
          <w:smallCaps/>
          <w:color w:val="000000"/>
          <w:lang w:val="en-US" w:eastAsia="en-PH"/>
        </w:rPr>
      </w:pPr>
    </w:p>
    <w:p w:rsidR="00A034AA" w:rsidRDefault="00211741">
      <w:pPr>
        <w:spacing w:after="0"/>
        <w:rPr>
          <w:rFonts w:ascii="Arial" w:eastAsia="Arial" w:hAnsi="Arial" w:cs="Arial"/>
          <w:b/>
          <w:smallCaps/>
          <w:color w:val="000000"/>
          <w:lang w:val="en-US" w:eastAsia="en-PH"/>
        </w:rPr>
      </w:pPr>
      <w:r>
        <w:rPr>
          <w:rFonts w:ascii="Arial" w:eastAsia="Arial" w:hAnsi="Arial" w:cs="Arial"/>
          <w:noProof/>
          <w:color w:val="000000"/>
          <w:sz w:val="16"/>
          <w:szCs w:val="16"/>
          <w:lang w:eastAsia="en-PH"/>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191770</wp:posOffset>
                </wp:positionV>
                <wp:extent cx="5212080" cy="18415"/>
                <wp:effectExtent l="0" t="0" r="26670" b="19685"/>
                <wp:wrapTopAndBottom/>
                <wp:docPr id="2" name="Straight Arrow Connector 2"/>
                <wp:cNvGraphicFramePr/>
                <a:graphic xmlns:a="http://schemas.openxmlformats.org/drawingml/2006/main">
                  <a:graphicData uri="http://schemas.microsoft.com/office/word/2010/wordprocessingShape">
                    <wps:wsp>
                      <wps:cNvCnPr/>
                      <wps:spPr>
                        <a:xfrm>
                          <a:off x="0" y="0"/>
                          <a:ext cx="5212080" cy="1841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1.55pt;margin-top:15.1pt;height:1.45pt;width:410.4pt;mso-wrap-distance-bottom:0pt;mso-wrap-distance-top:0pt;z-index:251659264;mso-width-relative:page;mso-height-relative:page;" filled="f" stroked="t" coordsize="21600,21600" o:gfxdata="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zux&#10;WtIAAAAHAQAADwAAAAAAAAABACAAAAAiAAAAZHJzL2Rvd25yZXYueG1sUEsBAhQAFAAAAAgAh07i&#10;QMeJtXLvAQAACQQAAA4AAAAAAAAAAQAgAAAAIQEAAGRycy9lMm9Eb2MueG1sUEsFBgAAAAAGAAYA&#10;WQEAAIIFAAAAAA==&#10;">
                <v:fill on="f" focussize="0,0"/>
                <v:stroke weight="1.5pt" color="#000000" joinstyle="round"/>
                <v:imagedata o:title=""/>
                <o:lock v:ext="edit" aspectratio="f"/>
                <w10:wrap type="topAndBottom"/>
              </v:shape>
            </w:pict>
          </mc:Fallback>
        </mc:AlternateContent>
      </w:r>
      <w:r>
        <w:rPr>
          <w:rFonts w:ascii="Arial" w:eastAsia="Arial" w:hAnsi="Arial" w:cs="Arial"/>
          <w:b/>
          <w:smallCaps/>
          <w:color w:val="000000"/>
          <w:lang w:val="en-US" w:eastAsia="en-PH"/>
        </w:rPr>
        <w:t xml:space="preserve"> </w:t>
      </w:r>
    </w:p>
    <w:p w:rsidR="00A034AA" w:rsidRDefault="00A034AA">
      <w:pPr>
        <w:spacing w:after="0"/>
        <w:rPr>
          <w:rFonts w:ascii="Arial" w:eastAsia="Arial" w:hAnsi="Arial" w:cs="Arial"/>
          <w:b/>
          <w:smallCaps/>
          <w:color w:val="000000"/>
          <w:lang w:val="en-US" w:eastAsia="en-PH"/>
        </w:rPr>
      </w:pPr>
    </w:p>
    <w:p w:rsidR="00A034AA" w:rsidRDefault="00211741">
      <w:pPr>
        <w:spacing w:after="0"/>
        <w:rPr>
          <w:rFonts w:ascii="Arial" w:eastAsia="Arial" w:hAnsi="Arial" w:cs="Arial"/>
          <w:color w:val="000000"/>
          <w:sz w:val="16"/>
          <w:szCs w:val="16"/>
          <w:lang w:eastAsia="en-PH"/>
        </w:rPr>
      </w:pPr>
      <w:r>
        <w:rPr>
          <w:rFonts w:ascii="Arial" w:eastAsia="Arial" w:hAnsi="Arial" w:cs="Arial"/>
          <w:b/>
          <w:smallCaps/>
          <w:color w:val="000000"/>
          <w:lang w:val="en-US" w:eastAsia="en-PH"/>
        </w:rPr>
        <w:t>ABSTRACT</w:t>
      </w:r>
      <w:r>
        <w:rPr>
          <w:rFonts w:ascii="Arial" w:eastAsia="Arial" w:hAnsi="Arial" w:cs="Arial"/>
          <w:color w:val="000000"/>
          <w:sz w:val="16"/>
          <w:szCs w:val="16"/>
          <w:lang w:eastAsia="en-PH"/>
        </w:rPr>
        <w:t xml:space="preserve"> </w:t>
      </w:r>
    </w:p>
    <w:p w:rsidR="00A034AA" w:rsidRDefault="00A034AA">
      <w:pPr>
        <w:spacing w:after="0"/>
        <w:rPr>
          <w:rFonts w:ascii="Arial" w:eastAsia="Arial" w:hAnsi="Arial" w:cs="Arial"/>
          <w:color w:val="000000"/>
          <w:sz w:val="16"/>
          <w:szCs w:val="16"/>
          <w:lang w:eastAsia="en-PH"/>
        </w:rPr>
      </w:pPr>
    </w:p>
    <w:tbl>
      <w:tblPr>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8"/>
      </w:tblGrid>
      <w:tr w:rsidR="00A034AA">
        <w:tc>
          <w:tcPr>
            <w:tcW w:w="8198" w:type="dxa"/>
            <w:shd w:val="clear" w:color="auto" w:fill="F2F2F2"/>
          </w:tcPr>
          <w:p w:rsidR="00A034AA" w:rsidRDefault="00211741">
            <w:pPr>
              <w:spacing w:after="0"/>
              <w:jc w:val="both"/>
              <w:rPr>
                <w:rFonts w:ascii="Arial" w:eastAsia="Arial" w:hAnsi="Arial" w:cs="Arial"/>
                <w:sz w:val="20"/>
                <w:lang w:val="en-US"/>
              </w:rPr>
            </w:pPr>
            <w:r>
              <w:rPr>
                <w:rFonts w:ascii="Arial" w:hAnsi="Arial"/>
                <w:color w:val="000000" w:themeColor="text1"/>
                <w:sz w:val="20"/>
                <w:szCs w:val="20"/>
                <w:highlight w:val="cyan"/>
              </w:rPr>
              <w:t xml:space="preserve">This study examined organizational culture and employee job satisfaction in </w:t>
            </w:r>
            <w:r>
              <w:rPr>
                <w:rFonts w:ascii="Arial" w:hAnsi="Arial"/>
                <w:color w:val="000000" w:themeColor="text1"/>
                <w:sz w:val="20"/>
                <w:szCs w:val="20"/>
                <w:highlight w:val="cyan"/>
              </w:rPr>
              <w:t>the Local Government Unit (LGU) of Boston using a descriptive-correlational design. All employees with at least six months of service were surveyed through adapted standardized questionnaires to ensure reliable data and adequate familiarity with the organi</w:t>
            </w:r>
            <w:r>
              <w:rPr>
                <w:rFonts w:ascii="Arial" w:hAnsi="Arial"/>
                <w:color w:val="000000" w:themeColor="text1"/>
                <w:sz w:val="20"/>
                <w:szCs w:val="20"/>
                <w:highlight w:val="cyan"/>
              </w:rPr>
              <w:t>zational environment.</w:t>
            </w:r>
            <w:r>
              <w:rPr>
                <w:rFonts w:ascii="Arial" w:hAnsi="Arial"/>
                <w:color w:val="000000" w:themeColor="text1"/>
                <w:sz w:val="20"/>
                <w:szCs w:val="20"/>
              </w:rPr>
              <w:t xml:space="preserve"> The results showed that organizational culture in the LGU was consistently practiced across four key dimensions: involvement, consistency, adaptability, and mission</w:t>
            </w:r>
            <w:r>
              <w:rPr>
                <w:rFonts w:ascii="Arial" w:hAnsi="Arial"/>
                <w:color w:val="000000" w:themeColor="text1"/>
                <w:sz w:val="20"/>
                <w:szCs w:val="20"/>
                <w:lang w:val="en-US"/>
              </w:rPr>
              <w:t xml:space="preserve"> </w:t>
            </w:r>
            <w:r>
              <w:rPr>
                <w:rFonts w:ascii="Arial" w:hAnsi="Arial"/>
                <w:color w:val="000000" w:themeColor="text1"/>
                <w:sz w:val="20"/>
                <w:szCs w:val="20"/>
                <w:highlight w:val="yellow"/>
                <w:lang w:val="en-US"/>
              </w:rPr>
              <w:t>with mean scores ranging from 4.25 to 4.38</w:t>
            </w:r>
            <w:r>
              <w:rPr>
                <w:rFonts w:ascii="Arial" w:hAnsi="Arial"/>
                <w:color w:val="000000" w:themeColor="text1"/>
                <w:sz w:val="20"/>
                <w:szCs w:val="20"/>
              </w:rPr>
              <w:t xml:space="preserve">. Regarding job </w:t>
            </w:r>
            <w:r>
              <w:rPr>
                <w:rFonts w:ascii="Arial" w:hAnsi="Arial"/>
                <w:color w:val="000000" w:themeColor="text1"/>
                <w:sz w:val="20"/>
                <w:szCs w:val="20"/>
              </w:rPr>
              <w:t>satisfaction, employees expressed high levels of satisfaction with their supervision, co-worker relationships, and working conditions</w:t>
            </w:r>
            <w:r>
              <w:rPr>
                <w:rFonts w:ascii="Arial" w:hAnsi="Arial"/>
                <w:color w:val="000000" w:themeColor="text1"/>
                <w:sz w:val="20"/>
                <w:szCs w:val="20"/>
                <w:lang w:val="en-US"/>
              </w:rPr>
              <w:t xml:space="preserve"> </w:t>
            </w:r>
            <w:r>
              <w:rPr>
                <w:rFonts w:ascii="Arial" w:hAnsi="Arial"/>
                <w:color w:val="000000" w:themeColor="text1"/>
                <w:sz w:val="20"/>
                <w:szCs w:val="20"/>
                <w:highlight w:val="yellow"/>
                <w:lang w:val="en-US"/>
              </w:rPr>
              <w:t>with mean scores ranging from 4.32 to 4.45</w:t>
            </w:r>
            <w:r>
              <w:rPr>
                <w:rFonts w:ascii="Arial" w:hAnsi="Arial"/>
                <w:color w:val="000000" w:themeColor="text1"/>
                <w:sz w:val="20"/>
                <w:szCs w:val="20"/>
              </w:rPr>
              <w:t>. However, satisfaction levels were relatively lower regarding salary and promot</w:t>
            </w:r>
            <w:r>
              <w:rPr>
                <w:rFonts w:ascii="Arial" w:hAnsi="Arial"/>
                <w:color w:val="000000" w:themeColor="text1"/>
                <w:sz w:val="20"/>
                <w:szCs w:val="20"/>
              </w:rPr>
              <w:t>ion opportunities</w:t>
            </w:r>
            <w:r>
              <w:rPr>
                <w:rFonts w:ascii="Arial" w:hAnsi="Arial"/>
                <w:color w:val="000000" w:themeColor="text1"/>
                <w:sz w:val="20"/>
                <w:szCs w:val="20"/>
                <w:lang w:val="en-US"/>
              </w:rPr>
              <w:t xml:space="preserve"> </w:t>
            </w:r>
            <w:r>
              <w:rPr>
                <w:rFonts w:ascii="Arial" w:hAnsi="Arial"/>
                <w:color w:val="000000" w:themeColor="text1"/>
                <w:sz w:val="20"/>
                <w:szCs w:val="20"/>
                <w:highlight w:val="yellow"/>
                <w:lang w:val="en-US"/>
              </w:rPr>
              <w:t>with mean scores of 3.64 and 3.82, respectively</w:t>
            </w:r>
            <w:r>
              <w:rPr>
                <w:rFonts w:ascii="Arial" w:hAnsi="Arial"/>
                <w:color w:val="000000" w:themeColor="text1"/>
                <w:sz w:val="20"/>
                <w:szCs w:val="20"/>
                <w:highlight w:val="yellow"/>
              </w:rPr>
              <w:t xml:space="preserve">. </w:t>
            </w:r>
            <w:r>
              <w:rPr>
                <w:rFonts w:ascii="Arial" w:hAnsi="Arial"/>
                <w:color w:val="000000" w:themeColor="text1"/>
                <w:sz w:val="20"/>
                <w:szCs w:val="20"/>
              </w:rPr>
              <w:t>A</w:t>
            </w:r>
            <w:r>
              <w:rPr>
                <w:rFonts w:ascii="Arial" w:hAnsi="Arial"/>
                <w:color w:val="000000" w:themeColor="text1"/>
                <w:sz w:val="20"/>
                <w:szCs w:val="20"/>
                <w:highlight w:val="yellow"/>
              </w:rPr>
              <w:t xml:space="preserve"> moderate positive correlation</w:t>
            </w:r>
            <w:r>
              <w:rPr>
                <w:rFonts w:ascii="Arial" w:hAnsi="Arial"/>
                <w:color w:val="000000" w:themeColor="text1"/>
                <w:sz w:val="20"/>
                <w:szCs w:val="20"/>
                <w:highlight w:val="yellow"/>
                <w:lang w:val="en-US"/>
              </w:rPr>
              <w:t xml:space="preserve"> (r = 551)</w:t>
            </w:r>
            <w:r>
              <w:rPr>
                <w:rFonts w:ascii="Arial" w:hAnsi="Arial"/>
                <w:color w:val="000000" w:themeColor="text1"/>
                <w:sz w:val="20"/>
                <w:szCs w:val="20"/>
              </w:rPr>
              <w:t xml:space="preserve"> was found between organizational culture and job satisfaction, suggesting that as organizational culture improves, so does employee satisfaction. </w:t>
            </w:r>
            <w:r>
              <w:rPr>
                <w:rFonts w:ascii="Arial" w:hAnsi="Arial"/>
                <w:color w:val="000000" w:themeColor="text1"/>
                <w:sz w:val="20"/>
                <w:szCs w:val="20"/>
              </w:rPr>
              <w:t xml:space="preserve">Regression analysis showed that organizational culture explained </w:t>
            </w:r>
            <w:r>
              <w:rPr>
                <w:rFonts w:ascii="Arial" w:hAnsi="Arial"/>
                <w:color w:val="000000" w:themeColor="text1"/>
                <w:sz w:val="20"/>
                <w:szCs w:val="20"/>
                <w:highlight w:val="yellow"/>
              </w:rPr>
              <w:t>31.9% of the variance</w:t>
            </w:r>
            <w:r>
              <w:rPr>
                <w:rFonts w:ascii="Arial" w:hAnsi="Arial"/>
                <w:color w:val="000000" w:themeColor="text1"/>
                <w:sz w:val="20"/>
                <w:szCs w:val="20"/>
              </w:rPr>
              <w:t xml:space="preserve"> in job satisfaction, with only involvement and adaptability having significant effects, while consistency and mission </w:t>
            </w:r>
            <w:r>
              <w:rPr>
                <w:rFonts w:ascii="Arial" w:hAnsi="Arial"/>
                <w:color w:val="000000" w:themeColor="text1"/>
                <w:sz w:val="20"/>
                <w:szCs w:val="20"/>
              </w:rPr>
              <w:t>had no statistically significant impact.</w:t>
            </w:r>
            <w:r>
              <w:rPr>
                <w:rFonts w:ascii="Arial" w:hAnsi="Arial"/>
                <w:color w:val="000000" w:themeColor="text1"/>
                <w:sz w:val="20"/>
                <w:szCs w:val="20"/>
                <w:lang w:val="en-US"/>
              </w:rPr>
              <w:t xml:space="preserve"> </w:t>
            </w:r>
            <w:r>
              <w:rPr>
                <w:rFonts w:ascii="Arial" w:hAnsi="Arial"/>
                <w:color w:val="000000" w:themeColor="text1"/>
                <w:sz w:val="20"/>
                <w:szCs w:val="20"/>
                <w:highlight w:val="cyan"/>
                <w:lang w:val="en-US"/>
              </w:rPr>
              <w:t xml:space="preserve">The study </w:t>
            </w:r>
            <w:r>
              <w:rPr>
                <w:rFonts w:ascii="Arial" w:hAnsi="Arial"/>
                <w:color w:val="000000" w:themeColor="text1"/>
                <w:sz w:val="20"/>
                <w:szCs w:val="20"/>
                <w:highlight w:val="cyan"/>
                <w:lang w:val="en-US"/>
              </w:rPr>
              <w:t>enriches organizational behavior literature by linking participatory and adaptive cultures to higher employee satisfaction, providing useful insights to strengthen local governance.</w:t>
            </w:r>
          </w:p>
        </w:tc>
      </w:tr>
    </w:tbl>
    <w:p w:rsidR="00A034AA" w:rsidRDefault="00211741">
      <w:pPr>
        <w:spacing w:after="0"/>
        <w:rPr>
          <w:rFonts w:ascii="Arial" w:hAnsi="Arial" w:cs="Arial"/>
          <w:i/>
          <w:iCs/>
          <w:color w:val="000000" w:themeColor="text1"/>
          <w:sz w:val="20"/>
        </w:rPr>
      </w:pPr>
      <w:r>
        <w:rPr>
          <w:rFonts w:ascii="Arial" w:hAnsi="Arial" w:cs="Arial"/>
          <w:i/>
          <w:sz w:val="20"/>
          <w:szCs w:val="36"/>
        </w:rPr>
        <w:t xml:space="preserve">Keywords: </w:t>
      </w:r>
      <w:r>
        <w:rPr>
          <w:rFonts w:ascii="Arial" w:hAnsi="Arial"/>
          <w:i/>
          <w:iCs/>
          <w:color w:val="000000" w:themeColor="text1"/>
          <w:sz w:val="20"/>
        </w:rPr>
        <w:t xml:space="preserve">local government unit, correlation, employee, organizational </w:t>
      </w:r>
      <w:r>
        <w:rPr>
          <w:rFonts w:ascii="Arial" w:hAnsi="Arial"/>
          <w:i/>
          <w:iCs/>
          <w:color w:val="000000" w:themeColor="text1"/>
          <w:sz w:val="20"/>
        </w:rPr>
        <w:t>culture, job satisfaction</w:t>
      </w:r>
    </w:p>
    <w:p w:rsidR="00A034AA" w:rsidRDefault="00A034AA">
      <w:pPr>
        <w:spacing w:after="0"/>
        <w:rPr>
          <w:rFonts w:ascii="Arial" w:hAnsi="Arial" w:cs="Arial"/>
          <w:sz w:val="20"/>
          <w:szCs w:val="36"/>
        </w:rPr>
      </w:pPr>
    </w:p>
    <w:p w:rsidR="00A034AA" w:rsidRDefault="00211741">
      <w:pPr>
        <w:spacing w:after="0"/>
        <w:rPr>
          <w:rFonts w:ascii="Arial" w:eastAsia="Arial" w:hAnsi="Arial" w:cs="Arial"/>
          <w:b/>
          <w:smallCaps/>
          <w:color w:val="000000"/>
          <w:lang w:val="en-US" w:eastAsia="en-PH"/>
        </w:rPr>
      </w:pPr>
      <w:r>
        <w:rPr>
          <w:rFonts w:ascii="Arial" w:eastAsia="Arial" w:hAnsi="Arial" w:cs="Arial"/>
          <w:b/>
          <w:smallCaps/>
          <w:color w:val="000000"/>
          <w:lang w:val="en-US" w:eastAsia="en-PH"/>
        </w:rPr>
        <w:t xml:space="preserve">1. INTRODUCTION   </w:t>
      </w:r>
    </w:p>
    <w:p w:rsidR="00A034AA" w:rsidRDefault="00211741">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Organizational culture refers to the shared values, beliefs, norms, and practices that shape employee behavior and influence the overall dynamics within an organization. A strong organizational culture fosters </w:t>
      </w:r>
      <w:r>
        <w:rPr>
          <w:rFonts w:ascii="Arial" w:hAnsi="Arial" w:cs="Arial"/>
          <w:sz w:val="20"/>
          <w:szCs w:val="20"/>
        </w:rPr>
        <w:t xml:space="preserve">open communication, shared goals, and employee involvement, creating a supportive environment that drives productivity and collaboration </w:t>
      </w:r>
      <w:r>
        <w:rPr>
          <w:rFonts w:ascii="Arial" w:hAnsi="Arial" w:cs="Arial"/>
          <w:color w:val="000000" w:themeColor="text1"/>
          <w:sz w:val="20"/>
          <w:szCs w:val="20"/>
        </w:rPr>
        <w:t>(</w:t>
      </w:r>
      <w:proofErr w:type="spellStart"/>
      <w:r>
        <w:rPr>
          <w:rFonts w:ascii="Arial" w:hAnsi="Arial" w:cs="Arial"/>
          <w:color w:val="000000" w:themeColor="text1"/>
          <w:sz w:val="20"/>
          <w:szCs w:val="20"/>
        </w:rPr>
        <w:t>Assoratgoon</w:t>
      </w:r>
      <w:proofErr w:type="spellEnd"/>
      <w:r>
        <w:rPr>
          <w:rFonts w:ascii="Arial" w:hAnsi="Arial" w:cs="Arial"/>
          <w:color w:val="000000" w:themeColor="text1"/>
          <w:sz w:val="20"/>
          <w:szCs w:val="20"/>
        </w:rPr>
        <w:t xml:space="preserve"> &amp; </w:t>
      </w:r>
      <w:proofErr w:type="spellStart"/>
      <w:r>
        <w:rPr>
          <w:rFonts w:ascii="Arial" w:hAnsi="Arial" w:cs="Arial"/>
          <w:color w:val="000000" w:themeColor="text1"/>
          <w:sz w:val="20"/>
          <w:szCs w:val="20"/>
        </w:rPr>
        <w:t>Kantabutra</w:t>
      </w:r>
      <w:proofErr w:type="spellEnd"/>
      <w:r>
        <w:rPr>
          <w:rFonts w:ascii="Arial" w:hAnsi="Arial" w:cs="Arial"/>
          <w:color w:val="000000" w:themeColor="text1"/>
          <w:sz w:val="20"/>
          <w:szCs w:val="20"/>
        </w:rPr>
        <w:t xml:space="preserve">, 2023). </w:t>
      </w:r>
      <w:r>
        <w:rPr>
          <w:rFonts w:ascii="Arial" w:hAnsi="Arial" w:cs="Arial"/>
          <w:sz w:val="20"/>
          <w:szCs w:val="20"/>
        </w:rPr>
        <w:t>It serves as the foundation for how individuals interact, make decisions, and align w</w:t>
      </w:r>
      <w:r>
        <w:rPr>
          <w:rFonts w:ascii="Arial" w:hAnsi="Arial" w:cs="Arial"/>
          <w:sz w:val="20"/>
          <w:szCs w:val="20"/>
        </w:rPr>
        <w:t>ith the organization's mission. Job satisfaction is defined as the degree of contentment employees feel regarding their job roles, work environment, and overall experiences within the organization. It is a key factor influencing employee motivation, commit</w:t>
      </w:r>
      <w:r>
        <w:rPr>
          <w:rFonts w:ascii="Arial" w:hAnsi="Arial" w:cs="Arial"/>
          <w:sz w:val="20"/>
          <w:szCs w:val="20"/>
        </w:rPr>
        <w:t xml:space="preserve">ment, and performance, as satisfied employees are more likely to remain engaged and contribute positively to organizational </w:t>
      </w:r>
      <w:r>
        <w:rPr>
          <w:rFonts w:ascii="Arial" w:hAnsi="Arial" w:cs="Arial"/>
          <w:color w:val="000000" w:themeColor="text1"/>
          <w:sz w:val="20"/>
          <w:szCs w:val="20"/>
        </w:rPr>
        <w:t xml:space="preserve">outcomes (Chaudhary et al., 2024). Factors such as fair compensation, career growth opportunities, supportive </w:t>
      </w:r>
      <w:r>
        <w:rPr>
          <w:rFonts w:ascii="Arial" w:hAnsi="Arial" w:cs="Arial"/>
          <w:sz w:val="20"/>
          <w:szCs w:val="20"/>
        </w:rPr>
        <w:t>leadership, and favora</w:t>
      </w:r>
      <w:r>
        <w:rPr>
          <w:rFonts w:ascii="Arial" w:hAnsi="Arial" w:cs="Arial"/>
          <w:sz w:val="20"/>
          <w:szCs w:val="20"/>
        </w:rPr>
        <w:t>ble working conditions are crucial determinants of job satisfaction.</w:t>
      </w:r>
    </w:p>
    <w:p w:rsidR="00A034AA" w:rsidRDefault="00211741">
      <w:pPr>
        <w:pStyle w:val="NormalWeb"/>
        <w:spacing w:beforeAutospacing="0" w:afterAutospacing="0"/>
        <w:ind w:firstLine="720"/>
        <w:jc w:val="both"/>
        <w:rPr>
          <w:rFonts w:ascii="Arial" w:hAnsi="Arial" w:cs="Arial"/>
          <w:sz w:val="20"/>
          <w:szCs w:val="20"/>
        </w:rPr>
      </w:pPr>
      <w:r>
        <w:rPr>
          <w:rFonts w:ascii="Arial" w:hAnsi="Arial" w:cs="Arial"/>
          <w:sz w:val="20"/>
          <w:szCs w:val="20"/>
        </w:rPr>
        <w:lastRenderedPageBreak/>
        <w:t>In the local setting, organizational culture and job satisfaction remain crucial factors influencing employee retention, productivity, and overall organizational performance. Similar chal</w:t>
      </w:r>
      <w:r>
        <w:rPr>
          <w:rFonts w:ascii="Arial" w:hAnsi="Arial" w:cs="Arial"/>
          <w:sz w:val="20"/>
          <w:szCs w:val="20"/>
        </w:rPr>
        <w:t>lenges observed globally are also relevant in local organizations, particularly in government units and small businesses. Issues such as inadequate compensation, limited career advancement opportunities, inconsistent leadership practices, and unfavorable w</w:t>
      </w:r>
      <w:r>
        <w:rPr>
          <w:rFonts w:ascii="Arial" w:hAnsi="Arial" w:cs="Arial"/>
          <w:sz w:val="20"/>
          <w:szCs w:val="20"/>
        </w:rPr>
        <w:t xml:space="preserve">orking conditions contribute significantly to employee dissatisfaction and disengagement (Chen, 2020; </w:t>
      </w:r>
      <w:proofErr w:type="spellStart"/>
      <w:r>
        <w:rPr>
          <w:rFonts w:ascii="Arial" w:hAnsi="Arial" w:cs="Arial"/>
          <w:sz w:val="20"/>
          <w:szCs w:val="20"/>
        </w:rPr>
        <w:t>Junianti</w:t>
      </w:r>
      <w:proofErr w:type="spellEnd"/>
      <w:r>
        <w:rPr>
          <w:rFonts w:ascii="Arial" w:hAnsi="Arial" w:cs="Arial"/>
          <w:sz w:val="20"/>
          <w:szCs w:val="20"/>
        </w:rPr>
        <w:t>, 2023). Addressing these systemic problems is essential to cultivating a motivated, engaged, and productive workforce capable of driving organiza</w:t>
      </w:r>
      <w:r>
        <w:rPr>
          <w:rFonts w:ascii="Arial" w:hAnsi="Arial" w:cs="Arial"/>
          <w:sz w:val="20"/>
          <w:szCs w:val="20"/>
        </w:rPr>
        <w:t>tional growth and effective service delivery.</w:t>
      </w:r>
    </w:p>
    <w:p w:rsidR="00A034AA" w:rsidRDefault="00211741">
      <w:pPr>
        <w:pStyle w:val="NormalWeb"/>
        <w:spacing w:beforeAutospacing="0" w:afterAutospacing="0"/>
        <w:ind w:firstLine="720"/>
        <w:jc w:val="both"/>
        <w:rPr>
          <w:rFonts w:ascii="Arial" w:hAnsi="Arial" w:cs="Arial"/>
          <w:sz w:val="20"/>
          <w:szCs w:val="20"/>
        </w:rPr>
      </w:pPr>
      <w:r>
        <w:rPr>
          <w:rFonts w:ascii="Arial" w:hAnsi="Arial" w:cs="Arial"/>
          <w:color w:val="000000" w:themeColor="text1"/>
          <w:sz w:val="20"/>
          <w:szCs w:val="20"/>
        </w:rPr>
        <w:t xml:space="preserve">In light of these global and national challenges, it is essential to examine the Local Government Unit (LGU) of Boston, Davao Oriental. As a small municipality, Boston may encounter </w:t>
      </w:r>
      <w:r>
        <w:rPr>
          <w:rFonts w:ascii="Arial" w:hAnsi="Arial" w:cs="Arial"/>
          <w:sz w:val="20"/>
          <w:szCs w:val="20"/>
        </w:rPr>
        <w:t>similar organizational issue</w:t>
      </w:r>
      <w:r>
        <w:rPr>
          <w:rFonts w:ascii="Arial" w:hAnsi="Arial" w:cs="Arial"/>
          <w:sz w:val="20"/>
          <w:szCs w:val="20"/>
        </w:rPr>
        <w:t>s faced by other LGUs in the country, such as employee dissatisfaction and deficiencies in organizational culture. However, there is a noticeable lack of local data to address these specific concerns. Investigating the current state of organizational cultu</w:t>
      </w:r>
      <w:r>
        <w:rPr>
          <w:rFonts w:ascii="Arial" w:hAnsi="Arial" w:cs="Arial"/>
          <w:sz w:val="20"/>
          <w:szCs w:val="20"/>
        </w:rPr>
        <w:t>re and job satisfaction in this context can offer valuable insights to enhance employee engagement, improve retention, and boost overall productivity. These findings can ultimately support better governance and more effective service delivery to the commun</w:t>
      </w:r>
      <w:r>
        <w:rPr>
          <w:rFonts w:ascii="Arial" w:hAnsi="Arial" w:cs="Arial"/>
          <w:sz w:val="20"/>
          <w:szCs w:val="20"/>
        </w:rPr>
        <w:t>ity.</w:t>
      </w:r>
    </w:p>
    <w:p w:rsidR="00A034AA" w:rsidRDefault="00211741">
      <w:pPr>
        <w:spacing w:line="240" w:lineRule="auto"/>
        <w:jc w:val="both"/>
        <w:rPr>
          <w:rFonts w:ascii="Arial" w:hAnsi="Arial" w:cs="Arial"/>
          <w:color w:val="000000" w:themeColor="text1"/>
          <w:sz w:val="20"/>
          <w:szCs w:val="20"/>
        </w:rPr>
      </w:pPr>
      <w:r>
        <w:rPr>
          <w:rFonts w:ascii="Arial" w:hAnsi="Arial" w:cs="Arial"/>
          <w:sz w:val="20"/>
          <w:szCs w:val="20"/>
        </w:rPr>
        <w:tab/>
        <w:t xml:space="preserve">This study aimed to assess the level of organizational culture and employee job satisfaction within the Local Government Unit (LGU) of Boston. By uncovering key insights into these areas, the research provided a foundation for developing targeted </w:t>
      </w:r>
      <w:r>
        <w:rPr>
          <w:rFonts w:ascii="Arial" w:hAnsi="Arial" w:cs="Arial"/>
          <w:sz w:val="20"/>
          <w:szCs w:val="20"/>
        </w:rPr>
        <w:t>strategies to address existing challenges—such as enhancing compensation and career development opportunities, fostering adaptability and innovation, and improving communication channels. These strategies were designed to create a more efficient and fulfil</w:t>
      </w:r>
      <w:r>
        <w:rPr>
          <w:rFonts w:ascii="Arial" w:hAnsi="Arial" w:cs="Arial"/>
          <w:sz w:val="20"/>
          <w:szCs w:val="20"/>
        </w:rPr>
        <w:t>ling work environment, thereby boosting employee engagement and retention. Furthermore, the study also aimed to be published in a national or international journal to disseminate its findings and contribute to the broader discourse on public sector organiz</w:t>
      </w:r>
      <w:r>
        <w:rPr>
          <w:rFonts w:ascii="Arial" w:hAnsi="Arial" w:cs="Arial"/>
          <w:sz w:val="20"/>
          <w:szCs w:val="20"/>
        </w:rPr>
        <w:t>ational development.</w:t>
      </w:r>
    </w:p>
    <w:p w:rsidR="00A034AA" w:rsidRDefault="00211741">
      <w:pPr>
        <w:spacing w:after="0"/>
        <w:jc w:val="both"/>
        <w:rPr>
          <w:rFonts w:ascii="Arial" w:eastAsia="Arial" w:hAnsi="Arial" w:cs="Arial"/>
          <w:b/>
          <w:smallCaps/>
          <w:color w:val="000000"/>
          <w:lang w:val="en-US" w:eastAsia="en-PH"/>
        </w:rPr>
      </w:pPr>
      <w:r>
        <w:rPr>
          <w:rFonts w:ascii="Arial" w:eastAsia="Arial" w:hAnsi="Arial" w:cs="Arial"/>
          <w:b/>
          <w:smallCaps/>
          <w:color w:val="000000"/>
          <w:lang w:val="en-US" w:eastAsia="en-PH"/>
        </w:rPr>
        <w:t>2. OBJECTIVES</w:t>
      </w:r>
    </w:p>
    <w:p w:rsidR="00A034AA" w:rsidRDefault="00A034AA">
      <w:pPr>
        <w:spacing w:after="0"/>
        <w:jc w:val="both"/>
        <w:rPr>
          <w:rFonts w:ascii="Arial" w:eastAsia="Arial" w:hAnsi="Arial" w:cs="Arial"/>
          <w:b/>
          <w:smallCaps/>
          <w:color w:val="000000"/>
          <w:lang w:val="en-US" w:eastAsia="en-PH"/>
        </w:rPr>
      </w:pPr>
    </w:p>
    <w:p w:rsidR="00A034AA" w:rsidRDefault="00211741">
      <w:pPr>
        <w:spacing w:after="0" w:line="240" w:lineRule="auto"/>
        <w:ind w:firstLine="425"/>
        <w:jc w:val="both"/>
        <w:rPr>
          <w:rFonts w:ascii="Arial" w:hAnsi="Arial" w:cs="Arial"/>
          <w:sz w:val="20"/>
          <w:szCs w:val="20"/>
        </w:rPr>
      </w:pPr>
      <w:r>
        <w:rPr>
          <w:rFonts w:ascii="Arial" w:hAnsi="Arial" w:cs="Arial"/>
          <w:sz w:val="20"/>
          <w:szCs w:val="20"/>
        </w:rPr>
        <w:t>To measure the level of organizational culture and employee job satisfaction in the Local Government Unit of Boston, the following specific objectives were identified:</w:t>
      </w:r>
    </w:p>
    <w:p w:rsidR="00A034AA" w:rsidRDefault="00211741">
      <w:pPr>
        <w:numPr>
          <w:ilvl w:val="0"/>
          <w:numId w:val="1"/>
        </w:numPr>
        <w:spacing w:after="0" w:line="240" w:lineRule="auto"/>
        <w:jc w:val="both"/>
        <w:rPr>
          <w:rFonts w:ascii="Arial" w:hAnsi="Arial" w:cs="Arial"/>
          <w:sz w:val="20"/>
          <w:szCs w:val="20"/>
        </w:rPr>
      </w:pPr>
      <w:r>
        <w:rPr>
          <w:rFonts w:ascii="Arial" w:hAnsi="Arial" w:cs="Arial"/>
          <w:sz w:val="20"/>
          <w:szCs w:val="20"/>
        </w:rPr>
        <w:t>To measure the level of organizational culture of th</w:t>
      </w:r>
      <w:r>
        <w:rPr>
          <w:rFonts w:ascii="Arial" w:hAnsi="Arial" w:cs="Arial"/>
          <w:sz w:val="20"/>
          <w:szCs w:val="20"/>
        </w:rPr>
        <w:t>e Local Government Unit’s employees of Boston in terms of:</w:t>
      </w:r>
    </w:p>
    <w:p w:rsidR="00A034AA" w:rsidRDefault="00211741">
      <w:pPr>
        <w:numPr>
          <w:ilvl w:val="0"/>
          <w:numId w:val="2"/>
        </w:numPr>
        <w:tabs>
          <w:tab w:val="left" w:pos="425"/>
        </w:tabs>
        <w:spacing w:after="0" w:line="240" w:lineRule="auto"/>
        <w:jc w:val="both"/>
        <w:rPr>
          <w:rFonts w:ascii="Arial" w:hAnsi="Arial" w:cs="Arial"/>
          <w:sz w:val="20"/>
          <w:szCs w:val="20"/>
        </w:rPr>
      </w:pPr>
      <w:r>
        <w:rPr>
          <w:rFonts w:ascii="Arial" w:hAnsi="Arial" w:cs="Arial"/>
          <w:sz w:val="20"/>
          <w:szCs w:val="20"/>
        </w:rPr>
        <w:t>involvement;</w:t>
      </w:r>
    </w:p>
    <w:p w:rsidR="00A034AA" w:rsidRDefault="00211741">
      <w:pPr>
        <w:numPr>
          <w:ilvl w:val="0"/>
          <w:numId w:val="2"/>
        </w:numPr>
        <w:tabs>
          <w:tab w:val="left" w:pos="425"/>
        </w:tabs>
        <w:spacing w:after="0" w:line="240" w:lineRule="auto"/>
        <w:jc w:val="both"/>
        <w:rPr>
          <w:rFonts w:ascii="Arial" w:hAnsi="Arial" w:cs="Arial"/>
          <w:sz w:val="20"/>
          <w:szCs w:val="20"/>
        </w:rPr>
      </w:pPr>
      <w:r>
        <w:rPr>
          <w:rFonts w:ascii="Arial" w:hAnsi="Arial" w:cs="Arial"/>
          <w:sz w:val="20"/>
          <w:szCs w:val="20"/>
        </w:rPr>
        <w:t>consistency;</w:t>
      </w:r>
    </w:p>
    <w:p w:rsidR="00A034AA" w:rsidRDefault="00211741">
      <w:pPr>
        <w:numPr>
          <w:ilvl w:val="0"/>
          <w:numId w:val="2"/>
        </w:numPr>
        <w:tabs>
          <w:tab w:val="left" w:pos="425"/>
        </w:tabs>
        <w:spacing w:after="0" w:line="240" w:lineRule="auto"/>
        <w:jc w:val="both"/>
        <w:rPr>
          <w:rFonts w:ascii="Arial" w:hAnsi="Arial" w:cs="Arial"/>
          <w:sz w:val="20"/>
          <w:szCs w:val="20"/>
        </w:rPr>
      </w:pPr>
      <w:r>
        <w:rPr>
          <w:rFonts w:ascii="Arial" w:hAnsi="Arial" w:cs="Arial"/>
          <w:sz w:val="20"/>
          <w:szCs w:val="20"/>
        </w:rPr>
        <w:t>adaptability; and</w:t>
      </w:r>
    </w:p>
    <w:p w:rsidR="00A034AA" w:rsidRDefault="00211741">
      <w:pPr>
        <w:numPr>
          <w:ilvl w:val="0"/>
          <w:numId w:val="2"/>
        </w:numPr>
        <w:tabs>
          <w:tab w:val="left" w:pos="425"/>
        </w:tabs>
        <w:spacing w:after="0" w:line="240" w:lineRule="auto"/>
        <w:jc w:val="both"/>
        <w:rPr>
          <w:rFonts w:ascii="Arial" w:hAnsi="Arial" w:cs="Arial"/>
          <w:sz w:val="20"/>
          <w:szCs w:val="20"/>
        </w:rPr>
      </w:pPr>
      <w:r>
        <w:rPr>
          <w:rFonts w:ascii="Arial" w:hAnsi="Arial" w:cs="Arial"/>
          <w:sz w:val="20"/>
          <w:szCs w:val="20"/>
        </w:rPr>
        <w:t>mission.</w:t>
      </w:r>
    </w:p>
    <w:p w:rsidR="00A034AA" w:rsidRDefault="00211741">
      <w:pPr>
        <w:numPr>
          <w:ilvl w:val="0"/>
          <w:numId w:val="1"/>
        </w:numPr>
        <w:spacing w:after="0" w:line="240" w:lineRule="auto"/>
        <w:jc w:val="both"/>
        <w:rPr>
          <w:rFonts w:ascii="Arial" w:hAnsi="Arial" w:cs="Arial"/>
          <w:sz w:val="20"/>
          <w:szCs w:val="20"/>
        </w:rPr>
      </w:pPr>
      <w:r>
        <w:rPr>
          <w:rFonts w:ascii="Arial" w:hAnsi="Arial" w:cs="Arial"/>
          <w:sz w:val="20"/>
          <w:szCs w:val="20"/>
        </w:rPr>
        <w:t xml:space="preserve">To measure the level of employee job satisfaction in the Local Government Unit’s employees of Boston in terms of:  </w:t>
      </w:r>
    </w:p>
    <w:p w:rsidR="00A034AA" w:rsidRDefault="00211741">
      <w:pPr>
        <w:numPr>
          <w:ilvl w:val="0"/>
          <w:numId w:val="3"/>
        </w:numPr>
        <w:spacing w:after="0" w:line="240" w:lineRule="auto"/>
        <w:ind w:left="440" w:firstLine="0"/>
        <w:jc w:val="both"/>
        <w:rPr>
          <w:rFonts w:ascii="Arial" w:hAnsi="Arial" w:cs="Arial"/>
          <w:sz w:val="20"/>
          <w:szCs w:val="20"/>
        </w:rPr>
      </w:pPr>
      <w:r>
        <w:rPr>
          <w:rFonts w:ascii="Arial" w:hAnsi="Arial" w:cs="Arial"/>
          <w:sz w:val="20"/>
          <w:szCs w:val="20"/>
        </w:rPr>
        <w:t>salary/pay;</w:t>
      </w:r>
    </w:p>
    <w:p w:rsidR="00A034AA" w:rsidRDefault="00211741">
      <w:pPr>
        <w:numPr>
          <w:ilvl w:val="0"/>
          <w:numId w:val="3"/>
        </w:numPr>
        <w:spacing w:after="0" w:line="240" w:lineRule="auto"/>
        <w:ind w:left="440" w:firstLine="0"/>
        <w:jc w:val="both"/>
        <w:rPr>
          <w:rFonts w:ascii="Arial" w:hAnsi="Arial" w:cs="Arial"/>
          <w:sz w:val="20"/>
          <w:szCs w:val="20"/>
        </w:rPr>
      </w:pPr>
      <w:r>
        <w:rPr>
          <w:rFonts w:ascii="Arial" w:hAnsi="Arial" w:cs="Arial"/>
          <w:sz w:val="20"/>
          <w:szCs w:val="20"/>
        </w:rPr>
        <w:t>promotion;</w:t>
      </w:r>
    </w:p>
    <w:p w:rsidR="00A034AA" w:rsidRDefault="00211741">
      <w:pPr>
        <w:numPr>
          <w:ilvl w:val="0"/>
          <w:numId w:val="3"/>
        </w:numPr>
        <w:spacing w:after="0" w:line="240" w:lineRule="auto"/>
        <w:ind w:left="440" w:firstLine="0"/>
        <w:jc w:val="both"/>
        <w:rPr>
          <w:rFonts w:ascii="Arial" w:hAnsi="Arial" w:cs="Arial"/>
          <w:sz w:val="20"/>
          <w:szCs w:val="20"/>
        </w:rPr>
      </w:pPr>
      <w:r>
        <w:rPr>
          <w:rFonts w:ascii="Arial" w:hAnsi="Arial" w:cs="Arial"/>
          <w:sz w:val="20"/>
          <w:szCs w:val="20"/>
        </w:rPr>
        <w:t>supervision;</w:t>
      </w:r>
    </w:p>
    <w:p w:rsidR="00A034AA" w:rsidRDefault="00211741">
      <w:pPr>
        <w:numPr>
          <w:ilvl w:val="0"/>
          <w:numId w:val="3"/>
        </w:numPr>
        <w:spacing w:after="0" w:line="240" w:lineRule="auto"/>
        <w:ind w:left="440" w:firstLine="0"/>
        <w:jc w:val="both"/>
        <w:rPr>
          <w:rFonts w:ascii="Arial" w:hAnsi="Arial" w:cs="Arial"/>
          <w:sz w:val="20"/>
          <w:szCs w:val="20"/>
        </w:rPr>
      </w:pPr>
      <w:proofErr w:type="gramStart"/>
      <w:r>
        <w:rPr>
          <w:rFonts w:ascii="Arial" w:hAnsi="Arial" w:cs="Arial"/>
          <w:sz w:val="20"/>
          <w:szCs w:val="20"/>
        </w:rPr>
        <w:t>co-workers’</w:t>
      </w:r>
      <w:proofErr w:type="gramEnd"/>
      <w:r>
        <w:rPr>
          <w:rFonts w:ascii="Arial" w:hAnsi="Arial" w:cs="Arial"/>
          <w:sz w:val="20"/>
          <w:szCs w:val="20"/>
        </w:rPr>
        <w:t xml:space="preserve"> relation; and</w:t>
      </w:r>
    </w:p>
    <w:p w:rsidR="00A034AA" w:rsidRDefault="00211741">
      <w:pPr>
        <w:numPr>
          <w:ilvl w:val="0"/>
          <w:numId w:val="3"/>
        </w:numPr>
        <w:spacing w:after="0" w:line="240" w:lineRule="auto"/>
        <w:ind w:left="440" w:firstLine="0"/>
        <w:jc w:val="both"/>
        <w:rPr>
          <w:rFonts w:ascii="Arial" w:hAnsi="Arial" w:cs="Arial"/>
          <w:sz w:val="20"/>
          <w:szCs w:val="20"/>
        </w:rPr>
      </w:pPr>
      <w:r>
        <w:rPr>
          <w:rFonts w:ascii="Arial" w:hAnsi="Arial" w:cs="Arial"/>
          <w:sz w:val="20"/>
          <w:szCs w:val="20"/>
        </w:rPr>
        <w:t>working condition?</w:t>
      </w:r>
    </w:p>
    <w:p w:rsidR="00A034AA" w:rsidRDefault="00211741">
      <w:pPr>
        <w:numPr>
          <w:ilvl w:val="0"/>
          <w:numId w:val="1"/>
        </w:numPr>
        <w:spacing w:after="0" w:line="240" w:lineRule="auto"/>
        <w:jc w:val="both"/>
        <w:rPr>
          <w:rFonts w:ascii="Arial" w:hAnsi="Arial" w:cs="Arial"/>
          <w:sz w:val="20"/>
          <w:szCs w:val="20"/>
        </w:rPr>
      </w:pPr>
      <w:r>
        <w:rPr>
          <w:rFonts w:ascii="Arial" w:hAnsi="Arial" w:cs="Arial"/>
          <w:sz w:val="20"/>
          <w:szCs w:val="20"/>
        </w:rPr>
        <w:t>To measure if there is a significant relationship between cultural values and employee job satisfaction.</w:t>
      </w:r>
    </w:p>
    <w:p w:rsidR="00A034AA" w:rsidRDefault="00211741">
      <w:pPr>
        <w:numPr>
          <w:ilvl w:val="0"/>
          <w:numId w:val="1"/>
        </w:numPr>
        <w:spacing w:after="0" w:line="240" w:lineRule="auto"/>
        <w:jc w:val="both"/>
        <w:rPr>
          <w:rFonts w:ascii="Arial" w:eastAsia="Times New Roman" w:hAnsi="Arial" w:cs="Arial"/>
          <w:sz w:val="20"/>
          <w:szCs w:val="20"/>
        </w:rPr>
      </w:pPr>
      <w:r>
        <w:rPr>
          <w:rFonts w:ascii="Arial" w:hAnsi="Arial" w:cs="Arial"/>
          <w:sz w:val="20"/>
          <w:szCs w:val="20"/>
        </w:rPr>
        <w:t>To measure if involvement, consistency, adaptability, and mission influence Employee Job Sati</w:t>
      </w:r>
      <w:r>
        <w:rPr>
          <w:rFonts w:ascii="Arial" w:hAnsi="Arial" w:cs="Arial"/>
          <w:sz w:val="20"/>
          <w:szCs w:val="20"/>
        </w:rPr>
        <w:t>sfaction.</w:t>
      </w:r>
    </w:p>
    <w:p w:rsidR="00A034AA" w:rsidRDefault="00211741">
      <w:pPr>
        <w:tabs>
          <w:tab w:val="left" w:pos="2775"/>
        </w:tabs>
        <w:spacing w:after="0"/>
        <w:jc w:val="both"/>
        <w:rPr>
          <w:rFonts w:ascii="Arial" w:hAnsi="Arial" w:cs="Arial"/>
          <w:sz w:val="20"/>
          <w:szCs w:val="20"/>
        </w:rPr>
      </w:pPr>
      <w:r>
        <w:rPr>
          <w:rFonts w:ascii="Arial" w:hAnsi="Arial" w:cs="Arial"/>
          <w:sz w:val="20"/>
          <w:szCs w:val="20"/>
        </w:rPr>
        <w:tab/>
      </w:r>
    </w:p>
    <w:p w:rsidR="00A034AA" w:rsidRDefault="00211741">
      <w:pPr>
        <w:spacing w:after="0"/>
        <w:jc w:val="both"/>
        <w:rPr>
          <w:rFonts w:ascii="Arial" w:eastAsia="Arial" w:hAnsi="Arial" w:cs="Arial"/>
          <w:b/>
          <w:smallCaps/>
          <w:color w:val="000000"/>
        </w:rPr>
      </w:pPr>
      <w:r>
        <w:rPr>
          <w:rFonts w:ascii="Arial" w:eastAsia="Arial" w:hAnsi="Arial" w:cs="Arial"/>
          <w:b/>
          <w:smallCaps/>
          <w:color w:val="000000"/>
        </w:rPr>
        <w:t>3. MATERIALS AND METHODS</w:t>
      </w:r>
    </w:p>
    <w:p w:rsidR="00A034AA" w:rsidRDefault="00A034AA">
      <w:pPr>
        <w:spacing w:after="0"/>
        <w:jc w:val="both"/>
        <w:rPr>
          <w:rFonts w:ascii="Arial" w:eastAsia="Arial" w:hAnsi="Arial" w:cs="Arial"/>
          <w:b/>
          <w:smallCaps/>
          <w:color w:val="000000"/>
        </w:rPr>
      </w:pPr>
    </w:p>
    <w:p w:rsidR="00A034AA" w:rsidRDefault="00211741">
      <w:pPr>
        <w:spacing w:after="0"/>
        <w:jc w:val="both"/>
        <w:rPr>
          <w:rFonts w:ascii="Arial" w:hAnsi="Arial" w:cs="Arial"/>
          <w:b/>
          <w:bCs/>
          <w:sz w:val="20"/>
          <w:szCs w:val="36"/>
        </w:rPr>
      </w:pPr>
      <w:r>
        <w:rPr>
          <w:rFonts w:ascii="Arial" w:hAnsi="Arial" w:cs="Arial"/>
          <w:b/>
          <w:bCs/>
          <w:sz w:val="20"/>
          <w:szCs w:val="36"/>
        </w:rPr>
        <w:t>Research Design</w:t>
      </w:r>
    </w:p>
    <w:p w:rsidR="00A034AA" w:rsidRDefault="00211741">
      <w:pPr>
        <w:spacing w:after="0" w:line="240" w:lineRule="auto"/>
        <w:ind w:firstLine="720"/>
        <w:jc w:val="both"/>
        <w:rPr>
          <w:rFonts w:ascii="Arial" w:hAnsi="Arial" w:cs="Arial"/>
          <w:sz w:val="20"/>
          <w:szCs w:val="20"/>
        </w:rPr>
      </w:pPr>
      <w:r>
        <w:rPr>
          <w:rFonts w:ascii="Arial" w:hAnsi="Arial" w:cs="Arial"/>
          <w:sz w:val="20"/>
          <w:szCs w:val="20"/>
        </w:rPr>
        <w:lastRenderedPageBreak/>
        <w:t xml:space="preserve">This study employed a </w:t>
      </w:r>
      <w:r>
        <w:rPr>
          <w:rStyle w:val="Strong"/>
          <w:rFonts w:ascii="Arial" w:hAnsi="Arial" w:cs="Arial"/>
          <w:b w:val="0"/>
          <w:sz w:val="20"/>
          <w:szCs w:val="20"/>
        </w:rPr>
        <w:t>descriptive correlational design</w:t>
      </w:r>
      <w:r>
        <w:rPr>
          <w:rFonts w:ascii="Arial" w:hAnsi="Arial" w:cs="Arial"/>
          <w:sz w:val="20"/>
          <w:szCs w:val="20"/>
        </w:rPr>
        <w:t xml:space="preserve"> to examine the relationship between organizational culture and employee job satisfaction within the Local Government Unit (LGU) of Boston. The descriptive component aimed to observe and describe the current state of organizational culture (e.g., involveme</w:t>
      </w:r>
      <w:r>
        <w:rPr>
          <w:rFonts w:ascii="Arial" w:hAnsi="Arial" w:cs="Arial"/>
          <w:sz w:val="20"/>
          <w:szCs w:val="20"/>
        </w:rPr>
        <w:t>nt, consistency, adaptability, and mission) and job satisfaction (e.g., salary, promotion, supervision, co-worker relations, and working conditions) among employees. The correlational aspect sought to determine the strength and direction of the relationshi</w:t>
      </w:r>
      <w:r>
        <w:rPr>
          <w:rFonts w:ascii="Arial" w:hAnsi="Arial" w:cs="Arial"/>
          <w:sz w:val="20"/>
          <w:szCs w:val="20"/>
        </w:rPr>
        <w:t>p between these variables without manipulating any conditions. This design was appropriate as it provided a real-world analysis of naturally occurring variables, offering valuable insights into how organizational culture impacts job satisfaction, which can</w:t>
      </w:r>
      <w:r>
        <w:rPr>
          <w:rFonts w:ascii="Arial" w:hAnsi="Arial" w:cs="Arial"/>
          <w:sz w:val="20"/>
          <w:szCs w:val="20"/>
        </w:rPr>
        <w:t xml:space="preserve"> inform strategies to enhance employee engagement and organizational efficiency.</w:t>
      </w:r>
    </w:p>
    <w:p w:rsidR="00A034AA" w:rsidRDefault="00A034AA">
      <w:pPr>
        <w:spacing w:after="0" w:line="240" w:lineRule="auto"/>
        <w:ind w:firstLine="720"/>
        <w:jc w:val="both"/>
        <w:rPr>
          <w:rFonts w:ascii="Arial" w:hAnsi="Arial" w:cs="Arial"/>
          <w:sz w:val="20"/>
          <w:szCs w:val="20"/>
        </w:rPr>
      </w:pPr>
    </w:p>
    <w:p w:rsidR="00A034AA" w:rsidRDefault="00211741">
      <w:pPr>
        <w:spacing w:after="0"/>
        <w:jc w:val="both"/>
        <w:rPr>
          <w:rFonts w:ascii="Arial" w:hAnsi="Arial" w:cs="Arial"/>
          <w:b/>
          <w:bCs/>
          <w:sz w:val="20"/>
          <w:szCs w:val="36"/>
        </w:rPr>
      </w:pPr>
      <w:r>
        <w:rPr>
          <w:rFonts w:ascii="Arial" w:hAnsi="Arial" w:cs="Arial"/>
          <w:b/>
          <w:bCs/>
          <w:sz w:val="20"/>
          <w:szCs w:val="36"/>
        </w:rPr>
        <w:t>Research Instrument</w:t>
      </w:r>
    </w:p>
    <w:p w:rsidR="00A034AA" w:rsidRDefault="00211741">
      <w:pPr>
        <w:spacing w:after="0" w:line="240" w:lineRule="auto"/>
        <w:ind w:firstLine="720"/>
        <w:jc w:val="both"/>
        <w:rPr>
          <w:rFonts w:ascii="Arial" w:hAnsi="Arial" w:cs="Arial"/>
          <w:sz w:val="20"/>
          <w:szCs w:val="20"/>
        </w:rPr>
      </w:pPr>
      <w:r>
        <w:rPr>
          <w:rFonts w:ascii="Arial" w:hAnsi="Arial" w:cs="Arial"/>
          <w:sz w:val="20"/>
          <w:szCs w:val="20"/>
        </w:rPr>
        <w:t xml:space="preserve">This study utilized adapted questionnaires. The questionnaire for measuring the level of organizational culture was adapted from the study of Denison and </w:t>
      </w:r>
      <w:proofErr w:type="spellStart"/>
      <w:r>
        <w:rPr>
          <w:rFonts w:ascii="Arial" w:hAnsi="Arial" w:cs="Arial"/>
          <w:sz w:val="20"/>
          <w:szCs w:val="20"/>
        </w:rPr>
        <w:t>Janovics</w:t>
      </w:r>
      <w:proofErr w:type="spellEnd"/>
      <w:r>
        <w:rPr>
          <w:rFonts w:ascii="Arial" w:hAnsi="Arial" w:cs="Arial"/>
          <w:sz w:val="20"/>
          <w:szCs w:val="20"/>
        </w:rPr>
        <w:t xml:space="preserve"> (2016), entitled Diagnosing Organizational Cultures: Validating a Model and Method. On the other hand, the questionnaire to measure the job satisfaction of the respondents was adapted from Spector's (1992) Job Satisfaction Survey.</w:t>
      </w:r>
    </w:p>
    <w:p w:rsidR="00A034AA" w:rsidRDefault="00A034AA">
      <w:pPr>
        <w:spacing w:after="0" w:line="240" w:lineRule="auto"/>
        <w:ind w:firstLine="720"/>
        <w:jc w:val="both"/>
        <w:rPr>
          <w:rFonts w:ascii="Arial" w:hAnsi="Arial" w:cs="Arial"/>
          <w:sz w:val="20"/>
          <w:szCs w:val="20"/>
        </w:rPr>
      </w:pPr>
    </w:p>
    <w:p w:rsidR="00A034AA" w:rsidRDefault="00211741">
      <w:pPr>
        <w:spacing w:after="0" w:line="240" w:lineRule="auto"/>
        <w:jc w:val="both"/>
        <w:rPr>
          <w:rFonts w:ascii="Arial" w:hAnsi="Arial" w:cs="Arial"/>
          <w:b/>
          <w:bCs/>
          <w:sz w:val="20"/>
          <w:szCs w:val="20"/>
        </w:rPr>
      </w:pPr>
      <w:r>
        <w:rPr>
          <w:rFonts w:ascii="Arial" w:eastAsia="Arial" w:hAnsi="Arial" w:cs="Arial"/>
          <w:b/>
          <w:color w:val="000000"/>
          <w:sz w:val="20"/>
          <w:szCs w:val="20"/>
          <w:highlight w:val="white"/>
        </w:rPr>
        <w:t xml:space="preserve">Respondents of </w:t>
      </w:r>
      <w:r>
        <w:rPr>
          <w:rFonts w:ascii="Arial" w:eastAsia="Arial" w:hAnsi="Arial" w:cs="Arial"/>
          <w:b/>
          <w:color w:val="000000"/>
          <w:sz w:val="20"/>
          <w:szCs w:val="20"/>
          <w:highlight w:val="white"/>
        </w:rPr>
        <w:t>the Study</w:t>
      </w:r>
    </w:p>
    <w:p w:rsidR="00A034AA" w:rsidRDefault="00211741">
      <w:pPr>
        <w:spacing w:after="0" w:line="240" w:lineRule="auto"/>
        <w:ind w:firstLine="720"/>
        <w:jc w:val="both"/>
        <w:rPr>
          <w:rFonts w:ascii="Arial" w:hAnsi="Arial" w:cs="Arial"/>
          <w:sz w:val="20"/>
        </w:rPr>
      </w:pPr>
      <w:r>
        <w:rPr>
          <w:rFonts w:ascii="Arial" w:hAnsi="Arial" w:cs="Arial"/>
          <w:sz w:val="20"/>
          <w:szCs w:val="20"/>
        </w:rPr>
        <w:t>The respondents for this study were employees specifically at the Local Government Unit (LGU) of Boston, Davao Oriental. A complete enumeration method was employed to gather relevant data. Complete enumeration involves collecting data from all in</w:t>
      </w:r>
      <w:r>
        <w:rPr>
          <w:rFonts w:ascii="Arial" w:hAnsi="Arial" w:cs="Arial"/>
          <w:sz w:val="20"/>
          <w:szCs w:val="20"/>
        </w:rPr>
        <w:t>dividuals within the target population, ensuring that every employee's input is included in the analysis. In this study, all employees of the LGU, totaling 178, were surveyed r</w:t>
      </w:r>
      <w:r>
        <w:rPr>
          <w:rFonts w:ascii="Arial" w:hAnsi="Arial" w:cs="Arial"/>
          <w:bCs/>
          <w:sz w:val="20"/>
          <w:szCs w:val="20"/>
        </w:rPr>
        <w:t>egardless of their employment status</w:t>
      </w:r>
      <w:r>
        <w:rPr>
          <w:rFonts w:ascii="Arial" w:hAnsi="Arial" w:cs="Arial"/>
          <w:sz w:val="20"/>
          <w:szCs w:val="20"/>
        </w:rPr>
        <w:t>. his method guarantees comprehensive covera</w:t>
      </w:r>
      <w:r>
        <w:rPr>
          <w:rFonts w:ascii="Arial" w:hAnsi="Arial" w:cs="Arial"/>
          <w:sz w:val="20"/>
          <w:szCs w:val="20"/>
        </w:rPr>
        <w:t>ge, ensuring that the data reflects the views of the entire workforce, particularly regarding their experiences with organizational culture and job satisfaction.</w:t>
      </w:r>
      <w:r>
        <w:rPr>
          <w:rFonts w:ascii="Arial" w:hAnsi="Arial" w:cs="Arial"/>
          <w:sz w:val="20"/>
        </w:rPr>
        <w:tab/>
      </w:r>
    </w:p>
    <w:p w:rsidR="00A034AA" w:rsidRDefault="00A034AA">
      <w:pPr>
        <w:spacing w:after="0"/>
        <w:ind w:firstLine="720"/>
        <w:jc w:val="both"/>
        <w:rPr>
          <w:rFonts w:ascii="Arial" w:hAnsi="Arial" w:cs="Arial"/>
          <w:bCs/>
          <w:sz w:val="18"/>
          <w:szCs w:val="36"/>
        </w:rPr>
      </w:pPr>
    </w:p>
    <w:p w:rsidR="00A034AA" w:rsidRDefault="00211741">
      <w:pPr>
        <w:spacing w:after="0"/>
        <w:jc w:val="both"/>
        <w:rPr>
          <w:rFonts w:ascii="Arial" w:hAnsi="Arial" w:cs="Arial"/>
          <w:sz w:val="20"/>
          <w:szCs w:val="36"/>
        </w:rPr>
      </w:pPr>
      <w:r>
        <w:rPr>
          <w:rFonts w:ascii="Arial" w:hAnsi="Arial" w:cs="Arial"/>
          <w:b/>
          <w:sz w:val="20"/>
          <w:szCs w:val="36"/>
          <w:lang w:val="en-US"/>
        </w:rPr>
        <w:t>Data Gathering</w:t>
      </w:r>
    </w:p>
    <w:p w:rsidR="00A034AA" w:rsidRDefault="00211741">
      <w:pPr>
        <w:spacing w:after="0" w:line="240" w:lineRule="auto"/>
        <w:ind w:firstLine="720"/>
        <w:jc w:val="both"/>
        <w:rPr>
          <w:rFonts w:ascii="Arial" w:hAnsi="Arial" w:cs="Arial"/>
          <w:sz w:val="20"/>
          <w:szCs w:val="20"/>
        </w:rPr>
      </w:pPr>
      <w:r>
        <w:rPr>
          <w:rFonts w:ascii="Arial" w:hAnsi="Arial" w:cs="Arial"/>
          <w:sz w:val="20"/>
          <w:szCs w:val="20"/>
        </w:rPr>
        <w:t>The data gathering process for this study was carried out through a series of</w:t>
      </w:r>
      <w:r>
        <w:rPr>
          <w:rFonts w:ascii="Arial" w:hAnsi="Arial" w:cs="Arial"/>
          <w:sz w:val="20"/>
          <w:szCs w:val="20"/>
        </w:rPr>
        <w:t xml:space="preserve"> steps to ensure ethical compliance, accuracy, and credibility of the findings. The first step was to obtain ethical clearance from the Research Ethics Committee of Davao Oriental State University. This clearance was necessary to ensure that the study adhe</w:t>
      </w:r>
      <w:r>
        <w:rPr>
          <w:rFonts w:ascii="Arial" w:hAnsi="Arial" w:cs="Arial"/>
          <w:sz w:val="20"/>
          <w:szCs w:val="20"/>
        </w:rPr>
        <w:t>red to ethical standards in terms of respondent confidentiality, informed consent, and the responsible handling of data. The committee reviewed the study’s objectives, methodology, and instruments before granting approval. Once ethical clearance was grante</w:t>
      </w:r>
      <w:r>
        <w:rPr>
          <w:rFonts w:ascii="Arial" w:hAnsi="Arial" w:cs="Arial"/>
          <w:sz w:val="20"/>
          <w:szCs w:val="20"/>
        </w:rPr>
        <w:t>d, the researcher submitted a formal letter to the Office of the Mayor of Boston. The purpose of this letter was to request the total number of employees currently working at the Local Government Unit (LGU) of Boston. This information was essential in dete</w:t>
      </w:r>
      <w:r>
        <w:rPr>
          <w:rFonts w:ascii="Arial" w:hAnsi="Arial" w:cs="Arial"/>
          <w:sz w:val="20"/>
          <w:szCs w:val="20"/>
        </w:rPr>
        <w:t>rmining the study’s total population and identifying eligible participants for the survey. A separate letter was addressed to the LGU administration seeking permission to conduct the actual study within their offices. The letter included an overview of the</w:t>
      </w:r>
      <w:r>
        <w:rPr>
          <w:rFonts w:ascii="Arial" w:hAnsi="Arial" w:cs="Arial"/>
          <w:sz w:val="20"/>
          <w:szCs w:val="20"/>
        </w:rPr>
        <w:t xml:space="preserve"> research, its significance, the survey instrument, and a request for assistance in facilitating the data gathering process. Approval from the LGU was necessary to proceed with the questionnaire distribution among employees. </w:t>
      </w:r>
    </w:p>
    <w:p w:rsidR="00A034AA" w:rsidRDefault="00211741">
      <w:pPr>
        <w:spacing w:after="0" w:line="240" w:lineRule="auto"/>
        <w:ind w:firstLine="720"/>
        <w:jc w:val="both"/>
        <w:rPr>
          <w:rFonts w:ascii="Arial" w:hAnsi="Arial" w:cs="Arial"/>
          <w:sz w:val="20"/>
          <w:szCs w:val="20"/>
        </w:rPr>
      </w:pPr>
      <w:r>
        <w:rPr>
          <w:rFonts w:ascii="Arial" w:hAnsi="Arial" w:cs="Arial"/>
          <w:sz w:val="20"/>
          <w:szCs w:val="20"/>
        </w:rPr>
        <w:t>After receiving formal approva</w:t>
      </w:r>
      <w:r>
        <w:rPr>
          <w:rFonts w:ascii="Arial" w:hAnsi="Arial" w:cs="Arial"/>
          <w:sz w:val="20"/>
          <w:szCs w:val="20"/>
        </w:rPr>
        <w:t xml:space="preserve">l, the researchers coordinated with LGU personnel to begin the distribution of the survey questionnaires. This step involved planning schedules that would not disrupt employees' regular duties while ensuring a good response rate. The researcher took extra </w:t>
      </w:r>
      <w:r>
        <w:rPr>
          <w:rFonts w:ascii="Arial" w:hAnsi="Arial" w:cs="Arial"/>
          <w:sz w:val="20"/>
          <w:szCs w:val="20"/>
        </w:rPr>
        <w:t>care to make the process organized and efficient. Before respondents answered the questionnaires, the researchers provided them with an informed consent form. This form explained the purpose of the study, assured confidentiality and anonymity, and informed</w:t>
      </w:r>
      <w:r>
        <w:rPr>
          <w:rFonts w:ascii="Arial" w:hAnsi="Arial" w:cs="Arial"/>
          <w:sz w:val="20"/>
          <w:szCs w:val="20"/>
        </w:rPr>
        <w:t xml:space="preserve"> participants that their involvement was voluntary. After agreeing to participate, respondents were handed the survey forms along with verbal or written instructions on how to answer each part accurately and honestly. </w:t>
      </w:r>
    </w:p>
    <w:p w:rsidR="00A034AA" w:rsidRDefault="00211741">
      <w:pPr>
        <w:spacing w:after="0" w:line="240" w:lineRule="auto"/>
        <w:ind w:firstLine="720"/>
        <w:jc w:val="both"/>
        <w:rPr>
          <w:rFonts w:ascii="Arial" w:hAnsi="Arial" w:cs="Arial"/>
          <w:sz w:val="20"/>
          <w:szCs w:val="20"/>
        </w:rPr>
      </w:pPr>
      <w:r>
        <w:rPr>
          <w:rFonts w:ascii="Arial" w:hAnsi="Arial" w:cs="Arial"/>
          <w:sz w:val="20"/>
          <w:szCs w:val="20"/>
        </w:rPr>
        <w:lastRenderedPageBreak/>
        <w:t>Once all the questionnaires were comp</w:t>
      </w:r>
      <w:r>
        <w:rPr>
          <w:rFonts w:ascii="Arial" w:hAnsi="Arial" w:cs="Arial"/>
          <w:sz w:val="20"/>
          <w:szCs w:val="20"/>
        </w:rPr>
        <w:t>leted, the researchers collected them promptly. This step ensured that responses were not lost or compromised. After retrieval, the responses were tallied carefully and encoded for statistical analysis. The researcher made sure that all data were organized</w:t>
      </w:r>
      <w:r>
        <w:rPr>
          <w:rFonts w:ascii="Arial" w:hAnsi="Arial" w:cs="Arial"/>
          <w:sz w:val="20"/>
          <w:szCs w:val="20"/>
        </w:rPr>
        <w:t xml:space="preserve"> and stored securely. The final step involved analyzing the gathered data. To ensure accuracy and credibility, a statistician was consulted to assist with the computation of descriptive and inferential statistics. This analysis provided the basis for inter</w:t>
      </w:r>
      <w:r>
        <w:rPr>
          <w:rFonts w:ascii="Arial" w:hAnsi="Arial" w:cs="Arial"/>
          <w:sz w:val="20"/>
          <w:szCs w:val="20"/>
        </w:rPr>
        <w:t>preting the results and drawing conclusions related to the study’s objectives.</w:t>
      </w:r>
    </w:p>
    <w:p w:rsidR="00A034AA" w:rsidRDefault="00A034AA">
      <w:pPr>
        <w:spacing w:after="0"/>
        <w:ind w:firstLine="720"/>
        <w:jc w:val="both"/>
      </w:pPr>
    </w:p>
    <w:p w:rsidR="00A034AA" w:rsidRDefault="00A034AA">
      <w:pPr>
        <w:spacing w:after="0"/>
        <w:jc w:val="both"/>
        <w:rPr>
          <w:rFonts w:ascii="Arial" w:hAnsi="Arial" w:cs="Arial"/>
          <w:sz w:val="20"/>
          <w:szCs w:val="36"/>
        </w:rPr>
      </w:pPr>
    </w:p>
    <w:p w:rsidR="00A034AA" w:rsidRDefault="00211741">
      <w:pPr>
        <w:spacing w:after="0"/>
        <w:jc w:val="both"/>
        <w:rPr>
          <w:rFonts w:ascii="Arial" w:eastAsia="Arial" w:hAnsi="Arial" w:cs="Arial"/>
          <w:b/>
          <w:smallCaps/>
          <w:color w:val="000000"/>
          <w:lang w:val="en-US" w:eastAsia="en-PH"/>
        </w:rPr>
      </w:pPr>
      <w:r>
        <w:rPr>
          <w:rFonts w:ascii="Arial" w:eastAsia="Arial" w:hAnsi="Arial" w:cs="Arial"/>
          <w:b/>
          <w:smallCaps/>
          <w:color w:val="000000"/>
          <w:lang w:val="en-US" w:eastAsia="en-PH"/>
        </w:rPr>
        <w:t>4. RESULTS AND DISCUSSION</w:t>
      </w:r>
    </w:p>
    <w:p w:rsidR="00A034AA" w:rsidRDefault="00A034AA">
      <w:pPr>
        <w:spacing w:after="0"/>
        <w:jc w:val="both"/>
        <w:rPr>
          <w:rFonts w:ascii="Arial" w:hAnsi="Arial" w:cs="Arial"/>
          <w:sz w:val="20"/>
          <w:szCs w:val="36"/>
        </w:rPr>
      </w:pPr>
    </w:p>
    <w:p w:rsidR="00A034AA" w:rsidRDefault="00211741">
      <w:pPr>
        <w:spacing w:after="0" w:line="480" w:lineRule="auto"/>
        <w:jc w:val="center"/>
        <w:rPr>
          <w:rFonts w:ascii="Arial" w:hAnsi="Arial" w:cs="Arial"/>
          <w:b/>
          <w:bCs/>
        </w:rPr>
      </w:pPr>
      <w:bookmarkStart w:id="0" w:name="_Hlk203567410"/>
      <w:r>
        <w:rPr>
          <w:rFonts w:ascii="Arial" w:hAnsi="Arial" w:cs="Arial"/>
          <w:b/>
          <w:bCs/>
        </w:rPr>
        <w:t>Level of Employee Organizational Culture in the Local Government Unit</w:t>
      </w:r>
    </w:p>
    <w:p w:rsidR="00A034AA" w:rsidRDefault="00211741">
      <w:pPr>
        <w:spacing w:after="0" w:line="240" w:lineRule="auto"/>
        <w:jc w:val="both"/>
        <w:rPr>
          <w:rFonts w:ascii="Arial" w:hAnsi="Arial" w:cs="Arial"/>
          <w:sz w:val="20"/>
          <w:szCs w:val="20"/>
        </w:rPr>
      </w:pPr>
      <w:r>
        <w:rPr>
          <w:rFonts w:ascii="Arial" w:hAnsi="Arial" w:cs="Arial"/>
        </w:rPr>
        <w:tab/>
      </w:r>
      <w:r>
        <w:rPr>
          <w:rFonts w:ascii="Arial" w:hAnsi="Arial" w:cs="Arial"/>
          <w:sz w:val="20"/>
          <w:szCs w:val="20"/>
        </w:rPr>
        <w:t xml:space="preserve">This section presents the data gathered on the level of organizational </w:t>
      </w:r>
      <w:r>
        <w:rPr>
          <w:rFonts w:ascii="Arial" w:hAnsi="Arial" w:cs="Arial"/>
          <w:sz w:val="20"/>
          <w:szCs w:val="20"/>
        </w:rPr>
        <w:t>culture among employees in the Local Government Unit of Boston, focusing on the dimensions of involvement, consistency, adaptability, and mission.</w:t>
      </w:r>
      <w:r>
        <w:rPr>
          <w:rFonts w:ascii="Arial" w:hAnsi="Arial" w:cs="Arial"/>
          <w:sz w:val="20"/>
          <w:szCs w:val="20"/>
          <w:lang w:val="en-US"/>
        </w:rPr>
        <w:t xml:space="preserve"> </w:t>
      </w:r>
      <w:r>
        <w:rPr>
          <w:rFonts w:ascii="Arial" w:hAnsi="Arial" w:cs="Arial"/>
          <w:sz w:val="20"/>
          <w:szCs w:val="20"/>
        </w:rPr>
        <w:t xml:space="preserve">Presented in Table </w:t>
      </w:r>
      <w:r>
        <w:rPr>
          <w:rFonts w:ascii="Arial" w:hAnsi="Arial" w:cs="Arial"/>
          <w:sz w:val="20"/>
          <w:szCs w:val="20"/>
          <w:lang w:val="en-US"/>
        </w:rPr>
        <w:t>1</w:t>
      </w:r>
      <w:r>
        <w:rPr>
          <w:rFonts w:ascii="Arial" w:hAnsi="Arial" w:cs="Arial"/>
          <w:sz w:val="20"/>
          <w:szCs w:val="20"/>
        </w:rPr>
        <w:t xml:space="preserve"> is the level of organizational culture in terms of involvement. It has an overall averag</w:t>
      </w:r>
      <w:r>
        <w:rPr>
          <w:rFonts w:ascii="Arial" w:hAnsi="Arial" w:cs="Arial"/>
          <w:sz w:val="20"/>
          <w:szCs w:val="20"/>
        </w:rPr>
        <w:t>e mean of 4.38, described as always, implying that employees of LGU Boston experience a strong sense of involvement in their work, feel trusted to contribute meaningfully, and perceive their work environment as supportive and conducive to collaboration.</w:t>
      </w:r>
    </w:p>
    <w:p w:rsidR="00A034AA" w:rsidRDefault="00A034AA">
      <w:pPr>
        <w:spacing w:after="0" w:line="240" w:lineRule="auto"/>
        <w:jc w:val="both"/>
        <w:rPr>
          <w:rFonts w:ascii="Arial" w:hAnsi="Arial" w:cs="Arial"/>
          <w:sz w:val="20"/>
          <w:szCs w:val="20"/>
        </w:rPr>
      </w:pPr>
    </w:p>
    <w:p w:rsidR="00A034AA" w:rsidRDefault="00211741">
      <w:pPr>
        <w:spacing w:after="0" w:line="240" w:lineRule="auto"/>
        <w:jc w:val="both"/>
        <w:rPr>
          <w:rFonts w:ascii="Arial" w:hAnsi="Arial" w:cs="Arial"/>
          <w:sz w:val="20"/>
          <w:szCs w:val="20"/>
        </w:rPr>
      </w:pPr>
      <w:r>
        <w:rPr>
          <w:rFonts w:ascii="Arial" w:hAnsi="Arial" w:cs="Arial"/>
          <w:sz w:val="20"/>
          <w:szCs w:val="20"/>
        </w:rPr>
        <w:t>T</w:t>
      </w:r>
      <w:r>
        <w:rPr>
          <w:rFonts w:ascii="Arial" w:hAnsi="Arial" w:cs="Arial"/>
          <w:sz w:val="20"/>
          <w:szCs w:val="20"/>
        </w:rPr>
        <w:t xml:space="preserve">able </w:t>
      </w:r>
      <w:r>
        <w:rPr>
          <w:rFonts w:ascii="Arial" w:hAnsi="Arial" w:cs="Arial"/>
          <w:sz w:val="20"/>
          <w:szCs w:val="20"/>
          <w:lang w:val="en-US"/>
        </w:rPr>
        <w:t>1</w:t>
      </w:r>
      <w:r>
        <w:rPr>
          <w:rFonts w:ascii="Arial" w:hAnsi="Arial" w:cs="Arial"/>
          <w:sz w:val="20"/>
          <w:szCs w:val="20"/>
        </w:rPr>
        <w:t>. Level of Organizational Culture of LGU’s Employee in Terms of Involvement</w:t>
      </w:r>
    </w:p>
    <w:tbl>
      <w:tblPr>
        <w:tblStyle w:val="TableGrid"/>
        <w:tblpPr w:leftFromText="180" w:rightFromText="180" w:vertAnchor="text" w:horzAnchor="margin" w:tblpY="35"/>
        <w:tblW w:w="8730" w:type="dxa"/>
        <w:tblLayout w:type="fixed"/>
        <w:tblLook w:val="04A0" w:firstRow="1" w:lastRow="0" w:firstColumn="1" w:lastColumn="0" w:noHBand="0" w:noVBand="1"/>
      </w:tblPr>
      <w:tblGrid>
        <w:gridCol w:w="5220"/>
        <w:gridCol w:w="810"/>
        <w:gridCol w:w="1182"/>
        <w:gridCol w:w="1518"/>
      </w:tblGrid>
      <w:tr w:rsidR="00A034AA">
        <w:trPr>
          <w:trHeight w:val="236"/>
        </w:trPr>
        <w:tc>
          <w:tcPr>
            <w:tcW w:w="5220" w:type="dxa"/>
            <w:tcBorders>
              <w:left w:val="nil"/>
              <w:right w:val="nil"/>
            </w:tcBorders>
            <w:vAlign w:val="center"/>
          </w:tcPr>
          <w:p w:rsidR="00A034AA" w:rsidRDefault="00211741">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lang w:val="en-US"/>
              </w:rPr>
              <w:t>Statements</w:t>
            </w:r>
          </w:p>
        </w:tc>
        <w:tc>
          <w:tcPr>
            <w:tcW w:w="810" w:type="dxa"/>
            <w:tcBorders>
              <w:left w:val="nil"/>
              <w:right w:val="nil"/>
            </w:tcBorders>
            <w:vAlign w:val="center"/>
          </w:tcPr>
          <w:p w:rsidR="00A034AA" w:rsidRDefault="00211741">
            <w:pPr>
              <w:spacing w:after="0" w:line="240" w:lineRule="auto"/>
              <w:jc w:val="center"/>
              <w:rPr>
                <w:rFonts w:ascii="Arial" w:hAnsi="Arial" w:cs="Arial"/>
                <w:b/>
                <w:bCs/>
                <w:color w:val="000000" w:themeColor="text1"/>
                <w:sz w:val="20"/>
                <w:szCs w:val="20"/>
              </w:rPr>
            </w:pPr>
            <w:r>
              <w:rPr>
                <w:rFonts w:ascii="Arial" w:eastAsia="Times New Roman" w:hAnsi="Arial" w:cs="Arial"/>
                <w:b/>
                <w:bCs/>
                <w:color w:val="000000" w:themeColor="text1"/>
                <w:sz w:val="20"/>
                <w:szCs w:val="20"/>
                <w:lang w:eastAsia="en-PH"/>
              </w:rPr>
              <w:t>Mean</w:t>
            </w:r>
          </w:p>
        </w:tc>
        <w:tc>
          <w:tcPr>
            <w:tcW w:w="1182" w:type="dxa"/>
            <w:tcBorders>
              <w:left w:val="nil"/>
              <w:right w:val="nil"/>
            </w:tcBorders>
            <w:vAlign w:val="center"/>
          </w:tcPr>
          <w:p w:rsidR="00A034AA" w:rsidRDefault="00211741">
            <w:pPr>
              <w:spacing w:after="0" w:line="240" w:lineRule="auto"/>
              <w:jc w:val="center"/>
              <w:rPr>
                <w:rFonts w:ascii="Arial" w:hAnsi="Arial" w:cs="Arial"/>
                <w:b/>
                <w:bCs/>
                <w:color w:val="000000" w:themeColor="text1"/>
                <w:sz w:val="20"/>
                <w:szCs w:val="20"/>
              </w:rPr>
            </w:pPr>
            <w:r>
              <w:rPr>
                <w:rFonts w:ascii="Arial" w:eastAsia="Times New Roman" w:hAnsi="Arial" w:cs="Arial"/>
                <w:b/>
                <w:bCs/>
                <w:color w:val="000000" w:themeColor="text1"/>
                <w:sz w:val="20"/>
                <w:szCs w:val="20"/>
                <w:lang w:eastAsia="en-PH"/>
              </w:rPr>
              <w:t>Std. Deviation</w:t>
            </w:r>
          </w:p>
        </w:tc>
        <w:tc>
          <w:tcPr>
            <w:tcW w:w="1518" w:type="dxa"/>
            <w:tcBorders>
              <w:left w:val="nil"/>
              <w:right w:val="nil"/>
            </w:tcBorders>
            <w:vAlign w:val="center"/>
          </w:tcPr>
          <w:p w:rsidR="00A034AA" w:rsidRDefault="00211741">
            <w:pPr>
              <w:spacing w:after="0" w:line="240" w:lineRule="auto"/>
              <w:jc w:val="center"/>
              <w:rPr>
                <w:rFonts w:ascii="Arial" w:hAnsi="Arial" w:cs="Arial"/>
                <w:b/>
                <w:bCs/>
                <w:color w:val="000000" w:themeColor="text1"/>
                <w:sz w:val="20"/>
                <w:szCs w:val="20"/>
              </w:rPr>
            </w:pPr>
            <w:r>
              <w:rPr>
                <w:rFonts w:ascii="Arial" w:eastAsia="Times New Roman" w:hAnsi="Arial" w:cs="Arial"/>
                <w:b/>
                <w:bCs/>
                <w:color w:val="000000" w:themeColor="text1"/>
                <w:sz w:val="20"/>
                <w:szCs w:val="20"/>
              </w:rPr>
              <w:t>Description</w:t>
            </w:r>
          </w:p>
        </w:tc>
      </w:tr>
      <w:tr w:rsidR="00A034AA">
        <w:tc>
          <w:tcPr>
            <w:tcW w:w="5220" w:type="dxa"/>
            <w:tcBorders>
              <w:left w:val="nil"/>
              <w:right w:val="nil"/>
            </w:tcBorders>
          </w:tcPr>
          <w:p w:rsidR="00A034AA" w:rsidRDefault="00211741">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Employees are highly involved in their work.</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4.48</w:t>
            </w:r>
          </w:p>
        </w:tc>
        <w:tc>
          <w:tcPr>
            <w:tcW w:w="1182"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0.59</w:t>
            </w:r>
          </w:p>
        </w:tc>
        <w:tc>
          <w:tcPr>
            <w:tcW w:w="1518"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 xml:space="preserve">Decisions are made at the level where the best information is </w:t>
            </w:r>
            <w:r>
              <w:rPr>
                <w:rFonts w:eastAsia="SimSun" w:cs="Arial"/>
                <w:sz w:val="20"/>
                <w:szCs w:val="20"/>
              </w:rPr>
              <w:t>available.</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4.38</w:t>
            </w:r>
          </w:p>
        </w:tc>
        <w:tc>
          <w:tcPr>
            <w:tcW w:w="118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0.62</w:t>
            </w:r>
          </w:p>
        </w:tc>
        <w:tc>
          <w:tcPr>
            <w:tcW w:w="151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Information is widely shared to ensure accessibility when needed.</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4.48</w:t>
            </w:r>
          </w:p>
        </w:tc>
        <w:tc>
          <w:tcPr>
            <w:tcW w:w="118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0.63</w:t>
            </w:r>
          </w:p>
        </w:tc>
        <w:tc>
          <w:tcPr>
            <w:tcW w:w="151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Confidence exists in the ability to make a positive impact.</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4.29</w:t>
            </w:r>
          </w:p>
        </w:tc>
        <w:tc>
          <w:tcPr>
            <w:tcW w:w="118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0.66</w:t>
            </w:r>
          </w:p>
        </w:tc>
        <w:tc>
          <w:tcPr>
            <w:tcW w:w="151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Planning is ongoing and involves all participants to some degree.</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4.32</w:t>
            </w:r>
          </w:p>
        </w:tc>
        <w:tc>
          <w:tcPr>
            <w:tcW w:w="118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0.60</w:t>
            </w:r>
          </w:p>
        </w:tc>
        <w:tc>
          <w:tcPr>
            <w:tcW w:w="151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Cooperation across different parts of the organization is actively encouraged.</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4.32</w:t>
            </w:r>
          </w:p>
        </w:tc>
        <w:tc>
          <w:tcPr>
            <w:tcW w:w="118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0.69</w:t>
            </w:r>
          </w:p>
        </w:tc>
        <w:tc>
          <w:tcPr>
            <w:tcW w:w="151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Work is approached with a team-oriented mindset.</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4.49</w:t>
            </w:r>
          </w:p>
        </w:tc>
        <w:tc>
          <w:tcPr>
            <w:tcW w:w="118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0.65</w:t>
            </w:r>
          </w:p>
        </w:tc>
        <w:tc>
          <w:tcPr>
            <w:tcW w:w="151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Teamwork is prioritized over hierarchy to accomplish tasks.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4.49</w:t>
            </w:r>
          </w:p>
        </w:tc>
        <w:tc>
          <w:tcPr>
            <w:tcW w:w="118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0.66</w:t>
            </w:r>
          </w:p>
        </w:tc>
        <w:tc>
          <w:tcPr>
            <w:tcW w:w="151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Teams serve as the primary building blocks of the organization.</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4.46</w:t>
            </w:r>
          </w:p>
        </w:tc>
        <w:tc>
          <w:tcPr>
            <w:tcW w:w="1182"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0.57</w:t>
            </w:r>
          </w:p>
        </w:tc>
        <w:tc>
          <w:tcPr>
            <w:tcW w:w="1518"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A034AA">
        <w:trPr>
          <w:trHeight w:val="358"/>
        </w:trPr>
        <w:tc>
          <w:tcPr>
            <w:tcW w:w="5220" w:type="dxa"/>
            <w:tcBorders>
              <w:left w:val="nil"/>
              <w:right w:val="nil"/>
            </w:tcBorders>
          </w:tcPr>
          <w:p w:rsidR="00A034AA" w:rsidRDefault="00211741">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Work is structured so that each role aligns with organizational goals.</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4.42</w:t>
            </w:r>
          </w:p>
        </w:tc>
        <w:tc>
          <w:tcPr>
            <w:tcW w:w="1182"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0.62</w:t>
            </w:r>
          </w:p>
        </w:tc>
        <w:tc>
          <w:tcPr>
            <w:tcW w:w="1518"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A034AA">
        <w:trPr>
          <w:trHeight w:val="317"/>
        </w:trPr>
        <w:tc>
          <w:tcPr>
            <w:tcW w:w="5220" w:type="dxa"/>
            <w:tcBorders>
              <w:left w:val="nil"/>
              <w:right w:val="nil"/>
            </w:tcBorders>
          </w:tcPr>
          <w:p w:rsidR="00A034AA" w:rsidRDefault="00211741">
            <w:pPr>
              <w:pStyle w:val="ListParagraph"/>
              <w:numPr>
                <w:ilvl w:val="0"/>
                <w:numId w:val="4"/>
              </w:numPr>
              <w:spacing w:line="240" w:lineRule="auto"/>
              <w:rPr>
                <w:rFonts w:eastAsia="SimSun" w:cs="Arial"/>
                <w:sz w:val="20"/>
                <w:szCs w:val="20"/>
              </w:rPr>
            </w:pPr>
            <w:r>
              <w:rPr>
                <w:rFonts w:eastAsia="SimSun" w:cs="Arial"/>
                <w:sz w:val="20"/>
                <w:szCs w:val="20"/>
              </w:rPr>
              <w:t>Authority is delegated to enable independent action.</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4.37</w:t>
            </w:r>
          </w:p>
        </w:tc>
        <w:tc>
          <w:tcPr>
            <w:tcW w:w="118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0.64</w:t>
            </w:r>
          </w:p>
        </w:tc>
        <w:tc>
          <w:tcPr>
            <w:tcW w:w="151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rPr>
          <w:trHeight w:val="263"/>
        </w:trPr>
        <w:tc>
          <w:tcPr>
            <w:tcW w:w="5220" w:type="dxa"/>
            <w:tcBorders>
              <w:left w:val="nil"/>
              <w:right w:val="nil"/>
            </w:tcBorders>
          </w:tcPr>
          <w:p w:rsidR="00A034AA" w:rsidRDefault="00211741">
            <w:pPr>
              <w:pStyle w:val="ListParagraph"/>
              <w:numPr>
                <w:ilvl w:val="0"/>
                <w:numId w:val="4"/>
              </w:numPr>
              <w:spacing w:line="240" w:lineRule="auto"/>
              <w:rPr>
                <w:rFonts w:eastAsia="SimSun" w:cs="Arial"/>
                <w:sz w:val="20"/>
                <w:szCs w:val="20"/>
              </w:rPr>
            </w:pPr>
            <w:r>
              <w:rPr>
                <w:rFonts w:eastAsia="SimSun" w:cs="Arial"/>
                <w:sz w:val="20"/>
                <w:szCs w:val="20"/>
              </w:rPr>
              <w:t>Employee capability is continuously improving.</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4.33</w:t>
            </w:r>
          </w:p>
        </w:tc>
        <w:tc>
          <w:tcPr>
            <w:tcW w:w="118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0.65</w:t>
            </w:r>
          </w:p>
        </w:tc>
        <w:tc>
          <w:tcPr>
            <w:tcW w:w="151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rPr>
          <w:trHeight w:val="254"/>
        </w:trPr>
        <w:tc>
          <w:tcPr>
            <w:tcW w:w="5220" w:type="dxa"/>
            <w:tcBorders>
              <w:left w:val="nil"/>
              <w:right w:val="nil"/>
            </w:tcBorders>
          </w:tcPr>
          <w:p w:rsidR="00A034AA" w:rsidRDefault="00211741">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Ongoing investment is made in employee skill development.</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4.30</w:t>
            </w:r>
          </w:p>
        </w:tc>
        <w:tc>
          <w:tcPr>
            <w:tcW w:w="118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0.69</w:t>
            </w:r>
          </w:p>
        </w:tc>
        <w:tc>
          <w:tcPr>
            <w:tcW w:w="151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rPr>
          <w:trHeight w:val="358"/>
        </w:trPr>
        <w:tc>
          <w:tcPr>
            <w:tcW w:w="5220" w:type="dxa"/>
            <w:tcBorders>
              <w:left w:val="nil"/>
              <w:right w:val="nil"/>
            </w:tcBorders>
          </w:tcPr>
          <w:p w:rsidR="00A034AA" w:rsidRDefault="00211741">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Human capabilities are recognized as a key competitive advantage.</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4.32</w:t>
            </w:r>
          </w:p>
        </w:tc>
        <w:tc>
          <w:tcPr>
            <w:tcW w:w="118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0.68</w:t>
            </w:r>
          </w:p>
        </w:tc>
        <w:tc>
          <w:tcPr>
            <w:tcW w:w="151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rPr>
          <w:trHeight w:val="263"/>
        </w:trPr>
        <w:tc>
          <w:tcPr>
            <w:tcW w:w="5220" w:type="dxa"/>
            <w:tcBorders>
              <w:left w:val="nil"/>
              <w:right w:val="nil"/>
            </w:tcBorders>
          </w:tcPr>
          <w:p w:rsidR="00A034AA" w:rsidRDefault="00211741">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 xml:space="preserve">Problems do not arise due to a </w:t>
            </w:r>
            <w:r>
              <w:rPr>
                <w:rFonts w:eastAsia="SimSun" w:cs="Arial"/>
                <w:sz w:val="20"/>
                <w:szCs w:val="20"/>
              </w:rPr>
              <w:t>lack of necessary skills.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4.29</w:t>
            </w:r>
          </w:p>
        </w:tc>
        <w:tc>
          <w:tcPr>
            <w:tcW w:w="118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0.71</w:t>
            </w:r>
          </w:p>
        </w:tc>
        <w:tc>
          <w:tcPr>
            <w:tcW w:w="151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rPr>
          <w:trHeight w:val="254"/>
        </w:trPr>
        <w:tc>
          <w:tcPr>
            <w:tcW w:w="5220" w:type="dxa"/>
            <w:tcBorders>
              <w:left w:val="nil"/>
              <w:right w:val="nil"/>
            </w:tcBorders>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themeColor="text1"/>
                <w:sz w:val="20"/>
                <w:szCs w:val="20"/>
                <w:lang w:eastAsia="en-PH"/>
              </w:rPr>
              <w:t>Average</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4.38</w:t>
            </w:r>
          </w:p>
        </w:tc>
        <w:tc>
          <w:tcPr>
            <w:tcW w:w="1182"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0.44</w:t>
            </w:r>
          </w:p>
        </w:tc>
        <w:tc>
          <w:tcPr>
            <w:tcW w:w="1518"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bl>
    <w:p w:rsidR="00A034AA" w:rsidRDefault="00211741">
      <w:pPr>
        <w:spacing w:after="0" w:line="240" w:lineRule="auto"/>
        <w:jc w:val="both"/>
        <w:rPr>
          <w:rFonts w:ascii="Arial" w:hAnsi="Arial" w:cs="Arial"/>
          <w:sz w:val="20"/>
        </w:rPr>
      </w:pPr>
      <w:r>
        <w:rPr>
          <w:rFonts w:ascii="Arial" w:hAnsi="Arial"/>
        </w:rPr>
        <w:lastRenderedPageBreak/>
        <w:tab/>
      </w:r>
    </w:p>
    <w:bookmarkEnd w:id="0"/>
    <w:p w:rsidR="00A034AA" w:rsidRDefault="00211741">
      <w:pPr>
        <w:spacing w:after="0" w:line="240" w:lineRule="auto"/>
        <w:ind w:firstLine="720"/>
        <w:jc w:val="both"/>
        <w:rPr>
          <w:rFonts w:ascii="Arial" w:hAnsi="Arial" w:cs="Arial"/>
          <w:sz w:val="20"/>
          <w:szCs w:val="20"/>
        </w:rPr>
      </w:pPr>
      <w:r>
        <w:rPr>
          <w:rFonts w:ascii="Arial" w:hAnsi="Arial" w:cs="Arial"/>
          <w:sz w:val="20"/>
          <w:szCs w:val="20"/>
        </w:rPr>
        <w:t xml:space="preserve">This supports the study of Nauman and Pathan (2022) that the LGU of Boston shows a strong culture of involvement, with engaged employees supported in decision-making and skill </w:t>
      </w:r>
      <w:r>
        <w:rPr>
          <w:rFonts w:ascii="Arial" w:hAnsi="Arial" w:cs="Arial"/>
          <w:sz w:val="20"/>
          <w:szCs w:val="20"/>
        </w:rPr>
        <w:t>development, consistent with (Nauman &amp; Pathan, 2022).</w:t>
      </w:r>
      <w:r>
        <w:rPr>
          <w:rFonts w:ascii="Arial" w:hAnsi="Arial" w:cs="Arial"/>
          <w:sz w:val="20"/>
          <w:szCs w:val="20"/>
          <w:lang w:val="en-US"/>
        </w:rPr>
        <w:t xml:space="preserve"> </w:t>
      </w:r>
      <w:r>
        <w:rPr>
          <w:rFonts w:ascii="Arial" w:hAnsi="Arial" w:cs="Arial"/>
          <w:sz w:val="20"/>
          <w:szCs w:val="20"/>
        </w:rPr>
        <w:t>The findings confirmed that involvement is a key aspect of the LGU of Boston’s culture, with a strong focus on participation, teamwork, and development. This supports literature on the value of inclusiv</w:t>
      </w:r>
      <w:r>
        <w:rPr>
          <w:rFonts w:ascii="Arial" w:hAnsi="Arial" w:cs="Arial"/>
          <w:sz w:val="20"/>
          <w:szCs w:val="20"/>
        </w:rPr>
        <w:t>e workplaces (</w:t>
      </w:r>
      <w:proofErr w:type="spellStart"/>
      <w:r>
        <w:rPr>
          <w:rFonts w:ascii="Arial" w:hAnsi="Arial" w:cs="Arial"/>
          <w:sz w:val="20"/>
          <w:szCs w:val="20"/>
        </w:rPr>
        <w:t>Eldor</w:t>
      </w:r>
      <w:proofErr w:type="spellEnd"/>
      <w:r>
        <w:rPr>
          <w:rFonts w:ascii="Arial" w:hAnsi="Arial" w:cs="Arial"/>
          <w:sz w:val="20"/>
          <w:szCs w:val="20"/>
        </w:rPr>
        <w:t xml:space="preserve">, 2020; Dutta &amp; </w:t>
      </w:r>
      <w:proofErr w:type="spellStart"/>
      <w:r>
        <w:rPr>
          <w:rFonts w:ascii="Arial" w:hAnsi="Arial" w:cs="Arial"/>
          <w:sz w:val="20"/>
          <w:szCs w:val="20"/>
        </w:rPr>
        <w:t>Rangnekar</w:t>
      </w:r>
      <w:proofErr w:type="spellEnd"/>
      <w:r>
        <w:rPr>
          <w:rFonts w:ascii="Arial" w:hAnsi="Arial" w:cs="Arial"/>
          <w:sz w:val="20"/>
          <w:szCs w:val="20"/>
        </w:rPr>
        <w:t xml:space="preserve">, 2024). As </w:t>
      </w:r>
      <w:proofErr w:type="spellStart"/>
      <w:r>
        <w:rPr>
          <w:rFonts w:ascii="Arial" w:hAnsi="Arial" w:cs="Arial"/>
          <w:sz w:val="20"/>
          <w:szCs w:val="20"/>
        </w:rPr>
        <w:t>Moşteanu</w:t>
      </w:r>
      <w:proofErr w:type="spellEnd"/>
      <w:r>
        <w:rPr>
          <w:rFonts w:ascii="Arial" w:hAnsi="Arial" w:cs="Arial"/>
          <w:sz w:val="20"/>
          <w:szCs w:val="20"/>
        </w:rPr>
        <w:t xml:space="preserve"> (2024) notes, balancing structure and flexibility is vital for long-term engagement and success.</w:t>
      </w:r>
    </w:p>
    <w:p w:rsidR="00A034AA" w:rsidRDefault="00A034AA">
      <w:pPr>
        <w:spacing w:after="0" w:line="240" w:lineRule="auto"/>
        <w:ind w:firstLine="720"/>
        <w:jc w:val="both"/>
        <w:rPr>
          <w:rFonts w:ascii="Arial" w:hAnsi="Arial" w:cs="Arial"/>
          <w:sz w:val="20"/>
          <w:szCs w:val="20"/>
        </w:rPr>
      </w:pPr>
    </w:p>
    <w:p w:rsidR="00A034AA" w:rsidRDefault="00211741">
      <w:pPr>
        <w:spacing w:after="0" w:line="240" w:lineRule="auto"/>
        <w:jc w:val="both"/>
        <w:rPr>
          <w:rFonts w:ascii="Arial" w:hAnsi="Arial" w:cs="Arial"/>
          <w:sz w:val="20"/>
          <w:szCs w:val="20"/>
        </w:rPr>
      </w:pPr>
      <w:r>
        <w:rPr>
          <w:rFonts w:ascii="Arial" w:hAnsi="Arial" w:cs="Arial"/>
          <w:sz w:val="20"/>
          <w:szCs w:val="20"/>
        </w:rPr>
        <w:t xml:space="preserve">Table </w:t>
      </w:r>
      <w:r>
        <w:rPr>
          <w:rFonts w:ascii="Arial" w:hAnsi="Arial" w:cs="Arial"/>
          <w:sz w:val="20"/>
          <w:szCs w:val="20"/>
          <w:lang w:val="en-US"/>
        </w:rPr>
        <w:t>2</w:t>
      </w:r>
      <w:r>
        <w:rPr>
          <w:rFonts w:ascii="Arial" w:hAnsi="Arial" w:cs="Arial"/>
          <w:sz w:val="20"/>
          <w:szCs w:val="20"/>
        </w:rPr>
        <w:t>. Level of Organizational Culture of LGU’s Employee of Boston in Terms of Consistency</w:t>
      </w:r>
    </w:p>
    <w:tbl>
      <w:tblPr>
        <w:tblStyle w:val="TableGrid"/>
        <w:tblpPr w:leftFromText="180" w:rightFromText="180" w:vertAnchor="text" w:horzAnchor="page" w:tblpX="2127" w:tblpY="76"/>
        <w:tblW w:w="8730" w:type="dxa"/>
        <w:tblLayout w:type="fixed"/>
        <w:tblLook w:val="04A0" w:firstRow="1" w:lastRow="0" w:firstColumn="1" w:lastColumn="0" w:noHBand="0" w:noVBand="1"/>
      </w:tblPr>
      <w:tblGrid>
        <w:gridCol w:w="5083"/>
        <w:gridCol w:w="833"/>
        <w:gridCol w:w="1194"/>
        <w:gridCol w:w="1620"/>
      </w:tblGrid>
      <w:tr w:rsidR="00A034AA">
        <w:trPr>
          <w:trHeight w:val="236"/>
        </w:trPr>
        <w:tc>
          <w:tcPr>
            <w:tcW w:w="5083" w:type="dxa"/>
            <w:tcBorders>
              <w:left w:val="nil"/>
              <w:right w:val="nil"/>
            </w:tcBorders>
            <w:vAlign w:val="center"/>
          </w:tcPr>
          <w:p w:rsidR="00A034AA" w:rsidRDefault="00211741">
            <w:pPr>
              <w:pStyle w:val="Default"/>
              <w:jc w:val="center"/>
              <w:rPr>
                <w:b/>
                <w:bCs/>
                <w:sz w:val="20"/>
                <w:szCs w:val="20"/>
              </w:rPr>
            </w:pPr>
            <w:r>
              <w:rPr>
                <w:b/>
                <w:bCs/>
                <w:sz w:val="20"/>
                <w:szCs w:val="20"/>
                <w:lang w:val="en-US"/>
              </w:rPr>
              <w:t>Statements</w:t>
            </w:r>
          </w:p>
        </w:tc>
        <w:tc>
          <w:tcPr>
            <w:tcW w:w="833" w:type="dxa"/>
            <w:tcBorders>
              <w:left w:val="nil"/>
              <w:right w:val="nil"/>
            </w:tcBorders>
            <w:vAlign w:val="center"/>
          </w:tcPr>
          <w:p w:rsidR="00A034AA" w:rsidRDefault="00211741">
            <w:pPr>
              <w:pStyle w:val="Default"/>
              <w:jc w:val="center"/>
              <w:rPr>
                <w:b/>
                <w:bCs/>
                <w:sz w:val="20"/>
                <w:szCs w:val="20"/>
              </w:rPr>
            </w:pPr>
            <w:r>
              <w:rPr>
                <w:b/>
                <w:bCs/>
                <w:sz w:val="20"/>
                <w:szCs w:val="20"/>
                <w:lang w:eastAsia="en-PH"/>
              </w:rPr>
              <w:t>Mean</w:t>
            </w:r>
          </w:p>
        </w:tc>
        <w:tc>
          <w:tcPr>
            <w:tcW w:w="1194" w:type="dxa"/>
            <w:tcBorders>
              <w:left w:val="nil"/>
              <w:right w:val="nil"/>
            </w:tcBorders>
            <w:vAlign w:val="center"/>
          </w:tcPr>
          <w:p w:rsidR="00A034AA" w:rsidRDefault="00211741">
            <w:pPr>
              <w:pStyle w:val="Default"/>
              <w:jc w:val="center"/>
              <w:rPr>
                <w:b/>
                <w:bCs/>
                <w:sz w:val="20"/>
                <w:szCs w:val="20"/>
              </w:rPr>
            </w:pPr>
            <w:r>
              <w:rPr>
                <w:b/>
                <w:bCs/>
                <w:sz w:val="20"/>
                <w:szCs w:val="20"/>
                <w:lang w:eastAsia="en-PH"/>
              </w:rPr>
              <w:t>Std. Deviation</w:t>
            </w:r>
          </w:p>
        </w:tc>
        <w:tc>
          <w:tcPr>
            <w:tcW w:w="1620" w:type="dxa"/>
            <w:tcBorders>
              <w:left w:val="nil"/>
              <w:right w:val="nil"/>
            </w:tcBorders>
            <w:vAlign w:val="center"/>
          </w:tcPr>
          <w:p w:rsidR="00A034AA" w:rsidRDefault="00211741">
            <w:pPr>
              <w:pStyle w:val="Default"/>
              <w:jc w:val="center"/>
              <w:rPr>
                <w:b/>
                <w:bCs/>
                <w:sz w:val="20"/>
                <w:szCs w:val="20"/>
              </w:rPr>
            </w:pPr>
            <w:r>
              <w:rPr>
                <w:b/>
                <w:bCs/>
                <w:sz w:val="20"/>
                <w:szCs w:val="20"/>
              </w:rPr>
              <w:t>Description</w:t>
            </w:r>
          </w:p>
        </w:tc>
      </w:tr>
      <w:tr w:rsidR="00A034AA">
        <w:tc>
          <w:tcPr>
            <w:tcW w:w="5083" w:type="dxa"/>
            <w:tcBorders>
              <w:left w:val="nil"/>
              <w:right w:val="nil"/>
            </w:tcBorders>
          </w:tcPr>
          <w:p w:rsidR="00A034AA" w:rsidRDefault="00211741">
            <w:pPr>
              <w:pStyle w:val="Default"/>
              <w:numPr>
                <w:ilvl w:val="0"/>
                <w:numId w:val="5"/>
              </w:numPr>
              <w:rPr>
                <w:sz w:val="20"/>
                <w:szCs w:val="20"/>
                <w:lang w:eastAsia="en-PH"/>
              </w:rPr>
            </w:pPr>
            <w:r>
              <w:rPr>
                <w:sz w:val="20"/>
                <w:szCs w:val="20"/>
              </w:rPr>
              <w:t>Leaders and managers align their actions with their words</w:t>
            </w:r>
          </w:p>
        </w:tc>
        <w:tc>
          <w:tcPr>
            <w:tcW w:w="833" w:type="dxa"/>
            <w:tcBorders>
              <w:left w:val="nil"/>
              <w:right w:val="nil"/>
            </w:tcBorders>
            <w:vAlign w:val="center"/>
          </w:tcPr>
          <w:p w:rsidR="00A034AA" w:rsidRDefault="00211741">
            <w:pPr>
              <w:pStyle w:val="Default"/>
              <w:rPr>
                <w:sz w:val="20"/>
                <w:szCs w:val="20"/>
              </w:rPr>
            </w:pPr>
            <w:r>
              <w:rPr>
                <w:sz w:val="20"/>
                <w:szCs w:val="20"/>
                <w:lang w:eastAsia="en-PH"/>
              </w:rPr>
              <w:t>4.34</w:t>
            </w:r>
          </w:p>
        </w:tc>
        <w:tc>
          <w:tcPr>
            <w:tcW w:w="1194" w:type="dxa"/>
            <w:tcBorders>
              <w:left w:val="nil"/>
              <w:right w:val="nil"/>
            </w:tcBorders>
            <w:vAlign w:val="center"/>
          </w:tcPr>
          <w:p w:rsidR="00A034AA" w:rsidRDefault="00211741">
            <w:pPr>
              <w:pStyle w:val="Default"/>
              <w:rPr>
                <w:sz w:val="20"/>
                <w:szCs w:val="20"/>
              </w:rPr>
            </w:pPr>
            <w:r>
              <w:rPr>
                <w:sz w:val="20"/>
                <w:szCs w:val="20"/>
                <w:lang w:eastAsia="en-PH"/>
              </w:rPr>
              <w:t>0.64</w:t>
            </w:r>
          </w:p>
        </w:tc>
        <w:tc>
          <w:tcPr>
            <w:tcW w:w="1620" w:type="dxa"/>
            <w:tcBorders>
              <w:left w:val="nil"/>
              <w:right w:val="nil"/>
            </w:tcBorders>
            <w:vAlign w:val="center"/>
          </w:tcPr>
          <w:p w:rsidR="00A034AA" w:rsidRDefault="00211741">
            <w:pPr>
              <w:pStyle w:val="Default"/>
              <w:rPr>
                <w:sz w:val="20"/>
                <w:szCs w:val="20"/>
              </w:rPr>
            </w:pPr>
            <w:r>
              <w:rPr>
                <w:sz w:val="20"/>
                <w:szCs w:val="20"/>
                <w:lang w:eastAsia="en-PH"/>
              </w:rPr>
              <w:t>Always</w:t>
            </w:r>
          </w:p>
        </w:tc>
      </w:tr>
      <w:tr w:rsidR="00A034AA">
        <w:tc>
          <w:tcPr>
            <w:tcW w:w="5083" w:type="dxa"/>
            <w:tcBorders>
              <w:left w:val="nil"/>
              <w:right w:val="nil"/>
            </w:tcBorders>
          </w:tcPr>
          <w:p w:rsidR="00A034AA" w:rsidRDefault="00211741">
            <w:pPr>
              <w:pStyle w:val="Default"/>
              <w:numPr>
                <w:ilvl w:val="0"/>
                <w:numId w:val="5"/>
              </w:numPr>
              <w:rPr>
                <w:sz w:val="20"/>
                <w:szCs w:val="20"/>
                <w:lang w:eastAsia="en-PH"/>
              </w:rPr>
            </w:pPr>
            <w:r>
              <w:rPr>
                <w:sz w:val="20"/>
                <w:szCs w:val="20"/>
              </w:rPr>
              <w:t>A characteristic management style and distinct set of management practices exist.</w:t>
            </w:r>
          </w:p>
        </w:tc>
        <w:tc>
          <w:tcPr>
            <w:tcW w:w="833" w:type="dxa"/>
            <w:tcBorders>
              <w:left w:val="nil"/>
              <w:right w:val="nil"/>
            </w:tcBorders>
            <w:vAlign w:val="center"/>
          </w:tcPr>
          <w:p w:rsidR="00A034AA" w:rsidRDefault="00211741">
            <w:pPr>
              <w:pStyle w:val="Default"/>
              <w:rPr>
                <w:sz w:val="20"/>
                <w:szCs w:val="20"/>
                <w:lang w:eastAsia="en-PH"/>
              </w:rPr>
            </w:pPr>
            <w:r>
              <w:rPr>
                <w:sz w:val="20"/>
                <w:szCs w:val="20"/>
                <w:lang w:eastAsia="en-PH"/>
              </w:rPr>
              <w:t>4.28</w:t>
            </w:r>
          </w:p>
        </w:tc>
        <w:tc>
          <w:tcPr>
            <w:tcW w:w="1194" w:type="dxa"/>
            <w:tcBorders>
              <w:left w:val="nil"/>
              <w:right w:val="nil"/>
            </w:tcBorders>
            <w:vAlign w:val="center"/>
          </w:tcPr>
          <w:p w:rsidR="00A034AA" w:rsidRDefault="00211741">
            <w:pPr>
              <w:pStyle w:val="Default"/>
              <w:rPr>
                <w:sz w:val="20"/>
                <w:szCs w:val="20"/>
                <w:lang w:eastAsia="en-PH"/>
              </w:rPr>
            </w:pPr>
            <w:r>
              <w:rPr>
                <w:sz w:val="20"/>
                <w:szCs w:val="20"/>
                <w:lang w:eastAsia="en-PH"/>
              </w:rPr>
              <w:t>0.63</w:t>
            </w:r>
          </w:p>
        </w:tc>
        <w:tc>
          <w:tcPr>
            <w:tcW w:w="1620" w:type="dxa"/>
            <w:tcBorders>
              <w:left w:val="nil"/>
              <w:right w:val="nil"/>
            </w:tcBorders>
            <w:vAlign w:val="center"/>
          </w:tcPr>
          <w:p w:rsidR="00A034AA" w:rsidRDefault="00211741">
            <w:pPr>
              <w:pStyle w:val="Default"/>
              <w:rPr>
                <w:sz w:val="20"/>
                <w:szCs w:val="20"/>
                <w:lang w:val="en-US" w:eastAsia="en-PH"/>
              </w:rPr>
            </w:pPr>
            <w:r>
              <w:rPr>
                <w:sz w:val="20"/>
                <w:szCs w:val="20"/>
                <w:lang w:eastAsia="en-PH"/>
              </w:rPr>
              <w:t>Always</w:t>
            </w:r>
          </w:p>
        </w:tc>
      </w:tr>
      <w:tr w:rsidR="00A034AA">
        <w:tc>
          <w:tcPr>
            <w:tcW w:w="5083" w:type="dxa"/>
            <w:tcBorders>
              <w:left w:val="nil"/>
              <w:right w:val="nil"/>
            </w:tcBorders>
          </w:tcPr>
          <w:p w:rsidR="00A034AA" w:rsidRDefault="00211741">
            <w:pPr>
              <w:pStyle w:val="Default"/>
              <w:numPr>
                <w:ilvl w:val="0"/>
                <w:numId w:val="5"/>
              </w:numPr>
              <w:rPr>
                <w:sz w:val="20"/>
                <w:szCs w:val="20"/>
                <w:lang w:eastAsia="en-PH"/>
              </w:rPr>
            </w:pPr>
            <w:r>
              <w:rPr>
                <w:sz w:val="20"/>
                <w:szCs w:val="20"/>
              </w:rPr>
              <w:t>A clear and consistent set of values</w:t>
            </w:r>
            <w:r>
              <w:rPr>
                <w:sz w:val="20"/>
                <w:szCs w:val="20"/>
              </w:rPr>
              <w:t xml:space="preserve"> governs work processes.</w:t>
            </w:r>
          </w:p>
        </w:tc>
        <w:tc>
          <w:tcPr>
            <w:tcW w:w="833" w:type="dxa"/>
            <w:tcBorders>
              <w:left w:val="nil"/>
              <w:right w:val="nil"/>
            </w:tcBorders>
            <w:vAlign w:val="center"/>
          </w:tcPr>
          <w:p w:rsidR="00A034AA" w:rsidRDefault="00211741">
            <w:pPr>
              <w:pStyle w:val="Default"/>
              <w:rPr>
                <w:sz w:val="20"/>
                <w:szCs w:val="20"/>
                <w:lang w:eastAsia="en-PH"/>
              </w:rPr>
            </w:pPr>
            <w:r>
              <w:rPr>
                <w:sz w:val="20"/>
                <w:szCs w:val="20"/>
                <w:lang w:eastAsia="en-PH"/>
              </w:rPr>
              <w:t>4.38</w:t>
            </w:r>
          </w:p>
        </w:tc>
        <w:tc>
          <w:tcPr>
            <w:tcW w:w="1194" w:type="dxa"/>
            <w:tcBorders>
              <w:left w:val="nil"/>
              <w:right w:val="nil"/>
            </w:tcBorders>
            <w:vAlign w:val="center"/>
          </w:tcPr>
          <w:p w:rsidR="00A034AA" w:rsidRDefault="00211741">
            <w:pPr>
              <w:pStyle w:val="Default"/>
              <w:rPr>
                <w:sz w:val="20"/>
                <w:szCs w:val="20"/>
                <w:lang w:eastAsia="en-PH"/>
              </w:rPr>
            </w:pPr>
            <w:r>
              <w:rPr>
                <w:sz w:val="20"/>
                <w:szCs w:val="20"/>
                <w:lang w:eastAsia="en-PH"/>
              </w:rPr>
              <w:t>0.68</w:t>
            </w:r>
          </w:p>
        </w:tc>
        <w:tc>
          <w:tcPr>
            <w:tcW w:w="1620" w:type="dxa"/>
            <w:tcBorders>
              <w:left w:val="nil"/>
              <w:right w:val="nil"/>
            </w:tcBorders>
            <w:vAlign w:val="center"/>
          </w:tcPr>
          <w:p w:rsidR="00A034AA" w:rsidRDefault="00211741">
            <w:pPr>
              <w:pStyle w:val="Default"/>
              <w:rPr>
                <w:sz w:val="20"/>
                <w:szCs w:val="20"/>
                <w:lang w:val="en-US" w:eastAsia="en-PH"/>
              </w:rPr>
            </w:pPr>
            <w:r>
              <w:rPr>
                <w:sz w:val="20"/>
                <w:szCs w:val="20"/>
                <w:lang w:eastAsia="en-PH"/>
              </w:rPr>
              <w:t>Always</w:t>
            </w:r>
          </w:p>
        </w:tc>
      </w:tr>
      <w:tr w:rsidR="00A034AA">
        <w:tc>
          <w:tcPr>
            <w:tcW w:w="5083" w:type="dxa"/>
            <w:tcBorders>
              <w:left w:val="nil"/>
              <w:right w:val="nil"/>
            </w:tcBorders>
          </w:tcPr>
          <w:p w:rsidR="00A034AA" w:rsidRDefault="00211741">
            <w:pPr>
              <w:pStyle w:val="Default"/>
              <w:numPr>
                <w:ilvl w:val="0"/>
                <w:numId w:val="5"/>
              </w:numPr>
              <w:rPr>
                <w:sz w:val="20"/>
                <w:szCs w:val="20"/>
                <w:lang w:eastAsia="en-PH"/>
              </w:rPr>
            </w:pPr>
            <w:r>
              <w:rPr>
                <w:sz w:val="20"/>
                <w:szCs w:val="20"/>
              </w:rPr>
              <w:t>Ignoring core values leads to consequences.</w:t>
            </w:r>
          </w:p>
        </w:tc>
        <w:tc>
          <w:tcPr>
            <w:tcW w:w="833" w:type="dxa"/>
            <w:tcBorders>
              <w:left w:val="nil"/>
              <w:right w:val="nil"/>
            </w:tcBorders>
            <w:vAlign w:val="center"/>
          </w:tcPr>
          <w:p w:rsidR="00A034AA" w:rsidRDefault="00211741">
            <w:pPr>
              <w:pStyle w:val="Default"/>
              <w:rPr>
                <w:sz w:val="20"/>
                <w:szCs w:val="20"/>
                <w:lang w:eastAsia="en-PH"/>
              </w:rPr>
            </w:pPr>
            <w:r>
              <w:rPr>
                <w:sz w:val="20"/>
                <w:szCs w:val="20"/>
                <w:lang w:eastAsia="en-PH"/>
              </w:rPr>
              <w:t>4.16</w:t>
            </w:r>
          </w:p>
        </w:tc>
        <w:tc>
          <w:tcPr>
            <w:tcW w:w="1194" w:type="dxa"/>
            <w:tcBorders>
              <w:left w:val="nil"/>
              <w:right w:val="nil"/>
            </w:tcBorders>
            <w:vAlign w:val="center"/>
          </w:tcPr>
          <w:p w:rsidR="00A034AA" w:rsidRDefault="00211741">
            <w:pPr>
              <w:pStyle w:val="Default"/>
              <w:rPr>
                <w:sz w:val="20"/>
                <w:szCs w:val="20"/>
                <w:lang w:eastAsia="en-PH"/>
              </w:rPr>
            </w:pPr>
            <w:r>
              <w:rPr>
                <w:sz w:val="20"/>
                <w:szCs w:val="20"/>
                <w:lang w:eastAsia="en-PH"/>
              </w:rPr>
              <w:t>0.79</w:t>
            </w:r>
          </w:p>
        </w:tc>
        <w:tc>
          <w:tcPr>
            <w:tcW w:w="1620" w:type="dxa"/>
            <w:tcBorders>
              <w:left w:val="nil"/>
              <w:right w:val="nil"/>
            </w:tcBorders>
            <w:vAlign w:val="center"/>
          </w:tcPr>
          <w:p w:rsidR="00A034AA" w:rsidRDefault="00211741">
            <w:pPr>
              <w:pStyle w:val="Default"/>
              <w:rPr>
                <w:sz w:val="20"/>
                <w:szCs w:val="20"/>
                <w:lang w:val="en-US" w:eastAsia="en-PH"/>
              </w:rPr>
            </w:pPr>
            <w:r>
              <w:rPr>
                <w:sz w:val="20"/>
                <w:szCs w:val="20"/>
                <w:lang w:eastAsia="en-PH"/>
              </w:rPr>
              <w:t>Often</w:t>
            </w:r>
          </w:p>
        </w:tc>
      </w:tr>
      <w:tr w:rsidR="00A034AA">
        <w:tc>
          <w:tcPr>
            <w:tcW w:w="5083" w:type="dxa"/>
            <w:tcBorders>
              <w:left w:val="nil"/>
              <w:right w:val="nil"/>
            </w:tcBorders>
          </w:tcPr>
          <w:p w:rsidR="00A034AA" w:rsidRDefault="00211741">
            <w:pPr>
              <w:pStyle w:val="Default"/>
              <w:numPr>
                <w:ilvl w:val="0"/>
                <w:numId w:val="5"/>
              </w:numPr>
              <w:rPr>
                <w:sz w:val="20"/>
                <w:szCs w:val="20"/>
                <w:lang w:eastAsia="en-PH"/>
              </w:rPr>
            </w:pPr>
            <w:r>
              <w:rPr>
                <w:sz w:val="20"/>
                <w:szCs w:val="20"/>
              </w:rPr>
              <w:t>An ethical code guides behavior and defines right from wrong.</w:t>
            </w:r>
          </w:p>
        </w:tc>
        <w:tc>
          <w:tcPr>
            <w:tcW w:w="833" w:type="dxa"/>
            <w:tcBorders>
              <w:left w:val="nil"/>
              <w:right w:val="nil"/>
            </w:tcBorders>
            <w:vAlign w:val="center"/>
          </w:tcPr>
          <w:p w:rsidR="00A034AA" w:rsidRDefault="00211741">
            <w:pPr>
              <w:pStyle w:val="Default"/>
              <w:rPr>
                <w:sz w:val="20"/>
                <w:szCs w:val="20"/>
                <w:lang w:eastAsia="en-PH"/>
              </w:rPr>
            </w:pPr>
            <w:r>
              <w:rPr>
                <w:sz w:val="20"/>
                <w:szCs w:val="20"/>
                <w:lang w:eastAsia="en-PH"/>
              </w:rPr>
              <w:t>4.34</w:t>
            </w:r>
          </w:p>
        </w:tc>
        <w:tc>
          <w:tcPr>
            <w:tcW w:w="1194" w:type="dxa"/>
            <w:tcBorders>
              <w:left w:val="nil"/>
              <w:right w:val="nil"/>
            </w:tcBorders>
            <w:vAlign w:val="center"/>
          </w:tcPr>
          <w:p w:rsidR="00A034AA" w:rsidRDefault="00211741">
            <w:pPr>
              <w:pStyle w:val="Default"/>
              <w:rPr>
                <w:sz w:val="20"/>
                <w:szCs w:val="20"/>
                <w:lang w:eastAsia="en-PH"/>
              </w:rPr>
            </w:pPr>
            <w:r>
              <w:rPr>
                <w:sz w:val="20"/>
                <w:szCs w:val="20"/>
                <w:lang w:eastAsia="en-PH"/>
              </w:rPr>
              <w:t>0.66</w:t>
            </w:r>
          </w:p>
        </w:tc>
        <w:tc>
          <w:tcPr>
            <w:tcW w:w="1620" w:type="dxa"/>
            <w:tcBorders>
              <w:left w:val="nil"/>
              <w:right w:val="nil"/>
            </w:tcBorders>
            <w:vAlign w:val="center"/>
          </w:tcPr>
          <w:p w:rsidR="00A034AA" w:rsidRDefault="00211741">
            <w:pPr>
              <w:pStyle w:val="Default"/>
              <w:rPr>
                <w:sz w:val="20"/>
                <w:szCs w:val="20"/>
                <w:lang w:val="en-US" w:eastAsia="en-PH"/>
              </w:rPr>
            </w:pPr>
            <w:r>
              <w:rPr>
                <w:sz w:val="20"/>
                <w:szCs w:val="20"/>
                <w:lang w:eastAsia="en-PH"/>
              </w:rPr>
              <w:t>Always</w:t>
            </w:r>
          </w:p>
        </w:tc>
      </w:tr>
      <w:tr w:rsidR="00A034AA">
        <w:tc>
          <w:tcPr>
            <w:tcW w:w="5083" w:type="dxa"/>
            <w:tcBorders>
              <w:left w:val="nil"/>
              <w:right w:val="nil"/>
            </w:tcBorders>
          </w:tcPr>
          <w:p w:rsidR="00A034AA" w:rsidRDefault="00211741">
            <w:pPr>
              <w:pStyle w:val="Default"/>
              <w:numPr>
                <w:ilvl w:val="0"/>
                <w:numId w:val="5"/>
              </w:numPr>
              <w:rPr>
                <w:sz w:val="20"/>
                <w:szCs w:val="20"/>
                <w:lang w:eastAsia="en-PH"/>
              </w:rPr>
            </w:pPr>
            <w:r>
              <w:rPr>
                <w:sz w:val="20"/>
                <w:szCs w:val="20"/>
              </w:rPr>
              <w:t>Disagreements are resolved through efforts to achieve "win-win" solution</w:t>
            </w:r>
            <w:r>
              <w:rPr>
                <w:sz w:val="20"/>
                <w:szCs w:val="20"/>
              </w:rPr>
              <w:t>s.</w:t>
            </w:r>
          </w:p>
        </w:tc>
        <w:tc>
          <w:tcPr>
            <w:tcW w:w="833" w:type="dxa"/>
            <w:tcBorders>
              <w:left w:val="nil"/>
              <w:right w:val="nil"/>
            </w:tcBorders>
            <w:vAlign w:val="center"/>
          </w:tcPr>
          <w:p w:rsidR="00A034AA" w:rsidRDefault="00211741">
            <w:pPr>
              <w:pStyle w:val="Default"/>
              <w:rPr>
                <w:sz w:val="20"/>
                <w:szCs w:val="20"/>
                <w:lang w:eastAsia="en-PH"/>
              </w:rPr>
            </w:pPr>
            <w:r>
              <w:rPr>
                <w:sz w:val="20"/>
                <w:szCs w:val="20"/>
                <w:lang w:eastAsia="en-PH"/>
              </w:rPr>
              <w:t>4.40</w:t>
            </w:r>
          </w:p>
        </w:tc>
        <w:tc>
          <w:tcPr>
            <w:tcW w:w="1194" w:type="dxa"/>
            <w:tcBorders>
              <w:left w:val="nil"/>
              <w:right w:val="nil"/>
            </w:tcBorders>
            <w:vAlign w:val="center"/>
          </w:tcPr>
          <w:p w:rsidR="00A034AA" w:rsidRDefault="00211741">
            <w:pPr>
              <w:pStyle w:val="Default"/>
              <w:rPr>
                <w:sz w:val="20"/>
                <w:szCs w:val="20"/>
                <w:lang w:eastAsia="en-PH"/>
              </w:rPr>
            </w:pPr>
            <w:r>
              <w:rPr>
                <w:sz w:val="20"/>
                <w:szCs w:val="20"/>
                <w:lang w:eastAsia="en-PH"/>
              </w:rPr>
              <w:t>0.64</w:t>
            </w:r>
          </w:p>
        </w:tc>
        <w:tc>
          <w:tcPr>
            <w:tcW w:w="1620" w:type="dxa"/>
            <w:tcBorders>
              <w:left w:val="nil"/>
              <w:right w:val="nil"/>
            </w:tcBorders>
            <w:vAlign w:val="center"/>
          </w:tcPr>
          <w:p w:rsidR="00A034AA" w:rsidRDefault="00211741">
            <w:pPr>
              <w:pStyle w:val="Default"/>
              <w:rPr>
                <w:sz w:val="20"/>
                <w:szCs w:val="20"/>
                <w:lang w:val="en-US" w:eastAsia="en-PH"/>
              </w:rPr>
            </w:pPr>
            <w:r>
              <w:rPr>
                <w:sz w:val="20"/>
                <w:szCs w:val="20"/>
                <w:lang w:eastAsia="en-PH"/>
              </w:rPr>
              <w:t>Always</w:t>
            </w:r>
          </w:p>
        </w:tc>
      </w:tr>
      <w:tr w:rsidR="00A034AA">
        <w:tc>
          <w:tcPr>
            <w:tcW w:w="5083" w:type="dxa"/>
            <w:tcBorders>
              <w:left w:val="nil"/>
              <w:right w:val="nil"/>
            </w:tcBorders>
          </w:tcPr>
          <w:p w:rsidR="00A034AA" w:rsidRDefault="00211741">
            <w:pPr>
              <w:pStyle w:val="Default"/>
              <w:numPr>
                <w:ilvl w:val="0"/>
                <w:numId w:val="5"/>
              </w:numPr>
              <w:rPr>
                <w:sz w:val="20"/>
                <w:szCs w:val="20"/>
                <w:lang w:eastAsia="en-PH"/>
              </w:rPr>
            </w:pPr>
            <w:r>
              <w:rPr>
                <w:sz w:val="20"/>
                <w:szCs w:val="20"/>
              </w:rPr>
              <w:t>A strong organizational culture is present.</w:t>
            </w:r>
          </w:p>
        </w:tc>
        <w:tc>
          <w:tcPr>
            <w:tcW w:w="833" w:type="dxa"/>
            <w:tcBorders>
              <w:left w:val="nil"/>
              <w:right w:val="nil"/>
            </w:tcBorders>
            <w:vAlign w:val="center"/>
          </w:tcPr>
          <w:p w:rsidR="00A034AA" w:rsidRDefault="00211741">
            <w:pPr>
              <w:pStyle w:val="Default"/>
              <w:rPr>
                <w:sz w:val="20"/>
                <w:szCs w:val="20"/>
                <w:lang w:eastAsia="en-PH"/>
              </w:rPr>
            </w:pPr>
            <w:r>
              <w:rPr>
                <w:sz w:val="20"/>
                <w:szCs w:val="20"/>
                <w:lang w:eastAsia="en-PH"/>
              </w:rPr>
              <w:t>4.27</w:t>
            </w:r>
          </w:p>
        </w:tc>
        <w:tc>
          <w:tcPr>
            <w:tcW w:w="1194" w:type="dxa"/>
            <w:tcBorders>
              <w:left w:val="nil"/>
              <w:right w:val="nil"/>
            </w:tcBorders>
            <w:vAlign w:val="center"/>
          </w:tcPr>
          <w:p w:rsidR="00A034AA" w:rsidRDefault="00211741">
            <w:pPr>
              <w:pStyle w:val="Default"/>
              <w:rPr>
                <w:sz w:val="20"/>
                <w:szCs w:val="20"/>
                <w:lang w:eastAsia="en-PH"/>
              </w:rPr>
            </w:pPr>
            <w:r>
              <w:rPr>
                <w:sz w:val="20"/>
                <w:szCs w:val="20"/>
                <w:lang w:eastAsia="en-PH"/>
              </w:rPr>
              <w:t>0.75</w:t>
            </w:r>
          </w:p>
        </w:tc>
        <w:tc>
          <w:tcPr>
            <w:tcW w:w="1620" w:type="dxa"/>
            <w:tcBorders>
              <w:left w:val="nil"/>
              <w:right w:val="nil"/>
            </w:tcBorders>
            <w:vAlign w:val="center"/>
          </w:tcPr>
          <w:p w:rsidR="00A034AA" w:rsidRDefault="00211741">
            <w:pPr>
              <w:pStyle w:val="Default"/>
              <w:rPr>
                <w:sz w:val="20"/>
                <w:szCs w:val="20"/>
                <w:lang w:val="en-US" w:eastAsia="en-PH"/>
              </w:rPr>
            </w:pPr>
            <w:r>
              <w:rPr>
                <w:sz w:val="20"/>
                <w:szCs w:val="20"/>
                <w:lang w:eastAsia="en-PH"/>
              </w:rPr>
              <w:t>Always</w:t>
            </w:r>
          </w:p>
        </w:tc>
      </w:tr>
      <w:tr w:rsidR="00A034AA">
        <w:tc>
          <w:tcPr>
            <w:tcW w:w="5083" w:type="dxa"/>
            <w:tcBorders>
              <w:left w:val="nil"/>
              <w:right w:val="nil"/>
            </w:tcBorders>
          </w:tcPr>
          <w:p w:rsidR="00A034AA" w:rsidRDefault="00211741">
            <w:pPr>
              <w:pStyle w:val="Default"/>
              <w:numPr>
                <w:ilvl w:val="0"/>
                <w:numId w:val="5"/>
              </w:numPr>
              <w:rPr>
                <w:sz w:val="20"/>
                <w:szCs w:val="20"/>
                <w:lang w:eastAsia="en-PH"/>
              </w:rPr>
            </w:pPr>
            <w:r>
              <w:rPr>
                <w:sz w:val="20"/>
                <w:szCs w:val="20"/>
              </w:rPr>
              <w:t>Consensus is easily reached, even on difficult issues.</w:t>
            </w:r>
          </w:p>
        </w:tc>
        <w:tc>
          <w:tcPr>
            <w:tcW w:w="833" w:type="dxa"/>
            <w:tcBorders>
              <w:left w:val="nil"/>
              <w:right w:val="nil"/>
            </w:tcBorders>
            <w:vAlign w:val="center"/>
          </w:tcPr>
          <w:p w:rsidR="00A034AA" w:rsidRDefault="00211741">
            <w:pPr>
              <w:pStyle w:val="Default"/>
              <w:rPr>
                <w:sz w:val="20"/>
                <w:szCs w:val="20"/>
                <w:lang w:eastAsia="en-PH"/>
              </w:rPr>
            </w:pPr>
            <w:r>
              <w:rPr>
                <w:sz w:val="20"/>
                <w:szCs w:val="20"/>
                <w:lang w:eastAsia="en-PH"/>
              </w:rPr>
              <w:t>4.21</w:t>
            </w:r>
          </w:p>
        </w:tc>
        <w:tc>
          <w:tcPr>
            <w:tcW w:w="1194" w:type="dxa"/>
            <w:tcBorders>
              <w:left w:val="nil"/>
              <w:right w:val="nil"/>
            </w:tcBorders>
            <w:vAlign w:val="center"/>
          </w:tcPr>
          <w:p w:rsidR="00A034AA" w:rsidRDefault="00211741">
            <w:pPr>
              <w:pStyle w:val="Default"/>
              <w:rPr>
                <w:sz w:val="20"/>
                <w:szCs w:val="20"/>
                <w:lang w:eastAsia="en-PH"/>
              </w:rPr>
            </w:pPr>
            <w:r>
              <w:rPr>
                <w:sz w:val="20"/>
                <w:szCs w:val="20"/>
                <w:lang w:eastAsia="en-PH"/>
              </w:rPr>
              <w:t>0.72</w:t>
            </w:r>
          </w:p>
        </w:tc>
        <w:tc>
          <w:tcPr>
            <w:tcW w:w="1620" w:type="dxa"/>
            <w:tcBorders>
              <w:left w:val="nil"/>
              <w:right w:val="nil"/>
            </w:tcBorders>
            <w:vAlign w:val="center"/>
          </w:tcPr>
          <w:p w:rsidR="00A034AA" w:rsidRDefault="00211741">
            <w:pPr>
              <w:pStyle w:val="Default"/>
              <w:rPr>
                <w:sz w:val="20"/>
                <w:szCs w:val="20"/>
                <w:lang w:val="en-US" w:eastAsia="en-PH"/>
              </w:rPr>
            </w:pPr>
            <w:r>
              <w:rPr>
                <w:sz w:val="20"/>
                <w:szCs w:val="20"/>
                <w:lang w:eastAsia="en-PH"/>
              </w:rPr>
              <w:t>Always</w:t>
            </w:r>
          </w:p>
        </w:tc>
      </w:tr>
      <w:tr w:rsidR="00A034AA">
        <w:tc>
          <w:tcPr>
            <w:tcW w:w="5083" w:type="dxa"/>
            <w:tcBorders>
              <w:left w:val="nil"/>
              <w:right w:val="nil"/>
            </w:tcBorders>
          </w:tcPr>
          <w:p w:rsidR="00A034AA" w:rsidRDefault="00211741">
            <w:pPr>
              <w:pStyle w:val="Default"/>
              <w:numPr>
                <w:ilvl w:val="0"/>
                <w:numId w:val="5"/>
              </w:numPr>
              <w:rPr>
                <w:sz w:val="20"/>
                <w:szCs w:val="20"/>
                <w:lang w:eastAsia="en-PH"/>
              </w:rPr>
            </w:pPr>
            <w:r>
              <w:rPr>
                <w:sz w:val="20"/>
                <w:szCs w:val="20"/>
              </w:rPr>
              <w:t>Agreement on key issues is achieved without difficulty.</w:t>
            </w:r>
          </w:p>
        </w:tc>
        <w:tc>
          <w:tcPr>
            <w:tcW w:w="833" w:type="dxa"/>
            <w:tcBorders>
              <w:left w:val="nil"/>
              <w:right w:val="nil"/>
            </w:tcBorders>
            <w:vAlign w:val="center"/>
          </w:tcPr>
          <w:p w:rsidR="00A034AA" w:rsidRDefault="00211741">
            <w:pPr>
              <w:pStyle w:val="Default"/>
              <w:rPr>
                <w:sz w:val="20"/>
                <w:szCs w:val="20"/>
              </w:rPr>
            </w:pPr>
            <w:r>
              <w:rPr>
                <w:sz w:val="20"/>
                <w:szCs w:val="20"/>
                <w:lang w:eastAsia="en-PH"/>
              </w:rPr>
              <w:t>4.12</w:t>
            </w:r>
          </w:p>
        </w:tc>
        <w:tc>
          <w:tcPr>
            <w:tcW w:w="1194" w:type="dxa"/>
            <w:tcBorders>
              <w:left w:val="nil"/>
              <w:right w:val="nil"/>
            </w:tcBorders>
            <w:vAlign w:val="center"/>
          </w:tcPr>
          <w:p w:rsidR="00A034AA" w:rsidRDefault="00211741">
            <w:pPr>
              <w:pStyle w:val="Default"/>
              <w:rPr>
                <w:sz w:val="20"/>
                <w:szCs w:val="20"/>
              </w:rPr>
            </w:pPr>
            <w:r>
              <w:rPr>
                <w:sz w:val="20"/>
                <w:szCs w:val="20"/>
                <w:lang w:eastAsia="en-PH"/>
              </w:rPr>
              <w:t>0.72</w:t>
            </w:r>
          </w:p>
        </w:tc>
        <w:tc>
          <w:tcPr>
            <w:tcW w:w="1620" w:type="dxa"/>
            <w:tcBorders>
              <w:left w:val="nil"/>
              <w:right w:val="nil"/>
            </w:tcBorders>
            <w:vAlign w:val="center"/>
          </w:tcPr>
          <w:p w:rsidR="00A034AA" w:rsidRDefault="00211741">
            <w:pPr>
              <w:pStyle w:val="Default"/>
              <w:rPr>
                <w:sz w:val="20"/>
                <w:szCs w:val="20"/>
              </w:rPr>
            </w:pPr>
            <w:r>
              <w:rPr>
                <w:sz w:val="20"/>
                <w:szCs w:val="20"/>
              </w:rPr>
              <w:t>Often</w:t>
            </w:r>
          </w:p>
        </w:tc>
      </w:tr>
      <w:tr w:rsidR="00A034AA">
        <w:trPr>
          <w:trHeight w:val="358"/>
        </w:trPr>
        <w:tc>
          <w:tcPr>
            <w:tcW w:w="5083" w:type="dxa"/>
            <w:tcBorders>
              <w:left w:val="nil"/>
              <w:right w:val="nil"/>
            </w:tcBorders>
          </w:tcPr>
          <w:p w:rsidR="00A034AA" w:rsidRDefault="00211741">
            <w:pPr>
              <w:pStyle w:val="Default"/>
              <w:numPr>
                <w:ilvl w:val="0"/>
                <w:numId w:val="5"/>
              </w:numPr>
              <w:rPr>
                <w:sz w:val="20"/>
                <w:szCs w:val="20"/>
                <w:lang w:eastAsia="en-PH"/>
              </w:rPr>
            </w:pPr>
            <w:r>
              <w:rPr>
                <w:sz w:val="20"/>
                <w:szCs w:val="20"/>
              </w:rPr>
              <w:t xml:space="preserve">A clear understanding </w:t>
            </w:r>
            <w:r>
              <w:rPr>
                <w:sz w:val="20"/>
                <w:szCs w:val="20"/>
              </w:rPr>
              <w:t>exists regarding the right and wrong ways to do things.</w:t>
            </w:r>
          </w:p>
        </w:tc>
        <w:tc>
          <w:tcPr>
            <w:tcW w:w="833" w:type="dxa"/>
            <w:tcBorders>
              <w:left w:val="nil"/>
              <w:right w:val="nil"/>
            </w:tcBorders>
            <w:vAlign w:val="center"/>
          </w:tcPr>
          <w:p w:rsidR="00A034AA" w:rsidRDefault="00211741">
            <w:pPr>
              <w:pStyle w:val="Default"/>
              <w:rPr>
                <w:sz w:val="20"/>
                <w:szCs w:val="20"/>
              </w:rPr>
            </w:pPr>
            <w:r>
              <w:rPr>
                <w:sz w:val="20"/>
                <w:szCs w:val="20"/>
                <w:lang w:eastAsia="en-PH"/>
              </w:rPr>
              <w:t>4.31</w:t>
            </w:r>
          </w:p>
        </w:tc>
        <w:tc>
          <w:tcPr>
            <w:tcW w:w="1194" w:type="dxa"/>
            <w:tcBorders>
              <w:left w:val="nil"/>
              <w:right w:val="nil"/>
            </w:tcBorders>
            <w:vAlign w:val="center"/>
          </w:tcPr>
          <w:p w:rsidR="00A034AA" w:rsidRDefault="00211741">
            <w:pPr>
              <w:pStyle w:val="Default"/>
              <w:rPr>
                <w:sz w:val="20"/>
                <w:szCs w:val="20"/>
              </w:rPr>
            </w:pPr>
            <w:r>
              <w:rPr>
                <w:sz w:val="20"/>
                <w:szCs w:val="20"/>
                <w:lang w:eastAsia="en-PH"/>
              </w:rPr>
              <w:t>0.67</w:t>
            </w:r>
          </w:p>
        </w:tc>
        <w:tc>
          <w:tcPr>
            <w:tcW w:w="1620" w:type="dxa"/>
            <w:tcBorders>
              <w:left w:val="nil"/>
              <w:right w:val="nil"/>
            </w:tcBorders>
            <w:vAlign w:val="center"/>
          </w:tcPr>
          <w:p w:rsidR="00A034AA" w:rsidRDefault="00211741">
            <w:pPr>
              <w:pStyle w:val="Default"/>
              <w:rPr>
                <w:sz w:val="20"/>
                <w:szCs w:val="20"/>
              </w:rPr>
            </w:pPr>
            <w:r>
              <w:rPr>
                <w:sz w:val="20"/>
                <w:szCs w:val="20"/>
                <w:lang w:eastAsia="en-PH"/>
              </w:rPr>
              <w:t>Always</w:t>
            </w:r>
          </w:p>
        </w:tc>
      </w:tr>
      <w:tr w:rsidR="00A034AA">
        <w:trPr>
          <w:trHeight w:val="317"/>
        </w:trPr>
        <w:tc>
          <w:tcPr>
            <w:tcW w:w="5083" w:type="dxa"/>
            <w:tcBorders>
              <w:left w:val="nil"/>
              <w:right w:val="nil"/>
            </w:tcBorders>
          </w:tcPr>
          <w:p w:rsidR="00A034AA" w:rsidRDefault="00211741">
            <w:pPr>
              <w:pStyle w:val="Default"/>
              <w:numPr>
                <w:ilvl w:val="0"/>
                <w:numId w:val="5"/>
              </w:numPr>
              <w:rPr>
                <w:sz w:val="20"/>
                <w:szCs w:val="20"/>
                <w:lang w:eastAsia="en-PH"/>
              </w:rPr>
            </w:pPr>
            <w:r>
              <w:rPr>
                <w:sz w:val="20"/>
                <w:szCs w:val="20"/>
              </w:rPr>
              <w:t>Work processes are consistent and predictable.</w:t>
            </w:r>
          </w:p>
        </w:tc>
        <w:tc>
          <w:tcPr>
            <w:tcW w:w="833" w:type="dxa"/>
            <w:tcBorders>
              <w:left w:val="nil"/>
              <w:right w:val="nil"/>
            </w:tcBorders>
            <w:vAlign w:val="center"/>
          </w:tcPr>
          <w:p w:rsidR="00A034AA" w:rsidRDefault="00211741">
            <w:pPr>
              <w:pStyle w:val="Default"/>
              <w:rPr>
                <w:sz w:val="20"/>
                <w:szCs w:val="20"/>
                <w:lang w:eastAsia="en-PH"/>
              </w:rPr>
            </w:pPr>
            <w:r>
              <w:rPr>
                <w:sz w:val="20"/>
                <w:szCs w:val="20"/>
                <w:lang w:eastAsia="en-PH"/>
              </w:rPr>
              <w:t>4.24</w:t>
            </w:r>
          </w:p>
        </w:tc>
        <w:tc>
          <w:tcPr>
            <w:tcW w:w="1194" w:type="dxa"/>
            <w:tcBorders>
              <w:left w:val="nil"/>
              <w:right w:val="nil"/>
            </w:tcBorders>
            <w:vAlign w:val="center"/>
          </w:tcPr>
          <w:p w:rsidR="00A034AA" w:rsidRDefault="00211741">
            <w:pPr>
              <w:pStyle w:val="Default"/>
              <w:rPr>
                <w:sz w:val="20"/>
                <w:szCs w:val="20"/>
                <w:lang w:eastAsia="en-PH"/>
              </w:rPr>
            </w:pPr>
            <w:r>
              <w:rPr>
                <w:sz w:val="20"/>
                <w:szCs w:val="20"/>
                <w:lang w:eastAsia="en-PH"/>
              </w:rPr>
              <w:t>0.71</w:t>
            </w:r>
          </w:p>
        </w:tc>
        <w:tc>
          <w:tcPr>
            <w:tcW w:w="1620" w:type="dxa"/>
            <w:tcBorders>
              <w:left w:val="nil"/>
              <w:right w:val="nil"/>
            </w:tcBorders>
            <w:vAlign w:val="center"/>
          </w:tcPr>
          <w:p w:rsidR="00A034AA" w:rsidRDefault="00211741">
            <w:pPr>
              <w:pStyle w:val="Default"/>
              <w:rPr>
                <w:sz w:val="20"/>
                <w:szCs w:val="20"/>
                <w:lang w:val="en-US" w:eastAsia="en-PH"/>
              </w:rPr>
            </w:pPr>
            <w:r>
              <w:rPr>
                <w:sz w:val="20"/>
                <w:szCs w:val="20"/>
                <w:lang w:eastAsia="en-PH"/>
              </w:rPr>
              <w:t>Always</w:t>
            </w:r>
          </w:p>
        </w:tc>
      </w:tr>
      <w:tr w:rsidR="00A034AA">
        <w:trPr>
          <w:trHeight w:val="263"/>
        </w:trPr>
        <w:tc>
          <w:tcPr>
            <w:tcW w:w="5083" w:type="dxa"/>
            <w:tcBorders>
              <w:left w:val="nil"/>
              <w:right w:val="nil"/>
            </w:tcBorders>
          </w:tcPr>
          <w:p w:rsidR="00A034AA" w:rsidRDefault="00211741">
            <w:pPr>
              <w:pStyle w:val="Default"/>
              <w:numPr>
                <w:ilvl w:val="0"/>
                <w:numId w:val="5"/>
              </w:numPr>
              <w:rPr>
                <w:sz w:val="20"/>
                <w:szCs w:val="20"/>
                <w:lang w:eastAsia="en-PH"/>
              </w:rPr>
            </w:pPr>
            <w:r>
              <w:rPr>
                <w:sz w:val="20"/>
                <w:szCs w:val="20"/>
              </w:rPr>
              <w:t>Employees across different departments share a common perspective.</w:t>
            </w:r>
          </w:p>
        </w:tc>
        <w:tc>
          <w:tcPr>
            <w:tcW w:w="833" w:type="dxa"/>
            <w:tcBorders>
              <w:left w:val="nil"/>
              <w:right w:val="nil"/>
            </w:tcBorders>
            <w:vAlign w:val="center"/>
          </w:tcPr>
          <w:p w:rsidR="00A034AA" w:rsidRDefault="00211741">
            <w:pPr>
              <w:pStyle w:val="Default"/>
              <w:rPr>
                <w:sz w:val="20"/>
                <w:szCs w:val="20"/>
                <w:lang w:eastAsia="en-PH"/>
              </w:rPr>
            </w:pPr>
            <w:r>
              <w:rPr>
                <w:sz w:val="20"/>
                <w:szCs w:val="20"/>
                <w:lang w:eastAsia="en-PH"/>
              </w:rPr>
              <w:t>4.17</w:t>
            </w:r>
          </w:p>
        </w:tc>
        <w:tc>
          <w:tcPr>
            <w:tcW w:w="1194" w:type="dxa"/>
            <w:tcBorders>
              <w:left w:val="nil"/>
              <w:right w:val="nil"/>
            </w:tcBorders>
            <w:vAlign w:val="center"/>
          </w:tcPr>
          <w:p w:rsidR="00A034AA" w:rsidRDefault="00211741">
            <w:pPr>
              <w:pStyle w:val="Default"/>
              <w:rPr>
                <w:sz w:val="20"/>
                <w:szCs w:val="20"/>
                <w:lang w:eastAsia="en-PH"/>
              </w:rPr>
            </w:pPr>
            <w:r>
              <w:rPr>
                <w:sz w:val="20"/>
                <w:szCs w:val="20"/>
                <w:lang w:eastAsia="en-PH"/>
              </w:rPr>
              <w:t>0.73</w:t>
            </w:r>
          </w:p>
        </w:tc>
        <w:tc>
          <w:tcPr>
            <w:tcW w:w="1620" w:type="dxa"/>
            <w:tcBorders>
              <w:left w:val="nil"/>
              <w:right w:val="nil"/>
            </w:tcBorders>
            <w:vAlign w:val="center"/>
          </w:tcPr>
          <w:p w:rsidR="00A034AA" w:rsidRDefault="00211741">
            <w:pPr>
              <w:pStyle w:val="Default"/>
              <w:rPr>
                <w:sz w:val="20"/>
                <w:szCs w:val="20"/>
                <w:lang w:val="en-US" w:eastAsia="en-PH"/>
              </w:rPr>
            </w:pPr>
            <w:r>
              <w:rPr>
                <w:sz w:val="20"/>
                <w:szCs w:val="20"/>
              </w:rPr>
              <w:t>Often</w:t>
            </w:r>
          </w:p>
        </w:tc>
      </w:tr>
      <w:tr w:rsidR="00A034AA">
        <w:trPr>
          <w:trHeight w:val="254"/>
        </w:trPr>
        <w:tc>
          <w:tcPr>
            <w:tcW w:w="5083" w:type="dxa"/>
            <w:tcBorders>
              <w:left w:val="nil"/>
              <w:right w:val="nil"/>
            </w:tcBorders>
          </w:tcPr>
          <w:p w:rsidR="00A034AA" w:rsidRDefault="00211741">
            <w:pPr>
              <w:pStyle w:val="Default"/>
              <w:numPr>
                <w:ilvl w:val="0"/>
                <w:numId w:val="5"/>
              </w:numPr>
              <w:rPr>
                <w:sz w:val="20"/>
                <w:szCs w:val="20"/>
                <w:lang w:eastAsia="en-PH"/>
              </w:rPr>
            </w:pPr>
            <w:r>
              <w:rPr>
                <w:sz w:val="20"/>
                <w:szCs w:val="20"/>
              </w:rPr>
              <w:t xml:space="preserve">Coordination of projects across </w:t>
            </w:r>
            <w:r>
              <w:rPr>
                <w:sz w:val="20"/>
                <w:szCs w:val="20"/>
              </w:rPr>
              <w:t>departments is seamless.</w:t>
            </w:r>
          </w:p>
        </w:tc>
        <w:tc>
          <w:tcPr>
            <w:tcW w:w="833" w:type="dxa"/>
            <w:tcBorders>
              <w:left w:val="nil"/>
              <w:right w:val="nil"/>
            </w:tcBorders>
            <w:vAlign w:val="center"/>
          </w:tcPr>
          <w:p w:rsidR="00A034AA" w:rsidRDefault="00211741">
            <w:pPr>
              <w:pStyle w:val="Default"/>
              <w:rPr>
                <w:sz w:val="20"/>
                <w:szCs w:val="20"/>
                <w:lang w:eastAsia="en-PH"/>
              </w:rPr>
            </w:pPr>
            <w:r>
              <w:rPr>
                <w:sz w:val="20"/>
                <w:szCs w:val="20"/>
                <w:lang w:eastAsia="en-PH"/>
              </w:rPr>
              <w:t>4.19</w:t>
            </w:r>
          </w:p>
        </w:tc>
        <w:tc>
          <w:tcPr>
            <w:tcW w:w="1194" w:type="dxa"/>
            <w:tcBorders>
              <w:left w:val="nil"/>
              <w:right w:val="nil"/>
            </w:tcBorders>
            <w:vAlign w:val="center"/>
          </w:tcPr>
          <w:p w:rsidR="00A034AA" w:rsidRDefault="00211741">
            <w:pPr>
              <w:pStyle w:val="Default"/>
              <w:rPr>
                <w:sz w:val="20"/>
                <w:szCs w:val="20"/>
                <w:lang w:eastAsia="en-PH"/>
              </w:rPr>
            </w:pPr>
            <w:r>
              <w:rPr>
                <w:sz w:val="20"/>
                <w:szCs w:val="20"/>
                <w:lang w:eastAsia="en-PH"/>
              </w:rPr>
              <w:t>0.72</w:t>
            </w:r>
          </w:p>
        </w:tc>
        <w:tc>
          <w:tcPr>
            <w:tcW w:w="1620" w:type="dxa"/>
            <w:tcBorders>
              <w:left w:val="nil"/>
              <w:right w:val="nil"/>
            </w:tcBorders>
            <w:vAlign w:val="center"/>
          </w:tcPr>
          <w:p w:rsidR="00A034AA" w:rsidRDefault="00211741">
            <w:pPr>
              <w:pStyle w:val="Default"/>
              <w:rPr>
                <w:sz w:val="20"/>
                <w:szCs w:val="20"/>
                <w:lang w:val="en-US" w:eastAsia="en-PH"/>
              </w:rPr>
            </w:pPr>
            <w:r>
              <w:rPr>
                <w:sz w:val="20"/>
                <w:szCs w:val="20"/>
              </w:rPr>
              <w:t>Often</w:t>
            </w:r>
          </w:p>
        </w:tc>
      </w:tr>
      <w:tr w:rsidR="00A034AA">
        <w:trPr>
          <w:trHeight w:val="358"/>
        </w:trPr>
        <w:tc>
          <w:tcPr>
            <w:tcW w:w="5083" w:type="dxa"/>
            <w:tcBorders>
              <w:left w:val="nil"/>
              <w:right w:val="nil"/>
            </w:tcBorders>
          </w:tcPr>
          <w:p w:rsidR="00A034AA" w:rsidRDefault="00211741">
            <w:pPr>
              <w:pStyle w:val="Default"/>
              <w:numPr>
                <w:ilvl w:val="0"/>
                <w:numId w:val="5"/>
              </w:numPr>
              <w:rPr>
                <w:sz w:val="20"/>
                <w:szCs w:val="20"/>
                <w:lang w:eastAsia="en-PH"/>
              </w:rPr>
            </w:pPr>
            <w:r>
              <w:rPr>
                <w:sz w:val="20"/>
                <w:szCs w:val="20"/>
              </w:rPr>
              <w:t>Collaboration across departments feels as natural as working within the same team.</w:t>
            </w:r>
          </w:p>
        </w:tc>
        <w:tc>
          <w:tcPr>
            <w:tcW w:w="833" w:type="dxa"/>
            <w:tcBorders>
              <w:left w:val="nil"/>
              <w:right w:val="nil"/>
            </w:tcBorders>
            <w:vAlign w:val="center"/>
          </w:tcPr>
          <w:p w:rsidR="00A034AA" w:rsidRDefault="00211741">
            <w:pPr>
              <w:pStyle w:val="Default"/>
              <w:rPr>
                <w:sz w:val="20"/>
                <w:szCs w:val="20"/>
                <w:lang w:eastAsia="en-PH"/>
              </w:rPr>
            </w:pPr>
            <w:r>
              <w:rPr>
                <w:sz w:val="20"/>
                <w:szCs w:val="20"/>
                <w:lang w:eastAsia="en-PH"/>
              </w:rPr>
              <w:t>4.22</w:t>
            </w:r>
          </w:p>
        </w:tc>
        <w:tc>
          <w:tcPr>
            <w:tcW w:w="1194" w:type="dxa"/>
            <w:tcBorders>
              <w:left w:val="nil"/>
              <w:right w:val="nil"/>
            </w:tcBorders>
            <w:vAlign w:val="center"/>
          </w:tcPr>
          <w:p w:rsidR="00A034AA" w:rsidRDefault="00211741">
            <w:pPr>
              <w:pStyle w:val="Default"/>
              <w:rPr>
                <w:sz w:val="20"/>
                <w:szCs w:val="20"/>
                <w:lang w:eastAsia="en-PH"/>
              </w:rPr>
            </w:pPr>
            <w:r>
              <w:rPr>
                <w:sz w:val="20"/>
                <w:szCs w:val="20"/>
                <w:lang w:eastAsia="en-PH"/>
              </w:rPr>
              <w:t>0.69</w:t>
            </w:r>
          </w:p>
        </w:tc>
        <w:tc>
          <w:tcPr>
            <w:tcW w:w="1620" w:type="dxa"/>
            <w:tcBorders>
              <w:left w:val="nil"/>
              <w:right w:val="nil"/>
            </w:tcBorders>
            <w:vAlign w:val="center"/>
          </w:tcPr>
          <w:p w:rsidR="00A034AA" w:rsidRDefault="00211741">
            <w:pPr>
              <w:pStyle w:val="Default"/>
              <w:rPr>
                <w:sz w:val="20"/>
                <w:szCs w:val="20"/>
                <w:lang w:val="en-US" w:eastAsia="en-PH"/>
              </w:rPr>
            </w:pPr>
            <w:r>
              <w:rPr>
                <w:sz w:val="20"/>
                <w:szCs w:val="20"/>
                <w:lang w:eastAsia="en-PH"/>
              </w:rPr>
              <w:t>Always</w:t>
            </w:r>
          </w:p>
        </w:tc>
      </w:tr>
      <w:tr w:rsidR="00A034AA">
        <w:trPr>
          <w:trHeight w:val="263"/>
        </w:trPr>
        <w:tc>
          <w:tcPr>
            <w:tcW w:w="5083" w:type="dxa"/>
            <w:tcBorders>
              <w:left w:val="nil"/>
              <w:right w:val="nil"/>
            </w:tcBorders>
          </w:tcPr>
          <w:p w:rsidR="00A034AA" w:rsidRDefault="00211741">
            <w:pPr>
              <w:pStyle w:val="Default"/>
              <w:numPr>
                <w:ilvl w:val="0"/>
                <w:numId w:val="5"/>
              </w:numPr>
              <w:rPr>
                <w:sz w:val="20"/>
                <w:szCs w:val="20"/>
                <w:lang w:eastAsia="en-PH"/>
              </w:rPr>
            </w:pPr>
            <w:r>
              <w:rPr>
                <w:sz w:val="20"/>
                <w:szCs w:val="20"/>
              </w:rPr>
              <w:t>Goals are well aligned across all levels of the organization.</w:t>
            </w:r>
          </w:p>
        </w:tc>
        <w:tc>
          <w:tcPr>
            <w:tcW w:w="833" w:type="dxa"/>
            <w:tcBorders>
              <w:left w:val="nil"/>
              <w:right w:val="nil"/>
            </w:tcBorders>
            <w:vAlign w:val="center"/>
          </w:tcPr>
          <w:p w:rsidR="00A034AA" w:rsidRDefault="00211741">
            <w:pPr>
              <w:pStyle w:val="Default"/>
              <w:rPr>
                <w:sz w:val="20"/>
                <w:szCs w:val="20"/>
                <w:lang w:eastAsia="en-PH"/>
              </w:rPr>
            </w:pPr>
            <w:r>
              <w:rPr>
                <w:sz w:val="20"/>
                <w:szCs w:val="20"/>
                <w:lang w:eastAsia="en-PH"/>
              </w:rPr>
              <w:t>4.26</w:t>
            </w:r>
          </w:p>
        </w:tc>
        <w:tc>
          <w:tcPr>
            <w:tcW w:w="1194" w:type="dxa"/>
            <w:tcBorders>
              <w:left w:val="nil"/>
              <w:right w:val="nil"/>
            </w:tcBorders>
            <w:vAlign w:val="center"/>
          </w:tcPr>
          <w:p w:rsidR="00A034AA" w:rsidRDefault="00211741">
            <w:pPr>
              <w:pStyle w:val="Default"/>
              <w:rPr>
                <w:sz w:val="20"/>
                <w:szCs w:val="20"/>
                <w:lang w:eastAsia="en-PH"/>
              </w:rPr>
            </w:pPr>
            <w:r>
              <w:rPr>
                <w:sz w:val="20"/>
                <w:szCs w:val="20"/>
                <w:lang w:eastAsia="en-PH"/>
              </w:rPr>
              <w:t>0.71</w:t>
            </w:r>
          </w:p>
        </w:tc>
        <w:tc>
          <w:tcPr>
            <w:tcW w:w="1620" w:type="dxa"/>
            <w:tcBorders>
              <w:left w:val="nil"/>
              <w:right w:val="nil"/>
            </w:tcBorders>
            <w:vAlign w:val="center"/>
          </w:tcPr>
          <w:p w:rsidR="00A034AA" w:rsidRDefault="00211741">
            <w:pPr>
              <w:pStyle w:val="Default"/>
              <w:rPr>
                <w:sz w:val="20"/>
                <w:szCs w:val="20"/>
                <w:lang w:val="en-US" w:eastAsia="en-PH"/>
              </w:rPr>
            </w:pPr>
            <w:r>
              <w:rPr>
                <w:sz w:val="20"/>
                <w:szCs w:val="20"/>
                <w:lang w:eastAsia="en-PH"/>
              </w:rPr>
              <w:t>Always</w:t>
            </w:r>
          </w:p>
        </w:tc>
      </w:tr>
      <w:tr w:rsidR="00A034AA">
        <w:trPr>
          <w:trHeight w:val="254"/>
        </w:trPr>
        <w:tc>
          <w:tcPr>
            <w:tcW w:w="5083" w:type="dxa"/>
            <w:tcBorders>
              <w:left w:val="nil"/>
              <w:right w:val="nil"/>
            </w:tcBorders>
          </w:tcPr>
          <w:p w:rsidR="00A034AA" w:rsidRDefault="00211741">
            <w:pPr>
              <w:pStyle w:val="Default"/>
              <w:jc w:val="center"/>
              <w:rPr>
                <w:b/>
                <w:bCs/>
                <w:sz w:val="20"/>
                <w:szCs w:val="20"/>
              </w:rPr>
            </w:pPr>
            <w:r>
              <w:rPr>
                <w:b/>
                <w:bCs/>
                <w:sz w:val="20"/>
                <w:szCs w:val="20"/>
              </w:rPr>
              <w:t>Average</w:t>
            </w:r>
          </w:p>
        </w:tc>
        <w:tc>
          <w:tcPr>
            <w:tcW w:w="833" w:type="dxa"/>
            <w:tcBorders>
              <w:left w:val="nil"/>
              <w:right w:val="nil"/>
            </w:tcBorders>
            <w:vAlign w:val="center"/>
          </w:tcPr>
          <w:p w:rsidR="00A034AA" w:rsidRDefault="00211741">
            <w:pPr>
              <w:pStyle w:val="Default"/>
              <w:jc w:val="center"/>
              <w:rPr>
                <w:b/>
                <w:bCs/>
                <w:sz w:val="20"/>
                <w:szCs w:val="20"/>
              </w:rPr>
            </w:pPr>
            <w:r>
              <w:rPr>
                <w:b/>
                <w:bCs/>
                <w:sz w:val="20"/>
                <w:szCs w:val="20"/>
                <w:lang w:eastAsia="en-PH"/>
              </w:rPr>
              <w:t>4.26</w:t>
            </w:r>
          </w:p>
        </w:tc>
        <w:tc>
          <w:tcPr>
            <w:tcW w:w="1194" w:type="dxa"/>
            <w:tcBorders>
              <w:left w:val="nil"/>
              <w:right w:val="nil"/>
            </w:tcBorders>
            <w:vAlign w:val="center"/>
          </w:tcPr>
          <w:p w:rsidR="00A034AA" w:rsidRDefault="00211741">
            <w:pPr>
              <w:pStyle w:val="Default"/>
              <w:jc w:val="center"/>
              <w:rPr>
                <w:b/>
                <w:bCs/>
                <w:sz w:val="20"/>
                <w:szCs w:val="20"/>
              </w:rPr>
            </w:pPr>
            <w:r>
              <w:rPr>
                <w:b/>
                <w:bCs/>
                <w:sz w:val="20"/>
                <w:szCs w:val="20"/>
                <w:lang w:eastAsia="en-PH"/>
              </w:rPr>
              <w:t>0.50</w:t>
            </w:r>
          </w:p>
        </w:tc>
        <w:tc>
          <w:tcPr>
            <w:tcW w:w="1620" w:type="dxa"/>
            <w:tcBorders>
              <w:left w:val="nil"/>
              <w:right w:val="nil"/>
            </w:tcBorders>
            <w:vAlign w:val="center"/>
          </w:tcPr>
          <w:p w:rsidR="00A034AA" w:rsidRDefault="00211741">
            <w:pPr>
              <w:pStyle w:val="Default"/>
              <w:jc w:val="center"/>
              <w:rPr>
                <w:b/>
                <w:bCs/>
                <w:sz w:val="20"/>
                <w:szCs w:val="20"/>
              </w:rPr>
            </w:pPr>
            <w:r>
              <w:rPr>
                <w:b/>
                <w:bCs/>
                <w:sz w:val="20"/>
                <w:szCs w:val="20"/>
                <w:lang w:eastAsia="en-PH"/>
              </w:rPr>
              <w:t>Always</w:t>
            </w:r>
          </w:p>
        </w:tc>
      </w:tr>
    </w:tbl>
    <w:p w:rsidR="00A034AA" w:rsidRDefault="00A034AA">
      <w:pPr>
        <w:spacing w:after="0" w:line="240" w:lineRule="auto"/>
        <w:jc w:val="both"/>
        <w:rPr>
          <w:rFonts w:ascii="Arial" w:hAnsi="Arial" w:cs="Arial"/>
          <w:sz w:val="20"/>
          <w:szCs w:val="20"/>
        </w:rPr>
      </w:pPr>
    </w:p>
    <w:p w:rsidR="00A034AA" w:rsidRDefault="00211741">
      <w:pPr>
        <w:spacing w:after="0" w:line="240" w:lineRule="auto"/>
        <w:ind w:firstLine="720"/>
        <w:jc w:val="both"/>
        <w:rPr>
          <w:rFonts w:ascii="Arial" w:hAnsi="Arial" w:cs="Arial"/>
          <w:sz w:val="20"/>
          <w:szCs w:val="20"/>
        </w:rPr>
      </w:pPr>
      <w:r>
        <w:rPr>
          <w:rStyle w:val="Strong"/>
          <w:rFonts w:ascii="Arial" w:hAnsi="Arial" w:cs="Arial"/>
          <w:b w:val="0"/>
          <w:bCs w:val="0"/>
          <w:sz w:val="20"/>
          <w:szCs w:val="20"/>
        </w:rPr>
        <w:t xml:space="preserve">Presented in Table </w:t>
      </w:r>
      <w:r>
        <w:rPr>
          <w:rStyle w:val="Strong"/>
          <w:rFonts w:ascii="Arial" w:hAnsi="Arial" w:cs="Arial"/>
          <w:b w:val="0"/>
          <w:bCs w:val="0"/>
          <w:sz w:val="20"/>
          <w:szCs w:val="20"/>
          <w:lang w:val="en-US"/>
        </w:rPr>
        <w:t>2</w:t>
      </w:r>
      <w:r>
        <w:rPr>
          <w:rStyle w:val="Strong"/>
          <w:rFonts w:ascii="Arial" w:hAnsi="Arial" w:cs="Arial"/>
          <w:b w:val="0"/>
          <w:bCs w:val="0"/>
          <w:sz w:val="20"/>
          <w:szCs w:val="20"/>
        </w:rPr>
        <w:t xml:space="preserve"> is the level of organizational culture in terms of consistency.</w:t>
      </w:r>
      <w:r>
        <w:rPr>
          <w:rFonts w:ascii="Arial" w:hAnsi="Arial" w:cs="Arial"/>
          <w:sz w:val="20"/>
          <w:szCs w:val="20"/>
        </w:rPr>
        <w:t xml:space="preserve"> It has an overall high average of 4.26, indicating that employees of LGU Boston perceive a strong sense of consistency in the organization through shared values, aligned systems, and coherent decision-making. This supports the findings of Palumbo and Doug</w:t>
      </w:r>
      <w:r>
        <w:rPr>
          <w:rFonts w:ascii="Arial" w:hAnsi="Arial" w:cs="Arial"/>
          <w:sz w:val="20"/>
          <w:szCs w:val="20"/>
        </w:rPr>
        <w:t xml:space="preserve">las (2024), who emphasized that shared values promote organizational coherence. </w:t>
      </w:r>
      <w:proofErr w:type="spellStart"/>
      <w:r>
        <w:rPr>
          <w:rFonts w:ascii="Arial" w:hAnsi="Arial" w:cs="Arial"/>
          <w:sz w:val="20"/>
          <w:szCs w:val="20"/>
        </w:rPr>
        <w:t>Kozioł-Nadolna</w:t>
      </w:r>
      <w:proofErr w:type="spellEnd"/>
      <w:r>
        <w:rPr>
          <w:rFonts w:ascii="Arial" w:hAnsi="Arial" w:cs="Arial"/>
          <w:sz w:val="20"/>
          <w:szCs w:val="20"/>
        </w:rPr>
        <w:t xml:space="preserve"> and Beyer (2021) also noted that cultural alignment enhances leadership and performance, while Ford et al. (2023) highlighted that a strong ethical code fosters </w:t>
      </w:r>
      <w:r>
        <w:rPr>
          <w:rFonts w:ascii="Arial" w:hAnsi="Arial" w:cs="Arial"/>
          <w:sz w:val="20"/>
          <w:szCs w:val="20"/>
        </w:rPr>
        <w:t>trust and loyalty among employees.</w:t>
      </w:r>
    </w:p>
    <w:p w:rsidR="00A034AA" w:rsidRDefault="00A034AA">
      <w:pPr>
        <w:spacing w:after="0" w:line="240" w:lineRule="auto"/>
        <w:jc w:val="both"/>
        <w:rPr>
          <w:rFonts w:ascii="Arial" w:hAnsi="Arial" w:cs="Arial"/>
          <w:sz w:val="20"/>
          <w:szCs w:val="20"/>
        </w:rPr>
      </w:pPr>
    </w:p>
    <w:p w:rsidR="00A034AA" w:rsidRDefault="00211741">
      <w:pPr>
        <w:spacing w:after="0" w:line="240" w:lineRule="auto"/>
        <w:rPr>
          <w:rFonts w:ascii="Arial" w:hAnsi="Arial" w:cs="Arial"/>
          <w:sz w:val="20"/>
          <w:szCs w:val="20"/>
        </w:rPr>
      </w:pPr>
      <w:r>
        <w:rPr>
          <w:rFonts w:ascii="Arial" w:hAnsi="Arial" w:cs="Arial"/>
          <w:sz w:val="20"/>
          <w:szCs w:val="20"/>
        </w:rPr>
        <w:t xml:space="preserve">Table </w:t>
      </w:r>
      <w:r>
        <w:rPr>
          <w:rFonts w:ascii="Arial" w:hAnsi="Arial" w:cs="Arial"/>
          <w:sz w:val="20"/>
          <w:szCs w:val="20"/>
          <w:lang w:val="en-US"/>
        </w:rPr>
        <w:t>3</w:t>
      </w:r>
      <w:r>
        <w:rPr>
          <w:rFonts w:ascii="Arial" w:hAnsi="Arial" w:cs="Arial"/>
          <w:sz w:val="20"/>
          <w:szCs w:val="20"/>
        </w:rPr>
        <w:t>. Level of Organizational Culture of LGU’s Employee in Terms of Adaptability</w:t>
      </w:r>
    </w:p>
    <w:tbl>
      <w:tblPr>
        <w:tblStyle w:val="TableGrid"/>
        <w:tblpPr w:leftFromText="180" w:rightFromText="180" w:vertAnchor="text" w:horzAnchor="margin" w:tblpY="84"/>
        <w:tblW w:w="8730" w:type="dxa"/>
        <w:tblLayout w:type="fixed"/>
        <w:tblLook w:val="04A0" w:firstRow="1" w:lastRow="0" w:firstColumn="1" w:lastColumn="0" w:noHBand="0" w:noVBand="1"/>
      </w:tblPr>
      <w:tblGrid>
        <w:gridCol w:w="5220"/>
        <w:gridCol w:w="810"/>
        <w:gridCol w:w="1080"/>
        <w:gridCol w:w="123"/>
        <w:gridCol w:w="1497"/>
      </w:tblGrid>
      <w:tr w:rsidR="00A034AA">
        <w:tc>
          <w:tcPr>
            <w:tcW w:w="5220" w:type="dxa"/>
            <w:tcBorders>
              <w:left w:val="nil"/>
              <w:right w:val="nil"/>
            </w:tcBorders>
            <w:vAlign w:val="center"/>
          </w:tcPr>
          <w:p w:rsidR="00A034AA" w:rsidRDefault="00211741">
            <w:pPr>
              <w:pStyle w:val="Default"/>
              <w:jc w:val="center"/>
              <w:rPr>
                <w:sz w:val="20"/>
                <w:szCs w:val="20"/>
              </w:rPr>
            </w:pPr>
            <w:r>
              <w:rPr>
                <w:b/>
                <w:bCs/>
                <w:sz w:val="20"/>
                <w:szCs w:val="20"/>
                <w:lang w:val="en-US"/>
              </w:rPr>
              <w:lastRenderedPageBreak/>
              <w:t>Statements</w:t>
            </w:r>
          </w:p>
        </w:tc>
        <w:tc>
          <w:tcPr>
            <w:tcW w:w="810" w:type="dxa"/>
            <w:tcBorders>
              <w:left w:val="nil"/>
              <w:right w:val="nil"/>
            </w:tcBorders>
            <w:vAlign w:val="center"/>
          </w:tcPr>
          <w:p w:rsidR="00A034AA" w:rsidRDefault="00211741">
            <w:pPr>
              <w:pStyle w:val="Default"/>
              <w:jc w:val="center"/>
              <w:rPr>
                <w:rFonts w:eastAsia="Times New Roman"/>
                <w:sz w:val="20"/>
                <w:szCs w:val="20"/>
                <w:lang w:eastAsia="en-PH"/>
              </w:rPr>
            </w:pPr>
            <w:r>
              <w:rPr>
                <w:b/>
                <w:bCs/>
                <w:sz w:val="20"/>
                <w:szCs w:val="20"/>
                <w:lang w:eastAsia="en-PH"/>
              </w:rPr>
              <w:t>Mean</w:t>
            </w:r>
          </w:p>
        </w:tc>
        <w:tc>
          <w:tcPr>
            <w:tcW w:w="1203" w:type="dxa"/>
            <w:gridSpan w:val="2"/>
            <w:tcBorders>
              <w:left w:val="nil"/>
              <w:right w:val="nil"/>
            </w:tcBorders>
            <w:vAlign w:val="center"/>
          </w:tcPr>
          <w:p w:rsidR="00A034AA" w:rsidRDefault="00211741">
            <w:pPr>
              <w:pStyle w:val="Default"/>
              <w:jc w:val="center"/>
              <w:rPr>
                <w:rFonts w:eastAsia="Times New Roman"/>
                <w:sz w:val="20"/>
                <w:szCs w:val="20"/>
                <w:lang w:eastAsia="en-PH"/>
              </w:rPr>
            </w:pPr>
            <w:r>
              <w:rPr>
                <w:b/>
                <w:bCs/>
                <w:sz w:val="20"/>
                <w:szCs w:val="20"/>
                <w:lang w:eastAsia="en-PH"/>
              </w:rPr>
              <w:t>Std. Deviation</w:t>
            </w:r>
          </w:p>
        </w:tc>
        <w:tc>
          <w:tcPr>
            <w:tcW w:w="1497" w:type="dxa"/>
            <w:tcBorders>
              <w:left w:val="nil"/>
              <w:right w:val="nil"/>
            </w:tcBorders>
            <w:vAlign w:val="center"/>
          </w:tcPr>
          <w:p w:rsidR="00A034AA" w:rsidRDefault="00211741">
            <w:pPr>
              <w:pStyle w:val="Default"/>
              <w:jc w:val="center"/>
              <w:rPr>
                <w:rFonts w:eastAsia="Times New Roman"/>
                <w:sz w:val="20"/>
                <w:szCs w:val="20"/>
                <w:lang w:eastAsia="en-PH"/>
              </w:rPr>
            </w:pPr>
            <w:r>
              <w:rPr>
                <w:b/>
                <w:bCs/>
                <w:sz w:val="20"/>
                <w:szCs w:val="20"/>
              </w:rPr>
              <w:t>Description</w:t>
            </w:r>
          </w:p>
        </w:tc>
      </w:tr>
      <w:tr w:rsidR="00A034AA">
        <w:tc>
          <w:tcPr>
            <w:tcW w:w="5220" w:type="dxa"/>
            <w:tcBorders>
              <w:left w:val="nil"/>
              <w:right w:val="nil"/>
            </w:tcBorders>
          </w:tcPr>
          <w:p w:rsidR="00A034AA" w:rsidRDefault="00211741">
            <w:pPr>
              <w:pStyle w:val="ListParagraph"/>
              <w:numPr>
                <w:ilvl w:val="0"/>
                <w:numId w:val="6"/>
              </w:numPr>
              <w:spacing w:line="240" w:lineRule="auto"/>
              <w:rPr>
                <w:rFonts w:eastAsia="SimSun" w:cs="Arial"/>
                <w:color w:val="000000" w:themeColor="text1"/>
                <w:sz w:val="20"/>
                <w:szCs w:val="20"/>
              </w:rPr>
            </w:pPr>
            <w:r>
              <w:rPr>
                <w:rFonts w:cs="Arial"/>
                <w:sz w:val="20"/>
                <w:szCs w:val="20"/>
              </w:rPr>
              <w:t>Processes are flexible and easily adaptable to change.</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4.23</w:t>
            </w:r>
          </w:p>
        </w:tc>
        <w:tc>
          <w:tcPr>
            <w:tcW w:w="108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0.75</w:t>
            </w:r>
          </w:p>
        </w:tc>
        <w:tc>
          <w:tcPr>
            <w:tcW w:w="1620" w:type="dxa"/>
            <w:gridSpan w:val="2"/>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6"/>
              </w:numPr>
              <w:spacing w:line="240" w:lineRule="auto"/>
              <w:rPr>
                <w:rFonts w:eastAsia="SimSun" w:cs="Arial"/>
                <w:color w:val="000000" w:themeColor="text1"/>
                <w:sz w:val="20"/>
                <w:szCs w:val="20"/>
              </w:rPr>
            </w:pPr>
            <w:r>
              <w:rPr>
                <w:rFonts w:cs="Arial"/>
                <w:sz w:val="20"/>
                <w:szCs w:val="20"/>
              </w:rPr>
              <w:t xml:space="preserve">Competitor actions </w:t>
            </w:r>
            <w:r>
              <w:rPr>
                <w:rFonts w:cs="Arial"/>
                <w:sz w:val="20"/>
                <w:szCs w:val="20"/>
              </w:rPr>
              <w:t>and job environment changes are effectively addressed.</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4.31</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0.72</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6"/>
              </w:numPr>
              <w:spacing w:line="240" w:lineRule="auto"/>
              <w:rPr>
                <w:rFonts w:eastAsia="SimSun" w:cs="Arial"/>
                <w:color w:val="000000" w:themeColor="text1"/>
                <w:sz w:val="20"/>
                <w:szCs w:val="20"/>
              </w:rPr>
            </w:pPr>
            <w:r>
              <w:rPr>
                <w:rFonts w:cs="Arial"/>
                <w:sz w:val="20"/>
                <w:szCs w:val="20"/>
              </w:rPr>
              <w:t>New and improved work methods are continuously implemented.</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4.26</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0.78</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6"/>
              </w:numPr>
              <w:spacing w:line="240" w:lineRule="auto"/>
              <w:rPr>
                <w:rFonts w:eastAsia="SimSun" w:cs="Arial"/>
                <w:color w:val="000000" w:themeColor="text1"/>
                <w:sz w:val="20"/>
                <w:szCs w:val="20"/>
              </w:rPr>
            </w:pPr>
            <w:r>
              <w:rPr>
                <w:rFonts w:cs="Arial"/>
                <w:sz w:val="20"/>
                <w:szCs w:val="20"/>
              </w:rPr>
              <w:t>Change initiatives are generally well received.</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4.25</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0.69</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6"/>
              </w:numPr>
              <w:spacing w:line="240" w:lineRule="auto"/>
              <w:rPr>
                <w:rFonts w:eastAsia="SimSun" w:cs="Arial"/>
                <w:color w:val="000000" w:themeColor="text1"/>
                <w:sz w:val="20"/>
                <w:szCs w:val="20"/>
              </w:rPr>
            </w:pPr>
            <w:r>
              <w:rPr>
                <w:rFonts w:cs="Arial"/>
                <w:sz w:val="20"/>
                <w:szCs w:val="20"/>
              </w:rPr>
              <w:t xml:space="preserve">Different parts of the organization </w:t>
            </w:r>
            <w:r>
              <w:rPr>
                <w:rFonts w:cs="Arial"/>
                <w:sz w:val="20"/>
                <w:szCs w:val="20"/>
              </w:rPr>
              <w:t>collaborate to drive change.</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4.21</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0.76</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6"/>
              </w:numPr>
              <w:spacing w:line="240" w:lineRule="auto"/>
              <w:rPr>
                <w:rFonts w:eastAsia="SimSun" w:cs="Arial"/>
                <w:color w:val="000000" w:themeColor="text1"/>
                <w:sz w:val="20"/>
                <w:szCs w:val="20"/>
              </w:rPr>
            </w:pPr>
            <w:r>
              <w:rPr>
                <w:rFonts w:cs="Arial"/>
                <w:sz w:val="20"/>
                <w:szCs w:val="20"/>
              </w:rPr>
              <w:t>Customer feedback frequently leads to improvements.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4.24</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0.67</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6"/>
              </w:numPr>
              <w:spacing w:line="240" w:lineRule="auto"/>
              <w:rPr>
                <w:rFonts w:eastAsia="SimSun" w:cs="Arial"/>
                <w:color w:val="000000" w:themeColor="text1"/>
                <w:sz w:val="20"/>
                <w:szCs w:val="20"/>
              </w:rPr>
            </w:pPr>
            <w:r>
              <w:rPr>
                <w:rFonts w:cs="Arial"/>
                <w:sz w:val="20"/>
                <w:szCs w:val="20"/>
              </w:rPr>
              <w:t>Customer input directly influences decision-making.</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4.11</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0.81</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hAnsi="Arial" w:cs="Arial"/>
                <w:sz w:val="20"/>
                <w:szCs w:val="20"/>
              </w:rPr>
              <w:t>Often</w:t>
            </w:r>
          </w:p>
        </w:tc>
      </w:tr>
      <w:tr w:rsidR="00A034AA">
        <w:tc>
          <w:tcPr>
            <w:tcW w:w="5220" w:type="dxa"/>
            <w:tcBorders>
              <w:left w:val="nil"/>
              <w:right w:val="nil"/>
            </w:tcBorders>
          </w:tcPr>
          <w:p w:rsidR="00A034AA" w:rsidRDefault="00211741">
            <w:pPr>
              <w:pStyle w:val="ListParagraph"/>
              <w:numPr>
                <w:ilvl w:val="0"/>
                <w:numId w:val="6"/>
              </w:numPr>
              <w:spacing w:line="240" w:lineRule="auto"/>
              <w:rPr>
                <w:rFonts w:eastAsia="SimSun" w:cs="Arial"/>
                <w:color w:val="000000" w:themeColor="text1"/>
                <w:sz w:val="20"/>
                <w:szCs w:val="20"/>
              </w:rPr>
            </w:pPr>
            <w:r>
              <w:rPr>
                <w:rFonts w:cs="Arial"/>
                <w:sz w:val="20"/>
                <w:szCs w:val="20"/>
              </w:rPr>
              <w:t>A deep understanding of customer needs exists at all levels.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4.16</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0.79</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hAnsi="Arial" w:cs="Arial"/>
                <w:sz w:val="20"/>
                <w:szCs w:val="20"/>
              </w:rPr>
              <w:t>Often</w:t>
            </w:r>
          </w:p>
        </w:tc>
      </w:tr>
      <w:tr w:rsidR="00A034AA">
        <w:tc>
          <w:tcPr>
            <w:tcW w:w="5220" w:type="dxa"/>
            <w:tcBorders>
              <w:left w:val="nil"/>
              <w:right w:val="nil"/>
            </w:tcBorders>
          </w:tcPr>
          <w:p w:rsidR="00A034AA" w:rsidRDefault="00211741">
            <w:pPr>
              <w:pStyle w:val="ListParagraph"/>
              <w:numPr>
                <w:ilvl w:val="0"/>
                <w:numId w:val="6"/>
              </w:numPr>
              <w:spacing w:line="240" w:lineRule="auto"/>
              <w:rPr>
                <w:rFonts w:eastAsia="SimSun" w:cs="Arial"/>
                <w:color w:val="000000" w:themeColor="text1"/>
                <w:sz w:val="20"/>
                <w:szCs w:val="20"/>
              </w:rPr>
            </w:pPr>
            <w:r>
              <w:rPr>
                <w:rFonts w:cs="Arial"/>
                <w:sz w:val="20"/>
                <w:szCs w:val="20"/>
              </w:rPr>
              <w:t>Customer interests are always considered in decision-making.</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4.22</w:t>
            </w:r>
          </w:p>
        </w:tc>
        <w:tc>
          <w:tcPr>
            <w:tcW w:w="108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0.75</w:t>
            </w:r>
          </w:p>
        </w:tc>
        <w:tc>
          <w:tcPr>
            <w:tcW w:w="1620" w:type="dxa"/>
            <w:gridSpan w:val="2"/>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A034AA">
        <w:trPr>
          <w:trHeight w:val="358"/>
        </w:trPr>
        <w:tc>
          <w:tcPr>
            <w:tcW w:w="5220" w:type="dxa"/>
            <w:tcBorders>
              <w:left w:val="nil"/>
              <w:right w:val="nil"/>
            </w:tcBorders>
          </w:tcPr>
          <w:p w:rsidR="00A034AA" w:rsidRDefault="00211741">
            <w:pPr>
              <w:pStyle w:val="ListParagraph"/>
              <w:numPr>
                <w:ilvl w:val="0"/>
                <w:numId w:val="6"/>
              </w:numPr>
              <w:spacing w:line="240" w:lineRule="auto"/>
              <w:rPr>
                <w:rFonts w:eastAsia="SimSun" w:cs="Arial"/>
                <w:color w:val="000000" w:themeColor="text1"/>
                <w:sz w:val="20"/>
                <w:szCs w:val="20"/>
              </w:rPr>
            </w:pPr>
            <w:r>
              <w:rPr>
                <w:rFonts w:cs="Arial"/>
                <w:sz w:val="20"/>
                <w:szCs w:val="20"/>
              </w:rPr>
              <w:t>Direct interaction with customers is actively encouraged.</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4.31</w:t>
            </w:r>
          </w:p>
        </w:tc>
        <w:tc>
          <w:tcPr>
            <w:tcW w:w="108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0.66</w:t>
            </w:r>
          </w:p>
        </w:tc>
        <w:tc>
          <w:tcPr>
            <w:tcW w:w="1620" w:type="dxa"/>
            <w:gridSpan w:val="2"/>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A034AA">
        <w:trPr>
          <w:trHeight w:val="317"/>
        </w:trPr>
        <w:tc>
          <w:tcPr>
            <w:tcW w:w="5220" w:type="dxa"/>
            <w:tcBorders>
              <w:left w:val="nil"/>
              <w:right w:val="nil"/>
            </w:tcBorders>
          </w:tcPr>
          <w:p w:rsidR="00A034AA" w:rsidRDefault="00211741">
            <w:pPr>
              <w:pStyle w:val="ListParagraph"/>
              <w:numPr>
                <w:ilvl w:val="0"/>
                <w:numId w:val="6"/>
              </w:numPr>
              <w:spacing w:line="240" w:lineRule="auto"/>
              <w:rPr>
                <w:rFonts w:eastAsia="SimSun" w:cs="Arial"/>
                <w:sz w:val="20"/>
                <w:szCs w:val="20"/>
              </w:rPr>
            </w:pPr>
            <w:r>
              <w:rPr>
                <w:rFonts w:cs="Arial"/>
                <w:sz w:val="20"/>
                <w:szCs w:val="20"/>
              </w:rPr>
              <w:t>Failure is treated as an opportunity for learning and improvement.</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4.34</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0.72</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rPr>
          <w:trHeight w:val="263"/>
        </w:trPr>
        <w:tc>
          <w:tcPr>
            <w:tcW w:w="5220" w:type="dxa"/>
            <w:tcBorders>
              <w:left w:val="nil"/>
              <w:right w:val="nil"/>
            </w:tcBorders>
          </w:tcPr>
          <w:p w:rsidR="00A034AA" w:rsidRDefault="00211741">
            <w:pPr>
              <w:pStyle w:val="ListParagraph"/>
              <w:numPr>
                <w:ilvl w:val="0"/>
                <w:numId w:val="6"/>
              </w:numPr>
              <w:spacing w:line="240" w:lineRule="auto"/>
              <w:rPr>
                <w:rFonts w:eastAsia="SimSun" w:cs="Arial"/>
                <w:sz w:val="20"/>
                <w:szCs w:val="20"/>
              </w:rPr>
            </w:pPr>
            <w:r>
              <w:rPr>
                <w:rFonts w:cs="Arial"/>
                <w:sz w:val="20"/>
                <w:szCs w:val="20"/>
              </w:rPr>
              <w:t>Innovation and risk-taking are encouraged and rewarded.</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4.18</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0.75</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hAnsi="Arial" w:cs="Arial"/>
                <w:sz w:val="20"/>
                <w:szCs w:val="20"/>
              </w:rPr>
              <w:t>Often</w:t>
            </w:r>
          </w:p>
        </w:tc>
      </w:tr>
      <w:tr w:rsidR="00A034AA">
        <w:trPr>
          <w:trHeight w:val="254"/>
        </w:trPr>
        <w:tc>
          <w:tcPr>
            <w:tcW w:w="5220" w:type="dxa"/>
            <w:tcBorders>
              <w:left w:val="nil"/>
              <w:right w:val="nil"/>
            </w:tcBorders>
          </w:tcPr>
          <w:p w:rsidR="00A034AA" w:rsidRDefault="00211741">
            <w:pPr>
              <w:pStyle w:val="ListParagraph"/>
              <w:numPr>
                <w:ilvl w:val="0"/>
                <w:numId w:val="6"/>
              </w:numPr>
              <w:spacing w:line="240" w:lineRule="auto"/>
              <w:rPr>
                <w:rFonts w:eastAsia="SimSun" w:cs="Arial"/>
                <w:color w:val="000000" w:themeColor="text1"/>
                <w:sz w:val="20"/>
                <w:szCs w:val="20"/>
              </w:rPr>
            </w:pPr>
            <w:r>
              <w:rPr>
                <w:rFonts w:cs="Arial"/>
                <w:sz w:val="20"/>
                <w:szCs w:val="20"/>
              </w:rPr>
              <w:t>Continuous learning is a key objective in daily work.</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4.40</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0.69</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rPr>
          <w:trHeight w:val="358"/>
        </w:trPr>
        <w:tc>
          <w:tcPr>
            <w:tcW w:w="5220" w:type="dxa"/>
            <w:tcBorders>
              <w:left w:val="nil"/>
              <w:right w:val="nil"/>
            </w:tcBorders>
          </w:tcPr>
          <w:p w:rsidR="00A034AA" w:rsidRDefault="00211741">
            <w:pPr>
              <w:pStyle w:val="ListParagraph"/>
              <w:numPr>
                <w:ilvl w:val="0"/>
                <w:numId w:val="6"/>
              </w:numPr>
              <w:spacing w:line="240" w:lineRule="auto"/>
              <w:rPr>
                <w:rFonts w:eastAsia="SimSun" w:cs="Arial"/>
                <w:color w:val="000000" w:themeColor="text1"/>
                <w:sz w:val="20"/>
                <w:szCs w:val="20"/>
              </w:rPr>
            </w:pPr>
            <w:r>
              <w:rPr>
                <w:rFonts w:cs="Arial"/>
                <w:sz w:val="20"/>
                <w:szCs w:val="20"/>
              </w:rPr>
              <w:t>Clear communication ensures coordination across all functions.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4.28</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0.73</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rPr>
          <w:trHeight w:val="254"/>
        </w:trPr>
        <w:tc>
          <w:tcPr>
            <w:tcW w:w="5220" w:type="dxa"/>
            <w:tcBorders>
              <w:left w:val="nil"/>
              <w:right w:val="nil"/>
            </w:tcBorders>
          </w:tcPr>
          <w:p w:rsidR="00A034AA" w:rsidRDefault="00211741">
            <w:pPr>
              <w:spacing w:after="0" w:line="240" w:lineRule="auto"/>
              <w:jc w:val="center"/>
              <w:rPr>
                <w:rFonts w:ascii="Arial" w:hAnsi="Arial" w:cs="Arial"/>
                <w:color w:val="000000" w:themeColor="text1"/>
                <w:sz w:val="20"/>
                <w:szCs w:val="20"/>
              </w:rPr>
            </w:pPr>
            <w:r>
              <w:rPr>
                <w:rFonts w:ascii="Arial" w:hAnsi="Arial" w:cs="Arial"/>
                <w:sz w:val="20"/>
                <w:szCs w:val="20"/>
              </w:rPr>
              <w:t>Average</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4.25</w:t>
            </w:r>
          </w:p>
        </w:tc>
        <w:tc>
          <w:tcPr>
            <w:tcW w:w="108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0.56</w:t>
            </w:r>
          </w:p>
        </w:tc>
        <w:tc>
          <w:tcPr>
            <w:tcW w:w="1620" w:type="dxa"/>
            <w:gridSpan w:val="2"/>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bl>
    <w:p w:rsidR="00A034AA" w:rsidRDefault="00A034AA">
      <w:pPr>
        <w:spacing w:after="0" w:line="240" w:lineRule="auto"/>
        <w:jc w:val="both"/>
        <w:rPr>
          <w:rFonts w:ascii="Arial" w:hAnsi="Arial" w:cs="Arial"/>
          <w:sz w:val="20"/>
          <w:szCs w:val="20"/>
        </w:rPr>
      </w:pPr>
    </w:p>
    <w:p w:rsidR="00A034AA" w:rsidRDefault="00211741">
      <w:pPr>
        <w:pStyle w:val="NormalWeb"/>
        <w:spacing w:beforeAutospacing="0" w:afterAutospacing="0"/>
        <w:ind w:firstLine="720"/>
        <w:jc w:val="both"/>
        <w:rPr>
          <w:rFonts w:ascii="Arial" w:hAnsi="Arial" w:cs="Arial"/>
          <w:sz w:val="20"/>
          <w:szCs w:val="20"/>
        </w:rPr>
      </w:pPr>
      <w:r>
        <w:rPr>
          <w:rStyle w:val="Strong"/>
          <w:rFonts w:ascii="Arial" w:hAnsi="Arial" w:cs="Arial"/>
          <w:b w:val="0"/>
          <w:bCs w:val="0"/>
          <w:sz w:val="20"/>
          <w:szCs w:val="20"/>
        </w:rPr>
        <w:t>Presented in Table 3 is the level of organizational culture in terms of adaptability</w:t>
      </w:r>
      <w:r>
        <w:rPr>
          <w:rStyle w:val="Strong"/>
          <w:rFonts w:ascii="Arial" w:hAnsi="Arial" w:cs="Arial"/>
          <w:sz w:val="20"/>
          <w:szCs w:val="20"/>
        </w:rPr>
        <w:t>.</w:t>
      </w:r>
      <w:r>
        <w:rPr>
          <w:rFonts w:ascii="Arial" w:hAnsi="Arial" w:cs="Arial"/>
          <w:sz w:val="20"/>
          <w:szCs w:val="20"/>
        </w:rPr>
        <w:t xml:space="preserve"> It has an overall average mean of 4.25 with a standard deviation of 0.56, indicating that adaptability is consistently practiced in the LGU of Boston. This suggested that employees perceived the organization as flexible, responsive to change, and supporti</w:t>
      </w:r>
      <w:r>
        <w:rPr>
          <w:rFonts w:ascii="Arial" w:hAnsi="Arial" w:cs="Arial"/>
          <w:sz w:val="20"/>
          <w:szCs w:val="20"/>
        </w:rPr>
        <w:t xml:space="preserve">ve of continuous improvement. These findings support </w:t>
      </w:r>
      <w:proofErr w:type="spellStart"/>
      <w:r>
        <w:rPr>
          <w:rFonts w:ascii="Arial" w:hAnsi="Arial" w:cs="Arial"/>
          <w:sz w:val="20"/>
          <w:szCs w:val="20"/>
        </w:rPr>
        <w:t>Moşteanu</w:t>
      </w:r>
      <w:proofErr w:type="spellEnd"/>
      <w:r>
        <w:rPr>
          <w:rFonts w:ascii="Arial" w:hAnsi="Arial" w:cs="Arial"/>
          <w:sz w:val="20"/>
          <w:szCs w:val="20"/>
        </w:rPr>
        <w:t xml:space="preserve"> (2024), who emphasized the importance of adaptability in LGUs, and </w:t>
      </w:r>
      <w:proofErr w:type="spellStart"/>
      <w:r>
        <w:rPr>
          <w:rFonts w:ascii="Arial" w:hAnsi="Arial" w:cs="Arial"/>
          <w:sz w:val="20"/>
          <w:szCs w:val="20"/>
        </w:rPr>
        <w:t>Caparas</w:t>
      </w:r>
      <w:proofErr w:type="spellEnd"/>
      <w:r>
        <w:rPr>
          <w:rFonts w:ascii="Arial" w:hAnsi="Arial" w:cs="Arial"/>
          <w:sz w:val="20"/>
          <w:szCs w:val="20"/>
        </w:rPr>
        <w:t xml:space="preserve"> et al. (2024), who noted that adaptable environments enhance responsiveness and overall performance in the public secto</w:t>
      </w:r>
      <w:r>
        <w:rPr>
          <w:rFonts w:ascii="Arial" w:hAnsi="Arial" w:cs="Arial"/>
          <w:sz w:val="20"/>
          <w:szCs w:val="20"/>
        </w:rPr>
        <w:t>r.</w:t>
      </w:r>
    </w:p>
    <w:p w:rsidR="00A034AA" w:rsidRDefault="00A034AA">
      <w:pPr>
        <w:spacing w:after="0" w:line="240" w:lineRule="auto"/>
        <w:jc w:val="both"/>
        <w:rPr>
          <w:rFonts w:ascii="Arial" w:hAnsi="Arial" w:cs="Arial"/>
          <w:sz w:val="20"/>
          <w:szCs w:val="20"/>
        </w:rPr>
      </w:pPr>
    </w:p>
    <w:p w:rsidR="00A034AA" w:rsidRDefault="00211741">
      <w:pPr>
        <w:spacing w:after="0" w:line="240" w:lineRule="auto"/>
        <w:jc w:val="both"/>
        <w:rPr>
          <w:rFonts w:ascii="Arial" w:hAnsi="Arial" w:cs="Arial"/>
          <w:sz w:val="20"/>
          <w:szCs w:val="20"/>
        </w:rPr>
      </w:pPr>
      <w:r>
        <w:rPr>
          <w:rFonts w:ascii="Arial" w:hAnsi="Arial" w:cs="Arial"/>
          <w:sz w:val="20"/>
          <w:szCs w:val="20"/>
        </w:rPr>
        <w:t xml:space="preserve">Table </w:t>
      </w:r>
      <w:r>
        <w:rPr>
          <w:rFonts w:ascii="Arial" w:hAnsi="Arial" w:cs="Arial"/>
          <w:sz w:val="20"/>
          <w:szCs w:val="20"/>
          <w:lang w:val="en-US"/>
        </w:rPr>
        <w:t>4</w:t>
      </w:r>
      <w:r>
        <w:rPr>
          <w:rFonts w:ascii="Arial" w:hAnsi="Arial" w:cs="Arial"/>
          <w:sz w:val="20"/>
          <w:szCs w:val="20"/>
        </w:rPr>
        <w:t>. Level of Organizational Culture of LGU’s Employee in Terms of Mission</w:t>
      </w:r>
    </w:p>
    <w:tbl>
      <w:tblPr>
        <w:tblStyle w:val="TableGrid"/>
        <w:tblpPr w:leftFromText="180" w:rightFromText="180" w:vertAnchor="text" w:horzAnchor="margin" w:tblpY="3"/>
        <w:tblW w:w="8730" w:type="dxa"/>
        <w:tblLayout w:type="fixed"/>
        <w:tblLook w:val="04A0" w:firstRow="1" w:lastRow="0" w:firstColumn="1" w:lastColumn="0" w:noHBand="0" w:noVBand="1"/>
      </w:tblPr>
      <w:tblGrid>
        <w:gridCol w:w="5220"/>
        <w:gridCol w:w="810"/>
        <w:gridCol w:w="1161"/>
        <w:gridCol w:w="1539"/>
      </w:tblGrid>
      <w:tr w:rsidR="00A034AA">
        <w:tc>
          <w:tcPr>
            <w:tcW w:w="5220" w:type="dxa"/>
            <w:tcBorders>
              <w:left w:val="nil"/>
              <w:right w:val="nil"/>
            </w:tcBorders>
            <w:vAlign w:val="center"/>
          </w:tcPr>
          <w:p w:rsidR="00A034AA" w:rsidRDefault="00211741">
            <w:pPr>
              <w:pStyle w:val="Default"/>
              <w:jc w:val="center"/>
              <w:rPr>
                <w:sz w:val="20"/>
                <w:szCs w:val="20"/>
              </w:rPr>
            </w:pPr>
            <w:r>
              <w:rPr>
                <w:b/>
                <w:bCs/>
                <w:sz w:val="20"/>
                <w:szCs w:val="20"/>
                <w:lang w:val="en-US"/>
              </w:rPr>
              <w:t>Statements</w:t>
            </w:r>
          </w:p>
        </w:tc>
        <w:tc>
          <w:tcPr>
            <w:tcW w:w="810" w:type="dxa"/>
            <w:tcBorders>
              <w:left w:val="nil"/>
              <w:right w:val="nil"/>
            </w:tcBorders>
            <w:vAlign w:val="center"/>
          </w:tcPr>
          <w:p w:rsidR="00A034AA" w:rsidRDefault="00211741">
            <w:pPr>
              <w:pStyle w:val="Default"/>
              <w:jc w:val="center"/>
              <w:rPr>
                <w:rFonts w:eastAsia="Times New Roman"/>
                <w:sz w:val="20"/>
                <w:szCs w:val="20"/>
                <w:lang w:eastAsia="en-PH"/>
              </w:rPr>
            </w:pPr>
            <w:r>
              <w:rPr>
                <w:b/>
                <w:bCs/>
                <w:sz w:val="20"/>
                <w:szCs w:val="20"/>
                <w:lang w:eastAsia="en-PH"/>
              </w:rPr>
              <w:t>Mean</w:t>
            </w:r>
          </w:p>
        </w:tc>
        <w:tc>
          <w:tcPr>
            <w:tcW w:w="1161" w:type="dxa"/>
            <w:tcBorders>
              <w:left w:val="nil"/>
              <w:right w:val="nil"/>
            </w:tcBorders>
            <w:vAlign w:val="center"/>
          </w:tcPr>
          <w:p w:rsidR="00A034AA" w:rsidRDefault="00211741">
            <w:pPr>
              <w:pStyle w:val="Default"/>
              <w:jc w:val="center"/>
              <w:rPr>
                <w:rFonts w:eastAsia="Times New Roman"/>
                <w:sz w:val="20"/>
                <w:szCs w:val="20"/>
                <w:lang w:eastAsia="en-PH"/>
              </w:rPr>
            </w:pPr>
            <w:r>
              <w:rPr>
                <w:b/>
                <w:bCs/>
                <w:sz w:val="20"/>
                <w:szCs w:val="20"/>
                <w:lang w:eastAsia="en-PH"/>
              </w:rPr>
              <w:t>Std. Deviation</w:t>
            </w:r>
          </w:p>
        </w:tc>
        <w:tc>
          <w:tcPr>
            <w:tcW w:w="1539" w:type="dxa"/>
            <w:tcBorders>
              <w:left w:val="nil"/>
              <w:right w:val="nil"/>
            </w:tcBorders>
            <w:vAlign w:val="center"/>
          </w:tcPr>
          <w:p w:rsidR="00A034AA" w:rsidRDefault="00211741">
            <w:pPr>
              <w:pStyle w:val="Default"/>
              <w:jc w:val="center"/>
              <w:rPr>
                <w:rFonts w:eastAsia="Times New Roman"/>
                <w:sz w:val="20"/>
                <w:szCs w:val="20"/>
                <w:lang w:eastAsia="en-PH"/>
              </w:rPr>
            </w:pPr>
            <w:r>
              <w:rPr>
                <w:b/>
                <w:bCs/>
                <w:sz w:val="20"/>
                <w:szCs w:val="20"/>
              </w:rPr>
              <w:t>Description</w:t>
            </w:r>
          </w:p>
        </w:tc>
      </w:tr>
      <w:tr w:rsidR="00A034AA">
        <w:tc>
          <w:tcPr>
            <w:tcW w:w="5220" w:type="dxa"/>
            <w:tcBorders>
              <w:left w:val="nil"/>
              <w:right w:val="nil"/>
            </w:tcBorders>
          </w:tcPr>
          <w:p w:rsidR="00A034AA" w:rsidRDefault="00211741">
            <w:pPr>
              <w:pStyle w:val="ListParagraph"/>
              <w:numPr>
                <w:ilvl w:val="0"/>
                <w:numId w:val="7"/>
              </w:numPr>
              <w:spacing w:line="240" w:lineRule="auto"/>
              <w:rPr>
                <w:rFonts w:eastAsia="SimSun" w:cs="Arial"/>
                <w:color w:val="000000" w:themeColor="text1"/>
                <w:sz w:val="20"/>
                <w:szCs w:val="20"/>
              </w:rPr>
            </w:pPr>
            <w:r>
              <w:rPr>
                <w:rFonts w:cs="Arial"/>
                <w:sz w:val="20"/>
                <w:szCs w:val="20"/>
              </w:rPr>
              <w:t>A long-term purpose and direction are established.</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4.33</w:t>
            </w:r>
          </w:p>
        </w:tc>
        <w:tc>
          <w:tcPr>
            <w:tcW w:w="1161"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0.81</w:t>
            </w:r>
          </w:p>
        </w:tc>
        <w:tc>
          <w:tcPr>
            <w:tcW w:w="1539"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7"/>
              </w:numPr>
              <w:spacing w:line="240" w:lineRule="auto"/>
              <w:rPr>
                <w:rFonts w:eastAsia="SimSun" w:cs="Arial"/>
                <w:color w:val="000000" w:themeColor="text1"/>
                <w:sz w:val="20"/>
                <w:szCs w:val="20"/>
              </w:rPr>
            </w:pPr>
            <w:r>
              <w:rPr>
                <w:rFonts w:cs="Arial"/>
                <w:sz w:val="20"/>
                <w:szCs w:val="20"/>
              </w:rPr>
              <w:t xml:space="preserve">The strategy influences competitors to adjust their </w:t>
            </w:r>
            <w:r>
              <w:rPr>
                <w:rFonts w:cs="Arial"/>
                <w:sz w:val="20"/>
                <w:szCs w:val="20"/>
              </w:rPr>
              <w:t>approaches.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4.26</w:t>
            </w:r>
          </w:p>
        </w:tc>
        <w:tc>
          <w:tcPr>
            <w:tcW w:w="1161"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0.73</w:t>
            </w:r>
          </w:p>
        </w:tc>
        <w:tc>
          <w:tcPr>
            <w:tcW w:w="1539"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7"/>
              </w:numPr>
              <w:spacing w:line="240" w:lineRule="auto"/>
              <w:rPr>
                <w:rFonts w:eastAsia="SimSun" w:cs="Arial"/>
                <w:color w:val="000000" w:themeColor="text1"/>
                <w:sz w:val="20"/>
                <w:szCs w:val="20"/>
              </w:rPr>
            </w:pPr>
            <w:r>
              <w:rPr>
                <w:rFonts w:cs="Arial"/>
                <w:sz w:val="20"/>
                <w:szCs w:val="20"/>
              </w:rPr>
              <w:t>A clear mission provides meaning and direction to work.</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4.36</w:t>
            </w:r>
          </w:p>
        </w:tc>
        <w:tc>
          <w:tcPr>
            <w:tcW w:w="1161"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0.70</w:t>
            </w:r>
          </w:p>
        </w:tc>
        <w:tc>
          <w:tcPr>
            <w:tcW w:w="1539"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7"/>
              </w:numPr>
              <w:spacing w:line="240" w:lineRule="auto"/>
              <w:rPr>
                <w:rFonts w:eastAsia="SimSun" w:cs="Arial"/>
                <w:color w:val="000000" w:themeColor="text1"/>
                <w:sz w:val="20"/>
                <w:szCs w:val="20"/>
              </w:rPr>
            </w:pPr>
            <w:r>
              <w:rPr>
                <w:rFonts w:cs="Arial"/>
                <w:sz w:val="20"/>
                <w:szCs w:val="20"/>
              </w:rPr>
              <w:t>A well-defined strategy outlines the future course.</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4.33</w:t>
            </w:r>
          </w:p>
        </w:tc>
        <w:tc>
          <w:tcPr>
            <w:tcW w:w="1161"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0.73</w:t>
            </w:r>
          </w:p>
        </w:tc>
        <w:tc>
          <w:tcPr>
            <w:tcW w:w="1539"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7"/>
              </w:numPr>
              <w:spacing w:line="240" w:lineRule="auto"/>
              <w:rPr>
                <w:rFonts w:eastAsia="SimSun" w:cs="Arial"/>
                <w:color w:val="000000" w:themeColor="text1"/>
                <w:sz w:val="20"/>
                <w:szCs w:val="20"/>
              </w:rPr>
            </w:pPr>
            <w:r>
              <w:rPr>
                <w:rFonts w:cs="Arial"/>
                <w:sz w:val="20"/>
                <w:szCs w:val="20"/>
              </w:rPr>
              <w:t>The strategic direction is clearly understood.</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4.37</w:t>
            </w:r>
          </w:p>
        </w:tc>
        <w:tc>
          <w:tcPr>
            <w:tcW w:w="1161"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0.69</w:t>
            </w:r>
          </w:p>
        </w:tc>
        <w:tc>
          <w:tcPr>
            <w:tcW w:w="1539"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7"/>
              </w:numPr>
              <w:spacing w:line="240" w:lineRule="auto"/>
              <w:rPr>
                <w:rFonts w:eastAsia="SimSun" w:cs="Arial"/>
                <w:color w:val="000000" w:themeColor="text1"/>
                <w:sz w:val="20"/>
                <w:szCs w:val="20"/>
              </w:rPr>
            </w:pPr>
            <w:r>
              <w:rPr>
                <w:rFonts w:cs="Arial"/>
                <w:sz w:val="20"/>
                <w:szCs w:val="20"/>
              </w:rPr>
              <w:t xml:space="preserve">Broad agreement </w:t>
            </w:r>
            <w:r>
              <w:rPr>
                <w:rFonts w:cs="Arial"/>
                <w:sz w:val="20"/>
                <w:szCs w:val="20"/>
              </w:rPr>
              <w:t>on goals is present.</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4.30</w:t>
            </w:r>
          </w:p>
        </w:tc>
        <w:tc>
          <w:tcPr>
            <w:tcW w:w="1161"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0.71</w:t>
            </w:r>
          </w:p>
        </w:tc>
        <w:tc>
          <w:tcPr>
            <w:tcW w:w="1539"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7"/>
              </w:numPr>
              <w:spacing w:line="240" w:lineRule="auto"/>
              <w:rPr>
                <w:rFonts w:eastAsia="SimSun" w:cs="Arial"/>
                <w:color w:val="000000" w:themeColor="text1"/>
                <w:sz w:val="20"/>
                <w:szCs w:val="20"/>
              </w:rPr>
            </w:pPr>
            <w:r>
              <w:rPr>
                <w:rFonts w:cs="Arial"/>
                <w:sz w:val="20"/>
                <w:szCs w:val="20"/>
              </w:rPr>
              <w:t>Leaders set ambitious yet realistic goals.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4.33</w:t>
            </w:r>
          </w:p>
        </w:tc>
        <w:tc>
          <w:tcPr>
            <w:tcW w:w="1161"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0.66</w:t>
            </w:r>
          </w:p>
        </w:tc>
        <w:tc>
          <w:tcPr>
            <w:tcW w:w="1539"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c>
          <w:tcPr>
            <w:tcW w:w="5220" w:type="dxa"/>
            <w:tcBorders>
              <w:left w:val="nil"/>
              <w:right w:val="nil"/>
            </w:tcBorders>
          </w:tcPr>
          <w:p w:rsidR="00A034AA" w:rsidRDefault="00211741">
            <w:pPr>
              <w:pStyle w:val="ListParagraph"/>
              <w:numPr>
                <w:ilvl w:val="0"/>
                <w:numId w:val="7"/>
              </w:numPr>
              <w:spacing w:line="240" w:lineRule="auto"/>
              <w:rPr>
                <w:rFonts w:eastAsia="SimSun" w:cs="Arial"/>
                <w:color w:val="000000" w:themeColor="text1"/>
                <w:sz w:val="20"/>
                <w:szCs w:val="20"/>
              </w:rPr>
            </w:pPr>
            <w:r>
              <w:rPr>
                <w:rFonts w:cs="Arial"/>
                <w:sz w:val="20"/>
                <w:szCs w:val="20"/>
              </w:rPr>
              <w:t>Leadership has publicly committed to the organization's objectives.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4.18</w:t>
            </w:r>
          </w:p>
        </w:tc>
        <w:tc>
          <w:tcPr>
            <w:tcW w:w="1161"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0.73</w:t>
            </w:r>
          </w:p>
        </w:tc>
        <w:tc>
          <w:tcPr>
            <w:tcW w:w="1539"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hAnsi="Arial" w:cs="Arial"/>
                <w:sz w:val="20"/>
                <w:szCs w:val="20"/>
              </w:rPr>
              <w:t>Often</w:t>
            </w:r>
          </w:p>
        </w:tc>
      </w:tr>
      <w:tr w:rsidR="00A034AA">
        <w:tc>
          <w:tcPr>
            <w:tcW w:w="5220" w:type="dxa"/>
            <w:tcBorders>
              <w:left w:val="nil"/>
              <w:right w:val="nil"/>
            </w:tcBorders>
          </w:tcPr>
          <w:p w:rsidR="00A034AA" w:rsidRDefault="00211741">
            <w:pPr>
              <w:pStyle w:val="ListParagraph"/>
              <w:numPr>
                <w:ilvl w:val="0"/>
                <w:numId w:val="7"/>
              </w:numPr>
              <w:spacing w:line="240" w:lineRule="auto"/>
              <w:rPr>
                <w:rFonts w:eastAsia="SimSun" w:cs="Arial"/>
                <w:color w:val="000000" w:themeColor="text1"/>
                <w:sz w:val="20"/>
                <w:szCs w:val="20"/>
              </w:rPr>
            </w:pPr>
            <w:r>
              <w:rPr>
                <w:rFonts w:cs="Arial"/>
                <w:sz w:val="20"/>
                <w:szCs w:val="20"/>
              </w:rPr>
              <w:lastRenderedPageBreak/>
              <w:t>Progress is continuously tracked against stated goals.</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4.35</w:t>
            </w:r>
          </w:p>
        </w:tc>
        <w:tc>
          <w:tcPr>
            <w:tcW w:w="1161"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0.69</w:t>
            </w:r>
          </w:p>
        </w:tc>
        <w:tc>
          <w:tcPr>
            <w:tcW w:w="1539"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A034AA">
        <w:trPr>
          <w:trHeight w:val="358"/>
        </w:trPr>
        <w:tc>
          <w:tcPr>
            <w:tcW w:w="5220" w:type="dxa"/>
            <w:tcBorders>
              <w:left w:val="nil"/>
              <w:right w:val="nil"/>
            </w:tcBorders>
          </w:tcPr>
          <w:p w:rsidR="00A034AA" w:rsidRDefault="00211741">
            <w:pPr>
              <w:pStyle w:val="ListParagraph"/>
              <w:numPr>
                <w:ilvl w:val="0"/>
                <w:numId w:val="7"/>
              </w:numPr>
              <w:spacing w:line="240" w:lineRule="auto"/>
              <w:rPr>
                <w:rFonts w:eastAsia="SimSun" w:cs="Arial"/>
                <w:color w:val="000000" w:themeColor="text1"/>
                <w:sz w:val="20"/>
                <w:szCs w:val="20"/>
              </w:rPr>
            </w:pPr>
            <w:r>
              <w:rPr>
                <w:rFonts w:cs="Arial"/>
                <w:sz w:val="20"/>
                <w:szCs w:val="20"/>
              </w:rPr>
              <w:t>Clear understanding exists regarding the actions needed for long-term success.</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4.30</w:t>
            </w:r>
          </w:p>
        </w:tc>
        <w:tc>
          <w:tcPr>
            <w:tcW w:w="1161"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0.73</w:t>
            </w:r>
          </w:p>
        </w:tc>
        <w:tc>
          <w:tcPr>
            <w:tcW w:w="1539"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A034AA">
        <w:trPr>
          <w:trHeight w:val="317"/>
        </w:trPr>
        <w:tc>
          <w:tcPr>
            <w:tcW w:w="5220" w:type="dxa"/>
            <w:tcBorders>
              <w:left w:val="nil"/>
              <w:right w:val="nil"/>
            </w:tcBorders>
          </w:tcPr>
          <w:p w:rsidR="00A034AA" w:rsidRDefault="00211741">
            <w:pPr>
              <w:pStyle w:val="ListParagraph"/>
              <w:numPr>
                <w:ilvl w:val="0"/>
                <w:numId w:val="7"/>
              </w:numPr>
              <w:spacing w:line="240" w:lineRule="auto"/>
              <w:rPr>
                <w:rFonts w:eastAsia="SimSun" w:cs="Arial"/>
                <w:sz w:val="20"/>
                <w:szCs w:val="20"/>
              </w:rPr>
            </w:pPr>
            <w:r>
              <w:rPr>
                <w:rFonts w:cs="Arial"/>
                <w:sz w:val="20"/>
                <w:szCs w:val="20"/>
              </w:rPr>
              <w:t>A shared vision of the organization's future is established.</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4.32</w:t>
            </w:r>
          </w:p>
        </w:tc>
        <w:tc>
          <w:tcPr>
            <w:tcW w:w="1161"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0.75</w:t>
            </w:r>
          </w:p>
        </w:tc>
        <w:tc>
          <w:tcPr>
            <w:tcW w:w="1539"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rPr>
          <w:trHeight w:val="263"/>
        </w:trPr>
        <w:tc>
          <w:tcPr>
            <w:tcW w:w="5220" w:type="dxa"/>
            <w:tcBorders>
              <w:left w:val="nil"/>
              <w:right w:val="nil"/>
            </w:tcBorders>
          </w:tcPr>
          <w:p w:rsidR="00A034AA" w:rsidRDefault="00211741">
            <w:pPr>
              <w:pStyle w:val="ListParagraph"/>
              <w:numPr>
                <w:ilvl w:val="0"/>
                <w:numId w:val="7"/>
              </w:numPr>
              <w:spacing w:line="240" w:lineRule="auto"/>
              <w:rPr>
                <w:rFonts w:eastAsia="SimSun" w:cs="Arial"/>
                <w:sz w:val="20"/>
                <w:szCs w:val="20"/>
              </w:rPr>
            </w:pPr>
            <w:r>
              <w:rPr>
                <w:rFonts w:cs="Arial"/>
                <w:sz w:val="20"/>
                <w:szCs w:val="20"/>
              </w:rPr>
              <w:t>Leaders maintain a long-term perspective.</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4.32</w:t>
            </w:r>
          </w:p>
        </w:tc>
        <w:tc>
          <w:tcPr>
            <w:tcW w:w="1161"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0.72</w:t>
            </w:r>
          </w:p>
        </w:tc>
        <w:tc>
          <w:tcPr>
            <w:tcW w:w="1539"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rPr>
          <w:trHeight w:val="263"/>
        </w:trPr>
        <w:tc>
          <w:tcPr>
            <w:tcW w:w="5220" w:type="dxa"/>
            <w:tcBorders>
              <w:left w:val="nil"/>
              <w:right w:val="nil"/>
            </w:tcBorders>
          </w:tcPr>
          <w:p w:rsidR="00A034AA" w:rsidRDefault="00211741">
            <w:pPr>
              <w:pStyle w:val="ListParagraph"/>
              <w:numPr>
                <w:ilvl w:val="0"/>
                <w:numId w:val="7"/>
              </w:numPr>
              <w:spacing w:line="240" w:lineRule="auto"/>
              <w:rPr>
                <w:rFonts w:cs="Arial"/>
                <w:sz w:val="20"/>
                <w:szCs w:val="20"/>
              </w:rPr>
            </w:pPr>
            <w:r>
              <w:rPr>
                <w:rFonts w:cs="Arial"/>
                <w:sz w:val="20"/>
                <w:szCs w:val="20"/>
              </w:rPr>
              <w:t xml:space="preserve">Short-term </w:t>
            </w:r>
            <w:r>
              <w:rPr>
                <w:rFonts w:cs="Arial"/>
                <w:sz w:val="20"/>
                <w:szCs w:val="20"/>
              </w:rPr>
              <w:t>thinking does not compromise the long-term vision.</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4.19</w:t>
            </w:r>
          </w:p>
        </w:tc>
        <w:tc>
          <w:tcPr>
            <w:tcW w:w="1161"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0.73</w:t>
            </w:r>
          </w:p>
        </w:tc>
        <w:tc>
          <w:tcPr>
            <w:tcW w:w="1539" w:type="dxa"/>
            <w:tcBorders>
              <w:left w:val="nil"/>
              <w:right w:val="nil"/>
            </w:tcBorders>
            <w:vAlign w:val="center"/>
          </w:tcPr>
          <w:p w:rsidR="00A034AA" w:rsidRDefault="00211741">
            <w:pPr>
              <w:spacing w:after="0" w:line="240" w:lineRule="auto"/>
              <w:jc w:val="center"/>
              <w:rPr>
                <w:rFonts w:ascii="Arial" w:hAnsi="Arial" w:cs="Arial"/>
                <w:sz w:val="20"/>
                <w:szCs w:val="20"/>
              </w:rPr>
            </w:pPr>
            <w:r>
              <w:rPr>
                <w:rFonts w:ascii="Arial" w:hAnsi="Arial" w:cs="Arial"/>
                <w:sz w:val="20"/>
                <w:szCs w:val="20"/>
              </w:rPr>
              <w:t>Often</w:t>
            </w:r>
          </w:p>
        </w:tc>
      </w:tr>
      <w:tr w:rsidR="00A034AA">
        <w:trPr>
          <w:trHeight w:val="254"/>
        </w:trPr>
        <w:tc>
          <w:tcPr>
            <w:tcW w:w="5220" w:type="dxa"/>
            <w:tcBorders>
              <w:left w:val="nil"/>
              <w:right w:val="nil"/>
            </w:tcBorders>
          </w:tcPr>
          <w:p w:rsidR="00A034AA" w:rsidRDefault="00211741">
            <w:pPr>
              <w:pStyle w:val="ListParagraph"/>
              <w:numPr>
                <w:ilvl w:val="0"/>
                <w:numId w:val="7"/>
              </w:numPr>
              <w:spacing w:line="240" w:lineRule="auto"/>
              <w:rPr>
                <w:rFonts w:eastAsia="SimSun" w:cs="Arial"/>
                <w:color w:val="000000" w:themeColor="text1"/>
                <w:sz w:val="20"/>
                <w:szCs w:val="20"/>
              </w:rPr>
            </w:pPr>
            <w:r>
              <w:rPr>
                <w:rFonts w:cs="Arial"/>
                <w:sz w:val="20"/>
                <w:szCs w:val="20"/>
              </w:rPr>
              <w:t>The vision generates excitement and motivation among employees.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4.37</w:t>
            </w:r>
          </w:p>
        </w:tc>
        <w:tc>
          <w:tcPr>
            <w:tcW w:w="1161"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0.69</w:t>
            </w:r>
          </w:p>
        </w:tc>
        <w:tc>
          <w:tcPr>
            <w:tcW w:w="1539"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rPr>
          <w:trHeight w:val="358"/>
        </w:trPr>
        <w:tc>
          <w:tcPr>
            <w:tcW w:w="5220" w:type="dxa"/>
            <w:tcBorders>
              <w:left w:val="nil"/>
              <w:right w:val="nil"/>
            </w:tcBorders>
          </w:tcPr>
          <w:p w:rsidR="00A034AA" w:rsidRDefault="00211741">
            <w:pPr>
              <w:pStyle w:val="ListParagraph"/>
              <w:numPr>
                <w:ilvl w:val="0"/>
                <w:numId w:val="7"/>
              </w:numPr>
              <w:spacing w:line="240" w:lineRule="auto"/>
              <w:rPr>
                <w:rFonts w:eastAsia="SimSun" w:cs="Arial"/>
                <w:color w:val="000000" w:themeColor="text1"/>
                <w:sz w:val="20"/>
                <w:szCs w:val="20"/>
              </w:rPr>
            </w:pPr>
            <w:r>
              <w:rPr>
                <w:rFonts w:cs="Arial"/>
                <w:sz w:val="20"/>
                <w:szCs w:val="20"/>
              </w:rPr>
              <w:t>Short-term demands are met without undermining long-term objectives.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4.28</w:t>
            </w:r>
          </w:p>
        </w:tc>
        <w:tc>
          <w:tcPr>
            <w:tcW w:w="1161"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0.71</w:t>
            </w:r>
          </w:p>
        </w:tc>
        <w:tc>
          <w:tcPr>
            <w:tcW w:w="1539"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A034AA">
        <w:trPr>
          <w:trHeight w:val="254"/>
        </w:trPr>
        <w:tc>
          <w:tcPr>
            <w:tcW w:w="5220" w:type="dxa"/>
            <w:tcBorders>
              <w:left w:val="nil"/>
              <w:right w:val="nil"/>
            </w:tcBorders>
          </w:tcPr>
          <w:p w:rsidR="00A034AA" w:rsidRDefault="00211741">
            <w:pPr>
              <w:spacing w:after="0" w:line="240" w:lineRule="auto"/>
              <w:jc w:val="center"/>
              <w:rPr>
                <w:rFonts w:ascii="Arial" w:hAnsi="Arial" w:cs="Arial"/>
                <w:color w:val="000000" w:themeColor="text1"/>
                <w:sz w:val="20"/>
                <w:szCs w:val="20"/>
              </w:rPr>
            </w:pPr>
            <w:r>
              <w:rPr>
                <w:rFonts w:ascii="Arial" w:hAnsi="Arial" w:cs="Arial"/>
                <w:sz w:val="20"/>
                <w:szCs w:val="20"/>
              </w:rPr>
              <w:t>Average</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4.31</w:t>
            </w:r>
          </w:p>
        </w:tc>
        <w:tc>
          <w:tcPr>
            <w:tcW w:w="1161"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0.56</w:t>
            </w:r>
          </w:p>
        </w:tc>
        <w:tc>
          <w:tcPr>
            <w:tcW w:w="1539"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bl>
    <w:p w:rsidR="00A034AA" w:rsidRDefault="00211741">
      <w:pPr>
        <w:spacing w:after="0" w:line="240" w:lineRule="auto"/>
        <w:jc w:val="both"/>
        <w:rPr>
          <w:rStyle w:val="Strong"/>
          <w:rFonts w:ascii="Arial" w:hAnsi="Arial" w:cs="Arial"/>
          <w:b w:val="0"/>
          <w:bCs w:val="0"/>
          <w:sz w:val="20"/>
          <w:szCs w:val="20"/>
        </w:rPr>
      </w:pPr>
      <w:r>
        <w:rPr>
          <w:rStyle w:val="Strong"/>
          <w:rFonts w:ascii="Arial" w:hAnsi="Arial" w:cs="Arial"/>
          <w:b w:val="0"/>
          <w:bCs w:val="0"/>
          <w:sz w:val="20"/>
          <w:szCs w:val="20"/>
        </w:rPr>
        <w:tab/>
      </w:r>
    </w:p>
    <w:p w:rsidR="00A034AA" w:rsidRDefault="00211741">
      <w:pPr>
        <w:spacing w:after="0" w:line="240" w:lineRule="auto"/>
        <w:ind w:firstLine="720"/>
        <w:jc w:val="both"/>
        <w:rPr>
          <w:rFonts w:ascii="Arial" w:eastAsia="Times New Roman" w:hAnsi="Arial" w:cs="Arial"/>
          <w:sz w:val="20"/>
          <w:szCs w:val="20"/>
          <w:lang w:eastAsia="en-PH"/>
        </w:rPr>
      </w:pPr>
      <w:r>
        <w:rPr>
          <w:rStyle w:val="Strong"/>
          <w:rFonts w:ascii="Arial" w:hAnsi="Arial" w:cs="Arial"/>
          <w:b w:val="0"/>
          <w:bCs w:val="0"/>
          <w:sz w:val="20"/>
          <w:szCs w:val="20"/>
        </w:rPr>
        <w:t xml:space="preserve">Presented in Table </w:t>
      </w:r>
      <w:r>
        <w:rPr>
          <w:rStyle w:val="Strong"/>
          <w:rFonts w:ascii="Arial" w:hAnsi="Arial" w:cs="Arial"/>
          <w:b w:val="0"/>
          <w:bCs w:val="0"/>
          <w:sz w:val="20"/>
          <w:szCs w:val="20"/>
          <w:lang w:val="en-US"/>
        </w:rPr>
        <w:t>4</w:t>
      </w:r>
      <w:r>
        <w:rPr>
          <w:rStyle w:val="Strong"/>
          <w:rFonts w:ascii="Arial" w:hAnsi="Arial" w:cs="Arial"/>
          <w:b w:val="0"/>
          <w:bCs w:val="0"/>
          <w:sz w:val="20"/>
          <w:szCs w:val="20"/>
        </w:rPr>
        <w:t xml:space="preserve"> is the level of organizational culture in terms of mission.</w:t>
      </w:r>
      <w:r>
        <w:rPr>
          <w:rFonts w:ascii="Arial" w:hAnsi="Arial" w:cs="Arial"/>
          <w:sz w:val="20"/>
          <w:szCs w:val="20"/>
        </w:rPr>
        <w:t xml:space="preserve"> It has an overall average mean of 4.31 with a standard deviation of 0.56, indicating that the LGU of Boston maintains a strong mission-oriented culture. Employees pe</w:t>
      </w:r>
      <w:r>
        <w:rPr>
          <w:rFonts w:ascii="Arial" w:hAnsi="Arial" w:cs="Arial"/>
          <w:sz w:val="20"/>
          <w:szCs w:val="20"/>
        </w:rPr>
        <w:t xml:space="preserve">rceived the organization as having clear goals, strategic direction, and a shared vision. This supports the findings of </w:t>
      </w:r>
      <w:proofErr w:type="spellStart"/>
      <w:r>
        <w:rPr>
          <w:rFonts w:ascii="Arial" w:hAnsi="Arial" w:cs="Arial"/>
          <w:sz w:val="20"/>
          <w:szCs w:val="20"/>
        </w:rPr>
        <w:t>Ariawaty</w:t>
      </w:r>
      <w:proofErr w:type="spellEnd"/>
      <w:r>
        <w:rPr>
          <w:rFonts w:ascii="Arial" w:hAnsi="Arial" w:cs="Arial"/>
          <w:sz w:val="20"/>
          <w:szCs w:val="20"/>
        </w:rPr>
        <w:t xml:space="preserve"> (2020), who emphasized that organizational culture guides performance through goal alignment, and Mendoza and Villanueva (2021)</w:t>
      </w:r>
      <w:r>
        <w:rPr>
          <w:rFonts w:ascii="Arial" w:hAnsi="Arial" w:cs="Arial"/>
          <w:sz w:val="20"/>
          <w:szCs w:val="20"/>
        </w:rPr>
        <w:t>, who highlighted that a clear mission enhances role clarity, motivation, and effectiveness in local government units.</w:t>
      </w:r>
    </w:p>
    <w:p w:rsidR="00A034AA" w:rsidRDefault="00A034AA">
      <w:pPr>
        <w:pStyle w:val="Default"/>
        <w:jc w:val="both"/>
        <w:rPr>
          <w:sz w:val="20"/>
          <w:szCs w:val="20"/>
        </w:rPr>
      </w:pPr>
    </w:p>
    <w:p w:rsidR="00A034AA" w:rsidRDefault="00211741">
      <w:pPr>
        <w:spacing w:after="0" w:line="480" w:lineRule="auto"/>
        <w:jc w:val="center"/>
        <w:rPr>
          <w:rFonts w:ascii="Arial" w:hAnsi="Arial" w:cs="Arial"/>
          <w:b/>
          <w:bCs/>
        </w:rPr>
      </w:pPr>
      <w:r>
        <w:rPr>
          <w:rFonts w:ascii="Arial" w:hAnsi="Arial" w:cs="Arial"/>
          <w:b/>
          <w:bCs/>
        </w:rPr>
        <w:t>Level of Employee Job Satisfaction in the Local Government Unit</w:t>
      </w:r>
    </w:p>
    <w:p w:rsidR="00A034AA" w:rsidRDefault="00211741">
      <w:pPr>
        <w:spacing w:after="0" w:line="240" w:lineRule="auto"/>
        <w:ind w:firstLine="720"/>
        <w:jc w:val="both"/>
        <w:rPr>
          <w:rFonts w:ascii="Arial" w:hAnsi="Arial" w:cs="Arial"/>
          <w:sz w:val="20"/>
          <w:szCs w:val="20"/>
        </w:rPr>
      </w:pPr>
      <w:r>
        <w:rPr>
          <w:rFonts w:ascii="Arial" w:hAnsi="Arial"/>
          <w:sz w:val="20"/>
          <w:szCs w:val="20"/>
        </w:rPr>
        <w:t>This section presents the level of employee job satisfaction in the Loca</w:t>
      </w:r>
      <w:r>
        <w:rPr>
          <w:rFonts w:ascii="Arial" w:hAnsi="Arial"/>
          <w:sz w:val="20"/>
          <w:szCs w:val="20"/>
        </w:rPr>
        <w:t>l Government Unit (LGU) of Boston, focusing on key factors such as salary, promotion, supervision, co-worker relations, and working conditions.</w:t>
      </w:r>
      <w:r>
        <w:rPr>
          <w:rFonts w:ascii="Arial" w:hAnsi="Arial"/>
          <w:sz w:val="20"/>
          <w:szCs w:val="20"/>
          <w:lang w:val="en-US"/>
        </w:rPr>
        <w:t xml:space="preserve"> </w:t>
      </w:r>
      <w:r>
        <w:rPr>
          <w:rStyle w:val="Strong"/>
          <w:rFonts w:ascii="Arial" w:hAnsi="Arial" w:cs="Arial"/>
          <w:b w:val="0"/>
          <w:bCs w:val="0"/>
          <w:sz w:val="20"/>
          <w:szCs w:val="20"/>
        </w:rPr>
        <w:t>Presented in Table 5 is the level of employee job satisfaction in terms of salary/pay.</w:t>
      </w:r>
      <w:r>
        <w:rPr>
          <w:rFonts w:ascii="Arial" w:hAnsi="Arial" w:cs="Arial"/>
          <w:sz w:val="20"/>
          <w:szCs w:val="20"/>
        </w:rPr>
        <w:t xml:space="preserve"> It has an overall mean score of 3.64 with a standard deviation of 0.90, indicating that employees of the LGU of Boston are generally very satisfied with their salary, though there is still some room for improvement. </w:t>
      </w:r>
    </w:p>
    <w:p w:rsidR="00A034AA" w:rsidRDefault="00A034AA">
      <w:pPr>
        <w:spacing w:after="0" w:line="240" w:lineRule="auto"/>
        <w:ind w:firstLine="720"/>
        <w:jc w:val="both"/>
        <w:rPr>
          <w:rFonts w:ascii="Arial" w:hAnsi="Arial" w:cs="Arial"/>
          <w:sz w:val="20"/>
          <w:szCs w:val="20"/>
        </w:rPr>
      </w:pPr>
    </w:p>
    <w:p w:rsidR="00A034AA" w:rsidRDefault="00211741">
      <w:pPr>
        <w:spacing w:after="0" w:line="240" w:lineRule="auto"/>
        <w:rPr>
          <w:rFonts w:ascii="Arial" w:hAnsi="Arial" w:cs="Arial"/>
          <w:b/>
          <w:bCs/>
          <w:sz w:val="20"/>
          <w:szCs w:val="20"/>
        </w:rPr>
      </w:pPr>
      <w:r>
        <w:rPr>
          <w:rFonts w:ascii="Arial" w:hAnsi="Arial" w:cs="Arial"/>
          <w:sz w:val="20"/>
          <w:szCs w:val="20"/>
        </w:rPr>
        <w:t>Table 5. Level of Employee Job Satisf</w:t>
      </w:r>
      <w:r>
        <w:rPr>
          <w:rFonts w:ascii="Arial" w:hAnsi="Arial" w:cs="Arial"/>
          <w:sz w:val="20"/>
          <w:szCs w:val="20"/>
        </w:rPr>
        <w:t>action in the LGU in Terms of Salary/Pay</w:t>
      </w:r>
    </w:p>
    <w:tbl>
      <w:tblPr>
        <w:tblStyle w:val="TableGrid"/>
        <w:tblpPr w:leftFromText="180" w:rightFromText="180" w:vertAnchor="text" w:horzAnchor="margin" w:tblpY="35"/>
        <w:tblW w:w="8730" w:type="dxa"/>
        <w:tblLayout w:type="fixed"/>
        <w:tblLook w:val="04A0" w:firstRow="1" w:lastRow="0" w:firstColumn="1" w:lastColumn="0" w:noHBand="0" w:noVBand="1"/>
      </w:tblPr>
      <w:tblGrid>
        <w:gridCol w:w="5220"/>
        <w:gridCol w:w="810"/>
        <w:gridCol w:w="1184"/>
        <w:gridCol w:w="1516"/>
      </w:tblGrid>
      <w:tr w:rsidR="00A034AA">
        <w:trPr>
          <w:trHeight w:val="236"/>
        </w:trPr>
        <w:tc>
          <w:tcPr>
            <w:tcW w:w="5220" w:type="dxa"/>
            <w:tcBorders>
              <w:left w:val="nil"/>
              <w:right w:val="nil"/>
            </w:tcBorders>
            <w:vAlign w:val="center"/>
          </w:tcPr>
          <w:p w:rsidR="00A034AA" w:rsidRDefault="00211741">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lang w:val="en-US"/>
              </w:rPr>
              <w:t>Statements</w:t>
            </w:r>
          </w:p>
        </w:tc>
        <w:tc>
          <w:tcPr>
            <w:tcW w:w="810" w:type="dxa"/>
            <w:tcBorders>
              <w:left w:val="nil"/>
              <w:right w:val="nil"/>
            </w:tcBorders>
            <w:vAlign w:val="center"/>
          </w:tcPr>
          <w:p w:rsidR="00A034AA" w:rsidRDefault="00211741">
            <w:pPr>
              <w:spacing w:after="0" w:line="240" w:lineRule="auto"/>
              <w:jc w:val="center"/>
              <w:rPr>
                <w:rFonts w:ascii="Arial" w:hAnsi="Arial" w:cs="Arial"/>
                <w:b/>
                <w:bCs/>
                <w:color w:val="000000" w:themeColor="text1"/>
                <w:sz w:val="20"/>
                <w:szCs w:val="20"/>
              </w:rPr>
            </w:pPr>
            <w:r>
              <w:rPr>
                <w:rFonts w:ascii="Arial" w:eastAsia="Times New Roman" w:hAnsi="Arial" w:cs="Arial"/>
                <w:b/>
                <w:bCs/>
                <w:color w:val="000000" w:themeColor="text1"/>
                <w:sz w:val="20"/>
                <w:szCs w:val="20"/>
                <w:lang w:eastAsia="en-PH"/>
              </w:rPr>
              <w:t>Mean</w:t>
            </w:r>
          </w:p>
        </w:tc>
        <w:tc>
          <w:tcPr>
            <w:tcW w:w="1184" w:type="dxa"/>
            <w:tcBorders>
              <w:left w:val="nil"/>
              <w:right w:val="nil"/>
            </w:tcBorders>
            <w:vAlign w:val="center"/>
          </w:tcPr>
          <w:p w:rsidR="00A034AA" w:rsidRDefault="00211741">
            <w:pPr>
              <w:spacing w:after="0" w:line="240" w:lineRule="auto"/>
              <w:jc w:val="center"/>
              <w:rPr>
                <w:rFonts w:ascii="Arial" w:hAnsi="Arial" w:cs="Arial"/>
                <w:b/>
                <w:bCs/>
                <w:color w:val="000000" w:themeColor="text1"/>
                <w:sz w:val="20"/>
                <w:szCs w:val="20"/>
              </w:rPr>
            </w:pPr>
            <w:r>
              <w:rPr>
                <w:rFonts w:ascii="Arial" w:eastAsia="Times New Roman" w:hAnsi="Arial" w:cs="Arial"/>
                <w:b/>
                <w:bCs/>
                <w:color w:val="000000" w:themeColor="text1"/>
                <w:sz w:val="20"/>
                <w:szCs w:val="20"/>
                <w:lang w:eastAsia="en-PH"/>
              </w:rPr>
              <w:t>Std. Deviation</w:t>
            </w:r>
          </w:p>
        </w:tc>
        <w:tc>
          <w:tcPr>
            <w:tcW w:w="1516" w:type="dxa"/>
            <w:tcBorders>
              <w:left w:val="nil"/>
              <w:right w:val="nil"/>
            </w:tcBorders>
            <w:vAlign w:val="center"/>
          </w:tcPr>
          <w:p w:rsidR="00A034AA" w:rsidRDefault="00211741">
            <w:pPr>
              <w:spacing w:after="0" w:line="240" w:lineRule="auto"/>
              <w:jc w:val="center"/>
              <w:rPr>
                <w:rFonts w:ascii="Arial" w:hAnsi="Arial" w:cs="Arial"/>
                <w:b/>
                <w:bCs/>
                <w:color w:val="000000" w:themeColor="text1"/>
                <w:sz w:val="20"/>
                <w:szCs w:val="20"/>
              </w:rPr>
            </w:pPr>
            <w:r>
              <w:rPr>
                <w:rFonts w:ascii="Arial" w:eastAsia="Times New Roman" w:hAnsi="Arial" w:cs="Arial"/>
                <w:b/>
                <w:bCs/>
                <w:color w:val="000000" w:themeColor="text1"/>
                <w:sz w:val="20"/>
                <w:szCs w:val="20"/>
              </w:rPr>
              <w:t>Description</w:t>
            </w:r>
          </w:p>
        </w:tc>
      </w:tr>
      <w:tr w:rsidR="00A034AA">
        <w:tc>
          <w:tcPr>
            <w:tcW w:w="5220" w:type="dxa"/>
            <w:tcBorders>
              <w:left w:val="nil"/>
              <w:right w:val="nil"/>
            </w:tcBorders>
          </w:tcPr>
          <w:p w:rsidR="00A034AA" w:rsidRDefault="00211741">
            <w:pPr>
              <w:pStyle w:val="ListParagraph"/>
              <w:numPr>
                <w:ilvl w:val="0"/>
                <w:numId w:val="8"/>
              </w:numPr>
              <w:spacing w:line="240" w:lineRule="auto"/>
              <w:rPr>
                <w:rFonts w:eastAsia="SimSun" w:cs="Arial"/>
                <w:color w:val="000000" w:themeColor="text1"/>
                <w:sz w:val="20"/>
                <w:szCs w:val="20"/>
              </w:rPr>
            </w:pPr>
            <w:r>
              <w:rPr>
                <w:sz w:val="20"/>
                <w:szCs w:val="20"/>
              </w:rPr>
              <w:t>Performance appraisal influence appraise.</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3.81</w:t>
            </w:r>
          </w:p>
        </w:tc>
        <w:tc>
          <w:tcPr>
            <w:tcW w:w="1184"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0.99</w:t>
            </w:r>
          </w:p>
        </w:tc>
        <w:tc>
          <w:tcPr>
            <w:tcW w:w="1516"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Satisfied</w:t>
            </w:r>
          </w:p>
        </w:tc>
      </w:tr>
      <w:tr w:rsidR="00A034AA">
        <w:tc>
          <w:tcPr>
            <w:tcW w:w="5220" w:type="dxa"/>
            <w:tcBorders>
              <w:left w:val="nil"/>
              <w:right w:val="nil"/>
            </w:tcBorders>
          </w:tcPr>
          <w:p w:rsidR="00A034AA" w:rsidRDefault="00211741">
            <w:pPr>
              <w:pStyle w:val="ListParagraph"/>
              <w:numPr>
                <w:ilvl w:val="0"/>
                <w:numId w:val="8"/>
              </w:numPr>
              <w:spacing w:line="240" w:lineRule="auto"/>
              <w:rPr>
                <w:rFonts w:eastAsia="SimSun" w:cs="Arial"/>
                <w:color w:val="000000" w:themeColor="text1"/>
                <w:sz w:val="20"/>
                <w:szCs w:val="20"/>
              </w:rPr>
            </w:pPr>
            <w:r>
              <w:rPr>
                <w:sz w:val="20"/>
                <w:szCs w:val="20"/>
              </w:rPr>
              <w:t>Satisfaction exists with the benefits provided by the organization.</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3.65</w:t>
            </w:r>
          </w:p>
        </w:tc>
        <w:tc>
          <w:tcPr>
            <w:tcW w:w="1184"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1.04</w:t>
            </w:r>
          </w:p>
        </w:tc>
        <w:tc>
          <w:tcPr>
            <w:tcW w:w="1516"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A034AA">
        <w:tc>
          <w:tcPr>
            <w:tcW w:w="5220" w:type="dxa"/>
            <w:tcBorders>
              <w:left w:val="nil"/>
              <w:right w:val="nil"/>
            </w:tcBorders>
          </w:tcPr>
          <w:p w:rsidR="00A034AA" w:rsidRDefault="00211741">
            <w:pPr>
              <w:pStyle w:val="ListParagraph"/>
              <w:numPr>
                <w:ilvl w:val="0"/>
                <w:numId w:val="8"/>
              </w:numPr>
              <w:spacing w:line="240" w:lineRule="auto"/>
              <w:rPr>
                <w:rFonts w:eastAsia="SimSun" w:cs="Arial"/>
                <w:color w:val="000000" w:themeColor="text1"/>
                <w:sz w:val="20"/>
                <w:szCs w:val="20"/>
              </w:rPr>
            </w:pPr>
            <w:r>
              <w:rPr>
                <w:sz w:val="20"/>
                <w:szCs w:val="20"/>
              </w:rPr>
              <w:t xml:space="preserve">Rewards are given </w:t>
            </w:r>
            <w:r>
              <w:rPr>
                <w:sz w:val="20"/>
                <w:szCs w:val="20"/>
              </w:rPr>
              <w:t>based on the quality of efforts.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3.56</w:t>
            </w:r>
          </w:p>
        </w:tc>
        <w:tc>
          <w:tcPr>
            <w:tcW w:w="1184"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0.99</w:t>
            </w:r>
          </w:p>
        </w:tc>
        <w:tc>
          <w:tcPr>
            <w:tcW w:w="1516"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A034AA">
        <w:tc>
          <w:tcPr>
            <w:tcW w:w="5220" w:type="dxa"/>
            <w:tcBorders>
              <w:left w:val="nil"/>
              <w:right w:val="nil"/>
            </w:tcBorders>
          </w:tcPr>
          <w:p w:rsidR="00A034AA" w:rsidRDefault="00211741">
            <w:pPr>
              <w:pStyle w:val="ListParagraph"/>
              <w:numPr>
                <w:ilvl w:val="0"/>
                <w:numId w:val="8"/>
              </w:numPr>
              <w:spacing w:line="240" w:lineRule="auto"/>
              <w:rPr>
                <w:rFonts w:eastAsia="SimSun" w:cs="Arial"/>
                <w:color w:val="000000" w:themeColor="text1"/>
                <w:sz w:val="20"/>
                <w:szCs w:val="20"/>
              </w:rPr>
            </w:pPr>
            <w:r>
              <w:rPr>
                <w:sz w:val="20"/>
                <w:szCs w:val="20"/>
              </w:rPr>
              <w:t>Incentives received bring satisfaction.</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3.64</w:t>
            </w:r>
          </w:p>
        </w:tc>
        <w:tc>
          <w:tcPr>
            <w:tcW w:w="1184"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0.99</w:t>
            </w:r>
          </w:p>
        </w:tc>
        <w:tc>
          <w:tcPr>
            <w:tcW w:w="1516"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A034AA">
        <w:tc>
          <w:tcPr>
            <w:tcW w:w="5220" w:type="dxa"/>
            <w:tcBorders>
              <w:left w:val="nil"/>
              <w:right w:val="nil"/>
            </w:tcBorders>
          </w:tcPr>
          <w:p w:rsidR="00A034AA" w:rsidRDefault="00211741">
            <w:pPr>
              <w:pStyle w:val="ListParagraph"/>
              <w:numPr>
                <w:ilvl w:val="0"/>
                <w:numId w:val="8"/>
              </w:numPr>
              <w:spacing w:line="240" w:lineRule="auto"/>
              <w:rPr>
                <w:rFonts w:eastAsia="SimSun" w:cs="Arial"/>
                <w:color w:val="000000" w:themeColor="text1"/>
                <w:sz w:val="20"/>
                <w:szCs w:val="20"/>
              </w:rPr>
            </w:pPr>
            <w:r>
              <w:rPr>
                <w:sz w:val="20"/>
                <w:szCs w:val="20"/>
              </w:rPr>
              <w:t>Salary increment opportunities are satisfactory.</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3.67</w:t>
            </w:r>
          </w:p>
        </w:tc>
        <w:tc>
          <w:tcPr>
            <w:tcW w:w="1184"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1.02</w:t>
            </w:r>
          </w:p>
        </w:tc>
        <w:tc>
          <w:tcPr>
            <w:tcW w:w="1516"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A034AA">
        <w:tc>
          <w:tcPr>
            <w:tcW w:w="5220" w:type="dxa"/>
            <w:tcBorders>
              <w:left w:val="nil"/>
              <w:right w:val="nil"/>
            </w:tcBorders>
          </w:tcPr>
          <w:p w:rsidR="00A034AA" w:rsidRDefault="00211741">
            <w:pPr>
              <w:pStyle w:val="ListParagraph"/>
              <w:numPr>
                <w:ilvl w:val="0"/>
                <w:numId w:val="8"/>
              </w:numPr>
              <w:spacing w:line="240" w:lineRule="auto"/>
              <w:rPr>
                <w:rFonts w:eastAsia="SimSun" w:cs="Arial"/>
                <w:color w:val="000000" w:themeColor="text1"/>
                <w:sz w:val="20"/>
                <w:szCs w:val="20"/>
              </w:rPr>
            </w:pPr>
            <w:r>
              <w:rPr>
                <w:sz w:val="20"/>
                <w:szCs w:val="20"/>
              </w:rPr>
              <w:t>Salary adequately covers daily needs.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3.49</w:t>
            </w:r>
          </w:p>
        </w:tc>
        <w:tc>
          <w:tcPr>
            <w:tcW w:w="1184"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1.13</w:t>
            </w:r>
          </w:p>
        </w:tc>
        <w:tc>
          <w:tcPr>
            <w:tcW w:w="1516"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A034AA">
        <w:trPr>
          <w:trHeight w:val="254"/>
        </w:trPr>
        <w:tc>
          <w:tcPr>
            <w:tcW w:w="5220" w:type="dxa"/>
            <w:tcBorders>
              <w:left w:val="nil"/>
              <w:right w:val="nil"/>
            </w:tcBorders>
          </w:tcPr>
          <w:p w:rsidR="00A034AA" w:rsidRDefault="00211741">
            <w:pPr>
              <w:spacing w:after="0" w:line="240" w:lineRule="auto"/>
              <w:jc w:val="center"/>
              <w:rPr>
                <w:rFonts w:ascii="Arial" w:hAnsi="Arial" w:cs="Arial"/>
                <w:color w:val="000000" w:themeColor="text1"/>
                <w:sz w:val="20"/>
                <w:szCs w:val="20"/>
              </w:rPr>
            </w:pPr>
            <w:r>
              <w:rPr>
                <w:rFonts w:ascii="Arial" w:hAnsi="Arial" w:cs="Arial"/>
                <w:sz w:val="20"/>
                <w:szCs w:val="20"/>
              </w:rPr>
              <w:t>Average</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3.64</w:t>
            </w:r>
          </w:p>
        </w:tc>
        <w:tc>
          <w:tcPr>
            <w:tcW w:w="1184"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0.90</w:t>
            </w:r>
          </w:p>
        </w:tc>
        <w:tc>
          <w:tcPr>
            <w:tcW w:w="1516"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Satisfied</w:t>
            </w:r>
          </w:p>
        </w:tc>
      </w:tr>
    </w:tbl>
    <w:p w:rsidR="00A034AA" w:rsidRDefault="00A034AA">
      <w:pPr>
        <w:spacing w:after="0" w:line="240" w:lineRule="auto"/>
        <w:ind w:firstLine="720"/>
        <w:jc w:val="both"/>
        <w:rPr>
          <w:rFonts w:ascii="Arial" w:hAnsi="Arial"/>
          <w:sz w:val="20"/>
          <w:szCs w:val="20"/>
          <w:lang w:val="en-US"/>
        </w:rPr>
      </w:pPr>
    </w:p>
    <w:p w:rsidR="00A034AA" w:rsidRDefault="00211741">
      <w:pPr>
        <w:spacing w:after="0" w:line="240" w:lineRule="auto"/>
        <w:ind w:firstLine="720"/>
        <w:jc w:val="both"/>
        <w:rPr>
          <w:rFonts w:ascii="Arial" w:hAnsi="Arial" w:cs="Arial"/>
          <w:sz w:val="20"/>
          <w:szCs w:val="20"/>
        </w:rPr>
      </w:pPr>
      <w:r>
        <w:rPr>
          <w:rFonts w:ascii="Arial" w:hAnsi="Arial" w:cs="Arial"/>
          <w:sz w:val="20"/>
          <w:szCs w:val="20"/>
        </w:rPr>
        <w:t xml:space="preserve">This supported the findings of Dong and </w:t>
      </w:r>
      <w:proofErr w:type="spellStart"/>
      <w:r>
        <w:rPr>
          <w:rFonts w:ascii="Arial" w:hAnsi="Arial" w:cs="Arial"/>
          <w:sz w:val="20"/>
          <w:szCs w:val="20"/>
        </w:rPr>
        <w:t>Loang</w:t>
      </w:r>
      <w:proofErr w:type="spellEnd"/>
      <w:r>
        <w:rPr>
          <w:rFonts w:ascii="Arial" w:hAnsi="Arial" w:cs="Arial"/>
          <w:sz w:val="20"/>
          <w:szCs w:val="20"/>
        </w:rPr>
        <w:t xml:space="preserve"> (2023), who emphasized that competitive pay enhances employee motivation, and </w:t>
      </w:r>
      <w:proofErr w:type="spellStart"/>
      <w:r>
        <w:rPr>
          <w:rFonts w:ascii="Arial" w:hAnsi="Arial" w:cs="Arial"/>
          <w:sz w:val="20"/>
          <w:szCs w:val="20"/>
        </w:rPr>
        <w:t>Mitalo</w:t>
      </w:r>
      <w:proofErr w:type="spellEnd"/>
      <w:r>
        <w:rPr>
          <w:rFonts w:ascii="Arial" w:hAnsi="Arial" w:cs="Arial"/>
          <w:sz w:val="20"/>
          <w:szCs w:val="20"/>
        </w:rPr>
        <w:t xml:space="preserve"> and Wanyama (2024), who pointed out that while salary is a fundamental factor, inadequate compensation can </w:t>
      </w:r>
      <w:r>
        <w:rPr>
          <w:rFonts w:ascii="Arial" w:hAnsi="Arial" w:cs="Arial"/>
          <w:sz w:val="20"/>
          <w:szCs w:val="20"/>
        </w:rPr>
        <w:t>still contribute to dissatisfaction.</w:t>
      </w:r>
      <w:r>
        <w:rPr>
          <w:rFonts w:ascii="Arial" w:hAnsi="Arial" w:cs="Arial"/>
          <w:sz w:val="20"/>
          <w:szCs w:val="20"/>
          <w:lang w:val="en-US"/>
        </w:rPr>
        <w:t xml:space="preserve"> </w:t>
      </w:r>
      <w:r>
        <w:rPr>
          <w:rFonts w:ascii="Arial" w:hAnsi="Arial" w:cs="Arial"/>
          <w:sz w:val="20"/>
          <w:szCs w:val="20"/>
        </w:rPr>
        <w:t>While employees of the Boston LGU were generally satisfied with their salary, the results pointed to areas needing improvement, particularly in aligning pay with the cost of living and ensuring fairness in appraisal sys</w:t>
      </w:r>
      <w:r>
        <w:rPr>
          <w:rFonts w:ascii="Arial" w:hAnsi="Arial" w:cs="Arial"/>
          <w:sz w:val="20"/>
          <w:szCs w:val="20"/>
        </w:rPr>
        <w:t xml:space="preserve">tems. These findings support Judge et al. (2023) and </w:t>
      </w:r>
      <w:proofErr w:type="spellStart"/>
      <w:r>
        <w:rPr>
          <w:rFonts w:ascii="Arial" w:hAnsi="Arial" w:cs="Arial"/>
          <w:sz w:val="20"/>
          <w:szCs w:val="20"/>
        </w:rPr>
        <w:t>Calingasan</w:t>
      </w:r>
      <w:proofErr w:type="spellEnd"/>
      <w:r>
        <w:rPr>
          <w:rFonts w:ascii="Arial" w:hAnsi="Arial" w:cs="Arial"/>
          <w:sz w:val="20"/>
          <w:szCs w:val="20"/>
        </w:rPr>
        <w:t xml:space="preserve"> et al. (2024), who emphasized that while salary isn't the only factor in job satisfaction, it plays a vital role in sustaining motivation, stability, and productivity.</w:t>
      </w:r>
    </w:p>
    <w:p w:rsidR="00A034AA" w:rsidRDefault="00A034AA">
      <w:pPr>
        <w:spacing w:after="0" w:line="240" w:lineRule="auto"/>
        <w:ind w:firstLine="720"/>
        <w:jc w:val="both"/>
        <w:rPr>
          <w:rFonts w:ascii="Arial" w:hAnsi="Arial"/>
          <w:sz w:val="20"/>
          <w:szCs w:val="20"/>
          <w:lang w:val="en-US"/>
        </w:rPr>
      </w:pPr>
    </w:p>
    <w:p w:rsidR="00A034AA" w:rsidRDefault="00211741">
      <w:pPr>
        <w:spacing w:after="0" w:line="240" w:lineRule="auto"/>
        <w:rPr>
          <w:rFonts w:ascii="Arial" w:hAnsi="Arial" w:cs="Arial"/>
          <w:b/>
          <w:bCs/>
          <w:sz w:val="20"/>
          <w:szCs w:val="20"/>
        </w:rPr>
      </w:pPr>
      <w:r>
        <w:rPr>
          <w:rFonts w:ascii="Arial" w:hAnsi="Arial" w:cs="Arial"/>
          <w:sz w:val="20"/>
          <w:szCs w:val="20"/>
        </w:rPr>
        <w:t xml:space="preserve">Table </w:t>
      </w:r>
      <w:r>
        <w:rPr>
          <w:rFonts w:ascii="Arial" w:hAnsi="Arial" w:cs="Arial"/>
          <w:sz w:val="20"/>
          <w:szCs w:val="20"/>
          <w:lang w:val="en-US"/>
        </w:rPr>
        <w:t>6</w:t>
      </w:r>
      <w:r>
        <w:rPr>
          <w:rFonts w:ascii="Arial" w:hAnsi="Arial" w:cs="Arial"/>
          <w:sz w:val="20"/>
          <w:szCs w:val="20"/>
        </w:rPr>
        <w:t>. Level of Emplo</w:t>
      </w:r>
      <w:r>
        <w:rPr>
          <w:rFonts w:ascii="Arial" w:hAnsi="Arial" w:cs="Arial"/>
          <w:sz w:val="20"/>
          <w:szCs w:val="20"/>
        </w:rPr>
        <w:t>yee Job Satisfaction in the LGU in Terms of Promotion</w:t>
      </w:r>
    </w:p>
    <w:tbl>
      <w:tblPr>
        <w:tblStyle w:val="TableGrid"/>
        <w:tblpPr w:leftFromText="180" w:rightFromText="180" w:vertAnchor="text" w:horzAnchor="margin" w:tblpY="24"/>
        <w:tblW w:w="8730" w:type="dxa"/>
        <w:tblLayout w:type="fixed"/>
        <w:tblLook w:val="04A0" w:firstRow="1" w:lastRow="0" w:firstColumn="1" w:lastColumn="0" w:noHBand="0" w:noVBand="1"/>
      </w:tblPr>
      <w:tblGrid>
        <w:gridCol w:w="5220"/>
        <w:gridCol w:w="810"/>
        <w:gridCol w:w="1265"/>
        <w:gridCol w:w="1435"/>
      </w:tblGrid>
      <w:tr w:rsidR="00A034AA">
        <w:tc>
          <w:tcPr>
            <w:tcW w:w="5220" w:type="dxa"/>
            <w:tcBorders>
              <w:left w:val="nil"/>
              <w:right w:val="nil"/>
            </w:tcBorders>
            <w:vAlign w:val="center"/>
          </w:tcPr>
          <w:p w:rsidR="00A034AA" w:rsidRDefault="00211741">
            <w:pPr>
              <w:spacing w:after="0" w:line="240" w:lineRule="auto"/>
              <w:jc w:val="center"/>
              <w:rPr>
                <w:rFonts w:ascii="Arial" w:hAnsi="Arial" w:cs="Arial"/>
                <w:sz w:val="20"/>
                <w:szCs w:val="20"/>
              </w:rPr>
            </w:pPr>
            <w:r>
              <w:rPr>
                <w:rFonts w:ascii="Arial" w:hAnsi="Arial" w:cs="Arial"/>
                <w:b/>
                <w:bCs/>
                <w:color w:val="000000" w:themeColor="text1"/>
                <w:sz w:val="20"/>
                <w:szCs w:val="20"/>
                <w:lang w:val="en-US"/>
              </w:rPr>
              <w:t>Statements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b/>
                <w:bCs/>
                <w:color w:val="000000" w:themeColor="text1"/>
                <w:sz w:val="20"/>
                <w:szCs w:val="20"/>
                <w:lang w:eastAsia="en-PH"/>
              </w:rPr>
              <w:t>Mean</w:t>
            </w:r>
          </w:p>
        </w:tc>
        <w:tc>
          <w:tcPr>
            <w:tcW w:w="1265"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b/>
                <w:bCs/>
                <w:color w:val="000000" w:themeColor="text1"/>
                <w:sz w:val="20"/>
                <w:szCs w:val="20"/>
                <w:lang w:eastAsia="en-PH"/>
              </w:rPr>
              <w:t>Std. Deviation</w:t>
            </w:r>
          </w:p>
        </w:tc>
        <w:tc>
          <w:tcPr>
            <w:tcW w:w="1435" w:type="dxa"/>
            <w:tcBorders>
              <w:left w:val="nil"/>
              <w:right w:val="nil"/>
            </w:tcBorders>
            <w:vAlign w:val="center"/>
          </w:tcPr>
          <w:p w:rsidR="00A034AA" w:rsidRDefault="00211741">
            <w:pPr>
              <w:spacing w:after="0" w:line="240" w:lineRule="auto"/>
              <w:jc w:val="center"/>
              <w:rPr>
                <w:rFonts w:ascii="Arial" w:eastAsia="Times New Roman" w:hAnsi="Arial" w:cs="Arial"/>
                <w:sz w:val="20"/>
                <w:szCs w:val="20"/>
                <w:lang w:eastAsia="en-PH"/>
              </w:rPr>
            </w:pPr>
            <w:r>
              <w:rPr>
                <w:rFonts w:ascii="Arial" w:eastAsia="Times New Roman" w:hAnsi="Arial" w:cs="Arial"/>
                <w:b/>
                <w:bCs/>
                <w:color w:val="000000" w:themeColor="text1"/>
                <w:sz w:val="20"/>
                <w:szCs w:val="20"/>
              </w:rPr>
              <w:t>Description</w:t>
            </w:r>
          </w:p>
        </w:tc>
      </w:tr>
      <w:tr w:rsidR="00A034AA">
        <w:tc>
          <w:tcPr>
            <w:tcW w:w="5220" w:type="dxa"/>
            <w:tcBorders>
              <w:left w:val="nil"/>
              <w:right w:val="nil"/>
            </w:tcBorders>
          </w:tcPr>
          <w:p w:rsidR="00A034AA" w:rsidRDefault="00211741">
            <w:pPr>
              <w:pStyle w:val="ListParagraph"/>
              <w:numPr>
                <w:ilvl w:val="0"/>
                <w:numId w:val="9"/>
              </w:numPr>
              <w:spacing w:line="240" w:lineRule="auto"/>
              <w:rPr>
                <w:rFonts w:eastAsia="SimSun" w:cs="Arial"/>
                <w:color w:val="000000" w:themeColor="text1"/>
                <w:sz w:val="20"/>
                <w:szCs w:val="20"/>
              </w:rPr>
            </w:pPr>
            <w:r>
              <w:rPr>
                <w:rFonts w:cs="Arial"/>
                <w:sz w:val="20"/>
                <w:szCs w:val="20"/>
              </w:rPr>
              <w:t>There is really a chance for promotion.</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3.87</w:t>
            </w:r>
          </w:p>
        </w:tc>
        <w:tc>
          <w:tcPr>
            <w:tcW w:w="1265"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1.01</w:t>
            </w:r>
          </w:p>
        </w:tc>
        <w:tc>
          <w:tcPr>
            <w:tcW w:w="1435"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Satisfied</w:t>
            </w:r>
          </w:p>
        </w:tc>
      </w:tr>
      <w:tr w:rsidR="00A034AA">
        <w:tc>
          <w:tcPr>
            <w:tcW w:w="5220" w:type="dxa"/>
            <w:tcBorders>
              <w:left w:val="nil"/>
              <w:right w:val="nil"/>
            </w:tcBorders>
          </w:tcPr>
          <w:p w:rsidR="00A034AA" w:rsidRDefault="00211741">
            <w:pPr>
              <w:pStyle w:val="ListParagraph"/>
              <w:numPr>
                <w:ilvl w:val="0"/>
                <w:numId w:val="9"/>
              </w:numPr>
              <w:spacing w:line="240" w:lineRule="auto"/>
              <w:rPr>
                <w:rFonts w:eastAsia="SimSun" w:cs="Arial"/>
                <w:color w:val="000000" w:themeColor="text1"/>
                <w:sz w:val="20"/>
                <w:szCs w:val="20"/>
              </w:rPr>
            </w:pPr>
            <w:r>
              <w:rPr>
                <w:sz w:val="20"/>
                <w:szCs w:val="20"/>
              </w:rPr>
              <w:t>Excellent job performance increases promotion opportunities.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3.91</w:t>
            </w:r>
          </w:p>
        </w:tc>
        <w:tc>
          <w:tcPr>
            <w:tcW w:w="1265"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0.94</w:t>
            </w:r>
          </w:p>
        </w:tc>
        <w:tc>
          <w:tcPr>
            <w:tcW w:w="1435"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A034AA">
        <w:tc>
          <w:tcPr>
            <w:tcW w:w="5220" w:type="dxa"/>
            <w:tcBorders>
              <w:left w:val="nil"/>
              <w:right w:val="nil"/>
            </w:tcBorders>
          </w:tcPr>
          <w:p w:rsidR="00A034AA" w:rsidRDefault="00211741">
            <w:pPr>
              <w:pStyle w:val="ListParagraph"/>
              <w:numPr>
                <w:ilvl w:val="0"/>
                <w:numId w:val="9"/>
              </w:numPr>
              <w:spacing w:line="240" w:lineRule="auto"/>
              <w:rPr>
                <w:rFonts w:eastAsia="SimSun" w:cs="Arial"/>
                <w:color w:val="000000" w:themeColor="text1"/>
                <w:sz w:val="20"/>
                <w:szCs w:val="20"/>
              </w:rPr>
            </w:pPr>
            <w:r>
              <w:rPr>
                <w:rFonts w:cs="Arial"/>
                <w:sz w:val="20"/>
                <w:szCs w:val="20"/>
              </w:rPr>
              <w:t xml:space="preserve">Satisfied with </w:t>
            </w:r>
            <w:r>
              <w:rPr>
                <w:rFonts w:cs="Arial"/>
                <w:sz w:val="20"/>
                <w:szCs w:val="20"/>
              </w:rPr>
              <w:t>the chances for promotion.</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3.92</w:t>
            </w:r>
          </w:p>
        </w:tc>
        <w:tc>
          <w:tcPr>
            <w:tcW w:w="1265"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0.89</w:t>
            </w:r>
          </w:p>
        </w:tc>
        <w:tc>
          <w:tcPr>
            <w:tcW w:w="1435"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A034AA">
        <w:tc>
          <w:tcPr>
            <w:tcW w:w="5220" w:type="dxa"/>
            <w:tcBorders>
              <w:left w:val="nil"/>
              <w:right w:val="nil"/>
            </w:tcBorders>
          </w:tcPr>
          <w:p w:rsidR="00A034AA" w:rsidRDefault="00211741">
            <w:pPr>
              <w:pStyle w:val="ListParagraph"/>
              <w:numPr>
                <w:ilvl w:val="0"/>
                <w:numId w:val="9"/>
              </w:numPr>
              <w:spacing w:line="240" w:lineRule="auto"/>
              <w:rPr>
                <w:rFonts w:eastAsia="SimSun" w:cs="Arial"/>
                <w:color w:val="000000" w:themeColor="text1"/>
                <w:sz w:val="20"/>
                <w:szCs w:val="20"/>
              </w:rPr>
            </w:pPr>
            <w:r>
              <w:rPr>
                <w:rFonts w:cs="Arial"/>
                <w:sz w:val="20"/>
                <w:szCs w:val="20"/>
              </w:rPr>
              <w:t>Prospect of promotion is easy to achieve.</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3.64</w:t>
            </w:r>
          </w:p>
        </w:tc>
        <w:tc>
          <w:tcPr>
            <w:tcW w:w="1265"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0.89</w:t>
            </w:r>
          </w:p>
        </w:tc>
        <w:tc>
          <w:tcPr>
            <w:tcW w:w="1435"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A034AA">
        <w:tc>
          <w:tcPr>
            <w:tcW w:w="5220" w:type="dxa"/>
            <w:tcBorders>
              <w:left w:val="nil"/>
              <w:right w:val="nil"/>
            </w:tcBorders>
          </w:tcPr>
          <w:p w:rsidR="00A034AA" w:rsidRDefault="00211741">
            <w:pPr>
              <w:pStyle w:val="ListParagraph"/>
              <w:numPr>
                <w:ilvl w:val="0"/>
                <w:numId w:val="9"/>
              </w:numPr>
              <w:spacing w:line="240" w:lineRule="auto"/>
              <w:rPr>
                <w:rFonts w:eastAsia="SimSun" w:cs="Arial"/>
                <w:color w:val="000000" w:themeColor="text1"/>
                <w:sz w:val="20"/>
                <w:szCs w:val="20"/>
              </w:rPr>
            </w:pPr>
            <w:r>
              <w:rPr>
                <w:sz w:val="20"/>
                <w:szCs w:val="20"/>
              </w:rPr>
              <w:t>Experience gained enhances promotion prospects.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3.77</w:t>
            </w:r>
          </w:p>
        </w:tc>
        <w:tc>
          <w:tcPr>
            <w:tcW w:w="1265"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0.91</w:t>
            </w:r>
          </w:p>
        </w:tc>
        <w:tc>
          <w:tcPr>
            <w:tcW w:w="1435"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A034AA">
        <w:tc>
          <w:tcPr>
            <w:tcW w:w="5220" w:type="dxa"/>
            <w:tcBorders>
              <w:left w:val="nil"/>
              <w:right w:val="nil"/>
            </w:tcBorders>
          </w:tcPr>
          <w:p w:rsidR="00A034AA" w:rsidRDefault="00211741">
            <w:pPr>
              <w:pStyle w:val="ListParagraph"/>
              <w:numPr>
                <w:ilvl w:val="0"/>
                <w:numId w:val="9"/>
              </w:numPr>
              <w:spacing w:line="240" w:lineRule="auto"/>
              <w:rPr>
                <w:sz w:val="20"/>
                <w:szCs w:val="20"/>
              </w:rPr>
            </w:pPr>
            <w:r>
              <w:rPr>
                <w:sz w:val="20"/>
                <w:szCs w:val="20"/>
              </w:rPr>
              <w:t>The promotion received aligns well with qualifications and suitability.</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3.80</w:t>
            </w:r>
          </w:p>
        </w:tc>
        <w:tc>
          <w:tcPr>
            <w:tcW w:w="1265"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0.92</w:t>
            </w:r>
          </w:p>
        </w:tc>
        <w:tc>
          <w:tcPr>
            <w:tcW w:w="1435" w:type="dxa"/>
            <w:tcBorders>
              <w:left w:val="nil"/>
              <w:right w:val="nil"/>
            </w:tcBorders>
            <w:vAlign w:val="center"/>
          </w:tcPr>
          <w:p w:rsidR="00A034AA" w:rsidRDefault="00211741">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Satisfied</w:t>
            </w:r>
          </w:p>
        </w:tc>
      </w:tr>
      <w:tr w:rsidR="00A034AA">
        <w:tc>
          <w:tcPr>
            <w:tcW w:w="5220" w:type="dxa"/>
            <w:tcBorders>
              <w:left w:val="nil"/>
              <w:right w:val="nil"/>
            </w:tcBorders>
          </w:tcPr>
          <w:p w:rsidR="00A034AA" w:rsidRDefault="00211741">
            <w:pPr>
              <w:pStyle w:val="ListParagraph"/>
              <w:numPr>
                <w:ilvl w:val="0"/>
                <w:numId w:val="9"/>
              </w:numPr>
              <w:spacing w:line="240" w:lineRule="auto"/>
              <w:rPr>
                <w:rFonts w:eastAsia="SimSun" w:cs="Arial"/>
                <w:color w:val="000000" w:themeColor="text1"/>
                <w:sz w:val="20"/>
                <w:szCs w:val="20"/>
              </w:rPr>
            </w:pPr>
            <w:r>
              <w:rPr>
                <w:sz w:val="20"/>
                <w:szCs w:val="20"/>
              </w:rPr>
              <w:t>The required standards for the promotion have been met.</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3.81</w:t>
            </w:r>
          </w:p>
        </w:tc>
        <w:tc>
          <w:tcPr>
            <w:tcW w:w="1265"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0.94</w:t>
            </w:r>
          </w:p>
        </w:tc>
        <w:tc>
          <w:tcPr>
            <w:tcW w:w="1435"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A034AA">
        <w:trPr>
          <w:trHeight w:val="254"/>
        </w:trPr>
        <w:tc>
          <w:tcPr>
            <w:tcW w:w="5220" w:type="dxa"/>
            <w:tcBorders>
              <w:left w:val="nil"/>
              <w:right w:val="nil"/>
            </w:tcBorders>
          </w:tcPr>
          <w:p w:rsidR="00A034AA" w:rsidRDefault="00211741">
            <w:pPr>
              <w:spacing w:after="0" w:line="240" w:lineRule="auto"/>
              <w:jc w:val="center"/>
              <w:rPr>
                <w:rFonts w:ascii="Arial" w:hAnsi="Arial" w:cs="Arial"/>
                <w:color w:val="000000" w:themeColor="text1"/>
                <w:sz w:val="20"/>
                <w:szCs w:val="20"/>
              </w:rPr>
            </w:pPr>
            <w:r>
              <w:rPr>
                <w:rFonts w:ascii="Arial" w:hAnsi="Arial" w:cs="Arial"/>
                <w:sz w:val="20"/>
                <w:szCs w:val="20"/>
              </w:rPr>
              <w:t>Average</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3.82</w:t>
            </w:r>
          </w:p>
        </w:tc>
        <w:tc>
          <w:tcPr>
            <w:tcW w:w="1265"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0.81</w:t>
            </w:r>
          </w:p>
        </w:tc>
        <w:tc>
          <w:tcPr>
            <w:tcW w:w="1435"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Satisfied</w:t>
            </w:r>
          </w:p>
        </w:tc>
      </w:tr>
    </w:tbl>
    <w:p w:rsidR="00A034AA" w:rsidRDefault="00A034AA">
      <w:pPr>
        <w:spacing w:after="0" w:line="240" w:lineRule="auto"/>
        <w:rPr>
          <w:rFonts w:ascii="Arial" w:hAnsi="Arial" w:cs="Arial"/>
          <w:b/>
          <w:sz w:val="20"/>
          <w:szCs w:val="20"/>
        </w:rPr>
      </w:pPr>
    </w:p>
    <w:p w:rsidR="00A034AA" w:rsidRDefault="00211741">
      <w:pPr>
        <w:pStyle w:val="NormalWeb"/>
        <w:spacing w:beforeAutospacing="0" w:afterAutospacing="0"/>
        <w:ind w:firstLine="720"/>
        <w:jc w:val="both"/>
        <w:rPr>
          <w:rFonts w:ascii="Arial" w:hAnsi="Arial" w:cs="Arial"/>
          <w:sz w:val="20"/>
          <w:szCs w:val="20"/>
        </w:rPr>
      </w:pPr>
      <w:r>
        <w:rPr>
          <w:rStyle w:val="Strong"/>
          <w:rFonts w:ascii="Arial" w:hAnsi="Arial" w:cs="Arial"/>
          <w:b w:val="0"/>
          <w:bCs w:val="0"/>
          <w:sz w:val="20"/>
          <w:szCs w:val="20"/>
        </w:rPr>
        <w:t>Presented in Table 6 is the level of employee job satisfaction in terms of promotion.</w:t>
      </w:r>
      <w:r>
        <w:rPr>
          <w:rFonts w:ascii="Arial" w:hAnsi="Arial" w:cs="Arial"/>
          <w:sz w:val="20"/>
          <w:szCs w:val="20"/>
        </w:rPr>
        <w:t xml:space="preserve"> It has an overall mean score of 3.82 with a standard deviation of 0.81, indicating that employees of the LGU of Boston are generally satisfied with promotion opportunities, although there is still room for improvement. This supports the findings of Wai et</w:t>
      </w:r>
      <w:r>
        <w:rPr>
          <w:rFonts w:ascii="Arial" w:hAnsi="Arial" w:cs="Arial"/>
          <w:sz w:val="20"/>
          <w:szCs w:val="20"/>
        </w:rPr>
        <w:t xml:space="preserve"> al. (2024), who emphasize that promotion is a key motivator for career advancement, and Jena and Nayak (2023), who note that clear and attainable promotion paths enhance employee commitment and satisfaction, particularly in the public sector.</w:t>
      </w:r>
    </w:p>
    <w:p w:rsidR="00A034AA" w:rsidRDefault="00A034AA">
      <w:pPr>
        <w:pStyle w:val="NormalWeb"/>
        <w:spacing w:beforeAutospacing="0" w:afterAutospacing="0"/>
        <w:jc w:val="both"/>
        <w:rPr>
          <w:rFonts w:ascii="Arial" w:hAnsi="Arial" w:cs="Arial"/>
          <w:sz w:val="20"/>
          <w:szCs w:val="20"/>
        </w:rPr>
      </w:pPr>
    </w:p>
    <w:p w:rsidR="00A034AA" w:rsidRDefault="00211741">
      <w:pPr>
        <w:spacing w:after="0" w:line="240" w:lineRule="auto"/>
        <w:rPr>
          <w:rFonts w:ascii="Arial" w:hAnsi="Arial" w:cs="Arial"/>
          <w:sz w:val="20"/>
          <w:szCs w:val="20"/>
        </w:rPr>
      </w:pPr>
      <w:r>
        <w:rPr>
          <w:rFonts w:ascii="Arial" w:hAnsi="Arial" w:cs="Arial"/>
          <w:sz w:val="20"/>
          <w:szCs w:val="20"/>
        </w:rPr>
        <w:t xml:space="preserve">Table </w:t>
      </w:r>
      <w:r>
        <w:rPr>
          <w:rFonts w:ascii="Arial" w:hAnsi="Arial" w:cs="Arial"/>
          <w:sz w:val="20"/>
          <w:szCs w:val="20"/>
          <w:lang w:val="en-US"/>
        </w:rPr>
        <w:t>7</w:t>
      </w:r>
      <w:r>
        <w:rPr>
          <w:rFonts w:ascii="Arial" w:hAnsi="Arial" w:cs="Arial"/>
          <w:sz w:val="20"/>
          <w:szCs w:val="20"/>
        </w:rPr>
        <w:t>. Le</w:t>
      </w:r>
      <w:r>
        <w:rPr>
          <w:rFonts w:ascii="Arial" w:hAnsi="Arial" w:cs="Arial"/>
          <w:sz w:val="20"/>
          <w:szCs w:val="20"/>
        </w:rPr>
        <w:t>vel of Employee Job Satisfaction in the LGU in Terms of Supervision</w:t>
      </w:r>
    </w:p>
    <w:tbl>
      <w:tblPr>
        <w:tblStyle w:val="TableGrid"/>
        <w:tblpPr w:leftFromText="180" w:rightFromText="180" w:vertAnchor="text" w:horzAnchor="margin" w:tblpY="14"/>
        <w:tblW w:w="8730" w:type="dxa"/>
        <w:tblLayout w:type="fixed"/>
        <w:tblLook w:val="04A0" w:firstRow="1" w:lastRow="0" w:firstColumn="1" w:lastColumn="0" w:noHBand="0" w:noVBand="1"/>
      </w:tblPr>
      <w:tblGrid>
        <w:gridCol w:w="5220"/>
        <w:gridCol w:w="810"/>
        <w:gridCol w:w="1202"/>
        <w:gridCol w:w="1498"/>
      </w:tblGrid>
      <w:tr w:rsidR="00A034AA">
        <w:tc>
          <w:tcPr>
            <w:tcW w:w="5220" w:type="dxa"/>
            <w:tcBorders>
              <w:left w:val="nil"/>
              <w:right w:val="nil"/>
            </w:tcBorders>
            <w:vAlign w:val="center"/>
          </w:tcPr>
          <w:p w:rsidR="00A034AA" w:rsidRDefault="00211741">
            <w:pPr>
              <w:spacing w:after="0" w:line="240" w:lineRule="auto"/>
              <w:jc w:val="center"/>
              <w:rPr>
                <w:rFonts w:ascii="Arial" w:hAnsi="Arial" w:cs="Arial"/>
                <w:sz w:val="20"/>
                <w:szCs w:val="20"/>
              </w:rPr>
            </w:pPr>
            <w:r>
              <w:rPr>
                <w:rFonts w:ascii="Arial" w:hAnsi="Arial" w:cs="Arial"/>
                <w:b/>
                <w:bCs/>
                <w:color w:val="000000" w:themeColor="text1"/>
                <w:sz w:val="20"/>
                <w:szCs w:val="20"/>
                <w:lang w:val="en-US"/>
              </w:rPr>
              <w:t>Statements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b/>
                <w:bCs/>
                <w:color w:val="000000" w:themeColor="text1"/>
                <w:sz w:val="20"/>
                <w:szCs w:val="20"/>
                <w:lang w:eastAsia="en-PH"/>
              </w:rPr>
              <w:t>Mean</w:t>
            </w:r>
          </w:p>
        </w:tc>
        <w:tc>
          <w:tcPr>
            <w:tcW w:w="1202"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b/>
                <w:bCs/>
                <w:color w:val="000000" w:themeColor="text1"/>
                <w:sz w:val="20"/>
                <w:szCs w:val="20"/>
                <w:lang w:eastAsia="en-PH"/>
              </w:rPr>
              <w:t>Std. Deviation</w:t>
            </w:r>
          </w:p>
        </w:tc>
        <w:tc>
          <w:tcPr>
            <w:tcW w:w="1498" w:type="dxa"/>
            <w:tcBorders>
              <w:left w:val="nil"/>
              <w:right w:val="nil"/>
            </w:tcBorders>
            <w:vAlign w:val="center"/>
          </w:tcPr>
          <w:p w:rsidR="00A034AA" w:rsidRDefault="00211741">
            <w:pPr>
              <w:spacing w:after="0" w:line="240" w:lineRule="auto"/>
              <w:jc w:val="center"/>
              <w:rPr>
                <w:rFonts w:ascii="Arial" w:eastAsia="Times New Roman" w:hAnsi="Arial" w:cs="Arial"/>
                <w:sz w:val="20"/>
                <w:szCs w:val="20"/>
                <w:lang w:eastAsia="en-PH"/>
              </w:rPr>
            </w:pPr>
            <w:r>
              <w:rPr>
                <w:rFonts w:ascii="Arial" w:eastAsia="Times New Roman" w:hAnsi="Arial" w:cs="Arial"/>
                <w:b/>
                <w:bCs/>
                <w:color w:val="000000" w:themeColor="text1"/>
                <w:sz w:val="20"/>
                <w:szCs w:val="20"/>
              </w:rPr>
              <w:t>Description</w:t>
            </w:r>
          </w:p>
        </w:tc>
      </w:tr>
      <w:tr w:rsidR="00A034AA">
        <w:tc>
          <w:tcPr>
            <w:tcW w:w="5220" w:type="dxa"/>
            <w:tcBorders>
              <w:left w:val="nil"/>
              <w:right w:val="nil"/>
            </w:tcBorders>
          </w:tcPr>
          <w:p w:rsidR="00A034AA" w:rsidRDefault="00211741">
            <w:pPr>
              <w:pStyle w:val="ListParagraph"/>
              <w:numPr>
                <w:ilvl w:val="0"/>
                <w:numId w:val="10"/>
              </w:numPr>
              <w:spacing w:line="240" w:lineRule="auto"/>
              <w:rPr>
                <w:rFonts w:eastAsia="SimSun" w:cs="Arial"/>
                <w:color w:val="000000" w:themeColor="text1"/>
                <w:sz w:val="20"/>
                <w:szCs w:val="20"/>
              </w:rPr>
            </w:pPr>
            <w:r>
              <w:rPr>
                <w:rFonts w:cs="Arial"/>
                <w:sz w:val="20"/>
                <w:szCs w:val="20"/>
              </w:rPr>
              <w:t>Superior is competent in doing his/her job.</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4.40</w:t>
            </w:r>
          </w:p>
        </w:tc>
        <w:tc>
          <w:tcPr>
            <w:tcW w:w="1202"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0.66</w:t>
            </w:r>
          </w:p>
        </w:tc>
        <w:tc>
          <w:tcPr>
            <w:tcW w:w="1498"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0"/>
              </w:numPr>
              <w:spacing w:line="240" w:lineRule="auto"/>
              <w:rPr>
                <w:rFonts w:eastAsia="SimSun" w:cs="Arial"/>
                <w:color w:val="000000" w:themeColor="text1"/>
                <w:sz w:val="20"/>
                <w:szCs w:val="20"/>
              </w:rPr>
            </w:pPr>
            <w:r>
              <w:rPr>
                <w:rFonts w:cs="Arial"/>
                <w:sz w:val="20"/>
                <w:szCs w:val="20"/>
              </w:rPr>
              <w:t>Superior is fair.</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4.25</w:t>
            </w:r>
          </w:p>
        </w:tc>
        <w:tc>
          <w:tcPr>
            <w:tcW w:w="120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0.72</w:t>
            </w:r>
          </w:p>
        </w:tc>
        <w:tc>
          <w:tcPr>
            <w:tcW w:w="149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0"/>
              </w:numPr>
              <w:spacing w:line="240" w:lineRule="auto"/>
              <w:rPr>
                <w:rFonts w:eastAsia="SimSun" w:cs="Arial"/>
                <w:color w:val="000000" w:themeColor="text1"/>
                <w:sz w:val="20"/>
                <w:szCs w:val="20"/>
              </w:rPr>
            </w:pPr>
            <w:r>
              <w:rPr>
                <w:rFonts w:cs="Arial"/>
                <w:sz w:val="20"/>
                <w:szCs w:val="20"/>
              </w:rPr>
              <w:t xml:space="preserve">Superior encourages me to do </w:t>
            </w:r>
            <w:r>
              <w:rPr>
                <w:rFonts w:cs="Arial"/>
                <w:sz w:val="20"/>
                <w:szCs w:val="20"/>
              </w:rPr>
              <w:t>well in my work.</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4.35</w:t>
            </w:r>
          </w:p>
        </w:tc>
        <w:tc>
          <w:tcPr>
            <w:tcW w:w="120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0.67</w:t>
            </w:r>
          </w:p>
        </w:tc>
        <w:tc>
          <w:tcPr>
            <w:tcW w:w="149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0"/>
              </w:numPr>
              <w:spacing w:line="240" w:lineRule="auto"/>
              <w:rPr>
                <w:rFonts w:eastAsia="SimSun" w:cs="Arial"/>
                <w:color w:val="000000" w:themeColor="text1"/>
                <w:sz w:val="20"/>
                <w:szCs w:val="20"/>
              </w:rPr>
            </w:pPr>
            <w:r>
              <w:rPr>
                <w:rFonts w:cs="Arial"/>
                <w:sz w:val="20"/>
                <w:szCs w:val="20"/>
              </w:rPr>
              <w:t xml:space="preserve">Superior is very calm and very organized in </w:t>
            </w:r>
            <w:proofErr w:type="gramStart"/>
            <w:r>
              <w:rPr>
                <w:rFonts w:cs="Arial"/>
                <w:sz w:val="20"/>
                <w:szCs w:val="20"/>
              </w:rPr>
              <w:t>making a plan</w:t>
            </w:r>
            <w:proofErr w:type="gramEnd"/>
            <w:r>
              <w:rPr>
                <w:rFonts w:cs="Arial"/>
                <w:sz w:val="20"/>
                <w:szCs w:val="20"/>
              </w:rPr>
              <w:t>.</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4.37</w:t>
            </w:r>
          </w:p>
        </w:tc>
        <w:tc>
          <w:tcPr>
            <w:tcW w:w="120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0.70</w:t>
            </w:r>
          </w:p>
        </w:tc>
        <w:tc>
          <w:tcPr>
            <w:tcW w:w="149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0"/>
              </w:numPr>
              <w:spacing w:line="240" w:lineRule="auto"/>
              <w:rPr>
                <w:rFonts w:cs="Arial"/>
                <w:sz w:val="20"/>
                <w:szCs w:val="20"/>
              </w:rPr>
            </w:pPr>
            <w:r>
              <w:rPr>
                <w:rFonts w:cs="Arial"/>
                <w:sz w:val="20"/>
                <w:szCs w:val="20"/>
              </w:rPr>
              <w:t>Superior understands problem and or excuses.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4.30</w:t>
            </w:r>
          </w:p>
        </w:tc>
        <w:tc>
          <w:tcPr>
            <w:tcW w:w="1202"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0.72</w:t>
            </w:r>
          </w:p>
        </w:tc>
        <w:tc>
          <w:tcPr>
            <w:tcW w:w="1498" w:type="dxa"/>
            <w:tcBorders>
              <w:left w:val="nil"/>
              <w:right w:val="nil"/>
            </w:tcBorders>
            <w:vAlign w:val="center"/>
          </w:tcPr>
          <w:p w:rsidR="00A034AA" w:rsidRDefault="00211741">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0"/>
              </w:numPr>
              <w:spacing w:line="240" w:lineRule="auto"/>
              <w:rPr>
                <w:rFonts w:eastAsia="SimSun" w:cs="Arial"/>
                <w:color w:val="000000" w:themeColor="text1"/>
                <w:sz w:val="20"/>
                <w:szCs w:val="20"/>
              </w:rPr>
            </w:pPr>
            <w:r>
              <w:rPr>
                <w:rFonts w:cs="Arial"/>
                <w:sz w:val="20"/>
                <w:szCs w:val="20"/>
              </w:rPr>
              <w:t>Superior promotes an atmosphere of teamwork.</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4.33</w:t>
            </w:r>
          </w:p>
        </w:tc>
        <w:tc>
          <w:tcPr>
            <w:tcW w:w="120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0.70</w:t>
            </w:r>
          </w:p>
        </w:tc>
        <w:tc>
          <w:tcPr>
            <w:tcW w:w="149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0"/>
              </w:numPr>
              <w:spacing w:line="240" w:lineRule="auto"/>
              <w:rPr>
                <w:sz w:val="20"/>
                <w:szCs w:val="20"/>
              </w:rPr>
            </w:pPr>
            <w:r>
              <w:rPr>
                <w:rFonts w:cs="Arial"/>
                <w:sz w:val="20"/>
                <w:szCs w:val="20"/>
              </w:rPr>
              <w:t>Superior has his/her own rules and regulations in the organization.</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4.28</w:t>
            </w:r>
          </w:p>
        </w:tc>
        <w:tc>
          <w:tcPr>
            <w:tcW w:w="1202"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0.74</w:t>
            </w:r>
          </w:p>
        </w:tc>
        <w:tc>
          <w:tcPr>
            <w:tcW w:w="1498" w:type="dxa"/>
            <w:tcBorders>
              <w:left w:val="nil"/>
              <w:right w:val="nil"/>
            </w:tcBorders>
            <w:vAlign w:val="center"/>
          </w:tcPr>
          <w:p w:rsidR="00A034AA" w:rsidRDefault="00211741">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0"/>
              </w:numPr>
              <w:spacing w:line="240" w:lineRule="auto"/>
              <w:rPr>
                <w:rFonts w:eastAsia="SimSun" w:cs="Arial"/>
                <w:color w:val="000000" w:themeColor="text1"/>
                <w:sz w:val="20"/>
                <w:szCs w:val="20"/>
              </w:rPr>
            </w:pPr>
            <w:r>
              <w:rPr>
                <w:rFonts w:cs="Arial"/>
                <w:sz w:val="20"/>
                <w:szCs w:val="20"/>
              </w:rPr>
              <w:t>The superior is approachable compared to the previous superior.</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4.24</w:t>
            </w:r>
          </w:p>
        </w:tc>
        <w:tc>
          <w:tcPr>
            <w:tcW w:w="1202"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0.80</w:t>
            </w:r>
          </w:p>
        </w:tc>
        <w:tc>
          <w:tcPr>
            <w:tcW w:w="1498"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A034AA">
        <w:trPr>
          <w:trHeight w:val="254"/>
        </w:trPr>
        <w:tc>
          <w:tcPr>
            <w:tcW w:w="5220" w:type="dxa"/>
            <w:tcBorders>
              <w:left w:val="nil"/>
              <w:right w:val="nil"/>
            </w:tcBorders>
          </w:tcPr>
          <w:p w:rsidR="00A034AA" w:rsidRDefault="00211741">
            <w:pPr>
              <w:spacing w:after="0" w:line="240" w:lineRule="auto"/>
              <w:jc w:val="center"/>
              <w:rPr>
                <w:rFonts w:ascii="Arial" w:hAnsi="Arial" w:cs="Arial"/>
                <w:color w:val="000000" w:themeColor="text1"/>
                <w:sz w:val="20"/>
                <w:szCs w:val="20"/>
              </w:rPr>
            </w:pPr>
            <w:r>
              <w:rPr>
                <w:rFonts w:ascii="Arial" w:hAnsi="Arial" w:cs="Arial"/>
                <w:sz w:val="20"/>
                <w:szCs w:val="20"/>
              </w:rPr>
              <w:t>Average</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4.32</w:t>
            </w:r>
          </w:p>
        </w:tc>
        <w:tc>
          <w:tcPr>
            <w:tcW w:w="1202"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0.60</w:t>
            </w:r>
          </w:p>
        </w:tc>
        <w:tc>
          <w:tcPr>
            <w:tcW w:w="1498"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Very Satisfied</w:t>
            </w:r>
          </w:p>
        </w:tc>
      </w:tr>
    </w:tbl>
    <w:p w:rsidR="00A034AA" w:rsidRDefault="00A034AA">
      <w:pPr>
        <w:spacing w:after="0" w:line="240" w:lineRule="auto"/>
        <w:rPr>
          <w:rFonts w:ascii="Arial" w:hAnsi="Arial" w:cs="Arial"/>
          <w:b/>
          <w:sz w:val="20"/>
          <w:szCs w:val="20"/>
        </w:rPr>
      </w:pPr>
    </w:p>
    <w:p w:rsidR="00A034AA" w:rsidRDefault="00211741">
      <w:pPr>
        <w:pStyle w:val="NormalWeb"/>
        <w:spacing w:beforeAutospacing="0" w:afterAutospacing="0"/>
        <w:ind w:firstLine="720"/>
        <w:jc w:val="both"/>
        <w:rPr>
          <w:rFonts w:ascii="Arial" w:hAnsi="Arial" w:cs="Arial"/>
          <w:sz w:val="20"/>
          <w:szCs w:val="20"/>
        </w:rPr>
      </w:pPr>
      <w:bookmarkStart w:id="1" w:name="_Toc200367562"/>
      <w:r>
        <w:rPr>
          <w:rStyle w:val="Strong"/>
          <w:rFonts w:ascii="Arial" w:hAnsi="Arial" w:cs="Arial"/>
          <w:b w:val="0"/>
          <w:bCs w:val="0"/>
          <w:sz w:val="20"/>
          <w:szCs w:val="20"/>
        </w:rPr>
        <w:t xml:space="preserve">Presented in Table 7 </w:t>
      </w:r>
      <w:r>
        <w:rPr>
          <w:rStyle w:val="Strong"/>
          <w:rFonts w:ascii="Arial" w:hAnsi="Arial" w:cs="Arial"/>
          <w:b w:val="0"/>
          <w:bCs w:val="0"/>
          <w:sz w:val="20"/>
          <w:szCs w:val="20"/>
        </w:rPr>
        <w:t>is the level of employee job satisfaction in terms of supervision.</w:t>
      </w:r>
      <w:r>
        <w:rPr>
          <w:rFonts w:ascii="Arial" w:hAnsi="Arial" w:cs="Arial"/>
          <w:sz w:val="20"/>
          <w:szCs w:val="20"/>
        </w:rPr>
        <w:t xml:space="preserve"> It has an overall mean score of 4.32 with a standard deviation of 0.60, indicating that employees of the LGU of Boston were very satisfied with the supervision they received. This suggested</w:t>
      </w:r>
      <w:r>
        <w:rPr>
          <w:rFonts w:ascii="Arial" w:hAnsi="Arial" w:cs="Arial"/>
          <w:sz w:val="20"/>
          <w:szCs w:val="20"/>
        </w:rPr>
        <w:t xml:space="preserve"> strong confidence in leadership and the presence of supportive management. These findings support </w:t>
      </w:r>
      <w:proofErr w:type="spellStart"/>
      <w:r>
        <w:rPr>
          <w:rFonts w:ascii="Arial" w:hAnsi="Arial" w:cs="Arial"/>
          <w:sz w:val="20"/>
          <w:szCs w:val="20"/>
        </w:rPr>
        <w:t>Herawati</w:t>
      </w:r>
      <w:proofErr w:type="spellEnd"/>
      <w:r>
        <w:rPr>
          <w:rFonts w:ascii="Arial" w:hAnsi="Arial" w:cs="Arial"/>
          <w:sz w:val="20"/>
          <w:szCs w:val="20"/>
        </w:rPr>
        <w:t xml:space="preserve"> et al. (2023), who state that effective supervision significantly enhances job satisfaction, and </w:t>
      </w:r>
      <w:proofErr w:type="spellStart"/>
      <w:r>
        <w:rPr>
          <w:rFonts w:ascii="Arial" w:hAnsi="Arial" w:cs="Arial"/>
          <w:sz w:val="20"/>
          <w:szCs w:val="20"/>
        </w:rPr>
        <w:t>Padhy</w:t>
      </w:r>
      <w:proofErr w:type="spellEnd"/>
      <w:r>
        <w:rPr>
          <w:rFonts w:ascii="Arial" w:hAnsi="Arial" w:cs="Arial"/>
          <w:sz w:val="20"/>
          <w:szCs w:val="20"/>
        </w:rPr>
        <w:t xml:space="preserve"> et al. (2024), who emphasized that emotionall</w:t>
      </w:r>
      <w:r>
        <w:rPr>
          <w:rFonts w:ascii="Arial" w:hAnsi="Arial" w:cs="Arial"/>
          <w:sz w:val="20"/>
          <w:szCs w:val="20"/>
        </w:rPr>
        <w:t>y intelligent supervisors boost morale and employee engagement.</w:t>
      </w:r>
    </w:p>
    <w:p w:rsidR="00A034AA" w:rsidRDefault="00A034AA">
      <w:pPr>
        <w:pStyle w:val="NormalWeb"/>
        <w:spacing w:beforeAutospacing="0" w:afterAutospacing="0"/>
        <w:jc w:val="both"/>
        <w:rPr>
          <w:rFonts w:ascii="Arial" w:hAnsi="Arial" w:cs="Arial"/>
          <w:sz w:val="20"/>
          <w:szCs w:val="20"/>
        </w:rPr>
      </w:pPr>
    </w:p>
    <w:p w:rsidR="00A034AA" w:rsidRDefault="00211741">
      <w:pPr>
        <w:spacing w:after="0" w:line="240" w:lineRule="auto"/>
        <w:rPr>
          <w:rFonts w:ascii="Arial" w:hAnsi="Arial" w:cs="Arial"/>
          <w:b/>
          <w:bCs/>
          <w:sz w:val="20"/>
          <w:szCs w:val="20"/>
        </w:rPr>
      </w:pPr>
      <w:r>
        <w:rPr>
          <w:rFonts w:ascii="Arial" w:hAnsi="Arial" w:cs="Arial"/>
          <w:sz w:val="20"/>
          <w:szCs w:val="20"/>
        </w:rPr>
        <w:t xml:space="preserve">Table </w:t>
      </w:r>
      <w:r>
        <w:rPr>
          <w:rFonts w:ascii="Arial" w:hAnsi="Arial" w:cs="Arial"/>
          <w:sz w:val="20"/>
          <w:szCs w:val="20"/>
          <w:lang w:val="en-US"/>
        </w:rPr>
        <w:t>8</w:t>
      </w:r>
      <w:r>
        <w:rPr>
          <w:rFonts w:ascii="Arial" w:hAnsi="Arial" w:cs="Arial"/>
          <w:sz w:val="20"/>
          <w:szCs w:val="20"/>
        </w:rPr>
        <w:t>. Level of Employee Job Satisfaction in the LGU in Terms of Co-Workers' Relations</w:t>
      </w:r>
    </w:p>
    <w:tbl>
      <w:tblPr>
        <w:tblStyle w:val="TableGrid"/>
        <w:tblpPr w:leftFromText="180" w:rightFromText="180" w:vertAnchor="text" w:horzAnchor="margin" w:tblpY="14"/>
        <w:tblW w:w="8730" w:type="dxa"/>
        <w:tblLayout w:type="fixed"/>
        <w:tblLook w:val="04A0" w:firstRow="1" w:lastRow="0" w:firstColumn="1" w:lastColumn="0" w:noHBand="0" w:noVBand="1"/>
      </w:tblPr>
      <w:tblGrid>
        <w:gridCol w:w="5220"/>
        <w:gridCol w:w="810"/>
        <w:gridCol w:w="1080"/>
        <w:gridCol w:w="124"/>
        <w:gridCol w:w="1496"/>
      </w:tblGrid>
      <w:tr w:rsidR="00A034AA">
        <w:tc>
          <w:tcPr>
            <w:tcW w:w="5220" w:type="dxa"/>
            <w:tcBorders>
              <w:left w:val="nil"/>
              <w:right w:val="nil"/>
            </w:tcBorders>
            <w:vAlign w:val="center"/>
          </w:tcPr>
          <w:p w:rsidR="00A034AA" w:rsidRDefault="00211741">
            <w:pPr>
              <w:spacing w:after="0" w:line="240" w:lineRule="auto"/>
              <w:jc w:val="center"/>
              <w:rPr>
                <w:rFonts w:ascii="Arial" w:hAnsi="Arial"/>
                <w:sz w:val="20"/>
                <w:szCs w:val="20"/>
              </w:rPr>
            </w:pPr>
            <w:r>
              <w:rPr>
                <w:rFonts w:ascii="Arial" w:hAnsi="Arial" w:cs="Arial"/>
                <w:b/>
                <w:bCs/>
                <w:color w:val="000000" w:themeColor="text1"/>
                <w:sz w:val="20"/>
                <w:szCs w:val="20"/>
                <w:lang w:val="en-US"/>
              </w:rPr>
              <w:t>Statements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b/>
                <w:bCs/>
                <w:color w:val="000000" w:themeColor="text1"/>
                <w:sz w:val="20"/>
                <w:szCs w:val="20"/>
                <w:lang w:eastAsia="en-PH"/>
              </w:rPr>
              <w:t>Mean</w:t>
            </w:r>
          </w:p>
        </w:tc>
        <w:tc>
          <w:tcPr>
            <w:tcW w:w="1204" w:type="dxa"/>
            <w:gridSpan w:val="2"/>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b/>
                <w:bCs/>
                <w:color w:val="000000" w:themeColor="text1"/>
                <w:sz w:val="20"/>
                <w:szCs w:val="20"/>
                <w:lang w:eastAsia="en-PH"/>
              </w:rPr>
              <w:t>Std. Deviation</w:t>
            </w:r>
          </w:p>
        </w:tc>
        <w:tc>
          <w:tcPr>
            <w:tcW w:w="1496" w:type="dxa"/>
            <w:tcBorders>
              <w:left w:val="nil"/>
              <w:right w:val="nil"/>
            </w:tcBorders>
            <w:vAlign w:val="center"/>
          </w:tcPr>
          <w:p w:rsidR="00A034AA" w:rsidRDefault="00211741">
            <w:pPr>
              <w:spacing w:after="0" w:line="240" w:lineRule="auto"/>
              <w:jc w:val="center"/>
              <w:rPr>
                <w:rFonts w:ascii="Arial" w:eastAsia="Times New Roman" w:hAnsi="Arial" w:cs="Arial"/>
                <w:sz w:val="20"/>
                <w:szCs w:val="20"/>
                <w:lang w:eastAsia="en-PH"/>
              </w:rPr>
            </w:pPr>
            <w:r>
              <w:rPr>
                <w:rFonts w:ascii="Arial" w:eastAsia="Times New Roman" w:hAnsi="Arial" w:cs="Arial"/>
                <w:b/>
                <w:bCs/>
                <w:color w:val="000000" w:themeColor="text1"/>
                <w:sz w:val="20"/>
                <w:szCs w:val="20"/>
              </w:rPr>
              <w:t>Description</w:t>
            </w:r>
          </w:p>
        </w:tc>
      </w:tr>
      <w:tr w:rsidR="00A034AA">
        <w:tc>
          <w:tcPr>
            <w:tcW w:w="5220" w:type="dxa"/>
            <w:tcBorders>
              <w:left w:val="nil"/>
              <w:right w:val="nil"/>
            </w:tcBorders>
          </w:tcPr>
          <w:p w:rsidR="00A034AA" w:rsidRDefault="00211741">
            <w:pPr>
              <w:pStyle w:val="ListParagraph"/>
              <w:numPr>
                <w:ilvl w:val="0"/>
                <w:numId w:val="11"/>
              </w:numPr>
              <w:spacing w:line="240" w:lineRule="auto"/>
              <w:rPr>
                <w:rFonts w:eastAsia="SimSun" w:cs="Arial"/>
                <w:color w:val="000000" w:themeColor="text1"/>
                <w:sz w:val="20"/>
                <w:szCs w:val="20"/>
              </w:rPr>
            </w:pPr>
            <w:r>
              <w:rPr>
                <w:sz w:val="20"/>
                <w:szCs w:val="20"/>
              </w:rPr>
              <w:t>The people in the workplace are likable.</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4.44</w:t>
            </w:r>
          </w:p>
        </w:tc>
        <w:tc>
          <w:tcPr>
            <w:tcW w:w="108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0.74</w:t>
            </w:r>
          </w:p>
        </w:tc>
        <w:tc>
          <w:tcPr>
            <w:tcW w:w="1620" w:type="dxa"/>
            <w:gridSpan w:val="2"/>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 xml:space="preserve">Very </w:t>
            </w:r>
            <w:r>
              <w:rPr>
                <w:rFonts w:ascii="Arial" w:eastAsia="Times New Roman" w:hAnsi="Arial" w:cs="Arial"/>
                <w:sz w:val="20"/>
                <w:szCs w:val="20"/>
                <w:lang w:eastAsia="en-PH"/>
              </w:rPr>
              <w:t>Satisfied</w:t>
            </w:r>
          </w:p>
        </w:tc>
      </w:tr>
      <w:tr w:rsidR="00A034AA">
        <w:tc>
          <w:tcPr>
            <w:tcW w:w="5220" w:type="dxa"/>
            <w:tcBorders>
              <w:left w:val="nil"/>
              <w:right w:val="nil"/>
            </w:tcBorders>
          </w:tcPr>
          <w:p w:rsidR="00A034AA" w:rsidRDefault="00211741">
            <w:pPr>
              <w:pStyle w:val="ListParagraph"/>
              <w:numPr>
                <w:ilvl w:val="0"/>
                <w:numId w:val="11"/>
              </w:numPr>
              <w:spacing w:line="240" w:lineRule="auto"/>
              <w:rPr>
                <w:rFonts w:eastAsia="SimSun" w:cs="Arial"/>
                <w:color w:val="000000" w:themeColor="text1"/>
                <w:sz w:val="20"/>
                <w:szCs w:val="20"/>
              </w:rPr>
            </w:pPr>
            <w:r>
              <w:rPr>
                <w:sz w:val="20"/>
                <w:szCs w:val="20"/>
              </w:rPr>
              <w:lastRenderedPageBreak/>
              <w:t xml:space="preserve"> Interactions with co-workers are enjoyable and comfortable.</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4.43</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0.67</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1"/>
              </w:numPr>
              <w:spacing w:line="240" w:lineRule="auto"/>
              <w:rPr>
                <w:rFonts w:eastAsia="SimSun" w:cs="Arial"/>
                <w:color w:val="000000" w:themeColor="text1"/>
                <w:sz w:val="20"/>
                <w:szCs w:val="20"/>
              </w:rPr>
            </w:pPr>
            <w:r>
              <w:rPr>
                <w:sz w:val="20"/>
                <w:szCs w:val="20"/>
              </w:rPr>
              <w:t>Assistance from co-workers is always accessible.</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4.49</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0.64</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1"/>
              </w:numPr>
              <w:spacing w:line="240" w:lineRule="auto"/>
              <w:rPr>
                <w:rFonts w:eastAsia="SimSun" w:cs="Arial"/>
                <w:color w:val="000000" w:themeColor="text1"/>
                <w:sz w:val="20"/>
                <w:szCs w:val="20"/>
              </w:rPr>
            </w:pPr>
            <w:r>
              <w:rPr>
                <w:sz w:val="20"/>
                <w:szCs w:val="20"/>
              </w:rPr>
              <w:t>Co-workers actively share ideas during work planning.</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4.46</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0.66</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1"/>
              </w:numPr>
              <w:spacing w:line="240" w:lineRule="auto"/>
              <w:rPr>
                <w:rFonts w:cs="Arial"/>
                <w:sz w:val="20"/>
                <w:szCs w:val="20"/>
              </w:rPr>
            </w:pPr>
            <w:r>
              <w:rPr>
                <w:sz w:val="20"/>
                <w:szCs w:val="20"/>
              </w:rPr>
              <w:t>Strong relationships with co-workers are maintained.</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4.46</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0.72</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1"/>
              </w:numPr>
              <w:spacing w:line="240" w:lineRule="auto"/>
              <w:rPr>
                <w:rFonts w:eastAsia="SimSun" w:cs="Arial"/>
                <w:color w:val="000000" w:themeColor="text1"/>
                <w:sz w:val="20"/>
                <w:szCs w:val="20"/>
              </w:rPr>
            </w:pPr>
            <w:r>
              <w:rPr>
                <w:sz w:val="20"/>
                <w:szCs w:val="20"/>
              </w:rPr>
              <w:t>Collaboration helps in addressing organizational problems.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4.42</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0.73</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1"/>
              </w:numPr>
              <w:spacing w:line="240" w:lineRule="auto"/>
              <w:rPr>
                <w:sz w:val="20"/>
                <w:szCs w:val="20"/>
              </w:rPr>
            </w:pPr>
            <w:r>
              <w:rPr>
                <w:sz w:val="20"/>
                <w:szCs w:val="20"/>
              </w:rPr>
              <w:t>Workplace interactions contribute to personal growth.</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4.46</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0.70</w:t>
            </w:r>
          </w:p>
        </w:tc>
        <w:tc>
          <w:tcPr>
            <w:tcW w:w="1620" w:type="dxa"/>
            <w:gridSpan w:val="2"/>
            <w:tcBorders>
              <w:left w:val="nil"/>
              <w:right w:val="nil"/>
            </w:tcBorders>
            <w:vAlign w:val="center"/>
          </w:tcPr>
          <w:p w:rsidR="00A034AA" w:rsidRDefault="00211741">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A034AA">
        <w:trPr>
          <w:trHeight w:val="254"/>
        </w:trPr>
        <w:tc>
          <w:tcPr>
            <w:tcW w:w="5220" w:type="dxa"/>
            <w:tcBorders>
              <w:left w:val="nil"/>
              <w:right w:val="nil"/>
            </w:tcBorders>
          </w:tcPr>
          <w:p w:rsidR="00A034AA" w:rsidRDefault="00211741">
            <w:pPr>
              <w:spacing w:after="0" w:line="240" w:lineRule="auto"/>
              <w:jc w:val="center"/>
              <w:rPr>
                <w:rFonts w:ascii="Arial" w:hAnsi="Arial" w:cs="Arial"/>
                <w:color w:val="000000" w:themeColor="text1"/>
                <w:sz w:val="20"/>
                <w:szCs w:val="20"/>
              </w:rPr>
            </w:pPr>
            <w:r>
              <w:rPr>
                <w:rFonts w:ascii="Arial" w:hAnsi="Arial" w:cs="Arial"/>
                <w:sz w:val="20"/>
                <w:szCs w:val="20"/>
              </w:rPr>
              <w:t>Average</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4.45</w:t>
            </w:r>
          </w:p>
        </w:tc>
        <w:tc>
          <w:tcPr>
            <w:tcW w:w="108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0.61</w:t>
            </w:r>
          </w:p>
        </w:tc>
        <w:tc>
          <w:tcPr>
            <w:tcW w:w="1620" w:type="dxa"/>
            <w:gridSpan w:val="2"/>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Very Satisfied</w:t>
            </w:r>
          </w:p>
        </w:tc>
      </w:tr>
    </w:tbl>
    <w:p w:rsidR="00A034AA" w:rsidRDefault="00A034AA">
      <w:pPr>
        <w:pStyle w:val="NormalWeb"/>
        <w:spacing w:beforeAutospacing="0" w:afterAutospacing="0"/>
        <w:jc w:val="both"/>
        <w:rPr>
          <w:rStyle w:val="Strong"/>
          <w:rFonts w:ascii="Arial" w:hAnsi="Arial" w:cs="Arial"/>
          <w:b w:val="0"/>
          <w:bCs w:val="0"/>
          <w:sz w:val="20"/>
          <w:szCs w:val="20"/>
        </w:rPr>
      </w:pPr>
    </w:p>
    <w:p w:rsidR="00A034AA" w:rsidRDefault="00211741">
      <w:pPr>
        <w:pStyle w:val="NormalWeb"/>
        <w:spacing w:beforeAutospacing="0" w:afterAutospacing="0"/>
        <w:ind w:firstLine="720"/>
        <w:jc w:val="both"/>
        <w:rPr>
          <w:rFonts w:ascii="Arial" w:hAnsi="Arial" w:cs="Arial"/>
          <w:sz w:val="20"/>
          <w:szCs w:val="20"/>
        </w:rPr>
      </w:pPr>
      <w:r>
        <w:rPr>
          <w:rStyle w:val="Strong"/>
          <w:rFonts w:ascii="Arial" w:hAnsi="Arial" w:cs="Arial"/>
          <w:b w:val="0"/>
          <w:bCs w:val="0"/>
          <w:sz w:val="20"/>
          <w:szCs w:val="20"/>
        </w:rPr>
        <w:t>Presented in Table 8 is the level of employee job satisfaction in terms of co-worker relationships.</w:t>
      </w:r>
      <w:r>
        <w:rPr>
          <w:rFonts w:ascii="Arial" w:hAnsi="Arial" w:cs="Arial"/>
          <w:sz w:val="20"/>
          <w:szCs w:val="20"/>
        </w:rPr>
        <w:t xml:space="preserve"> It has a high overall mean score of 4.45, indicating that employees of the LGU of Boston were very satisfied with their relationships with co-workers. This reflected a strong sense of camaraderie, teamwork, and mutual support in the workplace. These findi</w:t>
      </w:r>
      <w:r>
        <w:rPr>
          <w:rFonts w:ascii="Arial" w:hAnsi="Arial" w:cs="Arial"/>
          <w:sz w:val="20"/>
          <w:szCs w:val="20"/>
        </w:rPr>
        <w:t xml:space="preserve">ngs supported Meredith et al. (2023), who noted that positive peer interactions enhance collaboration and job satisfaction, and </w:t>
      </w:r>
      <w:proofErr w:type="spellStart"/>
      <w:r>
        <w:rPr>
          <w:rFonts w:ascii="Arial" w:hAnsi="Arial" w:cs="Arial"/>
          <w:sz w:val="20"/>
          <w:szCs w:val="20"/>
        </w:rPr>
        <w:t>Jes</w:t>
      </w:r>
      <w:proofErr w:type="spellEnd"/>
      <w:r>
        <w:rPr>
          <w:rFonts w:ascii="Arial" w:hAnsi="Arial" w:cs="Arial"/>
          <w:sz w:val="20"/>
          <w:szCs w:val="20"/>
        </w:rPr>
        <w:t xml:space="preserve"> Bella (2023), who emphasized that supportive co-worker relations boost morale and contribute to a cohesive organizational cu</w:t>
      </w:r>
      <w:r>
        <w:rPr>
          <w:rFonts w:ascii="Arial" w:hAnsi="Arial" w:cs="Arial"/>
          <w:sz w:val="20"/>
          <w:szCs w:val="20"/>
        </w:rPr>
        <w:t>lture.</w:t>
      </w:r>
    </w:p>
    <w:p w:rsidR="00A034AA" w:rsidRDefault="00A034AA">
      <w:pPr>
        <w:spacing w:after="0" w:line="240" w:lineRule="auto"/>
        <w:rPr>
          <w:rFonts w:ascii="Arial" w:hAnsi="Arial" w:cs="Arial"/>
          <w:sz w:val="20"/>
          <w:szCs w:val="20"/>
        </w:rPr>
      </w:pPr>
    </w:p>
    <w:p w:rsidR="00A034AA" w:rsidRDefault="00211741">
      <w:pPr>
        <w:spacing w:after="0" w:line="240" w:lineRule="auto"/>
        <w:rPr>
          <w:rFonts w:ascii="Arial" w:hAnsi="Arial" w:cs="Arial"/>
          <w:sz w:val="20"/>
          <w:szCs w:val="20"/>
        </w:rPr>
      </w:pPr>
      <w:r>
        <w:rPr>
          <w:rFonts w:ascii="Arial" w:hAnsi="Arial" w:cs="Arial"/>
          <w:sz w:val="20"/>
          <w:szCs w:val="20"/>
        </w:rPr>
        <w:t xml:space="preserve">Table </w:t>
      </w:r>
      <w:r>
        <w:rPr>
          <w:rFonts w:ascii="Arial" w:hAnsi="Arial" w:cs="Arial"/>
          <w:sz w:val="20"/>
          <w:szCs w:val="20"/>
          <w:lang w:val="en-US"/>
        </w:rPr>
        <w:t>9</w:t>
      </w:r>
      <w:r>
        <w:rPr>
          <w:rFonts w:ascii="Arial" w:hAnsi="Arial" w:cs="Arial"/>
          <w:sz w:val="20"/>
          <w:szCs w:val="20"/>
        </w:rPr>
        <w:t>. Level of Employee Job Satisfaction in the LGU in Terms of Working Condition</w:t>
      </w:r>
    </w:p>
    <w:tbl>
      <w:tblPr>
        <w:tblStyle w:val="TableGrid"/>
        <w:tblpPr w:leftFromText="180" w:rightFromText="180" w:vertAnchor="text" w:horzAnchor="margin" w:tblpY="14"/>
        <w:tblW w:w="8730" w:type="dxa"/>
        <w:tblLayout w:type="fixed"/>
        <w:tblLook w:val="04A0" w:firstRow="1" w:lastRow="0" w:firstColumn="1" w:lastColumn="0" w:noHBand="0" w:noVBand="1"/>
      </w:tblPr>
      <w:tblGrid>
        <w:gridCol w:w="5220"/>
        <w:gridCol w:w="810"/>
        <w:gridCol w:w="1080"/>
        <w:gridCol w:w="1620"/>
      </w:tblGrid>
      <w:tr w:rsidR="00A034AA">
        <w:tc>
          <w:tcPr>
            <w:tcW w:w="5220" w:type="dxa"/>
            <w:tcBorders>
              <w:left w:val="nil"/>
              <w:right w:val="nil"/>
            </w:tcBorders>
          </w:tcPr>
          <w:p w:rsidR="00A034AA" w:rsidRDefault="00211741">
            <w:pPr>
              <w:pStyle w:val="ListParagraph"/>
              <w:numPr>
                <w:ilvl w:val="0"/>
                <w:numId w:val="12"/>
              </w:numPr>
              <w:spacing w:line="240" w:lineRule="auto"/>
              <w:rPr>
                <w:rFonts w:eastAsia="SimSun" w:cs="Arial"/>
                <w:color w:val="000000" w:themeColor="text1"/>
                <w:sz w:val="20"/>
                <w:szCs w:val="20"/>
              </w:rPr>
            </w:pPr>
            <w:r>
              <w:rPr>
                <w:sz w:val="20"/>
                <w:szCs w:val="20"/>
              </w:rPr>
              <w:t>Work tasks are manageable without difficulties.</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4.28</w:t>
            </w:r>
          </w:p>
        </w:tc>
        <w:tc>
          <w:tcPr>
            <w:tcW w:w="108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0.82</w:t>
            </w:r>
          </w:p>
        </w:tc>
        <w:tc>
          <w:tcPr>
            <w:tcW w:w="162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2"/>
              </w:numPr>
              <w:spacing w:line="240" w:lineRule="auto"/>
              <w:rPr>
                <w:rFonts w:eastAsia="SimSun" w:cs="Arial"/>
                <w:color w:val="000000" w:themeColor="text1"/>
                <w:sz w:val="20"/>
                <w:szCs w:val="20"/>
              </w:rPr>
            </w:pPr>
            <w:r>
              <w:rPr>
                <w:sz w:val="20"/>
                <w:szCs w:val="20"/>
              </w:rPr>
              <w:t>The workplace environment encourages better performance.</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4.47</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0.61</w:t>
            </w:r>
          </w:p>
        </w:tc>
        <w:tc>
          <w:tcPr>
            <w:tcW w:w="162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2"/>
              </w:numPr>
              <w:spacing w:line="240" w:lineRule="auto"/>
              <w:rPr>
                <w:rFonts w:eastAsia="SimSun" w:cs="Arial"/>
                <w:color w:val="000000" w:themeColor="text1"/>
                <w:sz w:val="20"/>
                <w:szCs w:val="20"/>
              </w:rPr>
            </w:pPr>
            <w:r>
              <w:rPr>
                <w:sz w:val="20"/>
                <w:szCs w:val="20"/>
              </w:rPr>
              <w:t>Working conditions are the best experienced.</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4.33</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0.76</w:t>
            </w:r>
          </w:p>
        </w:tc>
        <w:tc>
          <w:tcPr>
            <w:tcW w:w="162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2"/>
              </w:numPr>
              <w:spacing w:line="240" w:lineRule="auto"/>
              <w:rPr>
                <w:sz w:val="20"/>
                <w:szCs w:val="20"/>
              </w:rPr>
            </w:pPr>
            <w:r>
              <w:rPr>
                <w:sz w:val="20"/>
                <w:szCs w:val="20"/>
              </w:rPr>
              <w:t>The workplace is pleasant.</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4.43</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0.66</w:t>
            </w:r>
          </w:p>
        </w:tc>
        <w:tc>
          <w:tcPr>
            <w:tcW w:w="1620" w:type="dxa"/>
            <w:tcBorders>
              <w:left w:val="nil"/>
              <w:right w:val="nil"/>
            </w:tcBorders>
            <w:vAlign w:val="center"/>
          </w:tcPr>
          <w:p w:rsidR="00A034AA" w:rsidRDefault="00211741">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2"/>
              </w:numPr>
              <w:spacing w:line="240" w:lineRule="auto"/>
              <w:rPr>
                <w:sz w:val="20"/>
                <w:szCs w:val="20"/>
              </w:rPr>
            </w:pPr>
            <w:r>
              <w:rPr>
                <w:sz w:val="20"/>
                <w:szCs w:val="20"/>
              </w:rPr>
              <w:t>Personal growth is achieved through learning various skills.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4.52</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0.62</w:t>
            </w:r>
          </w:p>
        </w:tc>
        <w:tc>
          <w:tcPr>
            <w:tcW w:w="1620" w:type="dxa"/>
            <w:tcBorders>
              <w:left w:val="nil"/>
              <w:right w:val="nil"/>
            </w:tcBorders>
            <w:vAlign w:val="center"/>
          </w:tcPr>
          <w:p w:rsidR="00A034AA" w:rsidRDefault="00211741">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2"/>
              </w:numPr>
              <w:spacing w:line="240" w:lineRule="auto"/>
              <w:rPr>
                <w:sz w:val="20"/>
                <w:szCs w:val="20"/>
              </w:rPr>
            </w:pPr>
            <w:r>
              <w:rPr>
                <w:sz w:val="20"/>
                <w:szCs w:val="20"/>
              </w:rPr>
              <w:t>Workplace ventilation is sufficient.</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4.36</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0.73</w:t>
            </w:r>
          </w:p>
        </w:tc>
        <w:tc>
          <w:tcPr>
            <w:tcW w:w="1620" w:type="dxa"/>
            <w:tcBorders>
              <w:left w:val="nil"/>
              <w:right w:val="nil"/>
            </w:tcBorders>
            <w:vAlign w:val="center"/>
          </w:tcPr>
          <w:p w:rsidR="00A034AA" w:rsidRDefault="00211741">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2"/>
              </w:numPr>
              <w:spacing w:line="240" w:lineRule="auto"/>
              <w:rPr>
                <w:rFonts w:eastAsia="SimSun" w:cs="Arial"/>
                <w:color w:val="000000" w:themeColor="text1"/>
                <w:sz w:val="20"/>
                <w:szCs w:val="20"/>
              </w:rPr>
            </w:pPr>
            <w:r>
              <w:rPr>
                <w:sz w:val="20"/>
                <w:szCs w:val="20"/>
              </w:rPr>
              <w:t xml:space="preserve">Innovation and improvement are encouraged. </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4.46</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0.70</w:t>
            </w:r>
          </w:p>
        </w:tc>
        <w:tc>
          <w:tcPr>
            <w:tcW w:w="162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2"/>
              </w:numPr>
              <w:spacing w:line="240" w:lineRule="auto"/>
              <w:rPr>
                <w:rFonts w:cs="Arial"/>
                <w:sz w:val="20"/>
                <w:szCs w:val="20"/>
              </w:rPr>
            </w:pPr>
            <w:r>
              <w:rPr>
                <w:sz w:val="20"/>
                <w:szCs w:val="20"/>
              </w:rPr>
              <w:t>Necessary leave is allowed in case of illness.</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4.52</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0.65</w:t>
            </w:r>
          </w:p>
        </w:tc>
        <w:tc>
          <w:tcPr>
            <w:tcW w:w="1620" w:type="dxa"/>
            <w:tcBorders>
              <w:left w:val="nil"/>
              <w:right w:val="nil"/>
            </w:tcBorders>
            <w:vAlign w:val="center"/>
          </w:tcPr>
          <w:p w:rsidR="00A034AA" w:rsidRDefault="00211741">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2"/>
              </w:numPr>
              <w:spacing w:line="240" w:lineRule="auto"/>
              <w:rPr>
                <w:rFonts w:eastAsia="SimSun" w:cs="Arial"/>
                <w:color w:val="000000" w:themeColor="text1"/>
                <w:sz w:val="20"/>
                <w:szCs w:val="20"/>
              </w:rPr>
            </w:pPr>
            <w:r>
              <w:rPr>
                <w:sz w:val="20"/>
                <w:szCs w:val="20"/>
              </w:rPr>
              <w:t xml:space="preserve">A proper security system is in place. </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4.28</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0.83</w:t>
            </w:r>
          </w:p>
        </w:tc>
        <w:tc>
          <w:tcPr>
            <w:tcW w:w="1620" w:type="dxa"/>
            <w:tcBorders>
              <w:left w:val="nil"/>
              <w:right w:val="nil"/>
            </w:tcBorders>
            <w:vAlign w:val="center"/>
          </w:tcPr>
          <w:p w:rsidR="00A034AA" w:rsidRDefault="00211741">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A034AA">
        <w:tc>
          <w:tcPr>
            <w:tcW w:w="5220" w:type="dxa"/>
            <w:tcBorders>
              <w:left w:val="nil"/>
              <w:right w:val="nil"/>
            </w:tcBorders>
          </w:tcPr>
          <w:p w:rsidR="00A034AA" w:rsidRDefault="00211741">
            <w:pPr>
              <w:pStyle w:val="ListParagraph"/>
              <w:numPr>
                <w:ilvl w:val="0"/>
                <w:numId w:val="12"/>
              </w:numPr>
              <w:spacing w:line="240" w:lineRule="auto"/>
              <w:rPr>
                <w:sz w:val="20"/>
                <w:szCs w:val="20"/>
              </w:rPr>
            </w:pPr>
            <w:r>
              <w:rPr>
                <w:sz w:val="20"/>
                <w:szCs w:val="20"/>
              </w:rPr>
              <w:t xml:space="preserve">Workplace satisfaction is </w:t>
            </w:r>
            <w:r>
              <w:rPr>
                <w:sz w:val="20"/>
                <w:szCs w:val="20"/>
              </w:rPr>
              <w:t>achieved.</w:t>
            </w:r>
          </w:p>
        </w:tc>
        <w:tc>
          <w:tcPr>
            <w:tcW w:w="81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4.57</w:t>
            </w:r>
          </w:p>
        </w:tc>
        <w:tc>
          <w:tcPr>
            <w:tcW w:w="1080" w:type="dxa"/>
            <w:tcBorders>
              <w:left w:val="nil"/>
              <w:right w:val="nil"/>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0.62</w:t>
            </w:r>
          </w:p>
        </w:tc>
        <w:tc>
          <w:tcPr>
            <w:tcW w:w="1620" w:type="dxa"/>
            <w:tcBorders>
              <w:left w:val="nil"/>
              <w:right w:val="nil"/>
            </w:tcBorders>
            <w:vAlign w:val="center"/>
          </w:tcPr>
          <w:p w:rsidR="00A034AA" w:rsidRDefault="00211741">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A034AA">
        <w:trPr>
          <w:trHeight w:val="254"/>
        </w:trPr>
        <w:tc>
          <w:tcPr>
            <w:tcW w:w="5220" w:type="dxa"/>
            <w:tcBorders>
              <w:left w:val="nil"/>
              <w:right w:val="nil"/>
            </w:tcBorders>
          </w:tcPr>
          <w:p w:rsidR="00A034AA" w:rsidRDefault="00211741">
            <w:pPr>
              <w:spacing w:after="0" w:line="240" w:lineRule="auto"/>
              <w:jc w:val="center"/>
              <w:rPr>
                <w:rFonts w:ascii="Arial" w:hAnsi="Arial" w:cs="Arial"/>
                <w:color w:val="000000" w:themeColor="text1"/>
                <w:sz w:val="20"/>
                <w:szCs w:val="20"/>
              </w:rPr>
            </w:pPr>
            <w:r>
              <w:rPr>
                <w:rFonts w:ascii="Arial" w:hAnsi="Arial" w:cs="Arial"/>
                <w:sz w:val="20"/>
                <w:szCs w:val="20"/>
              </w:rPr>
              <w:t>Average</w:t>
            </w:r>
          </w:p>
        </w:tc>
        <w:tc>
          <w:tcPr>
            <w:tcW w:w="81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4.42</w:t>
            </w:r>
          </w:p>
        </w:tc>
        <w:tc>
          <w:tcPr>
            <w:tcW w:w="108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0.58</w:t>
            </w:r>
          </w:p>
        </w:tc>
        <w:tc>
          <w:tcPr>
            <w:tcW w:w="1620" w:type="dxa"/>
            <w:tcBorders>
              <w:left w:val="nil"/>
              <w:right w:val="nil"/>
            </w:tcBorders>
            <w:vAlign w:val="center"/>
          </w:tcPr>
          <w:p w:rsidR="00A034AA" w:rsidRDefault="00211741">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Very Satisfied</w:t>
            </w:r>
          </w:p>
        </w:tc>
      </w:tr>
    </w:tbl>
    <w:p w:rsidR="00A034AA" w:rsidRDefault="00A034AA">
      <w:pPr>
        <w:spacing w:after="0" w:line="240" w:lineRule="auto"/>
        <w:ind w:firstLine="720"/>
        <w:jc w:val="both"/>
        <w:rPr>
          <w:rFonts w:ascii="Arial" w:eastAsia="Times New Roman" w:hAnsi="Arial" w:cs="Arial"/>
          <w:bCs/>
          <w:sz w:val="20"/>
          <w:szCs w:val="20"/>
          <w:lang w:eastAsia="en-PH"/>
        </w:rPr>
      </w:pPr>
    </w:p>
    <w:p w:rsidR="00A034AA" w:rsidRDefault="00211741">
      <w:pPr>
        <w:pStyle w:val="NormalWeb"/>
        <w:spacing w:beforeAutospacing="0" w:afterAutospacing="0"/>
        <w:ind w:firstLine="720"/>
        <w:jc w:val="both"/>
        <w:rPr>
          <w:rFonts w:ascii="Arial" w:hAnsi="Arial" w:cs="Arial"/>
          <w:sz w:val="20"/>
          <w:szCs w:val="20"/>
        </w:rPr>
      </w:pPr>
      <w:r>
        <w:rPr>
          <w:rFonts w:ascii="Arial" w:hAnsi="Arial" w:cs="Arial"/>
          <w:sz w:val="20"/>
          <w:szCs w:val="20"/>
        </w:rPr>
        <w:t>Presented in Table 9 is the level of employee job satisfaction in terms of working conditions.</w:t>
      </w:r>
      <w:r>
        <w:rPr>
          <w:rFonts w:ascii="Arial" w:hAnsi="Arial" w:cs="Arial"/>
          <w:b/>
          <w:bCs/>
          <w:sz w:val="20"/>
          <w:szCs w:val="20"/>
        </w:rPr>
        <w:t xml:space="preserve"> </w:t>
      </w:r>
      <w:r>
        <w:rPr>
          <w:rFonts w:ascii="Arial" w:hAnsi="Arial" w:cs="Arial"/>
          <w:sz w:val="20"/>
          <w:szCs w:val="20"/>
        </w:rPr>
        <w:t xml:space="preserve">The data showed that employees of the Boston LGU were very satisfied with their working </w:t>
      </w:r>
      <w:r>
        <w:rPr>
          <w:rFonts w:ascii="Arial" w:hAnsi="Arial" w:cs="Arial"/>
          <w:sz w:val="20"/>
          <w:szCs w:val="20"/>
        </w:rPr>
        <w:t>conditions, with an average mean of 4.42 and a standard deviation of 0.58. This reflected a positive perception of the work environment as safe, supportive, and productive. Barton and Le (2023) noted that such environments reduce stress and enhance well-be</w:t>
      </w:r>
      <w:r>
        <w:rPr>
          <w:rFonts w:ascii="Arial" w:hAnsi="Arial" w:cs="Arial"/>
          <w:sz w:val="20"/>
          <w:szCs w:val="20"/>
        </w:rPr>
        <w:t xml:space="preserve">ing, while </w:t>
      </w:r>
      <w:proofErr w:type="spellStart"/>
      <w:r>
        <w:rPr>
          <w:rFonts w:ascii="Arial" w:hAnsi="Arial" w:cs="Arial"/>
          <w:sz w:val="20"/>
          <w:szCs w:val="20"/>
        </w:rPr>
        <w:t>Moscu</w:t>
      </w:r>
      <w:proofErr w:type="spellEnd"/>
      <w:r>
        <w:rPr>
          <w:rFonts w:ascii="Arial" w:hAnsi="Arial" w:cs="Arial"/>
          <w:sz w:val="20"/>
          <w:szCs w:val="20"/>
        </w:rPr>
        <w:t xml:space="preserve"> et al. (2023) emphasized their role in boosting morale, efficiency, and retention, particularly important in high-demand public service roles.</w:t>
      </w:r>
    </w:p>
    <w:p w:rsidR="00A034AA" w:rsidRDefault="00A034AA">
      <w:pPr>
        <w:spacing w:line="240" w:lineRule="auto"/>
        <w:jc w:val="both"/>
        <w:rPr>
          <w:rFonts w:ascii="Arial" w:hAnsi="Arial" w:cs="Arial"/>
          <w:b/>
          <w:sz w:val="20"/>
          <w:szCs w:val="20"/>
        </w:rPr>
      </w:pPr>
    </w:p>
    <w:bookmarkEnd w:id="1"/>
    <w:p w:rsidR="00A034AA" w:rsidRDefault="00211741">
      <w:pPr>
        <w:spacing w:line="240" w:lineRule="auto"/>
        <w:ind w:firstLine="720"/>
        <w:jc w:val="both"/>
        <w:rPr>
          <w:rFonts w:ascii="Arial" w:hAnsi="Arial" w:cs="Arial"/>
          <w:b/>
          <w:bCs/>
          <w:sz w:val="20"/>
          <w:szCs w:val="20"/>
        </w:rPr>
      </w:pPr>
      <w:r>
        <w:rPr>
          <w:rFonts w:ascii="Arial" w:eastAsia="Times New Roman" w:hAnsi="Arial" w:cs="Arial"/>
          <w:b/>
          <w:sz w:val="20"/>
          <w:szCs w:val="20"/>
          <w:lang w:eastAsia="en-PH"/>
        </w:rPr>
        <w:t xml:space="preserve">Relationship </w:t>
      </w:r>
      <w:r>
        <w:rPr>
          <w:rFonts w:ascii="Arial" w:hAnsi="Arial" w:cs="Arial"/>
          <w:b/>
          <w:bCs/>
          <w:sz w:val="20"/>
          <w:szCs w:val="20"/>
        </w:rPr>
        <w:t>Between Organizational Culture and Job Satisfaction</w:t>
      </w:r>
    </w:p>
    <w:p w:rsidR="00A034AA" w:rsidRDefault="00211741">
      <w:pPr>
        <w:spacing w:line="240" w:lineRule="auto"/>
        <w:ind w:firstLine="720"/>
        <w:jc w:val="both"/>
        <w:rPr>
          <w:rFonts w:ascii="Arial" w:hAnsi="Arial" w:cs="Arial"/>
          <w:b/>
          <w:bCs/>
          <w:sz w:val="20"/>
          <w:szCs w:val="20"/>
          <w:lang w:val="en-US"/>
        </w:rPr>
      </w:pPr>
      <w:r>
        <w:rPr>
          <w:rFonts w:ascii="Arial" w:hAnsi="Arial"/>
          <w:sz w:val="20"/>
          <w:szCs w:val="20"/>
        </w:rPr>
        <w:t xml:space="preserve">This section presents the </w:t>
      </w:r>
      <w:r>
        <w:rPr>
          <w:rFonts w:ascii="Arial" w:hAnsi="Arial"/>
          <w:sz w:val="20"/>
          <w:szCs w:val="20"/>
        </w:rPr>
        <w:t>findings on the relationship between organizational culture and employee job satisfaction in the Local Government Unit (LGU) of Boston. Understanding this relationship is essential, as organizational culture plays a critical role in shaping employee attitu</w:t>
      </w:r>
      <w:r>
        <w:rPr>
          <w:rFonts w:ascii="Arial" w:hAnsi="Arial"/>
          <w:sz w:val="20"/>
          <w:szCs w:val="20"/>
        </w:rPr>
        <w:t>des, behaviors, and overall satisfaction in the workplace</w:t>
      </w:r>
      <w:r>
        <w:rPr>
          <w:rFonts w:ascii="Arial" w:hAnsi="Arial"/>
          <w:sz w:val="20"/>
          <w:szCs w:val="20"/>
          <w:lang w:val="en-US"/>
        </w:rPr>
        <w:t>.</w:t>
      </w:r>
    </w:p>
    <w:p w:rsidR="00A034AA" w:rsidRDefault="00211741">
      <w:pPr>
        <w:spacing w:after="0" w:line="240" w:lineRule="auto"/>
        <w:rPr>
          <w:rFonts w:ascii="Arial" w:hAnsi="Arial" w:cs="Arial"/>
          <w:sz w:val="20"/>
          <w:szCs w:val="20"/>
        </w:rPr>
      </w:pPr>
      <w:r>
        <w:rPr>
          <w:rFonts w:ascii="Arial" w:hAnsi="Arial" w:cs="Arial"/>
          <w:sz w:val="20"/>
          <w:szCs w:val="20"/>
        </w:rPr>
        <w:t xml:space="preserve">Table </w:t>
      </w:r>
      <w:r>
        <w:rPr>
          <w:rFonts w:ascii="Arial" w:hAnsi="Arial" w:cs="Arial"/>
          <w:sz w:val="20"/>
          <w:szCs w:val="20"/>
          <w:lang w:val="en-US"/>
        </w:rPr>
        <w:t>10</w:t>
      </w:r>
      <w:r>
        <w:rPr>
          <w:rFonts w:ascii="Arial" w:hAnsi="Arial" w:cs="Arial"/>
          <w:sz w:val="20"/>
          <w:szCs w:val="20"/>
        </w:rPr>
        <w:t>. Significant Relationship Between Organizational Culture and Job Satisfaction</w:t>
      </w:r>
    </w:p>
    <w:tbl>
      <w:tblPr>
        <w:tblW w:w="8228" w:type="dxa"/>
        <w:tblInd w:w="93" w:type="dxa"/>
        <w:tblLayout w:type="fixed"/>
        <w:tblLook w:val="04A0" w:firstRow="1" w:lastRow="0" w:firstColumn="1" w:lastColumn="0" w:noHBand="0" w:noVBand="1"/>
      </w:tblPr>
      <w:tblGrid>
        <w:gridCol w:w="1183"/>
        <w:gridCol w:w="1247"/>
        <w:gridCol w:w="759"/>
        <w:gridCol w:w="1045"/>
        <w:gridCol w:w="910"/>
        <w:gridCol w:w="943"/>
        <w:gridCol w:w="1012"/>
        <w:gridCol w:w="1129"/>
      </w:tblGrid>
      <w:tr w:rsidR="00A034AA">
        <w:trPr>
          <w:trHeight w:val="320"/>
        </w:trPr>
        <w:tc>
          <w:tcPr>
            <w:tcW w:w="2430" w:type="dxa"/>
            <w:gridSpan w:val="2"/>
            <w:tcBorders>
              <w:top w:val="single" w:sz="4" w:space="0" w:color="auto"/>
              <w:bottom w:val="single" w:sz="4" w:space="0" w:color="auto"/>
            </w:tcBorders>
            <w:vAlign w:val="center"/>
          </w:tcPr>
          <w:p w:rsidR="00A034AA" w:rsidRDefault="00211741">
            <w:pPr>
              <w:spacing w:after="0" w:line="240" w:lineRule="auto"/>
              <w:jc w:val="center"/>
              <w:rPr>
                <w:rFonts w:ascii="Arial" w:eastAsia="Times New Roman" w:hAnsi="Arial" w:cs="Arial"/>
                <w:b/>
                <w:bCs/>
                <w:color w:val="000000"/>
                <w:sz w:val="20"/>
                <w:szCs w:val="20"/>
                <w:lang w:eastAsia="en-PH"/>
              </w:rPr>
            </w:pPr>
            <w:bookmarkStart w:id="2" w:name="_Hlk201057077"/>
            <w:r>
              <w:rPr>
                <w:rFonts w:ascii="Arial" w:eastAsia="Times New Roman" w:hAnsi="Arial" w:cs="Arial"/>
                <w:b/>
                <w:bCs/>
                <w:color w:val="000000"/>
                <w:sz w:val="20"/>
                <w:szCs w:val="20"/>
                <w:lang w:eastAsia="en-PH"/>
              </w:rPr>
              <w:lastRenderedPageBreak/>
              <w:t>Organizational Culture</w:t>
            </w:r>
          </w:p>
        </w:tc>
        <w:tc>
          <w:tcPr>
            <w:tcW w:w="759" w:type="dxa"/>
            <w:tcBorders>
              <w:top w:val="single" w:sz="4" w:space="0" w:color="auto"/>
              <w:bottom w:val="single" w:sz="4" w:space="0" w:color="auto"/>
            </w:tcBorders>
            <w:vAlign w:val="center"/>
          </w:tcPr>
          <w:p w:rsidR="00A034AA" w:rsidRDefault="00211741">
            <w:pPr>
              <w:spacing w:after="0" w:line="240" w:lineRule="auto"/>
              <w:jc w:val="center"/>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Salary</w:t>
            </w:r>
          </w:p>
        </w:tc>
        <w:tc>
          <w:tcPr>
            <w:tcW w:w="1045" w:type="dxa"/>
            <w:tcBorders>
              <w:top w:val="single" w:sz="4" w:space="0" w:color="auto"/>
              <w:bottom w:val="single" w:sz="4" w:space="0" w:color="auto"/>
            </w:tcBorders>
            <w:vAlign w:val="center"/>
          </w:tcPr>
          <w:p w:rsidR="00A034AA" w:rsidRDefault="00211741">
            <w:pPr>
              <w:spacing w:after="0" w:line="240" w:lineRule="auto"/>
              <w:jc w:val="center"/>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Promotion</w:t>
            </w:r>
          </w:p>
        </w:tc>
        <w:tc>
          <w:tcPr>
            <w:tcW w:w="910" w:type="dxa"/>
            <w:tcBorders>
              <w:top w:val="single" w:sz="4" w:space="0" w:color="auto"/>
              <w:bottom w:val="single" w:sz="4" w:space="0" w:color="auto"/>
            </w:tcBorders>
            <w:vAlign w:val="center"/>
          </w:tcPr>
          <w:p w:rsidR="00A034AA" w:rsidRDefault="00211741">
            <w:pPr>
              <w:spacing w:after="0" w:line="240" w:lineRule="auto"/>
              <w:jc w:val="center"/>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Super-</w:t>
            </w:r>
          </w:p>
          <w:p w:rsidR="00A034AA" w:rsidRDefault="00211741">
            <w:pPr>
              <w:spacing w:after="0" w:line="240" w:lineRule="auto"/>
              <w:jc w:val="center"/>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vision</w:t>
            </w:r>
          </w:p>
        </w:tc>
        <w:tc>
          <w:tcPr>
            <w:tcW w:w="943" w:type="dxa"/>
            <w:tcBorders>
              <w:top w:val="single" w:sz="4" w:space="0" w:color="auto"/>
              <w:bottom w:val="single" w:sz="4" w:space="0" w:color="auto"/>
            </w:tcBorders>
            <w:vAlign w:val="center"/>
          </w:tcPr>
          <w:p w:rsidR="00A034AA" w:rsidRDefault="00211741">
            <w:pPr>
              <w:spacing w:after="0" w:line="240" w:lineRule="auto"/>
              <w:jc w:val="center"/>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Co-Worker Relation</w:t>
            </w:r>
          </w:p>
        </w:tc>
        <w:tc>
          <w:tcPr>
            <w:tcW w:w="1012" w:type="dxa"/>
            <w:tcBorders>
              <w:top w:val="single" w:sz="4" w:space="0" w:color="auto"/>
              <w:bottom w:val="single" w:sz="4" w:space="0" w:color="auto"/>
            </w:tcBorders>
            <w:vAlign w:val="center"/>
          </w:tcPr>
          <w:p w:rsidR="00A034AA" w:rsidRDefault="00211741">
            <w:pPr>
              <w:spacing w:after="0" w:line="240" w:lineRule="auto"/>
              <w:jc w:val="center"/>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Working Condition</w:t>
            </w:r>
          </w:p>
        </w:tc>
        <w:tc>
          <w:tcPr>
            <w:tcW w:w="1129" w:type="dxa"/>
            <w:tcBorders>
              <w:top w:val="single" w:sz="4" w:space="0" w:color="auto"/>
              <w:bottom w:val="single" w:sz="4" w:space="0" w:color="auto"/>
            </w:tcBorders>
            <w:vAlign w:val="center"/>
          </w:tcPr>
          <w:p w:rsidR="00A034AA" w:rsidRDefault="00211741">
            <w:pPr>
              <w:spacing w:after="0" w:line="240" w:lineRule="auto"/>
              <w:jc w:val="center"/>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Job Satisfaction</w:t>
            </w:r>
          </w:p>
        </w:tc>
      </w:tr>
      <w:tr w:rsidR="00A034AA">
        <w:trPr>
          <w:trHeight w:val="285"/>
        </w:trPr>
        <w:tc>
          <w:tcPr>
            <w:tcW w:w="1183" w:type="dxa"/>
            <w:vMerge w:val="restart"/>
            <w:tcBorders>
              <w:top w:val="single" w:sz="4" w:space="0" w:color="auto"/>
            </w:tcBorders>
            <w:vAlign w:val="center"/>
          </w:tcPr>
          <w:p w:rsidR="00A034AA" w:rsidRDefault="00211741">
            <w:pPr>
              <w:spacing w:after="0" w:line="240" w:lineRule="auto"/>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Involvement</w:t>
            </w:r>
          </w:p>
        </w:tc>
        <w:tc>
          <w:tcPr>
            <w:tcW w:w="1247" w:type="dxa"/>
            <w:tcBorders>
              <w:top w:val="single" w:sz="4" w:space="0" w:color="auto"/>
            </w:tcBorders>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Pearson Correlation</w:t>
            </w:r>
          </w:p>
        </w:tc>
        <w:tc>
          <w:tcPr>
            <w:tcW w:w="759"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0.176</w:t>
            </w:r>
          </w:p>
        </w:tc>
        <w:tc>
          <w:tcPr>
            <w:tcW w:w="1045"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0.331</w:t>
            </w:r>
          </w:p>
        </w:tc>
        <w:tc>
          <w:tcPr>
            <w:tcW w:w="910"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0.337</w:t>
            </w:r>
          </w:p>
        </w:tc>
        <w:tc>
          <w:tcPr>
            <w:tcW w:w="943"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0.382</w:t>
            </w:r>
          </w:p>
        </w:tc>
        <w:tc>
          <w:tcPr>
            <w:tcW w:w="1012"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0.533</w:t>
            </w:r>
          </w:p>
        </w:tc>
        <w:tc>
          <w:tcPr>
            <w:tcW w:w="1129"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0.488</w:t>
            </w:r>
          </w:p>
        </w:tc>
      </w:tr>
      <w:tr w:rsidR="00A034AA">
        <w:trPr>
          <w:trHeight w:val="90"/>
        </w:trPr>
        <w:tc>
          <w:tcPr>
            <w:tcW w:w="1183" w:type="dxa"/>
            <w:vMerge/>
            <w:vAlign w:val="center"/>
          </w:tcPr>
          <w:p w:rsidR="00A034AA" w:rsidRDefault="00A034AA">
            <w:pPr>
              <w:spacing w:after="0" w:line="240" w:lineRule="auto"/>
              <w:rPr>
                <w:rFonts w:ascii="Arial" w:eastAsia="Times New Roman" w:hAnsi="Arial" w:cs="Arial"/>
                <w:b/>
                <w:bCs/>
                <w:color w:val="000000"/>
                <w:sz w:val="20"/>
                <w:szCs w:val="20"/>
                <w:lang w:eastAsia="en-PH"/>
              </w:rPr>
            </w:pPr>
          </w:p>
        </w:tc>
        <w:tc>
          <w:tcPr>
            <w:tcW w:w="1247" w:type="dxa"/>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Sig. (2-tailed)</w:t>
            </w:r>
          </w:p>
        </w:tc>
        <w:tc>
          <w:tcPr>
            <w:tcW w:w="759"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0.019</w:t>
            </w:r>
          </w:p>
        </w:tc>
        <w:tc>
          <w:tcPr>
            <w:tcW w:w="1045"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10"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43"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1012"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1129"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r>
      <w:tr w:rsidR="00A034AA">
        <w:trPr>
          <w:trHeight w:val="90"/>
        </w:trPr>
        <w:tc>
          <w:tcPr>
            <w:tcW w:w="1183" w:type="dxa"/>
            <w:vMerge/>
            <w:tcBorders>
              <w:bottom w:val="single" w:sz="4" w:space="0" w:color="auto"/>
            </w:tcBorders>
            <w:vAlign w:val="center"/>
          </w:tcPr>
          <w:p w:rsidR="00A034AA" w:rsidRDefault="00A034AA">
            <w:pPr>
              <w:spacing w:after="0" w:line="240" w:lineRule="auto"/>
              <w:rPr>
                <w:rFonts w:ascii="Arial" w:eastAsia="Times New Roman" w:hAnsi="Arial" w:cs="Arial"/>
                <w:b/>
                <w:bCs/>
                <w:color w:val="000000"/>
                <w:sz w:val="20"/>
                <w:szCs w:val="20"/>
                <w:lang w:eastAsia="en-PH"/>
              </w:rPr>
            </w:pPr>
          </w:p>
        </w:tc>
        <w:tc>
          <w:tcPr>
            <w:tcW w:w="1247" w:type="dxa"/>
            <w:tcBorders>
              <w:bottom w:val="single" w:sz="4" w:space="0" w:color="auto"/>
            </w:tcBorders>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Interpretation</w:t>
            </w:r>
          </w:p>
        </w:tc>
        <w:tc>
          <w:tcPr>
            <w:tcW w:w="759"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45"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910"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943"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12"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c>
          <w:tcPr>
            <w:tcW w:w="1129"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r>
      <w:tr w:rsidR="00A034AA">
        <w:trPr>
          <w:trHeight w:val="90"/>
        </w:trPr>
        <w:tc>
          <w:tcPr>
            <w:tcW w:w="1183" w:type="dxa"/>
            <w:vMerge w:val="restart"/>
            <w:tcBorders>
              <w:top w:val="single" w:sz="4" w:space="0" w:color="auto"/>
            </w:tcBorders>
            <w:vAlign w:val="center"/>
          </w:tcPr>
          <w:p w:rsidR="00A034AA" w:rsidRDefault="00211741">
            <w:pPr>
              <w:spacing w:after="0" w:line="240" w:lineRule="auto"/>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Consistency</w:t>
            </w:r>
          </w:p>
        </w:tc>
        <w:tc>
          <w:tcPr>
            <w:tcW w:w="1247" w:type="dxa"/>
            <w:tcBorders>
              <w:top w:val="single" w:sz="4" w:space="0" w:color="auto"/>
            </w:tcBorders>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Pearson Correlation</w:t>
            </w:r>
          </w:p>
        </w:tc>
        <w:tc>
          <w:tcPr>
            <w:tcW w:w="759"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0.212</w:t>
            </w:r>
          </w:p>
        </w:tc>
        <w:tc>
          <w:tcPr>
            <w:tcW w:w="1045"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0.425</w:t>
            </w:r>
          </w:p>
        </w:tc>
        <w:tc>
          <w:tcPr>
            <w:tcW w:w="910"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0.386</w:t>
            </w:r>
          </w:p>
        </w:tc>
        <w:tc>
          <w:tcPr>
            <w:tcW w:w="943"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0.256</w:t>
            </w:r>
          </w:p>
        </w:tc>
        <w:tc>
          <w:tcPr>
            <w:tcW w:w="1012"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0.376</w:t>
            </w:r>
          </w:p>
        </w:tc>
        <w:tc>
          <w:tcPr>
            <w:tcW w:w="1129"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0.476</w:t>
            </w:r>
          </w:p>
        </w:tc>
      </w:tr>
      <w:tr w:rsidR="00A034AA">
        <w:trPr>
          <w:trHeight w:val="90"/>
        </w:trPr>
        <w:tc>
          <w:tcPr>
            <w:tcW w:w="1183" w:type="dxa"/>
            <w:vMerge/>
            <w:vAlign w:val="center"/>
          </w:tcPr>
          <w:p w:rsidR="00A034AA" w:rsidRDefault="00A034AA">
            <w:pPr>
              <w:spacing w:after="0" w:line="240" w:lineRule="auto"/>
              <w:rPr>
                <w:rFonts w:ascii="Arial" w:eastAsia="Times New Roman" w:hAnsi="Arial" w:cs="Arial"/>
                <w:b/>
                <w:bCs/>
                <w:color w:val="000000"/>
                <w:sz w:val="20"/>
                <w:szCs w:val="20"/>
                <w:lang w:eastAsia="en-PH"/>
              </w:rPr>
            </w:pPr>
          </w:p>
        </w:tc>
        <w:tc>
          <w:tcPr>
            <w:tcW w:w="1247" w:type="dxa"/>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 xml:space="preserve">Sig. </w:t>
            </w:r>
            <w:r>
              <w:rPr>
                <w:rFonts w:ascii="Arial" w:eastAsia="Times New Roman" w:hAnsi="Arial" w:cs="Arial"/>
                <w:color w:val="000000"/>
                <w:sz w:val="20"/>
                <w:szCs w:val="20"/>
                <w:lang w:eastAsia="en-PH"/>
              </w:rPr>
              <w:t>(2-tailed)</w:t>
            </w:r>
          </w:p>
        </w:tc>
        <w:tc>
          <w:tcPr>
            <w:tcW w:w="759"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0.005</w:t>
            </w:r>
          </w:p>
        </w:tc>
        <w:tc>
          <w:tcPr>
            <w:tcW w:w="1045"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10"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43"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0.001</w:t>
            </w:r>
          </w:p>
        </w:tc>
        <w:tc>
          <w:tcPr>
            <w:tcW w:w="1012"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1129"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r>
      <w:tr w:rsidR="00A034AA">
        <w:trPr>
          <w:trHeight w:val="90"/>
        </w:trPr>
        <w:tc>
          <w:tcPr>
            <w:tcW w:w="1183" w:type="dxa"/>
            <w:vMerge/>
            <w:tcBorders>
              <w:bottom w:val="single" w:sz="4" w:space="0" w:color="auto"/>
            </w:tcBorders>
            <w:vAlign w:val="center"/>
          </w:tcPr>
          <w:p w:rsidR="00A034AA" w:rsidRDefault="00A034AA">
            <w:pPr>
              <w:spacing w:after="0" w:line="240" w:lineRule="auto"/>
              <w:rPr>
                <w:rFonts w:ascii="Arial" w:eastAsia="Times New Roman" w:hAnsi="Arial" w:cs="Arial"/>
                <w:b/>
                <w:bCs/>
                <w:color w:val="000000"/>
                <w:sz w:val="20"/>
                <w:szCs w:val="20"/>
                <w:lang w:eastAsia="en-PH"/>
              </w:rPr>
            </w:pPr>
          </w:p>
        </w:tc>
        <w:tc>
          <w:tcPr>
            <w:tcW w:w="1247" w:type="dxa"/>
            <w:tcBorders>
              <w:bottom w:val="single" w:sz="4" w:space="0" w:color="auto"/>
            </w:tcBorders>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Interpretation</w:t>
            </w:r>
          </w:p>
        </w:tc>
        <w:tc>
          <w:tcPr>
            <w:tcW w:w="759"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45"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c>
          <w:tcPr>
            <w:tcW w:w="910"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943"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12"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129"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r>
      <w:tr w:rsidR="00A034AA">
        <w:trPr>
          <w:trHeight w:val="90"/>
        </w:trPr>
        <w:tc>
          <w:tcPr>
            <w:tcW w:w="1183" w:type="dxa"/>
            <w:vMerge w:val="restart"/>
            <w:tcBorders>
              <w:top w:val="single" w:sz="4" w:space="0" w:color="auto"/>
            </w:tcBorders>
            <w:vAlign w:val="center"/>
          </w:tcPr>
          <w:p w:rsidR="00A034AA" w:rsidRDefault="00211741">
            <w:pPr>
              <w:spacing w:after="0" w:line="240" w:lineRule="auto"/>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Adaptability</w:t>
            </w:r>
          </w:p>
        </w:tc>
        <w:tc>
          <w:tcPr>
            <w:tcW w:w="1247" w:type="dxa"/>
            <w:tcBorders>
              <w:top w:val="single" w:sz="4" w:space="0" w:color="auto"/>
            </w:tcBorders>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Pearson Correlation</w:t>
            </w:r>
          </w:p>
        </w:tc>
        <w:tc>
          <w:tcPr>
            <w:tcW w:w="759"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0.239</w:t>
            </w:r>
          </w:p>
        </w:tc>
        <w:tc>
          <w:tcPr>
            <w:tcW w:w="1045"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0.512</w:t>
            </w:r>
          </w:p>
        </w:tc>
        <w:tc>
          <w:tcPr>
            <w:tcW w:w="910"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0.422</w:t>
            </w:r>
          </w:p>
        </w:tc>
        <w:tc>
          <w:tcPr>
            <w:tcW w:w="943"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0.281</w:t>
            </w:r>
          </w:p>
        </w:tc>
        <w:tc>
          <w:tcPr>
            <w:tcW w:w="1012"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0.385</w:t>
            </w:r>
          </w:p>
        </w:tc>
        <w:tc>
          <w:tcPr>
            <w:tcW w:w="1129"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0.532</w:t>
            </w:r>
          </w:p>
        </w:tc>
      </w:tr>
      <w:tr w:rsidR="00A034AA">
        <w:trPr>
          <w:trHeight w:val="90"/>
        </w:trPr>
        <w:tc>
          <w:tcPr>
            <w:tcW w:w="1183" w:type="dxa"/>
            <w:vMerge/>
            <w:vAlign w:val="center"/>
          </w:tcPr>
          <w:p w:rsidR="00A034AA" w:rsidRDefault="00A034AA">
            <w:pPr>
              <w:spacing w:after="0" w:line="240" w:lineRule="auto"/>
              <w:rPr>
                <w:rFonts w:ascii="Arial" w:eastAsia="Times New Roman" w:hAnsi="Arial" w:cs="Arial"/>
                <w:b/>
                <w:bCs/>
                <w:color w:val="000000"/>
                <w:sz w:val="20"/>
                <w:szCs w:val="20"/>
                <w:lang w:eastAsia="en-PH"/>
              </w:rPr>
            </w:pPr>
          </w:p>
        </w:tc>
        <w:tc>
          <w:tcPr>
            <w:tcW w:w="1247" w:type="dxa"/>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Sig. (2-tailed)</w:t>
            </w:r>
          </w:p>
        </w:tc>
        <w:tc>
          <w:tcPr>
            <w:tcW w:w="759"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0.001</w:t>
            </w:r>
          </w:p>
        </w:tc>
        <w:tc>
          <w:tcPr>
            <w:tcW w:w="1045"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10"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43"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1012"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1129"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r>
      <w:tr w:rsidR="00A034AA">
        <w:trPr>
          <w:trHeight w:val="90"/>
        </w:trPr>
        <w:tc>
          <w:tcPr>
            <w:tcW w:w="1183" w:type="dxa"/>
            <w:vMerge/>
            <w:tcBorders>
              <w:bottom w:val="single" w:sz="4" w:space="0" w:color="auto"/>
            </w:tcBorders>
            <w:vAlign w:val="center"/>
          </w:tcPr>
          <w:p w:rsidR="00A034AA" w:rsidRDefault="00A034AA">
            <w:pPr>
              <w:spacing w:after="0" w:line="240" w:lineRule="auto"/>
              <w:rPr>
                <w:rFonts w:ascii="Arial" w:eastAsia="Times New Roman" w:hAnsi="Arial" w:cs="Arial"/>
                <w:b/>
                <w:bCs/>
                <w:color w:val="000000"/>
                <w:sz w:val="20"/>
                <w:szCs w:val="20"/>
                <w:lang w:eastAsia="en-PH"/>
              </w:rPr>
            </w:pPr>
          </w:p>
        </w:tc>
        <w:tc>
          <w:tcPr>
            <w:tcW w:w="1247" w:type="dxa"/>
            <w:tcBorders>
              <w:bottom w:val="single" w:sz="4" w:space="0" w:color="auto"/>
            </w:tcBorders>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Interpretation</w:t>
            </w:r>
          </w:p>
        </w:tc>
        <w:tc>
          <w:tcPr>
            <w:tcW w:w="759"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45"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c>
          <w:tcPr>
            <w:tcW w:w="910"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c>
          <w:tcPr>
            <w:tcW w:w="943"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12"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129"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r>
      <w:tr w:rsidR="00A034AA">
        <w:trPr>
          <w:trHeight w:val="90"/>
        </w:trPr>
        <w:tc>
          <w:tcPr>
            <w:tcW w:w="1183" w:type="dxa"/>
            <w:vMerge w:val="restart"/>
            <w:tcBorders>
              <w:top w:val="single" w:sz="4" w:space="0" w:color="auto"/>
            </w:tcBorders>
            <w:vAlign w:val="center"/>
          </w:tcPr>
          <w:p w:rsidR="00A034AA" w:rsidRDefault="00211741">
            <w:pPr>
              <w:spacing w:after="0" w:line="240" w:lineRule="auto"/>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Mission</w:t>
            </w:r>
          </w:p>
        </w:tc>
        <w:tc>
          <w:tcPr>
            <w:tcW w:w="1247" w:type="dxa"/>
            <w:tcBorders>
              <w:top w:val="single" w:sz="4" w:space="0" w:color="auto"/>
            </w:tcBorders>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Pearson Correlation</w:t>
            </w:r>
          </w:p>
        </w:tc>
        <w:tc>
          <w:tcPr>
            <w:tcW w:w="759"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0.226</w:t>
            </w:r>
          </w:p>
        </w:tc>
        <w:tc>
          <w:tcPr>
            <w:tcW w:w="1045"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0.411</w:t>
            </w:r>
          </w:p>
        </w:tc>
        <w:tc>
          <w:tcPr>
            <w:tcW w:w="910"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0.398</w:t>
            </w:r>
          </w:p>
        </w:tc>
        <w:tc>
          <w:tcPr>
            <w:tcW w:w="943"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0.244</w:t>
            </w:r>
          </w:p>
        </w:tc>
        <w:tc>
          <w:tcPr>
            <w:tcW w:w="1012"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0.399</w:t>
            </w:r>
          </w:p>
        </w:tc>
        <w:tc>
          <w:tcPr>
            <w:tcW w:w="1129"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0.482</w:t>
            </w:r>
          </w:p>
        </w:tc>
      </w:tr>
      <w:tr w:rsidR="00A034AA">
        <w:trPr>
          <w:trHeight w:val="90"/>
        </w:trPr>
        <w:tc>
          <w:tcPr>
            <w:tcW w:w="1183" w:type="dxa"/>
            <w:vMerge/>
            <w:vAlign w:val="center"/>
          </w:tcPr>
          <w:p w:rsidR="00A034AA" w:rsidRDefault="00A034AA">
            <w:pPr>
              <w:spacing w:after="0" w:line="240" w:lineRule="auto"/>
              <w:rPr>
                <w:rFonts w:ascii="Arial" w:eastAsia="Times New Roman" w:hAnsi="Arial" w:cs="Arial"/>
                <w:b/>
                <w:bCs/>
                <w:color w:val="000000"/>
                <w:sz w:val="20"/>
                <w:szCs w:val="20"/>
                <w:lang w:eastAsia="en-PH"/>
              </w:rPr>
            </w:pPr>
          </w:p>
        </w:tc>
        <w:tc>
          <w:tcPr>
            <w:tcW w:w="1247" w:type="dxa"/>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Sig. (2-tailed)</w:t>
            </w:r>
          </w:p>
        </w:tc>
        <w:tc>
          <w:tcPr>
            <w:tcW w:w="759"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0.002</w:t>
            </w:r>
          </w:p>
        </w:tc>
        <w:tc>
          <w:tcPr>
            <w:tcW w:w="1045"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10"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43"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0.001</w:t>
            </w:r>
          </w:p>
        </w:tc>
        <w:tc>
          <w:tcPr>
            <w:tcW w:w="1012"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1129"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r>
      <w:tr w:rsidR="00A034AA">
        <w:trPr>
          <w:trHeight w:val="90"/>
        </w:trPr>
        <w:tc>
          <w:tcPr>
            <w:tcW w:w="1183" w:type="dxa"/>
            <w:vMerge/>
            <w:tcBorders>
              <w:bottom w:val="single" w:sz="4" w:space="0" w:color="auto"/>
            </w:tcBorders>
            <w:vAlign w:val="center"/>
          </w:tcPr>
          <w:p w:rsidR="00A034AA" w:rsidRDefault="00A034AA">
            <w:pPr>
              <w:spacing w:after="0" w:line="240" w:lineRule="auto"/>
              <w:rPr>
                <w:rFonts w:ascii="Arial" w:eastAsia="Times New Roman" w:hAnsi="Arial" w:cs="Arial"/>
                <w:b/>
                <w:bCs/>
                <w:color w:val="000000"/>
                <w:sz w:val="20"/>
                <w:szCs w:val="20"/>
                <w:lang w:eastAsia="en-PH"/>
              </w:rPr>
            </w:pPr>
          </w:p>
        </w:tc>
        <w:tc>
          <w:tcPr>
            <w:tcW w:w="1247" w:type="dxa"/>
            <w:tcBorders>
              <w:bottom w:val="single" w:sz="4" w:space="0" w:color="auto"/>
            </w:tcBorders>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Interpretation</w:t>
            </w:r>
          </w:p>
        </w:tc>
        <w:tc>
          <w:tcPr>
            <w:tcW w:w="759"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45"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c>
          <w:tcPr>
            <w:tcW w:w="910"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943"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12"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129"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r>
      <w:tr w:rsidR="00A034AA">
        <w:trPr>
          <w:trHeight w:val="90"/>
        </w:trPr>
        <w:tc>
          <w:tcPr>
            <w:tcW w:w="1183" w:type="dxa"/>
            <w:vMerge w:val="restart"/>
            <w:tcBorders>
              <w:top w:val="single" w:sz="4" w:space="0" w:color="auto"/>
            </w:tcBorders>
            <w:vAlign w:val="center"/>
          </w:tcPr>
          <w:p w:rsidR="00A034AA" w:rsidRDefault="00211741">
            <w:pPr>
              <w:spacing w:after="0" w:line="240" w:lineRule="auto"/>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Overall Org. Culture</w:t>
            </w:r>
          </w:p>
        </w:tc>
        <w:tc>
          <w:tcPr>
            <w:tcW w:w="1247" w:type="dxa"/>
            <w:tcBorders>
              <w:top w:val="single" w:sz="4" w:space="0" w:color="auto"/>
            </w:tcBorders>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Pearson Correlation</w:t>
            </w:r>
          </w:p>
        </w:tc>
        <w:tc>
          <w:tcPr>
            <w:tcW w:w="759"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0.239</w:t>
            </w:r>
          </w:p>
        </w:tc>
        <w:tc>
          <w:tcPr>
            <w:tcW w:w="1045"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0.472</w:t>
            </w:r>
          </w:p>
        </w:tc>
        <w:tc>
          <w:tcPr>
            <w:tcW w:w="910"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0.432</w:t>
            </w:r>
          </w:p>
        </w:tc>
        <w:tc>
          <w:tcPr>
            <w:tcW w:w="943"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0.319</w:t>
            </w:r>
          </w:p>
        </w:tc>
        <w:tc>
          <w:tcPr>
            <w:tcW w:w="1012"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0.465</w:t>
            </w:r>
          </w:p>
        </w:tc>
        <w:tc>
          <w:tcPr>
            <w:tcW w:w="1129"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0.551</w:t>
            </w:r>
          </w:p>
        </w:tc>
      </w:tr>
      <w:tr w:rsidR="00A034AA">
        <w:trPr>
          <w:trHeight w:val="90"/>
        </w:trPr>
        <w:tc>
          <w:tcPr>
            <w:tcW w:w="1183" w:type="dxa"/>
            <w:vMerge/>
            <w:vAlign w:val="center"/>
          </w:tcPr>
          <w:p w:rsidR="00A034AA" w:rsidRDefault="00A034AA">
            <w:pPr>
              <w:spacing w:after="0" w:line="240" w:lineRule="auto"/>
              <w:rPr>
                <w:rFonts w:ascii="Arial" w:eastAsia="Times New Roman" w:hAnsi="Arial" w:cs="Arial"/>
                <w:color w:val="000000"/>
                <w:sz w:val="20"/>
                <w:szCs w:val="20"/>
                <w:lang w:eastAsia="en-PH"/>
              </w:rPr>
            </w:pPr>
          </w:p>
        </w:tc>
        <w:tc>
          <w:tcPr>
            <w:tcW w:w="1247" w:type="dxa"/>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Sig. (2-tailed)</w:t>
            </w:r>
          </w:p>
        </w:tc>
        <w:tc>
          <w:tcPr>
            <w:tcW w:w="759"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0.001</w:t>
            </w:r>
          </w:p>
        </w:tc>
        <w:tc>
          <w:tcPr>
            <w:tcW w:w="1045"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10"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43"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1012"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1129"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r>
      <w:tr w:rsidR="00A034AA">
        <w:trPr>
          <w:trHeight w:val="90"/>
        </w:trPr>
        <w:tc>
          <w:tcPr>
            <w:tcW w:w="1183" w:type="dxa"/>
            <w:vMerge/>
            <w:tcBorders>
              <w:bottom w:val="single" w:sz="4" w:space="0" w:color="auto"/>
            </w:tcBorders>
            <w:vAlign w:val="center"/>
          </w:tcPr>
          <w:p w:rsidR="00A034AA" w:rsidRDefault="00A034AA">
            <w:pPr>
              <w:spacing w:after="0" w:line="240" w:lineRule="auto"/>
              <w:rPr>
                <w:rFonts w:ascii="Arial" w:eastAsia="Times New Roman" w:hAnsi="Arial" w:cs="Arial"/>
                <w:color w:val="000000"/>
                <w:sz w:val="20"/>
                <w:szCs w:val="20"/>
                <w:lang w:eastAsia="en-PH"/>
              </w:rPr>
            </w:pPr>
          </w:p>
        </w:tc>
        <w:tc>
          <w:tcPr>
            <w:tcW w:w="1247" w:type="dxa"/>
            <w:tcBorders>
              <w:bottom w:val="single" w:sz="4" w:space="0" w:color="auto"/>
            </w:tcBorders>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Interpretation</w:t>
            </w:r>
          </w:p>
        </w:tc>
        <w:tc>
          <w:tcPr>
            <w:tcW w:w="759"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45"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c>
          <w:tcPr>
            <w:tcW w:w="910"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c>
          <w:tcPr>
            <w:tcW w:w="943"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12"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c>
          <w:tcPr>
            <w:tcW w:w="1129"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r>
      <w:bookmarkEnd w:id="2"/>
    </w:tbl>
    <w:p w:rsidR="00A034AA" w:rsidRDefault="00A034AA">
      <w:pPr>
        <w:spacing w:line="240" w:lineRule="auto"/>
        <w:ind w:firstLine="720"/>
        <w:jc w:val="both"/>
        <w:rPr>
          <w:rFonts w:ascii="Arial" w:eastAsia="Times New Roman" w:hAnsi="Arial" w:cs="Arial"/>
          <w:bCs/>
          <w:sz w:val="20"/>
          <w:szCs w:val="20"/>
          <w:lang w:eastAsia="en-PH"/>
        </w:rPr>
      </w:pPr>
    </w:p>
    <w:p w:rsidR="00A034AA" w:rsidRDefault="00211741">
      <w:pPr>
        <w:spacing w:after="0" w:line="240" w:lineRule="auto"/>
        <w:ind w:firstLine="720"/>
        <w:jc w:val="both"/>
        <w:rPr>
          <w:rFonts w:ascii="Arial" w:hAnsi="Arial" w:cs="Arial"/>
          <w:sz w:val="20"/>
          <w:szCs w:val="20"/>
        </w:rPr>
      </w:pPr>
      <w:r>
        <w:rPr>
          <w:rFonts w:ascii="Arial" w:hAnsi="Arial" w:cs="Arial"/>
          <w:sz w:val="20"/>
          <w:szCs w:val="20"/>
        </w:rPr>
        <w:t>Table 1</w:t>
      </w:r>
      <w:r>
        <w:rPr>
          <w:rFonts w:ascii="Arial" w:hAnsi="Arial" w:cs="Arial"/>
          <w:sz w:val="20"/>
          <w:szCs w:val="20"/>
          <w:lang w:val="en-US"/>
        </w:rPr>
        <w:t>0</w:t>
      </w:r>
      <w:r>
        <w:rPr>
          <w:rFonts w:ascii="Arial" w:hAnsi="Arial" w:cs="Arial"/>
          <w:sz w:val="20"/>
          <w:szCs w:val="20"/>
        </w:rPr>
        <w:t xml:space="preserve"> presents a significant positive correlation between organizational culture and job satisfaction in LGU Boston, supporting studies that link strong culture to employee motivation and performance (Hasan &amp; Sadat, 2023; Obeng, 2024). Involvement moderately co</w:t>
      </w:r>
      <w:r>
        <w:rPr>
          <w:rFonts w:ascii="Arial" w:hAnsi="Arial" w:cs="Arial"/>
          <w:sz w:val="20"/>
          <w:szCs w:val="20"/>
        </w:rPr>
        <w:t>rrelates with overall job satisfaction (r = 0.488) and working conditions (r = 0.533), suggesting that employee participation boosts satisfaction, supporting Park et al. (2023).</w:t>
      </w:r>
    </w:p>
    <w:p w:rsidR="00A034AA" w:rsidRDefault="00A034AA">
      <w:pPr>
        <w:spacing w:line="240" w:lineRule="auto"/>
        <w:ind w:firstLine="720"/>
        <w:jc w:val="both"/>
        <w:rPr>
          <w:rFonts w:ascii="Arial" w:eastAsia="Times New Roman" w:hAnsi="Arial" w:cs="Arial"/>
          <w:bCs/>
          <w:sz w:val="20"/>
          <w:szCs w:val="20"/>
          <w:lang w:eastAsia="en-PH"/>
        </w:rPr>
      </w:pPr>
    </w:p>
    <w:p w:rsidR="00A034AA" w:rsidRDefault="00211741">
      <w:pPr>
        <w:spacing w:after="0" w:line="240" w:lineRule="auto"/>
        <w:ind w:firstLine="720"/>
        <w:jc w:val="both"/>
        <w:rPr>
          <w:rFonts w:ascii="Arial" w:hAnsi="Arial" w:cs="Arial"/>
          <w:sz w:val="20"/>
          <w:szCs w:val="20"/>
        </w:rPr>
      </w:pPr>
      <w:r>
        <w:rPr>
          <w:rFonts w:ascii="Arial" w:hAnsi="Arial" w:cs="Arial"/>
          <w:sz w:val="20"/>
          <w:szCs w:val="20"/>
        </w:rPr>
        <w:t>Adaptability showed the strongest correlation with overall job satisfaction (</w:t>
      </w:r>
      <w:r>
        <w:rPr>
          <w:rFonts w:ascii="Arial" w:hAnsi="Arial" w:cs="Arial"/>
          <w:sz w:val="20"/>
          <w:szCs w:val="20"/>
        </w:rPr>
        <w:t>r = 0.532), and moderate links with promotion (r = 0.512) and supervision (r = 0.422), suggesting that embracing change and growth boosts employee satisfaction (Rahul &amp; Vaishali, 2024; Singh, 2023). Consistency (r = 0.476) and mission (r = 0.482) also mode</w:t>
      </w:r>
      <w:r>
        <w:rPr>
          <w:rFonts w:ascii="Arial" w:hAnsi="Arial" w:cs="Arial"/>
          <w:sz w:val="20"/>
          <w:szCs w:val="20"/>
        </w:rPr>
        <w:t>rately relate to satisfaction, highlighting the value of stability and purpose in fostering trust and connection (</w:t>
      </w:r>
      <w:proofErr w:type="spellStart"/>
      <w:r>
        <w:rPr>
          <w:rFonts w:ascii="Arial" w:hAnsi="Arial" w:cs="Arial"/>
          <w:sz w:val="20"/>
          <w:szCs w:val="20"/>
        </w:rPr>
        <w:t>Bilderback</w:t>
      </w:r>
      <w:proofErr w:type="spellEnd"/>
      <w:r>
        <w:rPr>
          <w:rFonts w:ascii="Arial" w:hAnsi="Arial" w:cs="Arial"/>
          <w:sz w:val="20"/>
          <w:szCs w:val="20"/>
        </w:rPr>
        <w:t xml:space="preserve">, 2024; </w:t>
      </w:r>
      <w:proofErr w:type="spellStart"/>
      <w:r>
        <w:rPr>
          <w:rFonts w:ascii="Arial" w:hAnsi="Arial" w:cs="Arial"/>
          <w:sz w:val="20"/>
          <w:szCs w:val="20"/>
        </w:rPr>
        <w:t>Iortimbir</w:t>
      </w:r>
      <w:proofErr w:type="spellEnd"/>
      <w:r>
        <w:rPr>
          <w:rFonts w:ascii="Arial" w:hAnsi="Arial" w:cs="Arial"/>
          <w:sz w:val="20"/>
          <w:szCs w:val="20"/>
        </w:rPr>
        <w:t xml:space="preserve"> </w:t>
      </w:r>
      <w:proofErr w:type="spellStart"/>
      <w:r>
        <w:rPr>
          <w:rFonts w:ascii="Arial" w:hAnsi="Arial" w:cs="Arial"/>
          <w:sz w:val="20"/>
          <w:szCs w:val="20"/>
        </w:rPr>
        <w:t>Aun</w:t>
      </w:r>
      <w:proofErr w:type="spellEnd"/>
      <w:r>
        <w:rPr>
          <w:rFonts w:ascii="Arial" w:hAnsi="Arial" w:cs="Arial"/>
          <w:sz w:val="20"/>
          <w:szCs w:val="20"/>
        </w:rPr>
        <w:t xml:space="preserve"> et al., 2023).</w:t>
      </w:r>
      <w:r>
        <w:rPr>
          <w:rFonts w:ascii="Arial" w:hAnsi="Arial" w:cs="Arial"/>
          <w:sz w:val="20"/>
          <w:szCs w:val="20"/>
          <w:lang w:val="en-US"/>
        </w:rPr>
        <w:t xml:space="preserve"> </w:t>
      </w:r>
      <w:r>
        <w:rPr>
          <w:rFonts w:ascii="Arial" w:hAnsi="Arial" w:cs="Arial"/>
          <w:sz w:val="20"/>
          <w:szCs w:val="20"/>
        </w:rPr>
        <w:t>The results showed a moderate, significant correlation between organizational culture and job s</w:t>
      </w:r>
      <w:r>
        <w:rPr>
          <w:rFonts w:ascii="Arial" w:hAnsi="Arial" w:cs="Arial"/>
          <w:sz w:val="20"/>
          <w:szCs w:val="20"/>
        </w:rPr>
        <w:t xml:space="preserve">atisfaction (r = 0.551, p &lt; 0.000), indicating that a stronger culture in the LGU leads to higher employee satisfaction, supporting findings by Putra &amp; </w:t>
      </w:r>
      <w:proofErr w:type="spellStart"/>
      <w:r>
        <w:rPr>
          <w:rFonts w:ascii="Arial" w:hAnsi="Arial" w:cs="Arial"/>
          <w:sz w:val="20"/>
          <w:szCs w:val="20"/>
        </w:rPr>
        <w:t>Kudri</w:t>
      </w:r>
      <w:proofErr w:type="spellEnd"/>
      <w:r>
        <w:rPr>
          <w:rFonts w:ascii="Arial" w:hAnsi="Arial" w:cs="Arial"/>
          <w:sz w:val="20"/>
          <w:szCs w:val="20"/>
        </w:rPr>
        <w:t xml:space="preserve"> (2024) and </w:t>
      </w:r>
      <w:proofErr w:type="spellStart"/>
      <w:r>
        <w:rPr>
          <w:rFonts w:ascii="Arial" w:hAnsi="Arial" w:cs="Arial"/>
          <w:sz w:val="20"/>
          <w:szCs w:val="20"/>
        </w:rPr>
        <w:t>Bakhshandeh</w:t>
      </w:r>
      <w:proofErr w:type="spellEnd"/>
      <w:r>
        <w:rPr>
          <w:rFonts w:ascii="Arial" w:hAnsi="Arial" w:cs="Arial"/>
          <w:sz w:val="20"/>
          <w:szCs w:val="20"/>
        </w:rPr>
        <w:t xml:space="preserve"> et al. (2024).</w:t>
      </w:r>
    </w:p>
    <w:p w:rsidR="00A034AA" w:rsidRDefault="00211741">
      <w:pPr>
        <w:spacing w:after="0" w:line="240" w:lineRule="auto"/>
        <w:jc w:val="both"/>
        <w:rPr>
          <w:rFonts w:ascii="Arial" w:hAnsi="Arial" w:cs="Arial"/>
          <w:sz w:val="20"/>
          <w:szCs w:val="20"/>
        </w:rPr>
      </w:pPr>
      <w:r>
        <w:rPr>
          <w:rFonts w:ascii="Arial" w:hAnsi="Arial" w:cs="Arial"/>
          <w:sz w:val="20"/>
          <w:szCs w:val="20"/>
        </w:rPr>
        <w:tab/>
        <w:t xml:space="preserve">In summary, the data confirmed a significant positive link </w:t>
      </w:r>
      <w:r>
        <w:rPr>
          <w:rFonts w:ascii="Arial" w:hAnsi="Arial" w:cs="Arial"/>
          <w:sz w:val="20"/>
          <w:szCs w:val="20"/>
        </w:rPr>
        <w:t xml:space="preserve">between organizational culture and job satisfaction. Despite some weak individual factor relationships, the overall </w:t>
      </w:r>
      <w:r>
        <w:rPr>
          <w:rFonts w:ascii="Arial" w:hAnsi="Arial" w:cs="Arial"/>
          <w:sz w:val="20"/>
          <w:szCs w:val="20"/>
        </w:rPr>
        <w:lastRenderedPageBreak/>
        <w:t>results showed that a strong, adaptive, and people-focused culture boosts employee satisfaction. For the LGU of Boston, this underscores the</w:t>
      </w:r>
      <w:r>
        <w:rPr>
          <w:rFonts w:ascii="Arial" w:hAnsi="Arial" w:cs="Arial"/>
          <w:sz w:val="20"/>
          <w:szCs w:val="20"/>
        </w:rPr>
        <w:t xml:space="preserve"> need to strengthen values, involve employees, and align leadership with staff needs for lasting success.</w:t>
      </w:r>
    </w:p>
    <w:p w:rsidR="00A034AA" w:rsidRDefault="00A034AA">
      <w:pPr>
        <w:spacing w:line="240" w:lineRule="auto"/>
        <w:ind w:firstLine="720"/>
        <w:jc w:val="both"/>
        <w:rPr>
          <w:rFonts w:ascii="Arial" w:hAnsi="Arial" w:cs="Arial"/>
          <w:b/>
          <w:bCs/>
          <w:sz w:val="20"/>
          <w:szCs w:val="20"/>
        </w:rPr>
      </w:pPr>
    </w:p>
    <w:p w:rsidR="00A034AA" w:rsidRDefault="00211741">
      <w:pPr>
        <w:spacing w:after="0" w:line="240" w:lineRule="auto"/>
        <w:jc w:val="center"/>
        <w:rPr>
          <w:rFonts w:ascii="Arial" w:hAnsi="Arial" w:cs="Arial"/>
          <w:b/>
          <w:bCs/>
          <w:sz w:val="21"/>
          <w:szCs w:val="21"/>
        </w:rPr>
      </w:pPr>
      <w:r>
        <w:rPr>
          <w:rFonts w:ascii="Arial" w:hAnsi="Arial" w:cs="Arial"/>
          <w:b/>
          <w:bCs/>
          <w:sz w:val="21"/>
          <w:szCs w:val="21"/>
        </w:rPr>
        <w:t>Organizational Culture Influence Employee Job Satisfaction</w:t>
      </w:r>
    </w:p>
    <w:p w:rsidR="00A034AA" w:rsidRDefault="00A034AA">
      <w:pPr>
        <w:spacing w:after="0" w:line="240" w:lineRule="auto"/>
        <w:jc w:val="center"/>
        <w:rPr>
          <w:rFonts w:ascii="Arial" w:hAnsi="Arial" w:cs="Arial"/>
          <w:b/>
          <w:bCs/>
          <w:sz w:val="21"/>
          <w:szCs w:val="21"/>
        </w:rPr>
      </w:pPr>
    </w:p>
    <w:p w:rsidR="00A034AA" w:rsidRDefault="00211741">
      <w:pPr>
        <w:spacing w:after="0" w:line="240" w:lineRule="auto"/>
        <w:ind w:firstLine="720"/>
        <w:jc w:val="both"/>
        <w:rPr>
          <w:rFonts w:ascii="Arial" w:hAnsi="Arial"/>
          <w:sz w:val="20"/>
          <w:szCs w:val="20"/>
        </w:rPr>
      </w:pPr>
      <w:r>
        <w:rPr>
          <w:rFonts w:ascii="Arial" w:hAnsi="Arial"/>
          <w:sz w:val="20"/>
          <w:szCs w:val="20"/>
        </w:rPr>
        <w:t>This section explores how the various dimensions of organizational culture—such as involv</w:t>
      </w:r>
      <w:r>
        <w:rPr>
          <w:rFonts w:ascii="Arial" w:hAnsi="Arial"/>
          <w:sz w:val="20"/>
          <w:szCs w:val="20"/>
        </w:rPr>
        <w:t xml:space="preserve">ement, consistency, adaptability, and mission—influence employee job satisfaction in the Local Government Unit (LGU) of </w:t>
      </w:r>
      <w:proofErr w:type="spellStart"/>
      <w:r>
        <w:rPr>
          <w:rFonts w:ascii="Arial" w:hAnsi="Arial"/>
          <w:sz w:val="20"/>
          <w:szCs w:val="20"/>
        </w:rPr>
        <w:t>Boston.By</w:t>
      </w:r>
      <w:proofErr w:type="spellEnd"/>
      <w:r>
        <w:rPr>
          <w:rFonts w:ascii="Arial" w:hAnsi="Arial"/>
          <w:sz w:val="20"/>
          <w:szCs w:val="20"/>
        </w:rPr>
        <w:t xml:space="preserve"> examining which cultural traits significantly impact satisfaction across key areas like salary, promotion, supervision, co-wor</w:t>
      </w:r>
      <w:r>
        <w:rPr>
          <w:rFonts w:ascii="Arial" w:hAnsi="Arial"/>
          <w:sz w:val="20"/>
          <w:szCs w:val="20"/>
        </w:rPr>
        <w:t>ker relations, and working conditions, the study provides valuable insights into how internal organizational practices can enhance or hinder employee morale, motivation, and performance.</w:t>
      </w:r>
    </w:p>
    <w:p w:rsidR="00A034AA" w:rsidRDefault="00A034AA">
      <w:pPr>
        <w:spacing w:after="0" w:line="240" w:lineRule="auto"/>
        <w:ind w:firstLine="720"/>
        <w:jc w:val="both"/>
        <w:rPr>
          <w:rFonts w:ascii="Arial" w:eastAsia="Times New Roman" w:hAnsi="Arial"/>
          <w:sz w:val="20"/>
          <w:szCs w:val="20"/>
          <w:lang w:eastAsia="en-PH"/>
        </w:rPr>
      </w:pPr>
    </w:p>
    <w:p w:rsidR="00A034AA" w:rsidRDefault="00211741">
      <w:pPr>
        <w:spacing w:line="240" w:lineRule="auto"/>
        <w:rPr>
          <w:rFonts w:ascii="Arial" w:hAnsi="Arial" w:cs="Arial"/>
          <w:b/>
          <w:bCs/>
          <w:sz w:val="20"/>
          <w:szCs w:val="20"/>
        </w:rPr>
      </w:pPr>
      <w:r>
        <w:rPr>
          <w:rFonts w:ascii="Arial" w:hAnsi="Arial" w:cs="Arial"/>
          <w:sz w:val="20"/>
          <w:szCs w:val="20"/>
        </w:rPr>
        <w:t>Table 1</w:t>
      </w:r>
      <w:r>
        <w:rPr>
          <w:rFonts w:ascii="Arial" w:hAnsi="Arial" w:cs="Arial"/>
          <w:sz w:val="20"/>
          <w:szCs w:val="20"/>
          <w:lang w:val="en-US"/>
        </w:rPr>
        <w:t>1</w:t>
      </w:r>
      <w:r>
        <w:rPr>
          <w:rFonts w:ascii="Arial" w:hAnsi="Arial" w:cs="Arial"/>
          <w:sz w:val="20"/>
          <w:szCs w:val="20"/>
        </w:rPr>
        <w:t>. Organizational Culture Influence Employee Job Satisfaction</w:t>
      </w:r>
    </w:p>
    <w:tbl>
      <w:tblPr>
        <w:tblW w:w="8278" w:type="dxa"/>
        <w:tblInd w:w="93" w:type="dxa"/>
        <w:tblLayout w:type="fixed"/>
        <w:tblLook w:val="04A0" w:firstRow="1" w:lastRow="0" w:firstColumn="1" w:lastColumn="0" w:noHBand="0" w:noVBand="1"/>
      </w:tblPr>
      <w:tblGrid>
        <w:gridCol w:w="1400"/>
        <w:gridCol w:w="1013"/>
        <w:gridCol w:w="1247"/>
        <w:gridCol w:w="1972"/>
        <w:gridCol w:w="2646"/>
      </w:tblGrid>
      <w:tr w:rsidR="00A034AA">
        <w:trPr>
          <w:trHeight w:val="300"/>
        </w:trPr>
        <w:tc>
          <w:tcPr>
            <w:tcW w:w="8278" w:type="dxa"/>
            <w:gridSpan w:val="5"/>
            <w:tcBorders>
              <w:top w:val="single" w:sz="4" w:space="0" w:color="auto"/>
              <w:bottom w:val="single" w:sz="4" w:space="0" w:color="auto"/>
            </w:tcBorders>
            <w:vAlign w:val="center"/>
          </w:tcPr>
          <w:p w:rsidR="00A034AA" w:rsidRDefault="00211741">
            <w:pPr>
              <w:spacing w:after="0" w:line="240" w:lineRule="auto"/>
              <w:jc w:val="center"/>
              <w:rPr>
                <w:rFonts w:ascii="Arial Bold" w:eastAsia="Times New Roman" w:hAnsi="Arial Bold" w:cs="Calibri"/>
                <w:b/>
                <w:bCs/>
                <w:color w:val="000000"/>
                <w:sz w:val="20"/>
                <w:szCs w:val="20"/>
                <w:lang w:eastAsia="en-PH"/>
              </w:rPr>
            </w:pPr>
            <w:r>
              <w:rPr>
                <w:rFonts w:ascii="Arial Bold" w:eastAsia="Times New Roman" w:hAnsi="Arial Bold" w:cs="Calibri"/>
                <w:b/>
                <w:bCs/>
                <w:color w:val="000000"/>
                <w:sz w:val="20"/>
                <w:szCs w:val="20"/>
                <w:lang w:eastAsia="en-PH"/>
              </w:rPr>
              <w:t>Model Summary</w:t>
            </w:r>
          </w:p>
        </w:tc>
      </w:tr>
      <w:tr w:rsidR="00A034AA">
        <w:trPr>
          <w:trHeight w:val="570"/>
        </w:trPr>
        <w:tc>
          <w:tcPr>
            <w:tcW w:w="1400" w:type="dxa"/>
            <w:tcBorders>
              <w:top w:val="single" w:sz="4" w:space="0" w:color="auto"/>
              <w:bottom w:val="single" w:sz="4" w:space="0" w:color="auto"/>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Model</w:t>
            </w:r>
          </w:p>
        </w:tc>
        <w:tc>
          <w:tcPr>
            <w:tcW w:w="1013" w:type="dxa"/>
            <w:tcBorders>
              <w:top w:val="single" w:sz="4" w:space="0" w:color="auto"/>
              <w:bottom w:val="single" w:sz="4" w:space="0" w:color="auto"/>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R</w:t>
            </w:r>
          </w:p>
        </w:tc>
        <w:tc>
          <w:tcPr>
            <w:tcW w:w="1247" w:type="dxa"/>
            <w:tcBorders>
              <w:top w:val="single" w:sz="4" w:space="0" w:color="auto"/>
              <w:bottom w:val="single" w:sz="4" w:space="0" w:color="auto"/>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R Square</w:t>
            </w:r>
          </w:p>
        </w:tc>
        <w:tc>
          <w:tcPr>
            <w:tcW w:w="1972" w:type="dxa"/>
            <w:tcBorders>
              <w:top w:val="single" w:sz="4" w:space="0" w:color="auto"/>
              <w:bottom w:val="single" w:sz="4" w:space="0" w:color="auto"/>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Adjusted R Square</w:t>
            </w:r>
          </w:p>
        </w:tc>
        <w:tc>
          <w:tcPr>
            <w:tcW w:w="2646" w:type="dxa"/>
            <w:tcBorders>
              <w:top w:val="single" w:sz="4" w:space="0" w:color="auto"/>
              <w:bottom w:val="single" w:sz="4" w:space="0" w:color="auto"/>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Std. Error of the Estimate</w:t>
            </w:r>
          </w:p>
        </w:tc>
      </w:tr>
      <w:tr w:rsidR="00A034AA">
        <w:trPr>
          <w:trHeight w:val="300"/>
        </w:trPr>
        <w:tc>
          <w:tcPr>
            <w:tcW w:w="1400" w:type="dxa"/>
            <w:tcBorders>
              <w:top w:val="single" w:sz="4" w:space="0" w:color="auto"/>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1</w:t>
            </w:r>
          </w:p>
        </w:tc>
        <w:tc>
          <w:tcPr>
            <w:tcW w:w="1013" w:type="dxa"/>
            <w:tcBorders>
              <w:top w:val="single" w:sz="4" w:space="0" w:color="auto"/>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0.564</w:t>
            </w:r>
          </w:p>
        </w:tc>
        <w:tc>
          <w:tcPr>
            <w:tcW w:w="1247" w:type="dxa"/>
            <w:tcBorders>
              <w:top w:val="single" w:sz="4" w:space="0" w:color="auto"/>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0.319</w:t>
            </w:r>
          </w:p>
        </w:tc>
        <w:tc>
          <w:tcPr>
            <w:tcW w:w="1972" w:type="dxa"/>
            <w:tcBorders>
              <w:top w:val="single" w:sz="4" w:space="0" w:color="auto"/>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0.303</w:t>
            </w:r>
          </w:p>
        </w:tc>
        <w:tc>
          <w:tcPr>
            <w:tcW w:w="2646" w:type="dxa"/>
            <w:tcBorders>
              <w:top w:val="single" w:sz="4" w:space="0" w:color="auto"/>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0.399</w:t>
            </w:r>
          </w:p>
        </w:tc>
      </w:tr>
    </w:tbl>
    <w:p w:rsidR="00A034AA" w:rsidRDefault="00211741">
      <w:pPr>
        <w:tabs>
          <w:tab w:val="left" w:pos="425"/>
        </w:tabs>
        <w:spacing w:line="240" w:lineRule="auto"/>
        <w:jc w:val="both"/>
        <w:rPr>
          <w:rFonts w:ascii="Arial" w:hAnsi="Arial" w:cs="Arial"/>
          <w:sz w:val="20"/>
          <w:szCs w:val="20"/>
        </w:rPr>
      </w:pPr>
      <w:r>
        <w:rPr>
          <w:rFonts w:ascii="Arial" w:hAnsi="Arial" w:cs="Arial"/>
          <w:sz w:val="20"/>
          <w:szCs w:val="20"/>
        </w:rPr>
        <w:t>Interpretation: The model below can explain 31.90% of the data being considered in the study.</w:t>
      </w:r>
    </w:p>
    <w:tbl>
      <w:tblPr>
        <w:tblW w:w="8228" w:type="dxa"/>
        <w:tblInd w:w="93" w:type="dxa"/>
        <w:tblLook w:val="04A0" w:firstRow="1" w:lastRow="0" w:firstColumn="1" w:lastColumn="0" w:noHBand="0" w:noVBand="1"/>
      </w:tblPr>
      <w:tblGrid>
        <w:gridCol w:w="328"/>
        <w:gridCol w:w="1866"/>
        <w:gridCol w:w="1033"/>
        <w:gridCol w:w="1008"/>
        <w:gridCol w:w="1704"/>
        <w:gridCol w:w="977"/>
        <w:gridCol w:w="1312"/>
      </w:tblGrid>
      <w:tr w:rsidR="00A034AA">
        <w:trPr>
          <w:trHeight w:val="300"/>
        </w:trPr>
        <w:tc>
          <w:tcPr>
            <w:tcW w:w="8228" w:type="dxa"/>
            <w:gridSpan w:val="7"/>
            <w:tcBorders>
              <w:top w:val="single" w:sz="4" w:space="0" w:color="auto"/>
              <w:bottom w:val="single" w:sz="4" w:space="0" w:color="auto"/>
            </w:tcBorders>
            <w:vAlign w:val="center"/>
          </w:tcPr>
          <w:p w:rsidR="00A034AA" w:rsidRDefault="00211741">
            <w:pPr>
              <w:spacing w:after="0" w:line="240" w:lineRule="auto"/>
              <w:jc w:val="center"/>
              <w:rPr>
                <w:rFonts w:ascii="Arial Bold" w:eastAsia="Times New Roman" w:hAnsi="Arial Bold" w:cs="Calibri"/>
                <w:b/>
                <w:bCs/>
                <w:color w:val="000000"/>
                <w:sz w:val="20"/>
                <w:szCs w:val="20"/>
                <w:lang w:eastAsia="en-PH"/>
              </w:rPr>
            </w:pPr>
            <w:r>
              <w:rPr>
                <w:rFonts w:ascii="Arial Bold" w:eastAsia="Times New Roman" w:hAnsi="Arial Bold" w:cs="Calibri"/>
                <w:b/>
                <w:bCs/>
                <w:color w:val="000000"/>
                <w:sz w:val="20"/>
                <w:szCs w:val="20"/>
                <w:lang w:eastAsia="en-PH"/>
              </w:rPr>
              <w:t>Coefficients</w:t>
            </w:r>
          </w:p>
        </w:tc>
      </w:tr>
      <w:tr w:rsidR="00A034AA">
        <w:trPr>
          <w:trHeight w:val="570"/>
        </w:trPr>
        <w:tc>
          <w:tcPr>
            <w:tcW w:w="2194" w:type="dxa"/>
            <w:gridSpan w:val="2"/>
            <w:vMerge w:val="restart"/>
            <w:tcBorders>
              <w:top w:val="single" w:sz="4" w:space="0" w:color="auto"/>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Model</w:t>
            </w:r>
          </w:p>
        </w:tc>
        <w:tc>
          <w:tcPr>
            <w:tcW w:w="2041" w:type="dxa"/>
            <w:gridSpan w:val="2"/>
            <w:tcBorders>
              <w:top w:val="single" w:sz="4" w:space="0" w:color="auto"/>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Unstandardized Coefficients</w:t>
            </w:r>
          </w:p>
        </w:tc>
        <w:tc>
          <w:tcPr>
            <w:tcW w:w="1704" w:type="dxa"/>
            <w:tcBorders>
              <w:top w:val="single" w:sz="4" w:space="0" w:color="auto"/>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Standardized Coefficients</w:t>
            </w:r>
          </w:p>
        </w:tc>
        <w:tc>
          <w:tcPr>
            <w:tcW w:w="977" w:type="dxa"/>
            <w:vMerge w:val="restart"/>
            <w:tcBorders>
              <w:top w:val="single" w:sz="4" w:space="0" w:color="auto"/>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t</w:t>
            </w:r>
          </w:p>
        </w:tc>
        <w:tc>
          <w:tcPr>
            <w:tcW w:w="1312" w:type="dxa"/>
            <w:vMerge w:val="restart"/>
            <w:tcBorders>
              <w:top w:val="single" w:sz="4" w:space="0" w:color="auto"/>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Sig.</w:t>
            </w:r>
          </w:p>
        </w:tc>
      </w:tr>
      <w:tr w:rsidR="00A034AA">
        <w:trPr>
          <w:trHeight w:val="570"/>
        </w:trPr>
        <w:tc>
          <w:tcPr>
            <w:tcW w:w="2194" w:type="dxa"/>
            <w:gridSpan w:val="2"/>
            <w:vMerge/>
            <w:tcBorders>
              <w:bottom w:val="single" w:sz="4" w:space="0" w:color="auto"/>
            </w:tcBorders>
            <w:vAlign w:val="center"/>
          </w:tcPr>
          <w:p w:rsidR="00A034AA" w:rsidRDefault="00A034AA">
            <w:pPr>
              <w:spacing w:after="0" w:line="240" w:lineRule="auto"/>
              <w:rPr>
                <w:rFonts w:ascii="Arial" w:eastAsia="Times New Roman" w:hAnsi="Arial" w:cs="Arial"/>
                <w:color w:val="000000"/>
                <w:sz w:val="20"/>
                <w:szCs w:val="20"/>
                <w:lang w:eastAsia="en-PH"/>
              </w:rPr>
            </w:pPr>
          </w:p>
        </w:tc>
        <w:tc>
          <w:tcPr>
            <w:tcW w:w="1033" w:type="dxa"/>
            <w:tcBorders>
              <w:bottom w:val="single" w:sz="4" w:space="0" w:color="auto"/>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B</w:t>
            </w:r>
          </w:p>
        </w:tc>
        <w:tc>
          <w:tcPr>
            <w:tcW w:w="1008" w:type="dxa"/>
            <w:tcBorders>
              <w:bottom w:val="single" w:sz="4" w:space="0" w:color="auto"/>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Std. Error</w:t>
            </w:r>
          </w:p>
        </w:tc>
        <w:tc>
          <w:tcPr>
            <w:tcW w:w="1704" w:type="dxa"/>
            <w:tcBorders>
              <w:bottom w:val="single" w:sz="4" w:space="0" w:color="auto"/>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Beta</w:t>
            </w:r>
          </w:p>
        </w:tc>
        <w:tc>
          <w:tcPr>
            <w:tcW w:w="977" w:type="dxa"/>
            <w:vMerge/>
            <w:tcBorders>
              <w:bottom w:val="single" w:sz="4" w:space="0" w:color="auto"/>
            </w:tcBorders>
            <w:vAlign w:val="center"/>
          </w:tcPr>
          <w:p w:rsidR="00A034AA" w:rsidRDefault="00A034AA">
            <w:pPr>
              <w:spacing w:after="0" w:line="240" w:lineRule="auto"/>
              <w:rPr>
                <w:rFonts w:ascii="Arial" w:eastAsia="Times New Roman" w:hAnsi="Arial" w:cs="Arial"/>
                <w:color w:val="000000"/>
                <w:sz w:val="20"/>
                <w:szCs w:val="20"/>
                <w:lang w:eastAsia="en-PH"/>
              </w:rPr>
            </w:pPr>
          </w:p>
        </w:tc>
        <w:tc>
          <w:tcPr>
            <w:tcW w:w="1312" w:type="dxa"/>
            <w:vMerge/>
            <w:tcBorders>
              <w:bottom w:val="single" w:sz="4" w:space="0" w:color="auto"/>
            </w:tcBorders>
            <w:vAlign w:val="center"/>
          </w:tcPr>
          <w:p w:rsidR="00A034AA" w:rsidRDefault="00A034AA">
            <w:pPr>
              <w:spacing w:after="0" w:line="240" w:lineRule="auto"/>
              <w:rPr>
                <w:rFonts w:ascii="Arial" w:eastAsia="Times New Roman" w:hAnsi="Arial" w:cs="Arial"/>
                <w:color w:val="000000"/>
                <w:sz w:val="20"/>
                <w:szCs w:val="20"/>
                <w:lang w:eastAsia="en-PH"/>
              </w:rPr>
            </w:pPr>
          </w:p>
        </w:tc>
      </w:tr>
      <w:tr w:rsidR="00A034AA">
        <w:trPr>
          <w:trHeight w:val="62"/>
        </w:trPr>
        <w:tc>
          <w:tcPr>
            <w:tcW w:w="328" w:type="dxa"/>
            <w:vMerge w:val="restart"/>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1</w:t>
            </w:r>
          </w:p>
        </w:tc>
        <w:tc>
          <w:tcPr>
            <w:tcW w:w="1866" w:type="dxa"/>
            <w:tcBorders>
              <w:top w:val="single" w:sz="4" w:space="0" w:color="auto"/>
            </w:tcBorders>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(Constant)</w:t>
            </w:r>
          </w:p>
        </w:tc>
        <w:tc>
          <w:tcPr>
            <w:tcW w:w="1033"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1.66</w:t>
            </w:r>
          </w:p>
        </w:tc>
        <w:tc>
          <w:tcPr>
            <w:tcW w:w="1008"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0.31</w:t>
            </w:r>
          </w:p>
        </w:tc>
        <w:tc>
          <w:tcPr>
            <w:tcW w:w="1704" w:type="dxa"/>
            <w:tcBorders>
              <w:top w:val="single" w:sz="4" w:space="0" w:color="auto"/>
            </w:tcBorders>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 </w:t>
            </w:r>
          </w:p>
        </w:tc>
        <w:tc>
          <w:tcPr>
            <w:tcW w:w="977"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5.42</w:t>
            </w:r>
          </w:p>
        </w:tc>
        <w:tc>
          <w:tcPr>
            <w:tcW w:w="1312" w:type="dxa"/>
            <w:tcBorders>
              <w:top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w:t>
            </w:r>
          </w:p>
        </w:tc>
      </w:tr>
      <w:tr w:rsidR="00A034AA">
        <w:trPr>
          <w:trHeight w:val="300"/>
        </w:trPr>
        <w:tc>
          <w:tcPr>
            <w:tcW w:w="328" w:type="dxa"/>
            <w:vMerge/>
            <w:vAlign w:val="center"/>
          </w:tcPr>
          <w:p w:rsidR="00A034AA" w:rsidRDefault="00A034AA">
            <w:pPr>
              <w:spacing w:after="0" w:line="240" w:lineRule="auto"/>
              <w:rPr>
                <w:rFonts w:ascii="Arial" w:eastAsia="Times New Roman" w:hAnsi="Arial" w:cs="Arial"/>
                <w:color w:val="000000"/>
                <w:sz w:val="20"/>
                <w:szCs w:val="20"/>
                <w:lang w:eastAsia="en-PH"/>
              </w:rPr>
            </w:pPr>
          </w:p>
        </w:tc>
        <w:tc>
          <w:tcPr>
            <w:tcW w:w="1866" w:type="dxa"/>
            <w:vAlign w:val="center"/>
          </w:tcPr>
          <w:p w:rsidR="00A034AA" w:rsidRDefault="00211741">
            <w:pPr>
              <w:spacing w:after="0" w:line="240" w:lineRule="auto"/>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Involvement</w:t>
            </w:r>
          </w:p>
        </w:tc>
        <w:tc>
          <w:tcPr>
            <w:tcW w:w="1033" w:type="dxa"/>
            <w:noWrap/>
            <w:vAlign w:val="center"/>
          </w:tcPr>
          <w:p w:rsidR="00A034AA" w:rsidRDefault="00211741">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0.23</w:t>
            </w:r>
          </w:p>
        </w:tc>
        <w:tc>
          <w:tcPr>
            <w:tcW w:w="1008" w:type="dxa"/>
            <w:noWrap/>
            <w:vAlign w:val="center"/>
          </w:tcPr>
          <w:p w:rsidR="00A034AA" w:rsidRDefault="00211741">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0.10</w:t>
            </w:r>
          </w:p>
        </w:tc>
        <w:tc>
          <w:tcPr>
            <w:tcW w:w="1704" w:type="dxa"/>
            <w:noWrap/>
            <w:vAlign w:val="center"/>
          </w:tcPr>
          <w:p w:rsidR="00A034AA" w:rsidRDefault="00211741">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0.22</w:t>
            </w:r>
          </w:p>
        </w:tc>
        <w:tc>
          <w:tcPr>
            <w:tcW w:w="977" w:type="dxa"/>
            <w:noWrap/>
            <w:vAlign w:val="center"/>
          </w:tcPr>
          <w:p w:rsidR="00A034AA" w:rsidRDefault="00211741">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2.30</w:t>
            </w:r>
          </w:p>
        </w:tc>
        <w:tc>
          <w:tcPr>
            <w:tcW w:w="1312" w:type="dxa"/>
            <w:noWrap/>
            <w:vAlign w:val="center"/>
          </w:tcPr>
          <w:p w:rsidR="00A034AA" w:rsidRDefault="00211741">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0.02</w:t>
            </w:r>
          </w:p>
        </w:tc>
      </w:tr>
      <w:tr w:rsidR="00A034AA">
        <w:trPr>
          <w:trHeight w:val="300"/>
        </w:trPr>
        <w:tc>
          <w:tcPr>
            <w:tcW w:w="328" w:type="dxa"/>
            <w:vMerge/>
            <w:vAlign w:val="center"/>
          </w:tcPr>
          <w:p w:rsidR="00A034AA" w:rsidRDefault="00A034AA">
            <w:pPr>
              <w:spacing w:after="0" w:line="240" w:lineRule="auto"/>
              <w:rPr>
                <w:rFonts w:ascii="Arial" w:eastAsia="Times New Roman" w:hAnsi="Arial" w:cs="Arial"/>
                <w:color w:val="000000"/>
                <w:sz w:val="20"/>
                <w:szCs w:val="20"/>
                <w:lang w:eastAsia="en-PH"/>
              </w:rPr>
            </w:pPr>
          </w:p>
        </w:tc>
        <w:tc>
          <w:tcPr>
            <w:tcW w:w="1866" w:type="dxa"/>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Consistency</w:t>
            </w:r>
          </w:p>
        </w:tc>
        <w:tc>
          <w:tcPr>
            <w:tcW w:w="1033"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-0.09</w:t>
            </w:r>
          </w:p>
        </w:tc>
        <w:tc>
          <w:tcPr>
            <w:tcW w:w="1008"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0.13</w:t>
            </w:r>
          </w:p>
        </w:tc>
        <w:tc>
          <w:tcPr>
            <w:tcW w:w="1704"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-0.09</w:t>
            </w:r>
          </w:p>
        </w:tc>
        <w:tc>
          <w:tcPr>
            <w:tcW w:w="977"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-0.68</w:t>
            </w:r>
          </w:p>
        </w:tc>
        <w:tc>
          <w:tcPr>
            <w:tcW w:w="1312" w:type="dxa"/>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0.50</w:t>
            </w:r>
          </w:p>
        </w:tc>
      </w:tr>
      <w:tr w:rsidR="00A034AA">
        <w:trPr>
          <w:trHeight w:val="300"/>
        </w:trPr>
        <w:tc>
          <w:tcPr>
            <w:tcW w:w="328" w:type="dxa"/>
            <w:vMerge/>
            <w:vAlign w:val="center"/>
          </w:tcPr>
          <w:p w:rsidR="00A034AA" w:rsidRDefault="00A034AA">
            <w:pPr>
              <w:spacing w:after="0" w:line="240" w:lineRule="auto"/>
              <w:rPr>
                <w:rFonts w:ascii="Arial" w:eastAsia="Times New Roman" w:hAnsi="Arial" w:cs="Arial"/>
                <w:color w:val="000000"/>
                <w:sz w:val="20"/>
                <w:szCs w:val="20"/>
                <w:lang w:eastAsia="en-PH"/>
              </w:rPr>
            </w:pPr>
          </w:p>
        </w:tc>
        <w:tc>
          <w:tcPr>
            <w:tcW w:w="1866" w:type="dxa"/>
            <w:vAlign w:val="center"/>
          </w:tcPr>
          <w:p w:rsidR="00A034AA" w:rsidRDefault="00211741">
            <w:pPr>
              <w:spacing w:after="0" w:line="240" w:lineRule="auto"/>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Adaptability</w:t>
            </w:r>
          </w:p>
        </w:tc>
        <w:tc>
          <w:tcPr>
            <w:tcW w:w="1033" w:type="dxa"/>
            <w:noWrap/>
            <w:vAlign w:val="center"/>
          </w:tcPr>
          <w:p w:rsidR="00A034AA" w:rsidRDefault="00211741">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0.29</w:t>
            </w:r>
          </w:p>
        </w:tc>
        <w:tc>
          <w:tcPr>
            <w:tcW w:w="1008" w:type="dxa"/>
            <w:noWrap/>
            <w:vAlign w:val="center"/>
          </w:tcPr>
          <w:p w:rsidR="00A034AA" w:rsidRDefault="00211741">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0.11</w:t>
            </w:r>
          </w:p>
        </w:tc>
        <w:tc>
          <w:tcPr>
            <w:tcW w:w="1704" w:type="dxa"/>
            <w:noWrap/>
            <w:vAlign w:val="center"/>
          </w:tcPr>
          <w:p w:rsidR="00A034AA" w:rsidRDefault="00211741">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0.34</w:t>
            </w:r>
          </w:p>
        </w:tc>
        <w:tc>
          <w:tcPr>
            <w:tcW w:w="977" w:type="dxa"/>
            <w:noWrap/>
            <w:vAlign w:val="center"/>
          </w:tcPr>
          <w:p w:rsidR="00A034AA" w:rsidRDefault="00211741">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2.67</w:t>
            </w:r>
          </w:p>
        </w:tc>
        <w:tc>
          <w:tcPr>
            <w:tcW w:w="1312" w:type="dxa"/>
            <w:noWrap/>
            <w:vAlign w:val="center"/>
          </w:tcPr>
          <w:p w:rsidR="00A034AA" w:rsidRDefault="00211741">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0.01</w:t>
            </w:r>
          </w:p>
        </w:tc>
      </w:tr>
      <w:tr w:rsidR="00A034AA">
        <w:trPr>
          <w:trHeight w:val="300"/>
        </w:trPr>
        <w:tc>
          <w:tcPr>
            <w:tcW w:w="328" w:type="dxa"/>
            <w:vMerge/>
            <w:tcBorders>
              <w:bottom w:val="single" w:sz="4" w:space="0" w:color="auto"/>
            </w:tcBorders>
            <w:vAlign w:val="center"/>
          </w:tcPr>
          <w:p w:rsidR="00A034AA" w:rsidRDefault="00A034AA">
            <w:pPr>
              <w:spacing w:after="0" w:line="240" w:lineRule="auto"/>
              <w:rPr>
                <w:rFonts w:ascii="Arial" w:eastAsia="Times New Roman" w:hAnsi="Arial" w:cs="Arial"/>
                <w:color w:val="000000"/>
                <w:sz w:val="20"/>
                <w:szCs w:val="20"/>
                <w:lang w:eastAsia="en-PH"/>
              </w:rPr>
            </w:pPr>
          </w:p>
        </w:tc>
        <w:tc>
          <w:tcPr>
            <w:tcW w:w="1866" w:type="dxa"/>
            <w:tcBorders>
              <w:bottom w:val="single" w:sz="4" w:space="0" w:color="auto"/>
            </w:tcBorders>
            <w:vAlign w:val="center"/>
          </w:tcPr>
          <w:p w:rsidR="00A034AA" w:rsidRDefault="00211741">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Mission</w:t>
            </w:r>
          </w:p>
        </w:tc>
        <w:tc>
          <w:tcPr>
            <w:tcW w:w="1033"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0.14</w:t>
            </w:r>
          </w:p>
        </w:tc>
        <w:tc>
          <w:tcPr>
            <w:tcW w:w="1008"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0.09</w:t>
            </w:r>
          </w:p>
        </w:tc>
        <w:tc>
          <w:tcPr>
            <w:tcW w:w="1704"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0.16</w:t>
            </w:r>
          </w:p>
        </w:tc>
        <w:tc>
          <w:tcPr>
            <w:tcW w:w="977"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1.52</w:t>
            </w:r>
          </w:p>
        </w:tc>
        <w:tc>
          <w:tcPr>
            <w:tcW w:w="1312" w:type="dxa"/>
            <w:tcBorders>
              <w:bottom w:val="single" w:sz="4" w:space="0" w:color="auto"/>
            </w:tcBorders>
            <w:noWrap/>
            <w:vAlign w:val="center"/>
          </w:tcPr>
          <w:p w:rsidR="00A034AA" w:rsidRDefault="00211741">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0.13</w:t>
            </w:r>
          </w:p>
        </w:tc>
      </w:tr>
    </w:tbl>
    <w:p w:rsidR="00A034AA" w:rsidRDefault="00211741">
      <w:pPr>
        <w:tabs>
          <w:tab w:val="left" w:pos="425"/>
        </w:tabs>
        <w:spacing w:line="240" w:lineRule="auto"/>
        <w:jc w:val="both"/>
        <w:rPr>
          <w:rFonts w:ascii="Arial" w:hAnsi="Arial" w:cs="Arial"/>
          <w:sz w:val="20"/>
          <w:szCs w:val="20"/>
        </w:rPr>
      </w:pPr>
      <w:r>
        <w:rPr>
          <w:rFonts w:ascii="Arial" w:hAnsi="Arial" w:cs="Arial"/>
          <w:sz w:val="20"/>
          <w:szCs w:val="20"/>
        </w:rPr>
        <w:t>Interpretation: Only involvement and adaptability are predictors of employee job satisfaction.</w:t>
      </w:r>
    </w:p>
    <w:p w:rsidR="00A034AA" w:rsidRDefault="00211741">
      <w:pPr>
        <w:spacing w:after="0" w:line="240" w:lineRule="auto"/>
        <w:ind w:firstLine="720"/>
        <w:jc w:val="both"/>
        <w:rPr>
          <w:rFonts w:ascii="Arial" w:eastAsia="Times New Roman" w:hAnsi="Arial"/>
          <w:sz w:val="20"/>
          <w:szCs w:val="20"/>
          <w:lang w:eastAsia="en-PH"/>
        </w:rPr>
      </w:pPr>
      <w:r>
        <w:rPr>
          <w:rFonts w:ascii="Arial" w:hAnsi="Arial"/>
          <w:sz w:val="20"/>
          <w:szCs w:val="20"/>
        </w:rPr>
        <w:t>Presented in Table 1</w:t>
      </w:r>
      <w:r>
        <w:rPr>
          <w:rFonts w:ascii="Arial" w:hAnsi="Arial"/>
          <w:sz w:val="20"/>
          <w:szCs w:val="20"/>
          <w:lang w:val="en-US"/>
        </w:rPr>
        <w:t>1</w:t>
      </w:r>
      <w:r>
        <w:rPr>
          <w:rFonts w:ascii="Arial" w:hAnsi="Arial"/>
          <w:sz w:val="20"/>
          <w:szCs w:val="20"/>
        </w:rPr>
        <w:t xml:space="preserve"> are</w:t>
      </w:r>
      <w:r>
        <w:rPr>
          <w:rFonts w:ascii="Arial" w:eastAsia="Times New Roman" w:hAnsi="Arial"/>
          <w:sz w:val="20"/>
          <w:szCs w:val="20"/>
          <w:lang w:eastAsia="en-PH"/>
        </w:rPr>
        <w:t xml:space="preserve"> the results of the regression analysis conducted to determine which dimensions of organizational culture significantly influence employ</w:t>
      </w:r>
      <w:r>
        <w:rPr>
          <w:rFonts w:ascii="Arial" w:eastAsia="Times New Roman" w:hAnsi="Arial"/>
          <w:sz w:val="20"/>
          <w:szCs w:val="20"/>
          <w:lang w:eastAsia="en-PH"/>
        </w:rPr>
        <w:t>ee job satisfaction in the Local Government Unit (LGU) of Boston. The model yielded an R value of 0.564 and an R² value of 0.319, indicating that 31.90% of the variance in job satisfaction can be explained by the combined effects of involvement, consistenc</w:t>
      </w:r>
      <w:r>
        <w:rPr>
          <w:rFonts w:ascii="Arial" w:eastAsia="Times New Roman" w:hAnsi="Arial"/>
          <w:sz w:val="20"/>
          <w:szCs w:val="20"/>
          <w:lang w:eastAsia="en-PH"/>
        </w:rPr>
        <w:t>y, adaptability, and mission. This suggests that organizational culture has a meaningful, though moderate, impact on employee satisfaction.</w:t>
      </w:r>
    </w:p>
    <w:p w:rsidR="00A034AA" w:rsidRDefault="00211741">
      <w:pPr>
        <w:spacing w:after="0" w:line="240" w:lineRule="auto"/>
        <w:ind w:firstLine="720"/>
        <w:jc w:val="both"/>
        <w:rPr>
          <w:rFonts w:ascii="Arial" w:eastAsia="Times New Roman" w:hAnsi="Arial"/>
          <w:sz w:val="20"/>
          <w:szCs w:val="20"/>
          <w:lang w:eastAsia="en-PH"/>
        </w:rPr>
      </w:pPr>
      <w:r>
        <w:rPr>
          <w:rFonts w:ascii="Arial" w:eastAsia="Times New Roman" w:hAnsi="Arial"/>
          <w:sz w:val="20"/>
          <w:szCs w:val="20"/>
          <w:lang w:eastAsia="en-PH"/>
        </w:rPr>
        <w:t>Among the four dimensions analyzed, involvement (β = 0.22, t = 2.30, p = 0.024) and adaptability (β = 0.34, t = 2.67</w:t>
      </w:r>
      <w:r>
        <w:rPr>
          <w:rFonts w:ascii="Arial" w:eastAsia="Times New Roman" w:hAnsi="Arial"/>
          <w:sz w:val="20"/>
          <w:szCs w:val="20"/>
          <w:lang w:eastAsia="en-PH"/>
        </w:rPr>
        <w:t>, p = 0.01) were identified as significant predictors of job satisfaction. This means that employees who feel actively involved in decision-making and are part of an adaptable, flexible work environment are more likely to report higher levels of satisfacti</w:t>
      </w:r>
      <w:r>
        <w:rPr>
          <w:rFonts w:ascii="Arial" w:eastAsia="Times New Roman" w:hAnsi="Arial"/>
          <w:sz w:val="20"/>
          <w:szCs w:val="20"/>
          <w:lang w:eastAsia="en-PH"/>
        </w:rPr>
        <w:t xml:space="preserve">on. These findings are aligned with the arguments of Park et al. (2023) and Singh (2023), who highlighted that participatory management and adaptability foster employee motivation, innovation, and long-term engagement. </w:t>
      </w:r>
    </w:p>
    <w:p w:rsidR="00A034AA" w:rsidRDefault="00211741">
      <w:pPr>
        <w:spacing w:after="0" w:line="240" w:lineRule="auto"/>
        <w:ind w:firstLine="720"/>
        <w:jc w:val="both"/>
        <w:rPr>
          <w:rFonts w:ascii="Arial" w:eastAsia="Times New Roman" w:hAnsi="Arial"/>
          <w:sz w:val="20"/>
          <w:szCs w:val="20"/>
          <w:lang w:eastAsia="en-PH"/>
        </w:rPr>
      </w:pPr>
      <w:r>
        <w:rPr>
          <w:rFonts w:ascii="Arial" w:eastAsia="Times New Roman" w:hAnsi="Arial"/>
          <w:sz w:val="20"/>
          <w:szCs w:val="20"/>
          <w:lang w:eastAsia="en-PH"/>
        </w:rPr>
        <w:t xml:space="preserve">On the other hand, consistency (β = </w:t>
      </w:r>
      <w:r>
        <w:rPr>
          <w:rFonts w:ascii="Arial" w:eastAsia="Times New Roman" w:hAnsi="Arial"/>
          <w:sz w:val="20"/>
          <w:szCs w:val="20"/>
          <w:lang w:eastAsia="en-PH"/>
        </w:rPr>
        <w:t xml:space="preserve">-0.09, p = 0.50) and mission (β = 0.16, p = 0.13) did not show a statistically significant influence on job satisfaction. Although these dimensions are essential for organizational alignment and direction, they may not directly affect how </w:t>
      </w:r>
      <w:r>
        <w:rPr>
          <w:rFonts w:ascii="Arial" w:eastAsia="Times New Roman" w:hAnsi="Arial"/>
          <w:sz w:val="20"/>
          <w:szCs w:val="20"/>
          <w:lang w:eastAsia="en-PH"/>
        </w:rPr>
        <w:lastRenderedPageBreak/>
        <w:t>satisfied employe</w:t>
      </w:r>
      <w:r>
        <w:rPr>
          <w:rFonts w:ascii="Arial" w:eastAsia="Times New Roman" w:hAnsi="Arial"/>
          <w:sz w:val="20"/>
          <w:szCs w:val="20"/>
          <w:lang w:eastAsia="en-PH"/>
        </w:rPr>
        <w:t xml:space="preserve">es feel on a day-to-day basis. Tomas et al. (2023) suggested that while consistent values and clear mission statements support structural stability, they may not be sufficient unless paired with active employee engagement and responsiveness to change. </w:t>
      </w:r>
    </w:p>
    <w:p w:rsidR="00A034AA" w:rsidRDefault="00211741">
      <w:pPr>
        <w:spacing w:after="0" w:line="240" w:lineRule="auto"/>
        <w:ind w:firstLine="720"/>
        <w:jc w:val="both"/>
        <w:rPr>
          <w:rFonts w:ascii="Arial" w:eastAsia="Times New Roman" w:hAnsi="Arial"/>
          <w:sz w:val="20"/>
          <w:szCs w:val="20"/>
          <w:lang w:eastAsia="en-PH"/>
        </w:rPr>
      </w:pPr>
      <w:r>
        <w:rPr>
          <w:rFonts w:ascii="Arial" w:eastAsia="Times New Roman" w:hAnsi="Arial"/>
          <w:sz w:val="20"/>
          <w:szCs w:val="20"/>
          <w:lang w:eastAsia="en-PH"/>
        </w:rPr>
        <w:t>Ove</w:t>
      </w:r>
      <w:r>
        <w:rPr>
          <w:rFonts w:ascii="Arial" w:eastAsia="Times New Roman" w:hAnsi="Arial"/>
          <w:sz w:val="20"/>
          <w:szCs w:val="20"/>
          <w:lang w:eastAsia="en-PH"/>
        </w:rPr>
        <w:t xml:space="preserve">rall, the findings confirmed that involvement and adaptability were the most impactful cultural dimensions influencing job satisfaction among LGU employees. This supports the broader literature emphasizing that empowering employees and fostering a culture </w:t>
      </w:r>
      <w:r>
        <w:rPr>
          <w:rFonts w:ascii="Arial" w:eastAsia="Times New Roman" w:hAnsi="Arial"/>
          <w:sz w:val="20"/>
          <w:szCs w:val="20"/>
          <w:lang w:eastAsia="en-PH"/>
        </w:rPr>
        <w:t>of continuous learning and flexibility are critical strategies for enhancing satisfaction, retention, and organizational performance (Obeng, 2024; Rahul &amp; Vaishali, 2024). Organizations should prioritize these areas to ensure a motivated, resilient, and hi</w:t>
      </w:r>
      <w:r>
        <w:rPr>
          <w:rFonts w:ascii="Arial" w:eastAsia="Times New Roman" w:hAnsi="Arial"/>
          <w:sz w:val="20"/>
          <w:szCs w:val="20"/>
          <w:lang w:eastAsia="en-PH"/>
        </w:rPr>
        <w:t>gh-performing workforce.</w:t>
      </w:r>
    </w:p>
    <w:p w:rsidR="00A034AA" w:rsidRDefault="00A034AA">
      <w:pPr>
        <w:spacing w:after="0" w:line="240" w:lineRule="auto"/>
        <w:ind w:firstLine="720"/>
        <w:jc w:val="both"/>
        <w:rPr>
          <w:rFonts w:ascii="Arial" w:eastAsia="Times New Roman" w:hAnsi="Arial"/>
          <w:sz w:val="20"/>
          <w:szCs w:val="20"/>
          <w:lang w:eastAsia="en-PH"/>
        </w:rPr>
      </w:pPr>
    </w:p>
    <w:p w:rsidR="00A034AA" w:rsidRDefault="00211741">
      <w:pPr>
        <w:spacing w:after="0" w:line="240" w:lineRule="auto"/>
        <w:jc w:val="both"/>
        <w:rPr>
          <w:rFonts w:ascii="Arial" w:hAnsi="Arial" w:cs="Arial"/>
          <w:sz w:val="20"/>
          <w:szCs w:val="20"/>
        </w:rPr>
      </w:pPr>
      <w:r>
        <w:rPr>
          <w:rFonts w:ascii="Arial" w:eastAsia="Arial" w:hAnsi="Arial" w:cs="Arial"/>
          <w:b/>
          <w:smallCaps/>
          <w:color w:val="000000"/>
          <w:sz w:val="20"/>
          <w:szCs w:val="20"/>
        </w:rPr>
        <w:t>5. CONCLUSIONS AND RECOMMENDATIONS</w:t>
      </w:r>
    </w:p>
    <w:p w:rsidR="00A034AA" w:rsidRDefault="00A034AA">
      <w:pPr>
        <w:shd w:val="clear" w:color="auto" w:fill="FFFFFF" w:themeFill="background1"/>
        <w:spacing w:after="0" w:line="240" w:lineRule="auto"/>
        <w:rPr>
          <w:b/>
          <w:sz w:val="20"/>
          <w:szCs w:val="20"/>
        </w:rPr>
      </w:pPr>
    </w:p>
    <w:p w:rsidR="00A034AA" w:rsidRDefault="00211741">
      <w:pPr>
        <w:shd w:val="clear" w:color="auto" w:fill="FFFFFF" w:themeFill="background1"/>
        <w:spacing w:after="0" w:line="240" w:lineRule="auto"/>
        <w:rPr>
          <w:b/>
          <w:sz w:val="20"/>
          <w:szCs w:val="20"/>
        </w:rPr>
      </w:pPr>
      <w:r>
        <w:rPr>
          <w:rFonts w:ascii="Arial" w:eastAsia="Arial" w:hAnsi="Arial" w:cs="Arial"/>
          <w:b/>
          <w:color w:val="000000"/>
          <w:sz w:val="20"/>
          <w:szCs w:val="20"/>
          <w:highlight w:val="white"/>
        </w:rPr>
        <w:t>Conclusion</w:t>
      </w:r>
      <w:bookmarkStart w:id="3" w:name="_Hlk203578974"/>
    </w:p>
    <w:bookmarkEnd w:id="3"/>
    <w:p w:rsidR="00A034AA" w:rsidRDefault="00211741">
      <w:pPr>
        <w:spacing w:after="0" w:line="240" w:lineRule="auto"/>
        <w:ind w:firstLine="720"/>
        <w:jc w:val="both"/>
        <w:rPr>
          <w:rFonts w:ascii="Arial" w:hAnsi="Arial" w:cs="Arial"/>
          <w:sz w:val="20"/>
          <w:szCs w:val="20"/>
        </w:rPr>
      </w:pPr>
      <w:r>
        <w:rPr>
          <w:rFonts w:ascii="Arial" w:hAnsi="Arial" w:cs="Arial"/>
          <w:sz w:val="20"/>
          <w:szCs w:val="20"/>
        </w:rPr>
        <w:t>This study focused on measuring the level of organizational culture and employee job satisfaction in the Local Government Unit (LGU) of Boston. A descriptive correlation design was em</w:t>
      </w:r>
      <w:r>
        <w:rPr>
          <w:rFonts w:ascii="Arial" w:hAnsi="Arial" w:cs="Arial"/>
          <w:sz w:val="20"/>
          <w:szCs w:val="20"/>
        </w:rPr>
        <w:t xml:space="preserve">ployed to systematically investigate the relationship between these two variables: organizational culture and employee job satisfaction. The complete enumeration method was used, targeting employees who had been working in the LGU for at least six months, </w:t>
      </w:r>
      <w:r>
        <w:rPr>
          <w:rFonts w:ascii="Arial" w:hAnsi="Arial" w:cs="Arial"/>
          <w:sz w:val="20"/>
          <w:szCs w:val="20"/>
        </w:rPr>
        <w:t>regardless of status. This ensured that respondents had sufficient experience and understanding of the organizational culture and job satisfaction factors examined. Moreover, the study utilized adapted questionnaires as instruments for data gathering.</w:t>
      </w:r>
    </w:p>
    <w:p w:rsidR="00A034AA" w:rsidRDefault="00211741">
      <w:pPr>
        <w:spacing w:after="0" w:line="240" w:lineRule="auto"/>
        <w:jc w:val="both"/>
        <w:rPr>
          <w:rFonts w:ascii="Arial" w:hAnsi="Arial" w:cs="Arial"/>
          <w:sz w:val="20"/>
          <w:szCs w:val="20"/>
        </w:rPr>
      </w:pPr>
      <w:r>
        <w:rPr>
          <w:rFonts w:ascii="Arial" w:hAnsi="Arial" w:cs="Arial"/>
          <w:sz w:val="20"/>
          <w:szCs w:val="20"/>
        </w:rPr>
        <w:tab/>
        <w:t>The</w:t>
      </w:r>
      <w:r>
        <w:rPr>
          <w:rFonts w:ascii="Arial" w:hAnsi="Arial" w:cs="Arial"/>
          <w:sz w:val="20"/>
          <w:szCs w:val="20"/>
        </w:rPr>
        <w:t xml:space="preserve"> study assessed the organizational culture and job satisfaction of LGU employees in Boston, revealing that organizational culture was consistently observed in terms of involvement, consistency, adaptability, and mission, with involvement and adaptability b</w:t>
      </w:r>
      <w:r>
        <w:rPr>
          <w:rFonts w:ascii="Arial" w:hAnsi="Arial" w:cs="Arial"/>
          <w:sz w:val="20"/>
          <w:szCs w:val="20"/>
        </w:rPr>
        <w:t>eing the most prominent factors. In terms of job satisfaction, employees were very satisfied with supervision, co-worker relations, and working conditions, while salary and promotion received lower ratings. A moderate positive relationship was found betwee</w:t>
      </w:r>
      <w:r>
        <w:rPr>
          <w:rFonts w:ascii="Arial" w:hAnsi="Arial" w:cs="Arial"/>
          <w:sz w:val="20"/>
          <w:szCs w:val="20"/>
        </w:rPr>
        <w:t>n organizational culture and job satisfaction, indicating that a stronger organizational culture enhances employee satisfaction. Regression analysis identified involvement and adaptability as significant predictors of job satisfaction, while consistency an</w:t>
      </w:r>
      <w:r>
        <w:rPr>
          <w:rFonts w:ascii="Arial" w:hAnsi="Arial" w:cs="Arial"/>
          <w:sz w:val="20"/>
          <w:szCs w:val="20"/>
        </w:rPr>
        <w:t>d mission did not show a significant impact. These findings suggest that fostering employee participation and adaptability is crucial for improving job satisfaction, while salary and career growth opportunities require further attention.</w:t>
      </w:r>
    </w:p>
    <w:p w:rsidR="00A034AA" w:rsidRDefault="00A034AA">
      <w:pPr>
        <w:spacing w:after="0" w:line="240" w:lineRule="auto"/>
        <w:ind w:firstLine="720"/>
        <w:jc w:val="both"/>
        <w:rPr>
          <w:rFonts w:ascii="Arial" w:hAnsi="Arial" w:cs="Arial"/>
          <w:sz w:val="20"/>
          <w:szCs w:val="20"/>
        </w:rPr>
      </w:pPr>
    </w:p>
    <w:p w:rsidR="00A034AA" w:rsidRDefault="00211741">
      <w:pPr>
        <w:shd w:val="clear" w:color="auto" w:fill="FFFFFF" w:themeFill="background1"/>
        <w:spacing w:line="240" w:lineRule="auto"/>
        <w:rPr>
          <w:rFonts w:ascii="Arial" w:eastAsia="Arial" w:hAnsi="Arial" w:cs="Arial"/>
          <w:b/>
          <w:color w:val="000000"/>
          <w:sz w:val="20"/>
          <w:szCs w:val="20"/>
        </w:rPr>
      </w:pPr>
      <w:r>
        <w:rPr>
          <w:rFonts w:ascii="Arial" w:eastAsia="Arial" w:hAnsi="Arial" w:cs="Arial"/>
          <w:b/>
          <w:color w:val="000000"/>
          <w:sz w:val="20"/>
          <w:szCs w:val="20"/>
          <w:highlight w:val="white"/>
        </w:rPr>
        <w:t>Recommendation</w:t>
      </w:r>
    </w:p>
    <w:p w:rsidR="00A034AA" w:rsidRDefault="00211741">
      <w:pPr>
        <w:spacing w:after="0" w:line="240" w:lineRule="auto"/>
        <w:ind w:firstLine="1076"/>
        <w:jc w:val="both"/>
        <w:rPr>
          <w:rFonts w:ascii="Arial" w:eastAsia="Times New Roman" w:hAnsi="Arial" w:cs="Arial"/>
          <w:sz w:val="20"/>
          <w:szCs w:val="20"/>
          <w:lang w:eastAsia="en-PH"/>
        </w:rPr>
      </w:pPr>
      <w:r>
        <w:rPr>
          <w:rFonts w:ascii="Arial" w:eastAsia="Times New Roman" w:hAnsi="Arial" w:cs="Arial"/>
          <w:sz w:val="20"/>
          <w:szCs w:val="20"/>
          <w:lang w:eastAsia="en-PH"/>
        </w:rPr>
        <w:t xml:space="preserve">This study has the following recommendations. </w:t>
      </w:r>
      <w:r>
        <w:rPr>
          <w:rFonts w:ascii="Arial" w:eastAsia="Times New Roman" w:hAnsi="Arial"/>
          <w:sz w:val="20"/>
          <w:szCs w:val="20"/>
          <w:lang w:val="en-US" w:eastAsia="en-PH"/>
        </w:rPr>
        <w:t>First is t</w:t>
      </w:r>
      <w:r>
        <w:rPr>
          <w:rFonts w:ascii="Arial" w:eastAsia="Times New Roman" w:hAnsi="Arial"/>
          <w:sz w:val="20"/>
          <w:szCs w:val="20"/>
          <w:lang w:eastAsia="en-PH"/>
        </w:rPr>
        <w:t xml:space="preserve">o further enhance organizational culture, future studies may consider measuring additional dimensions such as leadership behavior, communication effectiveness, and employee recognition systems. These </w:t>
      </w:r>
      <w:r>
        <w:rPr>
          <w:rFonts w:ascii="Arial" w:eastAsia="Times New Roman" w:hAnsi="Arial"/>
          <w:sz w:val="20"/>
          <w:szCs w:val="20"/>
          <w:lang w:eastAsia="en-PH"/>
        </w:rPr>
        <w:t>aspects may provide a deeper understanding of how cultural practices influence engagement and performance, especially in the context of local governance.</w:t>
      </w:r>
    </w:p>
    <w:p w:rsidR="00A034AA" w:rsidRDefault="00211741">
      <w:pPr>
        <w:spacing w:after="0" w:line="240" w:lineRule="auto"/>
        <w:ind w:left="360" w:firstLine="716"/>
        <w:jc w:val="both"/>
        <w:rPr>
          <w:rFonts w:ascii="Arial" w:eastAsia="Times New Roman" w:hAnsi="Arial" w:cs="Arial"/>
          <w:sz w:val="20"/>
          <w:szCs w:val="20"/>
          <w:lang w:eastAsia="en-PH"/>
        </w:rPr>
      </w:pPr>
      <w:r>
        <w:rPr>
          <w:rFonts w:ascii="Arial" w:eastAsia="Times New Roman" w:hAnsi="Arial"/>
          <w:sz w:val="20"/>
          <w:szCs w:val="20"/>
          <w:lang w:val="en-US" w:eastAsia="en-PH"/>
        </w:rPr>
        <w:t>Second, f</w:t>
      </w:r>
      <w:proofErr w:type="spellStart"/>
      <w:r>
        <w:rPr>
          <w:rFonts w:ascii="Arial" w:eastAsia="Times New Roman" w:hAnsi="Arial"/>
          <w:sz w:val="20"/>
          <w:szCs w:val="20"/>
          <w:lang w:eastAsia="en-PH"/>
        </w:rPr>
        <w:t>uture</w:t>
      </w:r>
      <w:proofErr w:type="spellEnd"/>
      <w:r>
        <w:rPr>
          <w:rFonts w:ascii="Arial" w:eastAsia="Times New Roman" w:hAnsi="Arial"/>
          <w:sz w:val="20"/>
          <w:szCs w:val="20"/>
          <w:lang w:eastAsia="en-PH"/>
        </w:rPr>
        <w:t xml:space="preserve"> research may measure other indicators of job satisfaction, such as job security, work-l</w:t>
      </w:r>
      <w:r>
        <w:rPr>
          <w:rFonts w:ascii="Arial" w:eastAsia="Times New Roman" w:hAnsi="Arial"/>
          <w:sz w:val="20"/>
          <w:szCs w:val="20"/>
          <w:lang w:eastAsia="en-PH"/>
        </w:rPr>
        <w:t>ife balance, or training and development opportunities, which may help identify more comprehensive strategies to enhance employee retention and motivation.</w:t>
      </w:r>
    </w:p>
    <w:p w:rsidR="00A034AA" w:rsidRDefault="00211741">
      <w:pPr>
        <w:spacing w:after="0" w:line="240" w:lineRule="auto"/>
        <w:ind w:left="360" w:firstLine="716"/>
        <w:jc w:val="both"/>
        <w:rPr>
          <w:rFonts w:ascii="Arial" w:eastAsia="Times New Roman" w:hAnsi="Arial" w:cs="Arial"/>
          <w:sz w:val="20"/>
          <w:szCs w:val="20"/>
          <w:lang w:eastAsia="en-PH"/>
        </w:rPr>
      </w:pPr>
      <w:r>
        <w:rPr>
          <w:rFonts w:ascii="Arial" w:eastAsia="Times New Roman" w:hAnsi="Arial" w:cs="Arial"/>
          <w:sz w:val="20"/>
          <w:szCs w:val="20"/>
          <w:lang w:val="en-US" w:eastAsia="en-PH"/>
        </w:rPr>
        <w:t>Third, s</w:t>
      </w:r>
      <w:proofErr w:type="spellStart"/>
      <w:r>
        <w:rPr>
          <w:rFonts w:ascii="Arial" w:eastAsia="Times New Roman" w:hAnsi="Arial" w:cs="Arial"/>
          <w:sz w:val="20"/>
          <w:szCs w:val="20"/>
          <w:lang w:eastAsia="en-PH"/>
        </w:rPr>
        <w:t>ince</w:t>
      </w:r>
      <w:proofErr w:type="spellEnd"/>
      <w:r>
        <w:rPr>
          <w:rFonts w:ascii="Arial" w:eastAsia="Times New Roman" w:hAnsi="Arial" w:cs="Arial"/>
          <w:sz w:val="20"/>
          <w:szCs w:val="20"/>
          <w:lang w:eastAsia="en-PH"/>
        </w:rPr>
        <w:t xml:space="preserve"> organizational culture has a moderate positive relationship with job satisfaction, stre</w:t>
      </w:r>
      <w:r>
        <w:rPr>
          <w:rFonts w:ascii="Arial" w:eastAsia="Times New Roman" w:hAnsi="Arial" w:cs="Arial"/>
          <w:sz w:val="20"/>
          <w:szCs w:val="20"/>
          <w:lang w:eastAsia="en-PH"/>
        </w:rPr>
        <w:t>ngthening cultural initiatives may further enhance employee well-being. The LGU may conduct periodic assessments to ensure that its core values align with employee expectations and workplace realities.</w:t>
      </w:r>
    </w:p>
    <w:p w:rsidR="00A034AA" w:rsidRDefault="00211741">
      <w:pPr>
        <w:spacing w:after="0" w:line="240" w:lineRule="auto"/>
        <w:ind w:left="360" w:firstLine="716"/>
        <w:jc w:val="both"/>
        <w:rPr>
          <w:rFonts w:ascii="Arial" w:eastAsia="Times New Roman" w:hAnsi="Arial" w:cs="Arial"/>
          <w:sz w:val="20"/>
          <w:szCs w:val="20"/>
          <w:lang w:eastAsia="en-PH"/>
        </w:rPr>
      </w:pPr>
      <w:r>
        <w:rPr>
          <w:rFonts w:ascii="Arial" w:eastAsia="Times New Roman" w:hAnsi="Arial" w:cs="Arial"/>
          <w:sz w:val="20"/>
          <w:szCs w:val="20"/>
          <w:lang w:val="en-US" w:eastAsia="en-PH"/>
        </w:rPr>
        <w:t>Lastly, a</w:t>
      </w:r>
      <w:r>
        <w:rPr>
          <w:rFonts w:ascii="Arial" w:eastAsia="Times New Roman" w:hAnsi="Arial" w:cs="Arial"/>
          <w:sz w:val="20"/>
          <w:szCs w:val="20"/>
          <w:lang w:eastAsia="en-PH"/>
        </w:rPr>
        <w:t xml:space="preserve">s involvement and adaptability were found to </w:t>
      </w:r>
      <w:r>
        <w:rPr>
          <w:rFonts w:ascii="Arial" w:eastAsia="Times New Roman" w:hAnsi="Arial" w:cs="Arial"/>
          <w:sz w:val="20"/>
          <w:szCs w:val="20"/>
          <w:lang w:eastAsia="en-PH"/>
        </w:rPr>
        <w:t xml:space="preserve">significantly influence job satisfaction, the LGU may prioritize strategies that encourage active employee participation and continuous adaptation to change. Leadership development programs, mentorship initiatives, and feedback mechanisms may help sustain </w:t>
      </w:r>
      <w:r>
        <w:rPr>
          <w:rFonts w:ascii="Arial" w:eastAsia="Times New Roman" w:hAnsi="Arial" w:cs="Arial"/>
          <w:sz w:val="20"/>
          <w:szCs w:val="20"/>
          <w:lang w:eastAsia="en-PH"/>
        </w:rPr>
        <w:t>a dynamic and engaged workforce.</w:t>
      </w:r>
    </w:p>
    <w:p w:rsidR="00A034AA" w:rsidRDefault="00A034AA">
      <w:pPr>
        <w:pStyle w:val="ListParagraph"/>
        <w:spacing w:line="240" w:lineRule="auto"/>
        <w:ind w:left="630"/>
        <w:rPr>
          <w:rFonts w:cs="Arial"/>
          <w:sz w:val="20"/>
        </w:rPr>
      </w:pPr>
    </w:p>
    <w:p w:rsidR="00604B37" w:rsidRPr="00604B37" w:rsidRDefault="00604B37" w:rsidP="00604B37">
      <w:pPr>
        <w:tabs>
          <w:tab w:val="left" w:pos="1890"/>
        </w:tabs>
        <w:spacing w:after="0" w:line="240" w:lineRule="auto"/>
        <w:jc w:val="both"/>
        <w:rPr>
          <w:rFonts w:ascii="Arial" w:hAnsi="Arial" w:cs="Arial"/>
          <w:b/>
          <w:sz w:val="20"/>
          <w:szCs w:val="20"/>
        </w:rPr>
      </w:pPr>
      <w:r w:rsidRPr="00604B37">
        <w:rPr>
          <w:rFonts w:ascii="Arial" w:hAnsi="Arial" w:cs="Arial"/>
          <w:b/>
          <w:sz w:val="20"/>
          <w:szCs w:val="20"/>
        </w:rPr>
        <w:t>Ethical Approval:</w:t>
      </w:r>
    </w:p>
    <w:p w:rsidR="00604B37" w:rsidRPr="00604B37" w:rsidRDefault="00604B37" w:rsidP="00604B37">
      <w:pPr>
        <w:tabs>
          <w:tab w:val="left" w:pos="1890"/>
        </w:tabs>
        <w:spacing w:after="0" w:line="240" w:lineRule="auto"/>
        <w:jc w:val="both"/>
        <w:rPr>
          <w:rFonts w:ascii="Arial" w:hAnsi="Arial" w:cs="Arial"/>
          <w:sz w:val="20"/>
          <w:szCs w:val="20"/>
        </w:rPr>
      </w:pPr>
    </w:p>
    <w:p w:rsidR="00A034AA" w:rsidRDefault="00604B37" w:rsidP="00604B37">
      <w:pPr>
        <w:tabs>
          <w:tab w:val="left" w:pos="1890"/>
        </w:tabs>
        <w:spacing w:after="0" w:line="240" w:lineRule="auto"/>
        <w:jc w:val="both"/>
        <w:rPr>
          <w:rFonts w:ascii="Arial" w:hAnsi="Arial" w:cs="Arial"/>
          <w:sz w:val="20"/>
          <w:szCs w:val="20"/>
        </w:rPr>
      </w:pPr>
      <w:r w:rsidRPr="00604B37">
        <w:rPr>
          <w:rFonts w:ascii="Arial" w:hAnsi="Arial" w:cs="Arial"/>
          <w:sz w:val="20"/>
          <w:szCs w:val="20"/>
        </w:rPr>
        <w:t>As per international standards or university standards written ethical approval has been collected and preserved by the author(s).</w:t>
      </w:r>
    </w:p>
    <w:p w:rsidR="00A034AA" w:rsidRDefault="00A034AA">
      <w:pPr>
        <w:spacing w:after="0" w:line="240" w:lineRule="auto"/>
        <w:ind w:firstLine="720"/>
        <w:jc w:val="both"/>
        <w:rPr>
          <w:rFonts w:ascii="Arial" w:eastAsia="Arial" w:hAnsi="Arial" w:cs="Arial"/>
          <w:color w:val="000000"/>
          <w:sz w:val="20"/>
          <w:szCs w:val="20"/>
          <w:highlight w:val="white"/>
          <w:lang w:val="en-US" w:eastAsia="en-PH"/>
        </w:rPr>
      </w:pPr>
    </w:p>
    <w:p w:rsidR="00A034AA" w:rsidRDefault="00A034AA">
      <w:pPr>
        <w:spacing w:after="0" w:line="240" w:lineRule="auto"/>
        <w:ind w:firstLine="720"/>
        <w:jc w:val="both"/>
        <w:rPr>
          <w:rFonts w:ascii="Arial" w:eastAsia="Arial" w:hAnsi="Arial" w:cs="Arial"/>
          <w:color w:val="000000"/>
          <w:sz w:val="20"/>
          <w:szCs w:val="20"/>
          <w:highlight w:val="white"/>
          <w:lang w:val="en-US" w:eastAsia="en-PH"/>
        </w:rPr>
      </w:pPr>
    </w:p>
    <w:p w:rsidR="00604B37" w:rsidRPr="00604B37" w:rsidRDefault="00604B37" w:rsidP="00604B37">
      <w:pPr>
        <w:rPr>
          <w:b/>
        </w:rPr>
      </w:pPr>
      <w:r w:rsidRPr="00604B37">
        <w:rPr>
          <w:b/>
        </w:rPr>
        <w:t xml:space="preserve">Consent </w:t>
      </w:r>
    </w:p>
    <w:p w:rsidR="00604B37" w:rsidRPr="00604B37" w:rsidRDefault="00604B37" w:rsidP="00604B37">
      <w:pPr>
        <w:rPr>
          <w:highlight w:val="yellow"/>
        </w:rPr>
      </w:pPr>
      <w:r w:rsidRPr="00604B37">
        <w:t>As per international standards or university standards, Participants’ written consent has been collected and preserved by the author(s).</w:t>
      </w:r>
    </w:p>
    <w:p w:rsidR="00604B37" w:rsidRDefault="00604B37">
      <w:pPr>
        <w:rPr>
          <w:b/>
          <w:highlight w:val="yellow"/>
        </w:rPr>
      </w:pPr>
      <w:bookmarkStart w:id="4" w:name="_GoBack"/>
      <w:bookmarkEnd w:id="4"/>
    </w:p>
    <w:p w:rsidR="00A034AA" w:rsidRPr="00604B37" w:rsidRDefault="00211741">
      <w:pPr>
        <w:rPr>
          <w:b/>
          <w:highlight w:val="yellow"/>
        </w:rPr>
      </w:pPr>
      <w:r w:rsidRPr="00604B37">
        <w:rPr>
          <w:b/>
          <w:highlight w:val="yellow"/>
        </w:rPr>
        <w:t>Disclaimer (Artificial intelligence)</w:t>
      </w:r>
    </w:p>
    <w:p w:rsidR="00A034AA" w:rsidRDefault="00211741">
      <w:pPr>
        <w:rPr>
          <w:highlight w:val="yellow"/>
        </w:rPr>
      </w:pPr>
      <w:r>
        <w:rPr>
          <w:highlight w:val="yellow"/>
        </w:rPr>
        <w:t xml:space="preserve">Option 1: </w:t>
      </w:r>
    </w:p>
    <w:p w:rsidR="00A034AA" w:rsidRDefault="00211741">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COPILOT, etc.) and text-to-image generators have been used during the writing or editing of thi</w:t>
      </w:r>
      <w:r>
        <w:rPr>
          <w:highlight w:val="yellow"/>
        </w:rPr>
        <w:t xml:space="preserve">s manuscript. </w:t>
      </w:r>
    </w:p>
    <w:p w:rsidR="00A034AA" w:rsidRDefault="00211741">
      <w:pPr>
        <w:rPr>
          <w:highlight w:val="yellow"/>
        </w:rPr>
      </w:pPr>
      <w:r>
        <w:rPr>
          <w:highlight w:val="yellow"/>
        </w:rPr>
        <w:t xml:space="preserve">Option 2: </w:t>
      </w:r>
    </w:p>
    <w:p w:rsidR="00A034AA" w:rsidRDefault="00211741">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w:t>
      </w:r>
      <w:r>
        <w:rPr>
          <w:highlight w:val="yellow"/>
        </w:rPr>
        <w:t>nerative AI technology and as well as all input prompts provided to the generative AI technology</w:t>
      </w:r>
    </w:p>
    <w:p w:rsidR="00A034AA" w:rsidRDefault="00211741">
      <w:pPr>
        <w:rPr>
          <w:highlight w:val="yellow"/>
        </w:rPr>
      </w:pPr>
      <w:r>
        <w:rPr>
          <w:highlight w:val="yellow"/>
        </w:rPr>
        <w:t>Details of the AI usage are given below:</w:t>
      </w:r>
    </w:p>
    <w:p w:rsidR="00A034AA" w:rsidRDefault="00211741">
      <w:pPr>
        <w:rPr>
          <w:highlight w:val="yellow"/>
        </w:rPr>
      </w:pPr>
      <w:r>
        <w:rPr>
          <w:highlight w:val="yellow"/>
        </w:rPr>
        <w:t>1.</w:t>
      </w:r>
    </w:p>
    <w:p w:rsidR="00A034AA" w:rsidRDefault="00211741">
      <w:pPr>
        <w:rPr>
          <w:highlight w:val="yellow"/>
        </w:rPr>
      </w:pPr>
      <w:r>
        <w:rPr>
          <w:highlight w:val="yellow"/>
        </w:rPr>
        <w:t>2.</w:t>
      </w:r>
    </w:p>
    <w:p w:rsidR="00A034AA" w:rsidRDefault="00211741">
      <w:r>
        <w:rPr>
          <w:highlight w:val="yellow"/>
        </w:rPr>
        <w:t>3.</w:t>
      </w:r>
    </w:p>
    <w:p w:rsidR="00A034AA" w:rsidRDefault="00A034AA">
      <w:pPr>
        <w:spacing w:after="0" w:line="240" w:lineRule="auto"/>
        <w:ind w:firstLine="720"/>
        <w:jc w:val="both"/>
        <w:rPr>
          <w:rFonts w:ascii="Arial" w:eastAsia="Arial" w:hAnsi="Arial" w:cs="Arial"/>
          <w:color w:val="000000"/>
          <w:sz w:val="20"/>
          <w:szCs w:val="20"/>
          <w:highlight w:val="white"/>
          <w:lang w:val="en-US" w:eastAsia="en-PH"/>
        </w:rPr>
      </w:pPr>
    </w:p>
    <w:p w:rsidR="00A034AA" w:rsidRDefault="00A034AA">
      <w:pPr>
        <w:shd w:val="clear" w:color="auto" w:fill="FFFFFF" w:themeFill="background1"/>
        <w:spacing w:line="240" w:lineRule="auto"/>
      </w:pPr>
    </w:p>
    <w:p w:rsidR="00A034AA" w:rsidRDefault="00211741">
      <w:pPr>
        <w:shd w:val="clear" w:color="auto" w:fill="FFFFFF" w:themeFill="background1"/>
        <w:spacing w:after="60" w:line="240" w:lineRule="auto"/>
      </w:pPr>
      <w:r>
        <w:rPr>
          <w:rFonts w:ascii="Arial" w:eastAsia="Arial" w:hAnsi="Arial" w:cs="Arial"/>
          <w:b/>
          <w:color w:val="000000"/>
          <w:highlight w:val="white"/>
        </w:rPr>
        <w:t>REFERENCES</w:t>
      </w:r>
    </w:p>
    <w:p w:rsidR="00A034AA" w:rsidRDefault="00211741">
      <w:pPr>
        <w:pStyle w:val="NormalWeb"/>
        <w:numPr>
          <w:ilvl w:val="0"/>
          <w:numId w:val="13"/>
        </w:numPr>
        <w:spacing w:afterAutospacing="0"/>
        <w:ind w:left="432" w:hanging="432"/>
        <w:jc w:val="both"/>
        <w:rPr>
          <w:rFonts w:ascii="Arial" w:eastAsia="Georgia" w:hAnsi="Arial" w:cs="Arial"/>
          <w:sz w:val="20"/>
          <w:szCs w:val="20"/>
        </w:rPr>
      </w:pPr>
      <w:proofErr w:type="spellStart"/>
      <w:r>
        <w:rPr>
          <w:rFonts w:ascii="Arial" w:eastAsia="Georgia" w:hAnsi="Arial" w:cs="Arial"/>
          <w:sz w:val="20"/>
          <w:szCs w:val="20"/>
        </w:rPr>
        <w:t>Ariawaty</w:t>
      </w:r>
      <w:proofErr w:type="spellEnd"/>
      <w:r>
        <w:rPr>
          <w:rFonts w:ascii="Arial" w:eastAsia="Georgia" w:hAnsi="Arial" w:cs="Arial"/>
          <w:sz w:val="20"/>
          <w:szCs w:val="20"/>
        </w:rPr>
        <w:t xml:space="preserve">, R. R. N. (2020). Improve employee performance through organizational culture and </w:t>
      </w:r>
      <w:r>
        <w:rPr>
          <w:rFonts w:ascii="Arial" w:eastAsia="Georgia" w:hAnsi="Arial" w:cs="Arial"/>
          <w:sz w:val="20"/>
          <w:szCs w:val="20"/>
        </w:rPr>
        <w:t>employee commitments. </w:t>
      </w:r>
      <w:proofErr w:type="spellStart"/>
      <w:r>
        <w:rPr>
          <w:rFonts w:ascii="Arial" w:eastAsia="Georgia" w:hAnsi="Arial" w:cs="Arial"/>
          <w:i/>
          <w:iCs/>
          <w:sz w:val="20"/>
          <w:szCs w:val="20"/>
        </w:rPr>
        <w:t>Jurnal</w:t>
      </w:r>
      <w:proofErr w:type="spellEnd"/>
      <w:r>
        <w:rPr>
          <w:rFonts w:ascii="Arial" w:eastAsia="Georgia" w:hAnsi="Arial" w:cs="Arial"/>
          <w:i/>
          <w:iCs/>
          <w:sz w:val="20"/>
          <w:szCs w:val="20"/>
        </w:rPr>
        <w:t xml:space="preserve"> </w:t>
      </w:r>
      <w:proofErr w:type="spellStart"/>
      <w:r>
        <w:rPr>
          <w:rFonts w:ascii="Arial" w:eastAsia="Georgia" w:hAnsi="Arial" w:cs="Arial"/>
          <w:i/>
          <w:iCs/>
          <w:sz w:val="20"/>
          <w:szCs w:val="20"/>
        </w:rPr>
        <w:t>Aplikasi</w:t>
      </w:r>
      <w:proofErr w:type="spellEnd"/>
      <w:r>
        <w:rPr>
          <w:rFonts w:ascii="Arial" w:eastAsia="Georgia" w:hAnsi="Arial" w:cs="Arial"/>
          <w:i/>
          <w:iCs/>
          <w:sz w:val="20"/>
          <w:szCs w:val="20"/>
        </w:rPr>
        <w:t xml:space="preserve"> </w:t>
      </w:r>
      <w:proofErr w:type="spellStart"/>
      <w:r>
        <w:rPr>
          <w:rFonts w:ascii="Arial" w:eastAsia="Georgia" w:hAnsi="Arial" w:cs="Arial"/>
          <w:i/>
          <w:iCs/>
          <w:sz w:val="20"/>
          <w:szCs w:val="20"/>
        </w:rPr>
        <w:t>Manajemen</w:t>
      </w:r>
      <w:proofErr w:type="spellEnd"/>
      <w:r>
        <w:rPr>
          <w:rFonts w:ascii="Arial" w:eastAsia="Georgia" w:hAnsi="Arial" w:cs="Arial"/>
          <w:sz w:val="20"/>
          <w:szCs w:val="20"/>
        </w:rPr>
        <w:t>, </w:t>
      </w:r>
      <w:r>
        <w:rPr>
          <w:rFonts w:ascii="Arial" w:eastAsia="Georgia" w:hAnsi="Arial" w:cs="Arial"/>
          <w:i/>
          <w:iCs/>
          <w:sz w:val="20"/>
          <w:szCs w:val="20"/>
        </w:rPr>
        <w:t>18</w:t>
      </w:r>
      <w:r>
        <w:rPr>
          <w:rFonts w:ascii="Arial" w:eastAsia="Georgia" w:hAnsi="Arial" w:cs="Arial"/>
          <w:sz w:val="20"/>
          <w:szCs w:val="20"/>
        </w:rPr>
        <w:t>(2), 318–325. https://doi.org/10.21776/ub.jam.2020.018.02.12</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sz w:val="20"/>
          <w:szCs w:val="20"/>
        </w:rPr>
        <w:t>Assoratgoon</w:t>
      </w:r>
      <w:proofErr w:type="spellEnd"/>
      <w:r>
        <w:rPr>
          <w:rFonts w:ascii="Arial" w:eastAsia="Georgia" w:hAnsi="Arial" w:cs="Arial"/>
          <w:sz w:val="20"/>
          <w:szCs w:val="20"/>
        </w:rPr>
        <w:t xml:space="preserve">, W., &amp; </w:t>
      </w:r>
      <w:proofErr w:type="spellStart"/>
      <w:r>
        <w:rPr>
          <w:rFonts w:ascii="Arial" w:eastAsia="Georgia" w:hAnsi="Arial" w:cs="Arial"/>
          <w:sz w:val="20"/>
          <w:szCs w:val="20"/>
        </w:rPr>
        <w:t>Kantabutra</w:t>
      </w:r>
      <w:proofErr w:type="spellEnd"/>
      <w:r>
        <w:rPr>
          <w:rFonts w:ascii="Arial" w:eastAsia="Georgia" w:hAnsi="Arial" w:cs="Arial"/>
          <w:sz w:val="20"/>
          <w:szCs w:val="20"/>
        </w:rPr>
        <w:t xml:space="preserve">, S. (2023). Toward a sustainability </w:t>
      </w:r>
      <w:r>
        <w:rPr>
          <w:rFonts w:ascii="Arial" w:eastAsia="Georgia" w:hAnsi="Arial" w:cs="Arial"/>
          <w:color w:val="000000"/>
          <w:sz w:val="20"/>
          <w:szCs w:val="20"/>
        </w:rPr>
        <w:t>organizational culture model. </w:t>
      </w:r>
      <w:r>
        <w:rPr>
          <w:rFonts w:ascii="Arial" w:eastAsia="Georgia" w:hAnsi="Arial" w:cs="Arial"/>
          <w:i/>
          <w:iCs/>
          <w:color w:val="000000"/>
          <w:sz w:val="20"/>
          <w:szCs w:val="20"/>
        </w:rPr>
        <w:t>Journal of Cleaner Production</w:t>
      </w:r>
      <w:r>
        <w:rPr>
          <w:rFonts w:ascii="Arial" w:eastAsia="Georgia" w:hAnsi="Arial" w:cs="Arial"/>
          <w:color w:val="000000"/>
          <w:sz w:val="20"/>
          <w:szCs w:val="20"/>
        </w:rPr>
        <w:t>, </w:t>
      </w:r>
      <w:r>
        <w:rPr>
          <w:rFonts w:ascii="Arial" w:eastAsia="Georgia" w:hAnsi="Arial" w:cs="Arial"/>
          <w:i/>
          <w:iCs/>
          <w:color w:val="000000"/>
          <w:sz w:val="20"/>
          <w:szCs w:val="20"/>
        </w:rPr>
        <w:t>400</w:t>
      </w:r>
      <w:r>
        <w:rPr>
          <w:rFonts w:ascii="Arial" w:eastAsia="Georgia" w:hAnsi="Arial" w:cs="Arial"/>
          <w:color w:val="000000"/>
          <w:sz w:val="20"/>
          <w:szCs w:val="20"/>
        </w:rPr>
        <w:t xml:space="preserve">(136666), </w:t>
      </w:r>
      <w:r>
        <w:rPr>
          <w:rFonts w:ascii="Arial" w:eastAsia="Georgia" w:hAnsi="Arial" w:cs="Arial"/>
          <w:color w:val="000000"/>
          <w:sz w:val="20"/>
          <w:szCs w:val="20"/>
        </w:rPr>
        <w:t>136666. https://doi.org/10.1016/j.jclepro.2023.136666</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Bakhshandeh</w:t>
      </w:r>
      <w:proofErr w:type="spellEnd"/>
      <w:r>
        <w:rPr>
          <w:rFonts w:ascii="Arial" w:eastAsia="Georgia" w:hAnsi="Arial" w:cs="Arial"/>
          <w:color w:val="000000"/>
          <w:sz w:val="20"/>
          <w:szCs w:val="20"/>
        </w:rPr>
        <w:t xml:space="preserve">, B., Rothwell, W. J., &amp; </w:t>
      </w:r>
      <w:proofErr w:type="spellStart"/>
      <w:r>
        <w:rPr>
          <w:rFonts w:ascii="Arial" w:eastAsia="Georgia" w:hAnsi="Arial" w:cs="Arial"/>
          <w:color w:val="000000"/>
          <w:sz w:val="20"/>
          <w:szCs w:val="20"/>
        </w:rPr>
        <w:t>Zaballero</w:t>
      </w:r>
      <w:proofErr w:type="spellEnd"/>
      <w:r>
        <w:rPr>
          <w:rFonts w:ascii="Arial" w:eastAsia="Georgia" w:hAnsi="Arial" w:cs="Arial"/>
          <w:color w:val="000000"/>
          <w:sz w:val="20"/>
          <w:szCs w:val="20"/>
        </w:rPr>
        <w:t>, A. G. (2024). </w:t>
      </w:r>
      <w:r>
        <w:rPr>
          <w:rFonts w:ascii="Arial" w:eastAsia="Georgia" w:hAnsi="Arial" w:cs="Arial"/>
          <w:i/>
          <w:iCs/>
          <w:color w:val="000000"/>
          <w:sz w:val="20"/>
          <w:szCs w:val="20"/>
        </w:rPr>
        <w:t>The inclusive, empathetic, and relational supervisor: Managing diverse employees through interpersonal relationships</w:t>
      </w:r>
      <w:r>
        <w:rPr>
          <w:rFonts w:ascii="Arial" w:eastAsia="Georgia" w:hAnsi="Arial" w:cs="Arial"/>
          <w:color w:val="000000"/>
          <w:sz w:val="20"/>
          <w:szCs w:val="20"/>
        </w:rPr>
        <w:t>. CRC Press.</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lastRenderedPageBreak/>
        <w:t xml:space="preserve">Barton, G., </w:t>
      </w:r>
      <w:r>
        <w:rPr>
          <w:rFonts w:ascii="Arial" w:eastAsia="Georgia" w:hAnsi="Arial" w:cs="Arial"/>
          <w:color w:val="000000"/>
          <w:sz w:val="20"/>
          <w:szCs w:val="20"/>
        </w:rPr>
        <w:t>&amp; Le, A. H. (2023). The importance of aesthetics in workplace environments: an investigation into employees’ satisfaction, feelings of safety and comfort in a university. </w:t>
      </w:r>
      <w:r>
        <w:rPr>
          <w:rFonts w:ascii="Arial" w:eastAsia="Georgia" w:hAnsi="Arial" w:cs="Arial"/>
          <w:i/>
          <w:iCs/>
          <w:color w:val="000000"/>
          <w:sz w:val="20"/>
          <w:szCs w:val="20"/>
        </w:rPr>
        <w:t>Facilities</w:t>
      </w:r>
      <w:r>
        <w:rPr>
          <w:rFonts w:ascii="Arial" w:eastAsia="Georgia" w:hAnsi="Arial" w:cs="Arial"/>
          <w:color w:val="000000"/>
          <w:sz w:val="20"/>
          <w:szCs w:val="20"/>
        </w:rPr>
        <w:t>, </w:t>
      </w:r>
      <w:r>
        <w:rPr>
          <w:rFonts w:ascii="Arial" w:eastAsia="Georgia" w:hAnsi="Arial" w:cs="Arial"/>
          <w:i/>
          <w:iCs/>
          <w:color w:val="000000"/>
          <w:sz w:val="20"/>
          <w:szCs w:val="20"/>
        </w:rPr>
        <w:t>41</w:t>
      </w:r>
      <w:r>
        <w:rPr>
          <w:rFonts w:ascii="Arial" w:eastAsia="Georgia" w:hAnsi="Arial" w:cs="Arial"/>
          <w:color w:val="000000"/>
          <w:sz w:val="20"/>
          <w:szCs w:val="20"/>
        </w:rPr>
        <w:t>(13/14), 957–969. https://doi.org/10.1108/f-03-2023-0016</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Bilderback</w:t>
      </w:r>
      <w:proofErr w:type="spellEnd"/>
      <w:r>
        <w:rPr>
          <w:rFonts w:ascii="Arial" w:eastAsia="Georgia" w:hAnsi="Arial" w:cs="Arial"/>
          <w:color w:val="000000"/>
          <w:sz w:val="20"/>
          <w:szCs w:val="20"/>
        </w:rPr>
        <w:t>, S.</w:t>
      </w:r>
      <w:r>
        <w:rPr>
          <w:rFonts w:ascii="Arial" w:eastAsia="Georgia" w:hAnsi="Arial" w:cs="Arial"/>
          <w:color w:val="000000"/>
          <w:sz w:val="20"/>
          <w:szCs w:val="20"/>
        </w:rPr>
        <w:t xml:space="preserve"> (2024). Integrating training for organizational sustainability: the application of Sustainable Development Goals globally. </w:t>
      </w:r>
      <w:r>
        <w:rPr>
          <w:rFonts w:ascii="Arial" w:eastAsia="Georgia" w:hAnsi="Arial" w:cs="Arial"/>
          <w:i/>
          <w:iCs/>
          <w:color w:val="000000"/>
          <w:sz w:val="20"/>
          <w:szCs w:val="20"/>
        </w:rPr>
        <w:t>European Journal of Training and Development</w:t>
      </w:r>
      <w:r>
        <w:rPr>
          <w:rFonts w:ascii="Arial" w:eastAsia="Georgia" w:hAnsi="Arial" w:cs="Arial"/>
          <w:color w:val="000000"/>
          <w:sz w:val="20"/>
          <w:szCs w:val="20"/>
        </w:rPr>
        <w:t>, </w:t>
      </w:r>
      <w:r>
        <w:rPr>
          <w:rFonts w:ascii="Arial" w:eastAsia="Georgia" w:hAnsi="Arial" w:cs="Arial"/>
          <w:i/>
          <w:iCs/>
          <w:color w:val="000000"/>
          <w:sz w:val="20"/>
          <w:szCs w:val="20"/>
        </w:rPr>
        <w:t>48</w:t>
      </w:r>
      <w:r>
        <w:rPr>
          <w:rFonts w:ascii="Arial" w:eastAsia="Georgia" w:hAnsi="Arial" w:cs="Arial"/>
          <w:color w:val="000000"/>
          <w:sz w:val="20"/>
          <w:szCs w:val="20"/>
        </w:rPr>
        <w:t>(7/8), 730–748. https://doi.org/10.1108/ejtd-01-2023-0005</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Calingasan</w:t>
      </w:r>
      <w:proofErr w:type="spellEnd"/>
      <w:r>
        <w:rPr>
          <w:rFonts w:ascii="Arial" w:eastAsia="Georgia" w:hAnsi="Arial" w:cs="Arial"/>
          <w:color w:val="000000"/>
          <w:sz w:val="20"/>
          <w:szCs w:val="20"/>
        </w:rPr>
        <w:t xml:space="preserve">, R. M., </w:t>
      </w:r>
      <w:proofErr w:type="spellStart"/>
      <w:r>
        <w:rPr>
          <w:rFonts w:ascii="Arial" w:eastAsia="Georgia" w:hAnsi="Arial" w:cs="Arial"/>
          <w:color w:val="000000"/>
          <w:sz w:val="20"/>
          <w:szCs w:val="20"/>
        </w:rPr>
        <w:t>Barredo</w:t>
      </w:r>
      <w:proofErr w:type="spellEnd"/>
      <w:r>
        <w:rPr>
          <w:rFonts w:ascii="Arial" w:eastAsia="Georgia" w:hAnsi="Arial" w:cs="Arial"/>
          <w:color w:val="000000"/>
          <w:sz w:val="20"/>
          <w:szCs w:val="20"/>
        </w:rPr>
        <w:t xml:space="preserve">, J. L. B., </w:t>
      </w:r>
      <w:proofErr w:type="spellStart"/>
      <w:r>
        <w:rPr>
          <w:rFonts w:ascii="Arial" w:eastAsia="Georgia" w:hAnsi="Arial" w:cs="Arial"/>
          <w:color w:val="000000"/>
          <w:sz w:val="20"/>
          <w:szCs w:val="20"/>
        </w:rPr>
        <w:t>Bathan</w:t>
      </w:r>
      <w:proofErr w:type="spellEnd"/>
      <w:r>
        <w:rPr>
          <w:rFonts w:ascii="Arial" w:eastAsia="Georgia" w:hAnsi="Arial" w:cs="Arial"/>
          <w:color w:val="000000"/>
          <w:sz w:val="20"/>
          <w:szCs w:val="20"/>
        </w:rPr>
        <w:t xml:space="preserve">, J. P. C., </w:t>
      </w:r>
      <w:proofErr w:type="spellStart"/>
      <w:r>
        <w:rPr>
          <w:rFonts w:ascii="Arial" w:eastAsia="Georgia" w:hAnsi="Arial" w:cs="Arial"/>
          <w:color w:val="000000"/>
          <w:sz w:val="20"/>
          <w:szCs w:val="20"/>
        </w:rPr>
        <w:t>Barredo</w:t>
      </w:r>
      <w:proofErr w:type="spellEnd"/>
      <w:r>
        <w:rPr>
          <w:rFonts w:ascii="Arial" w:eastAsia="Georgia" w:hAnsi="Arial" w:cs="Arial"/>
          <w:color w:val="000000"/>
          <w:sz w:val="20"/>
          <w:szCs w:val="20"/>
        </w:rPr>
        <w:t xml:space="preserve">, J. M. B., Bautista, J. M. N., &amp; </w:t>
      </w:r>
      <w:proofErr w:type="spellStart"/>
      <w:r>
        <w:rPr>
          <w:rFonts w:ascii="Arial" w:eastAsia="Georgia" w:hAnsi="Arial" w:cs="Arial"/>
          <w:color w:val="000000"/>
          <w:sz w:val="20"/>
          <w:szCs w:val="20"/>
        </w:rPr>
        <w:t>Mangarin</w:t>
      </w:r>
      <w:proofErr w:type="spellEnd"/>
      <w:r>
        <w:rPr>
          <w:rFonts w:ascii="Arial" w:eastAsia="Georgia" w:hAnsi="Arial" w:cs="Arial"/>
          <w:color w:val="000000"/>
          <w:sz w:val="20"/>
          <w:szCs w:val="20"/>
        </w:rPr>
        <w:t>, J. A. (2024). </w:t>
      </w:r>
      <w:r>
        <w:rPr>
          <w:rFonts w:ascii="Arial" w:eastAsia="Georgia" w:hAnsi="Arial" w:cs="Arial"/>
          <w:i/>
          <w:iCs/>
          <w:color w:val="000000"/>
          <w:sz w:val="20"/>
          <w:szCs w:val="20"/>
        </w:rPr>
        <w:t>Employee motivation and its impact on performance in first class municipalities of the first district of Batangas</w:t>
      </w:r>
      <w:r>
        <w:rPr>
          <w:rFonts w:ascii="Arial" w:eastAsia="Georgia" w:hAnsi="Arial" w:cs="Arial"/>
          <w:color w:val="000000"/>
          <w:sz w:val="20"/>
          <w:szCs w:val="20"/>
        </w:rPr>
        <w:t>. Get International Research Journal 2 (1):1-16.</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Caparas</w:t>
      </w:r>
      <w:proofErr w:type="spellEnd"/>
      <w:r>
        <w:rPr>
          <w:rFonts w:ascii="Arial" w:eastAsia="Georgia" w:hAnsi="Arial" w:cs="Arial"/>
          <w:color w:val="000000"/>
          <w:sz w:val="20"/>
          <w:szCs w:val="20"/>
        </w:rPr>
        <w:t xml:space="preserve">, M. J. A., </w:t>
      </w:r>
      <w:proofErr w:type="spellStart"/>
      <w:r>
        <w:rPr>
          <w:rFonts w:ascii="Arial" w:eastAsia="Georgia" w:hAnsi="Arial" w:cs="Arial"/>
          <w:color w:val="000000"/>
          <w:sz w:val="20"/>
          <w:szCs w:val="20"/>
        </w:rPr>
        <w:t>Nuñez</w:t>
      </w:r>
      <w:proofErr w:type="spellEnd"/>
      <w:r>
        <w:rPr>
          <w:rFonts w:ascii="Arial" w:eastAsia="Georgia" w:hAnsi="Arial" w:cs="Arial"/>
          <w:color w:val="000000"/>
          <w:sz w:val="20"/>
          <w:szCs w:val="20"/>
        </w:rPr>
        <w:t xml:space="preserve">, L. B., </w:t>
      </w:r>
      <w:proofErr w:type="spellStart"/>
      <w:r>
        <w:rPr>
          <w:rFonts w:ascii="Arial" w:eastAsia="Georgia" w:hAnsi="Arial" w:cs="Arial"/>
          <w:color w:val="000000"/>
          <w:sz w:val="20"/>
          <w:szCs w:val="20"/>
        </w:rPr>
        <w:t>Gisulga</w:t>
      </w:r>
      <w:proofErr w:type="spellEnd"/>
      <w:r>
        <w:rPr>
          <w:rFonts w:ascii="Arial" w:eastAsia="Georgia" w:hAnsi="Arial" w:cs="Arial"/>
          <w:color w:val="000000"/>
          <w:sz w:val="20"/>
          <w:szCs w:val="20"/>
        </w:rPr>
        <w:t xml:space="preserve">, S. B., </w:t>
      </w:r>
      <w:proofErr w:type="spellStart"/>
      <w:r>
        <w:rPr>
          <w:rFonts w:ascii="Arial" w:eastAsia="Georgia" w:hAnsi="Arial" w:cs="Arial"/>
          <w:color w:val="000000"/>
          <w:sz w:val="20"/>
          <w:szCs w:val="20"/>
        </w:rPr>
        <w:t>Edullantes</w:t>
      </w:r>
      <w:proofErr w:type="spellEnd"/>
      <w:r>
        <w:rPr>
          <w:rFonts w:ascii="Arial" w:eastAsia="Georgia" w:hAnsi="Arial" w:cs="Arial"/>
          <w:color w:val="000000"/>
          <w:sz w:val="20"/>
          <w:szCs w:val="20"/>
        </w:rPr>
        <w:t xml:space="preserve">, M. P., Omega, R. G., &amp; </w:t>
      </w:r>
      <w:proofErr w:type="spellStart"/>
      <w:r>
        <w:rPr>
          <w:rFonts w:ascii="Arial" w:eastAsia="Georgia" w:hAnsi="Arial" w:cs="Arial"/>
          <w:color w:val="000000"/>
          <w:sz w:val="20"/>
          <w:szCs w:val="20"/>
        </w:rPr>
        <w:t>Custodio</w:t>
      </w:r>
      <w:proofErr w:type="spellEnd"/>
      <w:r>
        <w:rPr>
          <w:rFonts w:ascii="Arial" w:eastAsia="Georgia" w:hAnsi="Arial" w:cs="Arial"/>
          <w:color w:val="000000"/>
          <w:sz w:val="20"/>
          <w:szCs w:val="20"/>
        </w:rPr>
        <w:t xml:space="preserve">, I. D. B. (2024). The BIDANI strategy in the face of the new normal: Learning from the experiences of </w:t>
      </w:r>
      <w:proofErr w:type="spellStart"/>
      <w:r>
        <w:rPr>
          <w:rFonts w:ascii="Arial" w:eastAsia="Georgia" w:hAnsi="Arial" w:cs="Arial"/>
          <w:color w:val="000000"/>
          <w:sz w:val="20"/>
          <w:szCs w:val="20"/>
        </w:rPr>
        <w:t>baybay</w:t>
      </w:r>
      <w:proofErr w:type="spellEnd"/>
      <w:r>
        <w:rPr>
          <w:rFonts w:ascii="Arial" w:eastAsia="Georgia" w:hAnsi="Arial" w:cs="Arial"/>
          <w:color w:val="000000"/>
          <w:sz w:val="20"/>
          <w:szCs w:val="20"/>
        </w:rPr>
        <w:t xml:space="preserve"> city in Leyte, Philippines. </w:t>
      </w:r>
      <w:r>
        <w:rPr>
          <w:rFonts w:ascii="Arial" w:eastAsia="Georgia" w:hAnsi="Arial" w:cs="Arial"/>
          <w:i/>
          <w:iCs/>
          <w:color w:val="000000"/>
          <w:sz w:val="20"/>
          <w:szCs w:val="20"/>
        </w:rPr>
        <w:t xml:space="preserve">Journal of Human Ecology </w:t>
      </w:r>
      <w:r>
        <w:rPr>
          <w:rFonts w:ascii="Arial" w:eastAsia="Georgia" w:hAnsi="Arial" w:cs="Arial"/>
          <w:i/>
          <w:iCs/>
          <w:color w:val="000000"/>
          <w:sz w:val="20"/>
          <w:szCs w:val="20"/>
        </w:rPr>
        <w:t>and Sustainability</w:t>
      </w:r>
      <w:r>
        <w:rPr>
          <w:rFonts w:ascii="Arial" w:eastAsia="Georgia" w:hAnsi="Arial" w:cs="Arial"/>
          <w:color w:val="000000"/>
          <w:sz w:val="20"/>
          <w:szCs w:val="20"/>
        </w:rPr>
        <w:t>, </w:t>
      </w:r>
      <w:r>
        <w:rPr>
          <w:rFonts w:ascii="Arial" w:eastAsia="Georgia" w:hAnsi="Arial" w:cs="Arial"/>
          <w:i/>
          <w:iCs/>
          <w:color w:val="000000"/>
          <w:sz w:val="20"/>
          <w:szCs w:val="20"/>
        </w:rPr>
        <w:t>2</w:t>
      </w:r>
      <w:r>
        <w:rPr>
          <w:rFonts w:ascii="Arial" w:eastAsia="Georgia" w:hAnsi="Arial" w:cs="Arial"/>
          <w:color w:val="000000"/>
          <w:sz w:val="20"/>
          <w:szCs w:val="20"/>
        </w:rPr>
        <w:t>(2), 1. https://doi.org/10.22004/AG.ECON.339874</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Chaudhary, A., Cheema, A. U., Sheikh, L., &amp; Islam, T. (2023). How does compulsory citizenship behavior disturb police employees’ psychological health? The roles of work–family conflict an</w:t>
      </w:r>
      <w:r>
        <w:rPr>
          <w:rFonts w:ascii="Arial" w:eastAsia="Georgia" w:hAnsi="Arial" w:cs="Arial"/>
          <w:color w:val="000000"/>
          <w:sz w:val="20"/>
          <w:szCs w:val="20"/>
        </w:rPr>
        <w:t>d putting family first. </w:t>
      </w:r>
      <w:r>
        <w:rPr>
          <w:rFonts w:ascii="Arial" w:eastAsia="Georgia" w:hAnsi="Arial" w:cs="Arial"/>
          <w:i/>
          <w:iCs/>
          <w:color w:val="000000"/>
          <w:sz w:val="20"/>
          <w:szCs w:val="20"/>
        </w:rPr>
        <w:t>International Journal of Public Sector Management</w:t>
      </w:r>
      <w:r>
        <w:rPr>
          <w:rFonts w:ascii="Arial" w:eastAsia="Georgia" w:hAnsi="Arial" w:cs="Arial"/>
          <w:color w:val="000000"/>
          <w:sz w:val="20"/>
          <w:szCs w:val="20"/>
        </w:rPr>
        <w:t>, </w:t>
      </w:r>
      <w:r>
        <w:rPr>
          <w:rFonts w:ascii="Arial" w:eastAsia="Georgia" w:hAnsi="Arial" w:cs="Arial"/>
          <w:i/>
          <w:iCs/>
          <w:color w:val="000000"/>
          <w:sz w:val="20"/>
          <w:szCs w:val="20"/>
        </w:rPr>
        <w:t>36</w:t>
      </w:r>
      <w:r>
        <w:rPr>
          <w:rFonts w:ascii="Arial" w:eastAsia="Georgia" w:hAnsi="Arial" w:cs="Arial"/>
          <w:color w:val="000000"/>
          <w:sz w:val="20"/>
          <w:szCs w:val="20"/>
        </w:rPr>
        <w:t>(4/5), 420–439. https://doi.org/10.1108/ijpsm-03-2023-0073</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Chen, J. K. C. (2020). Perspective on the influence of leadership on job satisfaction and lower employee turnover in the</w:t>
      </w:r>
      <w:r>
        <w:rPr>
          <w:rFonts w:ascii="Arial" w:eastAsia="Georgia" w:hAnsi="Arial" w:cs="Arial"/>
          <w:color w:val="000000"/>
          <w:sz w:val="20"/>
          <w:szCs w:val="20"/>
        </w:rPr>
        <w:t xml:space="preserve"> mineral industry. </w:t>
      </w:r>
      <w:r>
        <w:rPr>
          <w:rFonts w:ascii="Arial" w:eastAsia="Georgia" w:hAnsi="Arial" w:cs="Arial"/>
          <w:i/>
          <w:iCs/>
          <w:color w:val="000000"/>
          <w:sz w:val="20"/>
          <w:szCs w:val="20"/>
        </w:rPr>
        <w:t>Sustainability</w:t>
      </w:r>
      <w:r>
        <w:rPr>
          <w:rFonts w:ascii="Arial" w:eastAsia="Georgia" w:hAnsi="Arial" w:cs="Arial"/>
          <w:color w:val="000000"/>
          <w:sz w:val="20"/>
          <w:szCs w:val="20"/>
        </w:rPr>
        <w:t>, </w:t>
      </w:r>
      <w:r>
        <w:rPr>
          <w:rFonts w:ascii="Arial" w:eastAsia="Georgia" w:hAnsi="Arial" w:cs="Arial"/>
          <w:i/>
          <w:iCs/>
          <w:color w:val="000000"/>
          <w:sz w:val="20"/>
          <w:szCs w:val="20"/>
        </w:rPr>
        <w:t>12</w:t>
      </w:r>
      <w:r>
        <w:rPr>
          <w:rFonts w:ascii="Arial" w:eastAsia="Georgia" w:hAnsi="Arial" w:cs="Arial"/>
          <w:color w:val="000000"/>
          <w:sz w:val="20"/>
          <w:szCs w:val="20"/>
        </w:rPr>
        <w:t>(14), 5690. https://doi.org/10.3390/su12145690</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Denison, &amp; </w:t>
      </w:r>
      <w:proofErr w:type="spellStart"/>
      <w:r>
        <w:rPr>
          <w:rFonts w:ascii="Arial" w:eastAsia="Georgia" w:hAnsi="Arial" w:cs="Arial"/>
          <w:color w:val="000000"/>
          <w:sz w:val="20"/>
          <w:szCs w:val="20"/>
        </w:rPr>
        <w:t>Janovics</w:t>
      </w:r>
      <w:proofErr w:type="spellEnd"/>
      <w:r>
        <w:rPr>
          <w:rFonts w:ascii="Arial" w:eastAsia="Georgia" w:hAnsi="Arial" w:cs="Arial"/>
          <w:color w:val="000000"/>
          <w:sz w:val="20"/>
          <w:szCs w:val="20"/>
        </w:rPr>
        <w:t>. (2016). </w:t>
      </w:r>
      <w:r>
        <w:rPr>
          <w:rFonts w:ascii="Arial" w:eastAsia="Georgia" w:hAnsi="Arial" w:cs="Arial"/>
          <w:i/>
          <w:iCs/>
          <w:color w:val="000000"/>
          <w:sz w:val="20"/>
          <w:szCs w:val="20"/>
        </w:rPr>
        <w:t>Diagnosing Organizational Cultures: Validating a Model and Method</w:t>
      </w:r>
      <w:r>
        <w:rPr>
          <w:rFonts w:ascii="Arial" w:eastAsia="Georgia" w:hAnsi="Arial" w:cs="Arial"/>
          <w:color w:val="000000"/>
          <w:sz w:val="20"/>
          <w:szCs w:val="20"/>
        </w:rPr>
        <w:t>.</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Dong, W. X., &amp; </w:t>
      </w:r>
      <w:proofErr w:type="spellStart"/>
      <w:r>
        <w:rPr>
          <w:rFonts w:ascii="Arial" w:eastAsia="Georgia" w:hAnsi="Arial" w:cs="Arial"/>
          <w:color w:val="000000"/>
          <w:sz w:val="20"/>
          <w:szCs w:val="20"/>
        </w:rPr>
        <w:t>Loang</w:t>
      </w:r>
      <w:proofErr w:type="spellEnd"/>
      <w:r>
        <w:rPr>
          <w:rFonts w:ascii="Arial" w:eastAsia="Georgia" w:hAnsi="Arial" w:cs="Arial"/>
          <w:color w:val="000000"/>
          <w:sz w:val="20"/>
          <w:szCs w:val="20"/>
        </w:rPr>
        <w:t>, O. K. (2023). </w:t>
      </w:r>
      <w:r>
        <w:rPr>
          <w:rFonts w:ascii="Arial" w:eastAsia="Georgia" w:hAnsi="Arial" w:cs="Arial"/>
          <w:i/>
          <w:iCs/>
          <w:color w:val="000000"/>
          <w:sz w:val="20"/>
          <w:szCs w:val="20"/>
        </w:rPr>
        <w:t xml:space="preserve">The influence of salary compensation on </w:t>
      </w:r>
      <w:r>
        <w:rPr>
          <w:rFonts w:ascii="Arial" w:eastAsia="Georgia" w:hAnsi="Arial" w:cs="Arial"/>
          <w:i/>
          <w:iCs/>
          <w:color w:val="000000"/>
          <w:sz w:val="20"/>
          <w:szCs w:val="20"/>
        </w:rPr>
        <w:t xml:space="preserve">employee performance in </w:t>
      </w:r>
      <w:proofErr w:type="spellStart"/>
      <w:r>
        <w:rPr>
          <w:rFonts w:ascii="Arial" w:eastAsia="Georgia" w:hAnsi="Arial" w:cs="Arial"/>
          <w:i/>
          <w:iCs/>
          <w:color w:val="000000"/>
          <w:sz w:val="20"/>
          <w:szCs w:val="20"/>
        </w:rPr>
        <w:t>Shengshitongda</w:t>
      </w:r>
      <w:proofErr w:type="spellEnd"/>
      <w:r>
        <w:rPr>
          <w:rFonts w:ascii="Arial" w:eastAsia="Georgia" w:hAnsi="Arial" w:cs="Arial"/>
          <w:i/>
          <w:iCs/>
          <w:color w:val="000000"/>
          <w:sz w:val="20"/>
          <w:szCs w:val="20"/>
        </w:rPr>
        <w:t>: A qualitative investigation</w:t>
      </w:r>
      <w:r>
        <w:rPr>
          <w:rFonts w:ascii="Arial" w:eastAsia="Georgia" w:hAnsi="Arial" w:cs="Arial"/>
          <w:color w:val="000000"/>
          <w:sz w:val="20"/>
          <w:szCs w:val="20"/>
        </w:rPr>
        <w:t>.</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Dutta, A., &amp; </w:t>
      </w:r>
      <w:proofErr w:type="spellStart"/>
      <w:r>
        <w:rPr>
          <w:rFonts w:ascii="Arial" w:eastAsia="Georgia" w:hAnsi="Arial" w:cs="Arial"/>
          <w:color w:val="000000"/>
          <w:sz w:val="20"/>
          <w:szCs w:val="20"/>
        </w:rPr>
        <w:t>Rangnekar</w:t>
      </w:r>
      <w:proofErr w:type="spellEnd"/>
      <w:r>
        <w:rPr>
          <w:rFonts w:ascii="Arial" w:eastAsia="Georgia" w:hAnsi="Arial" w:cs="Arial"/>
          <w:color w:val="000000"/>
          <w:sz w:val="20"/>
          <w:szCs w:val="20"/>
        </w:rPr>
        <w:t>, S. (2024). Preference for teamwork, personal interaction and communities of practice: does co-worker support matter? </w:t>
      </w:r>
      <w:r>
        <w:rPr>
          <w:rFonts w:ascii="Arial" w:eastAsia="Georgia" w:hAnsi="Arial" w:cs="Arial"/>
          <w:i/>
          <w:iCs/>
          <w:color w:val="000000"/>
          <w:sz w:val="20"/>
          <w:szCs w:val="20"/>
        </w:rPr>
        <w:t>VINE Journal of Information and Knowledge Mana</w:t>
      </w:r>
      <w:r>
        <w:rPr>
          <w:rFonts w:ascii="Arial" w:eastAsia="Georgia" w:hAnsi="Arial" w:cs="Arial"/>
          <w:i/>
          <w:iCs/>
          <w:color w:val="000000"/>
          <w:sz w:val="20"/>
          <w:szCs w:val="20"/>
        </w:rPr>
        <w:t>gement Systems</w:t>
      </w:r>
      <w:r>
        <w:rPr>
          <w:rFonts w:ascii="Arial" w:eastAsia="Georgia" w:hAnsi="Arial" w:cs="Arial"/>
          <w:color w:val="000000"/>
          <w:sz w:val="20"/>
          <w:szCs w:val="20"/>
        </w:rPr>
        <w:t>, </w:t>
      </w:r>
      <w:r>
        <w:rPr>
          <w:rFonts w:ascii="Arial" w:eastAsia="Georgia" w:hAnsi="Arial" w:cs="Arial"/>
          <w:i/>
          <w:iCs/>
          <w:color w:val="000000"/>
          <w:sz w:val="20"/>
          <w:szCs w:val="20"/>
        </w:rPr>
        <w:t>54</w:t>
      </w:r>
      <w:r>
        <w:rPr>
          <w:rFonts w:ascii="Arial" w:eastAsia="Georgia" w:hAnsi="Arial" w:cs="Arial"/>
          <w:color w:val="000000"/>
          <w:sz w:val="20"/>
          <w:szCs w:val="20"/>
        </w:rPr>
        <w:t>(4), 841–860. https://doi.org/10.1108/vjikms-11-2021-0284</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Eldor</w:t>
      </w:r>
      <w:proofErr w:type="spellEnd"/>
      <w:r>
        <w:rPr>
          <w:rFonts w:ascii="Arial" w:eastAsia="Georgia" w:hAnsi="Arial" w:cs="Arial"/>
          <w:color w:val="000000"/>
          <w:sz w:val="20"/>
          <w:szCs w:val="20"/>
        </w:rPr>
        <w:t>, L. (2020). How collective engagement creates competitive advantage for organizations: A business‐level model of shared vision, competitive intensity, and service performance</w:t>
      </w:r>
      <w:r>
        <w:rPr>
          <w:rFonts w:ascii="Arial" w:eastAsia="Georgia" w:hAnsi="Arial" w:cs="Arial"/>
          <w:color w:val="000000"/>
          <w:sz w:val="20"/>
          <w:szCs w:val="20"/>
        </w:rPr>
        <w:t>. </w:t>
      </w:r>
      <w:r>
        <w:rPr>
          <w:rFonts w:ascii="Arial" w:eastAsia="Georgia" w:hAnsi="Arial" w:cs="Arial"/>
          <w:i/>
          <w:iCs/>
          <w:color w:val="000000"/>
          <w:sz w:val="20"/>
          <w:szCs w:val="20"/>
        </w:rPr>
        <w:t>The Journal of Management Studies</w:t>
      </w:r>
      <w:r>
        <w:rPr>
          <w:rFonts w:ascii="Arial" w:eastAsia="Georgia" w:hAnsi="Arial" w:cs="Arial"/>
          <w:color w:val="000000"/>
          <w:sz w:val="20"/>
          <w:szCs w:val="20"/>
        </w:rPr>
        <w:t>, </w:t>
      </w:r>
      <w:r>
        <w:rPr>
          <w:rFonts w:ascii="Arial" w:eastAsia="Georgia" w:hAnsi="Arial" w:cs="Arial"/>
          <w:i/>
          <w:iCs/>
          <w:color w:val="000000"/>
          <w:sz w:val="20"/>
          <w:szCs w:val="20"/>
        </w:rPr>
        <w:t>57</w:t>
      </w:r>
      <w:r>
        <w:rPr>
          <w:rFonts w:ascii="Arial" w:eastAsia="Georgia" w:hAnsi="Arial" w:cs="Arial"/>
          <w:color w:val="000000"/>
          <w:sz w:val="20"/>
          <w:szCs w:val="20"/>
        </w:rPr>
        <w:t>(2), 177–209. https://doi.org/10.1111/joms.12438</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Ford, R. C., Newman, S. A., &amp; Ford, L. R. (2023). Giving to get loyalty: How organizations signal their loyalty to employees. </w:t>
      </w:r>
      <w:r>
        <w:rPr>
          <w:rFonts w:ascii="Arial" w:eastAsia="Georgia" w:hAnsi="Arial" w:cs="Arial"/>
          <w:i/>
          <w:iCs/>
          <w:color w:val="000000"/>
          <w:sz w:val="20"/>
          <w:szCs w:val="20"/>
        </w:rPr>
        <w:t>Organizational Dynamics</w:t>
      </w:r>
      <w:r>
        <w:rPr>
          <w:rFonts w:ascii="Arial" w:eastAsia="Georgia" w:hAnsi="Arial" w:cs="Arial"/>
          <w:color w:val="000000"/>
          <w:sz w:val="20"/>
          <w:szCs w:val="20"/>
        </w:rPr>
        <w:t>, </w:t>
      </w:r>
      <w:r>
        <w:rPr>
          <w:rFonts w:ascii="Arial" w:eastAsia="Georgia" w:hAnsi="Arial" w:cs="Arial"/>
          <w:i/>
          <w:iCs/>
          <w:color w:val="000000"/>
          <w:sz w:val="20"/>
          <w:szCs w:val="20"/>
        </w:rPr>
        <w:t>52</w:t>
      </w:r>
      <w:r>
        <w:rPr>
          <w:rFonts w:ascii="Arial" w:eastAsia="Georgia" w:hAnsi="Arial" w:cs="Arial"/>
          <w:color w:val="000000"/>
          <w:sz w:val="20"/>
          <w:szCs w:val="20"/>
        </w:rPr>
        <w:t xml:space="preserve">(1), 100956. </w:t>
      </w:r>
      <w:r>
        <w:rPr>
          <w:rFonts w:ascii="Arial" w:eastAsia="Georgia" w:hAnsi="Arial" w:cs="Arial"/>
          <w:color w:val="000000"/>
          <w:sz w:val="20"/>
          <w:szCs w:val="20"/>
        </w:rPr>
        <w:t>https://doi.org/10.1016/j.orgdyn.2022.100956</w:t>
      </w:r>
    </w:p>
    <w:p w:rsidR="00A034AA" w:rsidRDefault="00211741">
      <w:pPr>
        <w:pStyle w:val="NormalWeb"/>
        <w:numPr>
          <w:ilvl w:val="0"/>
          <w:numId w:val="13"/>
        </w:numPr>
        <w:spacing w:before="100" w:after="60" w:afterAutospacing="0" w:line="30" w:lineRule="atLeast"/>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Hasan, T., &amp; Sadat, A. (2023). Dynamics of Job Satisfaction in Bangladesh's Banking Sector Implications for Employee Engagement and Organizational Success. </w:t>
      </w:r>
      <w:r>
        <w:rPr>
          <w:rFonts w:ascii="Arial" w:hAnsi="Arial" w:cs="Arial"/>
          <w:i/>
          <w:iCs/>
          <w:color w:val="222222"/>
          <w:sz w:val="20"/>
          <w:szCs w:val="20"/>
          <w:shd w:val="clear" w:color="auto" w:fill="FFFFFF"/>
        </w:rPr>
        <w:t>Journal of Business and Economic Options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(4), 36-42.</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Herawati</w:t>
      </w:r>
      <w:proofErr w:type="spellEnd"/>
      <w:r>
        <w:rPr>
          <w:rFonts w:ascii="Arial" w:eastAsia="Georgia" w:hAnsi="Arial" w:cs="Arial"/>
          <w:color w:val="000000"/>
          <w:sz w:val="20"/>
          <w:szCs w:val="20"/>
        </w:rPr>
        <w:t xml:space="preserve">, H., </w:t>
      </w:r>
      <w:proofErr w:type="spellStart"/>
      <w:r>
        <w:rPr>
          <w:rFonts w:ascii="Arial" w:eastAsia="Georgia" w:hAnsi="Arial" w:cs="Arial"/>
          <w:color w:val="000000"/>
          <w:sz w:val="20"/>
          <w:szCs w:val="20"/>
        </w:rPr>
        <w:t>Setyadi</w:t>
      </w:r>
      <w:proofErr w:type="spellEnd"/>
      <w:r>
        <w:rPr>
          <w:rFonts w:ascii="Arial" w:eastAsia="Georgia" w:hAnsi="Arial" w:cs="Arial"/>
          <w:color w:val="000000"/>
          <w:sz w:val="20"/>
          <w:szCs w:val="20"/>
        </w:rPr>
        <w:t xml:space="preserve">, D., Michael, M., &amp; </w:t>
      </w:r>
      <w:proofErr w:type="spellStart"/>
      <w:r>
        <w:rPr>
          <w:rFonts w:ascii="Arial" w:eastAsia="Georgia" w:hAnsi="Arial" w:cs="Arial"/>
          <w:color w:val="000000"/>
          <w:sz w:val="20"/>
          <w:szCs w:val="20"/>
        </w:rPr>
        <w:t>Hidayati</w:t>
      </w:r>
      <w:proofErr w:type="spellEnd"/>
      <w:r>
        <w:rPr>
          <w:rFonts w:ascii="Arial" w:eastAsia="Georgia" w:hAnsi="Arial" w:cs="Arial"/>
          <w:color w:val="000000"/>
          <w:sz w:val="20"/>
          <w:szCs w:val="20"/>
        </w:rPr>
        <w:t>, T. (2023). The effect of workload, supervisor, and coworker supports on job performance through job satisfaction. </w:t>
      </w:r>
      <w:r>
        <w:rPr>
          <w:rFonts w:ascii="Arial" w:eastAsia="Georgia" w:hAnsi="Arial" w:cs="Arial"/>
          <w:i/>
          <w:iCs/>
          <w:color w:val="000000"/>
          <w:sz w:val="20"/>
          <w:szCs w:val="20"/>
        </w:rPr>
        <w:t>International Journal of Finance, Economics and Business</w:t>
      </w:r>
      <w:r>
        <w:rPr>
          <w:rFonts w:ascii="Arial" w:eastAsia="Georgia" w:hAnsi="Arial" w:cs="Arial"/>
          <w:color w:val="000000"/>
          <w:sz w:val="20"/>
          <w:szCs w:val="20"/>
        </w:rPr>
        <w:t>, </w:t>
      </w:r>
      <w:r>
        <w:rPr>
          <w:rFonts w:ascii="Arial" w:eastAsia="Georgia" w:hAnsi="Arial" w:cs="Arial"/>
          <w:i/>
          <w:iCs/>
          <w:color w:val="000000"/>
          <w:sz w:val="20"/>
          <w:szCs w:val="20"/>
        </w:rPr>
        <w:t>2</w:t>
      </w:r>
      <w:r>
        <w:rPr>
          <w:rFonts w:ascii="Arial" w:eastAsia="Georgia" w:hAnsi="Arial" w:cs="Arial"/>
          <w:color w:val="000000"/>
          <w:sz w:val="20"/>
          <w:szCs w:val="20"/>
        </w:rPr>
        <w:t>(1), 13–33. https://doi.org/10.</w:t>
      </w:r>
      <w:r>
        <w:rPr>
          <w:rFonts w:ascii="Arial" w:eastAsia="Georgia" w:hAnsi="Arial" w:cs="Arial"/>
          <w:color w:val="000000"/>
          <w:sz w:val="20"/>
          <w:szCs w:val="20"/>
        </w:rPr>
        <w:t>56225/ijfeb.v2i1.168</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Iortimbir</w:t>
      </w:r>
      <w:proofErr w:type="spellEnd"/>
      <w:r>
        <w:rPr>
          <w:rFonts w:ascii="Arial" w:eastAsia="Georgia" w:hAnsi="Arial" w:cs="Arial"/>
          <w:color w:val="000000"/>
          <w:sz w:val="20"/>
          <w:szCs w:val="20"/>
        </w:rPr>
        <w:t xml:space="preserve"> </w:t>
      </w:r>
      <w:proofErr w:type="spellStart"/>
      <w:r>
        <w:rPr>
          <w:rFonts w:ascii="Arial" w:eastAsia="Georgia" w:hAnsi="Arial" w:cs="Arial"/>
          <w:color w:val="000000"/>
          <w:sz w:val="20"/>
          <w:szCs w:val="20"/>
        </w:rPr>
        <w:t>Aun</w:t>
      </w:r>
      <w:proofErr w:type="spellEnd"/>
      <w:r>
        <w:rPr>
          <w:rFonts w:ascii="Arial" w:eastAsia="Georgia" w:hAnsi="Arial" w:cs="Arial"/>
          <w:color w:val="000000"/>
          <w:sz w:val="20"/>
          <w:szCs w:val="20"/>
        </w:rPr>
        <w:t>, I. A., Abdul, F. A., Mustapha, Y. I., &amp; Oladipo, G. T. (2023). Impact of organizational mission on innovation: Evidence from Guarantee Trust Bank, Nigeria. </w:t>
      </w:r>
      <w:r>
        <w:rPr>
          <w:rFonts w:ascii="Arial" w:eastAsia="Georgia" w:hAnsi="Arial" w:cs="Arial"/>
          <w:i/>
          <w:iCs/>
          <w:color w:val="000000"/>
          <w:sz w:val="20"/>
          <w:szCs w:val="20"/>
        </w:rPr>
        <w:t>Journal of Innovation in Business and Economics</w:t>
      </w:r>
      <w:r>
        <w:rPr>
          <w:rFonts w:ascii="Arial" w:eastAsia="Georgia" w:hAnsi="Arial" w:cs="Arial"/>
          <w:color w:val="000000"/>
          <w:sz w:val="20"/>
          <w:szCs w:val="20"/>
        </w:rPr>
        <w:t>, </w:t>
      </w:r>
      <w:r>
        <w:rPr>
          <w:rFonts w:ascii="Arial" w:eastAsia="Georgia" w:hAnsi="Arial" w:cs="Arial"/>
          <w:i/>
          <w:iCs/>
          <w:color w:val="000000"/>
          <w:sz w:val="20"/>
          <w:szCs w:val="20"/>
        </w:rPr>
        <w:t>7</w:t>
      </w:r>
      <w:r>
        <w:rPr>
          <w:rFonts w:ascii="Arial" w:eastAsia="Georgia" w:hAnsi="Arial" w:cs="Arial"/>
          <w:color w:val="000000"/>
          <w:sz w:val="20"/>
          <w:szCs w:val="20"/>
        </w:rPr>
        <w:t>(01), 51–60. h</w:t>
      </w:r>
      <w:r>
        <w:rPr>
          <w:rFonts w:ascii="Arial" w:eastAsia="Georgia" w:hAnsi="Arial" w:cs="Arial"/>
          <w:color w:val="000000"/>
          <w:sz w:val="20"/>
          <w:szCs w:val="20"/>
        </w:rPr>
        <w:t>ttps://doi.org/10.22219/jibe.v7i01.18579</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Jena, L., &amp; Nayak, U. (2023). Organizational career development and retention of millennial employees: role of job satisfaction, organizational engagement and employee </w:t>
      </w:r>
      <w:r>
        <w:rPr>
          <w:rFonts w:ascii="Arial" w:eastAsia="Georgia" w:hAnsi="Arial" w:cs="Arial"/>
          <w:color w:val="000000"/>
          <w:sz w:val="20"/>
          <w:szCs w:val="20"/>
        </w:rPr>
        <w:lastRenderedPageBreak/>
        <w:t>empowerment. </w:t>
      </w:r>
      <w:r>
        <w:rPr>
          <w:rFonts w:ascii="Arial" w:eastAsia="Georgia" w:hAnsi="Arial" w:cs="Arial"/>
          <w:i/>
          <w:iCs/>
          <w:color w:val="000000"/>
          <w:sz w:val="20"/>
          <w:szCs w:val="20"/>
        </w:rPr>
        <w:t>International Journal of Organizat</w:t>
      </w:r>
      <w:r>
        <w:rPr>
          <w:rFonts w:ascii="Arial" w:eastAsia="Georgia" w:hAnsi="Arial" w:cs="Arial"/>
          <w:i/>
          <w:iCs/>
          <w:color w:val="000000"/>
          <w:sz w:val="20"/>
          <w:szCs w:val="20"/>
        </w:rPr>
        <w:t>ion Theory and Behavior</w:t>
      </w:r>
      <w:r>
        <w:rPr>
          <w:rFonts w:ascii="Arial" w:eastAsia="Georgia" w:hAnsi="Arial" w:cs="Arial"/>
          <w:color w:val="000000"/>
          <w:sz w:val="20"/>
          <w:szCs w:val="20"/>
        </w:rPr>
        <w:t>, </w:t>
      </w:r>
      <w:r>
        <w:rPr>
          <w:rFonts w:ascii="Arial" w:eastAsia="Georgia" w:hAnsi="Arial" w:cs="Arial"/>
          <w:i/>
          <w:iCs/>
          <w:color w:val="000000"/>
          <w:sz w:val="20"/>
          <w:szCs w:val="20"/>
        </w:rPr>
        <w:t>26</w:t>
      </w:r>
      <w:r>
        <w:rPr>
          <w:rFonts w:ascii="Arial" w:eastAsia="Georgia" w:hAnsi="Arial" w:cs="Arial"/>
          <w:color w:val="000000"/>
          <w:sz w:val="20"/>
          <w:szCs w:val="20"/>
        </w:rPr>
        <w:t>(1/2), 115–131. https://doi.org/10.1108/ijotb-08-2022-0159</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Jes</w:t>
      </w:r>
      <w:proofErr w:type="spellEnd"/>
      <w:r>
        <w:rPr>
          <w:rFonts w:ascii="Arial" w:eastAsia="Georgia" w:hAnsi="Arial" w:cs="Arial"/>
          <w:color w:val="000000"/>
          <w:sz w:val="20"/>
          <w:szCs w:val="20"/>
        </w:rPr>
        <w:t xml:space="preserve"> Bella, D. K. (2023). Exploring the impact of workplace relationships and employee job satisfaction. </w:t>
      </w:r>
      <w:r>
        <w:rPr>
          <w:rFonts w:ascii="Arial" w:eastAsia="Georgia" w:hAnsi="Arial" w:cs="Arial"/>
          <w:i/>
          <w:iCs/>
          <w:color w:val="000000"/>
          <w:sz w:val="20"/>
          <w:szCs w:val="20"/>
        </w:rPr>
        <w:t>International Journal of Scientific Research in Modern Science and</w:t>
      </w:r>
      <w:r>
        <w:rPr>
          <w:rFonts w:ascii="Arial" w:eastAsia="Georgia" w:hAnsi="Arial" w:cs="Arial"/>
          <w:i/>
          <w:iCs/>
          <w:color w:val="000000"/>
          <w:sz w:val="20"/>
          <w:szCs w:val="20"/>
        </w:rPr>
        <w:t xml:space="preserve"> Technology</w:t>
      </w:r>
      <w:r>
        <w:rPr>
          <w:rFonts w:ascii="Arial" w:eastAsia="Georgia" w:hAnsi="Arial" w:cs="Arial"/>
          <w:color w:val="000000"/>
          <w:sz w:val="20"/>
          <w:szCs w:val="20"/>
        </w:rPr>
        <w:t>, </w:t>
      </w:r>
      <w:r>
        <w:rPr>
          <w:rFonts w:ascii="Arial" w:eastAsia="Georgia" w:hAnsi="Arial" w:cs="Arial"/>
          <w:i/>
          <w:iCs/>
          <w:color w:val="000000"/>
          <w:sz w:val="20"/>
          <w:szCs w:val="20"/>
        </w:rPr>
        <w:t>2</w:t>
      </w:r>
      <w:r>
        <w:rPr>
          <w:rFonts w:ascii="Arial" w:eastAsia="Georgia" w:hAnsi="Arial" w:cs="Arial"/>
          <w:color w:val="000000"/>
          <w:sz w:val="20"/>
          <w:szCs w:val="20"/>
        </w:rPr>
        <w:t>(8), 55–62. https://doi.org/10.59828/ijsrmst.v2i8.136</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Judge, T. A., Klinger, R., &amp; Li, M. (2023). Promote job satisfaction through mental challenge. In </w:t>
      </w:r>
      <w:r>
        <w:rPr>
          <w:rFonts w:ascii="Arial" w:eastAsia="Georgia" w:hAnsi="Arial" w:cs="Arial"/>
          <w:i/>
          <w:iCs/>
          <w:color w:val="000000"/>
          <w:sz w:val="20"/>
          <w:szCs w:val="20"/>
        </w:rPr>
        <w:t>Principles of Organizational Behavior</w:t>
      </w:r>
      <w:r>
        <w:rPr>
          <w:rFonts w:ascii="Arial" w:eastAsia="Georgia" w:hAnsi="Arial" w:cs="Arial"/>
          <w:color w:val="000000"/>
          <w:sz w:val="20"/>
          <w:szCs w:val="20"/>
        </w:rPr>
        <w:t> (pp. 161–178). Wiley. https://doi.org/10.1002/978139</w:t>
      </w:r>
      <w:r>
        <w:rPr>
          <w:rFonts w:ascii="Arial" w:eastAsia="Georgia" w:hAnsi="Arial" w:cs="Arial"/>
          <w:color w:val="000000"/>
          <w:sz w:val="20"/>
          <w:szCs w:val="20"/>
        </w:rPr>
        <w:t>4320769.ch8</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Junianti</w:t>
      </w:r>
      <w:proofErr w:type="spellEnd"/>
      <w:r>
        <w:rPr>
          <w:rFonts w:ascii="Arial" w:eastAsia="Georgia" w:hAnsi="Arial" w:cs="Arial"/>
          <w:color w:val="000000"/>
          <w:sz w:val="20"/>
          <w:szCs w:val="20"/>
        </w:rPr>
        <w:t>, E. (2023). </w:t>
      </w:r>
      <w:r>
        <w:rPr>
          <w:rFonts w:ascii="Arial" w:eastAsia="Georgia" w:hAnsi="Arial" w:cs="Arial"/>
          <w:i/>
          <w:iCs/>
          <w:color w:val="000000"/>
          <w:sz w:val="20"/>
          <w:szCs w:val="20"/>
        </w:rPr>
        <w:t>Employee Turnover: Career Growth, Salary, Job Satisfaction, Organization Culture</w:t>
      </w:r>
      <w:r>
        <w:rPr>
          <w:rFonts w:ascii="Arial" w:eastAsia="Georgia" w:hAnsi="Arial" w:cs="Arial"/>
          <w:color w:val="000000"/>
          <w:sz w:val="20"/>
          <w:szCs w:val="20"/>
        </w:rPr>
        <w:t xml:space="preserve">. </w:t>
      </w:r>
      <w:proofErr w:type="spellStart"/>
      <w:r>
        <w:rPr>
          <w:rFonts w:ascii="Arial" w:eastAsia="Georgia" w:hAnsi="Arial" w:cs="Arial"/>
          <w:color w:val="000000"/>
          <w:sz w:val="20"/>
          <w:szCs w:val="20"/>
        </w:rPr>
        <w:t>Dinasti</w:t>
      </w:r>
      <w:proofErr w:type="spellEnd"/>
      <w:r>
        <w:rPr>
          <w:rFonts w:ascii="Arial" w:eastAsia="Georgia" w:hAnsi="Arial" w:cs="Arial"/>
          <w:color w:val="000000"/>
          <w:sz w:val="20"/>
          <w:szCs w:val="20"/>
        </w:rPr>
        <w:t xml:space="preserve"> International Journal of Management Science 4(5), 881-889.</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Kozioł-Nadolna</w:t>
      </w:r>
      <w:proofErr w:type="spellEnd"/>
      <w:r>
        <w:rPr>
          <w:rFonts w:ascii="Arial" w:eastAsia="Georgia" w:hAnsi="Arial" w:cs="Arial"/>
          <w:color w:val="000000"/>
          <w:sz w:val="20"/>
          <w:szCs w:val="20"/>
        </w:rPr>
        <w:t>, K., &amp; Beyer, K. (2021). Determinants of the decision-makin</w:t>
      </w:r>
      <w:r>
        <w:rPr>
          <w:rFonts w:ascii="Arial" w:eastAsia="Georgia" w:hAnsi="Arial" w:cs="Arial"/>
          <w:color w:val="000000"/>
          <w:sz w:val="20"/>
          <w:szCs w:val="20"/>
        </w:rPr>
        <w:t>g process in organizations. </w:t>
      </w:r>
      <w:r>
        <w:rPr>
          <w:rFonts w:ascii="Arial" w:eastAsia="Georgia" w:hAnsi="Arial" w:cs="Arial"/>
          <w:i/>
          <w:iCs/>
          <w:color w:val="000000"/>
          <w:sz w:val="20"/>
          <w:szCs w:val="20"/>
        </w:rPr>
        <w:t>Procedia Computer Science</w:t>
      </w:r>
      <w:r>
        <w:rPr>
          <w:rFonts w:ascii="Arial" w:eastAsia="Georgia" w:hAnsi="Arial" w:cs="Arial"/>
          <w:color w:val="000000"/>
          <w:sz w:val="20"/>
          <w:szCs w:val="20"/>
        </w:rPr>
        <w:t>, </w:t>
      </w:r>
      <w:r>
        <w:rPr>
          <w:rFonts w:ascii="Arial" w:eastAsia="Georgia" w:hAnsi="Arial" w:cs="Arial"/>
          <w:i/>
          <w:iCs/>
          <w:color w:val="000000"/>
          <w:sz w:val="20"/>
          <w:szCs w:val="20"/>
        </w:rPr>
        <w:t>192</w:t>
      </w:r>
      <w:r>
        <w:rPr>
          <w:rFonts w:ascii="Arial" w:eastAsia="Georgia" w:hAnsi="Arial" w:cs="Arial"/>
          <w:color w:val="000000"/>
          <w:sz w:val="20"/>
          <w:szCs w:val="20"/>
        </w:rPr>
        <w:t>, 2375–2384. https://doi.org/10.1016/j.procs.2021.09.006</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Mendoza, C. N., &amp; Villanueva, E. V. (2021). The Phenomenological status of the Total Quality Management (TQM) implementation of local governm</w:t>
      </w:r>
      <w:r>
        <w:rPr>
          <w:rFonts w:ascii="Arial" w:eastAsia="Georgia" w:hAnsi="Arial" w:cs="Arial"/>
          <w:color w:val="000000"/>
          <w:sz w:val="20"/>
          <w:szCs w:val="20"/>
        </w:rPr>
        <w:t>ent units (LGUs) in the Philippines. </w:t>
      </w:r>
      <w:proofErr w:type="spellStart"/>
      <w:r>
        <w:rPr>
          <w:rFonts w:ascii="Arial" w:eastAsia="Georgia" w:hAnsi="Arial" w:cs="Arial"/>
          <w:i/>
          <w:iCs/>
          <w:color w:val="000000"/>
          <w:sz w:val="20"/>
          <w:szCs w:val="20"/>
        </w:rPr>
        <w:t>Periodica</w:t>
      </w:r>
      <w:proofErr w:type="spellEnd"/>
      <w:r>
        <w:rPr>
          <w:rFonts w:ascii="Arial" w:eastAsia="Georgia" w:hAnsi="Arial" w:cs="Arial"/>
          <w:i/>
          <w:iCs/>
          <w:color w:val="000000"/>
          <w:sz w:val="20"/>
          <w:szCs w:val="20"/>
        </w:rPr>
        <w:t xml:space="preserve"> Journal of Modern Philosophy, Social Sciences and Humanities</w:t>
      </w:r>
      <w:r>
        <w:rPr>
          <w:rFonts w:ascii="Arial" w:eastAsia="Georgia" w:hAnsi="Arial" w:cs="Arial"/>
          <w:color w:val="000000"/>
          <w:sz w:val="20"/>
          <w:szCs w:val="20"/>
        </w:rPr>
        <w:t>, </w:t>
      </w:r>
      <w:r>
        <w:rPr>
          <w:rFonts w:ascii="Arial" w:eastAsia="Georgia" w:hAnsi="Arial" w:cs="Arial"/>
          <w:i/>
          <w:iCs/>
          <w:color w:val="000000"/>
          <w:sz w:val="20"/>
          <w:szCs w:val="20"/>
        </w:rPr>
        <w:t>1</w:t>
      </w:r>
      <w:r>
        <w:rPr>
          <w:rFonts w:ascii="Arial" w:eastAsia="Georgia" w:hAnsi="Arial" w:cs="Arial"/>
          <w:color w:val="000000"/>
          <w:sz w:val="20"/>
          <w:szCs w:val="20"/>
        </w:rPr>
        <w:t>, 9–35. https://periodica.org/index.php/journal/article/view/3</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Meredith, C., </w:t>
      </w:r>
      <w:proofErr w:type="spellStart"/>
      <w:r>
        <w:rPr>
          <w:rFonts w:ascii="Arial" w:eastAsia="Georgia" w:hAnsi="Arial" w:cs="Arial"/>
          <w:color w:val="000000"/>
          <w:sz w:val="20"/>
          <w:szCs w:val="20"/>
        </w:rPr>
        <w:t>Moolenaar</w:t>
      </w:r>
      <w:proofErr w:type="spellEnd"/>
      <w:r>
        <w:rPr>
          <w:rFonts w:ascii="Arial" w:eastAsia="Georgia" w:hAnsi="Arial" w:cs="Arial"/>
          <w:color w:val="000000"/>
          <w:sz w:val="20"/>
          <w:szCs w:val="20"/>
        </w:rPr>
        <w:t xml:space="preserve">, N., </w:t>
      </w:r>
      <w:proofErr w:type="spellStart"/>
      <w:r>
        <w:rPr>
          <w:rFonts w:ascii="Arial" w:eastAsia="Georgia" w:hAnsi="Arial" w:cs="Arial"/>
          <w:color w:val="000000"/>
          <w:sz w:val="20"/>
          <w:szCs w:val="20"/>
        </w:rPr>
        <w:t>Struyve</w:t>
      </w:r>
      <w:proofErr w:type="spellEnd"/>
      <w:r>
        <w:rPr>
          <w:rFonts w:ascii="Arial" w:eastAsia="Georgia" w:hAnsi="Arial" w:cs="Arial"/>
          <w:color w:val="000000"/>
          <w:sz w:val="20"/>
          <w:szCs w:val="20"/>
        </w:rPr>
        <w:t xml:space="preserve">, C., </w:t>
      </w:r>
      <w:proofErr w:type="spellStart"/>
      <w:r>
        <w:rPr>
          <w:rFonts w:ascii="Arial" w:eastAsia="Georgia" w:hAnsi="Arial" w:cs="Arial"/>
          <w:color w:val="000000"/>
          <w:sz w:val="20"/>
          <w:szCs w:val="20"/>
        </w:rPr>
        <w:t>Vandecandelaere</w:t>
      </w:r>
      <w:proofErr w:type="spellEnd"/>
      <w:r>
        <w:rPr>
          <w:rFonts w:ascii="Arial" w:eastAsia="Georgia" w:hAnsi="Arial" w:cs="Arial"/>
          <w:color w:val="000000"/>
          <w:sz w:val="20"/>
          <w:szCs w:val="20"/>
        </w:rPr>
        <w:t xml:space="preserve">, M., </w:t>
      </w:r>
      <w:proofErr w:type="spellStart"/>
      <w:r>
        <w:rPr>
          <w:rFonts w:ascii="Arial" w:eastAsia="Georgia" w:hAnsi="Arial" w:cs="Arial"/>
          <w:color w:val="000000"/>
          <w:sz w:val="20"/>
          <w:szCs w:val="20"/>
        </w:rPr>
        <w:t>Gielen</w:t>
      </w:r>
      <w:proofErr w:type="spellEnd"/>
      <w:r>
        <w:rPr>
          <w:rFonts w:ascii="Arial" w:eastAsia="Georgia" w:hAnsi="Arial" w:cs="Arial"/>
          <w:color w:val="000000"/>
          <w:sz w:val="20"/>
          <w:szCs w:val="20"/>
        </w:rPr>
        <w:t xml:space="preserve">, S., &amp; </w:t>
      </w:r>
      <w:proofErr w:type="spellStart"/>
      <w:r>
        <w:rPr>
          <w:rFonts w:ascii="Arial" w:eastAsia="Georgia" w:hAnsi="Arial" w:cs="Arial"/>
          <w:color w:val="000000"/>
          <w:sz w:val="20"/>
          <w:szCs w:val="20"/>
        </w:rPr>
        <w:t>Kyndt</w:t>
      </w:r>
      <w:proofErr w:type="spellEnd"/>
      <w:r>
        <w:rPr>
          <w:rFonts w:ascii="Arial" w:eastAsia="Georgia" w:hAnsi="Arial" w:cs="Arial"/>
          <w:color w:val="000000"/>
          <w:sz w:val="20"/>
          <w:szCs w:val="20"/>
        </w:rPr>
        <w:t>,</w:t>
      </w:r>
      <w:r>
        <w:rPr>
          <w:rFonts w:ascii="Arial" w:eastAsia="Georgia" w:hAnsi="Arial" w:cs="Arial"/>
          <w:color w:val="000000"/>
          <w:sz w:val="20"/>
          <w:szCs w:val="20"/>
        </w:rPr>
        <w:t xml:space="preserve"> E. (2023). The importance of a collaborative culture for teachers’ job satisfaction and affective commitment. </w:t>
      </w:r>
      <w:r>
        <w:rPr>
          <w:rFonts w:ascii="Arial" w:eastAsia="Georgia" w:hAnsi="Arial" w:cs="Arial"/>
          <w:i/>
          <w:iCs/>
          <w:color w:val="000000"/>
          <w:sz w:val="20"/>
          <w:szCs w:val="20"/>
        </w:rPr>
        <w:t>European Journal of Psychology of Education</w:t>
      </w:r>
      <w:r>
        <w:rPr>
          <w:rFonts w:ascii="Arial" w:eastAsia="Georgia" w:hAnsi="Arial" w:cs="Arial"/>
          <w:color w:val="000000"/>
          <w:sz w:val="20"/>
          <w:szCs w:val="20"/>
        </w:rPr>
        <w:t>, </w:t>
      </w:r>
      <w:r>
        <w:rPr>
          <w:rFonts w:ascii="Arial" w:eastAsia="Georgia" w:hAnsi="Arial" w:cs="Arial"/>
          <w:i/>
          <w:iCs/>
          <w:color w:val="000000"/>
          <w:sz w:val="20"/>
          <w:szCs w:val="20"/>
        </w:rPr>
        <w:t>38</w:t>
      </w:r>
      <w:r>
        <w:rPr>
          <w:rFonts w:ascii="Arial" w:eastAsia="Georgia" w:hAnsi="Arial" w:cs="Arial"/>
          <w:color w:val="000000"/>
          <w:sz w:val="20"/>
          <w:szCs w:val="20"/>
        </w:rPr>
        <w:t>(1), 43–62. https://doi.org/10.1007/s10212-022-00598-w</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Mitalo</w:t>
      </w:r>
      <w:proofErr w:type="spellEnd"/>
      <w:r>
        <w:rPr>
          <w:rFonts w:ascii="Arial" w:eastAsia="Georgia" w:hAnsi="Arial" w:cs="Arial"/>
          <w:color w:val="000000"/>
          <w:sz w:val="20"/>
          <w:szCs w:val="20"/>
        </w:rPr>
        <w:t>, R., &amp; Wanyama, K. W. (2024). Mediat</w:t>
      </w:r>
      <w:r>
        <w:rPr>
          <w:rFonts w:ascii="Arial" w:eastAsia="Georgia" w:hAnsi="Arial" w:cs="Arial"/>
          <w:color w:val="000000"/>
          <w:sz w:val="20"/>
          <w:szCs w:val="20"/>
        </w:rPr>
        <w:t>ing effect of motivation on the association between employee compensation and employee performance in Kenyan chartered public universities. </w:t>
      </w:r>
      <w:r>
        <w:rPr>
          <w:rFonts w:ascii="Arial" w:eastAsia="Georgia" w:hAnsi="Arial" w:cs="Arial"/>
          <w:i/>
          <w:iCs/>
          <w:color w:val="000000"/>
          <w:sz w:val="20"/>
          <w:szCs w:val="20"/>
        </w:rPr>
        <w:t>East African Journal of Business and Economics</w:t>
      </w:r>
      <w:r>
        <w:rPr>
          <w:rFonts w:ascii="Arial" w:eastAsia="Georgia" w:hAnsi="Arial" w:cs="Arial"/>
          <w:color w:val="000000"/>
          <w:sz w:val="20"/>
          <w:szCs w:val="20"/>
        </w:rPr>
        <w:t>, </w:t>
      </w:r>
      <w:r>
        <w:rPr>
          <w:rFonts w:ascii="Arial" w:eastAsia="Georgia" w:hAnsi="Arial" w:cs="Arial"/>
          <w:i/>
          <w:iCs/>
          <w:color w:val="000000"/>
          <w:sz w:val="20"/>
          <w:szCs w:val="20"/>
        </w:rPr>
        <w:t>7</w:t>
      </w:r>
      <w:r>
        <w:rPr>
          <w:rFonts w:ascii="Arial" w:eastAsia="Georgia" w:hAnsi="Arial" w:cs="Arial"/>
          <w:color w:val="000000"/>
          <w:sz w:val="20"/>
          <w:szCs w:val="20"/>
        </w:rPr>
        <w:t>(1), 107–122. https://doi.org/10.37284/eajbe.7.1.1592</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Moscu</w:t>
      </w:r>
      <w:proofErr w:type="spellEnd"/>
      <w:r>
        <w:rPr>
          <w:rFonts w:ascii="Arial" w:eastAsia="Georgia" w:hAnsi="Arial" w:cs="Arial"/>
          <w:color w:val="000000"/>
          <w:sz w:val="20"/>
          <w:szCs w:val="20"/>
        </w:rPr>
        <w:t>, C.-A.,</w:t>
      </w:r>
      <w:r>
        <w:rPr>
          <w:rFonts w:ascii="Arial" w:eastAsia="Georgia" w:hAnsi="Arial" w:cs="Arial"/>
          <w:color w:val="000000"/>
          <w:sz w:val="20"/>
          <w:szCs w:val="20"/>
        </w:rPr>
        <w:t xml:space="preserve"> Marina, V., </w:t>
      </w:r>
      <w:proofErr w:type="spellStart"/>
      <w:r>
        <w:rPr>
          <w:rFonts w:ascii="Arial" w:eastAsia="Georgia" w:hAnsi="Arial" w:cs="Arial"/>
          <w:color w:val="000000"/>
          <w:sz w:val="20"/>
          <w:szCs w:val="20"/>
        </w:rPr>
        <w:t>Anghele</w:t>
      </w:r>
      <w:proofErr w:type="spellEnd"/>
      <w:r>
        <w:rPr>
          <w:rFonts w:ascii="Arial" w:eastAsia="Georgia" w:hAnsi="Arial" w:cs="Arial"/>
          <w:color w:val="000000"/>
          <w:sz w:val="20"/>
          <w:szCs w:val="20"/>
        </w:rPr>
        <w:t xml:space="preserve">, A.-D., </w:t>
      </w:r>
      <w:proofErr w:type="spellStart"/>
      <w:r>
        <w:rPr>
          <w:rFonts w:ascii="Arial" w:eastAsia="Georgia" w:hAnsi="Arial" w:cs="Arial"/>
          <w:color w:val="000000"/>
          <w:sz w:val="20"/>
          <w:szCs w:val="20"/>
        </w:rPr>
        <w:t>Anghele</w:t>
      </w:r>
      <w:proofErr w:type="spellEnd"/>
      <w:r>
        <w:rPr>
          <w:rFonts w:ascii="Arial" w:eastAsia="Georgia" w:hAnsi="Arial" w:cs="Arial"/>
          <w:color w:val="000000"/>
          <w:sz w:val="20"/>
          <w:szCs w:val="20"/>
        </w:rPr>
        <w:t xml:space="preserve">, M., Dragomir, L., &amp; </w:t>
      </w:r>
      <w:proofErr w:type="spellStart"/>
      <w:r>
        <w:rPr>
          <w:rFonts w:ascii="Arial" w:eastAsia="Georgia" w:hAnsi="Arial" w:cs="Arial"/>
          <w:color w:val="000000"/>
          <w:sz w:val="20"/>
          <w:szCs w:val="20"/>
        </w:rPr>
        <w:t>Ciubară</w:t>
      </w:r>
      <w:proofErr w:type="spellEnd"/>
      <w:r>
        <w:rPr>
          <w:rFonts w:ascii="Arial" w:eastAsia="Georgia" w:hAnsi="Arial" w:cs="Arial"/>
          <w:color w:val="000000"/>
          <w:sz w:val="20"/>
          <w:szCs w:val="20"/>
        </w:rPr>
        <w:t>, A. (2023). The impact of work-related problems on burnout syndrome and job satisfaction levels among emergency department staff. </w:t>
      </w:r>
      <w:r>
        <w:rPr>
          <w:rFonts w:ascii="Arial" w:eastAsia="Georgia" w:hAnsi="Arial" w:cs="Arial"/>
          <w:i/>
          <w:iCs/>
          <w:color w:val="000000"/>
          <w:sz w:val="20"/>
          <w:szCs w:val="20"/>
        </w:rPr>
        <w:t>Behavioral Sciences</w:t>
      </w:r>
      <w:r>
        <w:rPr>
          <w:rFonts w:ascii="Arial" w:eastAsia="Georgia" w:hAnsi="Arial" w:cs="Arial"/>
          <w:color w:val="000000"/>
          <w:sz w:val="20"/>
          <w:szCs w:val="20"/>
        </w:rPr>
        <w:t>, </w:t>
      </w:r>
      <w:r>
        <w:rPr>
          <w:rFonts w:ascii="Arial" w:eastAsia="Georgia" w:hAnsi="Arial" w:cs="Arial"/>
          <w:i/>
          <w:iCs/>
          <w:color w:val="000000"/>
          <w:sz w:val="20"/>
          <w:szCs w:val="20"/>
        </w:rPr>
        <w:t>13</w:t>
      </w:r>
      <w:r>
        <w:rPr>
          <w:rFonts w:ascii="Arial" w:eastAsia="Georgia" w:hAnsi="Arial" w:cs="Arial"/>
          <w:color w:val="000000"/>
          <w:sz w:val="20"/>
          <w:szCs w:val="20"/>
        </w:rPr>
        <w:t>(7), 575. https://doi.org/10.3390/bs1</w:t>
      </w:r>
      <w:r>
        <w:rPr>
          <w:rFonts w:ascii="Arial" w:eastAsia="Georgia" w:hAnsi="Arial" w:cs="Arial"/>
          <w:color w:val="000000"/>
          <w:sz w:val="20"/>
          <w:szCs w:val="20"/>
        </w:rPr>
        <w:t>3070575</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Moşteanu</w:t>
      </w:r>
      <w:proofErr w:type="spellEnd"/>
      <w:r>
        <w:rPr>
          <w:rFonts w:ascii="Arial" w:eastAsia="Georgia" w:hAnsi="Arial" w:cs="Arial"/>
          <w:color w:val="000000"/>
          <w:sz w:val="20"/>
          <w:szCs w:val="20"/>
        </w:rPr>
        <w:t>, N. R. (2024). Adapting to the unpredictable: Building resilience for business continuity in an ever-changing landscape. </w:t>
      </w:r>
      <w:r>
        <w:rPr>
          <w:rFonts w:ascii="Arial" w:eastAsia="Georgia" w:hAnsi="Arial" w:cs="Arial"/>
          <w:i/>
          <w:iCs/>
          <w:color w:val="000000"/>
          <w:sz w:val="20"/>
          <w:szCs w:val="20"/>
        </w:rPr>
        <w:t>European Journal of Theoretical and Applied Sciences</w:t>
      </w:r>
      <w:r>
        <w:rPr>
          <w:rFonts w:ascii="Arial" w:eastAsia="Georgia" w:hAnsi="Arial" w:cs="Arial"/>
          <w:color w:val="000000"/>
          <w:sz w:val="20"/>
          <w:szCs w:val="20"/>
        </w:rPr>
        <w:t>, </w:t>
      </w:r>
      <w:r>
        <w:rPr>
          <w:rFonts w:ascii="Arial" w:eastAsia="Georgia" w:hAnsi="Arial" w:cs="Arial"/>
          <w:i/>
          <w:iCs/>
          <w:color w:val="000000"/>
          <w:sz w:val="20"/>
          <w:szCs w:val="20"/>
        </w:rPr>
        <w:t>2</w:t>
      </w:r>
      <w:r>
        <w:rPr>
          <w:rFonts w:ascii="Arial" w:eastAsia="Georgia" w:hAnsi="Arial" w:cs="Arial"/>
          <w:color w:val="000000"/>
          <w:sz w:val="20"/>
          <w:szCs w:val="20"/>
        </w:rPr>
        <w:t>(1), 444–457. https://doi.org/10.59324/ejtas.2024.2(1).37</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Nauma</w:t>
      </w:r>
      <w:r>
        <w:rPr>
          <w:rFonts w:ascii="Arial" w:eastAsia="Georgia" w:hAnsi="Arial" w:cs="Arial"/>
          <w:color w:val="000000"/>
          <w:sz w:val="20"/>
          <w:szCs w:val="20"/>
        </w:rPr>
        <w:t>n, S., Bhatti, S. H., Imam, H., &amp; Khan, M. S. (2022). How servant leadership drives project team performance through collaborative culture and knowledge sharing. </w:t>
      </w:r>
      <w:r>
        <w:rPr>
          <w:rFonts w:ascii="Arial" w:eastAsia="Georgia" w:hAnsi="Arial" w:cs="Arial"/>
          <w:i/>
          <w:iCs/>
          <w:color w:val="000000"/>
          <w:sz w:val="20"/>
          <w:szCs w:val="20"/>
        </w:rPr>
        <w:t>Project Management Journal</w:t>
      </w:r>
      <w:r>
        <w:rPr>
          <w:rFonts w:ascii="Arial" w:eastAsia="Georgia" w:hAnsi="Arial" w:cs="Arial"/>
          <w:color w:val="000000"/>
          <w:sz w:val="20"/>
          <w:szCs w:val="20"/>
        </w:rPr>
        <w:t>, </w:t>
      </w:r>
      <w:r>
        <w:rPr>
          <w:rFonts w:ascii="Arial" w:eastAsia="Georgia" w:hAnsi="Arial" w:cs="Arial"/>
          <w:i/>
          <w:iCs/>
          <w:color w:val="000000"/>
          <w:sz w:val="20"/>
          <w:szCs w:val="20"/>
        </w:rPr>
        <w:t>53</w:t>
      </w:r>
      <w:r>
        <w:rPr>
          <w:rFonts w:ascii="Arial" w:eastAsia="Georgia" w:hAnsi="Arial" w:cs="Arial"/>
          <w:color w:val="000000"/>
          <w:sz w:val="20"/>
          <w:szCs w:val="20"/>
        </w:rPr>
        <w:t>(1), 17–32. https://doi.org/10.1177/87569728211037777</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Padhy</w:t>
      </w:r>
      <w:proofErr w:type="spellEnd"/>
      <w:r>
        <w:rPr>
          <w:rFonts w:ascii="Arial" w:eastAsia="Georgia" w:hAnsi="Arial" w:cs="Arial"/>
          <w:color w:val="000000"/>
          <w:sz w:val="20"/>
          <w:szCs w:val="20"/>
        </w:rPr>
        <w:t xml:space="preserve">, T. </w:t>
      </w:r>
      <w:r>
        <w:rPr>
          <w:rFonts w:ascii="Arial" w:eastAsia="Georgia" w:hAnsi="Arial" w:cs="Arial"/>
          <w:color w:val="000000"/>
          <w:sz w:val="20"/>
          <w:szCs w:val="20"/>
        </w:rPr>
        <w:t>P., Das, S., &amp; Panda, L. P. (2024). Emotional intelligence and employee involvement: a study on the mediating effect of compassionate leadership. </w:t>
      </w:r>
      <w:r>
        <w:rPr>
          <w:rFonts w:ascii="Arial" w:eastAsia="Georgia" w:hAnsi="Arial" w:cs="Arial"/>
          <w:i/>
          <w:iCs/>
          <w:color w:val="000000"/>
          <w:sz w:val="20"/>
          <w:szCs w:val="20"/>
        </w:rPr>
        <w:t>International Journal of Business Performance Management</w:t>
      </w:r>
      <w:r>
        <w:rPr>
          <w:rFonts w:ascii="Arial" w:eastAsia="Georgia" w:hAnsi="Arial" w:cs="Arial"/>
          <w:color w:val="000000"/>
          <w:sz w:val="20"/>
          <w:szCs w:val="20"/>
        </w:rPr>
        <w:t>, </w:t>
      </w:r>
      <w:r>
        <w:rPr>
          <w:rFonts w:ascii="Arial" w:eastAsia="Georgia" w:hAnsi="Arial" w:cs="Arial"/>
          <w:i/>
          <w:iCs/>
          <w:color w:val="000000"/>
          <w:sz w:val="20"/>
          <w:szCs w:val="20"/>
        </w:rPr>
        <w:t>25</w:t>
      </w:r>
      <w:r>
        <w:rPr>
          <w:rFonts w:ascii="Arial" w:eastAsia="Georgia" w:hAnsi="Arial" w:cs="Arial"/>
          <w:color w:val="000000"/>
          <w:sz w:val="20"/>
          <w:szCs w:val="20"/>
        </w:rPr>
        <w:t>(4), 565–588. https://doi.org/10.1504/ijbpm.2024.1</w:t>
      </w:r>
      <w:r>
        <w:rPr>
          <w:rFonts w:ascii="Arial" w:eastAsia="Georgia" w:hAnsi="Arial" w:cs="Arial"/>
          <w:color w:val="000000"/>
          <w:sz w:val="20"/>
          <w:szCs w:val="20"/>
        </w:rPr>
        <w:t>39419</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Palumbo, R., &amp; Douglas, A. (2024). The secret ingredient? Uncovering the effect of organizational culture on quality management: a literature review. </w:t>
      </w:r>
      <w:r>
        <w:rPr>
          <w:rFonts w:ascii="Arial" w:eastAsia="Georgia" w:hAnsi="Arial" w:cs="Arial"/>
          <w:i/>
          <w:iCs/>
          <w:color w:val="000000"/>
          <w:sz w:val="20"/>
          <w:szCs w:val="20"/>
        </w:rPr>
        <w:t>International Journal of Quality &amp; Reliability Management</w:t>
      </w:r>
      <w:r>
        <w:rPr>
          <w:rFonts w:ascii="Arial" w:eastAsia="Georgia" w:hAnsi="Arial" w:cs="Arial"/>
          <w:color w:val="000000"/>
          <w:sz w:val="20"/>
          <w:szCs w:val="20"/>
        </w:rPr>
        <w:t>, </w:t>
      </w:r>
      <w:r>
        <w:rPr>
          <w:rFonts w:ascii="Arial" w:eastAsia="Georgia" w:hAnsi="Arial" w:cs="Arial"/>
          <w:i/>
          <w:iCs/>
          <w:color w:val="000000"/>
          <w:sz w:val="20"/>
          <w:szCs w:val="20"/>
        </w:rPr>
        <w:t>41</w:t>
      </w:r>
      <w:r>
        <w:rPr>
          <w:rFonts w:ascii="Arial" w:eastAsia="Georgia" w:hAnsi="Arial" w:cs="Arial"/>
          <w:color w:val="000000"/>
          <w:sz w:val="20"/>
          <w:szCs w:val="20"/>
        </w:rPr>
        <w:t>(1), 195–268. https://doi.org/10.1108/i</w:t>
      </w:r>
      <w:r>
        <w:rPr>
          <w:rFonts w:ascii="Arial" w:eastAsia="Georgia" w:hAnsi="Arial" w:cs="Arial"/>
          <w:color w:val="000000"/>
          <w:sz w:val="20"/>
          <w:szCs w:val="20"/>
        </w:rPr>
        <w:t>jqrm-03-2023-0077</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Park, J.-H., </w:t>
      </w:r>
      <w:proofErr w:type="spellStart"/>
      <w:r>
        <w:rPr>
          <w:rFonts w:ascii="Arial" w:eastAsia="Georgia" w:hAnsi="Arial" w:cs="Arial"/>
          <w:color w:val="000000"/>
          <w:sz w:val="20"/>
          <w:szCs w:val="20"/>
        </w:rPr>
        <w:t>Cooc</w:t>
      </w:r>
      <w:proofErr w:type="spellEnd"/>
      <w:r>
        <w:rPr>
          <w:rFonts w:ascii="Arial" w:eastAsia="Georgia" w:hAnsi="Arial" w:cs="Arial"/>
          <w:color w:val="000000"/>
          <w:sz w:val="20"/>
          <w:szCs w:val="20"/>
        </w:rPr>
        <w:t>, N., &amp; Lee, K.-H. (2023). Relationships between teacher influence in managerial and instruction-related decision-making, job satisfaction, and professional commitment: A multivariate multilevel model. </w:t>
      </w:r>
      <w:r>
        <w:rPr>
          <w:rFonts w:ascii="Arial" w:eastAsia="Georgia" w:hAnsi="Arial" w:cs="Arial"/>
          <w:i/>
          <w:iCs/>
          <w:color w:val="000000"/>
          <w:sz w:val="20"/>
          <w:szCs w:val="20"/>
        </w:rPr>
        <w:t>Educational Managem</w:t>
      </w:r>
      <w:r>
        <w:rPr>
          <w:rFonts w:ascii="Arial" w:eastAsia="Georgia" w:hAnsi="Arial" w:cs="Arial"/>
          <w:i/>
          <w:iCs/>
          <w:color w:val="000000"/>
          <w:sz w:val="20"/>
          <w:szCs w:val="20"/>
        </w:rPr>
        <w:t>ent Administration &amp; Leadership</w:t>
      </w:r>
      <w:r>
        <w:rPr>
          <w:rFonts w:ascii="Arial" w:eastAsia="Georgia" w:hAnsi="Arial" w:cs="Arial"/>
          <w:color w:val="000000"/>
          <w:sz w:val="20"/>
          <w:szCs w:val="20"/>
        </w:rPr>
        <w:t>, </w:t>
      </w:r>
      <w:r>
        <w:rPr>
          <w:rFonts w:ascii="Arial" w:eastAsia="Georgia" w:hAnsi="Arial" w:cs="Arial"/>
          <w:i/>
          <w:iCs/>
          <w:color w:val="000000"/>
          <w:sz w:val="20"/>
          <w:szCs w:val="20"/>
        </w:rPr>
        <w:t>51</w:t>
      </w:r>
      <w:r>
        <w:rPr>
          <w:rFonts w:ascii="Arial" w:eastAsia="Georgia" w:hAnsi="Arial" w:cs="Arial"/>
          <w:color w:val="000000"/>
          <w:sz w:val="20"/>
          <w:szCs w:val="20"/>
        </w:rPr>
        <w:t>(1), 116–137. https://doi.org/10.1177/1741143220971287</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Putra, R., &amp; </w:t>
      </w:r>
      <w:proofErr w:type="spellStart"/>
      <w:r>
        <w:rPr>
          <w:rFonts w:ascii="Arial" w:eastAsia="Georgia" w:hAnsi="Arial" w:cs="Arial"/>
          <w:color w:val="000000"/>
          <w:sz w:val="20"/>
          <w:szCs w:val="20"/>
        </w:rPr>
        <w:t>Kudri</w:t>
      </w:r>
      <w:proofErr w:type="spellEnd"/>
      <w:r>
        <w:rPr>
          <w:rFonts w:ascii="Arial" w:eastAsia="Georgia" w:hAnsi="Arial" w:cs="Arial"/>
          <w:color w:val="000000"/>
          <w:sz w:val="20"/>
          <w:szCs w:val="20"/>
        </w:rPr>
        <w:t>, W. M. (2024). Fueling success: Unleashing the power of motivation, nurturing work environments, and cultivating Organizational Culture for peak Jo</w:t>
      </w:r>
      <w:r>
        <w:rPr>
          <w:rFonts w:ascii="Arial" w:eastAsia="Georgia" w:hAnsi="Arial" w:cs="Arial"/>
          <w:color w:val="000000"/>
          <w:sz w:val="20"/>
          <w:szCs w:val="20"/>
        </w:rPr>
        <w:t xml:space="preserve">b </w:t>
      </w:r>
      <w:r>
        <w:rPr>
          <w:rFonts w:ascii="Arial" w:eastAsia="Georgia" w:hAnsi="Arial" w:cs="Arial"/>
          <w:color w:val="000000"/>
          <w:sz w:val="20"/>
          <w:szCs w:val="20"/>
        </w:rPr>
        <w:lastRenderedPageBreak/>
        <w:t>Satisfaction and performance. </w:t>
      </w:r>
      <w:r>
        <w:rPr>
          <w:rFonts w:ascii="Arial" w:eastAsia="Georgia" w:hAnsi="Arial" w:cs="Arial"/>
          <w:i/>
          <w:iCs/>
          <w:color w:val="000000"/>
          <w:sz w:val="20"/>
          <w:szCs w:val="20"/>
        </w:rPr>
        <w:t>Luxury: Landscape of Business Administration</w:t>
      </w:r>
      <w:r>
        <w:rPr>
          <w:rFonts w:ascii="Arial" w:eastAsia="Georgia" w:hAnsi="Arial" w:cs="Arial"/>
          <w:color w:val="000000"/>
          <w:sz w:val="20"/>
          <w:szCs w:val="20"/>
        </w:rPr>
        <w:t>, </w:t>
      </w:r>
      <w:r>
        <w:rPr>
          <w:rFonts w:ascii="Arial" w:eastAsia="Georgia" w:hAnsi="Arial" w:cs="Arial"/>
          <w:i/>
          <w:iCs/>
          <w:color w:val="000000"/>
          <w:sz w:val="20"/>
          <w:szCs w:val="20"/>
        </w:rPr>
        <w:t>2</w:t>
      </w:r>
      <w:r>
        <w:rPr>
          <w:rFonts w:ascii="Arial" w:eastAsia="Georgia" w:hAnsi="Arial" w:cs="Arial"/>
          <w:color w:val="000000"/>
          <w:sz w:val="20"/>
          <w:szCs w:val="20"/>
        </w:rPr>
        <w:t>(1), 71–84. https://doi.org/10.61230/luxury.v2i1.72</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Rahul, B., &amp; Vaishali, M. (2024). Designing an AI-powered mentorship platform for professional development: Opportunities and</w:t>
      </w:r>
      <w:r>
        <w:rPr>
          <w:rFonts w:ascii="Arial" w:eastAsia="Georgia" w:hAnsi="Arial" w:cs="Arial"/>
          <w:color w:val="000000"/>
          <w:sz w:val="20"/>
          <w:szCs w:val="20"/>
        </w:rPr>
        <w:t xml:space="preserve"> challenges. In </w:t>
      </w:r>
      <w:proofErr w:type="spellStart"/>
      <w:r>
        <w:rPr>
          <w:rFonts w:ascii="Arial" w:eastAsia="Georgia" w:hAnsi="Arial" w:cs="Arial"/>
          <w:i/>
          <w:iCs/>
          <w:color w:val="000000"/>
          <w:sz w:val="20"/>
          <w:szCs w:val="20"/>
        </w:rPr>
        <w:t>arXiv</w:t>
      </w:r>
      <w:proofErr w:type="spellEnd"/>
      <w:r>
        <w:rPr>
          <w:rFonts w:ascii="Arial" w:eastAsia="Georgia" w:hAnsi="Arial" w:cs="Arial"/>
          <w:i/>
          <w:iCs/>
          <w:color w:val="000000"/>
          <w:sz w:val="20"/>
          <w:szCs w:val="20"/>
        </w:rPr>
        <w:t xml:space="preserve"> [cs.CY]</w:t>
      </w:r>
      <w:r>
        <w:rPr>
          <w:rFonts w:ascii="Arial" w:eastAsia="Georgia" w:hAnsi="Arial" w:cs="Arial"/>
          <w:color w:val="000000"/>
          <w:sz w:val="20"/>
          <w:szCs w:val="20"/>
        </w:rPr>
        <w:t>. http://arxiv.org/abs/2407.20233</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Singh, A. (2023). Impact of training and development as a vital instrument for boosting morale and productivity among young employees. </w:t>
      </w:r>
      <w:r>
        <w:rPr>
          <w:rFonts w:ascii="Arial" w:eastAsia="Georgia" w:hAnsi="Arial" w:cs="Arial"/>
          <w:i/>
          <w:iCs/>
          <w:color w:val="000000"/>
          <w:sz w:val="20"/>
          <w:szCs w:val="20"/>
        </w:rPr>
        <w:t>International Journal of Management, Public Policy and Res</w:t>
      </w:r>
      <w:r>
        <w:rPr>
          <w:rFonts w:ascii="Arial" w:eastAsia="Georgia" w:hAnsi="Arial" w:cs="Arial"/>
          <w:i/>
          <w:iCs/>
          <w:color w:val="000000"/>
          <w:sz w:val="20"/>
          <w:szCs w:val="20"/>
        </w:rPr>
        <w:t>earch</w:t>
      </w:r>
      <w:r>
        <w:rPr>
          <w:rFonts w:ascii="Arial" w:eastAsia="Georgia" w:hAnsi="Arial" w:cs="Arial"/>
          <w:color w:val="000000"/>
          <w:sz w:val="20"/>
          <w:szCs w:val="20"/>
        </w:rPr>
        <w:t>, </w:t>
      </w:r>
      <w:r>
        <w:rPr>
          <w:rFonts w:ascii="Arial" w:eastAsia="Georgia" w:hAnsi="Arial" w:cs="Arial"/>
          <w:i/>
          <w:iCs/>
          <w:color w:val="000000"/>
          <w:sz w:val="20"/>
          <w:szCs w:val="20"/>
        </w:rPr>
        <w:t>2</w:t>
      </w:r>
      <w:r>
        <w:rPr>
          <w:rFonts w:ascii="Arial" w:eastAsia="Georgia" w:hAnsi="Arial" w:cs="Arial"/>
          <w:color w:val="000000"/>
          <w:sz w:val="20"/>
          <w:szCs w:val="20"/>
        </w:rPr>
        <w:t>(4), 11–17. https://doi.org/10.55829/ijmpr.v2i4.182</w:t>
      </w:r>
    </w:p>
    <w:p w:rsidR="00A034AA" w:rsidRDefault="00211741">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Spector. (1992). </w:t>
      </w:r>
      <w:r>
        <w:rPr>
          <w:rFonts w:ascii="Arial" w:eastAsia="Georgia" w:hAnsi="Arial" w:cs="Arial"/>
          <w:i/>
          <w:iCs/>
          <w:color w:val="000000"/>
          <w:sz w:val="20"/>
          <w:szCs w:val="20"/>
        </w:rPr>
        <w:t>Job Satisfaction Survey</w:t>
      </w:r>
      <w:r>
        <w:rPr>
          <w:rFonts w:ascii="Arial" w:eastAsia="Georgia" w:hAnsi="Arial" w:cs="Arial"/>
          <w:color w:val="000000"/>
          <w:sz w:val="20"/>
          <w:szCs w:val="20"/>
        </w:rPr>
        <w:t>.</w:t>
      </w:r>
    </w:p>
    <w:p w:rsidR="00A034AA" w:rsidRDefault="00211741">
      <w:pPr>
        <w:pStyle w:val="NormalWeb"/>
        <w:numPr>
          <w:ilvl w:val="0"/>
          <w:numId w:val="13"/>
        </w:numPr>
        <w:spacing w:before="100" w:after="60" w:afterAutospacing="0" w:line="30" w:lineRule="atLeast"/>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Tomas, C. M. M., </w:t>
      </w:r>
      <w:proofErr w:type="spellStart"/>
      <w:r>
        <w:rPr>
          <w:rFonts w:ascii="Arial" w:hAnsi="Arial" w:cs="Arial"/>
          <w:color w:val="222222"/>
          <w:sz w:val="20"/>
          <w:szCs w:val="20"/>
          <w:shd w:val="clear" w:color="auto" w:fill="FFFFFF"/>
        </w:rPr>
        <w:t>Amsler</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Montaudon</w:t>
      </w:r>
      <w:proofErr w:type="spellEnd"/>
      <w:r>
        <w:rPr>
          <w:rFonts w:ascii="Arial" w:hAnsi="Arial" w:cs="Arial"/>
          <w:color w:val="222222"/>
          <w:sz w:val="20"/>
          <w:szCs w:val="20"/>
          <w:shd w:val="clear" w:color="auto" w:fill="FFFFFF"/>
        </w:rPr>
        <w:t xml:space="preserve">-Tomas, I. M., &amp; </w:t>
      </w:r>
      <w:proofErr w:type="spellStart"/>
      <w:r>
        <w:rPr>
          <w:rFonts w:ascii="Arial" w:hAnsi="Arial" w:cs="Arial"/>
          <w:color w:val="222222"/>
          <w:sz w:val="20"/>
          <w:szCs w:val="20"/>
          <w:shd w:val="clear" w:color="auto" w:fill="FFFFFF"/>
        </w:rPr>
        <w:t>Montaudon</w:t>
      </w:r>
      <w:proofErr w:type="spellEnd"/>
      <w:r>
        <w:rPr>
          <w:rFonts w:ascii="Arial" w:hAnsi="Arial" w:cs="Arial"/>
          <w:color w:val="222222"/>
          <w:sz w:val="20"/>
          <w:szCs w:val="20"/>
          <w:shd w:val="clear" w:color="auto" w:fill="FFFFFF"/>
        </w:rPr>
        <w:t>, Y. L. (2023). Unhappy at Work: The Era of the Dis-Employee. In </w:t>
      </w:r>
      <w:r>
        <w:rPr>
          <w:rFonts w:ascii="Arial" w:hAnsi="Arial" w:cs="Arial"/>
          <w:i/>
          <w:iCs/>
          <w:color w:val="222222"/>
          <w:sz w:val="20"/>
          <w:szCs w:val="20"/>
          <w:shd w:val="clear" w:color="auto" w:fill="FFFFFF"/>
        </w:rPr>
        <w:t>Enhancing Employee Engage</w:t>
      </w:r>
      <w:r>
        <w:rPr>
          <w:rFonts w:ascii="Arial" w:hAnsi="Arial" w:cs="Arial"/>
          <w:i/>
          <w:iCs/>
          <w:color w:val="222222"/>
          <w:sz w:val="20"/>
          <w:szCs w:val="20"/>
          <w:shd w:val="clear" w:color="auto" w:fill="FFFFFF"/>
        </w:rPr>
        <w:t>ment and Productivity in the Post-Pandemic Multigenerational Workforce</w:t>
      </w:r>
      <w:r>
        <w:rPr>
          <w:rFonts w:ascii="Arial" w:hAnsi="Arial" w:cs="Arial"/>
          <w:color w:val="222222"/>
          <w:sz w:val="20"/>
          <w:szCs w:val="20"/>
          <w:shd w:val="clear" w:color="auto" w:fill="FFFFFF"/>
        </w:rPr>
        <w:t> (pp. 352-373). IGI Global.</w:t>
      </w:r>
    </w:p>
    <w:p w:rsidR="00A034AA" w:rsidRDefault="00211741">
      <w:pPr>
        <w:pStyle w:val="NormalWeb"/>
        <w:numPr>
          <w:ilvl w:val="0"/>
          <w:numId w:val="13"/>
        </w:numPr>
        <w:spacing w:before="100"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Wai, L. C., Isa, M. B. M., Bhandari, P., </w:t>
      </w:r>
      <w:proofErr w:type="spellStart"/>
      <w:r>
        <w:rPr>
          <w:rFonts w:ascii="Arial" w:eastAsia="Georgia" w:hAnsi="Arial" w:cs="Arial"/>
          <w:color w:val="000000"/>
          <w:sz w:val="20"/>
          <w:szCs w:val="20"/>
        </w:rPr>
        <w:t>Senathirajah</w:t>
      </w:r>
      <w:proofErr w:type="spellEnd"/>
      <w:r>
        <w:rPr>
          <w:rFonts w:ascii="Arial" w:eastAsia="Georgia" w:hAnsi="Arial" w:cs="Arial"/>
          <w:color w:val="000000"/>
          <w:sz w:val="20"/>
          <w:szCs w:val="20"/>
        </w:rPr>
        <w:t xml:space="preserve">, A. R. B., Haque, R., </w:t>
      </w:r>
      <w:proofErr w:type="spellStart"/>
      <w:r>
        <w:rPr>
          <w:rFonts w:ascii="Arial" w:eastAsia="Georgia" w:hAnsi="Arial" w:cs="Arial"/>
          <w:color w:val="000000"/>
          <w:sz w:val="20"/>
          <w:szCs w:val="20"/>
        </w:rPr>
        <w:t>Devasia</w:t>
      </w:r>
      <w:proofErr w:type="spellEnd"/>
      <w:r>
        <w:rPr>
          <w:rFonts w:ascii="Arial" w:eastAsia="Georgia" w:hAnsi="Arial" w:cs="Arial"/>
          <w:color w:val="000000"/>
          <w:sz w:val="20"/>
          <w:szCs w:val="20"/>
        </w:rPr>
        <w:t xml:space="preserve">, S. N., Ramasamy, G., </w:t>
      </w:r>
      <w:proofErr w:type="spellStart"/>
      <w:r>
        <w:rPr>
          <w:rFonts w:ascii="Arial" w:eastAsia="Georgia" w:hAnsi="Arial" w:cs="Arial"/>
          <w:color w:val="000000"/>
          <w:sz w:val="20"/>
          <w:szCs w:val="20"/>
        </w:rPr>
        <w:t>Krishnasamy</w:t>
      </w:r>
      <w:proofErr w:type="spellEnd"/>
      <w:r>
        <w:rPr>
          <w:rFonts w:ascii="Arial" w:eastAsia="Georgia" w:hAnsi="Arial" w:cs="Arial"/>
          <w:color w:val="000000"/>
          <w:sz w:val="20"/>
          <w:szCs w:val="20"/>
        </w:rPr>
        <w:t>, H. N., &amp; Al-</w:t>
      </w:r>
      <w:proofErr w:type="spellStart"/>
      <w:r>
        <w:rPr>
          <w:rFonts w:ascii="Arial" w:eastAsia="Georgia" w:hAnsi="Arial" w:cs="Arial"/>
          <w:color w:val="000000"/>
          <w:sz w:val="20"/>
          <w:szCs w:val="20"/>
        </w:rPr>
        <w:t>Hunaiyyan</w:t>
      </w:r>
      <w:proofErr w:type="spellEnd"/>
      <w:r>
        <w:rPr>
          <w:rFonts w:ascii="Arial" w:eastAsia="Georgia" w:hAnsi="Arial" w:cs="Arial"/>
          <w:color w:val="000000"/>
          <w:sz w:val="20"/>
          <w:szCs w:val="20"/>
        </w:rPr>
        <w:t xml:space="preserve">, A. (2024). </w:t>
      </w:r>
      <w:r>
        <w:rPr>
          <w:rFonts w:ascii="Arial" w:eastAsia="Georgia" w:hAnsi="Arial" w:cs="Arial"/>
          <w:color w:val="000000"/>
          <w:sz w:val="20"/>
          <w:szCs w:val="20"/>
        </w:rPr>
        <w:t>Factors influencing job satisfaction to ensure sustainable growth amongst family-owned organizations in Malaysia. </w:t>
      </w:r>
      <w:r>
        <w:rPr>
          <w:rFonts w:ascii="Arial" w:eastAsia="Georgia" w:hAnsi="Arial" w:cs="Arial"/>
          <w:i/>
          <w:iCs/>
          <w:color w:val="000000"/>
          <w:sz w:val="20"/>
          <w:szCs w:val="20"/>
        </w:rPr>
        <w:t>Kurdish Studies</w:t>
      </w:r>
      <w:r>
        <w:rPr>
          <w:rFonts w:ascii="Arial" w:eastAsia="Georgia" w:hAnsi="Arial" w:cs="Arial"/>
          <w:color w:val="000000"/>
          <w:sz w:val="20"/>
          <w:szCs w:val="20"/>
        </w:rPr>
        <w:t>, </w:t>
      </w:r>
      <w:r>
        <w:rPr>
          <w:rFonts w:ascii="Arial" w:eastAsia="Georgia" w:hAnsi="Arial" w:cs="Arial"/>
          <w:i/>
          <w:iCs/>
          <w:color w:val="000000"/>
          <w:sz w:val="20"/>
          <w:szCs w:val="20"/>
        </w:rPr>
        <w:t>12</w:t>
      </w:r>
      <w:r>
        <w:rPr>
          <w:rFonts w:ascii="Arial" w:eastAsia="Georgia" w:hAnsi="Arial" w:cs="Arial"/>
          <w:color w:val="000000"/>
          <w:sz w:val="20"/>
          <w:szCs w:val="20"/>
        </w:rPr>
        <w:t>(1), 3144–3173. https://kurdishstudies.net/menu-script/index.php/KS/article/view/1608</w:t>
      </w:r>
    </w:p>
    <w:sectPr w:rsidR="00A034A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741" w:rsidRDefault="00211741">
      <w:pPr>
        <w:spacing w:line="240" w:lineRule="auto"/>
      </w:pPr>
      <w:r>
        <w:separator/>
      </w:r>
    </w:p>
  </w:endnote>
  <w:endnote w:type="continuationSeparator" w:id="0">
    <w:p w:rsidR="00211741" w:rsidRDefault="00211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4AA" w:rsidRDefault="00A0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4AA" w:rsidRDefault="00A03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4AA" w:rsidRDefault="00A0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741" w:rsidRDefault="00211741">
      <w:pPr>
        <w:spacing w:after="0"/>
      </w:pPr>
      <w:r>
        <w:separator/>
      </w:r>
    </w:p>
  </w:footnote>
  <w:footnote w:type="continuationSeparator" w:id="0">
    <w:p w:rsidR="00211741" w:rsidRDefault="002117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4AA" w:rsidRDefault="0021174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735641" o:spid="_x0000_s2050" type="#_x0000_t136" style="position:absolute;left:0;text-align:left;margin-left:0;margin-top:0;width:487.2pt;height:91.3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4AA" w:rsidRDefault="0021174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735642" o:spid="_x0000_s2051" type="#_x0000_t136" style="position:absolute;left:0;text-align:left;margin-left:0;margin-top:0;width:487.2pt;height:91.3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4AA" w:rsidRDefault="0021174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735640" o:spid="_x0000_s2049" type="#_x0000_t136" style="position:absolute;left:0;text-align:left;margin-left:0;margin-top:0;width:487.2pt;height:91.3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DC8F57"/>
    <w:multiLevelType w:val="singleLevel"/>
    <w:tmpl w:val="9BDC8F57"/>
    <w:lvl w:ilvl="0">
      <w:start w:val="1"/>
      <w:numFmt w:val="decimal"/>
      <w:lvlText w:val="%1."/>
      <w:lvlJc w:val="left"/>
      <w:pPr>
        <w:tabs>
          <w:tab w:val="left" w:pos="425"/>
        </w:tabs>
        <w:ind w:left="425" w:hanging="425"/>
      </w:pPr>
      <w:rPr>
        <w:rFonts w:hint="default"/>
      </w:rPr>
    </w:lvl>
  </w:abstractNum>
  <w:abstractNum w:abstractNumId="1" w15:restartNumberingAfterBreak="0">
    <w:nsid w:val="DB72791E"/>
    <w:multiLevelType w:val="singleLevel"/>
    <w:tmpl w:val="DB72791E"/>
    <w:lvl w:ilvl="0">
      <w:start w:val="1"/>
      <w:numFmt w:val="lowerLetter"/>
      <w:lvlText w:val="%1."/>
      <w:lvlJc w:val="left"/>
      <w:pPr>
        <w:tabs>
          <w:tab w:val="left" w:pos="425"/>
        </w:tabs>
        <w:ind w:left="425" w:hanging="425"/>
      </w:pPr>
      <w:rPr>
        <w:rFonts w:hint="default"/>
      </w:rPr>
    </w:lvl>
  </w:abstractNum>
  <w:abstractNum w:abstractNumId="2" w15:restartNumberingAfterBreak="0">
    <w:nsid w:val="11E66258"/>
    <w:multiLevelType w:val="multilevel"/>
    <w:tmpl w:val="11E662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4F1061"/>
    <w:multiLevelType w:val="multilevel"/>
    <w:tmpl w:val="164F10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9326C82"/>
    <w:multiLevelType w:val="multilevel"/>
    <w:tmpl w:val="39326C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DE95C41"/>
    <w:multiLevelType w:val="multilevel"/>
    <w:tmpl w:val="3DE95C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F0A2B2B"/>
    <w:multiLevelType w:val="multilevel"/>
    <w:tmpl w:val="3F0A2B2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D22498B"/>
    <w:multiLevelType w:val="multilevel"/>
    <w:tmpl w:val="4D22498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E33BCE4"/>
    <w:multiLevelType w:val="singleLevel"/>
    <w:tmpl w:val="4E33BCE4"/>
    <w:lvl w:ilvl="0">
      <w:start w:val="1"/>
      <w:numFmt w:val="decimal"/>
      <w:lvlText w:val="%1."/>
      <w:lvlJc w:val="left"/>
      <w:pPr>
        <w:tabs>
          <w:tab w:val="left" w:pos="425"/>
        </w:tabs>
        <w:ind w:left="425" w:hanging="425"/>
      </w:pPr>
      <w:rPr>
        <w:rFonts w:hint="default"/>
      </w:rPr>
    </w:lvl>
  </w:abstractNum>
  <w:abstractNum w:abstractNumId="9" w15:restartNumberingAfterBreak="0">
    <w:nsid w:val="56621B85"/>
    <w:multiLevelType w:val="singleLevel"/>
    <w:tmpl w:val="56621B85"/>
    <w:lvl w:ilvl="0">
      <w:start w:val="1"/>
      <w:numFmt w:val="decimal"/>
      <w:lvlText w:val="%1."/>
      <w:lvlJc w:val="left"/>
      <w:pPr>
        <w:tabs>
          <w:tab w:val="left" w:pos="425"/>
        </w:tabs>
        <w:ind w:left="425" w:hanging="425"/>
      </w:pPr>
      <w:rPr>
        <w:rFonts w:hint="default"/>
        <w:b w:val="0"/>
      </w:rPr>
    </w:lvl>
  </w:abstractNum>
  <w:abstractNum w:abstractNumId="10" w15:restartNumberingAfterBreak="0">
    <w:nsid w:val="5D9C6F09"/>
    <w:multiLevelType w:val="multilevel"/>
    <w:tmpl w:val="5D9C6F0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95C3419"/>
    <w:multiLevelType w:val="multilevel"/>
    <w:tmpl w:val="695C341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C702B9D"/>
    <w:multiLevelType w:val="multilevel"/>
    <w:tmpl w:val="7C702B9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2"/>
  </w:num>
  <w:num w:numId="3">
    <w:abstractNumId w:val="1"/>
  </w:num>
  <w:num w:numId="4">
    <w:abstractNumId w:val="5"/>
  </w:num>
  <w:num w:numId="5">
    <w:abstractNumId w:val="8"/>
  </w:num>
  <w:num w:numId="6">
    <w:abstractNumId w:val="3"/>
  </w:num>
  <w:num w:numId="7">
    <w:abstractNumId w:val="6"/>
  </w:num>
  <w:num w:numId="8">
    <w:abstractNumId w:val="11"/>
  </w:num>
  <w:num w:numId="9">
    <w:abstractNumId w:val="7"/>
  </w:num>
  <w:num w:numId="10">
    <w:abstractNumId w:val="4"/>
  </w:num>
  <w:num w:numId="11">
    <w:abstractNumId w:val="1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89C"/>
    <w:rsid w:val="000625B4"/>
    <w:rsid w:val="00092C12"/>
    <w:rsid w:val="00094C09"/>
    <w:rsid w:val="00132D83"/>
    <w:rsid w:val="001427CE"/>
    <w:rsid w:val="001C1B6B"/>
    <w:rsid w:val="001F2BDE"/>
    <w:rsid w:val="00211741"/>
    <w:rsid w:val="002243F1"/>
    <w:rsid w:val="00243A3E"/>
    <w:rsid w:val="002507A8"/>
    <w:rsid w:val="002813BE"/>
    <w:rsid w:val="002B3E80"/>
    <w:rsid w:val="002B54CB"/>
    <w:rsid w:val="00302011"/>
    <w:rsid w:val="00334FCC"/>
    <w:rsid w:val="0035420D"/>
    <w:rsid w:val="00362554"/>
    <w:rsid w:val="00396572"/>
    <w:rsid w:val="003A5728"/>
    <w:rsid w:val="003C1E47"/>
    <w:rsid w:val="003C2B42"/>
    <w:rsid w:val="003D0C83"/>
    <w:rsid w:val="003D5167"/>
    <w:rsid w:val="003E40B6"/>
    <w:rsid w:val="00406378"/>
    <w:rsid w:val="00455471"/>
    <w:rsid w:val="00470327"/>
    <w:rsid w:val="00471C30"/>
    <w:rsid w:val="0047319E"/>
    <w:rsid w:val="004D11F1"/>
    <w:rsid w:val="00517C97"/>
    <w:rsid w:val="00532514"/>
    <w:rsid w:val="00535725"/>
    <w:rsid w:val="00543C73"/>
    <w:rsid w:val="00580FBF"/>
    <w:rsid w:val="00597F5E"/>
    <w:rsid w:val="005B6273"/>
    <w:rsid w:val="005C29AF"/>
    <w:rsid w:val="0060035A"/>
    <w:rsid w:val="00604B37"/>
    <w:rsid w:val="0061031B"/>
    <w:rsid w:val="00610BE3"/>
    <w:rsid w:val="00620CF3"/>
    <w:rsid w:val="00634CB6"/>
    <w:rsid w:val="00685E23"/>
    <w:rsid w:val="00690128"/>
    <w:rsid w:val="00690DF5"/>
    <w:rsid w:val="006C1411"/>
    <w:rsid w:val="006D29D7"/>
    <w:rsid w:val="006E7793"/>
    <w:rsid w:val="00716C9A"/>
    <w:rsid w:val="007C2C1D"/>
    <w:rsid w:val="007D3495"/>
    <w:rsid w:val="00804B23"/>
    <w:rsid w:val="00883684"/>
    <w:rsid w:val="008A1A9B"/>
    <w:rsid w:val="008D238D"/>
    <w:rsid w:val="008E389C"/>
    <w:rsid w:val="008E4BE5"/>
    <w:rsid w:val="00913E87"/>
    <w:rsid w:val="009314BD"/>
    <w:rsid w:val="00943E75"/>
    <w:rsid w:val="009A4A8A"/>
    <w:rsid w:val="009E41A3"/>
    <w:rsid w:val="00A034AA"/>
    <w:rsid w:val="00A15B95"/>
    <w:rsid w:val="00A25DD7"/>
    <w:rsid w:val="00A84232"/>
    <w:rsid w:val="00AE22F5"/>
    <w:rsid w:val="00B109CD"/>
    <w:rsid w:val="00B235C0"/>
    <w:rsid w:val="00B63DA7"/>
    <w:rsid w:val="00B81975"/>
    <w:rsid w:val="00B97DBA"/>
    <w:rsid w:val="00BE59DE"/>
    <w:rsid w:val="00BF268F"/>
    <w:rsid w:val="00C201B9"/>
    <w:rsid w:val="00C66571"/>
    <w:rsid w:val="00C9423D"/>
    <w:rsid w:val="00CE26BE"/>
    <w:rsid w:val="00CE4000"/>
    <w:rsid w:val="00D60EAF"/>
    <w:rsid w:val="00DA541E"/>
    <w:rsid w:val="00DB1489"/>
    <w:rsid w:val="00DC4A1C"/>
    <w:rsid w:val="00E019BB"/>
    <w:rsid w:val="00E57EE2"/>
    <w:rsid w:val="00E60FD7"/>
    <w:rsid w:val="00E705CD"/>
    <w:rsid w:val="00E71350"/>
    <w:rsid w:val="00EA53BB"/>
    <w:rsid w:val="00F00162"/>
    <w:rsid w:val="00F009D6"/>
    <w:rsid w:val="00F30ABD"/>
    <w:rsid w:val="00F345CB"/>
    <w:rsid w:val="00F94B4C"/>
    <w:rsid w:val="00FA3ACF"/>
    <w:rsid w:val="00FD17EF"/>
    <w:rsid w:val="016112D3"/>
    <w:rsid w:val="0418750A"/>
    <w:rsid w:val="055F62E0"/>
    <w:rsid w:val="05C36005"/>
    <w:rsid w:val="07056611"/>
    <w:rsid w:val="08F700C6"/>
    <w:rsid w:val="11E47A6A"/>
    <w:rsid w:val="15EF1692"/>
    <w:rsid w:val="16B67CD2"/>
    <w:rsid w:val="1B8056AC"/>
    <w:rsid w:val="1BEA5DC7"/>
    <w:rsid w:val="227F0AA8"/>
    <w:rsid w:val="23AB0215"/>
    <w:rsid w:val="24F51F09"/>
    <w:rsid w:val="255C2A9C"/>
    <w:rsid w:val="2615738A"/>
    <w:rsid w:val="2C547101"/>
    <w:rsid w:val="30797214"/>
    <w:rsid w:val="326F76CF"/>
    <w:rsid w:val="32DC0EB2"/>
    <w:rsid w:val="3B073F58"/>
    <w:rsid w:val="3CCE0ED2"/>
    <w:rsid w:val="3D7E7186"/>
    <w:rsid w:val="3DF60935"/>
    <w:rsid w:val="3E49293D"/>
    <w:rsid w:val="408D0DFA"/>
    <w:rsid w:val="43367252"/>
    <w:rsid w:val="43374CD4"/>
    <w:rsid w:val="43FA6097"/>
    <w:rsid w:val="51950F66"/>
    <w:rsid w:val="525A0F6A"/>
    <w:rsid w:val="57E767C7"/>
    <w:rsid w:val="5C0E0FD7"/>
    <w:rsid w:val="640843A9"/>
    <w:rsid w:val="68515FB2"/>
    <w:rsid w:val="699D01D2"/>
    <w:rsid w:val="6B9C7C98"/>
    <w:rsid w:val="70A51CDF"/>
    <w:rsid w:val="7512151E"/>
    <w:rsid w:val="7889062C"/>
    <w:rsid w:val="7AA75347"/>
    <w:rsid w:val="7DF26E3A"/>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D273B99"/>
  <w15:docId w15:val="{ABE64F9A-71E4-4C3C-A8B6-C33E7F1B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PH"/>
    </w:rPr>
  </w:style>
  <w:style w:type="paragraph" w:styleId="Heading1">
    <w:name w:val="heading 1"/>
    <w:basedOn w:val="Normal"/>
    <w:next w:val="Normal"/>
    <w:link w:val="Heading1Char"/>
    <w:uiPriority w:val="9"/>
    <w:qFormat/>
    <w:pPr>
      <w:keepNext/>
      <w:keepLines/>
      <w:spacing w:before="240" w:after="0" w:line="480"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after="0" w:line="480" w:lineRule="auto"/>
      <w:jc w:val="both"/>
      <w:outlineLvl w:val="1"/>
    </w:pPr>
    <w:rPr>
      <w:rFonts w:ascii="Arial" w:eastAsiaTheme="majorEastAsia" w:hAnsi="Arial" w:cstheme="majorBidi"/>
      <w:b/>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jc w:val="both"/>
    </w:pPr>
    <w:rPr>
      <w:rFonts w:ascii="Book Antiqua" w:hAnsi="Book Antiqua" w:cs="Arial"/>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jc w:val="both"/>
    </w:pPr>
    <w:rPr>
      <w:rFonts w:ascii="Book Antiqua" w:hAnsi="Book Antiqua" w:cs="Arial"/>
      <w:sz w:val="20"/>
      <w:szCs w:val="20"/>
    </w:rPr>
  </w:style>
  <w:style w:type="character" w:styleId="Hyperlink">
    <w:name w:val="Hyperlink"/>
    <w:basedOn w:val="DefaultParagraphFont"/>
    <w:uiPriority w:val="99"/>
    <w:unhideWhenUsed/>
    <w:rPr>
      <w:color w:val="0563C1" w:themeColor="hyperlink"/>
      <w:u w:val="single"/>
    </w:rPr>
  </w:style>
  <w:style w:type="character" w:styleId="LineNumber">
    <w:name w:val="line number"/>
    <w:basedOn w:val="DefaultParagraphFont"/>
    <w:uiPriority w:val="99"/>
    <w:semiHidden/>
    <w:unhideWhenUsed/>
  </w:style>
  <w:style w:type="paragraph" w:styleId="NormalWeb">
    <w:name w:val="Normal (Web)"/>
    <w:uiPriority w:val="99"/>
    <w:qFormat/>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qFormat/>
    <w:rPr>
      <w:rFonts w:ascii="Times New Roman" w:hAnsi="Times New Roman" w:cs="Times New Roman"/>
    </w:rPr>
    <w:tblPr>
      <w:tblBorders>
        <w:top w:val="single" w:sz="4" w:space="0" w:color="auto"/>
        <w:bottom w:val="single" w:sz="4" w:space="0" w:color="auto"/>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Pr>
      <w:rFonts w:ascii="Arial" w:eastAsiaTheme="majorEastAsia" w:hAnsi="Arial" w:cstheme="majorBidi"/>
      <w:b/>
      <w:szCs w:val="26"/>
      <w:lang w:eastAsia="en-PH"/>
    </w:rPr>
  </w:style>
  <w:style w:type="character" w:customStyle="1" w:styleId="FooterChar">
    <w:name w:val="Footer Char"/>
    <w:basedOn w:val="DefaultParagraphFont"/>
    <w:link w:val="Footer"/>
    <w:uiPriority w:val="99"/>
    <w:qFormat/>
    <w:rPr>
      <w:rFonts w:ascii="Book Antiqua" w:hAnsi="Book Antiqua" w:cs="Arial"/>
      <w:sz w:val="20"/>
      <w:szCs w:val="20"/>
    </w:rPr>
  </w:style>
  <w:style w:type="paragraph" w:styleId="ListParagraph">
    <w:name w:val="List Paragraph"/>
    <w:basedOn w:val="Normal"/>
    <w:uiPriority w:val="34"/>
    <w:qFormat/>
    <w:pPr>
      <w:spacing w:after="0" w:line="480" w:lineRule="auto"/>
      <w:ind w:left="720"/>
      <w:contextualSpacing/>
      <w:jc w:val="both"/>
    </w:pPr>
    <w:rPr>
      <w:rFonts w:ascii="Arial" w:eastAsiaTheme="minorEastAsia" w:hAnsi="Arial"/>
      <w:lang w:eastAsia="en-PH"/>
    </w:rPr>
  </w:style>
  <w:style w:type="character" w:customStyle="1" w:styleId="HeaderChar">
    <w:name w:val="Header Char"/>
    <w:basedOn w:val="DefaultParagraphFont"/>
    <w:link w:val="Header"/>
    <w:uiPriority w:val="99"/>
    <w:qFormat/>
    <w:rPr>
      <w:rFonts w:ascii="Book Antiqua" w:hAnsi="Book Antiqua" w:cs="Arial"/>
      <w:sz w:val="20"/>
      <w:szCs w:val="20"/>
    </w:rPr>
  </w:style>
  <w:style w:type="paragraph" w:customStyle="1" w:styleId="Default">
    <w:name w:val="Default"/>
    <w:qFormat/>
    <w:pPr>
      <w:autoSpaceDE w:val="0"/>
      <w:autoSpaceDN w:val="0"/>
      <w:adjustRightInd w:val="0"/>
    </w:pPr>
    <w:rPr>
      <w:rFonts w:ascii="Arial" w:hAnsi="Arial" w:cs="Arial"/>
      <w:color w:val="000000"/>
      <w:sz w:val="24"/>
      <w:szCs w:val="24"/>
      <w:lang w:val="en-PH"/>
    </w:rPr>
  </w:style>
  <w:style w:type="paragraph" w:styleId="NoSpacing">
    <w:name w:val="No Spacing"/>
    <w:uiPriority w:val="1"/>
    <w:qFormat/>
    <w:rPr>
      <w:sz w:val="22"/>
      <w:szCs w:val="22"/>
      <w:lang w:val="en-PH"/>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D732AC-310C-464E-A9BD-71A01865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6842</Words>
  <Characters>39003</Characters>
  <Application>Microsoft Office Word</Application>
  <DocSecurity>0</DocSecurity>
  <Lines>325</Lines>
  <Paragraphs>91</Paragraphs>
  <ScaleCrop>false</ScaleCrop>
  <Company/>
  <LinksUpToDate>false</LinksUpToDate>
  <CharactersWithSpaces>45754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1183</cp:lastModifiedBy>
  <cp:revision>7</cp:revision>
  <dcterms:created xsi:type="dcterms:W3CDTF">2025-07-17T04:27:00Z</dcterms:created>
  <dcterms:modified xsi:type="dcterms:W3CDTF">2025-09-12T07:05:00Z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140d8d29-fe1a-48c8-a8da-ebc54a81f4ee</vt:lpwstr>
  </property>
  <property fmtid="{D5CDD505-2E9C-101B-9397-08002B2CF9AE}" pid="3" name="KSOProductBuildVer">
    <vt:lpwstr>1033-12.2.0.21931</vt:lpwstr>
  </property>
  <property fmtid="{D5CDD505-2E9C-101B-9397-08002B2CF9AE}" pid="4" name="ICV">
    <vt:lpwstr>1F327F6F154E41CBB42C328D0F2AED2C_13</vt:lpwstr>
  </property>
</Properties>
</file>