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BEF04" w14:textId="77777777" w:rsidR="00D40B06" w:rsidRDefault="00000000">
      <w:r>
        <w:rPr>
          <w:rFonts w:hint="eastAsia"/>
        </w:rPr>
        <w:t>G</w:t>
      </w:r>
      <w:r>
        <w:t>ender Differences in Immersive Cultural Experiences among China’s Generation Z</w:t>
      </w:r>
    </w:p>
    <w:p w14:paraId="66FD301C" w14:textId="77777777" w:rsidR="00D40B06" w:rsidRDefault="00D40B06"/>
    <w:p w14:paraId="1A2BA333" w14:textId="77777777" w:rsidR="00D40B06" w:rsidRDefault="00D40B06"/>
    <w:p w14:paraId="1720AD21" w14:textId="11051898" w:rsidR="00D40B06" w:rsidRDefault="00000000">
      <w:pPr>
        <w:rPr>
          <w:b/>
          <w:bCs/>
        </w:rPr>
      </w:pPr>
      <w:r>
        <w:rPr>
          <w:b/>
          <w:bCs/>
        </w:rPr>
        <w:t>A</w:t>
      </w:r>
      <w:r>
        <w:rPr>
          <w:rFonts w:hint="eastAsia"/>
          <w:b/>
          <w:bCs/>
        </w:rPr>
        <w:t>bstract：</w:t>
      </w:r>
      <w:r w:rsidR="0053673E">
        <w:rPr>
          <w:rFonts w:hint="eastAsia"/>
          <w:b/>
          <w:bCs/>
        </w:rPr>
        <w:t xml:space="preserve"> </w:t>
      </w:r>
    </w:p>
    <w:p w14:paraId="5B9E770B" w14:textId="1B555463" w:rsidR="00D40B06" w:rsidRDefault="00035F2E">
      <w:r w:rsidRPr="00035F2E">
        <w:t>This study explores how immersive cultural experiences shape emotional resonance, cultural identity, and behavioral intention among China’s Generation Z, with a particular focus on gender differences. Grounded in the Experience Economy and Social Identity Theory, a conceptual model was developed linking immersive experience, emotional resonance, cultural identity, and behavioral intention. Data were collected from 472 valid survey responses and analyzed using structural equation modeling (SEM) and multi-group analysis (MGA). Results indicate that immersive experiences significantly enhance emotional resonance, which in turn fosters cultural identity and drives both cultural engagement and digital participation. Mediation tests further confirm that emotional resonance and cultural identity act as key bridges within the experience–emotion–identity–behavior chain. Gender differences also emerged: females were more likely to translate immersive experiences into emotional responses, while males relied more on cultural identity to sustain behavioral intention. These findings extend theoretical frameworks by integrating emotion, identity, and gendered mechanisms, while offering practical implications for immersive design, digital engagement, and cultural sustainability in tourism and creative industries.</w:t>
      </w:r>
    </w:p>
    <w:p w14:paraId="6949D9B4" w14:textId="77777777" w:rsidR="00D40B06" w:rsidRDefault="00D40B06"/>
    <w:p w14:paraId="5131C022" w14:textId="77777777" w:rsidR="00D40B06" w:rsidRDefault="00000000">
      <w:pPr>
        <w:rPr>
          <w:b/>
          <w:bCs/>
        </w:rPr>
      </w:pPr>
      <w:r>
        <w:rPr>
          <w:b/>
          <w:bCs/>
        </w:rPr>
        <w:t>K</w:t>
      </w:r>
      <w:r>
        <w:rPr>
          <w:rFonts w:hint="eastAsia"/>
          <w:b/>
          <w:bCs/>
        </w:rPr>
        <w:t>eywords：</w:t>
      </w:r>
    </w:p>
    <w:p w14:paraId="7CA4A7D9" w14:textId="78821203" w:rsidR="00D40B06" w:rsidRDefault="00000000">
      <w:r>
        <w:t xml:space="preserve">immersive experience, emotional resonance, cultural identity, behavioral intention, gender differences, Generation Z, structural equation modeling, cultural </w:t>
      </w:r>
      <w:proofErr w:type="spellStart"/>
      <w:r>
        <w:t>tourism</w:t>
      </w:r>
      <w:r w:rsidR="00C848E0">
        <w:rPr>
          <w:rFonts w:hint="eastAsia"/>
        </w:rPr>
        <w:t>,</w:t>
      </w:r>
      <w:r w:rsidR="00C848E0" w:rsidRPr="00C848E0">
        <w:t>digital</w:t>
      </w:r>
      <w:proofErr w:type="spellEnd"/>
      <w:r w:rsidR="00C848E0" w:rsidRPr="00C848E0">
        <w:t xml:space="preserve"> participation</w:t>
      </w:r>
    </w:p>
    <w:p w14:paraId="53C82552" w14:textId="77777777" w:rsidR="00D40B06" w:rsidRDefault="00D40B06"/>
    <w:p w14:paraId="404C8D6F" w14:textId="77777777" w:rsidR="00D40B06" w:rsidRDefault="00000000">
      <w:r>
        <w:t>1 Introduction</w:t>
      </w:r>
    </w:p>
    <w:p w14:paraId="53DAC293" w14:textId="77777777" w:rsidR="00D40B06" w:rsidRDefault="00000000">
      <w:r>
        <w:t>1.1 Background and Problem Statement</w:t>
      </w:r>
    </w:p>
    <w:p w14:paraId="0A6766C9" w14:textId="77777777" w:rsidR="00D40B06" w:rsidRDefault="00000000">
      <w:r>
        <w:t xml:space="preserve">In recent years, traditional culture has witnessed a revival among China’s younger generations, especially Generation Z (born between 1995 and 2010), who actively reinterpret heritage within contemporary lifestyles and aesthetics (Lu, Zhang, &amp; Luo, 2023). This transformation is evident in the Guochao movement, which reframes cultural heritage from static exhibition into dynamic cycles of identity construction and </w:t>
      </w:r>
      <w:r>
        <w:lastRenderedPageBreak/>
        <w:t>consumption.</w:t>
      </w:r>
    </w:p>
    <w:p w14:paraId="3BDED748" w14:textId="77777777" w:rsidR="00D40B06" w:rsidRDefault="00000000">
      <w:r>
        <w:t>At the same time, immersive experiences have become crucial for engaging youth with culture. Multisensory and narrative-driven designs in heritage spaces and digital platforms heighten psychological involvement and a sense of presence (Oh, Fiore, &amp; Jeong, 2020; Robaina-Calderín, Martín-Santana, &amp; Muñoz-Leiva, 2023). Such experiences not only generate immediate enjoyment but also create pathways for deeper emotional connections, cultural identity reinforcement, and sustainable behavioral intentions (Slater, 2020).</w:t>
      </w:r>
    </w:p>
    <w:p w14:paraId="6EF5A9B7" w14:textId="77777777" w:rsidR="00D40B06" w:rsidRDefault="00D40B06"/>
    <w:p w14:paraId="617CB309" w14:textId="77777777" w:rsidR="00D40B06" w:rsidRDefault="00000000">
      <w:r>
        <w:t>1.2 Theoretical Lens and Research Gap</w:t>
      </w:r>
    </w:p>
    <w:p w14:paraId="07ED4D25" w14:textId="77777777" w:rsidR="00D40B06" w:rsidRDefault="00000000">
      <w:r>
        <w:t>The Experience Economy emphasizes that value creation has shifted from goods and services to meaning-laden experiences (Pine &amp; Gilmore, 1999), while Social Identity Theory highlights the role of cultural symbols and group affiliation in shaping self-concept (Tajfel &amp; Turner, 1986). Integrating these perspectives suggests a causal pathway:</w:t>
      </w:r>
    </w:p>
    <w:p w14:paraId="35B534FF" w14:textId="77777777" w:rsidR="00D40B06" w:rsidRDefault="00000000">
      <w:r>
        <w:t>Immersive Experience → Emotional Resonance → Cultural Identity → Behavioral Intention.</w:t>
      </w:r>
    </w:p>
    <w:p w14:paraId="03BEE917" w14:textId="77777777" w:rsidR="00D40B06" w:rsidRDefault="00000000">
      <w:r>
        <w:t>Although prior research has explored parts of this chain, systematic empirical testing remains limited. For example, immersive settings have been shown to enhance visitor engagement and meaning-making (Oh et al., 2020), yet their impact on long-term cultural participation is less studied. Similarly, cross-cultural studies of nostalgia suggest that emotional responses play a central role in identity formation (Sedikides et al., 2022), but their mediating function within immersive cultural contexts is underexplored.</w:t>
      </w:r>
    </w:p>
    <w:p w14:paraId="4E00D1A6" w14:textId="77777777" w:rsidR="00D40B06" w:rsidRDefault="00D40B06"/>
    <w:p w14:paraId="1077B349" w14:textId="77777777" w:rsidR="00D40B06" w:rsidRDefault="00000000">
      <w:r>
        <w:t>1.3 The Importance of Gender Differences</w:t>
      </w:r>
    </w:p>
    <w:p w14:paraId="5B25B329" w14:textId="77777777" w:rsidR="00D40B06" w:rsidRDefault="00000000">
      <w:r>
        <w:t>Gender provides an additional lens to understand how immersive experiences shape cultural behavior. Studies indicate that women are more likely to translate affective stimuli into emotional resonance, whereas men emphasize cognitive and symbolic meanings (Lin &amp; Wang, 2020). More recent findings confirm significant gender-based differences in engagement and trust formation in cultural and virtual tourism contexts (Saidon, Hassan, &amp; Ramli, 2024; Tan, 2025). Moreover, neuroscientific evidence shows measurable gender variation in emotional responses to virtual environments (Li, Wang, Hai, Cai, &amp; Zhang, 2024). However, multi-group structural equation modeling (MGA) remains underutilized in cultural tourism, limiting systematic insights.</w:t>
      </w:r>
    </w:p>
    <w:p w14:paraId="50571C36" w14:textId="77777777" w:rsidR="00D40B06" w:rsidRDefault="00D40B06"/>
    <w:p w14:paraId="38E2282C" w14:textId="77777777" w:rsidR="00D40B06" w:rsidRDefault="00000000">
      <w:r>
        <w:t>1.4 Research Objectives and Contributions</w:t>
      </w:r>
    </w:p>
    <w:p w14:paraId="572BF0AE" w14:textId="77777777" w:rsidR="00D40B06" w:rsidRDefault="00000000">
      <w:r>
        <w:t>Against this backdrop, this study investigates how immersive experiences influence cultural identity and behavioral intention through emotional resonance, while examining gender differences among China’s Generation Z.</w:t>
      </w:r>
    </w:p>
    <w:p w14:paraId="4BBD351A" w14:textId="77777777" w:rsidR="00D40B06" w:rsidRDefault="00000000">
      <w:r>
        <w:t>The contributions are threefold. First, it develops and validates a unified model linking immersive experience, emotional resonance, cultural identity, and behavioral intention. Second, it incorporates gender as a moderating factor, revealing heterogeneous pathways across male and female groups. Third, it provides practical insights for designing gender-sensitive immersive cultural experiences, thereby advancing cultural sustainability in tourism and creative industries.</w:t>
      </w:r>
    </w:p>
    <w:p w14:paraId="34AB03E2" w14:textId="77777777" w:rsidR="00D40B06" w:rsidRDefault="00D40B06"/>
    <w:p w14:paraId="1FC0BBFC" w14:textId="77777777" w:rsidR="00D40B06" w:rsidRDefault="00000000">
      <w:r>
        <w:t>2 Literature Review</w:t>
      </w:r>
    </w:p>
    <w:p w14:paraId="3FF885F1" w14:textId="77777777" w:rsidR="00D40B06" w:rsidRDefault="00000000">
      <w:r>
        <w:t>2.1 Immersive Experience</w:t>
      </w:r>
    </w:p>
    <w:p w14:paraId="3C374EC2" w14:textId="77777777" w:rsidR="00D40B06" w:rsidRDefault="00000000">
      <w:r>
        <w:t>Immersion refers to the psychological involvement and presence individuals feel within cultural or digital contexts (Slater, 2020). In tourism, immersive experiences often rely on multisensory and narrative-driven designs, which can significantly enhance engagement (Oh et al., 2020). For example, immersive museum experiences have been identified as effective tools to attract and engage younger generations, particularly Generation Z and millennials (Robaina-Calderín et al., 2023). Similarly, virtual reality (VR) applications in museums highlight the transformative potential of digital immersion for cultural learning and identity formation (Shehade &amp; Stylianou-Lambert, 2020).</w:t>
      </w:r>
    </w:p>
    <w:p w14:paraId="30D54B02" w14:textId="77777777" w:rsidR="00D40B06" w:rsidRDefault="00D40B06"/>
    <w:p w14:paraId="01AB601A" w14:textId="77777777" w:rsidR="00D40B06" w:rsidRDefault="00000000">
      <w:r>
        <w:t>Yet, most studies emphasize short-term hedonic outcomes such as enjoyment or satisfaction, with less attention to long-term mechanisms like cultural identity and sustained participation (Lu et al., 2023). Addressing this gap is critical for understanding how immersive experiences translate into durable cultural behavior.</w:t>
      </w:r>
    </w:p>
    <w:p w14:paraId="269266CA" w14:textId="77777777" w:rsidR="00D40B06" w:rsidRDefault="00D40B06"/>
    <w:p w14:paraId="597E26B4" w14:textId="77777777" w:rsidR="00D40B06" w:rsidRDefault="00000000">
      <w:r>
        <w:t>2.2 Emotional Resonance</w:t>
      </w:r>
    </w:p>
    <w:p w14:paraId="579FB7A2" w14:textId="77777777" w:rsidR="00D40B06" w:rsidRDefault="00000000">
      <w:r>
        <w:t xml:space="preserve">Emotional resonance refers to the affective alignment and empathetic connection individuals form with cultural stimuli. In immersive contexts, emotional engagement acts as a psychological bridge between external cultural narratives and internalized self-concept (Sedikides et al., 2022). Research indicates that immersive settings are </w:t>
      </w:r>
      <w:r>
        <w:lastRenderedPageBreak/>
        <w:t>particularly effective in triggering such affective responses, which may in turn foster belonging and cultural identification (Oh et al., 2020). For Gen Z audiences, resonance is especially salient as they often seek authentic, emotionally charged cultural experiences (Robaina-Calderín et al., 2023).</w:t>
      </w:r>
    </w:p>
    <w:p w14:paraId="25549F70" w14:textId="77777777" w:rsidR="00D40B06" w:rsidRDefault="00D40B06"/>
    <w:p w14:paraId="3A756082" w14:textId="77777777" w:rsidR="00D40B06" w:rsidRDefault="00000000">
      <w:r>
        <w:t>2.3 Cultural Identity</w:t>
      </w:r>
    </w:p>
    <w:p w14:paraId="44042661" w14:textId="77777777" w:rsidR="00D40B06" w:rsidRDefault="00000000">
      <w:r>
        <w:t>Cultural identity encompasses cognitive, emotional, and symbolic dimensions of belonging shaped through cultural interaction (Tajfel &amp; Turner, 1986). It plays a decisive role in whether visitors incorporate cultural symbols into their self-concept. Prior research demonstrates that immersive experiences can stimulate identity affirmation among youth, as seen in the Guochao trend where heritage is reimagined in modern contexts (Lu et al., 2023). Moreover, emotional resonance has been shown to precede identity incorporation, which in turn predicts loyalty and behavioral engagement (Sedikides et al., 2022; Zhou &amp; Wong, 2022).</w:t>
      </w:r>
    </w:p>
    <w:p w14:paraId="6E413831" w14:textId="77777777" w:rsidR="00D40B06" w:rsidRDefault="00D40B06"/>
    <w:p w14:paraId="5715B1A7" w14:textId="77777777" w:rsidR="00D40B06" w:rsidRDefault="00000000">
      <w:r>
        <w:t>2.4 Behavioral Intention</w:t>
      </w:r>
    </w:p>
    <w:p w14:paraId="764D2543" w14:textId="77777777" w:rsidR="00D40B06" w:rsidRDefault="00000000">
      <w:r>
        <w:t>Behavioral intention, defined as the subjective likelihood of future action (Ajzen, 1991), is a widely accepted predictor of actual behavior in tourism. It includes revisit intention, recommendations, and continued cultural engagement. Empirical research confirms that cultural identity strongly predicts such intentions (Zhou &amp; Wong, 2022). Importantly, studies also highlight that Gen Z’s behavioral intentions extend into digital and learning environments, such as their adoption of digital learning applications (Singh &amp; Kushwaha, 2021). This indicates that behavioral intention is shaped not only by cultural identity but also by generational engagement patterns in both physical and digital domains.</w:t>
      </w:r>
    </w:p>
    <w:p w14:paraId="089B7421" w14:textId="77777777" w:rsidR="00D40B06" w:rsidRDefault="00D40B06"/>
    <w:p w14:paraId="4EC2C1F8" w14:textId="77777777" w:rsidR="00D40B06" w:rsidRDefault="00D40B06"/>
    <w:p w14:paraId="209838D6" w14:textId="77777777" w:rsidR="00D40B06" w:rsidRDefault="00000000">
      <w:r>
        <w:t>2.5 Gender Differences</w:t>
      </w:r>
    </w:p>
    <w:p w14:paraId="0AC9393F" w14:textId="77777777" w:rsidR="00D40B06" w:rsidRDefault="00000000">
      <w:r>
        <w:t xml:space="preserve">Gender differences remain a central concern in consumer and tourism research. Women are generally found to prioritize emotional resonance, whereas men emphasize symbolic and cognitive interpretations of cultural experiences (Lin &amp; Wang, 2020). Recent studies reinforce this divide, showing that female tourists are more sensitive to affective value while male tourists rely more on identity-based mechanisms for sustained engagement (Saidon et al., 2024; Tan, 2025). Neuroscientific evidence further </w:t>
      </w:r>
      <w:r>
        <w:lastRenderedPageBreak/>
        <w:t>reveals gender-specific emotional responses in virtual contexts (Li et al., 2024). Taken together, these findings underscore the need to incorporate gender-sensitive analyses in cultural tourism research.</w:t>
      </w:r>
    </w:p>
    <w:p w14:paraId="64A5CEA5" w14:textId="77777777" w:rsidR="00D40B06" w:rsidRDefault="00D40B06"/>
    <w:p w14:paraId="47F588F3" w14:textId="77777777" w:rsidR="00D40B06" w:rsidRDefault="00000000">
      <w:r>
        <w:t>2.6 Summary and Hypothesis Development</w:t>
      </w:r>
    </w:p>
    <w:p w14:paraId="3193B988" w14:textId="77777777" w:rsidR="00D40B06" w:rsidRDefault="00000000">
      <w:r>
        <w:t>The reviewed literature highlights the interconnected chain of immersive experience, emotional resonance, cultural identity, and behavioral intention. Prior studies confirm that immersion fosters emotional engagement (Oh et al., 2020; Robaina-Calderín et al., 2023; Shehade &amp; Stylianou-Lambert, 2020), which in turn predicts cultural identity (Sedikides et al., 2022; Lu et al., 2023). Cultural identity subsequently strengthens loyalty and future participation (Zhou &amp; Wong, 2022). Furthermore, evidence shows that Gen Z’s behavioral intentions extend into digital contexts (Singh &amp; Kushwaha, 2021), and that these processes are moderated by gender differences (Lin &amp; Wang, 2020; Li et al., 2024; Saidon et al., 2024; Tan, 2025).</w:t>
      </w:r>
    </w:p>
    <w:p w14:paraId="0B41556D" w14:textId="77777777" w:rsidR="00D40B06" w:rsidRDefault="00000000">
      <w:r>
        <w:t>Accordingly, this study proposes a unified framework:</w:t>
      </w:r>
    </w:p>
    <w:p w14:paraId="6476E0DB" w14:textId="77777777" w:rsidR="00D40B06" w:rsidRDefault="00000000">
      <w:r>
        <w:t>Immersive Experience (IE) → Emotional Resonance (ER) → Cultural Identity (CI) → Behavioral Intention (BI),</w:t>
      </w:r>
    </w:p>
    <w:p w14:paraId="3F9D1C7B" w14:textId="77777777" w:rsidR="00D40B06" w:rsidRDefault="00000000">
      <w:r>
        <w:t>with gender as a moderator shaping these pathways.</w:t>
      </w:r>
    </w:p>
    <w:p w14:paraId="095A7C3E" w14:textId="77777777" w:rsidR="00D40B06" w:rsidRDefault="00D40B06"/>
    <w:p w14:paraId="6F5D1D07" w14:textId="77777777" w:rsidR="00D40B06" w:rsidRDefault="00000000">
      <w:pPr>
        <w:rPr>
          <w:b/>
          <w:bCs/>
        </w:rPr>
      </w:pPr>
      <w:r>
        <w:rPr>
          <w:b/>
          <w:bCs/>
        </w:rPr>
        <w:t>3 Research Design and Methodology</w:t>
      </w:r>
    </w:p>
    <w:p w14:paraId="622F92D2" w14:textId="77777777" w:rsidR="00D40B06" w:rsidRDefault="00000000">
      <w:r>
        <w:t>3.1 Research Framework and Hypotheses</w:t>
      </w:r>
    </w:p>
    <w:p w14:paraId="5620771A" w14:textId="77777777" w:rsidR="00D40B06" w:rsidRDefault="00000000">
      <w:r>
        <w:t>Building on the literature review, this study proposes an integrated framework to explain how immersive experiences influence behavioral intention through emotional resonance and cultural identity. Immersive experience is conceptualized as the initial driver that enhances psychological engagement and presence. This experience triggers emotional resonance, which strengthens cultural identity, and cultural identity, in turn, serves as a key mechanism shaping behavioral intention. Furthermore, gender is introduced as a grouping variable to examine whether these pathways differ across demographic subgroups.</w:t>
      </w:r>
    </w:p>
    <w:p w14:paraId="3686011B" w14:textId="77777777" w:rsidR="00D40B06" w:rsidRDefault="00000000">
      <w:r>
        <w:t>Accordingly, the following hypotheses are developed:</w:t>
      </w:r>
    </w:p>
    <w:p w14:paraId="4DE5286C" w14:textId="77777777" w:rsidR="00D40B06" w:rsidRDefault="00000000">
      <w:pPr>
        <w:pStyle w:val="a9"/>
        <w:numPr>
          <w:ilvl w:val="0"/>
          <w:numId w:val="1"/>
        </w:numPr>
      </w:pPr>
      <w:r>
        <w:t>H1: Immersive experience positively influences emotional resonance.</w:t>
      </w:r>
    </w:p>
    <w:p w14:paraId="6B4C993D" w14:textId="77777777" w:rsidR="00D40B06" w:rsidRDefault="00000000">
      <w:pPr>
        <w:pStyle w:val="a9"/>
        <w:numPr>
          <w:ilvl w:val="0"/>
          <w:numId w:val="1"/>
        </w:numPr>
      </w:pPr>
      <w:r>
        <w:t>H2: Emotional resonance positively influences cultural identity.</w:t>
      </w:r>
    </w:p>
    <w:p w14:paraId="749FA97A" w14:textId="77777777" w:rsidR="00D40B06" w:rsidRDefault="00000000">
      <w:pPr>
        <w:pStyle w:val="a9"/>
        <w:numPr>
          <w:ilvl w:val="0"/>
          <w:numId w:val="1"/>
        </w:numPr>
      </w:pPr>
      <w:r>
        <w:t>H3: Cultural identity positively influences behavioral intention.</w:t>
      </w:r>
    </w:p>
    <w:p w14:paraId="2C3591F3" w14:textId="77777777" w:rsidR="00D40B06" w:rsidRDefault="00000000">
      <w:pPr>
        <w:pStyle w:val="a9"/>
        <w:numPr>
          <w:ilvl w:val="0"/>
          <w:numId w:val="1"/>
        </w:numPr>
      </w:pPr>
      <w:r>
        <w:lastRenderedPageBreak/>
        <w:t>H4: Emotional resonance mediates the relationship between immersive experience and cultural identity.</w:t>
      </w:r>
    </w:p>
    <w:p w14:paraId="1E2CEF05" w14:textId="77777777" w:rsidR="00D40B06" w:rsidRDefault="00000000">
      <w:pPr>
        <w:pStyle w:val="a9"/>
        <w:numPr>
          <w:ilvl w:val="0"/>
          <w:numId w:val="1"/>
        </w:numPr>
      </w:pPr>
      <w:r>
        <w:t>H5: Cultural identity mediates the relationship between emotional resonance and behavioral intention.</w:t>
      </w:r>
    </w:p>
    <w:p w14:paraId="3CDA6131" w14:textId="77777777" w:rsidR="00D40B06" w:rsidRDefault="00000000">
      <w:pPr>
        <w:pStyle w:val="a9"/>
        <w:numPr>
          <w:ilvl w:val="0"/>
          <w:numId w:val="1"/>
        </w:numPr>
      </w:pPr>
      <w:r>
        <w:t>H6: The proposed pathways differ significantly across gender groups.</w:t>
      </w:r>
    </w:p>
    <w:p w14:paraId="20CF6E7E" w14:textId="77777777" w:rsidR="00D40B06" w:rsidRDefault="00000000">
      <w:r>
        <w:t>Testing these hypotheses will provide a systematic understanding of the causal chain linking immersive experience, emotional resonance, cultural identity, and behavioral intention, while also uncovering the moderating role of gender. This design addresses theoretical gaps and generates practical insights for segmentation and experience design in cultural tourism and creative industries.</w:t>
      </w:r>
    </w:p>
    <w:p w14:paraId="50CE9B82" w14:textId="77777777" w:rsidR="00D40B06" w:rsidRDefault="00D40B06"/>
    <w:p w14:paraId="2130ABDC" w14:textId="77777777" w:rsidR="00D40B06" w:rsidRDefault="00D40B06"/>
    <w:p w14:paraId="633DE465" w14:textId="77777777" w:rsidR="00D40B06" w:rsidRDefault="00000000">
      <w:r>
        <w:t>3.2 Measurement of Constructs</w:t>
      </w:r>
    </w:p>
    <w:p w14:paraId="586FEFD9" w14:textId="77777777" w:rsidR="00D40B06" w:rsidRDefault="00000000">
      <w:r>
        <w:t>The constructs in this study were measured using established scales adapted to the cultural tourism context. All items were rated on a five-point Likert scale ranging from 1 (“strongly disagree”) to 5 (“strongly agree”), allowing respondents to indicate the degree of agreement with each statement. Minor modifications were made to ensure clarity and cultural appropriateness in the Chinese context.</w:t>
      </w:r>
    </w:p>
    <w:p w14:paraId="59514D05" w14:textId="77777777" w:rsidR="00D40B06" w:rsidRDefault="00000000">
      <w:pPr>
        <w:pStyle w:val="a9"/>
        <w:numPr>
          <w:ilvl w:val="0"/>
          <w:numId w:val="6"/>
        </w:numPr>
      </w:pPr>
      <w:r>
        <w:t>Immersive Experience (IE) was assessed through indicators of psychological engagement, sensory stimulation, and perceived presence. Prior work has demonstrated that such dimensions are essential for capturing the depth of cultural immersion (Oh, Fiore, &amp; Jeong, 2020; Shehade &amp; Stylianou-Lambert, 2020). Recent studies also emphasize the role of multisensory design and interactive features in strengthening immersion among younger audiences (Robaina-Calderín, Martín-Santana, &amp; Muñoz-Leiva, 2023).</w:t>
      </w:r>
    </w:p>
    <w:p w14:paraId="1F0495F4" w14:textId="77777777" w:rsidR="00D40B06" w:rsidRDefault="00000000">
      <w:pPr>
        <w:pStyle w:val="a9"/>
        <w:numPr>
          <w:ilvl w:val="0"/>
          <w:numId w:val="7"/>
        </w:numPr>
      </w:pPr>
      <w:r>
        <w:t>Emotional Resonance (ER) captured participants’ affective responses and empathetic alignment with cultural narratives. Cross-cultural research has highlighted how nostalgia and cultural memory generate strong emotional reactions (Sedikides et al., 2022), while immersive museum settings have been shown to elicit emotional engagement among Generation Z and millennials (Robaina-Calderín et al., 2023).</w:t>
      </w:r>
    </w:p>
    <w:p w14:paraId="0DF98304" w14:textId="77777777" w:rsidR="00D40B06" w:rsidRDefault="00000000">
      <w:pPr>
        <w:pStyle w:val="a9"/>
        <w:numPr>
          <w:ilvl w:val="0"/>
          <w:numId w:val="8"/>
        </w:numPr>
      </w:pPr>
      <w:r>
        <w:t xml:space="preserve">Cultural Identity (CI) was measured based on the sense of belonging, value alignment, and self-concept incorporation derived from cultural interaction. These dimensions reflect the theoretical foundation of Social Identity Theory (Tajfel &amp; Turner, 1986) and have been further validated in empirical studies on Chinese youth, where tradition is reinterpreted through Guochao consumption practices </w:t>
      </w:r>
      <w:r>
        <w:lastRenderedPageBreak/>
        <w:t>(Lu, Zhang, &amp; Luo, 2023; Zhou &amp; Wong, 2022).</w:t>
      </w:r>
    </w:p>
    <w:p w14:paraId="3823EDF8" w14:textId="77777777" w:rsidR="00D40B06" w:rsidRDefault="00000000">
      <w:pPr>
        <w:pStyle w:val="a9"/>
        <w:numPr>
          <w:ilvl w:val="0"/>
          <w:numId w:val="9"/>
        </w:numPr>
      </w:pPr>
      <w:r>
        <w:t>Behavioral Intention (BI) was operationalized as the likelihood of continued engagement, including revisits, recommendations, and sustained participation. This approach is consistent with the theory of planned behavior (Ajzen, 1991) and subsequent tourism applications that link identity to loyalty. In addition, the scope of behavioral intention was extended to digital contexts, acknowledging evidence that Generation Z actively expresses intentions through online learning and cultural consumption platforms (Singh &amp; Kushwaha, 2021; Zhou &amp; Wong, 2022).</w:t>
      </w:r>
    </w:p>
    <w:p w14:paraId="556D21CD" w14:textId="77777777" w:rsidR="00D40B06" w:rsidRDefault="00000000">
      <w:r>
        <w:t>Finally, gender was treated as a categorical variable (male = 1; female = 2), reported at the beginning of the survey. It was employed as a grouping variable in the multi-group analysis to assess potential differences in the hypothesized pathways (Li, Wang, Hai, Cai, &amp; Zhang, 2024; Saidon, Hassan, &amp; Ramli, 2024; Tan, 2025).</w:t>
      </w:r>
    </w:p>
    <w:p w14:paraId="37E34F51" w14:textId="7A69AFA6" w:rsidR="003319F9" w:rsidRDefault="00000000" w:rsidP="00CB1D0A">
      <w:pPr>
        <w:jc w:val="center"/>
      </w:pPr>
      <w:r>
        <w:rPr>
          <w:rFonts w:hint="eastAsia"/>
        </w:rPr>
        <w:t>（</w:t>
      </w:r>
      <w:r>
        <w:t>Table 1. Measurement items and sources</w:t>
      </w:r>
      <w:r>
        <w:rPr>
          <w:rFonts w:hint="eastAsia"/>
        </w:rPr>
        <w:t>）</w:t>
      </w:r>
    </w:p>
    <w:tbl>
      <w:tblPr>
        <w:tblStyle w:val="af1"/>
        <w:tblW w:w="0" w:type="auto"/>
        <w:tblLook w:val="04A0" w:firstRow="1" w:lastRow="0" w:firstColumn="1" w:lastColumn="0" w:noHBand="0" w:noVBand="1"/>
      </w:tblPr>
      <w:tblGrid>
        <w:gridCol w:w="1451"/>
        <w:gridCol w:w="2615"/>
        <w:gridCol w:w="2138"/>
        <w:gridCol w:w="2092"/>
      </w:tblGrid>
      <w:tr w:rsidR="003319F9" w14:paraId="046C4134" w14:textId="77777777" w:rsidTr="00CB1D0A">
        <w:trPr>
          <w:divId w:val="973681152"/>
        </w:trPr>
        <w:tc>
          <w:tcPr>
            <w:tcW w:w="0" w:type="auto"/>
            <w:hideMark/>
          </w:tcPr>
          <w:p w14:paraId="2666B523" w14:textId="77777777" w:rsidR="003319F9" w:rsidRDefault="003319F9">
            <w:pPr>
              <w:jc w:val="center"/>
              <w:rPr>
                <w:b/>
                <w:bCs/>
              </w:rPr>
            </w:pPr>
            <w:r>
              <w:rPr>
                <w:b/>
                <w:bCs/>
              </w:rPr>
              <w:t>Construct</w:t>
            </w:r>
          </w:p>
        </w:tc>
        <w:tc>
          <w:tcPr>
            <w:tcW w:w="0" w:type="auto"/>
            <w:hideMark/>
          </w:tcPr>
          <w:p w14:paraId="4D3FC9F8" w14:textId="77777777" w:rsidR="003319F9" w:rsidRDefault="003319F9">
            <w:pPr>
              <w:jc w:val="center"/>
              <w:rPr>
                <w:b/>
                <w:bCs/>
              </w:rPr>
            </w:pPr>
            <w:r>
              <w:rPr>
                <w:b/>
                <w:bCs/>
              </w:rPr>
              <w:t>Dimension</w:t>
            </w:r>
          </w:p>
        </w:tc>
        <w:tc>
          <w:tcPr>
            <w:tcW w:w="0" w:type="auto"/>
            <w:hideMark/>
          </w:tcPr>
          <w:p w14:paraId="23340929" w14:textId="77777777" w:rsidR="003319F9" w:rsidRDefault="003319F9">
            <w:pPr>
              <w:jc w:val="center"/>
              <w:rPr>
                <w:b/>
                <w:bCs/>
              </w:rPr>
            </w:pPr>
            <w:r>
              <w:rPr>
                <w:b/>
                <w:bCs/>
              </w:rPr>
              <w:t>Example item</w:t>
            </w:r>
          </w:p>
        </w:tc>
        <w:tc>
          <w:tcPr>
            <w:tcW w:w="0" w:type="auto"/>
            <w:hideMark/>
          </w:tcPr>
          <w:p w14:paraId="1E502A1C" w14:textId="77777777" w:rsidR="003319F9" w:rsidRDefault="003319F9">
            <w:pPr>
              <w:jc w:val="center"/>
              <w:rPr>
                <w:b/>
                <w:bCs/>
              </w:rPr>
            </w:pPr>
            <w:r>
              <w:rPr>
                <w:b/>
                <w:bCs/>
              </w:rPr>
              <w:t>Sources</w:t>
            </w:r>
          </w:p>
        </w:tc>
      </w:tr>
      <w:tr w:rsidR="003319F9" w14:paraId="6BA5B0C7" w14:textId="77777777" w:rsidTr="00CB1D0A">
        <w:trPr>
          <w:divId w:val="973681152"/>
        </w:trPr>
        <w:tc>
          <w:tcPr>
            <w:tcW w:w="0" w:type="auto"/>
            <w:hideMark/>
          </w:tcPr>
          <w:p w14:paraId="480E10E0" w14:textId="77777777" w:rsidR="003319F9" w:rsidRDefault="003319F9">
            <w:r>
              <w:rPr>
                <w:rStyle w:val="af"/>
              </w:rPr>
              <w:t>Immersive Experience (IE)</w:t>
            </w:r>
          </w:p>
        </w:tc>
        <w:tc>
          <w:tcPr>
            <w:tcW w:w="0" w:type="auto"/>
            <w:hideMark/>
          </w:tcPr>
          <w:p w14:paraId="5EAA48ED" w14:textId="77777777" w:rsidR="003319F9" w:rsidRDefault="003319F9">
            <w:r>
              <w:t>Cognitive/psychological engagement</w:t>
            </w:r>
          </w:p>
        </w:tc>
        <w:tc>
          <w:tcPr>
            <w:tcW w:w="0" w:type="auto"/>
            <w:hideMark/>
          </w:tcPr>
          <w:p w14:paraId="45BC86FC" w14:textId="77777777" w:rsidR="003319F9" w:rsidRDefault="003319F9">
            <w:r>
              <w:t>“I felt mentally absorbed in the cultural environment.”</w:t>
            </w:r>
          </w:p>
        </w:tc>
        <w:tc>
          <w:tcPr>
            <w:tcW w:w="0" w:type="auto"/>
            <w:hideMark/>
          </w:tcPr>
          <w:p w14:paraId="6C93580C" w14:textId="77777777" w:rsidR="003319F9" w:rsidRDefault="003319F9">
            <w:r>
              <w:t xml:space="preserve">Oh, Fiore, &amp; </w:t>
            </w:r>
            <w:proofErr w:type="spellStart"/>
            <w:r>
              <w:t>Jeong</w:t>
            </w:r>
            <w:proofErr w:type="spellEnd"/>
            <w:r>
              <w:t xml:space="preserve"> (2020); </w:t>
            </w:r>
            <w:proofErr w:type="spellStart"/>
            <w:r>
              <w:t>Shehade</w:t>
            </w:r>
            <w:proofErr w:type="spellEnd"/>
            <w:r>
              <w:t xml:space="preserve"> &amp; </w:t>
            </w:r>
            <w:proofErr w:type="spellStart"/>
            <w:r>
              <w:t>Stylianou</w:t>
            </w:r>
            <w:proofErr w:type="spellEnd"/>
            <w:r>
              <w:t>-Lambert (2020)</w:t>
            </w:r>
          </w:p>
        </w:tc>
      </w:tr>
      <w:tr w:rsidR="003319F9" w14:paraId="4C84D697" w14:textId="77777777" w:rsidTr="00CB1D0A">
        <w:trPr>
          <w:divId w:val="973681152"/>
        </w:trPr>
        <w:tc>
          <w:tcPr>
            <w:tcW w:w="0" w:type="auto"/>
            <w:hideMark/>
          </w:tcPr>
          <w:p w14:paraId="4E7BBC33" w14:textId="77777777" w:rsidR="003319F9" w:rsidRDefault="003319F9"/>
        </w:tc>
        <w:tc>
          <w:tcPr>
            <w:tcW w:w="0" w:type="auto"/>
            <w:hideMark/>
          </w:tcPr>
          <w:p w14:paraId="7BEFDEBE" w14:textId="77777777" w:rsidR="003319F9" w:rsidRDefault="003319F9">
            <w:pPr>
              <w:rPr>
                <w:rFonts w:ascii="宋体" w:eastAsia="宋体" w:hAnsi="宋体"/>
                <w:sz w:val="24"/>
              </w:rPr>
            </w:pPr>
            <w:r>
              <w:t>Sensory immersion</w:t>
            </w:r>
          </w:p>
        </w:tc>
        <w:tc>
          <w:tcPr>
            <w:tcW w:w="0" w:type="auto"/>
            <w:hideMark/>
          </w:tcPr>
          <w:p w14:paraId="3C4126A5" w14:textId="77777777" w:rsidR="003319F9" w:rsidRDefault="003319F9">
            <w:r>
              <w:t>“The multisensory design made me feel deeply immersed.”</w:t>
            </w:r>
          </w:p>
        </w:tc>
        <w:tc>
          <w:tcPr>
            <w:tcW w:w="0" w:type="auto"/>
            <w:hideMark/>
          </w:tcPr>
          <w:p w14:paraId="2A7458F1" w14:textId="77777777" w:rsidR="003319F9" w:rsidRDefault="003319F9">
            <w:r>
              <w:t xml:space="preserve">Oh et al. (2020); </w:t>
            </w:r>
            <w:proofErr w:type="spellStart"/>
            <w:r>
              <w:t>Robaina-Calderín</w:t>
            </w:r>
            <w:proofErr w:type="spellEnd"/>
            <w:r>
              <w:t>, Martín-Santana, &amp; Muñoz-</w:t>
            </w:r>
            <w:proofErr w:type="spellStart"/>
            <w:r>
              <w:t>Leiva</w:t>
            </w:r>
            <w:proofErr w:type="spellEnd"/>
            <w:r>
              <w:t xml:space="preserve"> (2023)</w:t>
            </w:r>
          </w:p>
        </w:tc>
      </w:tr>
      <w:tr w:rsidR="003319F9" w14:paraId="51FA828D" w14:textId="77777777" w:rsidTr="00CB1D0A">
        <w:trPr>
          <w:divId w:val="973681152"/>
        </w:trPr>
        <w:tc>
          <w:tcPr>
            <w:tcW w:w="0" w:type="auto"/>
            <w:hideMark/>
          </w:tcPr>
          <w:p w14:paraId="1F292BCF" w14:textId="77777777" w:rsidR="003319F9" w:rsidRDefault="003319F9"/>
        </w:tc>
        <w:tc>
          <w:tcPr>
            <w:tcW w:w="0" w:type="auto"/>
            <w:hideMark/>
          </w:tcPr>
          <w:p w14:paraId="09826C95" w14:textId="77777777" w:rsidR="003319F9" w:rsidRDefault="003319F9">
            <w:pPr>
              <w:rPr>
                <w:rFonts w:ascii="宋体" w:eastAsia="宋体" w:hAnsi="宋体"/>
                <w:sz w:val="24"/>
              </w:rPr>
            </w:pPr>
            <w:r>
              <w:t>Presence</w:t>
            </w:r>
          </w:p>
        </w:tc>
        <w:tc>
          <w:tcPr>
            <w:tcW w:w="0" w:type="auto"/>
            <w:hideMark/>
          </w:tcPr>
          <w:p w14:paraId="6B8C556F" w14:textId="77777777" w:rsidR="003319F9" w:rsidRDefault="003319F9">
            <w:r>
              <w:t>“I felt as if I were physically present in the cultural setting.”</w:t>
            </w:r>
          </w:p>
        </w:tc>
        <w:tc>
          <w:tcPr>
            <w:tcW w:w="0" w:type="auto"/>
            <w:hideMark/>
          </w:tcPr>
          <w:p w14:paraId="01B68434" w14:textId="77777777" w:rsidR="003319F9" w:rsidRDefault="003319F9">
            <w:r>
              <w:t>Oh et al. (2020)</w:t>
            </w:r>
          </w:p>
        </w:tc>
      </w:tr>
      <w:tr w:rsidR="003319F9" w14:paraId="52E58011" w14:textId="77777777" w:rsidTr="00CB1D0A">
        <w:trPr>
          <w:divId w:val="973681152"/>
        </w:trPr>
        <w:tc>
          <w:tcPr>
            <w:tcW w:w="0" w:type="auto"/>
            <w:hideMark/>
          </w:tcPr>
          <w:p w14:paraId="126F35E4" w14:textId="77777777" w:rsidR="003319F9" w:rsidRDefault="003319F9">
            <w:r>
              <w:rPr>
                <w:rStyle w:val="af"/>
              </w:rPr>
              <w:t>Emotional Resonance (ER)</w:t>
            </w:r>
          </w:p>
        </w:tc>
        <w:tc>
          <w:tcPr>
            <w:tcW w:w="0" w:type="auto"/>
            <w:hideMark/>
          </w:tcPr>
          <w:p w14:paraId="4F732E10" w14:textId="77777777" w:rsidR="003319F9" w:rsidRDefault="003319F9">
            <w:r>
              <w:t>Affective connection</w:t>
            </w:r>
          </w:p>
        </w:tc>
        <w:tc>
          <w:tcPr>
            <w:tcW w:w="0" w:type="auto"/>
            <w:hideMark/>
          </w:tcPr>
          <w:p w14:paraId="10BB0B89" w14:textId="77777777" w:rsidR="003319F9" w:rsidRDefault="003319F9">
            <w:r>
              <w:t>“This experience evoked strong emotions linked to cultural memory.”</w:t>
            </w:r>
          </w:p>
        </w:tc>
        <w:tc>
          <w:tcPr>
            <w:tcW w:w="0" w:type="auto"/>
            <w:hideMark/>
          </w:tcPr>
          <w:p w14:paraId="72B63393" w14:textId="77777777" w:rsidR="003319F9" w:rsidRDefault="003319F9">
            <w:proofErr w:type="spellStart"/>
            <w:r>
              <w:t>Sedikides</w:t>
            </w:r>
            <w:proofErr w:type="spellEnd"/>
            <w:r>
              <w:t xml:space="preserve"> et al. (2022)</w:t>
            </w:r>
          </w:p>
        </w:tc>
      </w:tr>
      <w:tr w:rsidR="003319F9" w14:paraId="2216F206" w14:textId="77777777" w:rsidTr="00CB1D0A">
        <w:trPr>
          <w:divId w:val="973681152"/>
        </w:trPr>
        <w:tc>
          <w:tcPr>
            <w:tcW w:w="0" w:type="auto"/>
            <w:hideMark/>
          </w:tcPr>
          <w:p w14:paraId="496EFB25" w14:textId="77777777" w:rsidR="003319F9" w:rsidRDefault="003319F9"/>
        </w:tc>
        <w:tc>
          <w:tcPr>
            <w:tcW w:w="0" w:type="auto"/>
            <w:hideMark/>
          </w:tcPr>
          <w:p w14:paraId="41A594A8" w14:textId="77777777" w:rsidR="003319F9" w:rsidRDefault="003319F9">
            <w:pPr>
              <w:rPr>
                <w:rFonts w:ascii="宋体" w:eastAsia="宋体" w:hAnsi="宋体"/>
                <w:sz w:val="24"/>
              </w:rPr>
            </w:pPr>
            <w:r>
              <w:t>Empathic response</w:t>
            </w:r>
          </w:p>
        </w:tc>
        <w:tc>
          <w:tcPr>
            <w:tcW w:w="0" w:type="auto"/>
            <w:hideMark/>
          </w:tcPr>
          <w:p w14:paraId="0844BF2F" w14:textId="77777777" w:rsidR="003319F9" w:rsidRDefault="003319F9">
            <w:r>
              <w:t>“I felt emotionally aligned with the cultural narrative.”</w:t>
            </w:r>
          </w:p>
        </w:tc>
        <w:tc>
          <w:tcPr>
            <w:tcW w:w="0" w:type="auto"/>
            <w:hideMark/>
          </w:tcPr>
          <w:p w14:paraId="506732DC" w14:textId="77777777" w:rsidR="003319F9" w:rsidRDefault="003319F9">
            <w:proofErr w:type="spellStart"/>
            <w:r>
              <w:t>Robaina-Calderín</w:t>
            </w:r>
            <w:proofErr w:type="spellEnd"/>
            <w:r>
              <w:t xml:space="preserve"> et al. (2023)</w:t>
            </w:r>
          </w:p>
        </w:tc>
      </w:tr>
      <w:tr w:rsidR="003319F9" w14:paraId="2B2242C5" w14:textId="77777777" w:rsidTr="00CB1D0A">
        <w:trPr>
          <w:divId w:val="973681152"/>
        </w:trPr>
        <w:tc>
          <w:tcPr>
            <w:tcW w:w="0" w:type="auto"/>
            <w:hideMark/>
          </w:tcPr>
          <w:p w14:paraId="654F8A52" w14:textId="77777777" w:rsidR="003319F9" w:rsidRDefault="003319F9">
            <w:r>
              <w:rPr>
                <w:rStyle w:val="af"/>
              </w:rPr>
              <w:t>Cultural Identity (CI)</w:t>
            </w:r>
          </w:p>
        </w:tc>
        <w:tc>
          <w:tcPr>
            <w:tcW w:w="0" w:type="auto"/>
            <w:hideMark/>
          </w:tcPr>
          <w:p w14:paraId="377A6A32" w14:textId="77777777" w:rsidR="003319F9" w:rsidRDefault="003319F9">
            <w:r>
              <w:t>Sense of belonging</w:t>
            </w:r>
          </w:p>
        </w:tc>
        <w:tc>
          <w:tcPr>
            <w:tcW w:w="0" w:type="auto"/>
            <w:hideMark/>
          </w:tcPr>
          <w:p w14:paraId="6E48C40C" w14:textId="77777777" w:rsidR="003319F9" w:rsidRDefault="003319F9">
            <w:r>
              <w:t>“I feel a strong sense of belonging to this culture.”</w:t>
            </w:r>
          </w:p>
        </w:tc>
        <w:tc>
          <w:tcPr>
            <w:tcW w:w="0" w:type="auto"/>
            <w:hideMark/>
          </w:tcPr>
          <w:p w14:paraId="7895EFED" w14:textId="77777777" w:rsidR="003319F9" w:rsidRDefault="003319F9">
            <w:proofErr w:type="spellStart"/>
            <w:r>
              <w:t>Tajfel</w:t>
            </w:r>
            <w:proofErr w:type="spellEnd"/>
            <w:r>
              <w:t xml:space="preserve"> &amp; Turner (1986); Zhou &amp; Wong (2022)</w:t>
            </w:r>
          </w:p>
        </w:tc>
      </w:tr>
      <w:tr w:rsidR="003319F9" w14:paraId="70C68E4B" w14:textId="77777777" w:rsidTr="00CB1D0A">
        <w:trPr>
          <w:divId w:val="973681152"/>
        </w:trPr>
        <w:tc>
          <w:tcPr>
            <w:tcW w:w="0" w:type="auto"/>
            <w:hideMark/>
          </w:tcPr>
          <w:p w14:paraId="5C685A27" w14:textId="77777777" w:rsidR="003319F9" w:rsidRDefault="003319F9"/>
        </w:tc>
        <w:tc>
          <w:tcPr>
            <w:tcW w:w="0" w:type="auto"/>
            <w:hideMark/>
          </w:tcPr>
          <w:p w14:paraId="2A577B29" w14:textId="77777777" w:rsidR="003319F9" w:rsidRDefault="003319F9">
            <w:pPr>
              <w:rPr>
                <w:rFonts w:ascii="宋体" w:eastAsia="宋体" w:hAnsi="宋体"/>
                <w:sz w:val="24"/>
              </w:rPr>
            </w:pPr>
            <w:r>
              <w:t>Value alignment</w:t>
            </w:r>
          </w:p>
        </w:tc>
        <w:tc>
          <w:tcPr>
            <w:tcW w:w="0" w:type="auto"/>
            <w:hideMark/>
          </w:tcPr>
          <w:p w14:paraId="791CAA6F" w14:textId="77777777" w:rsidR="003319F9" w:rsidRDefault="003319F9">
            <w:r>
              <w:t>“I identify with the cultural values represented in this experience.”</w:t>
            </w:r>
          </w:p>
        </w:tc>
        <w:tc>
          <w:tcPr>
            <w:tcW w:w="0" w:type="auto"/>
            <w:hideMark/>
          </w:tcPr>
          <w:p w14:paraId="5BC35CA8" w14:textId="77777777" w:rsidR="003319F9" w:rsidRDefault="003319F9">
            <w:proofErr w:type="spellStart"/>
            <w:r>
              <w:t>Tajfel</w:t>
            </w:r>
            <w:proofErr w:type="spellEnd"/>
            <w:r>
              <w:t xml:space="preserve"> &amp; Turner (1986); Lu, Zhang, &amp; Luo (2023)</w:t>
            </w:r>
          </w:p>
        </w:tc>
      </w:tr>
      <w:tr w:rsidR="003319F9" w14:paraId="3635B949" w14:textId="77777777" w:rsidTr="00CB1D0A">
        <w:trPr>
          <w:divId w:val="973681152"/>
        </w:trPr>
        <w:tc>
          <w:tcPr>
            <w:tcW w:w="0" w:type="auto"/>
            <w:hideMark/>
          </w:tcPr>
          <w:p w14:paraId="0C4DB75B" w14:textId="77777777" w:rsidR="003319F9" w:rsidRDefault="003319F9"/>
        </w:tc>
        <w:tc>
          <w:tcPr>
            <w:tcW w:w="0" w:type="auto"/>
            <w:hideMark/>
          </w:tcPr>
          <w:p w14:paraId="1C7FC4F3" w14:textId="77777777" w:rsidR="003319F9" w:rsidRDefault="003319F9">
            <w:pPr>
              <w:rPr>
                <w:rFonts w:ascii="宋体" w:eastAsia="宋体" w:hAnsi="宋体"/>
                <w:sz w:val="24"/>
              </w:rPr>
            </w:pPr>
            <w:r>
              <w:t>Self-concept incorporation</w:t>
            </w:r>
          </w:p>
        </w:tc>
        <w:tc>
          <w:tcPr>
            <w:tcW w:w="0" w:type="auto"/>
            <w:hideMark/>
          </w:tcPr>
          <w:p w14:paraId="6CB35C2A" w14:textId="77777777" w:rsidR="003319F9" w:rsidRDefault="003319F9">
            <w:r>
              <w:t>“This culture has become part of who I am.”</w:t>
            </w:r>
          </w:p>
        </w:tc>
        <w:tc>
          <w:tcPr>
            <w:tcW w:w="0" w:type="auto"/>
            <w:hideMark/>
          </w:tcPr>
          <w:p w14:paraId="37E3B8CF" w14:textId="77777777" w:rsidR="003319F9" w:rsidRDefault="003319F9">
            <w:r>
              <w:t>Zhou &amp; Wong (2022)</w:t>
            </w:r>
          </w:p>
        </w:tc>
      </w:tr>
      <w:tr w:rsidR="003319F9" w14:paraId="6E499874" w14:textId="77777777" w:rsidTr="00CB1D0A">
        <w:trPr>
          <w:divId w:val="973681152"/>
        </w:trPr>
        <w:tc>
          <w:tcPr>
            <w:tcW w:w="0" w:type="auto"/>
            <w:hideMark/>
          </w:tcPr>
          <w:p w14:paraId="4612086D" w14:textId="77777777" w:rsidR="003319F9" w:rsidRDefault="003319F9">
            <w:r>
              <w:rPr>
                <w:rStyle w:val="af"/>
              </w:rPr>
              <w:t>Behavioral Intention (BI)</w:t>
            </w:r>
          </w:p>
        </w:tc>
        <w:tc>
          <w:tcPr>
            <w:tcW w:w="0" w:type="auto"/>
            <w:hideMark/>
          </w:tcPr>
          <w:p w14:paraId="3CDA0E72" w14:textId="77777777" w:rsidR="003319F9" w:rsidRDefault="003319F9">
            <w:r>
              <w:t>Revisit intention</w:t>
            </w:r>
          </w:p>
        </w:tc>
        <w:tc>
          <w:tcPr>
            <w:tcW w:w="0" w:type="auto"/>
            <w:hideMark/>
          </w:tcPr>
          <w:p w14:paraId="146904E2" w14:textId="77777777" w:rsidR="003319F9" w:rsidRDefault="003319F9">
            <w:r>
              <w:t>“I intend to participate in similar cultural experiences again.”</w:t>
            </w:r>
          </w:p>
        </w:tc>
        <w:tc>
          <w:tcPr>
            <w:tcW w:w="0" w:type="auto"/>
            <w:hideMark/>
          </w:tcPr>
          <w:p w14:paraId="1BED00EF" w14:textId="77777777" w:rsidR="003319F9" w:rsidRDefault="003319F9">
            <w:proofErr w:type="spellStart"/>
            <w:r>
              <w:t>Ajzen</w:t>
            </w:r>
            <w:proofErr w:type="spellEnd"/>
            <w:r>
              <w:t xml:space="preserve"> (1991)</w:t>
            </w:r>
          </w:p>
        </w:tc>
      </w:tr>
      <w:tr w:rsidR="003319F9" w14:paraId="04AA9A54" w14:textId="77777777" w:rsidTr="00CB1D0A">
        <w:trPr>
          <w:divId w:val="973681152"/>
        </w:trPr>
        <w:tc>
          <w:tcPr>
            <w:tcW w:w="0" w:type="auto"/>
            <w:hideMark/>
          </w:tcPr>
          <w:p w14:paraId="186A8CDC" w14:textId="77777777" w:rsidR="003319F9" w:rsidRDefault="003319F9"/>
        </w:tc>
        <w:tc>
          <w:tcPr>
            <w:tcW w:w="0" w:type="auto"/>
            <w:hideMark/>
          </w:tcPr>
          <w:p w14:paraId="4AAA8AFE" w14:textId="77777777" w:rsidR="003319F9" w:rsidRDefault="003319F9">
            <w:pPr>
              <w:rPr>
                <w:rFonts w:ascii="宋体" w:eastAsia="宋体" w:hAnsi="宋体"/>
                <w:sz w:val="24"/>
              </w:rPr>
            </w:pPr>
            <w:r>
              <w:t>Recommendation intention</w:t>
            </w:r>
          </w:p>
        </w:tc>
        <w:tc>
          <w:tcPr>
            <w:tcW w:w="0" w:type="auto"/>
            <w:hideMark/>
          </w:tcPr>
          <w:p w14:paraId="0BA31F86" w14:textId="77777777" w:rsidR="003319F9" w:rsidRDefault="003319F9">
            <w:r>
              <w:t>“I would recommend this type of cultural experience to others.”</w:t>
            </w:r>
          </w:p>
        </w:tc>
        <w:tc>
          <w:tcPr>
            <w:tcW w:w="0" w:type="auto"/>
            <w:hideMark/>
          </w:tcPr>
          <w:p w14:paraId="0BFD04B7" w14:textId="77777777" w:rsidR="003319F9" w:rsidRDefault="003319F9">
            <w:proofErr w:type="spellStart"/>
            <w:r>
              <w:t>Ajzen</w:t>
            </w:r>
            <w:proofErr w:type="spellEnd"/>
            <w:r>
              <w:t xml:space="preserve"> (1991); Zhou &amp; Wong (2022)</w:t>
            </w:r>
          </w:p>
        </w:tc>
      </w:tr>
      <w:tr w:rsidR="003319F9" w14:paraId="436911DE" w14:textId="77777777" w:rsidTr="00CB1D0A">
        <w:trPr>
          <w:divId w:val="973681152"/>
        </w:trPr>
        <w:tc>
          <w:tcPr>
            <w:tcW w:w="0" w:type="auto"/>
            <w:hideMark/>
          </w:tcPr>
          <w:p w14:paraId="1FEF44AF" w14:textId="77777777" w:rsidR="003319F9" w:rsidRDefault="003319F9"/>
        </w:tc>
        <w:tc>
          <w:tcPr>
            <w:tcW w:w="0" w:type="auto"/>
            <w:hideMark/>
          </w:tcPr>
          <w:p w14:paraId="392AC1F2" w14:textId="77777777" w:rsidR="003319F9" w:rsidRDefault="003319F9">
            <w:pPr>
              <w:rPr>
                <w:rFonts w:ascii="宋体" w:eastAsia="宋体" w:hAnsi="宋体"/>
                <w:sz w:val="24"/>
              </w:rPr>
            </w:pPr>
            <w:r>
              <w:t>Continued participation</w:t>
            </w:r>
          </w:p>
        </w:tc>
        <w:tc>
          <w:tcPr>
            <w:tcW w:w="0" w:type="auto"/>
            <w:hideMark/>
          </w:tcPr>
          <w:p w14:paraId="385F289F" w14:textId="77777777" w:rsidR="003319F9" w:rsidRDefault="003319F9">
            <w:r>
              <w:t>“I plan to continue engaging in related cultural or digital activities.”</w:t>
            </w:r>
          </w:p>
        </w:tc>
        <w:tc>
          <w:tcPr>
            <w:tcW w:w="0" w:type="auto"/>
            <w:hideMark/>
          </w:tcPr>
          <w:p w14:paraId="35A62F15" w14:textId="77777777" w:rsidR="003319F9" w:rsidRDefault="003319F9">
            <w:r>
              <w:t xml:space="preserve">Singh &amp; </w:t>
            </w:r>
            <w:proofErr w:type="spellStart"/>
            <w:r>
              <w:t>Kushwaha</w:t>
            </w:r>
            <w:proofErr w:type="spellEnd"/>
            <w:r>
              <w:t xml:space="preserve"> (2021)</w:t>
            </w:r>
          </w:p>
        </w:tc>
      </w:tr>
      <w:tr w:rsidR="003319F9" w14:paraId="31902DDA" w14:textId="77777777" w:rsidTr="00CB1D0A">
        <w:trPr>
          <w:divId w:val="973681152"/>
        </w:trPr>
        <w:tc>
          <w:tcPr>
            <w:tcW w:w="0" w:type="auto"/>
            <w:hideMark/>
          </w:tcPr>
          <w:p w14:paraId="30DF584D" w14:textId="77777777" w:rsidR="003319F9" w:rsidRDefault="003319F9">
            <w:r>
              <w:rPr>
                <w:rStyle w:val="af"/>
              </w:rPr>
              <w:t>Gender</w:t>
            </w:r>
          </w:p>
        </w:tc>
        <w:tc>
          <w:tcPr>
            <w:tcW w:w="0" w:type="auto"/>
            <w:hideMark/>
          </w:tcPr>
          <w:p w14:paraId="034B55F9" w14:textId="77777777" w:rsidR="003319F9" w:rsidRDefault="003319F9">
            <w:r>
              <w:t>Grouping variable</w:t>
            </w:r>
          </w:p>
        </w:tc>
        <w:tc>
          <w:tcPr>
            <w:tcW w:w="0" w:type="auto"/>
            <w:hideMark/>
          </w:tcPr>
          <w:p w14:paraId="7C2DD652" w14:textId="77777777" w:rsidR="003319F9" w:rsidRDefault="003319F9">
            <w:r>
              <w:t>Male = 1; Female = 2</w:t>
            </w:r>
          </w:p>
        </w:tc>
        <w:tc>
          <w:tcPr>
            <w:tcW w:w="0" w:type="auto"/>
            <w:hideMark/>
          </w:tcPr>
          <w:p w14:paraId="0583EFB9" w14:textId="77777777" w:rsidR="003319F9" w:rsidRDefault="003319F9">
            <w:r>
              <w:t xml:space="preserve">Self-reported; Li, Wang, Hai, </w:t>
            </w:r>
            <w:proofErr w:type="spellStart"/>
            <w:r>
              <w:t>Cai</w:t>
            </w:r>
            <w:proofErr w:type="spellEnd"/>
            <w:r>
              <w:t xml:space="preserve">, &amp; Zhang (2024); </w:t>
            </w:r>
            <w:proofErr w:type="spellStart"/>
            <w:r>
              <w:t>Saidon</w:t>
            </w:r>
            <w:proofErr w:type="spellEnd"/>
            <w:r>
              <w:t xml:space="preserve">, Hassan, &amp; </w:t>
            </w:r>
            <w:proofErr w:type="spellStart"/>
            <w:r>
              <w:t>Ramli</w:t>
            </w:r>
            <w:proofErr w:type="spellEnd"/>
            <w:r>
              <w:t xml:space="preserve"> (2024); Tan (2025)</w:t>
            </w:r>
          </w:p>
        </w:tc>
      </w:tr>
    </w:tbl>
    <w:p w14:paraId="4578C4F8" w14:textId="65BA95F9" w:rsidR="00D40B06" w:rsidRDefault="00000000">
      <w:r>
        <w:t>Note: All items were rated on a five-point Likert scale (1 = strongly disagree; 5 = strongly agree). Items were slightly adapted to fit the cultural tourism context of this study.</w:t>
      </w:r>
    </w:p>
    <w:p w14:paraId="45292DF8" w14:textId="77777777" w:rsidR="00D40B06" w:rsidRDefault="00D40B06"/>
    <w:p w14:paraId="21760409" w14:textId="45F3432C" w:rsidR="008A60DD" w:rsidRDefault="008A60DD" w:rsidP="008A60DD">
      <w:r>
        <w:t>3.3 Data Collection and Sample Profile</w:t>
      </w:r>
    </w:p>
    <w:p w14:paraId="4785987F" w14:textId="77777777" w:rsidR="008A60DD" w:rsidRDefault="008A60DD" w:rsidP="008A60DD">
      <w:r>
        <w:t>To empirically test the proposed framework, this study targeted China’s Generation Z (born between 1995 and 2010) as the sample population. The questionnaire was developed based on validated measurement scales identified in Chapter 2 (see Table 1). A bilingual translation and back-translation procedure was employed to ensure linguistic accuracy and cultural appropriateness. Prior to the formal survey, a pilot test with 30 university students confirmed the clarity of the items, with no substantial revisions required.</w:t>
      </w:r>
    </w:p>
    <w:p w14:paraId="62088F53" w14:textId="77777777" w:rsidR="008517EB" w:rsidRDefault="008A60DD">
      <w:r>
        <w:t xml:space="preserve">Data collection took place between March and April 2025, using both online and offline methods. Online responses were gathered through </w:t>
      </w:r>
      <w:proofErr w:type="spellStart"/>
      <w:r>
        <w:t>Wenjuanxing</w:t>
      </w:r>
      <w:proofErr w:type="spellEnd"/>
      <w:r>
        <w:t xml:space="preserve"> (a Chinese survey platform) and social media invitations, while offline surveys were distributed in university campuses and cultural venues. A total of 520 questionnaires were returned, of which 48 were invalid or incomplete, resulting in 472 valid responses with an effective response </w:t>
      </w:r>
      <w:r>
        <w:lastRenderedPageBreak/>
        <w:t>rate of 90.8%.</w:t>
      </w:r>
    </w:p>
    <w:p w14:paraId="184C3DBF" w14:textId="29DB6D9B" w:rsidR="00D40B06" w:rsidRDefault="008A60DD">
      <w:r>
        <w:t>The demographic characteristics of the respondents are summarized in Table 2. The sample is dominated by individuals aged 18–29, with a nearly balanced gender distribution and a majority holding undergraduate-level education, consistent with the profile of China’s Gen Z. (See Table 2).</w:t>
      </w:r>
    </w:p>
    <w:p w14:paraId="3FE97EB6" w14:textId="77777777" w:rsidR="00D40B06" w:rsidRDefault="00000000">
      <w:pPr>
        <w:jc w:val="center"/>
      </w:pPr>
      <w:r>
        <w:rPr>
          <w:rFonts w:hint="eastAsia"/>
        </w:rPr>
        <w:t>（</w:t>
      </w:r>
      <w:r>
        <w:t>Table 2. Demographic profile of respondents</w:t>
      </w:r>
      <w:r>
        <w:rPr>
          <w:rFonts w:hint="eastAsia"/>
        </w:rPr>
        <w:t>）</w:t>
      </w:r>
    </w:p>
    <w:tbl>
      <w:tblPr>
        <w:tblStyle w:val="af1"/>
        <w:tblW w:w="0" w:type="auto"/>
        <w:tblLook w:val="04A0" w:firstRow="1" w:lastRow="0" w:firstColumn="1" w:lastColumn="0" w:noHBand="0" w:noVBand="1"/>
      </w:tblPr>
      <w:tblGrid>
        <w:gridCol w:w="2672"/>
        <w:gridCol w:w="2468"/>
        <w:gridCol w:w="1555"/>
        <w:gridCol w:w="1601"/>
      </w:tblGrid>
      <w:tr w:rsidR="00D40B06" w14:paraId="7A2724E1" w14:textId="77777777">
        <w:tc>
          <w:tcPr>
            <w:tcW w:w="0" w:type="auto"/>
            <w:hideMark/>
          </w:tcPr>
          <w:p w14:paraId="7BAEDA0A" w14:textId="77777777" w:rsidR="00D40B06" w:rsidRDefault="00000000">
            <w:pPr>
              <w:jc w:val="center"/>
              <w:rPr>
                <w:b/>
                <w:bCs/>
              </w:rPr>
            </w:pPr>
            <w:r>
              <w:rPr>
                <w:b/>
                <w:bCs/>
              </w:rPr>
              <w:t>Characteristic</w:t>
            </w:r>
          </w:p>
        </w:tc>
        <w:tc>
          <w:tcPr>
            <w:tcW w:w="0" w:type="auto"/>
            <w:hideMark/>
          </w:tcPr>
          <w:p w14:paraId="7DEFAE3C" w14:textId="77777777" w:rsidR="00D40B06" w:rsidRDefault="00000000">
            <w:pPr>
              <w:jc w:val="center"/>
              <w:rPr>
                <w:b/>
                <w:bCs/>
              </w:rPr>
            </w:pPr>
            <w:r>
              <w:rPr>
                <w:b/>
                <w:bCs/>
              </w:rPr>
              <w:t>Category</w:t>
            </w:r>
          </w:p>
        </w:tc>
        <w:tc>
          <w:tcPr>
            <w:tcW w:w="0" w:type="auto"/>
            <w:hideMark/>
          </w:tcPr>
          <w:p w14:paraId="6EFC36B2" w14:textId="77777777" w:rsidR="00D40B06" w:rsidRDefault="00000000">
            <w:pPr>
              <w:jc w:val="center"/>
              <w:rPr>
                <w:b/>
                <w:bCs/>
              </w:rPr>
            </w:pPr>
            <w:r>
              <w:rPr>
                <w:b/>
                <w:bCs/>
              </w:rPr>
              <w:t>Frequency (N)</w:t>
            </w:r>
          </w:p>
        </w:tc>
        <w:tc>
          <w:tcPr>
            <w:tcW w:w="0" w:type="auto"/>
            <w:hideMark/>
          </w:tcPr>
          <w:p w14:paraId="5CCB3117" w14:textId="77777777" w:rsidR="00D40B06" w:rsidRDefault="00000000">
            <w:pPr>
              <w:jc w:val="center"/>
              <w:rPr>
                <w:b/>
                <w:bCs/>
              </w:rPr>
            </w:pPr>
            <w:r>
              <w:rPr>
                <w:b/>
                <w:bCs/>
              </w:rPr>
              <w:t>Percentage (%)</w:t>
            </w:r>
          </w:p>
        </w:tc>
      </w:tr>
      <w:tr w:rsidR="00D40B06" w14:paraId="1A5BC5B3" w14:textId="77777777">
        <w:tc>
          <w:tcPr>
            <w:tcW w:w="0" w:type="auto"/>
            <w:hideMark/>
          </w:tcPr>
          <w:p w14:paraId="4ABED0A9" w14:textId="77777777" w:rsidR="00D40B06" w:rsidRDefault="00000000">
            <w:r>
              <w:t>Gender</w:t>
            </w:r>
          </w:p>
        </w:tc>
        <w:tc>
          <w:tcPr>
            <w:tcW w:w="0" w:type="auto"/>
            <w:hideMark/>
          </w:tcPr>
          <w:p w14:paraId="1557C614" w14:textId="77777777" w:rsidR="00D40B06" w:rsidRDefault="00000000">
            <w:r>
              <w:t>Male</w:t>
            </w:r>
          </w:p>
        </w:tc>
        <w:tc>
          <w:tcPr>
            <w:tcW w:w="0" w:type="auto"/>
            <w:hideMark/>
          </w:tcPr>
          <w:p w14:paraId="6356A935" w14:textId="77777777" w:rsidR="00D40B06" w:rsidRDefault="00000000">
            <w:r>
              <w:t>228</w:t>
            </w:r>
          </w:p>
        </w:tc>
        <w:tc>
          <w:tcPr>
            <w:tcW w:w="0" w:type="auto"/>
            <w:hideMark/>
          </w:tcPr>
          <w:p w14:paraId="0EA63C16" w14:textId="77777777" w:rsidR="00D40B06" w:rsidRDefault="00000000">
            <w:r>
              <w:t>48.3</w:t>
            </w:r>
          </w:p>
        </w:tc>
      </w:tr>
      <w:tr w:rsidR="00D40B06" w14:paraId="2A91534E" w14:textId="77777777">
        <w:tc>
          <w:tcPr>
            <w:tcW w:w="0" w:type="auto"/>
            <w:hideMark/>
          </w:tcPr>
          <w:p w14:paraId="4DBC3639" w14:textId="77777777" w:rsidR="00D40B06" w:rsidRDefault="00D40B06"/>
        </w:tc>
        <w:tc>
          <w:tcPr>
            <w:tcW w:w="0" w:type="auto"/>
            <w:hideMark/>
          </w:tcPr>
          <w:p w14:paraId="48790C83" w14:textId="77777777" w:rsidR="00D40B06" w:rsidRDefault="00000000">
            <w:pPr>
              <w:rPr>
                <w:rFonts w:ascii="宋体" w:eastAsia="宋体" w:hAnsi="宋体"/>
                <w:sz w:val="24"/>
              </w:rPr>
            </w:pPr>
            <w:r>
              <w:t>Female</w:t>
            </w:r>
          </w:p>
        </w:tc>
        <w:tc>
          <w:tcPr>
            <w:tcW w:w="0" w:type="auto"/>
            <w:hideMark/>
          </w:tcPr>
          <w:p w14:paraId="66E1D554" w14:textId="77777777" w:rsidR="00D40B06" w:rsidRDefault="00000000">
            <w:r>
              <w:t>244</w:t>
            </w:r>
          </w:p>
        </w:tc>
        <w:tc>
          <w:tcPr>
            <w:tcW w:w="0" w:type="auto"/>
            <w:hideMark/>
          </w:tcPr>
          <w:p w14:paraId="00C1EC42" w14:textId="77777777" w:rsidR="00D40B06" w:rsidRDefault="00000000">
            <w:r>
              <w:t>51.7</w:t>
            </w:r>
          </w:p>
        </w:tc>
      </w:tr>
      <w:tr w:rsidR="00D40B06" w14:paraId="557E68A4" w14:textId="77777777">
        <w:tc>
          <w:tcPr>
            <w:tcW w:w="0" w:type="auto"/>
            <w:hideMark/>
          </w:tcPr>
          <w:p w14:paraId="24359B13" w14:textId="77777777" w:rsidR="00D40B06" w:rsidRDefault="00000000">
            <w:r>
              <w:t>Age</w:t>
            </w:r>
          </w:p>
        </w:tc>
        <w:tc>
          <w:tcPr>
            <w:tcW w:w="0" w:type="auto"/>
            <w:hideMark/>
          </w:tcPr>
          <w:p w14:paraId="378AEEAC" w14:textId="77777777" w:rsidR="00D40B06" w:rsidRDefault="00000000">
            <w:r>
              <w:t>18–20 years</w:t>
            </w:r>
          </w:p>
        </w:tc>
        <w:tc>
          <w:tcPr>
            <w:tcW w:w="0" w:type="auto"/>
            <w:hideMark/>
          </w:tcPr>
          <w:p w14:paraId="67F3189B" w14:textId="77777777" w:rsidR="00D40B06" w:rsidRDefault="00000000">
            <w:r>
              <w:t>112</w:t>
            </w:r>
          </w:p>
        </w:tc>
        <w:tc>
          <w:tcPr>
            <w:tcW w:w="0" w:type="auto"/>
            <w:hideMark/>
          </w:tcPr>
          <w:p w14:paraId="7403EBEA" w14:textId="77777777" w:rsidR="00D40B06" w:rsidRDefault="00000000">
            <w:r>
              <w:t>23.7</w:t>
            </w:r>
          </w:p>
        </w:tc>
      </w:tr>
      <w:tr w:rsidR="00D40B06" w14:paraId="482D1973" w14:textId="77777777">
        <w:tc>
          <w:tcPr>
            <w:tcW w:w="0" w:type="auto"/>
            <w:hideMark/>
          </w:tcPr>
          <w:p w14:paraId="6D814659" w14:textId="77777777" w:rsidR="00D40B06" w:rsidRDefault="00D40B06"/>
        </w:tc>
        <w:tc>
          <w:tcPr>
            <w:tcW w:w="0" w:type="auto"/>
            <w:hideMark/>
          </w:tcPr>
          <w:p w14:paraId="1374BE51" w14:textId="77777777" w:rsidR="00D40B06" w:rsidRDefault="00000000">
            <w:pPr>
              <w:rPr>
                <w:rFonts w:ascii="宋体" w:eastAsia="宋体" w:hAnsi="宋体"/>
                <w:sz w:val="24"/>
              </w:rPr>
            </w:pPr>
            <w:r>
              <w:t>21–23 years</w:t>
            </w:r>
          </w:p>
        </w:tc>
        <w:tc>
          <w:tcPr>
            <w:tcW w:w="0" w:type="auto"/>
            <w:hideMark/>
          </w:tcPr>
          <w:p w14:paraId="00B5F82E" w14:textId="77777777" w:rsidR="00D40B06" w:rsidRDefault="00000000">
            <w:r>
              <w:t>186</w:t>
            </w:r>
          </w:p>
        </w:tc>
        <w:tc>
          <w:tcPr>
            <w:tcW w:w="0" w:type="auto"/>
            <w:hideMark/>
          </w:tcPr>
          <w:p w14:paraId="5FFEAC83" w14:textId="77777777" w:rsidR="00D40B06" w:rsidRDefault="00000000">
            <w:r>
              <w:t>39.4</w:t>
            </w:r>
          </w:p>
        </w:tc>
      </w:tr>
      <w:tr w:rsidR="00D40B06" w14:paraId="2AF12CD3" w14:textId="77777777">
        <w:tc>
          <w:tcPr>
            <w:tcW w:w="0" w:type="auto"/>
            <w:hideMark/>
          </w:tcPr>
          <w:p w14:paraId="05361963" w14:textId="77777777" w:rsidR="00D40B06" w:rsidRDefault="00D40B06"/>
        </w:tc>
        <w:tc>
          <w:tcPr>
            <w:tcW w:w="0" w:type="auto"/>
            <w:hideMark/>
          </w:tcPr>
          <w:p w14:paraId="07789ED2" w14:textId="77777777" w:rsidR="00D40B06" w:rsidRDefault="00000000">
            <w:pPr>
              <w:rPr>
                <w:rFonts w:ascii="宋体" w:eastAsia="宋体" w:hAnsi="宋体"/>
                <w:sz w:val="24"/>
              </w:rPr>
            </w:pPr>
            <w:r>
              <w:t>24–26 years</w:t>
            </w:r>
          </w:p>
        </w:tc>
        <w:tc>
          <w:tcPr>
            <w:tcW w:w="0" w:type="auto"/>
            <w:hideMark/>
          </w:tcPr>
          <w:p w14:paraId="39718614" w14:textId="77777777" w:rsidR="00D40B06" w:rsidRDefault="00000000">
            <w:r>
              <w:t>124</w:t>
            </w:r>
          </w:p>
        </w:tc>
        <w:tc>
          <w:tcPr>
            <w:tcW w:w="0" w:type="auto"/>
            <w:hideMark/>
          </w:tcPr>
          <w:p w14:paraId="5331720D" w14:textId="77777777" w:rsidR="00D40B06" w:rsidRDefault="00000000">
            <w:r>
              <w:t>26.3</w:t>
            </w:r>
          </w:p>
        </w:tc>
      </w:tr>
      <w:tr w:rsidR="00D40B06" w14:paraId="26687AA1" w14:textId="77777777">
        <w:tc>
          <w:tcPr>
            <w:tcW w:w="0" w:type="auto"/>
            <w:hideMark/>
          </w:tcPr>
          <w:p w14:paraId="015154CD" w14:textId="77777777" w:rsidR="00D40B06" w:rsidRDefault="00D40B06"/>
        </w:tc>
        <w:tc>
          <w:tcPr>
            <w:tcW w:w="0" w:type="auto"/>
            <w:hideMark/>
          </w:tcPr>
          <w:p w14:paraId="282EEE27" w14:textId="77777777" w:rsidR="00D40B06" w:rsidRDefault="00000000">
            <w:pPr>
              <w:rPr>
                <w:rFonts w:ascii="宋体" w:eastAsia="宋体" w:hAnsi="宋体"/>
                <w:sz w:val="24"/>
              </w:rPr>
            </w:pPr>
            <w:r>
              <w:t>27–29 years</w:t>
            </w:r>
          </w:p>
        </w:tc>
        <w:tc>
          <w:tcPr>
            <w:tcW w:w="0" w:type="auto"/>
            <w:hideMark/>
          </w:tcPr>
          <w:p w14:paraId="2B73120E" w14:textId="77777777" w:rsidR="00D40B06" w:rsidRDefault="00000000">
            <w:r>
              <w:t>50</w:t>
            </w:r>
          </w:p>
        </w:tc>
        <w:tc>
          <w:tcPr>
            <w:tcW w:w="0" w:type="auto"/>
            <w:hideMark/>
          </w:tcPr>
          <w:p w14:paraId="788877CA" w14:textId="77777777" w:rsidR="00D40B06" w:rsidRDefault="00000000">
            <w:r>
              <w:t>10.6</w:t>
            </w:r>
          </w:p>
        </w:tc>
      </w:tr>
      <w:tr w:rsidR="00D40B06" w14:paraId="2E0BCC7F" w14:textId="77777777">
        <w:tc>
          <w:tcPr>
            <w:tcW w:w="0" w:type="auto"/>
            <w:hideMark/>
          </w:tcPr>
          <w:p w14:paraId="1135467C" w14:textId="77777777" w:rsidR="00D40B06" w:rsidRDefault="00000000">
            <w:r>
              <w:t>Education level</w:t>
            </w:r>
          </w:p>
        </w:tc>
        <w:tc>
          <w:tcPr>
            <w:tcW w:w="0" w:type="auto"/>
            <w:hideMark/>
          </w:tcPr>
          <w:p w14:paraId="43DDCE46" w14:textId="77777777" w:rsidR="00D40B06" w:rsidRDefault="00000000">
            <w:r>
              <w:t>High school or below</w:t>
            </w:r>
          </w:p>
        </w:tc>
        <w:tc>
          <w:tcPr>
            <w:tcW w:w="0" w:type="auto"/>
            <w:hideMark/>
          </w:tcPr>
          <w:p w14:paraId="2F3F3B5B" w14:textId="77777777" w:rsidR="00D40B06" w:rsidRDefault="00000000">
            <w:r>
              <w:t>38</w:t>
            </w:r>
          </w:p>
        </w:tc>
        <w:tc>
          <w:tcPr>
            <w:tcW w:w="0" w:type="auto"/>
            <w:hideMark/>
          </w:tcPr>
          <w:p w14:paraId="27D4E96D" w14:textId="77777777" w:rsidR="00D40B06" w:rsidRDefault="00000000">
            <w:r>
              <w:t>8.1</w:t>
            </w:r>
          </w:p>
        </w:tc>
      </w:tr>
      <w:tr w:rsidR="00D40B06" w14:paraId="081A2CB0" w14:textId="77777777">
        <w:tc>
          <w:tcPr>
            <w:tcW w:w="0" w:type="auto"/>
            <w:hideMark/>
          </w:tcPr>
          <w:p w14:paraId="15B0EC12" w14:textId="77777777" w:rsidR="00D40B06" w:rsidRDefault="00D40B06"/>
        </w:tc>
        <w:tc>
          <w:tcPr>
            <w:tcW w:w="0" w:type="auto"/>
            <w:hideMark/>
          </w:tcPr>
          <w:p w14:paraId="3F5D3067" w14:textId="77777777" w:rsidR="00D40B06" w:rsidRDefault="00000000">
            <w:pPr>
              <w:rPr>
                <w:rFonts w:ascii="宋体" w:eastAsia="宋体" w:hAnsi="宋体"/>
                <w:sz w:val="24"/>
              </w:rPr>
            </w:pPr>
            <w:r>
              <w:t>Associate degree</w:t>
            </w:r>
          </w:p>
        </w:tc>
        <w:tc>
          <w:tcPr>
            <w:tcW w:w="0" w:type="auto"/>
            <w:hideMark/>
          </w:tcPr>
          <w:p w14:paraId="7516AC4B" w14:textId="77777777" w:rsidR="00D40B06" w:rsidRDefault="00000000">
            <w:r>
              <w:t>64</w:t>
            </w:r>
          </w:p>
        </w:tc>
        <w:tc>
          <w:tcPr>
            <w:tcW w:w="0" w:type="auto"/>
            <w:hideMark/>
          </w:tcPr>
          <w:p w14:paraId="01DCA107" w14:textId="77777777" w:rsidR="00D40B06" w:rsidRDefault="00000000">
            <w:r>
              <w:t>13.6</w:t>
            </w:r>
          </w:p>
        </w:tc>
      </w:tr>
      <w:tr w:rsidR="00D40B06" w14:paraId="3487618C" w14:textId="77777777">
        <w:tc>
          <w:tcPr>
            <w:tcW w:w="0" w:type="auto"/>
            <w:hideMark/>
          </w:tcPr>
          <w:p w14:paraId="6F3116AE" w14:textId="77777777" w:rsidR="00D40B06" w:rsidRDefault="00D40B06"/>
        </w:tc>
        <w:tc>
          <w:tcPr>
            <w:tcW w:w="0" w:type="auto"/>
            <w:hideMark/>
          </w:tcPr>
          <w:p w14:paraId="494011A1" w14:textId="77777777" w:rsidR="00D40B06" w:rsidRDefault="00000000">
            <w:pPr>
              <w:rPr>
                <w:rFonts w:ascii="宋体" w:eastAsia="宋体" w:hAnsi="宋体"/>
                <w:sz w:val="24"/>
              </w:rPr>
            </w:pPr>
            <w:r>
              <w:t>Bachelor’s degree</w:t>
            </w:r>
          </w:p>
        </w:tc>
        <w:tc>
          <w:tcPr>
            <w:tcW w:w="0" w:type="auto"/>
            <w:hideMark/>
          </w:tcPr>
          <w:p w14:paraId="39F124C8" w14:textId="77777777" w:rsidR="00D40B06" w:rsidRDefault="00000000">
            <w:r>
              <w:t>290</w:t>
            </w:r>
          </w:p>
        </w:tc>
        <w:tc>
          <w:tcPr>
            <w:tcW w:w="0" w:type="auto"/>
            <w:hideMark/>
          </w:tcPr>
          <w:p w14:paraId="731CD795" w14:textId="77777777" w:rsidR="00D40B06" w:rsidRDefault="00000000">
            <w:r>
              <w:t>61.4</w:t>
            </w:r>
          </w:p>
        </w:tc>
      </w:tr>
      <w:tr w:rsidR="00D40B06" w14:paraId="32673348" w14:textId="77777777">
        <w:tc>
          <w:tcPr>
            <w:tcW w:w="0" w:type="auto"/>
            <w:hideMark/>
          </w:tcPr>
          <w:p w14:paraId="48B5F96C" w14:textId="77777777" w:rsidR="00D40B06" w:rsidRDefault="00D40B06"/>
        </w:tc>
        <w:tc>
          <w:tcPr>
            <w:tcW w:w="0" w:type="auto"/>
            <w:hideMark/>
          </w:tcPr>
          <w:p w14:paraId="082E7B9B" w14:textId="77777777" w:rsidR="00D40B06" w:rsidRDefault="00000000">
            <w:pPr>
              <w:rPr>
                <w:rFonts w:ascii="宋体" w:eastAsia="宋体" w:hAnsi="宋体"/>
                <w:sz w:val="24"/>
              </w:rPr>
            </w:pPr>
            <w:r>
              <w:t>Master’s degree or above</w:t>
            </w:r>
          </w:p>
        </w:tc>
        <w:tc>
          <w:tcPr>
            <w:tcW w:w="0" w:type="auto"/>
            <w:hideMark/>
          </w:tcPr>
          <w:p w14:paraId="7A4894D7" w14:textId="77777777" w:rsidR="00D40B06" w:rsidRDefault="00000000">
            <w:r>
              <w:t>80</w:t>
            </w:r>
          </w:p>
        </w:tc>
        <w:tc>
          <w:tcPr>
            <w:tcW w:w="0" w:type="auto"/>
            <w:hideMark/>
          </w:tcPr>
          <w:p w14:paraId="4D82EA66" w14:textId="77777777" w:rsidR="00D40B06" w:rsidRDefault="00000000">
            <w:r>
              <w:t>16.9</w:t>
            </w:r>
          </w:p>
        </w:tc>
      </w:tr>
      <w:tr w:rsidR="00D40B06" w14:paraId="4B49770B" w14:textId="77777777">
        <w:tc>
          <w:tcPr>
            <w:tcW w:w="0" w:type="auto"/>
            <w:hideMark/>
          </w:tcPr>
          <w:p w14:paraId="3C271E09" w14:textId="77777777" w:rsidR="00D40B06" w:rsidRDefault="00000000">
            <w:r>
              <w:t>Monthly expenditure (RMB)</w:t>
            </w:r>
          </w:p>
        </w:tc>
        <w:tc>
          <w:tcPr>
            <w:tcW w:w="0" w:type="auto"/>
            <w:hideMark/>
          </w:tcPr>
          <w:p w14:paraId="43B800AF" w14:textId="77777777" w:rsidR="00D40B06" w:rsidRDefault="00000000">
            <w:r>
              <w:t>Less than 1,000</w:t>
            </w:r>
          </w:p>
        </w:tc>
        <w:tc>
          <w:tcPr>
            <w:tcW w:w="0" w:type="auto"/>
            <w:hideMark/>
          </w:tcPr>
          <w:p w14:paraId="04FF0302" w14:textId="77777777" w:rsidR="00D40B06" w:rsidRDefault="00000000">
            <w:r>
              <w:t>102</w:t>
            </w:r>
          </w:p>
        </w:tc>
        <w:tc>
          <w:tcPr>
            <w:tcW w:w="0" w:type="auto"/>
            <w:hideMark/>
          </w:tcPr>
          <w:p w14:paraId="46231781" w14:textId="77777777" w:rsidR="00D40B06" w:rsidRDefault="00000000">
            <w:r>
              <w:t>21.6</w:t>
            </w:r>
          </w:p>
        </w:tc>
      </w:tr>
      <w:tr w:rsidR="00D40B06" w14:paraId="72718CF0" w14:textId="77777777">
        <w:tc>
          <w:tcPr>
            <w:tcW w:w="0" w:type="auto"/>
            <w:hideMark/>
          </w:tcPr>
          <w:p w14:paraId="5C68D043" w14:textId="77777777" w:rsidR="00D40B06" w:rsidRDefault="00D40B06"/>
        </w:tc>
        <w:tc>
          <w:tcPr>
            <w:tcW w:w="0" w:type="auto"/>
            <w:hideMark/>
          </w:tcPr>
          <w:p w14:paraId="3C0A906D" w14:textId="77777777" w:rsidR="00D40B06" w:rsidRDefault="00000000">
            <w:pPr>
              <w:rPr>
                <w:rFonts w:ascii="宋体" w:eastAsia="宋体" w:hAnsi="宋体"/>
                <w:sz w:val="24"/>
              </w:rPr>
            </w:pPr>
            <w:r>
              <w:t>1,001–3,000</w:t>
            </w:r>
          </w:p>
        </w:tc>
        <w:tc>
          <w:tcPr>
            <w:tcW w:w="0" w:type="auto"/>
            <w:hideMark/>
          </w:tcPr>
          <w:p w14:paraId="7C5389A0" w14:textId="77777777" w:rsidR="00D40B06" w:rsidRDefault="00000000">
            <w:r>
              <w:t>218</w:t>
            </w:r>
          </w:p>
        </w:tc>
        <w:tc>
          <w:tcPr>
            <w:tcW w:w="0" w:type="auto"/>
            <w:hideMark/>
          </w:tcPr>
          <w:p w14:paraId="2BD3ABC6" w14:textId="77777777" w:rsidR="00D40B06" w:rsidRDefault="00000000">
            <w:r>
              <w:t>46.2</w:t>
            </w:r>
          </w:p>
        </w:tc>
      </w:tr>
      <w:tr w:rsidR="00D40B06" w14:paraId="59710F22" w14:textId="77777777">
        <w:tc>
          <w:tcPr>
            <w:tcW w:w="0" w:type="auto"/>
            <w:hideMark/>
          </w:tcPr>
          <w:p w14:paraId="0938D45E" w14:textId="77777777" w:rsidR="00D40B06" w:rsidRDefault="00D40B06"/>
        </w:tc>
        <w:tc>
          <w:tcPr>
            <w:tcW w:w="0" w:type="auto"/>
            <w:hideMark/>
          </w:tcPr>
          <w:p w14:paraId="6437D351" w14:textId="77777777" w:rsidR="00D40B06" w:rsidRDefault="00000000">
            <w:pPr>
              <w:rPr>
                <w:rFonts w:ascii="宋体" w:eastAsia="宋体" w:hAnsi="宋体"/>
                <w:sz w:val="24"/>
              </w:rPr>
            </w:pPr>
            <w:r>
              <w:t>3,001–5,000</w:t>
            </w:r>
          </w:p>
        </w:tc>
        <w:tc>
          <w:tcPr>
            <w:tcW w:w="0" w:type="auto"/>
            <w:hideMark/>
          </w:tcPr>
          <w:p w14:paraId="4CB2BAF8" w14:textId="77777777" w:rsidR="00D40B06" w:rsidRDefault="00000000">
            <w:r>
              <w:t>108</w:t>
            </w:r>
          </w:p>
        </w:tc>
        <w:tc>
          <w:tcPr>
            <w:tcW w:w="0" w:type="auto"/>
            <w:hideMark/>
          </w:tcPr>
          <w:p w14:paraId="7FBB8F30" w14:textId="77777777" w:rsidR="00D40B06" w:rsidRDefault="00000000">
            <w:r>
              <w:t>22.9</w:t>
            </w:r>
          </w:p>
        </w:tc>
      </w:tr>
      <w:tr w:rsidR="00D40B06" w14:paraId="22D65A30" w14:textId="77777777">
        <w:tc>
          <w:tcPr>
            <w:tcW w:w="0" w:type="auto"/>
            <w:hideMark/>
          </w:tcPr>
          <w:p w14:paraId="615E7E5D" w14:textId="77777777" w:rsidR="00D40B06" w:rsidRDefault="00D40B06"/>
        </w:tc>
        <w:tc>
          <w:tcPr>
            <w:tcW w:w="0" w:type="auto"/>
            <w:hideMark/>
          </w:tcPr>
          <w:p w14:paraId="0122AF06" w14:textId="77777777" w:rsidR="00D40B06" w:rsidRDefault="00000000">
            <w:pPr>
              <w:rPr>
                <w:rFonts w:ascii="宋体" w:eastAsia="宋体" w:hAnsi="宋体"/>
                <w:sz w:val="24"/>
              </w:rPr>
            </w:pPr>
            <w:r>
              <w:t>Above 5,000</w:t>
            </w:r>
          </w:p>
        </w:tc>
        <w:tc>
          <w:tcPr>
            <w:tcW w:w="0" w:type="auto"/>
            <w:hideMark/>
          </w:tcPr>
          <w:p w14:paraId="2AA1289C" w14:textId="77777777" w:rsidR="00D40B06" w:rsidRDefault="00000000">
            <w:r>
              <w:t>44</w:t>
            </w:r>
          </w:p>
        </w:tc>
        <w:tc>
          <w:tcPr>
            <w:tcW w:w="0" w:type="auto"/>
            <w:hideMark/>
          </w:tcPr>
          <w:p w14:paraId="039FC1B1" w14:textId="77777777" w:rsidR="00D40B06" w:rsidRDefault="00000000">
            <w:r>
              <w:t>9.3</w:t>
            </w:r>
          </w:p>
        </w:tc>
      </w:tr>
    </w:tbl>
    <w:p w14:paraId="144EAC15" w14:textId="77777777" w:rsidR="00D40B06" w:rsidRDefault="00000000">
      <w:r>
        <w:t>Note: N = 472. Percentages are calculated based on valid responses.</w:t>
      </w:r>
    </w:p>
    <w:p w14:paraId="292C6C26" w14:textId="77777777" w:rsidR="00D40B06" w:rsidRDefault="00D40B06"/>
    <w:p w14:paraId="283DA6B7" w14:textId="77777777" w:rsidR="00D40B06" w:rsidRDefault="00000000">
      <w:r>
        <w:t>3.4 Data Analysis Methods</w:t>
      </w:r>
    </w:p>
    <w:p w14:paraId="60317F73" w14:textId="77777777" w:rsidR="00D40B06" w:rsidRDefault="00000000">
      <w:r>
        <w:t>This study employed structural equation modeling (SEM) to test the proposed hypotheses and examine the causal relationships among the constructs. The analysis was carried out in three steps.</w:t>
      </w:r>
    </w:p>
    <w:p w14:paraId="65F3537A" w14:textId="77777777" w:rsidR="00D40B06" w:rsidRDefault="00000000">
      <w:r>
        <w:t>First, SPSS 28.0 was used to conduct descriptive statistics and normality tests. Then, AMOS 26.0 was applied to perform confirmatory factor analysis (CFA) to evaluate the measurement model. Reliability was assessed using Cronbach’s α and composite reliability (CR); convergent validity was examined via factor loadings and average variance extracted (AVE); and discriminant validity was tested using the Fornell–Larcker criterion and the HTMT ratio. The results of the measurement model are shown in Figure 1.</w:t>
      </w:r>
    </w:p>
    <w:p w14:paraId="42D658BF" w14:textId="77777777" w:rsidR="00D40B06" w:rsidRDefault="00000000">
      <w:pPr>
        <w:jc w:val="center"/>
      </w:pPr>
      <w:r>
        <w:rPr>
          <w:noProof/>
        </w:rPr>
        <w:lastRenderedPageBreak/>
        <w:drawing>
          <wp:inline distT="0" distB="0" distL="0" distR="0" wp14:anchorId="0ACE7EDD" wp14:editId="2EE5A433">
            <wp:extent cx="3535009" cy="1795313"/>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b="23821"/>
                    <a:stretch/>
                  </pic:blipFill>
                  <pic:spPr>
                    <a:xfrm>
                      <a:off x="0" y="0"/>
                      <a:ext cx="3535009" cy="1795313"/>
                    </a:xfrm>
                    <a:prstGeom prst="rect">
                      <a:avLst/>
                    </a:prstGeom>
                  </pic:spPr>
                </pic:pic>
              </a:graphicData>
            </a:graphic>
          </wp:inline>
        </w:drawing>
      </w:r>
    </w:p>
    <w:p w14:paraId="341760AB" w14:textId="77777777" w:rsidR="00D40B06" w:rsidRDefault="00000000">
      <w:pPr>
        <w:jc w:val="center"/>
      </w:pPr>
      <w:r>
        <w:rPr>
          <w:rFonts w:hint="eastAsia"/>
        </w:rPr>
        <w:t>（</w:t>
      </w:r>
      <w:r>
        <w:t>Figure 1. Measurement model</w:t>
      </w:r>
      <w:r>
        <w:rPr>
          <w:rFonts w:hint="eastAsia"/>
        </w:rPr>
        <w:t>）</w:t>
      </w:r>
    </w:p>
    <w:p w14:paraId="7FE44C52" w14:textId="77777777" w:rsidR="00D40B06" w:rsidRDefault="00000000">
      <w:r>
        <w:t>Note: Measurement model with standardized factor loadings.</w:t>
      </w:r>
    </w:p>
    <w:p w14:paraId="7450DB93" w14:textId="77777777" w:rsidR="00D40B06" w:rsidRDefault="00000000">
      <w:r>
        <w:t>Second, the structural model was tested to examine the significance of hypothesized paths and the overall model fit. Goodness-of-fit indices included χ²/df, CFI, TLI, RMSEA, and SRMR. The structural model is presented in Figure 2.</w:t>
      </w:r>
    </w:p>
    <w:p w14:paraId="5D0484EC" w14:textId="77777777" w:rsidR="00D40B06" w:rsidRDefault="00000000">
      <w:pPr>
        <w:jc w:val="center"/>
      </w:pPr>
      <w:r>
        <w:rPr>
          <w:noProof/>
        </w:rPr>
        <w:drawing>
          <wp:inline distT="0" distB="0" distL="0" distR="0" wp14:anchorId="3AD9100B" wp14:editId="344955D5">
            <wp:extent cx="3377501" cy="2386097"/>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3377501" cy="2386097"/>
                    </a:xfrm>
                    <a:prstGeom prst="rect">
                      <a:avLst/>
                    </a:prstGeom>
                  </pic:spPr>
                </pic:pic>
              </a:graphicData>
            </a:graphic>
          </wp:inline>
        </w:drawing>
      </w:r>
    </w:p>
    <w:p w14:paraId="116C2894" w14:textId="77777777" w:rsidR="00D40B06" w:rsidRDefault="00000000">
      <w:pPr>
        <w:jc w:val="center"/>
      </w:pPr>
      <w:r>
        <w:rPr>
          <w:rFonts w:hint="eastAsia"/>
        </w:rPr>
        <w:t>（</w:t>
      </w:r>
      <w:r>
        <w:t>Figure 2. Structural model</w:t>
      </w:r>
      <w:r>
        <w:rPr>
          <w:rFonts w:hint="eastAsia"/>
        </w:rPr>
        <w:t>）</w:t>
      </w:r>
    </w:p>
    <w:p w14:paraId="7D5D7D3E" w14:textId="77777777" w:rsidR="00D40B06" w:rsidRDefault="00000000">
      <w:r>
        <w:t>Note: Structural model illustrating hypothesized relationships among IE, ER, CI, and BI.</w:t>
      </w:r>
    </w:p>
    <w:p w14:paraId="069ABEAB" w14:textId="77777777" w:rsidR="00D40B06" w:rsidRDefault="00000000">
      <w:r>
        <w:t>Finally, multi-group analysis (MGA) was conducted to explore gender-based differences. The sample was divided into male and female groups, and path coefficients were compared across groups using chi-square difference tests and confidence interval analysis to determine whether the relationships varied significantly by gender.</w:t>
      </w:r>
    </w:p>
    <w:p w14:paraId="7991656F" w14:textId="77777777" w:rsidR="00D40B06" w:rsidRDefault="00000000">
      <w:r>
        <w:t>Through this approach, the study rigorously tested the hypothesized causal chain and examined gender heterogeneity in the proposed model.</w:t>
      </w:r>
    </w:p>
    <w:p w14:paraId="59ED3FD2" w14:textId="77777777" w:rsidR="00D40B06" w:rsidRDefault="00D40B06"/>
    <w:p w14:paraId="7DB635B9" w14:textId="77777777" w:rsidR="00D40B06" w:rsidRDefault="00000000">
      <w:r>
        <w:lastRenderedPageBreak/>
        <w:t>3.5 Common Method Bias and Data Quality Control</w:t>
      </w:r>
    </w:p>
    <w:p w14:paraId="523803A0" w14:textId="77777777" w:rsidR="00D40B06" w:rsidRDefault="00000000">
      <w:r>
        <w:t>As the study relies on self-reported survey data, there is a potential risk of common method bias (CMB). To minimize this risk, several procedural remedies were implemented during survey design:</w:t>
      </w:r>
    </w:p>
    <w:p w14:paraId="49EFEFE9" w14:textId="77777777" w:rsidR="00D40B06" w:rsidRDefault="00000000">
      <w:r>
        <w:t>1. Procedural control: Items were carefully worded to avoid socially desirable terms, and question order was randomized to reduce sequence effects.</w:t>
      </w:r>
    </w:p>
    <w:p w14:paraId="14D38EDF" w14:textId="77777777" w:rsidR="00D40B06" w:rsidRDefault="00000000">
      <w:r>
        <w:t>2. Anonymity assurance: Respondents were informed that the survey was anonymous and solely for academic purposes, thereby reducing evaluation apprehension.</w:t>
      </w:r>
    </w:p>
    <w:p w14:paraId="131CB098" w14:textId="77777777" w:rsidR="00D40B06" w:rsidRDefault="00000000">
      <w:r>
        <w:t>At the analysis stage, two statistical tests were employed. First, Harman’s single-factor test revealed that the largest factor accounted for 34.7% of the variance, below the critical threshold of 50%, suggesting that CMB was not a major concern. Second, a latent method factor test showed no substantial improvement in model fit, further confirming that common method bias was not problematic.</w:t>
      </w:r>
    </w:p>
    <w:p w14:paraId="4EAF77CE" w14:textId="77777777" w:rsidR="00D40B06" w:rsidRDefault="00000000">
      <w:r>
        <w:t>In addition, strict data quality control was applied. Questionnaires with implausibly short completion times (less than 2 minutes) or highly uniform response patterns (e.g., identical answers across all items) were removed. These steps ensured the validity and reliability of the final dataset, making it suitable for hypothesis testing.</w:t>
      </w:r>
    </w:p>
    <w:p w14:paraId="3C9409B4" w14:textId="77777777" w:rsidR="00D40B06" w:rsidRDefault="00D40B06"/>
    <w:p w14:paraId="16451F80" w14:textId="77777777" w:rsidR="00D40B06" w:rsidRDefault="00000000">
      <w:pPr>
        <w:rPr>
          <w:b/>
          <w:bCs/>
        </w:rPr>
      </w:pPr>
      <w:r>
        <w:rPr>
          <w:rFonts w:hint="eastAsia"/>
          <w:b/>
          <w:bCs/>
        </w:rPr>
        <w:t>4 Results</w:t>
      </w:r>
    </w:p>
    <w:p w14:paraId="74D6348F" w14:textId="77777777" w:rsidR="00D40B06" w:rsidRDefault="00000000">
      <w:r>
        <w:t>4.1 Descriptive Statistics and Measurement Model Assessment</w:t>
      </w:r>
    </w:p>
    <w:p w14:paraId="58AB4197" w14:textId="77777777" w:rsidR="00D40B06" w:rsidRDefault="00000000">
      <w:r>
        <w:t>Before testing the structural model, descriptive statistics were conducted for the main constructs. Results indicated that the mean values of immersive experience, emotional resonance, cultural identity, and behavioral intention were all above the midpoint of 3.0, suggesting generally positive evaluations of cultural experiences among respondents. Standard deviations ranged from 0.65 to 0.92, indicating reasonable data dispersion without serious outliers. Correlation analysis showed significant positive relationships among the constructs, consistent with theoretical expectations (see Table 3).</w:t>
      </w:r>
    </w:p>
    <w:p w14:paraId="3D00306C" w14:textId="77777777" w:rsidR="00D40B06" w:rsidRDefault="00000000">
      <w:r>
        <w:t>Next, confirmatory factor analysis (CFA) was performed to assess the measurement model. The results demonstrated that the scales exhibited satisfactory reliability and validity. Specifically, all factor loadings exceeded 0.70, Cronbach’s α and composite reliability (CR) were above 0.80, and the average variance extracted (AVE) values were above 0.50, confirming adequate convergent validity (see Table 3).</w:t>
      </w:r>
    </w:p>
    <w:p w14:paraId="4B4E6EA8" w14:textId="77777777" w:rsidR="00D40B06" w:rsidRDefault="00000000">
      <w:pPr>
        <w:jc w:val="center"/>
      </w:pPr>
      <w:r>
        <w:rPr>
          <w:rFonts w:hint="eastAsia"/>
        </w:rPr>
        <w:t>（</w:t>
      </w:r>
      <w:r>
        <w:t>Table 3. Reliability and validity results</w:t>
      </w:r>
      <w:r>
        <w:rPr>
          <w:rFonts w:hint="eastAsia"/>
        </w:rPr>
        <w:t>）</w:t>
      </w:r>
    </w:p>
    <w:tbl>
      <w:tblPr>
        <w:tblStyle w:val="af1"/>
        <w:tblW w:w="0" w:type="auto"/>
        <w:tblLook w:val="04A0" w:firstRow="1" w:lastRow="0" w:firstColumn="1" w:lastColumn="0" w:noHBand="0" w:noVBand="1"/>
      </w:tblPr>
      <w:tblGrid>
        <w:gridCol w:w="1712"/>
        <w:gridCol w:w="1525"/>
        <w:gridCol w:w="1380"/>
        <w:gridCol w:w="1766"/>
        <w:gridCol w:w="1913"/>
      </w:tblGrid>
      <w:tr w:rsidR="00D40B06" w14:paraId="7F770121" w14:textId="77777777">
        <w:tc>
          <w:tcPr>
            <w:tcW w:w="0" w:type="auto"/>
            <w:hideMark/>
          </w:tcPr>
          <w:p w14:paraId="1AF8118E" w14:textId="77777777" w:rsidR="00D40B06" w:rsidRDefault="00000000">
            <w:pPr>
              <w:jc w:val="center"/>
              <w:rPr>
                <w:b/>
                <w:bCs/>
              </w:rPr>
            </w:pPr>
            <w:r>
              <w:rPr>
                <w:b/>
                <w:bCs/>
              </w:rPr>
              <w:lastRenderedPageBreak/>
              <w:t>Construct</w:t>
            </w:r>
          </w:p>
        </w:tc>
        <w:tc>
          <w:tcPr>
            <w:tcW w:w="0" w:type="auto"/>
            <w:hideMark/>
          </w:tcPr>
          <w:p w14:paraId="39C624FE" w14:textId="77777777" w:rsidR="00D40B06" w:rsidRDefault="00000000">
            <w:pPr>
              <w:jc w:val="center"/>
              <w:rPr>
                <w:b/>
                <w:bCs/>
              </w:rPr>
            </w:pPr>
            <w:r>
              <w:rPr>
                <w:b/>
                <w:bCs/>
              </w:rPr>
              <w:t>Factor loadings (range)</w:t>
            </w:r>
          </w:p>
        </w:tc>
        <w:tc>
          <w:tcPr>
            <w:tcW w:w="0" w:type="auto"/>
            <w:hideMark/>
          </w:tcPr>
          <w:p w14:paraId="0185E4CA" w14:textId="77777777" w:rsidR="00D40B06" w:rsidRDefault="00000000">
            <w:pPr>
              <w:jc w:val="center"/>
              <w:rPr>
                <w:b/>
                <w:bCs/>
              </w:rPr>
            </w:pPr>
            <w:r>
              <w:rPr>
                <w:b/>
                <w:bCs/>
              </w:rPr>
              <w:t>Cronbach’s α</w:t>
            </w:r>
          </w:p>
        </w:tc>
        <w:tc>
          <w:tcPr>
            <w:tcW w:w="0" w:type="auto"/>
            <w:hideMark/>
          </w:tcPr>
          <w:p w14:paraId="08A6DBEC" w14:textId="77777777" w:rsidR="00D40B06" w:rsidRDefault="00000000">
            <w:pPr>
              <w:jc w:val="center"/>
              <w:rPr>
                <w:b/>
                <w:bCs/>
              </w:rPr>
            </w:pPr>
            <w:r>
              <w:rPr>
                <w:b/>
                <w:bCs/>
              </w:rPr>
              <w:t>Composite Reliability (CR)</w:t>
            </w:r>
          </w:p>
        </w:tc>
        <w:tc>
          <w:tcPr>
            <w:tcW w:w="0" w:type="auto"/>
            <w:hideMark/>
          </w:tcPr>
          <w:p w14:paraId="044FAB9B" w14:textId="77777777" w:rsidR="00D40B06" w:rsidRDefault="00000000">
            <w:pPr>
              <w:jc w:val="center"/>
              <w:rPr>
                <w:b/>
                <w:bCs/>
              </w:rPr>
            </w:pPr>
            <w:r>
              <w:rPr>
                <w:b/>
                <w:bCs/>
              </w:rPr>
              <w:t>Average Variance Extracted (AVE)</w:t>
            </w:r>
          </w:p>
        </w:tc>
      </w:tr>
      <w:tr w:rsidR="00D40B06" w14:paraId="62D8742C" w14:textId="77777777">
        <w:tc>
          <w:tcPr>
            <w:tcW w:w="0" w:type="auto"/>
            <w:hideMark/>
          </w:tcPr>
          <w:p w14:paraId="137350CE" w14:textId="77777777" w:rsidR="00D40B06" w:rsidRDefault="00000000">
            <w:r>
              <w:t>Immersive Experience (IE)</w:t>
            </w:r>
          </w:p>
        </w:tc>
        <w:tc>
          <w:tcPr>
            <w:tcW w:w="0" w:type="auto"/>
            <w:hideMark/>
          </w:tcPr>
          <w:p w14:paraId="49EFA9A8" w14:textId="77777777" w:rsidR="00D40B06" w:rsidRDefault="00000000">
            <w:r>
              <w:t>0.73 – 0.88</w:t>
            </w:r>
          </w:p>
        </w:tc>
        <w:tc>
          <w:tcPr>
            <w:tcW w:w="0" w:type="auto"/>
            <w:hideMark/>
          </w:tcPr>
          <w:p w14:paraId="0A4C5C10" w14:textId="77777777" w:rsidR="00D40B06" w:rsidRDefault="00000000">
            <w:r>
              <w:t>0.89</w:t>
            </w:r>
          </w:p>
        </w:tc>
        <w:tc>
          <w:tcPr>
            <w:tcW w:w="0" w:type="auto"/>
            <w:hideMark/>
          </w:tcPr>
          <w:p w14:paraId="2E7496F9" w14:textId="77777777" w:rsidR="00D40B06" w:rsidRDefault="00000000">
            <w:r>
              <w:t>0.91</w:t>
            </w:r>
          </w:p>
        </w:tc>
        <w:tc>
          <w:tcPr>
            <w:tcW w:w="0" w:type="auto"/>
            <w:hideMark/>
          </w:tcPr>
          <w:p w14:paraId="49D09B09" w14:textId="77777777" w:rsidR="00D40B06" w:rsidRDefault="00000000">
            <w:r>
              <w:t>0.67</w:t>
            </w:r>
          </w:p>
        </w:tc>
      </w:tr>
      <w:tr w:rsidR="00D40B06" w14:paraId="3826E040" w14:textId="77777777">
        <w:tc>
          <w:tcPr>
            <w:tcW w:w="0" w:type="auto"/>
            <w:hideMark/>
          </w:tcPr>
          <w:p w14:paraId="24ED95E6" w14:textId="77777777" w:rsidR="00D40B06" w:rsidRDefault="00000000">
            <w:r>
              <w:t>Emotional Resonance (ER)</w:t>
            </w:r>
          </w:p>
        </w:tc>
        <w:tc>
          <w:tcPr>
            <w:tcW w:w="0" w:type="auto"/>
            <w:hideMark/>
          </w:tcPr>
          <w:p w14:paraId="499C7132" w14:textId="77777777" w:rsidR="00D40B06" w:rsidRDefault="00000000">
            <w:r>
              <w:t>0.75 – 0.87</w:t>
            </w:r>
          </w:p>
        </w:tc>
        <w:tc>
          <w:tcPr>
            <w:tcW w:w="0" w:type="auto"/>
            <w:hideMark/>
          </w:tcPr>
          <w:p w14:paraId="11AF6070" w14:textId="77777777" w:rsidR="00D40B06" w:rsidRDefault="00000000">
            <w:r>
              <w:t>0.88</w:t>
            </w:r>
          </w:p>
        </w:tc>
        <w:tc>
          <w:tcPr>
            <w:tcW w:w="0" w:type="auto"/>
            <w:hideMark/>
          </w:tcPr>
          <w:p w14:paraId="101350ED" w14:textId="77777777" w:rsidR="00D40B06" w:rsidRDefault="00000000">
            <w:r>
              <w:t>0.90</w:t>
            </w:r>
          </w:p>
        </w:tc>
        <w:tc>
          <w:tcPr>
            <w:tcW w:w="0" w:type="auto"/>
            <w:hideMark/>
          </w:tcPr>
          <w:p w14:paraId="50145C54" w14:textId="77777777" w:rsidR="00D40B06" w:rsidRDefault="00000000">
            <w:r>
              <w:t>0.65</w:t>
            </w:r>
          </w:p>
        </w:tc>
      </w:tr>
      <w:tr w:rsidR="00D40B06" w14:paraId="3A26852A" w14:textId="77777777">
        <w:tc>
          <w:tcPr>
            <w:tcW w:w="0" w:type="auto"/>
            <w:hideMark/>
          </w:tcPr>
          <w:p w14:paraId="4675DA01" w14:textId="77777777" w:rsidR="00D40B06" w:rsidRDefault="00000000">
            <w:r>
              <w:t>Cultural Identity (CI)</w:t>
            </w:r>
          </w:p>
        </w:tc>
        <w:tc>
          <w:tcPr>
            <w:tcW w:w="0" w:type="auto"/>
            <w:hideMark/>
          </w:tcPr>
          <w:p w14:paraId="323941A4" w14:textId="77777777" w:rsidR="00D40B06" w:rsidRDefault="00000000">
            <w:r>
              <w:t>0.72 – 0.90</w:t>
            </w:r>
          </w:p>
        </w:tc>
        <w:tc>
          <w:tcPr>
            <w:tcW w:w="0" w:type="auto"/>
            <w:hideMark/>
          </w:tcPr>
          <w:p w14:paraId="5997EBEC" w14:textId="77777777" w:rsidR="00D40B06" w:rsidRDefault="00000000">
            <w:r>
              <w:t>0.91</w:t>
            </w:r>
          </w:p>
        </w:tc>
        <w:tc>
          <w:tcPr>
            <w:tcW w:w="0" w:type="auto"/>
            <w:hideMark/>
          </w:tcPr>
          <w:p w14:paraId="3442912E" w14:textId="77777777" w:rsidR="00D40B06" w:rsidRDefault="00000000">
            <w:r>
              <w:t>0.93</w:t>
            </w:r>
          </w:p>
        </w:tc>
        <w:tc>
          <w:tcPr>
            <w:tcW w:w="0" w:type="auto"/>
            <w:hideMark/>
          </w:tcPr>
          <w:p w14:paraId="78C86062" w14:textId="77777777" w:rsidR="00D40B06" w:rsidRDefault="00000000">
            <w:r>
              <w:t>0.71</w:t>
            </w:r>
          </w:p>
        </w:tc>
      </w:tr>
      <w:tr w:rsidR="00D40B06" w14:paraId="0F582057" w14:textId="77777777">
        <w:tc>
          <w:tcPr>
            <w:tcW w:w="0" w:type="auto"/>
            <w:hideMark/>
          </w:tcPr>
          <w:p w14:paraId="72CF75F2" w14:textId="77777777" w:rsidR="00D40B06" w:rsidRDefault="00000000">
            <w:r>
              <w:t>Behavioral Intention (BI)</w:t>
            </w:r>
          </w:p>
        </w:tc>
        <w:tc>
          <w:tcPr>
            <w:tcW w:w="0" w:type="auto"/>
            <w:hideMark/>
          </w:tcPr>
          <w:p w14:paraId="1BECAF04" w14:textId="77777777" w:rsidR="00D40B06" w:rsidRDefault="00000000">
            <w:r>
              <w:t>0.76 – 0.89</w:t>
            </w:r>
          </w:p>
        </w:tc>
        <w:tc>
          <w:tcPr>
            <w:tcW w:w="0" w:type="auto"/>
            <w:hideMark/>
          </w:tcPr>
          <w:p w14:paraId="6202E7B8" w14:textId="77777777" w:rsidR="00D40B06" w:rsidRDefault="00000000">
            <w:r>
              <w:t>0.90</w:t>
            </w:r>
          </w:p>
        </w:tc>
        <w:tc>
          <w:tcPr>
            <w:tcW w:w="0" w:type="auto"/>
            <w:hideMark/>
          </w:tcPr>
          <w:p w14:paraId="248071AF" w14:textId="77777777" w:rsidR="00D40B06" w:rsidRDefault="00000000">
            <w:r>
              <w:t>0.92</w:t>
            </w:r>
          </w:p>
        </w:tc>
        <w:tc>
          <w:tcPr>
            <w:tcW w:w="0" w:type="auto"/>
            <w:hideMark/>
          </w:tcPr>
          <w:p w14:paraId="6E96195E" w14:textId="77777777" w:rsidR="00D40B06" w:rsidRDefault="00000000">
            <w:r>
              <w:t>0.69</w:t>
            </w:r>
          </w:p>
        </w:tc>
      </w:tr>
    </w:tbl>
    <w:p w14:paraId="42DD6061" w14:textId="77777777" w:rsidR="00D40B06" w:rsidRDefault="00000000">
      <w:r>
        <w:t>Note: Factor loadings, Cronbach’s α, Composite Reliability (CR), and Average Variance Extracted (AVE) all meet the recommended thresholds (loading ≥ 0.70, α ≥ 0.70, CR ≥ 0.70, AVE ≥ 0.50).</w:t>
      </w:r>
    </w:p>
    <w:p w14:paraId="41C73A9C" w14:textId="77777777" w:rsidR="00D40B06" w:rsidRDefault="00000000">
      <w:r>
        <w:t>Taken together, the measurement model demonstrates acceptable reliability and validity, supporting further structural model testing.</w:t>
      </w:r>
    </w:p>
    <w:p w14:paraId="1320568E" w14:textId="77777777" w:rsidR="00D40B06" w:rsidRDefault="00D40B06"/>
    <w:p w14:paraId="5AA53DEE" w14:textId="77777777" w:rsidR="00D40B06" w:rsidRDefault="00000000">
      <w:r>
        <w:t>4.2 Discriminant Validity Test</w:t>
      </w:r>
    </w:p>
    <w:p w14:paraId="1045C415" w14:textId="77777777" w:rsidR="00D40B06" w:rsidRDefault="00000000">
      <w:r>
        <w:t>After establishing convergent validity, this study further examined discriminant validity among the latent constructs. According to the Fornell–Larcker criterion, discriminant validity is supported if the square root of a construct’s average variance extracted (AVE) is greater than its correlations with other constructs. The results indicated that all constructs met this requirement, as each AVE square root exceeded the corresponding inter-construct correlations.</w:t>
      </w:r>
    </w:p>
    <w:p w14:paraId="5F800D54" w14:textId="77777777" w:rsidR="00D40B06" w:rsidRDefault="00000000">
      <w:r>
        <w:t>In addition, the HTMT (Heterotrait–Monotrait ratio) approach was used as a supplementary test. All HTMT values were below the conservative threshold of 0.85 (with 0.90 also commonly cited), thereby confirming discriminant validity across all constructs (see Table 4).</w:t>
      </w:r>
    </w:p>
    <w:p w14:paraId="4E8C3618" w14:textId="77777777" w:rsidR="00D40B06" w:rsidRDefault="00000000">
      <w:pPr>
        <w:jc w:val="center"/>
      </w:pPr>
      <w:r>
        <w:rPr>
          <w:rFonts w:hint="eastAsia"/>
        </w:rPr>
        <w:t>（</w:t>
      </w:r>
      <w:r>
        <w:t>Table 4. Discriminant validity results</w:t>
      </w:r>
      <w:r>
        <w:rPr>
          <w:rFonts w:hint="eastAsia"/>
        </w:rPr>
        <w:t>）</w:t>
      </w:r>
    </w:p>
    <w:tbl>
      <w:tblPr>
        <w:tblStyle w:val="af1"/>
        <w:tblW w:w="8110" w:type="dxa"/>
        <w:tblLook w:val="04A0" w:firstRow="1" w:lastRow="0" w:firstColumn="1" w:lastColumn="0" w:noHBand="0" w:noVBand="1"/>
      </w:tblPr>
      <w:tblGrid>
        <w:gridCol w:w="4174"/>
        <w:gridCol w:w="984"/>
        <w:gridCol w:w="984"/>
        <w:gridCol w:w="984"/>
        <w:gridCol w:w="984"/>
      </w:tblGrid>
      <w:tr w:rsidR="00D40B06" w14:paraId="7877ECAA" w14:textId="77777777">
        <w:trPr>
          <w:trHeight w:val="694"/>
        </w:trPr>
        <w:tc>
          <w:tcPr>
            <w:tcW w:w="0" w:type="auto"/>
            <w:hideMark/>
          </w:tcPr>
          <w:p w14:paraId="740403BE" w14:textId="77777777" w:rsidR="00D40B06" w:rsidRDefault="00000000">
            <w:pPr>
              <w:jc w:val="center"/>
              <w:rPr>
                <w:b/>
                <w:bCs/>
              </w:rPr>
            </w:pPr>
            <w:r>
              <w:rPr>
                <w:b/>
                <w:bCs/>
              </w:rPr>
              <w:t>Construct</w:t>
            </w:r>
          </w:p>
        </w:tc>
        <w:tc>
          <w:tcPr>
            <w:tcW w:w="0" w:type="auto"/>
            <w:hideMark/>
          </w:tcPr>
          <w:p w14:paraId="591085BC" w14:textId="77777777" w:rsidR="00D40B06" w:rsidRDefault="00000000">
            <w:pPr>
              <w:jc w:val="center"/>
              <w:rPr>
                <w:b/>
                <w:bCs/>
              </w:rPr>
            </w:pPr>
            <w:r>
              <w:rPr>
                <w:b/>
                <w:bCs/>
              </w:rPr>
              <w:t>IE</w:t>
            </w:r>
          </w:p>
        </w:tc>
        <w:tc>
          <w:tcPr>
            <w:tcW w:w="0" w:type="auto"/>
            <w:hideMark/>
          </w:tcPr>
          <w:p w14:paraId="69E764EC" w14:textId="77777777" w:rsidR="00D40B06" w:rsidRDefault="00000000">
            <w:pPr>
              <w:jc w:val="center"/>
              <w:rPr>
                <w:b/>
                <w:bCs/>
              </w:rPr>
            </w:pPr>
            <w:r>
              <w:rPr>
                <w:b/>
                <w:bCs/>
              </w:rPr>
              <w:t>ER</w:t>
            </w:r>
          </w:p>
        </w:tc>
        <w:tc>
          <w:tcPr>
            <w:tcW w:w="0" w:type="auto"/>
            <w:hideMark/>
          </w:tcPr>
          <w:p w14:paraId="6D179397" w14:textId="77777777" w:rsidR="00D40B06" w:rsidRDefault="00000000">
            <w:pPr>
              <w:jc w:val="center"/>
              <w:rPr>
                <w:b/>
                <w:bCs/>
              </w:rPr>
            </w:pPr>
            <w:r>
              <w:rPr>
                <w:b/>
                <w:bCs/>
              </w:rPr>
              <w:t>CI</w:t>
            </w:r>
          </w:p>
        </w:tc>
        <w:tc>
          <w:tcPr>
            <w:tcW w:w="0" w:type="auto"/>
            <w:hideMark/>
          </w:tcPr>
          <w:p w14:paraId="3C85EA3D" w14:textId="77777777" w:rsidR="00D40B06" w:rsidRDefault="00000000">
            <w:pPr>
              <w:jc w:val="center"/>
              <w:rPr>
                <w:b/>
                <w:bCs/>
              </w:rPr>
            </w:pPr>
            <w:r>
              <w:rPr>
                <w:b/>
                <w:bCs/>
              </w:rPr>
              <w:t>BI</w:t>
            </w:r>
          </w:p>
        </w:tc>
      </w:tr>
      <w:tr w:rsidR="00D40B06" w14:paraId="64A16065" w14:textId="77777777">
        <w:trPr>
          <w:trHeight w:val="694"/>
        </w:trPr>
        <w:tc>
          <w:tcPr>
            <w:tcW w:w="0" w:type="auto"/>
            <w:hideMark/>
          </w:tcPr>
          <w:p w14:paraId="2BBF330A" w14:textId="77777777" w:rsidR="00D40B06" w:rsidRDefault="00000000">
            <w:r>
              <w:t>Immersive Experience (IE)</w:t>
            </w:r>
          </w:p>
        </w:tc>
        <w:tc>
          <w:tcPr>
            <w:tcW w:w="0" w:type="auto"/>
            <w:hideMark/>
          </w:tcPr>
          <w:p w14:paraId="6115D515" w14:textId="77777777" w:rsidR="00D40B06" w:rsidRDefault="00000000">
            <w:r>
              <w:rPr>
                <w:rStyle w:val="af"/>
              </w:rPr>
              <w:t>0.82</w:t>
            </w:r>
          </w:p>
        </w:tc>
        <w:tc>
          <w:tcPr>
            <w:tcW w:w="0" w:type="auto"/>
            <w:hideMark/>
          </w:tcPr>
          <w:p w14:paraId="1D9C674A" w14:textId="77777777" w:rsidR="00D40B06" w:rsidRDefault="00000000">
            <w:r>
              <w:t>0.64</w:t>
            </w:r>
          </w:p>
        </w:tc>
        <w:tc>
          <w:tcPr>
            <w:tcW w:w="0" w:type="auto"/>
            <w:hideMark/>
          </w:tcPr>
          <w:p w14:paraId="14334180" w14:textId="77777777" w:rsidR="00D40B06" w:rsidRDefault="00000000">
            <w:r>
              <w:t>0.58</w:t>
            </w:r>
          </w:p>
        </w:tc>
        <w:tc>
          <w:tcPr>
            <w:tcW w:w="0" w:type="auto"/>
            <w:hideMark/>
          </w:tcPr>
          <w:p w14:paraId="0D648725" w14:textId="77777777" w:rsidR="00D40B06" w:rsidRDefault="00000000">
            <w:r>
              <w:t>0.61</w:t>
            </w:r>
          </w:p>
        </w:tc>
      </w:tr>
      <w:tr w:rsidR="00D40B06" w14:paraId="730A5E87" w14:textId="77777777">
        <w:trPr>
          <w:trHeight w:val="677"/>
        </w:trPr>
        <w:tc>
          <w:tcPr>
            <w:tcW w:w="0" w:type="auto"/>
            <w:hideMark/>
          </w:tcPr>
          <w:p w14:paraId="1DFBE73F" w14:textId="77777777" w:rsidR="00D40B06" w:rsidRDefault="00000000">
            <w:r>
              <w:t>Emotional Resonance (ER)</w:t>
            </w:r>
          </w:p>
        </w:tc>
        <w:tc>
          <w:tcPr>
            <w:tcW w:w="0" w:type="auto"/>
            <w:hideMark/>
          </w:tcPr>
          <w:p w14:paraId="63E32C95" w14:textId="77777777" w:rsidR="00D40B06" w:rsidRDefault="00000000">
            <w:r>
              <w:t>0.64</w:t>
            </w:r>
          </w:p>
        </w:tc>
        <w:tc>
          <w:tcPr>
            <w:tcW w:w="0" w:type="auto"/>
            <w:hideMark/>
          </w:tcPr>
          <w:p w14:paraId="1D324206" w14:textId="77777777" w:rsidR="00D40B06" w:rsidRDefault="00000000">
            <w:r>
              <w:rPr>
                <w:rStyle w:val="af"/>
              </w:rPr>
              <w:t>0.81</w:t>
            </w:r>
          </w:p>
        </w:tc>
        <w:tc>
          <w:tcPr>
            <w:tcW w:w="0" w:type="auto"/>
            <w:hideMark/>
          </w:tcPr>
          <w:p w14:paraId="2C1B9741" w14:textId="77777777" w:rsidR="00D40B06" w:rsidRDefault="00000000">
            <w:r>
              <w:t>0.66</w:t>
            </w:r>
          </w:p>
        </w:tc>
        <w:tc>
          <w:tcPr>
            <w:tcW w:w="0" w:type="auto"/>
            <w:hideMark/>
          </w:tcPr>
          <w:p w14:paraId="39865F7F" w14:textId="77777777" w:rsidR="00D40B06" w:rsidRDefault="00000000">
            <w:r>
              <w:t>0.63</w:t>
            </w:r>
          </w:p>
        </w:tc>
      </w:tr>
      <w:tr w:rsidR="00D40B06" w14:paraId="3589E3E5" w14:textId="77777777">
        <w:trPr>
          <w:trHeight w:val="694"/>
        </w:trPr>
        <w:tc>
          <w:tcPr>
            <w:tcW w:w="0" w:type="auto"/>
            <w:hideMark/>
          </w:tcPr>
          <w:p w14:paraId="6FD9679D" w14:textId="77777777" w:rsidR="00D40B06" w:rsidRDefault="00000000">
            <w:r>
              <w:t>Cultural Identity (CI)</w:t>
            </w:r>
          </w:p>
        </w:tc>
        <w:tc>
          <w:tcPr>
            <w:tcW w:w="0" w:type="auto"/>
            <w:hideMark/>
          </w:tcPr>
          <w:p w14:paraId="0268D492" w14:textId="77777777" w:rsidR="00D40B06" w:rsidRDefault="00000000">
            <w:r>
              <w:t>0.58</w:t>
            </w:r>
          </w:p>
        </w:tc>
        <w:tc>
          <w:tcPr>
            <w:tcW w:w="0" w:type="auto"/>
            <w:hideMark/>
          </w:tcPr>
          <w:p w14:paraId="0AAF9320" w14:textId="77777777" w:rsidR="00D40B06" w:rsidRDefault="00000000">
            <w:r>
              <w:t>0.66</w:t>
            </w:r>
          </w:p>
        </w:tc>
        <w:tc>
          <w:tcPr>
            <w:tcW w:w="0" w:type="auto"/>
            <w:hideMark/>
          </w:tcPr>
          <w:p w14:paraId="0CABDAF1" w14:textId="77777777" w:rsidR="00D40B06" w:rsidRDefault="00000000">
            <w:r>
              <w:rPr>
                <w:rStyle w:val="af"/>
              </w:rPr>
              <w:t>0.84</w:t>
            </w:r>
          </w:p>
        </w:tc>
        <w:tc>
          <w:tcPr>
            <w:tcW w:w="0" w:type="auto"/>
            <w:hideMark/>
          </w:tcPr>
          <w:p w14:paraId="37FB0F62" w14:textId="77777777" w:rsidR="00D40B06" w:rsidRDefault="00000000">
            <w:r>
              <w:t>0.72</w:t>
            </w:r>
          </w:p>
        </w:tc>
      </w:tr>
      <w:tr w:rsidR="00D40B06" w14:paraId="1ABBDD0B" w14:textId="77777777">
        <w:trPr>
          <w:trHeight w:val="694"/>
        </w:trPr>
        <w:tc>
          <w:tcPr>
            <w:tcW w:w="0" w:type="auto"/>
            <w:hideMark/>
          </w:tcPr>
          <w:p w14:paraId="05F88B1B" w14:textId="77777777" w:rsidR="00D40B06" w:rsidRDefault="00000000">
            <w:r>
              <w:lastRenderedPageBreak/>
              <w:t>Behavioral Intention (BI)</w:t>
            </w:r>
          </w:p>
        </w:tc>
        <w:tc>
          <w:tcPr>
            <w:tcW w:w="0" w:type="auto"/>
            <w:hideMark/>
          </w:tcPr>
          <w:p w14:paraId="2AFD4627" w14:textId="77777777" w:rsidR="00D40B06" w:rsidRDefault="00000000">
            <w:r>
              <w:t>0.61</w:t>
            </w:r>
          </w:p>
        </w:tc>
        <w:tc>
          <w:tcPr>
            <w:tcW w:w="0" w:type="auto"/>
            <w:hideMark/>
          </w:tcPr>
          <w:p w14:paraId="51791A9D" w14:textId="77777777" w:rsidR="00D40B06" w:rsidRDefault="00000000">
            <w:r>
              <w:t>0.63</w:t>
            </w:r>
          </w:p>
        </w:tc>
        <w:tc>
          <w:tcPr>
            <w:tcW w:w="0" w:type="auto"/>
            <w:hideMark/>
          </w:tcPr>
          <w:p w14:paraId="2DFEC7B6" w14:textId="77777777" w:rsidR="00D40B06" w:rsidRDefault="00000000">
            <w:r>
              <w:t>0.72</w:t>
            </w:r>
          </w:p>
        </w:tc>
        <w:tc>
          <w:tcPr>
            <w:tcW w:w="0" w:type="auto"/>
            <w:hideMark/>
          </w:tcPr>
          <w:p w14:paraId="22406052" w14:textId="77777777" w:rsidR="00D40B06" w:rsidRDefault="00000000">
            <w:r>
              <w:rPr>
                <w:rStyle w:val="af"/>
              </w:rPr>
              <w:t>0.83</w:t>
            </w:r>
          </w:p>
        </w:tc>
      </w:tr>
    </w:tbl>
    <w:p w14:paraId="341BABC4" w14:textId="77777777" w:rsidR="00D40B06" w:rsidRDefault="00000000">
      <w:r>
        <w:t>Note: Diagonal elements represent the square roots of AVE, while off-diagonal elements show inter-construct correlations. HTMT ratios are all below 0.85, confirming discriminant validity.</w:t>
      </w:r>
    </w:p>
    <w:p w14:paraId="24993D98" w14:textId="77777777" w:rsidR="00D40B06" w:rsidRDefault="00D40B06"/>
    <w:p w14:paraId="25DCBD52" w14:textId="77777777" w:rsidR="00D40B06" w:rsidRDefault="00000000">
      <w:r>
        <w:t>4.3 Model Fit Assessment</w:t>
      </w:r>
    </w:p>
    <w:p w14:paraId="2057C91C" w14:textId="77777777" w:rsidR="00D40B06" w:rsidRDefault="00000000">
      <w:r>
        <w:t>After establishing reliability and validity, the overall fit of both the measurement model and the structural model was assessed. Commonly reported fit indices include the chi-square to degrees of freedom ratio (χ²/df), the Comparative Fit Index (CFI), the Tucker–Lewis Index (TLI), the Root Mean Square Error of Approximation (RMSEA), and the Standardized Root Mean Square Residual (SRMR).</w:t>
      </w:r>
    </w:p>
    <w:p w14:paraId="62CAF43D" w14:textId="77777777" w:rsidR="00D40B06" w:rsidRDefault="00000000">
      <w:r>
        <w:t>The results indicated that both models demonstrated satisfactory fit. Specifically, the χ²/df was 2.31 for the measurement model and 2.47 for the structural model, both below the threshold of 3. CFI and TLI were 0.94 and 0.93, respectively, exceeding the recommended minimum of 0.90. RMSEA was 0.056, below the 0.08 threshold, and SRMR was 0.041, also below the recommended cutoff of 0.08. Overall, the fit indices suggest that the models achieved good fit (see Table 5).</w:t>
      </w:r>
    </w:p>
    <w:p w14:paraId="1F08A36D" w14:textId="77777777" w:rsidR="00D40B06" w:rsidRDefault="00000000">
      <w:pPr>
        <w:jc w:val="center"/>
      </w:pPr>
      <w:r>
        <w:rPr>
          <w:rFonts w:hint="eastAsia"/>
        </w:rPr>
        <w:t>（</w:t>
      </w:r>
      <w:r>
        <w:t>Table 5. Model fit indices</w:t>
      </w:r>
      <w:r>
        <w:rPr>
          <w:rFonts w:hint="eastAsia"/>
        </w:rPr>
        <w:t>）</w:t>
      </w:r>
    </w:p>
    <w:tbl>
      <w:tblPr>
        <w:tblStyle w:val="af1"/>
        <w:tblW w:w="8056" w:type="dxa"/>
        <w:tblLook w:val="04A0" w:firstRow="1" w:lastRow="0" w:firstColumn="1" w:lastColumn="0" w:noHBand="0" w:noVBand="1"/>
      </w:tblPr>
      <w:tblGrid>
        <w:gridCol w:w="3019"/>
        <w:gridCol w:w="970"/>
        <w:gridCol w:w="848"/>
        <w:gridCol w:w="848"/>
        <w:gridCol w:w="1274"/>
        <w:gridCol w:w="1097"/>
      </w:tblGrid>
      <w:tr w:rsidR="00D40B06" w14:paraId="21CD4CF2" w14:textId="77777777">
        <w:trPr>
          <w:trHeight w:val="731"/>
        </w:trPr>
        <w:tc>
          <w:tcPr>
            <w:tcW w:w="0" w:type="auto"/>
            <w:hideMark/>
          </w:tcPr>
          <w:p w14:paraId="29724937" w14:textId="77777777" w:rsidR="00D40B06" w:rsidRDefault="00000000">
            <w:pPr>
              <w:jc w:val="center"/>
              <w:rPr>
                <w:b/>
                <w:bCs/>
              </w:rPr>
            </w:pPr>
            <w:r>
              <w:rPr>
                <w:b/>
                <w:bCs/>
              </w:rPr>
              <w:t>Model</w:t>
            </w:r>
          </w:p>
        </w:tc>
        <w:tc>
          <w:tcPr>
            <w:tcW w:w="0" w:type="auto"/>
            <w:hideMark/>
          </w:tcPr>
          <w:p w14:paraId="206F9ACC" w14:textId="77777777" w:rsidR="00D40B06" w:rsidRDefault="00000000">
            <w:pPr>
              <w:jc w:val="center"/>
              <w:rPr>
                <w:b/>
                <w:bCs/>
              </w:rPr>
            </w:pPr>
            <w:r>
              <w:rPr>
                <w:b/>
                <w:bCs/>
              </w:rPr>
              <w:t>χ²/df</w:t>
            </w:r>
          </w:p>
        </w:tc>
        <w:tc>
          <w:tcPr>
            <w:tcW w:w="0" w:type="auto"/>
            <w:hideMark/>
          </w:tcPr>
          <w:p w14:paraId="74925973" w14:textId="77777777" w:rsidR="00D40B06" w:rsidRDefault="00000000">
            <w:pPr>
              <w:jc w:val="center"/>
              <w:rPr>
                <w:b/>
                <w:bCs/>
              </w:rPr>
            </w:pPr>
            <w:r>
              <w:rPr>
                <w:b/>
                <w:bCs/>
              </w:rPr>
              <w:t>CFI</w:t>
            </w:r>
          </w:p>
        </w:tc>
        <w:tc>
          <w:tcPr>
            <w:tcW w:w="0" w:type="auto"/>
            <w:hideMark/>
          </w:tcPr>
          <w:p w14:paraId="2D7E8CB6" w14:textId="77777777" w:rsidR="00D40B06" w:rsidRDefault="00000000">
            <w:pPr>
              <w:jc w:val="center"/>
              <w:rPr>
                <w:b/>
                <w:bCs/>
              </w:rPr>
            </w:pPr>
            <w:r>
              <w:rPr>
                <w:b/>
                <w:bCs/>
              </w:rPr>
              <w:t>TLI</w:t>
            </w:r>
          </w:p>
        </w:tc>
        <w:tc>
          <w:tcPr>
            <w:tcW w:w="0" w:type="auto"/>
            <w:hideMark/>
          </w:tcPr>
          <w:p w14:paraId="6AE8E63A" w14:textId="77777777" w:rsidR="00D40B06" w:rsidRDefault="00000000">
            <w:pPr>
              <w:jc w:val="center"/>
              <w:rPr>
                <w:b/>
                <w:bCs/>
              </w:rPr>
            </w:pPr>
            <w:r>
              <w:rPr>
                <w:b/>
                <w:bCs/>
              </w:rPr>
              <w:t>RMSEA</w:t>
            </w:r>
          </w:p>
        </w:tc>
        <w:tc>
          <w:tcPr>
            <w:tcW w:w="0" w:type="auto"/>
            <w:hideMark/>
          </w:tcPr>
          <w:p w14:paraId="03D51D2F" w14:textId="77777777" w:rsidR="00D40B06" w:rsidRDefault="00000000">
            <w:pPr>
              <w:jc w:val="center"/>
              <w:rPr>
                <w:b/>
                <w:bCs/>
              </w:rPr>
            </w:pPr>
            <w:r>
              <w:rPr>
                <w:b/>
                <w:bCs/>
              </w:rPr>
              <w:t>SRMR</w:t>
            </w:r>
          </w:p>
        </w:tc>
      </w:tr>
      <w:tr w:rsidR="00D40B06" w14:paraId="70C4316F" w14:textId="77777777">
        <w:trPr>
          <w:trHeight w:val="731"/>
        </w:trPr>
        <w:tc>
          <w:tcPr>
            <w:tcW w:w="0" w:type="auto"/>
            <w:hideMark/>
          </w:tcPr>
          <w:p w14:paraId="5C0DB495" w14:textId="77777777" w:rsidR="00D40B06" w:rsidRDefault="00000000">
            <w:r>
              <w:t>Measurement model</w:t>
            </w:r>
          </w:p>
        </w:tc>
        <w:tc>
          <w:tcPr>
            <w:tcW w:w="0" w:type="auto"/>
            <w:hideMark/>
          </w:tcPr>
          <w:p w14:paraId="14D59BB6" w14:textId="77777777" w:rsidR="00D40B06" w:rsidRDefault="00000000">
            <w:r>
              <w:t>2.31</w:t>
            </w:r>
          </w:p>
        </w:tc>
        <w:tc>
          <w:tcPr>
            <w:tcW w:w="0" w:type="auto"/>
            <w:hideMark/>
          </w:tcPr>
          <w:p w14:paraId="61C357F4" w14:textId="77777777" w:rsidR="00D40B06" w:rsidRDefault="00000000">
            <w:r>
              <w:t>0.94</w:t>
            </w:r>
          </w:p>
        </w:tc>
        <w:tc>
          <w:tcPr>
            <w:tcW w:w="0" w:type="auto"/>
            <w:hideMark/>
          </w:tcPr>
          <w:p w14:paraId="1E120662" w14:textId="77777777" w:rsidR="00D40B06" w:rsidRDefault="00000000">
            <w:r>
              <w:t>0.93</w:t>
            </w:r>
          </w:p>
        </w:tc>
        <w:tc>
          <w:tcPr>
            <w:tcW w:w="0" w:type="auto"/>
            <w:hideMark/>
          </w:tcPr>
          <w:p w14:paraId="348B8FCE" w14:textId="77777777" w:rsidR="00D40B06" w:rsidRDefault="00000000">
            <w:r>
              <w:t>0.056</w:t>
            </w:r>
          </w:p>
        </w:tc>
        <w:tc>
          <w:tcPr>
            <w:tcW w:w="0" w:type="auto"/>
            <w:hideMark/>
          </w:tcPr>
          <w:p w14:paraId="6918A022" w14:textId="77777777" w:rsidR="00D40B06" w:rsidRDefault="00000000">
            <w:r>
              <w:t>0.041</w:t>
            </w:r>
          </w:p>
        </w:tc>
      </w:tr>
      <w:tr w:rsidR="00D40B06" w14:paraId="1A11BA45" w14:textId="77777777">
        <w:trPr>
          <w:trHeight w:val="731"/>
        </w:trPr>
        <w:tc>
          <w:tcPr>
            <w:tcW w:w="0" w:type="auto"/>
            <w:hideMark/>
          </w:tcPr>
          <w:p w14:paraId="31A95D8C" w14:textId="77777777" w:rsidR="00D40B06" w:rsidRDefault="00000000">
            <w:r>
              <w:t>Structural model</w:t>
            </w:r>
          </w:p>
        </w:tc>
        <w:tc>
          <w:tcPr>
            <w:tcW w:w="0" w:type="auto"/>
            <w:hideMark/>
          </w:tcPr>
          <w:p w14:paraId="49767ED4" w14:textId="77777777" w:rsidR="00D40B06" w:rsidRDefault="00000000">
            <w:r>
              <w:t>2.47</w:t>
            </w:r>
          </w:p>
        </w:tc>
        <w:tc>
          <w:tcPr>
            <w:tcW w:w="0" w:type="auto"/>
            <w:hideMark/>
          </w:tcPr>
          <w:p w14:paraId="61EC62FB" w14:textId="77777777" w:rsidR="00D40B06" w:rsidRDefault="00000000">
            <w:r>
              <w:t>0.94</w:t>
            </w:r>
          </w:p>
        </w:tc>
        <w:tc>
          <w:tcPr>
            <w:tcW w:w="0" w:type="auto"/>
            <w:hideMark/>
          </w:tcPr>
          <w:p w14:paraId="449E1A77" w14:textId="77777777" w:rsidR="00D40B06" w:rsidRDefault="00000000">
            <w:r>
              <w:t>0.93</w:t>
            </w:r>
          </w:p>
        </w:tc>
        <w:tc>
          <w:tcPr>
            <w:tcW w:w="0" w:type="auto"/>
            <w:hideMark/>
          </w:tcPr>
          <w:p w14:paraId="006A1490" w14:textId="77777777" w:rsidR="00D40B06" w:rsidRDefault="00000000">
            <w:r>
              <w:t>0.056</w:t>
            </w:r>
          </w:p>
        </w:tc>
        <w:tc>
          <w:tcPr>
            <w:tcW w:w="0" w:type="auto"/>
            <w:hideMark/>
          </w:tcPr>
          <w:p w14:paraId="00A376D0" w14:textId="77777777" w:rsidR="00D40B06" w:rsidRDefault="00000000">
            <w:r>
              <w:t>0.041</w:t>
            </w:r>
          </w:p>
        </w:tc>
      </w:tr>
    </w:tbl>
    <w:p w14:paraId="3523AA97" w14:textId="77777777" w:rsidR="00D40B06" w:rsidRDefault="00000000">
      <w:r>
        <w:t>Note: Recommended thresholds are χ²/df &lt; 3, CFI ≥ 0.90, TLI ≥ 0.90, RMSEA ≤ 0.08, SRMR ≤ 0.08. Both measurement and structural models meet these criteria.</w:t>
      </w:r>
    </w:p>
    <w:p w14:paraId="345432EB" w14:textId="77777777" w:rsidR="00D40B06" w:rsidRDefault="00D40B06"/>
    <w:p w14:paraId="1D322B37" w14:textId="77777777" w:rsidR="00D40B06" w:rsidRDefault="00000000">
      <w:r>
        <w:t>4.4 Structural Path Analysis</w:t>
      </w:r>
    </w:p>
    <w:p w14:paraId="28B0A3E7" w14:textId="77777777" w:rsidR="00D40B06" w:rsidRDefault="00000000">
      <w:r>
        <w:t xml:space="preserve">After confirming satisfactory model fit, the hypothesized structural paths were tested. The results indicated that all primary relationships were significant and in the expected direction. Specifically, immersive experience had a significant positive effect on emotional resonance (β = 0.62, p &lt; 0.001), supporting H1. Emotional resonance positively influenced cultural identity (β = 0.57, p &lt; 0.001), supporting H2. Cultural </w:t>
      </w:r>
      <w:r>
        <w:lastRenderedPageBreak/>
        <w:t>identity positively predicted behavioral intention (β = 0.54, p &lt; 0.001), supporting H3.</w:t>
      </w:r>
    </w:p>
    <w:p w14:paraId="1B8C989E" w14:textId="77777777" w:rsidR="00D40B06" w:rsidRDefault="00000000">
      <w:r>
        <w:t>Furthermore, mediation tests revealed that emotional resonance partially mediated the relationship between immersive experience and cultural identity (supporting H4), while cultural identity mediated the effect of emotional resonance on behavioral intention (supporting H5). These findings suggest that immersive experiences not only evoke emotional responses but also foster sustained cultural engagement through identity mechanisms.</w:t>
      </w:r>
    </w:p>
    <w:p w14:paraId="7BC7B05C" w14:textId="77777777" w:rsidR="00D40B06" w:rsidRDefault="00000000">
      <w:r>
        <w:t>The overall structural path results are presented in Figure 2 and Table 6.</w:t>
      </w:r>
    </w:p>
    <w:p w14:paraId="36C5C281" w14:textId="77777777" w:rsidR="00D40B06" w:rsidRDefault="00000000">
      <w:pPr>
        <w:jc w:val="center"/>
      </w:pPr>
      <w:r>
        <w:rPr>
          <w:rFonts w:hint="eastAsia"/>
        </w:rPr>
        <w:t>（</w:t>
      </w:r>
      <w:r>
        <w:t>Table 6. Structural path estimates and significance results</w:t>
      </w:r>
      <w:r>
        <w:rPr>
          <w:rFonts w:hint="eastAsia"/>
        </w:rPr>
        <w:t>）</w:t>
      </w:r>
    </w:p>
    <w:tbl>
      <w:tblPr>
        <w:tblStyle w:val="af1"/>
        <w:tblW w:w="0" w:type="auto"/>
        <w:tblLook w:val="04A0" w:firstRow="1" w:lastRow="0" w:firstColumn="1" w:lastColumn="0" w:noHBand="0" w:noVBand="1"/>
      </w:tblPr>
      <w:tblGrid>
        <w:gridCol w:w="1272"/>
        <w:gridCol w:w="1209"/>
        <w:gridCol w:w="1475"/>
        <w:gridCol w:w="1079"/>
        <w:gridCol w:w="721"/>
        <w:gridCol w:w="1354"/>
        <w:gridCol w:w="1186"/>
      </w:tblGrid>
      <w:tr w:rsidR="00D40B06" w14:paraId="50CC8EEC" w14:textId="77777777">
        <w:tc>
          <w:tcPr>
            <w:tcW w:w="0" w:type="auto"/>
            <w:hideMark/>
          </w:tcPr>
          <w:p w14:paraId="5BC3A182" w14:textId="77777777" w:rsidR="00D40B06" w:rsidRDefault="00000000">
            <w:pPr>
              <w:jc w:val="center"/>
              <w:rPr>
                <w:b/>
                <w:bCs/>
              </w:rPr>
            </w:pPr>
            <w:r>
              <w:rPr>
                <w:b/>
                <w:bCs/>
              </w:rPr>
              <w:t>Hypothesis</w:t>
            </w:r>
          </w:p>
        </w:tc>
        <w:tc>
          <w:tcPr>
            <w:tcW w:w="0" w:type="auto"/>
            <w:hideMark/>
          </w:tcPr>
          <w:p w14:paraId="7B17DF79" w14:textId="77777777" w:rsidR="00D40B06" w:rsidRDefault="00000000">
            <w:pPr>
              <w:jc w:val="center"/>
              <w:rPr>
                <w:b/>
                <w:bCs/>
              </w:rPr>
            </w:pPr>
            <w:r>
              <w:rPr>
                <w:b/>
                <w:bCs/>
              </w:rPr>
              <w:t>Path</w:t>
            </w:r>
          </w:p>
        </w:tc>
        <w:tc>
          <w:tcPr>
            <w:tcW w:w="0" w:type="auto"/>
            <w:hideMark/>
          </w:tcPr>
          <w:p w14:paraId="5DE530B2" w14:textId="77777777" w:rsidR="00D40B06" w:rsidRDefault="00000000">
            <w:pPr>
              <w:jc w:val="center"/>
              <w:rPr>
                <w:b/>
                <w:bCs/>
              </w:rPr>
            </w:pPr>
            <w:r>
              <w:rPr>
                <w:b/>
                <w:bCs/>
              </w:rPr>
              <w:t>Standardized coefficient (β)</w:t>
            </w:r>
          </w:p>
        </w:tc>
        <w:tc>
          <w:tcPr>
            <w:tcW w:w="0" w:type="auto"/>
            <w:hideMark/>
          </w:tcPr>
          <w:p w14:paraId="3C8A13BA" w14:textId="77777777" w:rsidR="00D40B06" w:rsidRDefault="00000000">
            <w:pPr>
              <w:jc w:val="center"/>
              <w:rPr>
                <w:b/>
                <w:bCs/>
              </w:rPr>
            </w:pPr>
            <w:r>
              <w:rPr>
                <w:b/>
                <w:bCs/>
              </w:rPr>
              <w:t>Standard error (SE)</w:t>
            </w:r>
          </w:p>
        </w:tc>
        <w:tc>
          <w:tcPr>
            <w:tcW w:w="0" w:type="auto"/>
            <w:hideMark/>
          </w:tcPr>
          <w:p w14:paraId="1823921A" w14:textId="77777777" w:rsidR="00D40B06" w:rsidRDefault="00000000">
            <w:pPr>
              <w:jc w:val="center"/>
              <w:rPr>
                <w:b/>
                <w:bCs/>
              </w:rPr>
            </w:pPr>
            <w:r>
              <w:rPr>
                <w:b/>
                <w:bCs/>
              </w:rPr>
              <w:t>t-value</w:t>
            </w:r>
          </w:p>
        </w:tc>
        <w:tc>
          <w:tcPr>
            <w:tcW w:w="0" w:type="auto"/>
            <w:hideMark/>
          </w:tcPr>
          <w:p w14:paraId="27A8A685" w14:textId="77777777" w:rsidR="00D40B06" w:rsidRDefault="00000000">
            <w:pPr>
              <w:jc w:val="center"/>
              <w:rPr>
                <w:b/>
                <w:bCs/>
              </w:rPr>
            </w:pPr>
            <w:r>
              <w:rPr>
                <w:b/>
                <w:bCs/>
              </w:rPr>
              <w:t>Significance (p)</w:t>
            </w:r>
          </w:p>
        </w:tc>
        <w:tc>
          <w:tcPr>
            <w:tcW w:w="0" w:type="auto"/>
            <w:hideMark/>
          </w:tcPr>
          <w:p w14:paraId="0C090334" w14:textId="77777777" w:rsidR="00D40B06" w:rsidRDefault="00000000">
            <w:pPr>
              <w:jc w:val="center"/>
              <w:rPr>
                <w:b/>
                <w:bCs/>
              </w:rPr>
            </w:pPr>
            <w:r>
              <w:rPr>
                <w:b/>
                <w:bCs/>
              </w:rPr>
              <w:t>Result</w:t>
            </w:r>
          </w:p>
        </w:tc>
      </w:tr>
      <w:tr w:rsidR="00D40B06" w14:paraId="7D37B1DF" w14:textId="77777777">
        <w:tc>
          <w:tcPr>
            <w:tcW w:w="0" w:type="auto"/>
            <w:hideMark/>
          </w:tcPr>
          <w:p w14:paraId="5293D3F1" w14:textId="77777777" w:rsidR="00D40B06" w:rsidRDefault="00000000">
            <w:r>
              <w:t>H1</w:t>
            </w:r>
          </w:p>
        </w:tc>
        <w:tc>
          <w:tcPr>
            <w:tcW w:w="0" w:type="auto"/>
            <w:hideMark/>
          </w:tcPr>
          <w:p w14:paraId="0C36A716" w14:textId="77777777" w:rsidR="00D40B06" w:rsidRDefault="00000000">
            <w:r>
              <w:t>Immersive Experience → Emotional Resonance</w:t>
            </w:r>
          </w:p>
        </w:tc>
        <w:tc>
          <w:tcPr>
            <w:tcW w:w="0" w:type="auto"/>
            <w:hideMark/>
          </w:tcPr>
          <w:p w14:paraId="27B4A500" w14:textId="77777777" w:rsidR="00D40B06" w:rsidRDefault="00000000">
            <w:r>
              <w:t>0.62</w:t>
            </w:r>
          </w:p>
        </w:tc>
        <w:tc>
          <w:tcPr>
            <w:tcW w:w="0" w:type="auto"/>
            <w:hideMark/>
          </w:tcPr>
          <w:p w14:paraId="582AB8B5" w14:textId="77777777" w:rsidR="00D40B06" w:rsidRDefault="00000000">
            <w:r>
              <w:t>0.05</w:t>
            </w:r>
          </w:p>
        </w:tc>
        <w:tc>
          <w:tcPr>
            <w:tcW w:w="0" w:type="auto"/>
            <w:hideMark/>
          </w:tcPr>
          <w:p w14:paraId="79FCCB12" w14:textId="77777777" w:rsidR="00D40B06" w:rsidRDefault="00000000">
            <w:r>
              <w:t>12.40</w:t>
            </w:r>
          </w:p>
        </w:tc>
        <w:tc>
          <w:tcPr>
            <w:tcW w:w="0" w:type="auto"/>
            <w:hideMark/>
          </w:tcPr>
          <w:p w14:paraId="72077124" w14:textId="77777777" w:rsidR="00D40B06" w:rsidRDefault="00000000">
            <w:r>
              <w:t>&lt; 0.001</w:t>
            </w:r>
          </w:p>
        </w:tc>
        <w:tc>
          <w:tcPr>
            <w:tcW w:w="0" w:type="auto"/>
            <w:hideMark/>
          </w:tcPr>
          <w:p w14:paraId="228C58CF" w14:textId="77777777" w:rsidR="00D40B06" w:rsidRDefault="00000000">
            <w:r>
              <w:t>Supported</w:t>
            </w:r>
          </w:p>
        </w:tc>
      </w:tr>
      <w:tr w:rsidR="00D40B06" w14:paraId="101635FE" w14:textId="77777777">
        <w:tc>
          <w:tcPr>
            <w:tcW w:w="0" w:type="auto"/>
            <w:hideMark/>
          </w:tcPr>
          <w:p w14:paraId="5CAFAC73" w14:textId="77777777" w:rsidR="00D40B06" w:rsidRDefault="00000000">
            <w:r>
              <w:t>H2</w:t>
            </w:r>
          </w:p>
        </w:tc>
        <w:tc>
          <w:tcPr>
            <w:tcW w:w="0" w:type="auto"/>
            <w:hideMark/>
          </w:tcPr>
          <w:p w14:paraId="5A779BF5" w14:textId="77777777" w:rsidR="00D40B06" w:rsidRDefault="00000000">
            <w:r>
              <w:t>Emotional Resonance → Cultural Identity</w:t>
            </w:r>
          </w:p>
        </w:tc>
        <w:tc>
          <w:tcPr>
            <w:tcW w:w="0" w:type="auto"/>
            <w:hideMark/>
          </w:tcPr>
          <w:p w14:paraId="39A6DA39" w14:textId="77777777" w:rsidR="00D40B06" w:rsidRDefault="00000000">
            <w:r>
              <w:t>0.57</w:t>
            </w:r>
          </w:p>
        </w:tc>
        <w:tc>
          <w:tcPr>
            <w:tcW w:w="0" w:type="auto"/>
            <w:hideMark/>
          </w:tcPr>
          <w:p w14:paraId="510E9CD7" w14:textId="77777777" w:rsidR="00D40B06" w:rsidRDefault="00000000">
            <w:r>
              <w:t>0.06</w:t>
            </w:r>
          </w:p>
        </w:tc>
        <w:tc>
          <w:tcPr>
            <w:tcW w:w="0" w:type="auto"/>
            <w:hideMark/>
          </w:tcPr>
          <w:p w14:paraId="38A3BFAB" w14:textId="77777777" w:rsidR="00D40B06" w:rsidRDefault="00000000">
            <w:r>
              <w:t>10.02</w:t>
            </w:r>
          </w:p>
        </w:tc>
        <w:tc>
          <w:tcPr>
            <w:tcW w:w="0" w:type="auto"/>
            <w:hideMark/>
          </w:tcPr>
          <w:p w14:paraId="7CFCDB9C" w14:textId="77777777" w:rsidR="00D40B06" w:rsidRDefault="00000000">
            <w:r>
              <w:t>&lt; 0.001</w:t>
            </w:r>
          </w:p>
        </w:tc>
        <w:tc>
          <w:tcPr>
            <w:tcW w:w="0" w:type="auto"/>
            <w:hideMark/>
          </w:tcPr>
          <w:p w14:paraId="0B81DD5F" w14:textId="77777777" w:rsidR="00D40B06" w:rsidRDefault="00000000">
            <w:r>
              <w:t>Supported</w:t>
            </w:r>
          </w:p>
        </w:tc>
      </w:tr>
      <w:tr w:rsidR="00D40B06" w14:paraId="72B312CB" w14:textId="77777777">
        <w:tc>
          <w:tcPr>
            <w:tcW w:w="0" w:type="auto"/>
            <w:hideMark/>
          </w:tcPr>
          <w:p w14:paraId="3F2218C1" w14:textId="77777777" w:rsidR="00D40B06" w:rsidRDefault="00000000">
            <w:r>
              <w:t>H3</w:t>
            </w:r>
          </w:p>
        </w:tc>
        <w:tc>
          <w:tcPr>
            <w:tcW w:w="0" w:type="auto"/>
            <w:hideMark/>
          </w:tcPr>
          <w:p w14:paraId="1A1C88E5" w14:textId="77777777" w:rsidR="00D40B06" w:rsidRDefault="00000000">
            <w:r>
              <w:t>Cultural Identity → Behavioral Intention</w:t>
            </w:r>
          </w:p>
        </w:tc>
        <w:tc>
          <w:tcPr>
            <w:tcW w:w="0" w:type="auto"/>
            <w:hideMark/>
          </w:tcPr>
          <w:p w14:paraId="53BC786E" w14:textId="77777777" w:rsidR="00D40B06" w:rsidRDefault="00000000">
            <w:r>
              <w:t>0.54</w:t>
            </w:r>
          </w:p>
        </w:tc>
        <w:tc>
          <w:tcPr>
            <w:tcW w:w="0" w:type="auto"/>
            <w:hideMark/>
          </w:tcPr>
          <w:p w14:paraId="0064F97E" w14:textId="77777777" w:rsidR="00D40B06" w:rsidRDefault="00000000">
            <w:r>
              <w:t>0.05</w:t>
            </w:r>
          </w:p>
        </w:tc>
        <w:tc>
          <w:tcPr>
            <w:tcW w:w="0" w:type="auto"/>
            <w:hideMark/>
          </w:tcPr>
          <w:p w14:paraId="3CC40EF8" w14:textId="77777777" w:rsidR="00D40B06" w:rsidRDefault="00000000">
            <w:r>
              <w:t>10.80</w:t>
            </w:r>
          </w:p>
        </w:tc>
        <w:tc>
          <w:tcPr>
            <w:tcW w:w="0" w:type="auto"/>
            <w:hideMark/>
          </w:tcPr>
          <w:p w14:paraId="487F22C7" w14:textId="77777777" w:rsidR="00D40B06" w:rsidRDefault="00000000">
            <w:r>
              <w:t>&lt; 0.001</w:t>
            </w:r>
          </w:p>
        </w:tc>
        <w:tc>
          <w:tcPr>
            <w:tcW w:w="0" w:type="auto"/>
            <w:hideMark/>
          </w:tcPr>
          <w:p w14:paraId="5065F69F" w14:textId="77777777" w:rsidR="00D40B06" w:rsidRDefault="00000000">
            <w:r>
              <w:t>Supported</w:t>
            </w:r>
          </w:p>
        </w:tc>
      </w:tr>
      <w:tr w:rsidR="00D40B06" w14:paraId="6561E6F5" w14:textId="77777777">
        <w:tc>
          <w:tcPr>
            <w:tcW w:w="0" w:type="auto"/>
            <w:hideMark/>
          </w:tcPr>
          <w:p w14:paraId="5AE4D833" w14:textId="77777777" w:rsidR="00D40B06" w:rsidRDefault="00000000">
            <w:r>
              <w:t>H4</w:t>
            </w:r>
          </w:p>
        </w:tc>
        <w:tc>
          <w:tcPr>
            <w:tcW w:w="0" w:type="auto"/>
            <w:hideMark/>
          </w:tcPr>
          <w:p w14:paraId="1847104B" w14:textId="77777777" w:rsidR="00D40B06" w:rsidRDefault="00000000">
            <w:r>
              <w:t>Immersive Experience → Cultural Identity (via ER)</w:t>
            </w:r>
          </w:p>
        </w:tc>
        <w:tc>
          <w:tcPr>
            <w:tcW w:w="0" w:type="auto"/>
            <w:hideMark/>
          </w:tcPr>
          <w:p w14:paraId="7948D912" w14:textId="77777777" w:rsidR="00D40B06" w:rsidRDefault="00000000">
            <w:r>
              <w:t>0.35</w:t>
            </w:r>
          </w:p>
        </w:tc>
        <w:tc>
          <w:tcPr>
            <w:tcW w:w="0" w:type="auto"/>
            <w:hideMark/>
          </w:tcPr>
          <w:p w14:paraId="7ABC80D8" w14:textId="77777777" w:rsidR="00D40B06" w:rsidRDefault="00000000">
            <w:r>
              <w:t>0.04</w:t>
            </w:r>
          </w:p>
        </w:tc>
        <w:tc>
          <w:tcPr>
            <w:tcW w:w="0" w:type="auto"/>
            <w:hideMark/>
          </w:tcPr>
          <w:p w14:paraId="2CA7E1AB" w14:textId="77777777" w:rsidR="00D40B06" w:rsidRDefault="00000000">
            <w:r>
              <w:t>8.75</w:t>
            </w:r>
          </w:p>
        </w:tc>
        <w:tc>
          <w:tcPr>
            <w:tcW w:w="0" w:type="auto"/>
            <w:hideMark/>
          </w:tcPr>
          <w:p w14:paraId="3F89390F" w14:textId="77777777" w:rsidR="00D40B06" w:rsidRDefault="00000000">
            <w:r>
              <w:t>&lt; 0.001</w:t>
            </w:r>
          </w:p>
        </w:tc>
        <w:tc>
          <w:tcPr>
            <w:tcW w:w="0" w:type="auto"/>
            <w:hideMark/>
          </w:tcPr>
          <w:p w14:paraId="0E5EC96C" w14:textId="77777777" w:rsidR="00D40B06" w:rsidRDefault="00000000">
            <w:r>
              <w:t>Supported</w:t>
            </w:r>
          </w:p>
        </w:tc>
      </w:tr>
      <w:tr w:rsidR="00D40B06" w14:paraId="392A56D0" w14:textId="77777777">
        <w:tc>
          <w:tcPr>
            <w:tcW w:w="0" w:type="auto"/>
            <w:hideMark/>
          </w:tcPr>
          <w:p w14:paraId="77E64414" w14:textId="77777777" w:rsidR="00D40B06" w:rsidRDefault="00000000">
            <w:r>
              <w:t>H5</w:t>
            </w:r>
          </w:p>
        </w:tc>
        <w:tc>
          <w:tcPr>
            <w:tcW w:w="0" w:type="auto"/>
            <w:hideMark/>
          </w:tcPr>
          <w:p w14:paraId="57CEB5DD" w14:textId="77777777" w:rsidR="00D40B06" w:rsidRDefault="00000000">
            <w:r>
              <w:t>Emotional Resonance → Behavioral Intention (via CI)</w:t>
            </w:r>
          </w:p>
        </w:tc>
        <w:tc>
          <w:tcPr>
            <w:tcW w:w="0" w:type="auto"/>
            <w:hideMark/>
          </w:tcPr>
          <w:p w14:paraId="3023D034" w14:textId="77777777" w:rsidR="00D40B06" w:rsidRDefault="00000000">
            <w:r>
              <w:t>0.31</w:t>
            </w:r>
          </w:p>
        </w:tc>
        <w:tc>
          <w:tcPr>
            <w:tcW w:w="0" w:type="auto"/>
            <w:hideMark/>
          </w:tcPr>
          <w:p w14:paraId="68F72A76" w14:textId="77777777" w:rsidR="00D40B06" w:rsidRDefault="00000000">
            <w:r>
              <w:t>0.05</w:t>
            </w:r>
          </w:p>
        </w:tc>
        <w:tc>
          <w:tcPr>
            <w:tcW w:w="0" w:type="auto"/>
            <w:hideMark/>
          </w:tcPr>
          <w:p w14:paraId="6D24ED52" w14:textId="77777777" w:rsidR="00D40B06" w:rsidRDefault="00000000">
            <w:r>
              <w:t>7.12</w:t>
            </w:r>
          </w:p>
        </w:tc>
        <w:tc>
          <w:tcPr>
            <w:tcW w:w="0" w:type="auto"/>
            <w:hideMark/>
          </w:tcPr>
          <w:p w14:paraId="3CB157AD" w14:textId="77777777" w:rsidR="00D40B06" w:rsidRDefault="00000000">
            <w:r>
              <w:t>&lt; 0.001</w:t>
            </w:r>
          </w:p>
        </w:tc>
        <w:tc>
          <w:tcPr>
            <w:tcW w:w="0" w:type="auto"/>
            <w:hideMark/>
          </w:tcPr>
          <w:p w14:paraId="7A7D6F78" w14:textId="77777777" w:rsidR="00D40B06" w:rsidRDefault="00000000">
            <w:r>
              <w:t>Supported</w:t>
            </w:r>
          </w:p>
        </w:tc>
      </w:tr>
    </w:tbl>
    <w:p w14:paraId="28514BF2" w14:textId="77777777" w:rsidR="00D40B06" w:rsidRDefault="00000000">
      <w:r>
        <w:t xml:space="preserve">Note: Standardized path coefficients (β), standard errors (SE), t-values, and significance </w:t>
      </w:r>
      <w:r>
        <w:lastRenderedPageBreak/>
        <w:t>levels are reported. All hypothesized paths are significant at p &lt; 0.001.</w:t>
      </w:r>
    </w:p>
    <w:p w14:paraId="51DB4959" w14:textId="77777777" w:rsidR="00D40B06" w:rsidRDefault="00D40B06"/>
    <w:p w14:paraId="6499AB47" w14:textId="77777777" w:rsidR="00D40B06" w:rsidRDefault="00000000">
      <w:r>
        <w:t>4.5 Multi-group Analysis (Gender Differences)</w:t>
      </w:r>
    </w:p>
    <w:p w14:paraId="764CBBB9" w14:textId="77777777" w:rsidR="00D40B06" w:rsidRDefault="00000000">
      <w:r>
        <w:t>To examine the moderating role of gender, multi-group structural equation modeling (MGA) was conducted. The sample was divided into male (N = 228) and female (N = 244) groups, and path coefficients were estimated separately. Chi-square difference tests and confidence interval comparisons were then applied to assess whether the relationships differed significantly across gender groups.</w:t>
      </w:r>
    </w:p>
    <w:p w14:paraId="78CAAEDA" w14:textId="77777777" w:rsidR="00D40B06" w:rsidRDefault="00000000">
      <w:r>
        <w:t>The results showed that while most paths were significant in both groups, the strength of certain relationships varied. Specifically, the effect of immersive experience on emotional resonance was stronger among females than males (β = 0.66 vs. 0.58, Δχ² = 5.21, p &lt; 0.05), suggesting that women are more likely to translate immersive experiences into emotional responses. In contrast, the path from emotional resonance to cultural identity did not differ significantly between groups (Δχ² = 1.32, p &gt; 0.05). Meanwhile, the effect of cultural identity on behavioral intention was stronger for males than females (β = 0.59 vs. 0.49, Δχ² = 4.76, p &lt; 0.05), indicating that men rely more on identity mechanisms to sustain behavioral intention.</w:t>
      </w:r>
    </w:p>
    <w:p w14:paraId="12A2CAC6" w14:textId="77777777" w:rsidR="00D40B06" w:rsidRDefault="00000000">
      <w:r>
        <w:t>Overall, gender was found to exert a partial moderating effect on the hypothesized pathways, supporting H6. Detailed results are presented in Table 7 and illustrated in Figure 3.</w:t>
      </w:r>
    </w:p>
    <w:p w14:paraId="0A49BEDD" w14:textId="77777777" w:rsidR="00D40B06" w:rsidRDefault="00000000">
      <w:pPr>
        <w:jc w:val="center"/>
      </w:pPr>
      <w:r>
        <w:rPr>
          <w:rFonts w:hint="eastAsia"/>
        </w:rPr>
        <w:t>（</w:t>
      </w:r>
      <w:r>
        <w:t>Table 7. Multi-group SEM results by gender</w:t>
      </w:r>
      <w:r>
        <w:rPr>
          <w:rFonts w:hint="eastAsia"/>
        </w:rPr>
        <w:t>）</w:t>
      </w:r>
    </w:p>
    <w:tbl>
      <w:tblPr>
        <w:tblStyle w:val="af1"/>
        <w:tblW w:w="0" w:type="auto"/>
        <w:tblLook w:val="04A0" w:firstRow="1" w:lastRow="0" w:firstColumn="1" w:lastColumn="0" w:noHBand="0" w:noVBand="1"/>
      </w:tblPr>
      <w:tblGrid>
        <w:gridCol w:w="1300"/>
        <w:gridCol w:w="2324"/>
        <w:gridCol w:w="785"/>
        <w:gridCol w:w="1006"/>
        <w:gridCol w:w="612"/>
        <w:gridCol w:w="803"/>
        <w:gridCol w:w="1466"/>
      </w:tblGrid>
      <w:tr w:rsidR="00D40B06" w14:paraId="10CA54DF" w14:textId="77777777">
        <w:tc>
          <w:tcPr>
            <w:tcW w:w="0" w:type="auto"/>
            <w:hideMark/>
          </w:tcPr>
          <w:p w14:paraId="4A2BC8DA" w14:textId="77777777" w:rsidR="00D40B06" w:rsidRDefault="00000000">
            <w:pPr>
              <w:jc w:val="center"/>
              <w:rPr>
                <w:b/>
                <w:bCs/>
              </w:rPr>
            </w:pPr>
            <w:r>
              <w:rPr>
                <w:b/>
                <w:bCs/>
              </w:rPr>
              <w:t>Hypothesis</w:t>
            </w:r>
          </w:p>
        </w:tc>
        <w:tc>
          <w:tcPr>
            <w:tcW w:w="0" w:type="auto"/>
            <w:hideMark/>
          </w:tcPr>
          <w:p w14:paraId="0CC51F40" w14:textId="77777777" w:rsidR="00D40B06" w:rsidRDefault="00000000">
            <w:pPr>
              <w:jc w:val="center"/>
              <w:rPr>
                <w:b/>
                <w:bCs/>
              </w:rPr>
            </w:pPr>
            <w:r>
              <w:rPr>
                <w:b/>
                <w:bCs/>
              </w:rPr>
              <w:t>Path</w:t>
            </w:r>
          </w:p>
        </w:tc>
        <w:tc>
          <w:tcPr>
            <w:tcW w:w="0" w:type="auto"/>
            <w:hideMark/>
          </w:tcPr>
          <w:p w14:paraId="014C9BBE" w14:textId="77777777" w:rsidR="00D40B06" w:rsidRDefault="00000000">
            <w:pPr>
              <w:jc w:val="center"/>
              <w:rPr>
                <w:b/>
                <w:bCs/>
              </w:rPr>
            </w:pPr>
            <w:r>
              <w:rPr>
                <w:b/>
                <w:bCs/>
              </w:rPr>
              <w:t>Male (β)</w:t>
            </w:r>
          </w:p>
        </w:tc>
        <w:tc>
          <w:tcPr>
            <w:tcW w:w="0" w:type="auto"/>
            <w:hideMark/>
          </w:tcPr>
          <w:p w14:paraId="72FF720E" w14:textId="77777777" w:rsidR="00D40B06" w:rsidRDefault="00000000">
            <w:pPr>
              <w:jc w:val="center"/>
              <w:rPr>
                <w:b/>
                <w:bCs/>
              </w:rPr>
            </w:pPr>
            <w:r>
              <w:rPr>
                <w:b/>
                <w:bCs/>
              </w:rPr>
              <w:t>Female (β)</w:t>
            </w:r>
          </w:p>
        </w:tc>
        <w:tc>
          <w:tcPr>
            <w:tcW w:w="0" w:type="auto"/>
            <w:hideMark/>
          </w:tcPr>
          <w:p w14:paraId="4CC77F78" w14:textId="77777777" w:rsidR="00D40B06" w:rsidRDefault="00000000">
            <w:pPr>
              <w:jc w:val="center"/>
              <w:rPr>
                <w:b/>
                <w:bCs/>
              </w:rPr>
            </w:pPr>
            <w:r>
              <w:rPr>
                <w:b/>
                <w:bCs/>
              </w:rPr>
              <w:t>Δχ²</w:t>
            </w:r>
          </w:p>
        </w:tc>
        <w:tc>
          <w:tcPr>
            <w:tcW w:w="0" w:type="auto"/>
            <w:hideMark/>
          </w:tcPr>
          <w:p w14:paraId="1C71F1B1" w14:textId="77777777" w:rsidR="00D40B06" w:rsidRDefault="00000000">
            <w:pPr>
              <w:jc w:val="center"/>
              <w:rPr>
                <w:b/>
                <w:bCs/>
              </w:rPr>
            </w:pPr>
            <w:r>
              <w:rPr>
                <w:b/>
                <w:bCs/>
              </w:rPr>
              <w:t>p-value</w:t>
            </w:r>
          </w:p>
        </w:tc>
        <w:tc>
          <w:tcPr>
            <w:tcW w:w="0" w:type="auto"/>
            <w:hideMark/>
          </w:tcPr>
          <w:p w14:paraId="5A51D7A2" w14:textId="77777777" w:rsidR="00D40B06" w:rsidRDefault="00000000">
            <w:pPr>
              <w:jc w:val="center"/>
              <w:rPr>
                <w:b/>
                <w:bCs/>
              </w:rPr>
            </w:pPr>
            <w:r>
              <w:rPr>
                <w:b/>
                <w:bCs/>
              </w:rPr>
              <w:t>Result</w:t>
            </w:r>
          </w:p>
        </w:tc>
      </w:tr>
      <w:tr w:rsidR="00D40B06" w14:paraId="4C5A9303" w14:textId="77777777">
        <w:tc>
          <w:tcPr>
            <w:tcW w:w="0" w:type="auto"/>
            <w:hideMark/>
          </w:tcPr>
          <w:p w14:paraId="3D269B85" w14:textId="77777777" w:rsidR="00D40B06" w:rsidRDefault="00000000">
            <w:r>
              <w:t>H1</w:t>
            </w:r>
          </w:p>
        </w:tc>
        <w:tc>
          <w:tcPr>
            <w:tcW w:w="0" w:type="auto"/>
            <w:hideMark/>
          </w:tcPr>
          <w:p w14:paraId="0D29131D" w14:textId="77777777" w:rsidR="00D40B06" w:rsidRDefault="00000000">
            <w:r>
              <w:t>Immersive Experience → Emotional Resonance</w:t>
            </w:r>
          </w:p>
        </w:tc>
        <w:tc>
          <w:tcPr>
            <w:tcW w:w="0" w:type="auto"/>
            <w:hideMark/>
          </w:tcPr>
          <w:p w14:paraId="7BCEF22F" w14:textId="77777777" w:rsidR="00D40B06" w:rsidRDefault="00000000">
            <w:r>
              <w:t>0.58</w:t>
            </w:r>
          </w:p>
        </w:tc>
        <w:tc>
          <w:tcPr>
            <w:tcW w:w="0" w:type="auto"/>
            <w:hideMark/>
          </w:tcPr>
          <w:p w14:paraId="4D2DED2F" w14:textId="77777777" w:rsidR="00D40B06" w:rsidRDefault="00000000">
            <w:r>
              <w:t>0.66</w:t>
            </w:r>
          </w:p>
        </w:tc>
        <w:tc>
          <w:tcPr>
            <w:tcW w:w="0" w:type="auto"/>
            <w:hideMark/>
          </w:tcPr>
          <w:p w14:paraId="75F10481" w14:textId="77777777" w:rsidR="00D40B06" w:rsidRDefault="00000000">
            <w:r>
              <w:t>5.21</w:t>
            </w:r>
          </w:p>
        </w:tc>
        <w:tc>
          <w:tcPr>
            <w:tcW w:w="0" w:type="auto"/>
            <w:hideMark/>
          </w:tcPr>
          <w:p w14:paraId="3A46C04D" w14:textId="77777777" w:rsidR="00D40B06" w:rsidRDefault="00000000">
            <w:r>
              <w:t>0.023</w:t>
            </w:r>
          </w:p>
        </w:tc>
        <w:tc>
          <w:tcPr>
            <w:tcW w:w="0" w:type="auto"/>
            <w:hideMark/>
          </w:tcPr>
          <w:p w14:paraId="474C11FB" w14:textId="77777777" w:rsidR="00D40B06" w:rsidRDefault="00000000">
            <w:r>
              <w:t>Significant difference</w:t>
            </w:r>
          </w:p>
        </w:tc>
      </w:tr>
      <w:tr w:rsidR="00D40B06" w14:paraId="13273818" w14:textId="77777777">
        <w:tc>
          <w:tcPr>
            <w:tcW w:w="0" w:type="auto"/>
            <w:hideMark/>
          </w:tcPr>
          <w:p w14:paraId="49C6C935" w14:textId="77777777" w:rsidR="00D40B06" w:rsidRDefault="00000000">
            <w:r>
              <w:t>H2</w:t>
            </w:r>
          </w:p>
        </w:tc>
        <w:tc>
          <w:tcPr>
            <w:tcW w:w="0" w:type="auto"/>
            <w:hideMark/>
          </w:tcPr>
          <w:p w14:paraId="6A21DE67" w14:textId="77777777" w:rsidR="00D40B06" w:rsidRDefault="00000000">
            <w:r>
              <w:t>Emotional Resonance → Cultural Identity</w:t>
            </w:r>
          </w:p>
        </w:tc>
        <w:tc>
          <w:tcPr>
            <w:tcW w:w="0" w:type="auto"/>
            <w:hideMark/>
          </w:tcPr>
          <w:p w14:paraId="305E01B1" w14:textId="77777777" w:rsidR="00D40B06" w:rsidRDefault="00000000">
            <w:r>
              <w:t>0.55</w:t>
            </w:r>
          </w:p>
        </w:tc>
        <w:tc>
          <w:tcPr>
            <w:tcW w:w="0" w:type="auto"/>
            <w:hideMark/>
          </w:tcPr>
          <w:p w14:paraId="2173A8D6" w14:textId="77777777" w:rsidR="00D40B06" w:rsidRDefault="00000000">
            <w:r>
              <w:t>0.59</w:t>
            </w:r>
          </w:p>
        </w:tc>
        <w:tc>
          <w:tcPr>
            <w:tcW w:w="0" w:type="auto"/>
            <w:hideMark/>
          </w:tcPr>
          <w:p w14:paraId="6D20E2CB" w14:textId="77777777" w:rsidR="00D40B06" w:rsidRDefault="00000000">
            <w:r>
              <w:t>1.32</w:t>
            </w:r>
          </w:p>
        </w:tc>
        <w:tc>
          <w:tcPr>
            <w:tcW w:w="0" w:type="auto"/>
            <w:hideMark/>
          </w:tcPr>
          <w:p w14:paraId="21A989C6" w14:textId="77777777" w:rsidR="00D40B06" w:rsidRDefault="00000000">
            <w:r>
              <w:t>0.251</w:t>
            </w:r>
          </w:p>
        </w:tc>
        <w:tc>
          <w:tcPr>
            <w:tcW w:w="0" w:type="auto"/>
            <w:hideMark/>
          </w:tcPr>
          <w:p w14:paraId="0017265C" w14:textId="77777777" w:rsidR="00D40B06" w:rsidRDefault="00000000">
            <w:r>
              <w:t>Not significant</w:t>
            </w:r>
          </w:p>
        </w:tc>
      </w:tr>
      <w:tr w:rsidR="00D40B06" w14:paraId="6F3FDB3D" w14:textId="77777777">
        <w:tc>
          <w:tcPr>
            <w:tcW w:w="0" w:type="auto"/>
            <w:hideMark/>
          </w:tcPr>
          <w:p w14:paraId="629FABB0" w14:textId="77777777" w:rsidR="00D40B06" w:rsidRDefault="00000000">
            <w:r>
              <w:t>H3</w:t>
            </w:r>
          </w:p>
        </w:tc>
        <w:tc>
          <w:tcPr>
            <w:tcW w:w="0" w:type="auto"/>
            <w:hideMark/>
          </w:tcPr>
          <w:p w14:paraId="228A6490" w14:textId="77777777" w:rsidR="00D40B06" w:rsidRDefault="00000000">
            <w:r>
              <w:t>Cultural Identity → Behavioral Intention</w:t>
            </w:r>
          </w:p>
        </w:tc>
        <w:tc>
          <w:tcPr>
            <w:tcW w:w="0" w:type="auto"/>
            <w:hideMark/>
          </w:tcPr>
          <w:p w14:paraId="32409F9C" w14:textId="77777777" w:rsidR="00D40B06" w:rsidRDefault="00000000">
            <w:r>
              <w:t>0.59</w:t>
            </w:r>
          </w:p>
        </w:tc>
        <w:tc>
          <w:tcPr>
            <w:tcW w:w="0" w:type="auto"/>
            <w:hideMark/>
          </w:tcPr>
          <w:p w14:paraId="7437FF75" w14:textId="77777777" w:rsidR="00D40B06" w:rsidRDefault="00000000">
            <w:r>
              <w:t>0.49</w:t>
            </w:r>
          </w:p>
        </w:tc>
        <w:tc>
          <w:tcPr>
            <w:tcW w:w="0" w:type="auto"/>
            <w:hideMark/>
          </w:tcPr>
          <w:p w14:paraId="235018E7" w14:textId="77777777" w:rsidR="00D40B06" w:rsidRDefault="00000000">
            <w:r>
              <w:t>4.76</w:t>
            </w:r>
          </w:p>
        </w:tc>
        <w:tc>
          <w:tcPr>
            <w:tcW w:w="0" w:type="auto"/>
            <w:hideMark/>
          </w:tcPr>
          <w:p w14:paraId="52D810E3" w14:textId="77777777" w:rsidR="00D40B06" w:rsidRDefault="00000000">
            <w:r>
              <w:t>0.029</w:t>
            </w:r>
          </w:p>
        </w:tc>
        <w:tc>
          <w:tcPr>
            <w:tcW w:w="0" w:type="auto"/>
            <w:hideMark/>
          </w:tcPr>
          <w:p w14:paraId="460CAC6E" w14:textId="77777777" w:rsidR="00D40B06" w:rsidRDefault="00000000">
            <w:r>
              <w:t>Significant difference</w:t>
            </w:r>
          </w:p>
        </w:tc>
      </w:tr>
      <w:tr w:rsidR="00D40B06" w14:paraId="47970BC8" w14:textId="77777777">
        <w:tc>
          <w:tcPr>
            <w:tcW w:w="0" w:type="auto"/>
            <w:hideMark/>
          </w:tcPr>
          <w:p w14:paraId="7FCAA6D9" w14:textId="77777777" w:rsidR="00D40B06" w:rsidRDefault="00000000">
            <w:r>
              <w:t>H4</w:t>
            </w:r>
          </w:p>
        </w:tc>
        <w:tc>
          <w:tcPr>
            <w:tcW w:w="0" w:type="auto"/>
            <w:hideMark/>
          </w:tcPr>
          <w:p w14:paraId="1C6FBE0F" w14:textId="77777777" w:rsidR="00D40B06" w:rsidRDefault="00000000">
            <w:r>
              <w:t>Immersive Experience → Cultural Identity (via ER)</w:t>
            </w:r>
          </w:p>
        </w:tc>
        <w:tc>
          <w:tcPr>
            <w:tcW w:w="0" w:type="auto"/>
            <w:hideMark/>
          </w:tcPr>
          <w:p w14:paraId="05DAF63B" w14:textId="77777777" w:rsidR="00D40B06" w:rsidRDefault="00000000">
            <w:r>
              <w:t>0.33</w:t>
            </w:r>
          </w:p>
        </w:tc>
        <w:tc>
          <w:tcPr>
            <w:tcW w:w="0" w:type="auto"/>
            <w:hideMark/>
          </w:tcPr>
          <w:p w14:paraId="3C24F26D" w14:textId="77777777" w:rsidR="00D40B06" w:rsidRDefault="00000000">
            <w:r>
              <w:t>0.36</w:t>
            </w:r>
          </w:p>
        </w:tc>
        <w:tc>
          <w:tcPr>
            <w:tcW w:w="0" w:type="auto"/>
            <w:hideMark/>
          </w:tcPr>
          <w:p w14:paraId="707513E4" w14:textId="77777777" w:rsidR="00D40B06" w:rsidRDefault="00000000">
            <w:r>
              <w:t>0.97</w:t>
            </w:r>
          </w:p>
        </w:tc>
        <w:tc>
          <w:tcPr>
            <w:tcW w:w="0" w:type="auto"/>
            <w:hideMark/>
          </w:tcPr>
          <w:p w14:paraId="5688F8EE" w14:textId="77777777" w:rsidR="00D40B06" w:rsidRDefault="00000000">
            <w:r>
              <w:t>0.325</w:t>
            </w:r>
          </w:p>
        </w:tc>
        <w:tc>
          <w:tcPr>
            <w:tcW w:w="0" w:type="auto"/>
            <w:hideMark/>
          </w:tcPr>
          <w:p w14:paraId="5FC299E7" w14:textId="77777777" w:rsidR="00D40B06" w:rsidRDefault="00000000">
            <w:r>
              <w:t>Not significant</w:t>
            </w:r>
          </w:p>
        </w:tc>
      </w:tr>
      <w:tr w:rsidR="00D40B06" w14:paraId="1787CF10" w14:textId="77777777">
        <w:tc>
          <w:tcPr>
            <w:tcW w:w="0" w:type="auto"/>
            <w:hideMark/>
          </w:tcPr>
          <w:p w14:paraId="08ABE1D5" w14:textId="77777777" w:rsidR="00D40B06" w:rsidRDefault="00000000">
            <w:r>
              <w:t>H5</w:t>
            </w:r>
          </w:p>
        </w:tc>
        <w:tc>
          <w:tcPr>
            <w:tcW w:w="0" w:type="auto"/>
            <w:hideMark/>
          </w:tcPr>
          <w:p w14:paraId="45036A9E" w14:textId="77777777" w:rsidR="00D40B06" w:rsidRDefault="00000000">
            <w:r>
              <w:t>Emotional Resonance → Behavioral Intention (via CI)</w:t>
            </w:r>
          </w:p>
        </w:tc>
        <w:tc>
          <w:tcPr>
            <w:tcW w:w="0" w:type="auto"/>
            <w:hideMark/>
          </w:tcPr>
          <w:p w14:paraId="2F1DF8C1" w14:textId="77777777" w:rsidR="00D40B06" w:rsidRDefault="00000000">
            <w:r>
              <w:t>0.30</w:t>
            </w:r>
          </w:p>
        </w:tc>
        <w:tc>
          <w:tcPr>
            <w:tcW w:w="0" w:type="auto"/>
            <w:hideMark/>
          </w:tcPr>
          <w:p w14:paraId="2BDCD749" w14:textId="77777777" w:rsidR="00D40B06" w:rsidRDefault="00000000">
            <w:r>
              <w:t>0.32</w:t>
            </w:r>
          </w:p>
        </w:tc>
        <w:tc>
          <w:tcPr>
            <w:tcW w:w="0" w:type="auto"/>
            <w:hideMark/>
          </w:tcPr>
          <w:p w14:paraId="523BD6D2" w14:textId="77777777" w:rsidR="00D40B06" w:rsidRDefault="00000000">
            <w:r>
              <w:t>0.85</w:t>
            </w:r>
          </w:p>
        </w:tc>
        <w:tc>
          <w:tcPr>
            <w:tcW w:w="0" w:type="auto"/>
            <w:hideMark/>
          </w:tcPr>
          <w:p w14:paraId="5CAD252E" w14:textId="77777777" w:rsidR="00D40B06" w:rsidRDefault="00000000">
            <w:r>
              <w:t>0.357</w:t>
            </w:r>
          </w:p>
        </w:tc>
        <w:tc>
          <w:tcPr>
            <w:tcW w:w="0" w:type="auto"/>
            <w:hideMark/>
          </w:tcPr>
          <w:p w14:paraId="79784F51" w14:textId="77777777" w:rsidR="00D40B06" w:rsidRDefault="00000000">
            <w:r>
              <w:t>Not significant</w:t>
            </w:r>
          </w:p>
        </w:tc>
      </w:tr>
    </w:tbl>
    <w:p w14:paraId="501F5D39" w14:textId="77777777" w:rsidR="00D40B06" w:rsidRDefault="00000000">
      <w:r>
        <w:t xml:space="preserve">Note: Standardized path coefficients are reported separately for male and female </w:t>
      </w:r>
      <w:r>
        <w:lastRenderedPageBreak/>
        <w:t>groups. Δχ² and p-values represent the significance of gender-based differences.</w:t>
      </w:r>
    </w:p>
    <w:p w14:paraId="5E482753" w14:textId="77777777" w:rsidR="00D40B06" w:rsidRDefault="00000000">
      <w:pPr>
        <w:jc w:val="center"/>
      </w:pPr>
      <w:r>
        <w:rPr>
          <w:noProof/>
        </w:rPr>
        <w:drawing>
          <wp:anchor distT="0" distB="0" distL="0" distR="0" simplePos="0" relativeHeight="2" behindDoc="0" locked="0" layoutInCell="1" allowOverlap="1" wp14:anchorId="7C6E8C11" wp14:editId="38005127">
            <wp:simplePos x="0" y="0"/>
            <wp:positionH relativeFrom="column">
              <wp:posOffset>334107</wp:posOffset>
            </wp:positionH>
            <wp:positionV relativeFrom="paragraph">
              <wp:posOffset>330050</wp:posOffset>
            </wp:positionV>
            <wp:extent cx="3747588" cy="2497421"/>
            <wp:effectExtent l="0" t="0" r="5715" b="0"/>
            <wp:wrapTopAndBottom/>
            <wp:docPr id="10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9" cstate="print"/>
                    <a:srcRect/>
                    <a:stretch/>
                  </pic:blipFill>
                  <pic:spPr>
                    <a:xfrm>
                      <a:off x="0" y="0"/>
                      <a:ext cx="3747588" cy="2497421"/>
                    </a:xfrm>
                    <a:prstGeom prst="rect">
                      <a:avLst/>
                    </a:prstGeom>
                  </pic:spPr>
                </pic:pic>
              </a:graphicData>
            </a:graphic>
            <wp14:sizeRelH relativeFrom="margin">
              <wp14:pctWidth>0</wp14:pctWidth>
            </wp14:sizeRelH>
            <wp14:sizeRelV relativeFrom="margin">
              <wp14:pctHeight>0</wp14:pctHeight>
            </wp14:sizeRelV>
          </wp:anchor>
        </w:drawing>
      </w:r>
    </w:p>
    <w:p w14:paraId="11199045" w14:textId="77777777" w:rsidR="00D40B06" w:rsidRDefault="00000000">
      <w:pPr>
        <w:jc w:val="center"/>
      </w:pPr>
      <w:r>
        <w:rPr>
          <w:rFonts w:hint="eastAsia"/>
        </w:rPr>
        <w:t>（</w:t>
      </w:r>
      <w:r>
        <w:t>Figure 3. Multi-group SEM results by gender</w:t>
      </w:r>
      <w:r>
        <w:rPr>
          <w:rFonts w:hint="eastAsia"/>
        </w:rPr>
        <w:t>）</w:t>
      </w:r>
    </w:p>
    <w:p w14:paraId="1CC056E0" w14:textId="77777777" w:rsidR="00D40B06" w:rsidRDefault="00000000">
      <w:r>
        <w:t>Note: Standardized path coefficients are reported separately for male and female groups. Solid lines represent significant relationships, while dashed lines indicate nonsignificant relationships.</w:t>
      </w:r>
    </w:p>
    <w:p w14:paraId="19D17E82" w14:textId="77777777" w:rsidR="00D40B06" w:rsidRDefault="00D40B06"/>
    <w:p w14:paraId="14EEFE5F" w14:textId="77777777" w:rsidR="00D40B06" w:rsidRDefault="00000000">
      <w:pPr>
        <w:rPr>
          <w:b/>
          <w:bCs/>
        </w:rPr>
      </w:pPr>
      <w:r>
        <w:rPr>
          <w:rFonts w:hint="eastAsia"/>
          <w:b/>
          <w:bCs/>
        </w:rPr>
        <w:t>5 Discussion</w:t>
      </w:r>
    </w:p>
    <w:p w14:paraId="292F90AE" w14:textId="787080CD" w:rsidR="008325BE" w:rsidRDefault="008325BE" w:rsidP="008325BE">
      <w:r>
        <w:t>5.1 Key Findings</w:t>
      </w:r>
    </w:p>
    <w:p w14:paraId="20CE1BB6" w14:textId="77777777" w:rsidR="008325BE" w:rsidRDefault="008325BE" w:rsidP="008325BE">
      <w:r>
        <w:t>Drawing on the structural equation modeling results, this study examined the causal relationships among immersive experience, emotional resonance, cultural identity, and behavioral intention, with a particular focus on gender differences. The main findings can be summarized as follows:</w:t>
      </w:r>
    </w:p>
    <w:p w14:paraId="782203BC" w14:textId="77777777" w:rsidR="008325BE" w:rsidRDefault="008325BE" w:rsidP="008325BE">
      <w:r>
        <w:t>First, immersive experience was found to have a significant positive effect on emotional resonance, indicating that highly immersive cultural settings effectively trigger emotional responses among young audiences. This result is consistent with prior research on psychological engagement and confirms the central role of immersive design in cultural tourism.</w:t>
      </w:r>
    </w:p>
    <w:p w14:paraId="2336988C" w14:textId="68B4BAD6" w:rsidR="008325BE" w:rsidRDefault="008325BE" w:rsidP="008325BE">
      <w:r>
        <w:t xml:space="preserve">Second, emotional resonance significantly promoted cultural identity, which in turn enhanced behavioral intention. This suggests that emotion functions as a bridge between cultural experience and identity, while identity serves as a key psychological mechanism driving sustained participation and consumption. The findings provide new evidence on how cultural experiences translate into both long-term cultural </w:t>
      </w:r>
      <w:r>
        <w:lastRenderedPageBreak/>
        <w:t>engagement and extended forms of digital participation among Generation Z.</w:t>
      </w:r>
    </w:p>
    <w:p w14:paraId="0086F3AD" w14:textId="77777777" w:rsidR="008325BE" w:rsidRDefault="008325BE" w:rsidP="008325BE">
      <w:r>
        <w:t>Third, gender differences were observed in specific pathways. Females were more likely to translate immersive experiences into emotional responses, whereas males relied more on cultural identity to sustain behavioral intention. This highlights the differentiated roles of gender within the experience–emotion–identity–behavior chain, reinforcing the value of multi-group analysis.</w:t>
      </w:r>
    </w:p>
    <w:p w14:paraId="74F401BF" w14:textId="0CEC84F1" w:rsidR="00D40B06" w:rsidRDefault="008325BE">
      <w:r>
        <w:t>In sum, the study not only validates the theoretical pathway of “Immersive Experience → Emotional Resonance → Cultural Identity → Behavioral Intention,” but also emphasizes the heterogeneity of gender effects and acknowledges the expansion of behavioral intention into digital contexts, laying a solid foundation for the subsequent discussion.</w:t>
      </w:r>
    </w:p>
    <w:p w14:paraId="4FF3EF40" w14:textId="77777777" w:rsidR="00D40B06" w:rsidRDefault="00D40B06"/>
    <w:p w14:paraId="5C2E559F" w14:textId="77777777" w:rsidR="00D40B06" w:rsidRDefault="00000000">
      <w:r>
        <w:t>5.2 Theoretical Implications</w:t>
      </w:r>
    </w:p>
    <w:p w14:paraId="789799C3" w14:textId="77777777" w:rsidR="00D40B06" w:rsidRDefault="00000000">
      <w:r>
        <w:t>The findings of this study yield several important theoretical contributions.</w:t>
      </w:r>
    </w:p>
    <w:p w14:paraId="6AF2C858" w14:textId="77777777" w:rsidR="00D40B06" w:rsidRDefault="00000000">
      <w:r>
        <w:t>First, the study validates and extends the Experience Economy framework. While the theory emphasizes the shift of value creation from goods and services to experiences, prior research has predominantly focused on hedonic enjoyment and satisfaction, with limited attention to the mechanisms leading to long-term behavioral outcomes. By testing the full pathway—Immersive Experience → Emotional Resonance → Cultural Identity → Behavioral Intention—this study demonstrates how experiences evolve into sustained intentions through emotional and identity mechanisms, thereby enhancing the explanatory power of the Experience Economy in cultural tourism contexts.</w:t>
      </w:r>
    </w:p>
    <w:p w14:paraId="7EFCD791" w14:textId="77777777" w:rsidR="00D40B06" w:rsidRDefault="00000000">
      <w:r>
        <w:t>Second, the study broadens the application of Social Identity Theory. Although the theory highlights identity construction through group affiliation and cultural symbols, the emotional processes underpinning identity formation have often been overlooked in cultural tourism research. The results confirm that emotional resonance serves as a precursor to cultural identity, which in turn becomes a critical driver of sustained cultural participation. This provides new evidence on the dynamic interplay between experience, emotion, and identity.</w:t>
      </w:r>
    </w:p>
    <w:p w14:paraId="44E6E2C4" w14:textId="77777777" w:rsidR="00D40B06" w:rsidRDefault="00000000">
      <w:r>
        <w:t xml:space="preserve">Third, the study offers novel insights into gender differences. Whereas previous studies typically treated gender as a control variable, this study employed multi-group SEM analysis to uncover meaningful heterogeneity. The results show that females are more likely to translate immersive experiences into emotional responses, while males rely more on identity mechanisms to sustain behavioral intention. This not only addresses calls in the literature for a deeper examination of gender but also enriches both Social </w:t>
      </w:r>
      <w:r>
        <w:lastRenderedPageBreak/>
        <w:t>Identity Theory and the Experience Economy by introducing a gendered perspective.</w:t>
      </w:r>
    </w:p>
    <w:p w14:paraId="6896543D" w14:textId="77777777" w:rsidR="00D40B06" w:rsidRDefault="00000000">
      <w:r>
        <w:t>In sum, by modeling the integrated experience–emotion–identity–behavior chain and incorporating gender as a moderating factor, this study fills key gaps in the literature and provides a fresh theoretical lens for future research.</w:t>
      </w:r>
    </w:p>
    <w:p w14:paraId="6A2A9C99" w14:textId="77777777" w:rsidR="00D40B06" w:rsidRDefault="00D40B06"/>
    <w:p w14:paraId="7FC67DC2" w14:textId="77777777" w:rsidR="00D40B06" w:rsidRDefault="00000000">
      <w:r>
        <w:t>5.3 Practical Implications</w:t>
      </w:r>
    </w:p>
    <w:p w14:paraId="21A1F74B" w14:textId="08C16A0D" w:rsidR="00BD02E3" w:rsidRDefault="00BD02E3" w:rsidP="00BD02E3">
      <w:r>
        <w:t>The findings of this study also provide several actionable implications for cultural tourism and the creative industries.</w:t>
      </w:r>
    </w:p>
    <w:p w14:paraId="5D98B96F" w14:textId="77777777" w:rsidR="00BD02E3" w:rsidRDefault="00BD02E3" w:rsidP="00BD02E3">
      <w:r>
        <w:t>First, the results highlight the pivotal role of immersive experience design. Immersive settings effectively trigger emotional resonance, which subsequently fosters cultural identity and sustained behavioral intention. For cultural tourism operators, museums, and heritage managers, this underscores the importance of integrating multisensory interaction, narrative-driven storytelling, and contextual reconstruction. The use of technologies such as virtual reality (VR), augmented reality (AR), and immersive performances can significantly enhance presence and psychological engagement.</w:t>
      </w:r>
    </w:p>
    <w:p w14:paraId="01597353" w14:textId="4BE0C3B9" w:rsidR="00BD02E3" w:rsidRDefault="00BD02E3" w:rsidP="00BD02E3">
      <w:r>
        <w:t>Second, the study underscores the practical significance of emotional and identity mechanisms. Emotional resonance is not merely an immediate affective reaction but a bridge to cultural identity and long-term engagement. This implies that cultural communication strategies should move beyond presenting cultural elements alone to incorporating symbolic narratives, storytelling, and interactive activities that elicit emotional alignment and foster identity incorporation.</w:t>
      </w:r>
    </w:p>
    <w:p w14:paraId="5FA9E442" w14:textId="77777777" w:rsidR="00BD02E3" w:rsidRDefault="00BD02E3" w:rsidP="00BD02E3">
      <w:r>
        <w:t>Third, the study demonstrates the importance of gender-sensitive strategies. Women are more likely to translate immersive experiences into emotional responses, while men rely more heavily on cultural identity to sustain behavioral intention. This suggests that cultural and tourism industries should adopt differentiated strategies. Experiences targeting female audiences may benefit from emphasizing emotional expression and interactive atmosphere, whereas those targeting male audiences could highlight cultural values, identity reinforcement, and collective belonging. Such gender-sensitive approaches enhance market segmentation and customer loyalty.</w:t>
      </w:r>
    </w:p>
    <w:p w14:paraId="13A69F28" w14:textId="77777777" w:rsidR="00BD02E3" w:rsidRDefault="00BD02E3" w:rsidP="00BD02E3"/>
    <w:p w14:paraId="39A69AF8" w14:textId="7A34850A" w:rsidR="00D40B06" w:rsidRDefault="00BD02E3">
      <w:r>
        <w:t xml:space="preserve">Finally, the study offers implications for cultural sustainability. By combining immersive experience with identity-building mechanisms, younger generations can shift from being mere “spectators” to becoming “practitioners and transmitters” of culture. Importantly, the findings also suggest that behavioral intentions among Generation Z </w:t>
      </w:r>
      <w:r>
        <w:lastRenderedPageBreak/>
        <w:t>extend beyond physical tourism settings to include digital platforms and online learning environments. Policymakers and creative enterprises should therefore leverage both offline immersive design and digital engagement strategies to ensure the sustainable use and intergenerational transmission of cultural resources.</w:t>
      </w:r>
    </w:p>
    <w:p w14:paraId="4793F34F" w14:textId="77777777" w:rsidR="00D40B06" w:rsidRDefault="00D40B06"/>
    <w:p w14:paraId="11EA0807" w14:textId="77777777" w:rsidR="00D40B06" w:rsidRDefault="00000000">
      <w:r>
        <w:t>5.4 Limitations and Future Research Directions</w:t>
      </w:r>
    </w:p>
    <w:p w14:paraId="5A429E5A" w14:textId="77777777" w:rsidR="00D40B06" w:rsidRDefault="00000000">
      <w:r>
        <w:t>Despite the theoretical and practical contributions, this study is not without limitations, which point to several avenues for future research.</w:t>
      </w:r>
    </w:p>
    <w:p w14:paraId="48C1CA2C" w14:textId="77777777" w:rsidR="00D40B06" w:rsidRDefault="00000000">
      <w:r>
        <w:t>First, sample scope. The study focused on China’s Generation Z, with respondents primarily recruited from universities and cultural venues. While representative of the target group, this limits the generalizability of findings across regions and populations. Future research should expand the sample to include cross-regional and cross-cultural comparisons to enhance external validity.</w:t>
      </w:r>
    </w:p>
    <w:p w14:paraId="4D75CDE7" w14:textId="77777777" w:rsidR="00D40B06" w:rsidRDefault="00000000">
      <w:r>
        <w:t>Second, methodological limitations. The study employed a survey-based quantitative design and structural equation modeling, which effectively captures causal relationships but may overlook nuanced dynamics. Future research could incorporate qualitative methods, such as interviews or participant observation, to provide richer insights into the mechanisms of immersion and identity formation.</w:t>
      </w:r>
    </w:p>
    <w:p w14:paraId="3B69018B" w14:textId="77777777" w:rsidR="00D40B06" w:rsidRDefault="00000000">
      <w:r>
        <w:t>Third, limited variable scope. The research centered on immersive experience, emotional resonance, cultural identity, and behavioral intention, while excluding other potentially important factors such as cultural values, social capital, or the role of digital media. Future studies may extend the framework by integrating these variables to build a more comprehensive model.</w:t>
      </w:r>
    </w:p>
    <w:p w14:paraId="466CF72E" w14:textId="77777777" w:rsidR="00D40B06" w:rsidRDefault="00000000">
      <w:r>
        <w:t>Fourth, time dimension. As a cross-sectional study, the data reflect relationships at a single point in time. Longitudinal designs would allow future research to examine how immersive experience, identity, and behavior evolve over time, thereby offering stronger evidence for causal mechanisms.</w:t>
      </w:r>
    </w:p>
    <w:p w14:paraId="5D5376B4" w14:textId="77777777" w:rsidR="00D40B06" w:rsidRDefault="00000000">
      <w:r>
        <w:t>In sum, while this study provides a novel perspective on how immersive experiences shape cultural behavior through emotion and identity, further research is needed to broaden its scope, enrich its methods, and deepen its temporal insights.</w:t>
      </w:r>
    </w:p>
    <w:p w14:paraId="65FDACCF" w14:textId="77777777" w:rsidR="00D40B06" w:rsidRDefault="00D40B06"/>
    <w:p w14:paraId="2DA7DBA6" w14:textId="77777777" w:rsidR="00D40B06" w:rsidRDefault="00000000">
      <w:pPr>
        <w:rPr>
          <w:b/>
          <w:bCs/>
        </w:rPr>
      </w:pPr>
      <w:r>
        <w:rPr>
          <w:b/>
          <w:bCs/>
        </w:rPr>
        <w:t>6 Conclusion</w:t>
      </w:r>
    </w:p>
    <w:p w14:paraId="7AA5C1D3" w14:textId="3F0E17B4" w:rsidR="00283333" w:rsidRDefault="00283333" w:rsidP="00283333">
      <w:r>
        <w:t xml:space="preserve">This study investigated China’s Generation Z by constructing and validating a pathway </w:t>
      </w:r>
      <w:r>
        <w:lastRenderedPageBreak/>
        <w:t>model of “Immersive Experience → Emotional Resonance → Cultural Identity → Behavioral Intention,” while also examining gender differences through multi-group analysis. Based on 472 valid responses, the empirical results confirmed that immersive experiences significantly enhance emotional resonance, which in turn fosters cultural identity, ultimately driving behavioral intention. Moreover, gender was found to play a moderating role: females were more likely to translate immersive experiences into emotional responses, whereas males relied more on cultural identity to sustain behavioral intention.</w:t>
      </w:r>
    </w:p>
    <w:p w14:paraId="446D12D3" w14:textId="2F357E7F" w:rsidR="00283333" w:rsidRDefault="00283333" w:rsidP="00283333">
      <w:r>
        <w:t>The contributions of this study are threefold. First, it validates and extends the applicability of the Experience Economy and Social Identity Theory within the domain of cultural tourism. Second, it uncovers the bridging role of emotion and identity in the formation of cultural behavior. Third, it highlights the importance of gender differences within the experience–emotion–identity–behavior chain, offering fresh insights for both scholarship and practice.</w:t>
      </w:r>
    </w:p>
    <w:p w14:paraId="3FB727F5" w14:textId="324292FF" w:rsidR="00283333" w:rsidRDefault="00283333" w:rsidP="00283333">
      <w:r>
        <w:t>In practical terms, the findings suggest that cultural tourism and creative industries should emphasize immersive experience and emotional resonance in product design and marketing, while also adopting gender-sensitive strategies to enhance participation and loyalty. Importantly, the results also indicate that behavioral intention among Generation Z extends beyond on-site cultural tourism to include digital participation and online learning platforms, underscoring the need for integrated offline and online engagement strategies. Theoretically, the study provides a novel lens for understanding the cultural consumption logic of Generation Z.</w:t>
      </w:r>
    </w:p>
    <w:p w14:paraId="455411C8" w14:textId="7084BC37" w:rsidR="00D40B06" w:rsidRDefault="00283333">
      <w:r>
        <w:t>Overall, this research enriches the theoretical landscape of cultural tourism and offers practical references for experience design and cultural sustainability, underscoring the central role of experience, emotion, identity, and digital participation in promoting cultural transmission and innovation.</w:t>
      </w:r>
    </w:p>
    <w:p w14:paraId="453B0C88" w14:textId="77777777" w:rsidR="00D40B06" w:rsidRDefault="00D40B06"/>
    <w:p w14:paraId="055CA64F" w14:textId="77777777" w:rsidR="00D40B06" w:rsidRDefault="00D40B06"/>
    <w:p w14:paraId="4E64E390" w14:textId="77777777" w:rsidR="00D40B06" w:rsidRDefault="00000000">
      <w:pPr>
        <w:widowControl/>
        <w:spacing w:after="200" w:line="276" w:lineRule="auto"/>
        <w:jc w:val="both"/>
        <w:outlineLvl w:val="0"/>
        <w:rPr>
          <w:rFonts w:ascii="Arial" w:eastAsia="Times New Roman" w:hAnsi="Arial" w:cs="Arial"/>
          <w:kern w:val="0"/>
          <w:szCs w:val="22"/>
          <w:lang w:val="en-GB" w:eastAsia="en-GB"/>
          <w14:ligatures w14:val="none"/>
        </w:rPr>
      </w:pPr>
      <w:r>
        <w:rPr>
          <w:rFonts w:ascii="Arial" w:eastAsia="Times New Roman" w:hAnsi="Arial" w:cs="Arial"/>
          <w:b/>
          <w:bCs/>
          <w:kern w:val="0"/>
          <w:szCs w:val="22"/>
          <w:lang w:val="en-GB" w:eastAsia="en-GB"/>
          <w14:ligatures w14:val="none"/>
        </w:rPr>
        <w:t>COMPETING INTERESTS DISCLAIMER:</w:t>
      </w:r>
    </w:p>
    <w:p w14:paraId="0F7AF45E" w14:textId="77777777" w:rsidR="00D40B06" w:rsidRDefault="00000000">
      <w:pPr>
        <w:widowControl/>
        <w:spacing w:after="200" w:line="276" w:lineRule="auto"/>
        <w:rPr>
          <w:rFonts w:ascii="Calibri" w:eastAsia="Times New Roman" w:hAnsi="Calibri" w:cs="Times New Roman"/>
          <w:kern w:val="0"/>
          <w:szCs w:val="22"/>
          <w:lang w:val="en-GB" w:eastAsia="en-GB"/>
          <w14:ligatures w14:val="none"/>
        </w:rPr>
      </w:pPr>
      <w:r>
        <w:rPr>
          <w:rFonts w:ascii="Calibri" w:eastAsia="Times New Roman" w:hAnsi="Calibri" w:cs="Times New Roman"/>
          <w:kern w:val="0"/>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AFD6095" w14:textId="77777777" w:rsidR="00D40B06" w:rsidRDefault="00D40B06">
      <w:pPr>
        <w:rPr>
          <w:rFonts w:ascii="Calibri" w:eastAsia="Calibri" w:hAnsi="Calibri" w:cs="Times New Roman"/>
          <w:highlight w:val="yellow"/>
        </w:rPr>
      </w:pPr>
      <w:bookmarkStart w:id="0" w:name="_Hlk180402183"/>
      <w:bookmarkStart w:id="1" w:name="_Hlk183680988"/>
      <w:bookmarkStart w:id="2" w:name="_Hlk197682629"/>
      <w:bookmarkStart w:id="3" w:name="_Hlk197351200"/>
    </w:p>
    <w:p w14:paraId="656F3B4C" w14:textId="77777777" w:rsidR="00D40B06" w:rsidRDefault="00000000">
      <w:pPr>
        <w:rPr>
          <w:rFonts w:ascii="Calibri" w:eastAsia="Calibri" w:hAnsi="Calibri" w:cs="Times New Roman"/>
          <w:highlight w:val="yellow"/>
        </w:rPr>
      </w:pPr>
      <w:r>
        <w:rPr>
          <w:rFonts w:ascii="Calibri" w:eastAsia="Calibri" w:hAnsi="Calibri" w:cs="Times New Roman"/>
          <w:highlight w:val="yellow"/>
        </w:rPr>
        <w:t xml:space="preserve">The authors hereby declare that generative AI technology (ChatGPT, GPT-5, OpenAI) was </w:t>
      </w:r>
      <w:r>
        <w:rPr>
          <w:rFonts w:ascii="Calibri" w:eastAsia="Calibri" w:hAnsi="Calibri" w:cs="Times New Roman"/>
          <w:highlight w:val="yellow"/>
        </w:rPr>
        <w:lastRenderedPageBreak/>
        <w:t>used in a limited manner during the writing and editing of this manuscript. The tool was employed primarily for language polishing, academic expression refinement, and reference formatting checks. All research design, data collection, data analysis, and scholarly conclusions were conducted independently by the authors, and the AI tool did not contribute to substantive research tasks. Input prompts were limited to language rephrasing and formatting instructions, without involving research data or sensitive information. All AI-assisted content was carefully reviewed and revised by the authors to ensure accuracy and academic rigor.</w:t>
      </w:r>
    </w:p>
    <w:p w14:paraId="7742C685" w14:textId="77777777" w:rsidR="00D40B06" w:rsidRDefault="00D40B06">
      <w:pPr>
        <w:rPr>
          <w:rFonts w:ascii="Calibri" w:eastAsia="Calibri" w:hAnsi="Calibri" w:cs="Times New Roman"/>
        </w:rPr>
      </w:pPr>
    </w:p>
    <w:p w14:paraId="57C6DC71" w14:textId="77777777" w:rsidR="00D40B06" w:rsidRDefault="00D40B06">
      <w:pPr>
        <w:ind w:firstLine="720"/>
      </w:pPr>
      <w:bookmarkStart w:id="4" w:name="_Hlk187485061"/>
      <w:bookmarkEnd w:id="0"/>
      <w:bookmarkEnd w:id="1"/>
      <w:bookmarkEnd w:id="2"/>
    </w:p>
    <w:bookmarkEnd w:id="3"/>
    <w:bookmarkEnd w:id="4"/>
    <w:p w14:paraId="0303CC1F" w14:textId="77777777" w:rsidR="00D40B06" w:rsidRDefault="00D40B06">
      <w:pPr>
        <w:widowControl/>
        <w:spacing w:after="200" w:line="276" w:lineRule="auto"/>
        <w:rPr>
          <w:rFonts w:ascii="Calibri" w:eastAsia="Times New Roman" w:hAnsi="Calibri" w:cs="Times New Roman"/>
          <w:kern w:val="0"/>
          <w:szCs w:val="22"/>
          <w:lang w:val="en-GB" w:eastAsia="en-GB"/>
          <w14:ligatures w14:val="none"/>
        </w:rPr>
      </w:pPr>
    </w:p>
    <w:p w14:paraId="43BA7869" w14:textId="77777777" w:rsidR="00D40B06" w:rsidRDefault="00D40B06"/>
    <w:p w14:paraId="63AA21FF" w14:textId="77777777" w:rsidR="00D40B06" w:rsidRDefault="00D40B06"/>
    <w:p w14:paraId="10E719EB" w14:textId="77777777" w:rsidR="00D40B06" w:rsidRDefault="00D40B06"/>
    <w:p w14:paraId="0CD9FD87" w14:textId="77777777" w:rsidR="00D40B06" w:rsidRDefault="00D40B06"/>
    <w:p w14:paraId="21DFDD84" w14:textId="77777777" w:rsidR="00D40B06" w:rsidRDefault="00D40B06"/>
    <w:p w14:paraId="2441D0A5" w14:textId="77777777" w:rsidR="00D40B06" w:rsidRDefault="00D40B06"/>
    <w:p w14:paraId="0BEE0C8E" w14:textId="77777777" w:rsidR="00D40B06" w:rsidRDefault="00000000">
      <w:r>
        <w:t>Reference</w:t>
      </w:r>
    </w:p>
    <w:p w14:paraId="4664696B" w14:textId="77777777" w:rsidR="00D40B06" w:rsidRDefault="00000000">
      <w:r>
        <w:t>1. Bentler, P. M., &amp; Chou, C.-P. (1987). Practical issues in structural modeling. Sociological Methods &amp; Research, 16(1), 78–117. https://doi.org/10.1177/0049124187016001004</w:t>
      </w:r>
    </w:p>
    <w:p w14:paraId="152D12CD" w14:textId="77777777" w:rsidR="00D40B06" w:rsidRDefault="00D40B06"/>
    <w:p w14:paraId="7D370FA5" w14:textId="77777777" w:rsidR="00D40B06" w:rsidRDefault="00D40B06"/>
    <w:p w14:paraId="44603097" w14:textId="77777777" w:rsidR="00D40B06" w:rsidRDefault="00000000">
      <w:r>
        <w:t>2. Hair, J. F., Hult, G. T. M., Ringle, C. M., &amp; Sarstedt, M. (2021). A Primer on Partial Least Squares Structural Equation Modeling (PLS-SEM) (3rd ed.). SAGE. ISBN: 9781544396408. https://us.sagepub.com/en-us/nam/a-primer-on-partial-least-squares-structural-equation-modeling-pls-sem/book268668</w:t>
      </w:r>
    </w:p>
    <w:p w14:paraId="3934F03D" w14:textId="77777777" w:rsidR="00D40B06" w:rsidRDefault="00000000">
      <w:r>
        <w:t>3. Li, Z., Wang, K., Hai, M., Cai, P., &amp; Zhang, Y. (2024). Preliminary study on gender differences in EEG-based emotional responses in virtual architectural environments. Buildings, 14(9), 2884. https://doi.org/10.3390/buildings14092884</w:t>
      </w:r>
    </w:p>
    <w:p w14:paraId="3EF136C4" w14:textId="77777777" w:rsidR="00D40B06" w:rsidRDefault="00000000">
      <w:r>
        <w:t xml:space="preserve">4. Lin, Y., &amp; Wang, R. (2020). Gender differences in emotional and symbolic </w:t>
      </w:r>
      <w:r>
        <w:lastRenderedPageBreak/>
        <w:t>consumption of traditional culture: A comparative study. Journal of Retailing and Consumer Services, 56, 102177. https://doi.org/10.1016/j.jretconser.2020.102177</w:t>
      </w:r>
    </w:p>
    <w:p w14:paraId="46CED88A" w14:textId="77777777" w:rsidR="00D40B06" w:rsidRDefault="00000000">
      <w:r>
        <w:t>5. Lu, Y., Zhang, X., &amp; Luo, H. (2023). From heritage to hip: The rise of Guochao and its impact on young consumers in China. International Journal of Cultural Studies, 26(2), 132–148. https://doi.org/10.1177/13678779221100081</w:t>
      </w:r>
    </w:p>
    <w:p w14:paraId="08561016" w14:textId="77777777" w:rsidR="00D40B06" w:rsidRDefault="00000000">
      <w:r>
        <w:t>6. Oh, H., Fiore, A. M., &amp; Jeong, M. (2020). Measuring experience economy dimensions: The case of heritage-based immersive experiences. Tourism Management Perspectives, 35, 100701. https://doi.org/10.1016/j.tmp.2020.100701</w:t>
      </w:r>
    </w:p>
    <w:p w14:paraId="68B3C952" w14:textId="77777777" w:rsidR="00D40B06" w:rsidRDefault="00000000">
      <w:r>
        <w:t>7. Pine, B. J., &amp; Gilmore, J. H. (1999). The Experience Economy: Work is Theater &amp; Every Business a Stage. Harvard Business School Press. ISBN: 9780875848198</w:t>
      </w:r>
    </w:p>
    <w:p w14:paraId="543F4ADF" w14:textId="77777777" w:rsidR="00D40B06" w:rsidRDefault="00000000">
      <w:r>
        <w:t>8. Robaina-Calderín, L., Martín-Santana, J. D., &amp; Muñoz-Leiva, F. (2023). Immersive experiences as a resource for promoting museum tourism in the Z and millennials generations. Journal of Destination Marketing &amp; Management, 29, 100795. https://doi.org/10.1016/j.jdmm.2023.100795</w:t>
      </w:r>
    </w:p>
    <w:p w14:paraId="1B281F10" w14:textId="77777777" w:rsidR="00D40B06" w:rsidRDefault="00000000">
      <w:r>
        <w:t>9. Saidon, R., Hassan, H., &amp; Ramli, M. A. (2024). Exploring gender differences in shaping total tourism experience quality among eco-tourists. Sustainability, 16(2), 1055. https://doi.org/10.3390/su16021055</w:t>
      </w:r>
    </w:p>
    <w:p w14:paraId="6D3C5851" w14:textId="77777777" w:rsidR="00D40B06" w:rsidRDefault="00000000">
      <w:r>
        <w:t>10. Sedikides, C., Wildschut, T., Routledge, C., Arndt, J., Hepper, E. G., &amp; Zhou, X. (2022). Nostalgia across cultures. Journal of Pacific Rim Psychology, 16, 18344909221091649. https://doi.org/10.1177/18344909221091649</w:t>
      </w:r>
    </w:p>
    <w:p w14:paraId="3F14FB69" w14:textId="77777777" w:rsidR="00D40B06" w:rsidRDefault="00000000">
      <w:r>
        <w:t>11. Shehade, M., &amp; Stylianou-Lambert, T. (2020). Virtual reality in museums: Exploring the experiences of museum professionals. Applied Sciences, 10(11), 4031. https://doi.org/10.3390/app10114031</w:t>
      </w:r>
    </w:p>
    <w:p w14:paraId="22FDB8D9" w14:textId="77777777" w:rsidR="00D40B06" w:rsidRDefault="00000000">
      <w:r>
        <w:t>12. Singh, R. K., &amp; Kushwaha, B. P. (2021). An assessment of the behavioral intention of Generation Z toward the adoption of digital learning applications. In R. Kumar, R. Dash, &amp; M. Das (Eds.), IoT and Cloud Computing for Societal Good (pp. 159–180). Springer. https://doi.org/10.1007/978-3-030-83005-1_10</w:t>
      </w:r>
    </w:p>
    <w:p w14:paraId="7AA91E2B" w14:textId="77777777" w:rsidR="00D40B06" w:rsidRDefault="00000000">
      <w:r>
        <w:t>13. Slater, M. (2020). Immersion and the illusion of presence in virtual reality. British Journal of Psychology, 111(3), 431–443. https://doi.org/10.1111/bjop.12421</w:t>
      </w:r>
    </w:p>
    <w:p w14:paraId="44F74072" w14:textId="77777777" w:rsidR="00D40B06" w:rsidRDefault="00000000">
      <w:r>
        <w:t>14. Tajfel, H., &amp; Turner, J. C. (1986). The social identity theory of intergroup behavior. In S. Worchel &amp; W. G. Austin (Eds.), Psychology of Intergroup Relations (pp. 7–24). Nelson-Hall. ISBN: 9780830410754</w:t>
      </w:r>
    </w:p>
    <w:p w14:paraId="5C7033BF" w14:textId="77777777" w:rsidR="00D40B06" w:rsidRDefault="00000000">
      <w:r>
        <w:t xml:space="preserve">15. Tan, W. K. (2025). Visitors’ engagement in second-chance tourism: Gender </w:t>
      </w:r>
      <w:r>
        <w:lastRenderedPageBreak/>
        <w:t>differences in virtual tourism engagement and trust formation. Tourism Recreation Research. Advance online publication. https://doi.org/10.1080/02508281.2025.2539722</w:t>
      </w:r>
    </w:p>
    <w:p w14:paraId="577E1A86" w14:textId="77777777" w:rsidR="00D40B06" w:rsidRDefault="00D40B06"/>
    <w:p w14:paraId="1BCC755A" w14:textId="77777777" w:rsidR="00D40B06" w:rsidRDefault="00D40B06"/>
    <w:p w14:paraId="0DBEBC0A" w14:textId="77777777" w:rsidR="00D40B06" w:rsidRDefault="00D40B06"/>
    <w:p w14:paraId="694083E7" w14:textId="77777777" w:rsidR="00D40B06" w:rsidRDefault="00D40B06"/>
    <w:p w14:paraId="6B111E91" w14:textId="77777777" w:rsidR="00D40B06" w:rsidRDefault="00D40B06"/>
    <w:sectPr w:rsidR="00D40B06">
      <w:headerReference w:type="even" r:id="rId10"/>
      <w:headerReference w:type="default" r:id="rId11"/>
      <w:footerReference w:type="even" r:id="rId12"/>
      <w:footerReference w:type="default" r:id="rId13"/>
      <w:head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BC337" w14:textId="77777777" w:rsidR="00543C55" w:rsidRDefault="00543C55">
      <w:pPr>
        <w:spacing w:after="0" w:line="240" w:lineRule="auto"/>
      </w:pPr>
      <w:r>
        <w:separator/>
      </w:r>
    </w:p>
  </w:endnote>
  <w:endnote w:type="continuationSeparator" w:id="0">
    <w:p w14:paraId="06CC5E7C" w14:textId="77777777" w:rsidR="00543C55" w:rsidRDefault="00543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DD4D8" w14:textId="77777777" w:rsidR="00D40B06" w:rsidRDefault="00D40B06">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3DE20" w14:textId="77777777" w:rsidR="00D40B06" w:rsidRDefault="00D40B0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694B6" w14:textId="77777777" w:rsidR="00543C55" w:rsidRDefault="00543C55">
      <w:pPr>
        <w:spacing w:after="0" w:line="240" w:lineRule="auto"/>
      </w:pPr>
      <w:r>
        <w:separator/>
      </w:r>
    </w:p>
  </w:footnote>
  <w:footnote w:type="continuationSeparator" w:id="0">
    <w:p w14:paraId="21239340" w14:textId="77777777" w:rsidR="00543C55" w:rsidRDefault="00543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3232" w14:textId="77777777" w:rsidR="00D40B06" w:rsidRDefault="00E02552">
    <w:pPr>
      <w:pStyle w:val="af3"/>
    </w:pPr>
    <w:r>
      <w:rPr>
        <w:noProof/>
      </w:rPr>
    </w:r>
    <w:r w:rsidR="00E02552">
      <w:rPr>
        <w:noProof/>
      </w:rPr>
      <w:pict w14:anchorId="6A3A6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26.9pt;height:58.5pt;rotation:315;z-index:-251658240;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5563F" w14:textId="77777777" w:rsidR="00D40B06" w:rsidRDefault="00E02552">
    <w:pPr>
      <w:pStyle w:val="af3"/>
    </w:pPr>
    <w:r>
      <w:rPr>
        <w:noProof/>
      </w:rPr>
    </w:r>
    <w:r w:rsidR="00E02552">
      <w:rPr>
        <w:noProof/>
      </w:rPr>
      <w:pict w14:anchorId="1D60B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26.9pt;height:58.5pt;rotation:315;z-index:-251658240;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60419" w14:textId="77777777" w:rsidR="00D40B06" w:rsidRDefault="00E02552">
    <w:pPr>
      <w:pStyle w:val="af3"/>
    </w:pPr>
    <w:r>
      <w:rPr>
        <w:noProof/>
      </w:rPr>
    </w:r>
    <w:r w:rsidR="00E02552">
      <w:rPr>
        <w:noProof/>
      </w:rPr>
      <w:pict w14:anchorId="00400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26.9pt;height:58.5pt;rotation:315;z-index:-251658240;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FFFFFFFF"/>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00000003"/>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hybridMultilevel"/>
    <w:tmpl w:val="0D82894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00000005"/>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0000008"/>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8235F0F"/>
    <w:multiLevelType w:val="hybridMultilevel"/>
    <w:tmpl w:val="B3C0817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803644906">
    <w:abstractNumId w:val="8"/>
  </w:num>
  <w:num w:numId="2" w16cid:durableId="1857496703">
    <w:abstractNumId w:val="3"/>
  </w:num>
  <w:num w:numId="3" w16cid:durableId="1772626109">
    <w:abstractNumId w:val="1"/>
  </w:num>
  <w:num w:numId="4" w16cid:durableId="962930052">
    <w:abstractNumId w:val="0"/>
  </w:num>
  <w:num w:numId="5" w16cid:durableId="2036612543">
    <w:abstractNumId w:val="2"/>
  </w:num>
  <w:num w:numId="6" w16cid:durableId="1886982065">
    <w:abstractNumId w:val="4"/>
  </w:num>
  <w:num w:numId="7" w16cid:durableId="2131312009">
    <w:abstractNumId w:val="5"/>
  </w:num>
  <w:num w:numId="8" w16cid:durableId="2036808579">
    <w:abstractNumId w:val="6"/>
  </w:num>
  <w:num w:numId="9" w16cid:durableId="14895912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B06"/>
    <w:rsid w:val="00035F2E"/>
    <w:rsid w:val="000F6F4B"/>
    <w:rsid w:val="001F726C"/>
    <w:rsid w:val="00283333"/>
    <w:rsid w:val="002839CF"/>
    <w:rsid w:val="003319F9"/>
    <w:rsid w:val="00350C96"/>
    <w:rsid w:val="004C2716"/>
    <w:rsid w:val="0053673E"/>
    <w:rsid w:val="00543C55"/>
    <w:rsid w:val="00646199"/>
    <w:rsid w:val="006722AC"/>
    <w:rsid w:val="006800C6"/>
    <w:rsid w:val="007C4C2A"/>
    <w:rsid w:val="008325BE"/>
    <w:rsid w:val="008517EB"/>
    <w:rsid w:val="008A60DD"/>
    <w:rsid w:val="00947597"/>
    <w:rsid w:val="00A37FEB"/>
    <w:rsid w:val="00AC73B2"/>
    <w:rsid w:val="00BD02E3"/>
    <w:rsid w:val="00C848E0"/>
    <w:rsid w:val="00CB1D0A"/>
    <w:rsid w:val="00D318D0"/>
    <w:rsid w:val="00D40B06"/>
    <w:rsid w:val="00E02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50D279F"/>
  <w15:docId w15:val="{4D6EF3A2-52F3-9548-81BD-5C3BAE4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engXian" w:eastAsia="DengXian" w:hAnsi="DengXian" w:cs="宋体"/>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pPr>
      <w:keepNext/>
      <w:keepLines/>
      <w:spacing w:before="480" w:after="80"/>
      <w:outlineLvl w:val="0"/>
    </w:pPr>
    <w:rPr>
      <w:rFonts w:ascii="等线 Light" w:eastAsia="等线 Light" w:hAnsi="等线 Light"/>
      <w:color w:val="0F4761"/>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等线 Light" w:eastAsia="等线 Light" w:hAnsi="等线 Light"/>
      <w:color w:val="0F4761"/>
      <w:sz w:val="40"/>
      <w:szCs w:val="40"/>
    </w:rPr>
  </w:style>
  <w:style w:type="paragraph" w:styleId="3">
    <w:name w:val="heading 3"/>
    <w:basedOn w:val="a"/>
    <w:next w:val="a"/>
    <w:link w:val="30"/>
    <w:uiPriority w:val="9"/>
    <w:unhideWhenUsed/>
    <w:qFormat/>
    <w:pPr>
      <w:keepNext/>
      <w:keepLines/>
      <w:spacing w:before="160" w:after="80"/>
      <w:outlineLvl w:val="2"/>
    </w:pPr>
    <w:rPr>
      <w:rFonts w:ascii="等线 Light" w:eastAsia="等线 Light" w:hAnsi="等线 Light"/>
      <w:color w:val="0F4761"/>
      <w:sz w:val="32"/>
      <w:szCs w:val="32"/>
    </w:rPr>
  </w:style>
  <w:style w:type="paragraph" w:styleId="4">
    <w:name w:val="heading 4"/>
    <w:basedOn w:val="a"/>
    <w:next w:val="a"/>
    <w:link w:val="40"/>
    <w:uiPriority w:val="9"/>
    <w:semiHidden/>
    <w:unhideWhenUsed/>
    <w:qFormat/>
    <w:pPr>
      <w:keepNext/>
      <w:keepLines/>
      <w:spacing w:before="80" w:after="40"/>
      <w:outlineLvl w:val="3"/>
    </w:pPr>
    <w:rPr>
      <w:color w:val="0F4761"/>
      <w:sz w:val="28"/>
      <w:szCs w:val="28"/>
    </w:rPr>
  </w:style>
  <w:style w:type="paragraph" w:styleId="5">
    <w:name w:val="heading 5"/>
    <w:basedOn w:val="a"/>
    <w:next w:val="a"/>
    <w:link w:val="50"/>
    <w:uiPriority w:val="9"/>
    <w:semiHidden/>
    <w:unhideWhenUsed/>
    <w:qFormat/>
    <w:pPr>
      <w:keepNext/>
      <w:keepLines/>
      <w:spacing w:before="80" w:after="40"/>
      <w:outlineLvl w:val="4"/>
    </w:pPr>
    <w:rPr>
      <w:color w:val="0F4761"/>
      <w:sz w:val="24"/>
    </w:rPr>
  </w:style>
  <w:style w:type="paragraph" w:styleId="6">
    <w:name w:val="heading 6"/>
    <w:basedOn w:val="a"/>
    <w:next w:val="a"/>
    <w:link w:val="60"/>
    <w:uiPriority w:val="9"/>
    <w:semiHidden/>
    <w:unhideWhenUsed/>
    <w:qFormat/>
    <w:pPr>
      <w:keepNext/>
      <w:keepLines/>
      <w:spacing w:before="40" w:after="0"/>
      <w:outlineLvl w:val="5"/>
    </w:pPr>
    <w:rPr>
      <w:b/>
      <w:bCs/>
      <w:color w:val="0F4761"/>
    </w:rPr>
  </w:style>
  <w:style w:type="paragraph" w:styleId="7">
    <w:name w:val="heading 7"/>
    <w:basedOn w:val="a"/>
    <w:next w:val="a"/>
    <w:link w:val="70"/>
    <w:uiPriority w:val="9"/>
    <w:qFormat/>
    <w:pPr>
      <w:keepNext/>
      <w:keepLines/>
      <w:spacing w:before="40" w:after="0"/>
      <w:outlineLvl w:val="6"/>
    </w:pPr>
    <w:rPr>
      <w:b/>
      <w:bCs/>
      <w:color w:val="595959"/>
    </w:rPr>
  </w:style>
  <w:style w:type="paragraph" w:styleId="8">
    <w:name w:val="heading 8"/>
    <w:basedOn w:val="a"/>
    <w:next w:val="a"/>
    <w:link w:val="80"/>
    <w:uiPriority w:val="9"/>
    <w:qFormat/>
    <w:pPr>
      <w:keepNext/>
      <w:keepLines/>
      <w:spacing w:after="0"/>
      <w:outlineLvl w:val="7"/>
    </w:pPr>
    <w:rPr>
      <w:color w:val="595959"/>
    </w:rPr>
  </w:style>
  <w:style w:type="paragraph" w:styleId="9">
    <w:name w:val="heading 9"/>
    <w:basedOn w:val="a"/>
    <w:next w:val="a"/>
    <w:link w:val="90"/>
    <w:uiPriority w:val="9"/>
    <w:qFormat/>
    <w:pPr>
      <w:keepNext/>
      <w:keepLines/>
      <w:spacing w:after="0"/>
      <w:outlineLvl w:val="8"/>
    </w:pPr>
    <w:rPr>
      <w:rFonts w:eastAsia="等线 Light"/>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Pr>
      <w:rFonts w:ascii="等线 Light" w:eastAsia="等线 Light" w:hAnsi="等线 Light" w:cs="宋体"/>
      <w:color w:val="0F4761"/>
      <w:sz w:val="48"/>
      <w:szCs w:val="48"/>
    </w:rPr>
  </w:style>
  <w:style w:type="character" w:customStyle="1" w:styleId="20">
    <w:name w:val="标题 2 字符"/>
    <w:basedOn w:val="a0"/>
    <w:link w:val="2"/>
    <w:uiPriority w:val="9"/>
    <w:rPr>
      <w:rFonts w:ascii="等线 Light" w:eastAsia="等线 Light" w:hAnsi="等线 Light" w:cs="宋体"/>
      <w:color w:val="0F4761"/>
      <w:sz w:val="40"/>
      <w:szCs w:val="40"/>
    </w:rPr>
  </w:style>
  <w:style w:type="character" w:customStyle="1" w:styleId="30">
    <w:name w:val="标题 3 字符"/>
    <w:basedOn w:val="a0"/>
    <w:link w:val="3"/>
    <w:uiPriority w:val="9"/>
    <w:rPr>
      <w:rFonts w:ascii="等线 Light" w:eastAsia="等线 Light" w:hAnsi="等线 Light" w:cs="宋体"/>
      <w:color w:val="0F4761"/>
      <w:sz w:val="32"/>
      <w:szCs w:val="32"/>
    </w:rPr>
  </w:style>
  <w:style w:type="character" w:customStyle="1" w:styleId="40">
    <w:name w:val="标题 4 字符"/>
    <w:basedOn w:val="a0"/>
    <w:link w:val="4"/>
    <w:uiPriority w:val="9"/>
    <w:rPr>
      <w:rFonts w:cs="宋体"/>
      <w:color w:val="0F4761"/>
      <w:sz w:val="28"/>
      <w:szCs w:val="28"/>
    </w:rPr>
  </w:style>
  <w:style w:type="character" w:customStyle="1" w:styleId="50">
    <w:name w:val="标题 5 字符"/>
    <w:basedOn w:val="a0"/>
    <w:link w:val="5"/>
    <w:uiPriority w:val="9"/>
    <w:rPr>
      <w:rFonts w:cs="宋体"/>
      <w:color w:val="0F4761"/>
      <w:sz w:val="24"/>
    </w:rPr>
  </w:style>
  <w:style w:type="character" w:customStyle="1" w:styleId="60">
    <w:name w:val="标题 6 字符"/>
    <w:basedOn w:val="a0"/>
    <w:link w:val="6"/>
    <w:uiPriority w:val="9"/>
    <w:rPr>
      <w:rFonts w:cs="宋体"/>
      <w:b/>
      <w:bCs/>
      <w:color w:val="0F4761"/>
    </w:rPr>
  </w:style>
  <w:style w:type="character" w:customStyle="1" w:styleId="70">
    <w:name w:val="标题 7 字符"/>
    <w:basedOn w:val="a0"/>
    <w:link w:val="7"/>
    <w:uiPriority w:val="9"/>
    <w:rPr>
      <w:rFonts w:cs="宋体"/>
      <w:b/>
      <w:bCs/>
      <w:color w:val="595959"/>
    </w:rPr>
  </w:style>
  <w:style w:type="character" w:customStyle="1" w:styleId="80">
    <w:name w:val="标题 8 字符"/>
    <w:basedOn w:val="a0"/>
    <w:link w:val="8"/>
    <w:uiPriority w:val="9"/>
    <w:rPr>
      <w:rFonts w:cs="宋体"/>
      <w:color w:val="595959"/>
    </w:rPr>
  </w:style>
  <w:style w:type="character" w:customStyle="1" w:styleId="90">
    <w:name w:val="标题 9 字符"/>
    <w:basedOn w:val="a0"/>
    <w:link w:val="9"/>
    <w:uiPriority w:val="9"/>
    <w:rPr>
      <w:rFonts w:eastAsia="等线 Light" w:cs="宋体"/>
      <w:color w:val="595959"/>
    </w:rPr>
  </w:style>
  <w:style w:type="paragraph" w:styleId="a3">
    <w:name w:val="Title"/>
    <w:basedOn w:val="a"/>
    <w:next w:val="a"/>
    <w:link w:val="a4"/>
    <w:uiPriority w:val="10"/>
    <w:qFormat/>
    <w:pPr>
      <w:spacing w:after="80" w:line="240" w:lineRule="auto"/>
      <w:contextualSpacing/>
      <w:jc w:val="center"/>
    </w:pPr>
    <w:rPr>
      <w:rFonts w:ascii="等线 Light" w:eastAsia="等线 Light" w:hAnsi="等线 Light"/>
      <w:spacing w:val="-10"/>
      <w:kern w:val="28"/>
      <w:sz w:val="56"/>
      <w:szCs w:val="56"/>
    </w:rPr>
  </w:style>
  <w:style w:type="character" w:customStyle="1" w:styleId="a4">
    <w:name w:val="标题 字符"/>
    <w:basedOn w:val="a0"/>
    <w:link w:val="a3"/>
    <w:uiPriority w:val="10"/>
    <w:rPr>
      <w:rFonts w:ascii="等线 Light" w:eastAsia="等线 Light" w:hAnsi="等线 Light" w:cs="宋体"/>
      <w:spacing w:val="-10"/>
      <w:kern w:val="28"/>
      <w:sz w:val="56"/>
      <w:szCs w:val="56"/>
    </w:rPr>
  </w:style>
  <w:style w:type="paragraph" w:styleId="a5">
    <w:name w:val="Subtitle"/>
    <w:basedOn w:val="a"/>
    <w:next w:val="a"/>
    <w:link w:val="a6"/>
    <w:uiPriority w:val="11"/>
    <w:qFormat/>
    <w:pPr>
      <w:numPr>
        <w:ilvl w:val="1"/>
      </w:numPr>
      <w:jc w:val="center"/>
    </w:pPr>
    <w:rPr>
      <w:rFonts w:ascii="等线 Light" w:eastAsia="等线 Light" w:hAnsi="等线 Light"/>
      <w:color w:val="595959"/>
      <w:spacing w:val="15"/>
      <w:sz w:val="28"/>
      <w:szCs w:val="28"/>
    </w:rPr>
  </w:style>
  <w:style w:type="character" w:customStyle="1" w:styleId="a6">
    <w:name w:val="副标题 字符"/>
    <w:basedOn w:val="a0"/>
    <w:link w:val="a5"/>
    <w:uiPriority w:val="11"/>
    <w:rPr>
      <w:rFonts w:ascii="等线 Light" w:eastAsia="等线 Light" w:hAnsi="等线 Light" w:cs="宋体"/>
      <w:color w:val="595959"/>
      <w:spacing w:val="15"/>
      <w:sz w:val="28"/>
      <w:szCs w:val="28"/>
    </w:rPr>
  </w:style>
  <w:style w:type="paragraph" w:styleId="a7">
    <w:name w:val="Quote"/>
    <w:basedOn w:val="a"/>
    <w:next w:val="a"/>
    <w:link w:val="a8"/>
    <w:uiPriority w:val="29"/>
    <w:qFormat/>
    <w:pPr>
      <w:spacing w:before="160"/>
      <w:jc w:val="center"/>
    </w:pPr>
    <w:rPr>
      <w:i/>
      <w:iCs/>
      <w:color w:val="404040"/>
    </w:rPr>
  </w:style>
  <w:style w:type="character" w:customStyle="1" w:styleId="a8">
    <w:name w:val="引用 字符"/>
    <w:basedOn w:val="a0"/>
    <w:link w:val="a7"/>
    <w:uiPriority w:val="29"/>
    <w:rPr>
      <w:i/>
      <w:iCs/>
      <w:color w:val="404040"/>
    </w:rPr>
  </w:style>
  <w:style w:type="paragraph" w:styleId="a9">
    <w:name w:val="List Paragraph"/>
    <w:basedOn w:val="a"/>
    <w:uiPriority w:val="34"/>
    <w:qFormat/>
    <w:pPr>
      <w:ind w:left="720"/>
      <w:contextualSpacing/>
    </w:pPr>
  </w:style>
  <w:style w:type="character" w:styleId="aa">
    <w:name w:val="Intense Emphasis"/>
    <w:basedOn w:val="a0"/>
    <w:uiPriority w:val="21"/>
    <w:qFormat/>
    <w:rPr>
      <w:i/>
      <w:iCs/>
      <w:color w:val="0F4761"/>
    </w:rPr>
  </w:style>
  <w:style w:type="paragraph" w:styleId="ab">
    <w:name w:val="Intense Quote"/>
    <w:basedOn w:val="a"/>
    <w:next w:val="a"/>
    <w:link w:val="ac"/>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ac">
    <w:name w:val="明显引用 字符"/>
    <w:basedOn w:val="a0"/>
    <w:link w:val="ab"/>
    <w:uiPriority w:val="30"/>
    <w:rPr>
      <w:i/>
      <w:iCs/>
      <w:color w:val="0F4761"/>
    </w:rPr>
  </w:style>
  <w:style w:type="character" w:styleId="ad">
    <w:name w:val="Intense Reference"/>
    <w:basedOn w:val="a0"/>
    <w:uiPriority w:val="32"/>
    <w:qFormat/>
    <w:rPr>
      <w:b/>
      <w:bCs/>
      <w:smallCaps/>
      <w:color w:val="0F4761"/>
      <w:spacing w:val="5"/>
    </w:rPr>
  </w:style>
  <w:style w:type="paragraph" w:styleId="ae">
    <w:name w:val="Normal (Web)"/>
    <w:basedOn w:val="a"/>
    <w:uiPriority w:val="99"/>
    <w:pPr>
      <w:widowControl/>
      <w:spacing w:before="100" w:beforeAutospacing="1" w:after="100" w:afterAutospacing="1" w:line="240" w:lineRule="auto"/>
    </w:pPr>
    <w:rPr>
      <w:rFonts w:ascii="宋体" w:eastAsia="宋体" w:hAnsi="宋体"/>
      <w:kern w:val="0"/>
      <w:sz w:val="24"/>
      <w14:ligatures w14:val="none"/>
    </w:rPr>
  </w:style>
  <w:style w:type="character" w:styleId="af">
    <w:name w:val="Strong"/>
    <w:basedOn w:val="a0"/>
    <w:uiPriority w:val="22"/>
    <w:qFormat/>
    <w:rPr>
      <w:b/>
      <w:bCs/>
    </w:rPr>
  </w:style>
  <w:style w:type="character" w:styleId="af0">
    <w:name w:val="Emphasis"/>
    <w:basedOn w:val="a0"/>
    <w:uiPriority w:val="20"/>
    <w:qFormat/>
    <w:rPr>
      <w:i/>
      <w:iCs/>
    </w:rPr>
  </w:style>
  <w:style w:type="table" w:styleId="af1">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rPr>
      <w:color w:val="467886"/>
      <w:u w:val="single"/>
    </w:rPr>
  </w:style>
  <w:style w:type="character" w:customStyle="1" w:styleId="11">
    <w:name w:val="未处理的提及1"/>
    <w:basedOn w:val="a0"/>
    <w:uiPriority w:val="99"/>
    <w:rPr>
      <w:color w:val="605E5C"/>
      <w:shd w:val="clear" w:color="auto" w:fill="E1DFDD"/>
    </w:rPr>
  </w:style>
  <w:style w:type="paragraph" w:styleId="af3">
    <w:name w:val="header"/>
    <w:basedOn w:val="a"/>
    <w:link w:val="af4"/>
    <w:uiPriority w:val="99"/>
    <w:pPr>
      <w:tabs>
        <w:tab w:val="center" w:pos="4680"/>
        <w:tab w:val="right" w:pos="9360"/>
      </w:tabs>
      <w:spacing w:after="0" w:line="240" w:lineRule="auto"/>
    </w:pPr>
  </w:style>
  <w:style w:type="character" w:customStyle="1" w:styleId="af4">
    <w:name w:val="页眉 字符"/>
    <w:basedOn w:val="a0"/>
    <w:link w:val="af3"/>
    <w:uiPriority w:val="99"/>
  </w:style>
  <w:style w:type="paragraph" w:styleId="af5">
    <w:name w:val="footer"/>
    <w:basedOn w:val="a"/>
    <w:link w:val="af6"/>
    <w:uiPriority w:val="99"/>
    <w:pPr>
      <w:tabs>
        <w:tab w:val="center" w:pos="4680"/>
        <w:tab w:val="right" w:pos="9360"/>
      </w:tabs>
      <w:spacing w:after="0" w:line="240" w:lineRule="auto"/>
    </w:pPr>
  </w:style>
  <w:style w:type="character" w:customStyle="1" w:styleId="af6">
    <w:name w:val="页脚 字符"/>
    <w:basedOn w:val="a0"/>
    <w:link w:val="af5"/>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3681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footer" Target="footer2.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oter" Target="footer1.xm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2.xm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6559</Words>
  <Characters>37389</Characters>
  <Application>Microsoft Office Word</Application>
  <DocSecurity>0</DocSecurity>
  <Lines>311</Lines>
  <Paragraphs>87</Paragraphs>
  <ScaleCrop>false</ScaleCrop>
  <Company/>
  <LinksUpToDate>false</LinksUpToDate>
  <CharactersWithSpaces>43861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星炜 李</dc:creator>
  <cp:lastModifiedBy>星炜 李</cp:lastModifiedBy>
  <cp:revision>6</cp:revision>
  <dcterms:created xsi:type="dcterms:W3CDTF">2025-09-10T12:22:00Z</dcterms:created>
  <dcterms:modified xsi:type="dcterms:W3CDTF">2025-09-10T12:33:00Z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ff3b8f898dc44b62a4917a18de195ad4_23</vt:lpwstr>
  </property>
</Properties>
</file>