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4C77" w14:textId="77777777" w:rsidR="00146BB9" w:rsidRDefault="00146BB9">
      <w:pPr>
        <w:pStyle w:val="Heading1"/>
        <w:spacing w:before="80" w:line="254" w:lineRule="auto"/>
        <w:ind w:left="24" w:right="163"/>
        <w:jc w:val="center"/>
      </w:pPr>
      <w:r w:rsidRPr="00146BB9">
        <w:t xml:space="preserve">Original Research Article </w:t>
      </w:r>
    </w:p>
    <w:p w14:paraId="1F45C78A" w14:textId="77777777" w:rsidR="00146BB9" w:rsidRDefault="00146BB9">
      <w:pPr>
        <w:pStyle w:val="Heading1"/>
        <w:spacing w:before="80" w:line="254" w:lineRule="auto"/>
        <w:ind w:left="24" w:right="163"/>
        <w:jc w:val="center"/>
      </w:pPr>
    </w:p>
    <w:p w14:paraId="07CE98CD" w14:textId="5313D4F4" w:rsidR="00C526AE" w:rsidRDefault="00F707DD">
      <w:pPr>
        <w:pStyle w:val="Heading1"/>
        <w:spacing w:before="80" w:line="254" w:lineRule="auto"/>
        <w:ind w:left="24" w:right="163"/>
        <w:jc w:val="center"/>
      </w:pPr>
      <w:r w:rsidRPr="00F707DD">
        <w:t xml:space="preserve">Empowering Resilience: Community-Driven Climate Change Adaptation in </w:t>
      </w:r>
      <w:proofErr w:type="spellStart"/>
      <w:r w:rsidRPr="00F707DD">
        <w:t>Fafi</w:t>
      </w:r>
      <w:proofErr w:type="spellEnd"/>
      <w:r w:rsidRPr="00F707DD">
        <w:t xml:space="preserve"> Sub-County</w:t>
      </w:r>
    </w:p>
    <w:p w14:paraId="0AA4C8D9" w14:textId="77777777" w:rsidR="00625246" w:rsidRDefault="00625246">
      <w:pPr>
        <w:pStyle w:val="BodyText"/>
        <w:spacing w:before="15"/>
        <w:ind w:left="379"/>
        <w:jc w:val="left"/>
      </w:pPr>
    </w:p>
    <w:p w14:paraId="6CB69EAB" w14:textId="77777777" w:rsidR="00625246" w:rsidRDefault="00625246">
      <w:pPr>
        <w:pStyle w:val="BodyText"/>
        <w:spacing w:before="15"/>
        <w:ind w:left="379"/>
        <w:jc w:val="left"/>
      </w:pPr>
    </w:p>
    <w:p w14:paraId="215ECF0E" w14:textId="6EB9E5ED" w:rsidR="00607E5C" w:rsidRDefault="00607E5C">
      <w:pPr>
        <w:pStyle w:val="BodyText"/>
        <w:spacing w:before="15"/>
        <w:ind w:left="379"/>
        <w:jc w:val="left"/>
      </w:pPr>
      <w:r>
        <w:t xml:space="preserve"> </w:t>
      </w:r>
    </w:p>
    <w:p w14:paraId="5EBABFCB" w14:textId="77777777" w:rsidR="00C526AE" w:rsidRDefault="00A11850">
      <w:pPr>
        <w:pStyle w:val="BodyText"/>
        <w:spacing w:before="7"/>
        <w:ind w:left="0"/>
        <w:jc w:val="left"/>
        <w:rPr>
          <w:sz w:val="3"/>
        </w:rPr>
      </w:pPr>
      <w:r>
        <w:rPr>
          <w:noProof/>
          <w:sz w:val="3"/>
        </w:rPr>
        <mc:AlternateContent>
          <mc:Choice Requires="wps">
            <w:drawing>
              <wp:anchor distT="0" distB="0" distL="0" distR="0" simplePos="0" relativeHeight="487587840" behindDoc="1" locked="0" layoutInCell="1" allowOverlap="1" wp14:anchorId="02912F99" wp14:editId="16DBAF7D">
                <wp:simplePos x="0" y="0"/>
                <wp:positionH relativeFrom="page">
                  <wp:posOffset>896416</wp:posOffset>
                </wp:positionH>
                <wp:positionV relativeFrom="paragraph">
                  <wp:posOffset>41905</wp:posOffset>
                </wp:positionV>
                <wp:extent cx="576961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8"/>
                              </a:lnTo>
                              <a:lnTo>
                                <a:pt x="5769229" y="18288"/>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91918" id="Graphic 2" o:spid="_x0000_s1026" style="position:absolute;margin-left:70.6pt;margin-top:3.3pt;width:454.3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" path="m5769229,l,,,18288r5769229,l5769229,xe" fillcolor="black" stroked="f">
                <v:path arrowok="t"/>
                <w10:wrap type="topAndBottom" anchorx="page"/>
              </v:shape>
            </w:pict>
          </mc:Fallback>
        </mc:AlternateContent>
      </w:r>
    </w:p>
    <w:p w14:paraId="270FB06A" w14:textId="77777777" w:rsidR="00C526AE" w:rsidRDefault="00C526AE">
      <w:pPr>
        <w:pStyle w:val="BodyText"/>
        <w:spacing w:before="77"/>
        <w:ind w:left="0"/>
        <w:jc w:val="left"/>
        <w:rPr>
          <w:b/>
          <w:i/>
        </w:rPr>
      </w:pPr>
    </w:p>
    <w:p w14:paraId="1FEFA77B" w14:textId="77777777" w:rsidR="00C526AE" w:rsidRDefault="00A11850">
      <w:pPr>
        <w:pStyle w:val="Heading1"/>
        <w:ind w:left="27" w:right="163"/>
        <w:jc w:val="center"/>
      </w:pPr>
      <w:r>
        <w:rPr>
          <w:spacing w:val="-2"/>
        </w:rPr>
        <w:t>Abstract</w:t>
      </w:r>
    </w:p>
    <w:p w14:paraId="1C17AE34" w14:textId="4D8D3950" w:rsidR="00F707DD" w:rsidRDefault="00A11850" w:rsidP="003B2947">
      <w:pPr>
        <w:pStyle w:val="BodyText"/>
        <w:spacing w:before="132"/>
        <w:ind w:right="301"/>
      </w:pPr>
      <w:r>
        <w:t xml:space="preserve">This article examines the influence of community participation on climate change adaptation in </w:t>
      </w:r>
      <w:proofErr w:type="spellStart"/>
      <w:r>
        <w:t>Fafi</w:t>
      </w:r>
      <w:proofErr w:type="spellEnd"/>
      <w:r>
        <w:t xml:space="preserve"> Sub-County, Garissa County. Grounded in Empowerment Theory, the article employed a descriptive design to ensure accurate and reliable data collection. The target population consisted of 104 key informants from institutions partnering with the Garissa County government on climate change initiatives: the Kenya Development Response to Displacement Impact Project (KDRDIP), the Kenya Climate Smart Agriculture Project (KCSAP), and the Department of Agriculture. A census method was applied, with all 104 respondents selected and interviewed, and qualitative data analysed verbatim. Findings indicated that community members played a critical role in identifying local climate challenges and priorities during the needs assessment stage, sharing first-hand experiences with droughts, flooding, and erratic rainfall, which significantly shaped the assessment process. Participation in the planning phase was largely positive, with community meetings, workshops, and focus groups facilitating resident in discussing and selecting appropriate adaptation strategies. Moreover, community engagement remained high during implementation phase, particularly in projects such as water conservation, drought-resistant agriculture, and tree planting.</w:t>
      </w:r>
      <w:r w:rsidR="00F707DD">
        <w:t xml:space="preserve"> </w:t>
      </w:r>
      <w:r w:rsidR="003B2947" w:rsidRPr="003B2947">
        <w:t xml:space="preserve">The research concludes that mainstreaming community participation into climate change adaptation is not a procedural necessity, it is a strategic necessity. Community-led processes result in stronger, more equitable, and widely accepted outcomes. But for participation to be genuine and effective, it should be institutionalized, well supported, and encompass all segments of the community. Ultimately, enabling authentic community ownership of climate adaptation planning is essential to addressing the compounded impacts of climate change in vulnerable regions like </w:t>
      </w:r>
      <w:proofErr w:type="spellStart"/>
      <w:r w:rsidR="003B2947" w:rsidRPr="003B2947">
        <w:t>Fafi</w:t>
      </w:r>
      <w:proofErr w:type="spellEnd"/>
      <w:r w:rsidR="003B2947" w:rsidRPr="003B2947">
        <w:t xml:space="preserve"> Sub-County. The interventions promote participatory climate governance as a central pillar of local resilienc</w:t>
      </w:r>
      <w:r w:rsidR="003B2947">
        <w:t xml:space="preserve">e. </w:t>
      </w:r>
      <w:r w:rsidR="003B2947" w:rsidRPr="00F707DD">
        <w:t>However, challenges such as low participation rates from certain community groups, especially women and youth, due to cultural norms and socio-economic barriers hinder climate change adaptation. Moreover, disconnecting community members from the planning process overwhelm local knowledge and priorities. Conflict between local priorities and the objectives set by external factors hindered the full involvement of the community in the planning process, as their needs and preferences were not fully incorporated into the strategies</w:t>
      </w:r>
      <w:r w:rsidR="003B2947">
        <w:t>.</w:t>
      </w:r>
    </w:p>
    <w:p w14:paraId="2EC6B0DC" w14:textId="449117DB" w:rsidR="00C526AE" w:rsidRDefault="00A76D93" w:rsidP="00F707DD">
      <w:pPr>
        <w:pStyle w:val="BodyText"/>
        <w:spacing w:before="132"/>
        <w:ind w:right="301"/>
      </w:pPr>
      <w:r w:rsidRPr="00A76D93">
        <w:t xml:space="preserve">Key words: Climate change adaptations, Community participation, Need assessment, and </w:t>
      </w:r>
      <w:r w:rsidR="003E142C" w:rsidRPr="00A76D93">
        <w:t>implementation</w:t>
      </w:r>
      <w:r w:rsidR="003E142C">
        <w:t>, Resilience</w:t>
      </w:r>
    </w:p>
    <w:p w14:paraId="177BC429" w14:textId="77777777" w:rsidR="00C526AE" w:rsidRDefault="00A11850">
      <w:pPr>
        <w:pStyle w:val="Heading1"/>
        <w:spacing w:before="1"/>
        <w:jc w:val="left"/>
      </w:pPr>
      <w:r>
        <w:rPr>
          <w:spacing w:val="-2"/>
        </w:rPr>
        <w:t>Introduction</w:t>
      </w:r>
    </w:p>
    <w:p w14:paraId="02212361" w14:textId="2B36A10C" w:rsidR="00C526AE" w:rsidRDefault="00A11850">
      <w:pPr>
        <w:pStyle w:val="BodyText"/>
        <w:spacing w:before="171" w:line="256" w:lineRule="auto"/>
        <w:ind w:right="301"/>
        <w:rPr>
          <w:b/>
        </w:rPr>
      </w:pPr>
      <w:r>
        <w:t>Climate</w:t>
      </w:r>
      <w:r>
        <w:rPr>
          <w:spacing w:val="-2"/>
        </w:rPr>
        <w:t xml:space="preserve"> </w:t>
      </w:r>
      <w:r>
        <w:t>change</w:t>
      </w:r>
      <w:r>
        <w:rPr>
          <w:spacing w:val="-2"/>
        </w:rPr>
        <w:t xml:space="preserve"> </w:t>
      </w:r>
      <w:r>
        <w:t>has</w:t>
      </w:r>
      <w:r>
        <w:rPr>
          <w:spacing w:val="-2"/>
        </w:rPr>
        <w:t xml:space="preserve"> </w:t>
      </w:r>
      <w:r>
        <w:t>emerged</w:t>
      </w:r>
      <w:r>
        <w:rPr>
          <w:spacing w:val="-2"/>
        </w:rPr>
        <w:t xml:space="preserve"> </w:t>
      </w:r>
      <w:r>
        <w:t>as</w:t>
      </w:r>
      <w:r>
        <w:rPr>
          <w:spacing w:val="-2"/>
        </w:rPr>
        <w:t xml:space="preserve"> </w:t>
      </w:r>
      <w:r>
        <w:t>a</w:t>
      </w:r>
      <w:r>
        <w:rPr>
          <w:spacing w:val="-2"/>
        </w:rPr>
        <w:t xml:space="preserve"> </w:t>
      </w:r>
      <w:r>
        <w:t>global</w:t>
      </w:r>
      <w:r>
        <w:rPr>
          <w:spacing w:val="-1"/>
        </w:rPr>
        <w:t xml:space="preserve"> </w:t>
      </w:r>
      <w:r>
        <w:t>challenge,</w:t>
      </w:r>
      <w:r>
        <w:rPr>
          <w:spacing w:val="-2"/>
        </w:rPr>
        <w:t xml:space="preserve"> </w:t>
      </w:r>
      <w:r>
        <w:t>the</w:t>
      </w:r>
      <w:r>
        <w:rPr>
          <w:spacing w:val="-4"/>
        </w:rPr>
        <w:t xml:space="preserve"> </w:t>
      </w:r>
      <w:r>
        <w:t>foremost</w:t>
      </w:r>
      <w:r>
        <w:rPr>
          <w:spacing w:val="-1"/>
        </w:rPr>
        <w:t xml:space="preserve"> </w:t>
      </w:r>
      <w:r>
        <w:t>threat</w:t>
      </w:r>
      <w:r>
        <w:rPr>
          <w:spacing w:val="-1"/>
        </w:rPr>
        <w:t xml:space="preserve"> </w:t>
      </w:r>
      <w:r>
        <w:t>facing</w:t>
      </w:r>
      <w:r>
        <w:rPr>
          <w:spacing w:val="-5"/>
        </w:rPr>
        <w:t xml:space="preserve"> </w:t>
      </w:r>
      <w:r>
        <w:t>our</w:t>
      </w:r>
      <w:r>
        <w:rPr>
          <w:spacing w:val="-2"/>
        </w:rPr>
        <w:t xml:space="preserve"> </w:t>
      </w:r>
      <w:r>
        <w:t>planet today.</w:t>
      </w:r>
      <w:r>
        <w:rPr>
          <w:spacing w:val="-2"/>
        </w:rPr>
        <w:t xml:space="preserve"> </w:t>
      </w:r>
      <w:r>
        <w:t xml:space="preserve">Recent observations indicates that extreme and frequent climate events with global warming reaching 0.5°C (IPCC, 2021). According to a report from </w:t>
      </w:r>
      <w:proofErr w:type="spellStart"/>
      <w:r>
        <w:t>Mugizi</w:t>
      </w:r>
      <w:proofErr w:type="spellEnd"/>
      <w:r>
        <w:t xml:space="preserve"> et al. (2017), an average warming of approximately 0.6°C in both the earth’s surface and the lower atmosphere over the past century. This rise in global surface temperature is likely linked to increased greenhouse gas emissions and concurrent</w:t>
      </w:r>
      <w:r>
        <w:rPr>
          <w:spacing w:val="40"/>
        </w:rPr>
        <w:t xml:space="preserve"> </w:t>
      </w:r>
      <w:r>
        <w:t>atmospheric concentration changes. The urgency of addressing climate change has led many to advocate for a paradigm shift in socio-economic relations</w:t>
      </w:r>
      <w:r w:rsidR="00090A2E">
        <w:t xml:space="preserve"> (</w:t>
      </w:r>
      <w:r w:rsidR="00090A2E" w:rsidRPr="00090A2E">
        <w:t>Deshmukh, 2025)</w:t>
      </w:r>
      <w:r>
        <w:t>. Local communities worldwide are responding by raising awareness and taking action. As we grapple with this critical issue, community engagement becomes a powerful tool in our collective efforts to mitigate and adapt to</w:t>
      </w:r>
      <w:r>
        <w:rPr>
          <w:spacing w:val="-1"/>
        </w:rPr>
        <w:t xml:space="preserve"> </w:t>
      </w:r>
      <w:r>
        <w:t>climate change</w:t>
      </w:r>
      <w:r>
        <w:rPr>
          <w:b/>
        </w:rPr>
        <w:t>.</w:t>
      </w:r>
    </w:p>
    <w:p w14:paraId="4C56E27B" w14:textId="77777777" w:rsidR="00C526AE" w:rsidRDefault="00A11850">
      <w:pPr>
        <w:pStyle w:val="Heading1"/>
        <w:spacing w:before="159"/>
        <w:jc w:val="left"/>
      </w:pPr>
      <w:r>
        <w:t>Background</w:t>
      </w:r>
      <w:r>
        <w:rPr>
          <w:spacing w:val="-6"/>
        </w:rPr>
        <w:t xml:space="preserve"> </w:t>
      </w:r>
      <w:r>
        <w:t>of</w:t>
      </w:r>
      <w:r>
        <w:rPr>
          <w:spacing w:val="-3"/>
        </w:rPr>
        <w:t xml:space="preserve"> </w:t>
      </w:r>
      <w:r>
        <w:t>the</w:t>
      </w:r>
      <w:r>
        <w:rPr>
          <w:spacing w:val="-2"/>
        </w:rPr>
        <w:t xml:space="preserve"> </w:t>
      </w:r>
      <w:r>
        <w:rPr>
          <w:spacing w:val="-4"/>
        </w:rPr>
        <w:t>study</w:t>
      </w:r>
    </w:p>
    <w:p w14:paraId="3C3B62E6" w14:textId="77777777" w:rsidR="00C526AE" w:rsidRDefault="00A11850">
      <w:pPr>
        <w:pStyle w:val="BodyText"/>
        <w:spacing w:before="172" w:line="256" w:lineRule="auto"/>
        <w:ind w:right="301"/>
      </w:pPr>
      <w:r>
        <w:t>Climate change presents a significant global threat to the agricultural sector, primarily by</w:t>
      </w:r>
      <w:r>
        <w:rPr>
          <w:spacing w:val="80"/>
        </w:rPr>
        <w:t xml:space="preserve"> </w:t>
      </w:r>
      <w:r>
        <w:t xml:space="preserve">undermining food security. Vietnam, a major contributor to the global food industry and a leading exporter of rice, seafood, and coffee, has experienced adverse impacts of global warming on agricultural productivity in </w:t>
      </w:r>
      <w:r>
        <w:lastRenderedPageBreak/>
        <w:t>both the short and long term (Dao, Nguyen, &amp; Abbas, 2023). Across Africa, climate change has exacerbated poverty, degraded ecosystems, and increased vulnerability to complex disasters. If these challenges are not addressed, the continent risks a severe food crisis with serious implications for agriculture and human health. In sub-Saharan Africa, crop yields are</w:t>
      </w:r>
      <w:r>
        <w:rPr>
          <w:spacing w:val="80"/>
        </w:rPr>
        <w:t xml:space="preserve"> </w:t>
      </w:r>
      <w:r>
        <w:t>projected to decline by 10-20% by 2050 without effective climate mitigation, it is expected to further compromise the livelihoods and living standards of rural communities (Mensah, 2016).</w:t>
      </w:r>
    </w:p>
    <w:p w14:paraId="4D4DF6B5" w14:textId="77777777" w:rsidR="00C526AE" w:rsidRDefault="00A11850">
      <w:pPr>
        <w:pStyle w:val="BodyText"/>
        <w:spacing w:before="152" w:line="256" w:lineRule="auto"/>
        <w:ind w:right="299"/>
        <w:rPr>
          <w:spacing w:val="-2"/>
        </w:rPr>
      </w:pPr>
      <w:r>
        <w:t>The 2022 Kenya Continuous Household Survey by the Kenya National Bureau of Statistics (KNBS), indicates</w:t>
      </w:r>
      <w:r>
        <w:rPr>
          <w:spacing w:val="60"/>
        </w:rPr>
        <w:t xml:space="preserve"> </w:t>
      </w:r>
      <w:r>
        <w:t>that</w:t>
      </w:r>
      <w:r>
        <w:rPr>
          <w:spacing w:val="62"/>
        </w:rPr>
        <w:t xml:space="preserve"> </w:t>
      </w:r>
      <w:r>
        <w:t>Garissa</w:t>
      </w:r>
      <w:r>
        <w:rPr>
          <w:spacing w:val="62"/>
        </w:rPr>
        <w:t xml:space="preserve"> </w:t>
      </w:r>
      <w:r>
        <w:t>County</w:t>
      </w:r>
      <w:r>
        <w:rPr>
          <w:spacing w:val="59"/>
        </w:rPr>
        <w:t xml:space="preserve"> </w:t>
      </w:r>
      <w:r>
        <w:t>has</w:t>
      </w:r>
      <w:r>
        <w:rPr>
          <w:spacing w:val="61"/>
        </w:rPr>
        <w:t xml:space="preserve"> </w:t>
      </w:r>
      <w:r>
        <w:t>a</w:t>
      </w:r>
      <w:r>
        <w:rPr>
          <w:spacing w:val="62"/>
        </w:rPr>
        <w:t xml:space="preserve"> </w:t>
      </w:r>
      <w:r>
        <w:t>poverty</w:t>
      </w:r>
      <w:r>
        <w:rPr>
          <w:spacing w:val="59"/>
        </w:rPr>
        <w:t xml:space="preserve"> </w:t>
      </w:r>
      <w:r>
        <w:t>rate</w:t>
      </w:r>
      <w:r>
        <w:rPr>
          <w:spacing w:val="59"/>
        </w:rPr>
        <w:t xml:space="preserve"> </w:t>
      </w:r>
      <w:r>
        <w:t>of</w:t>
      </w:r>
      <w:r>
        <w:rPr>
          <w:spacing w:val="62"/>
        </w:rPr>
        <w:t xml:space="preserve"> </w:t>
      </w:r>
      <w:r>
        <w:t>68.3%,</w:t>
      </w:r>
      <w:r>
        <w:rPr>
          <w:spacing w:val="68"/>
        </w:rPr>
        <w:t xml:space="preserve"> </w:t>
      </w:r>
      <w:r>
        <w:t>with</w:t>
      </w:r>
      <w:r>
        <w:rPr>
          <w:spacing w:val="60"/>
        </w:rPr>
        <w:t xml:space="preserve"> </w:t>
      </w:r>
      <w:r>
        <w:t>70%</w:t>
      </w:r>
      <w:r>
        <w:rPr>
          <w:spacing w:val="62"/>
        </w:rPr>
        <w:t xml:space="preserve"> </w:t>
      </w:r>
      <w:r>
        <w:t>of</w:t>
      </w:r>
      <w:r>
        <w:rPr>
          <w:spacing w:val="60"/>
        </w:rPr>
        <w:t xml:space="preserve"> </w:t>
      </w:r>
      <w:r>
        <w:t>its</w:t>
      </w:r>
      <w:r>
        <w:rPr>
          <w:spacing w:val="63"/>
        </w:rPr>
        <w:t xml:space="preserve"> </w:t>
      </w:r>
      <w:r>
        <w:t>population</w:t>
      </w:r>
      <w:r>
        <w:rPr>
          <w:spacing w:val="62"/>
        </w:rPr>
        <w:t xml:space="preserve"> </w:t>
      </w:r>
      <w:r>
        <w:rPr>
          <w:spacing w:val="-2"/>
        </w:rPr>
        <w:t>being</w:t>
      </w:r>
    </w:p>
    <w:p w14:paraId="33AF65AA" w14:textId="77777777" w:rsidR="00C526AE" w:rsidRDefault="00A11850">
      <w:pPr>
        <w:pStyle w:val="BodyText"/>
        <w:spacing w:before="76" w:line="256" w:lineRule="auto"/>
        <w:ind w:right="301"/>
      </w:pPr>
      <w:r>
        <w:t xml:space="preserve">pastoralists who primarily rely on livestock rearing for their livelihoods. The County is currently facing rising climate change pressures, decline in pasture, and drastic increase in population. Shocks related to climate change such as floods and droughts are increasing in frequency with </w:t>
      </w:r>
      <w:proofErr w:type="spellStart"/>
      <w:r>
        <w:t>Fafi</w:t>
      </w:r>
      <w:proofErr w:type="spellEnd"/>
      <w:r>
        <w:t xml:space="preserve"> sub- county, Garissa County not exceptional.</w:t>
      </w:r>
    </w:p>
    <w:p w14:paraId="6ADC0B30" w14:textId="77777777" w:rsidR="00C526AE" w:rsidRDefault="00A11850">
      <w:pPr>
        <w:pStyle w:val="BodyText"/>
        <w:spacing w:before="155" w:line="256" w:lineRule="auto"/>
        <w:ind w:right="301"/>
      </w:pPr>
      <w:r>
        <w:t>Further, Mansuri and Rao (2013) indicates that climate change has diverse impacts on households dependent on vegetation, affecting multiple domains including health, welfare, income, food security, and cultural habitats. Garissa County (formerly Garissa District) provides a notable example, FAO (2022) report, reveals a cyclical drought recurrence in the county with major events experienced in years 1983-84, 1991, 1993-94, 1999-2000 and 2003 periods. During these periods, over half a million livestock perished, resulting in acute food shortages and a rise in human-wildlife conflicts (</w:t>
      </w:r>
      <w:proofErr w:type="spellStart"/>
      <w:r>
        <w:t>Kilewo</w:t>
      </w:r>
      <w:proofErr w:type="spellEnd"/>
      <w:r>
        <w:t xml:space="preserve"> &amp; </w:t>
      </w:r>
      <w:proofErr w:type="spellStart"/>
      <w:r>
        <w:t>Frumence</w:t>
      </w:r>
      <w:proofErr w:type="spellEnd"/>
      <w:r>
        <w:t>, 2015).</w:t>
      </w:r>
    </w:p>
    <w:p w14:paraId="16A627E0" w14:textId="77777777" w:rsidR="00C526AE" w:rsidRDefault="00C526AE">
      <w:pPr>
        <w:pStyle w:val="BodyText"/>
        <w:spacing w:before="22"/>
        <w:ind w:left="0"/>
        <w:jc w:val="left"/>
      </w:pPr>
    </w:p>
    <w:p w14:paraId="7F548487" w14:textId="77777777" w:rsidR="00C526AE" w:rsidRDefault="00A11850">
      <w:pPr>
        <w:pStyle w:val="BodyText"/>
        <w:spacing w:before="1"/>
        <w:ind w:right="303"/>
      </w:pPr>
      <w:r>
        <w:t>However, community participation has remained integral to climate change adaptation, exemplified</w:t>
      </w:r>
      <w:r>
        <w:rPr>
          <w:spacing w:val="40"/>
        </w:rPr>
        <w:t xml:space="preserve"> </w:t>
      </w:r>
      <w:r>
        <w:t>by initiatives like the Participatory Climate Risk Assessment (PCRA), which engaged residents from all 30 wards of Garissa County in identifying vulnerability hotspots and prioritizing interventions. Workshops led by local actors including Islamic Relief, the Adaptation Learning Programme (ALP), and county technical staff, actively involved women, youth, elders, and marginalized groups in vulnerability mapping, scenario planning and resource governance. The establishment of Ward Climate Change Planning Committees (WCCPCs) has enabled communities to influence adaptation strategies, such as water infrastructure projects, reducing water scarcity, resource conflicts, and improving livelihoods. These participatory approaches have strengthened technical responses to droughts, floods, and ecosystem degradation while fostering social cohesion, local ownership, and gender inclusivity.</w:t>
      </w:r>
    </w:p>
    <w:p w14:paraId="686D2C2C" w14:textId="77777777" w:rsidR="00C526AE" w:rsidRDefault="00C526AE">
      <w:pPr>
        <w:pStyle w:val="BodyText"/>
        <w:spacing w:before="31"/>
        <w:ind w:left="0"/>
        <w:jc w:val="left"/>
      </w:pPr>
    </w:p>
    <w:p w14:paraId="3F447B03" w14:textId="77777777" w:rsidR="00C526AE" w:rsidRDefault="00A11850">
      <w:pPr>
        <w:pStyle w:val="Heading1"/>
      </w:pPr>
      <w:r>
        <w:t>Statement</w:t>
      </w:r>
      <w:r>
        <w:rPr>
          <w:spacing w:val="-3"/>
        </w:rPr>
        <w:t xml:space="preserve"> </w:t>
      </w:r>
      <w:r>
        <w:t>of</w:t>
      </w:r>
      <w:r>
        <w:rPr>
          <w:spacing w:val="-2"/>
        </w:rPr>
        <w:t xml:space="preserve"> </w:t>
      </w:r>
      <w:r>
        <w:t>the</w:t>
      </w:r>
      <w:r>
        <w:rPr>
          <w:spacing w:val="-5"/>
        </w:rPr>
        <w:t xml:space="preserve"> </w:t>
      </w:r>
      <w:r>
        <w:rPr>
          <w:spacing w:val="-2"/>
        </w:rPr>
        <w:t>problem</w:t>
      </w:r>
    </w:p>
    <w:p w14:paraId="412FF290" w14:textId="77777777" w:rsidR="00C526AE" w:rsidRDefault="00A11850">
      <w:pPr>
        <w:pStyle w:val="BodyText"/>
        <w:spacing w:before="172" w:line="256" w:lineRule="auto"/>
        <w:ind w:right="302"/>
      </w:pPr>
      <w:r>
        <w:t>Climate change poses a considerable risk to communities worldwide, impacting ecosystems, weather patterns, and</w:t>
      </w:r>
      <w:r>
        <w:rPr>
          <w:spacing w:val="-1"/>
        </w:rPr>
        <w:t xml:space="preserve"> </w:t>
      </w:r>
      <w:r>
        <w:t>the overall well-being</w:t>
      </w:r>
      <w:r>
        <w:rPr>
          <w:spacing w:val="-2"/>
        </w:rPr>
        <w:t xml:space="preserve"> </w:t>
      </w:r>
      <w:r>
        <w:t xml:space="preserve">of populations. </w:t>
      </w:r>
      <w:proofErr w:type="spellStart"/>
      <w:r>
        <w:t>Fafi</w:t>
      </w:r>
      <w:proofErr w:type="spellEnd"/>
      <w:r>
        <w:t xml:space="preserve"> Sub-County</w:t>
      </w:r>
      <w:r>
        <w:rPr>
          <w:spacing w:val="-2"/>
        </w:rPr>
        <w:t xml:space="preserve"> </w:t>
      </w:r>
      <w:r>
        <w:t>of Garissa County</w:t>
      </w:r>
      <w:r>
        <w:rPr>
          <w:spacing w:val="-2"/>
        </w:rPr>
        <w:t xml:space="preserve"> </w:t>
      </w:r>
      <w:r>
        <w:t xml:space="preserve">is not immune to these challenges. Aggravated by human activities, these issues calls for urgent interventions and failure to address them could endanger the environmental quality and the sustainability. It also increases local adaptive ability, public awareness and decrease local communities’ vulnerability to climate change related shocks. Community participation is therefore recognized as a key factor in the successful implementation of adaptation measures, as it involves engaging local residents in decision- making processes and action plans. However, the extent and nature of community participation in climate change adaptation initiatives in </w:t>
      </w:r>
      <w:proofErr w:type="spellStart"/>
      <w:r>
        <w:t>Fafi</w:t>
      </w:r>
      <w:proofErr w:type="spellEnd"/>
      <w:r>
        <w:t xml:space="preserve"> Sub-County remain unclear.</w:t>
      </w:r>
    </w:p>
    <w:p w14:paraId="67795B4C" w14:textId="77777777" w:rsidR="00C526AE" w:rsidRDefault="00A11850">
      <w:pPr>
        <w:pStyle w:val="BodyText"/>
        <w:spacing w:before="154" w:line="256" w:lineRule="auto"/>
        <w:ind w:right="302"/>
      </w:pPr>
      <w:r>
        <w:t>Most government institutions are deficient in effective public engagement infrastructure. Perhaps this can be attributed to a perception of insufficient knowledge regarding climate change. Diverse factors such as inadequate awareness and education regarding climate change repercussions, restricted availability of timely information, socioeconomic vulnerability placing immediate survival needs as priority, constraints in resources, impeding project execution, power dynamics and socioeconomic disparities influencing participation, insufficient institutional backing at local and national level. Addressing these challenges, therefore, is critical in enhancing local adaptive capacity and ensuring the successful implementation of climate change adaptation measures.</w:t>
      </w:r>
    </w:p>
    <w:p w14:paraId="35B05C69" w14:textId="77777777" w:rsidR="00C526AE" w:rsidRDefault="00A11850">
      <w:pPr>
        <w:pStyle w:val="Heading1"/>
        <w:spacing w:before="177"/>
      </w:pPr>
      <w:r>
        <w:t>Objective</w:t>
      </w:r>
      <w:r>
        <w:rPr>
          <w:spacing w:val="-7"/>
        </w:rPr>
        <w:t xml:space="preserve"> </w:t>
      </w:r>
      <w:r>
        <w:t>of</w:t>
      </w:r>
      <w:r>
        <w:rPr>
          <w:spacing w:val="-2"/>
        </w:rPr>
        <w:t xml:space="preserve"> </w:t>
      </w:r>
      <w:r>
        <w:t>the</w:t>
      </w:r>
      <w:r>
        <w:rPr>
          <w:spacing w:val="-2"/>
        </w:rPr>
        <w:t xml:space="preserve"> </w:t>
      </w:r>
      <w:r>
        <w:rPr>
          <w:spacing w:val="-4"/>
        </w:rPr>
        <w:t>study</w:t>
      </w:r>
    </w:p>
    <w:p w14:paraId="49D5EDE7" w14:textId="77777777" w:rsidR="00C526AE" w:rsidRDefault="00A11850">
      <w:pPr>
        <w:pStyle w:val="BodyText"/>
        <w:spacing w:before="174"/>
      </w:pPr>
      <w:r>
        <w:t>The</w:t>
      </w:r>
      <w:r>
        <w:rPr>
          <w:spacing w:val="-4"/>
        </w:rPr>
        <w:t xml:space="preserve"> </w:t>
      </w:r>
      <w:r>
        <w:t>objective</w:t>
      </w:r>
      <w:r>
        <w:rPr>
          <w:spacing w:val="-2"/>
        </w:rPr>
        <w:t xml:space="preserve"> </w:t>
      </w:r>
      <w:r>
        <w:t>of</w:t>
      </w:r>
      <w:r>
        <w:rPr>
          <w:spacing w:val="-4"/>
        </w:rPr>
        <w:t xml:space="preserve"> </w:t>
      </w:r>
      <w:r>
        <w:t>the</w:t>
      </w:r>
      <w:r>
        <w:rPr>
          <w:spacing w:val="-4"/>
        </w:rPr>
        <w:t xml:space="preserve"> </w:t>
      </w:r>
      <w:r>
        <w:t>study</w:t>
      </w:r>
      <w:r>
        <w:rPr>
          <w:spacing w:val="-5"/>
        </w:rPr>
        <w:t xml:space="preserve"> </w:t>
      </w:r>
      <w:r>
        <w:t>was</w:t>
      </w:r>
      <w:r>
        <w:rPr>
          <w:spacing w:val="-1"/>
        </w:rPr>
        <w:t xml:space="preserve"> </w:t>
      </w:r>
      <w:r>
        <w:rPr>
          <w:spacing w:val="-5"/>
        </w:rPr>
        <w:t>to:</w:t>
      </w:r>
    </w:p>
    <w:p w14:paraId="2F1494E1" w14:textId="77777777" w:rsidR="00C526AE" w:rsidRDefault="00A11850">
      <w:pPr>
        <w:pStyle w:val="BodyText"/>
        <w:spacing w:before="177" w:line="254" w:lineRule="auto"/>
        <w:ind w:left="448" w:hanging="284"/>
        <w:jc w:val="left"/>
      </w:pPr>
      <w:proofErr w:type="spellStart"/>
      <w:r>
        <w:t>i</w:t>
      </w:r>
      <w:proofErr w:type="spellEnd"/>
      <w:r>
        <w:t>)</w:t>
      </w:r>
      <w:r>
        <w:rPr>
          <w:spacing w:val="-4"/>
        </w:rPr>
        <w:t xml:space="preserve"> </w:t>
      </w:r>
      <w:r>
        <w:t>To</w:t>
      </w:r>
      <w:r>
        <w:rPr>
          <w:spacing w:val="-5"/>
        </w:rPr>
        <w:t xml:space="preserve"> </w:t>
      </w:r>
      <w:r>
        <w:t>evaluate</w:t>
      </w:r>
      <w:r>
        <w:rPr>
          <w:spacing w:val="-4"/>
        </w:rPr>
        <w:t xml:space="preserve"> </w:t>
      </w:r>
      <w:r>
        <w:t>the</w:t>
      </w:r>
      <w:r>
        <w:rPr>
          <w:spacing w:val="-4"/>
        </w:rPr>
        <w:t xml:space="preserve"> </w:t>
      </w:r>
      <w:r>
        <w:t>role</w:t>
      </w:r>
      <w:r>
        <w:rPr>
          <w:spacing w:val="-2"/>
        </w:rPr>
        <w:t xml:space="preserve"> </w:t>
      </w:r>
      <w:r>
        <w:t>of</w:t>
      </w:r>
      <w:r>
        <w:rPr>
          <w:spacing w:val="-4"/>
        </w:rPr>
        <w:t xml:space="preserve"> </w:t>
      </w:r>
      <w:r>
        <w:t>community</w:t>
      </w:r>
      <w:r>
        <w:rPr>
          <w:spacing w:val="-5"/>
        </w:rPr>
        <w:t xml:space="preserve"> </w:t>
      </w:r>
      <w:r>
        <w:t>participation</w:t>
      </w:r>
      <w:r>
        <w:rPr>
          <w:spacing w:val="-2"/>
        </w:rPr>
        <w:t xml:space="preserve"> </w:t>
      </w:r>
      <w:r>
        <w:t>in</w:t>
      </w:r>
      <w:r>
        <w:rPr>
          <w:spacing w:val="-5"/>
        </w:rPr>
        <w:t xml:space="preserve"> </w:t>
      </w:r>
      <w:r>
        <w:t>need</w:t>
      </w:r>
      <w:r>
        <w:rPr>
          <w:spacing w:val="-2"/>
        </w:rPr>
        <w:t xml:space="preserve"> </w:t>
      </w:r>
      <w:r>
        <w:t>assessment</w:t>
      </w:r>
      <w:r>
        <w:rPr>
          <w:spacing w:val="-1"/>
        </w:rPr>
        <w:t xml:space="preserve"> </w:t>
      </w:r>
      <w:r>
        <w:t>on</w:t>
      </w:r>
      <w:r>
        <w:rPr>
          <w:spacing w:val="-2"/>
        </w:rPr>
        <w:t xml:space="preserve"> </w:t>
      </w:r>
      <w:r>
        <w:t>climate</w:t>
      </w:r>
      <w:r>
        <w:rPr>
          <w:spacing w:val="-2"/>
        </w:rPr>
        <w:t xml:space="preserve"> </w:t>
      </w:r>
      <w:r>
        <w:t>change</w:t>
      </w:r>
      <w:r>
        <w:rPr>
          <w:spacing w:val="-2"/>
        </w:rPr>
        <w:t xml:space="preserve"> </w:t>
      </w:r>
      <w:r>
        <w:t xml:space="preserve">adaptations initiatives in </w:t>
      </w:r>
      <w:proofErr w:type="spellStart"/>
      <w:r>
        <w:t>Fafi</w:t>
      </w:r>
      <w:proofErr w:type="spellEnd"/>
      <w:r>
        <w:t xml:space="preserve"> sub-county.</w:t>
      </w:r>
    </w:p>
    <w:p w14:paraId="43A04D09" w14:textId="77777777" w:rsidR="00C526AE" w:rsidRDefault="00C526AE">
      <w:pPr>
        <w:pStyle w:val="BodyText"/>
        <w:spacing w:line="254" w:lineRule="auto"/>
        <w:jc w:val="left"/>
        <w:sectPr w:rsidR="00C526AE">
          <w:headerReference w:type="even" r:id="rId7"/>
          <w:headerReference w:type="default" r:id="rId8"/>
          <w:footerReference w:type="even" r:id="rId9"/>
          <w:footerReference w:type="default" r:id="rId10"/>
          <w:headerReference w:type="first" r:id="rId11"/>
          <w:footerReference w:type="first" r:id="rId12"/>
          <w:pgSz w:w="11910" w:h="16840"/>
          <w:pgMar w:top="1340" w:right="1133" w:bottom="1200" w:left="1275" w:header="0" w:footer="1002" w:gutter="0"/>
          <w:cols w:space="720"/>
        </w:sectPr>
      </w:pPr>
    </w:p>
    <w:p w14:paraId="77B82F2D" w14:textId="77777777" w:rsidR="00C526AE" w:rsidRDefault="00A11850">
      <w:pPr>
        <w:pStyle w:val="Heading1"/>
        <w:spacing w:before="80" w:line="408" w:lineRule="auto"/>
        <w:ind w:right="7515"/>
      </w:pPr>
      <w:r>
        <w:t>Literature Review Theoretical</w:t>
      </w:r>
      <w:r>
        <w:rPr>
          <w:spacing w:val="-4"/>
        </w:rPr>
        <w:t xml:space="preserve"> </w:t>
      </w:r>
      <w:r>
        <w:rPr>
          <w:spacing w:val="-2"/>
        </w:rPr>
        <w:t>Review</w:t>
      </w:r>
    </w:p>
    <w:p w14:paraId="6FF6DA8A" w14:textId="77777777" w:rsidR="00C526AE" w:rsidRDefault="00A11850">
      <w:pPr>
        <w:pStyle w:val="BodyText"/>
        <w:spacing w:line="256" w:lineRule="auto"/>
        <w:ind w:right="301"/>
      </w:pPr>
      <w:r>
        <w:t>The study adopted Empowerment Theory. Empowerment theory entails a collaborative approach that facilitates individuals and communities in reaching their objectives through fostering mutual assistance, thereby cultivating a receptive community. Perkins and Zimmerman (1995), the proponent of this theory argue that participation, recognition, and authority are key empowerment components. Empowerment produces social policy and change in society based on members’ competence and strengths secured by proactive activities and actions towards progress (Rappaport, 1981). Palash (2020) opines that participation is crucial towards individual and community empowerment. This involvement includes common leadership which is founded on collective decision making which in turn recognizes collective activities and actions on accessing and utilizing government and</w:t>
      </w:r>
      <w:r>
        <w:rPr>
          <w:spacing w:val="80"/>
        </w:rPr>
        <w:t xml:space="preserve"> </w:t>
      </w:r>
      <w:r>
        <w:t>community resources.</w:t>
      </w:r>
    </w:p>
    <w:p w14:paraId="6C2AD073" w14:textId="77777777" w:rsidR="00C526AE" w:rsidRDefault="00A11850">
      <w:pPr>
        <w:pStyle w:val="BodyText"/>
        <w:spacing w:before="147" w:line="256" w:lineRule="auto"/>
        <w:ind w:right="300"/>
      </w:pPr>
      <w:r>
        <w:t>The theory of empowerment proposes that governmental bodies and humanitarian organizations can support communities in addressing their own challenges through participation. According to Perkins and Zimmerman (1995), members of community possess the requisite skills, resources and knowhow for achieving social and economic benefits, but often lack awareness in order to recognize these abilities. Thus, empowerment can be seen as initiatives that prompt communities and individuals to harness and utilize the available</w:t>
      </w:r>
      <w:r>
        <w:rPr>
          <w:spacing w:val="-1"/>
        </w:rPr>
        <w:t xml:space="preserve"> </w:t>
      </w:r>
      <w:r>
        <w:t>resources</w:t>
      </w:r>
      <w:r>
        <w:rPr>
          <w:spacing w:val="-1"/>
        </w:rPr>
        <w:t xml:space="preserve"> </w:t>
      </w:r>
      <w:r>
        <w:t>in an</w:t>
      </w:r>
      <w:r>
        <w:rPr>
          <w:spacing w:val="-1"/>
        </w:rPr>
        <w:t xml:space="preserve"> </w:t>
      </w:r>
      <w:r>
        <w:t>accountable way</w:t>
      </w:r>
      <w:r>
        <w:rPr>
          <w:spacing w:val="-1"/>
        </w:rPr>
        <w:t xml:space="preserve"> </w:t>
      </w:r>
      <w:r>
        <w:t>(Perkins, 1993).While</w:t>
      </w:r>
      <w:r>
        <w:rPr>
          <w:spacing w:val="-1"/>
        </w:rPr>
        <w:t xml:space="preserve"> </w:t>
      </w:r>
      <w:r>
        <w:t xml:space="preserve">there is no set formula for empowerment, it generally involves efforts by governmental or donor entities to collaboratively enhance the community standard of living as in the case of </w:t>
      </w:r>
      <w:proofErr w:type="spellStart"/>
      <w:r>
        <w:t>Fafi</w:t>
      </w:r>
      <w:proofErr w:type="spellEnd"/>
      <w:r>
        <w:t xml:space="preserve"> sub-County, Garissa </w:t>
      </w:r>
      <w:r>
        <w:rPr>
          <w:spacing w:val="-2"/>
        </w:rPr>
        <w:t>County.</w:t>
      </w:r>
    </w:p>
    <w:p w14:paraId="418BB068" w14:textId="77777777" w:rsidR="00C526AE" w:rsidRDefault="00A11850">
      <w:pPr>
        <w:pStyle w:val="Heading1"/>
        <w:spacing w:before="196"/>
        <w:ind w:left="220"/>
      </w:pPr>
      <w:r>
        <w:t>Empirical</w:t>
      </w:r>
      <w:r>
        <w:rPr>
          <w:spacing w:val="-4"/>
        </w:rPr>
        <w:t xml:space="preserve"> </w:t>
      </w:r>
      <w:r>
        <w:rPr>
          <w:spacing w:val="-2"/>
        </w:rPr>
        <w:t>Review</w:t>
      </w:r>
    </w:p>
    <w:p w14:paraId="26FB5D86" w14:textId="77777777" w:rsidR="00C526AE" w:rsidRDefault="00A11850">
      <w:pPr>
        <w:spacing w:before="180"/>
        <w:ind w:left="165"/>
        <w:jc w:val="both"/>
        <w:rPr>
          <w:b/>
        </w:rPr>
      </w:pPr>
      <w:r>
        <w:rPr>
          <w:b/>
        </w:rPr>
        <w:t>Community</w:t>
      </w:r>
      <w:r>
        <w:rPr>
          <w:b/>
          <w:spacing w:val="-8"/>
        </w:rPr>
        <w:t xml:space="preserve"> </w:t>
      </w:r>
      <w:r>
        <w:rPr>
          <w:b/>
        </w:rPr>
        <w:t>Participation</w:t>
      </w:r>
      <w:r>
        <w:rPr>
          <w:b/>
          <w:spacing w:val="-6"/>
        </w:rPr>
        <w:t xml:space="preserve"> </w:t>
      </w:r>
      <w:r>
        <w:rPr>
          <w:b/>
        </w:rPr>
        <w:t>in</w:t>
      </w:r>
      <w:r>
        <w:rPr>
          <w:b/>
          <w:spacing w:val="-3"/>
        </w:rPr>
        <w:t xml:space="preserve"> </w:t>
      </w:r>
      <w:r>
        <w:rPr>
          <w:b/>
        </w:rPr>
        <w:t>Need</w:t>
      </w:r>
      <w:r>
        <w:rPr>
          <w:b/>
          <w:spacing w:val="-3"/>
        </w:rPr>
        <w:t xml:space="preserve"> </w:t>
      </w:r>
      <w:r>
        <w:rPr>
          <w:b/>
          <w:spacing w:val="-2"/>
        </w:rPr>
        <w:t>Assessment</w:t>
      </w:r>
    </w:p>
    <w:p w14:paraId="143FAC0F" w14:textId="77777777" w:rsidR="00C526AE" w:rsidRDefault="00A11850">
      <w:pPr>
        <w:pStyle w:val="BodyText"/>
        <w:spacing w:before="172" w:line="256" w:lineRule="auto"/>
        <w:ind w:right="302"/>
      </w:pPr>
      <w:r>
        <w:t>Community participation in need assessment is critical in reducing vulnerability by understanding</w:t>
      </w:r>
      <w:r>
        <w:rPr>
          <w:spacing w:val="40"/>
        </w:rPr>
        <w:t xml:space="preserve"> </w:t>
      </w:r>
      <w:r>
        <w:t>how individuals, groups and natural systems can prepare for and respond to change in climate change at local level (</w:t>
      </w:r>
      <w:proofErr w:type="spellStart"/>
      <w:r>
        <w:t>Atiek</w:t>
      </w:r>
      <w:proofErr w:type="spellEnd"/>
      <w:r>
        <w:t>, 2021). Effective community participation in need assessment will assist in managing and reducing the risks associated with changes in climate and includes disaster risk reduction measures for present day climate extremes. Need assessment occurs through public policy- making and decisions made by community, including individuals, groups, organizations and their networks. Therefore, community participation in need assessment has become a key strategy in research and policy-making on climate change adaptation (Nirmani, 2025).</w:t>
      </w:r>
    </w:p>
    <w:p w14:paraId="69B86EC6" w14:textId="77777777" w:rsidR="00C526AE" w:rsidRDefault="00A11850">
      <w:pPr>
        <w:pStyle w:val="BodyText"/>
        <w:spacing w:before="152" w:line="256" w:lineRule="auto"/>
        <w:ind w:right="301"/>
      </w:pPr>
      <w:r>
        <w:t xml:space="preserve">Shakil and Bhuiya (2014) offers that integration incorporates individuals as equals in society or an organization irrespective of their age, gender and color. In the context of climate change adaptation, relevant stakeholders need to be brought together to identify the most appropriate forms of adaptation In general, community participation in need assessment </w:t>
      </w:r>
      <w:r>
        <w:rPr>
          <w:sz w:val="24"/>
        </w:rPr>
        <w:t>makes adaptation in decision-making more responsive, proactive, flexible, durable and robust (</w:t>
      </w:r>
      <w:proofErr w:type="spellStart"/>
      <w:r>
        <w:rPr>
          <w:color w:val="212121"/>
          <w:sz w:val="24"/>
        </w:rPr>
        <w:t>Thi</w:t>
      </w:r>
      <w:proofErr w:type="spellEnd"/>
      <w:r>
        <w:rPr>
          <w:color w:val="212121"/>
          <w:sz w:val="24"/>
        </w:rPr>
        <w:t xml:space="preserve"> et.al., 2018). </w:t>
      </w:r>
      <w:r>
        <w:rPr>
          <w:sz w:val="24"/>
        </w:rPr>
        <w:t>However</w:t>
      </w:r>
      <w:r>
        <w:t>,</w:t>
      </w:r>
      <w:r>
        <w:rPr>
          <w:spacing w:val="40"/>
        </w:rPr>
        <w:t xml:space="preserve"> </w:t>
      </w:r>
      <w:r>
        <w:t>challenges such as elite capture, linguistic barriers, limited stakeholder mapping, and lack of long- term engagement often undermine the effectiveness of participatory processes in many developing countries (Wolf &amp; Moser, 2021).</w:t>
      </w:r>
    </w:p>
    <w:p w14:paraId="637E8C07" w14:textId="77777777" w:rsidR="00C526AE" w:rsidRDefault="00A11850">
      <w:pPr>
        <w:pStyle w:val="BodyText"/>
        <w:spacing w:before="153"/>
        <w:ind w:right="301"/>
      </w:pPr>
      <w:r>
        <w:t xml:space="preserve">Community participation in need assessment is enhanced when knowledge, resources, networks, and the willingness to find solutions are strengthened. Identifying who participates at any stage in need assessment process is important. Participants in need assessment often include groups which have power to influence the adaptation process and groups that would be directly affected by a predicted climatic impact (Ross, et.al. 2015). However, to engage community participation in need assessment, it requires a careful mapping of the stakeholder landscape and identification of relevant actors at different levels, which governments in many developing countries have failed to achieve. </w:t>
      </w:r>
      <w:proofErr w:type="spellStart"/>
      <w:r>
        <w:t>Reloj</w:t>
      </w:r>
      <w:proofErr w:type="spellEnd"/>
      <w:r>
        <w:rPr>
          <w:spacing w:val="80"/>
        </w:rPr>
        <w:t xml:space="preserve"> </w:t>
      </w:r>
      <w:r>
        <w:t>(2023)</w:t>
      </w:r>
      <w:r>
        <w:rPr>
          <w:spacing w:val="40"/>
        </w:rPr>
        <w:t xml:space="preserve"> </w:t>
      </w:r>
      <w:r>
        <w:t>presents</w:t>
      </w:r>
      <w:r>
        <w:rPr>
          <w:spacing w:val="38"/>
        </w:rPr>
        <w:t xml:space="preserve"> </w:t>
      </w:r>
      <w:r>
        <w:t>that</w:t>
      </w:r>
      <w:r>
        <w:rPr>
          <w:spacing w:val="41"/>
        </w:rPr>
        <w:t xml:space="preserve"> </w:t>
      </w:r>
      <w:r>
        <w:t>community</w:t>
      </w:r>
      <w:r>
        <w:rPr>
          <w:spacing w:val="37"/>
        </w:rPr>
        <w:t xml:space="preserve"> </w:t>
      </w:r>
      <w:r>
        <w:t>need</w:t>
      </w:r>
      <w:r>
        <w:rPr>
          <w:spacing w:val="41"/>
        </w:rPr>
        <w:t xml:space="preserve"> </w:t>
      </w:r>
      <w:r>
        <w:t>assessment</w:t>
      </w:r>
      <w:r>
        <w:rPr>
          <w:spacing w:val="41"/>
        </w:rPr>
        <w:t xml:space="preserve"> </w:t>
      </w:r>
      <w:r>
        <w:t>is</w:t>
      </w:r>
      <w:r>
        <w:rPr>
          <w:spacing w:val="40"/>
        </w:rPr>
        <w:t xml:space="preserve"> </w:t>
      </w:r>
      <w:r>
        <w:t>relevant</w:t>
      </w:r>
      <w:r>
        <w:rPr>
          <w:spacing w:val="38"/>
        </w:rPr>
        <w:t xml:space="preserve"> </w:t>
      </w:r>
      <w:r>
        <w:t>for</w:t>
      </w:r>
      <w:r>
        <w:rPr>
          <w:spacing w:val="41"/>
        </w:rPr>
        <w:t xml:space="preserve"> </w:t>
      </w:r>
      <w:r>
        <w:t>many</w:t>
      </w:r>
      <w:r>
        <w:rPr>
          <w:spacing w:val="38"/>
        </w:rPr>
        <w:t xml:space="preserve"> </w:t>
      </w:r>
      <w:r>
        <w:t>applications</w:t>
      </w:r>
      <w:r>
        <w:rPr>
          <w:spacing w:val="38"/>
        </w:rPr>
        <w:t xml:space="preserve"> </w:t>
      </w:r>
      <w:r>
        <w:t>and</w:t>
      </w:r>
      <w:r>
        <w:rPr>
          <w:spacing w:val="38"/>
        </w:rPr>
        <w:t xml:space="preserve"> </w:t>
      </w:r>
      <w:r>
        <w:t>is</w:t>
      </w:r>
      <w:r>
        <w:rPr>
          <w:spacing w:val="41"/>
        </w:rPr>
        <w:t xml:space="preserve"> </w:t>
      </w:r>
      <w:r>
        <w:rPr>
          <w:spacing w:val="-2"/>
        </w:rPr>
        <w:t>almost</w:t>
      </w:r>
    </w:p>
    <w:p w14:paraId="08CECA2E" w14:textId="77777777" w:rsidR="00C526AE" w:rsidRDefault="00C526AE">
      <w:pPr>
        <w:pStyle w:val="BodyText"/>
        <w:sectPr w:rsidR="00C526AE">
          <w:pgSz w:w="11910" w:h="16840"/>
          <w:pgMar w:top="1340" w:right="1133" w:bottom="1200" w:left="1275" w:header="0" w:footer="1002" w:gutter="0"/>
          <w:cols w:space="720"/>
        </w:sectPr>
      </w:pPr>
    </w:p>
    <w:p w14:paraId="002EEDD4" w14:textId="77777777" w:rsidR="00C526AE" w:rsidRDefault="00A11850">
      <w:pPr>
        <w:pStyle w:val="BodyText"/>
        <w:spacing w:before="76"/>
        <w:ind w:right="302"/>
      </w:pPr>
      <w:r>
        <w:t>always helpful for as advocacy for a community’s cause but lack of participations in trainings and seminars is one of its major challenges. Mansuri and Rao (2013) also found out that local power structures can distort needs assessment in regards to community participation in need assessment processes particularly in the context of climate change adaptation.</w:t>
      </w:r>
    </w:p>
    <w:p w14:paraId="23668A73" w14:textId="77777777" w:rsidR="00C526AE" w:rsidRDefault="00A11850">
      <w:pPr>
        <w:pStyle w:val="BodyText"/>
        <w:spacing w:before="200"/>
        <w:ind w:right="303"/>
      </w:pPr>
      <w:r>
        <w:t>According to CARE (2017), in Embu County, the Adaptation Learning Programme (ALP) facilitated Community Adaptation Action Planning (CAAP) processes in the communities of Iria-</w:t>
      </w:r>
      <w:proofErr w:type="spellStart"/>
      <w:r>
        <w:t>Itune</w:t>
      </w:r>
      <w:proofErr w:type="spellEnd"/>
      <w:r>
        <w:t xml:space="preserve">, </w:t>
      </w:r>
      <w:proofErr w:type="spellStart"/>
      <w:r>
        <w:t>Kamarandi</w:t>
      </w:r>
      <w:proofErr w:type="spellEnd"/>
      <w:r>
        <w:t xml:space="preserve">, </w:t>
      </w:r>
      <w:proofErr w:type="spellStart"/>
      <w:r>
        <w:t>Mutwabare</w:t>
      </w:r>
      <w:proofErr w:type="spellEnd"/>
      <w:r>
        <w:t xml:space="preserve">, and </w:t>
      </w:r>
      <w:proofErr w:type="spellStart"/>
      <w:r>
        <w:t>Ntharawe</w:t>
      </w:r>
      <w:proofErr w:type="spellEnd"/>
      <w:r>
        <w:t>. Through gender-sensitive vulnerability assessments and participatory planning, these communities identified key climate risks and developed tailored adaptation strategies. The process emphasized local knowledge and priorities that led to interventions that were both context-specific and widely supported by community groups.</w:t>
      </w:r>
    </w:p>
    <w:p w14:paraId="2FDA2C9B" w14:textId="77777777" w:rsidR="00C526AE" w:rsidRDefault="00A11850">
      <w:pPr>
        <w:pStyle w:val="BodyText"/>
        <w:spacing w:before="200"/>
        <w:ind w:right="300"/>
      </w:pPr>
      <w:r>
        <w:t>To measure impact of community participation on the effectiveness of climate change adaptation, CARE International. (2017) has used Participatory M&amp;E which enables communities to co-develop indicators, track progress, and assess outcomes of adaptation projects. This method ensures that metrics reflect local priorities and experiences. Indicators typically include degree of community involvement in planning and decision-making, improvements in climate resilience (such as reduced vulnerability</w:t>
      </w:r>
      <w:r>
        <w:rPr>
          <w:spacing w:val="-3"/>
        </w:rPr>
        <w:t xml:space="preserve"> </w:t>
      </w:r>
      <w:r>
        <w:t>to</w:t>
      </w:r>
      <w:r>
        <w:rPr>
          <w:spacing w:val="-3"/>
        </w:rPr>
        <w:t xml:space="preserve"> </w:t>
      </w:r>
      <w:r>
        <w:t>drought)</w:t>
      </w:r>
      <w:r>
        <w:rPr>
          <w:spacing w:val="-2"/>
        </w:rPr>
        <w:t xml:space="preserve"> </w:t>
      </w:r>
      <w:r>
        <w:t>and social outcomes (like gender equity, conflict</w:t>
      </w:r>
      <w:r>
        <w:rPr>
          <w:spacing w:val="-1"/>
        </w:rPr>
        <w:t xml:space="preserve"> </w:t>
      </w:r>
      <w:r>
        <w:t>reduction). IIED</w:t>
      </w:r>
      <w:r>
        <w:rPr>
          <w:spacing w:val="-2"/>
        </w:rPr>
        <w:t xml:space="preserve"> </w:t>
      </w:r>
      <w:r>
        <w:t>(2021) has used Quantitative Metrics and Baseline Comparisons. Community involvement is evaluated using before-and-after comparisons of key indicators such as access to water or food security during dry seasons, household income diversification and reduction in climate-related losses (such as fewer livestock deaths during droughts).</w:t>
      </w:r>
    </w:p>
    <w:p w14:paraId="5FEDFB77" w14:textId="77777777" w:rsidR="00C526AE" w:rsidRDefault="00A11850">
      <w:pPr>
        <w:pStyle w:val="Heading1"/>
        <w:spacing w:before="205"/>
      </w:pPr>
      <w:r>
        <w:t>Research</w:t>
      </w:r>
      <w:r>
        <w:rPr>
          <w:spacing w:val="-4"/>
        </w:rPr>
        <w:t xml:space="preserve"> </w:t>
      </w:r>
      <w:r>
        <w:rPr>
          <w:spacing w:val="-2"/>
        </w:rPr>
        <w:t>Methodology</w:t>
      </w:r>
    </w:p>
    <w:p w14:paraId="47D4F72C" w14:textId="77777777" w:rsidR="00C526AE" w:rsidRDefault="00A11850">
      <w:pPr>
        <w:pStyle w:val="BodyText"/>
        <w:spacing w:before="171" w:line="256" w:lineRule="auto"/>
        <w:ind w:right="300"/>
      </w:pPr>
      <w:r>
        <w:t>This study was carried out in Fafi-Sub County located in Garissa County Kenya. The Sub- County serves as an eastern extension of the county and lies close to the border with Somalia in northeastern Kenya. The sub-county characterized by arid and semi-arid terrain. It features vast dry plains, with a hot and dry climate and limited rainfall. Inhabited primarily by pastoralist communities, mainly of Somali clans, the area relies heavily on livestock farming, with nomadic or semi-nomadic lifestyles common</w:t>
      </w:r>
      <w:r>
        <w:rPr>
          <w:spacing w:val="-1"/>
        </w:rPr>
        <w:t xml:space="preserve"> </w:t>
      </w:r>
      <w:r>
        <w:t>among</w:t>
      </w:r>
      <w:r>
        <w:rPr>
          <w:spacing w:val="-4"/>
        </w:rPr>
        <w:t xml:space="preserve"> </w:t>
      </w:r>
      <w:r>
        <w:t>these groups.</w:t>
      </w:r>
      <w:r>
        <w:rPr>
          <w:spacing w:val="-1"/>
        </w:rPr>
        <w:t xml:space="preserve"> </w:t>
      </w:r>
      <w:r>
        <w:t>Additionally,</w:t>
      </w:r>
      <w:r>
        <w:rPr>
          <w:spacing w:val="-1"/>
        </w:rPr>
        <w:t xml:space="preserve"> </w:t>
      </w:r>
      <w:r>
        <w:t>Fafi Sub-County,</w:t>
      </w:r>
      <w:r>
        <w:rPr>
          <w:spacing w:val="-1"/>
        </w:rPr>
        <w:t xml:space="preserve"> </w:t>
      </w:r>
      <w:r>
        <w:t>having</w:t>
      </w:r>
      <w:r>
        <w:rPr>
          <w:spacing w:val="-4"/>
        </w:rPr>
        <w:t xml:space="preserve"> </w:t>
      </w:r>
      <w:r>
        <w:t>proximity</w:t>
      </w:r>
      <w:r>
        <w:rPr>
          <w:spacing w:val="-4"/>
        </w:rPr>
        <w:t xml:space="preserve"> </w:t>
      </w:r>
      <w:r>
        <w:t>to</w:t>
      </w:r>
      <w:r>
        <w:rPr>
          <w:spacing w:val="-1"/>
        </w:rPr>
        <w:t xml:space="preserve"> </w:t>
      </w:r>
      <w:r>
        <w:t>the</w:t>
      </w:r>
      <w:r>
        <w:rPr>
          <w:spacing w:val="-1"/>
        </w:rPr>
        <w:t xml:space="preserve"> </w:t>
      </w:r>
      <w:r>
        <w:t>Dadaab</w:t>
      </w:r>
      <w:r>
        <w:rPr>
          <w:spacing w:val="-3"/>
        </w:rPr>
        <w:t xml:space="preserve"> </w:t>
      </w:r>
      <w:r>
        <w:t>refugee camp, hosts a significant refugee population from Somalia, leading to socio-economic dynamics including resource competition and cultural integration challenges.</w:t>
      </w:r>
    </w:p>
    <w:p w14:paraId="501B1EE3" w14:textId="77777777" w:rsidR="00C526AE" w:rsidRDefault="00A11850">
      <w:pPr>
        <w:pStyle w:val="BodyText"/>
        <w:spacing w:before="9"/>
        <w:ind w:left="0"/>
        <w:jc w:val="left"/>
        <w:rPr>
          <w:sz w:val="11"/>
        </w:rPr>
      </w:pPr>
      <w:r>
        <w:rPr>
          <w:noProof/>
          <w:sz w:val="11"/>
        </w:rPr>
        <w:drawing>
          <wp:anchor distT="0" distB="0" distL="0" distR="0" simplePos="0" relativeHeight="487588352" behindDoc="1" locked="0" layoutInCell="1" allowOverlap="1" wp14:anchorId="04E81D04" wp14:editId="57ADDB53">
            <wp:simplePos x="0" y="0"/>
            <wp:positionH relativeFrom="page">
              <wp:posOffset>2252979</wp:posOffset>
            </wp:positionH>
            <wp:positionV relativeFrom="paragraph">
              <wp:posOffset>101275</wp:posOffset>
            </wp:positionV>
            <wp:extent cx="3054349" cy="32004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3054349" cy="3200400"/>
                    </a:xfrm>
                    <a:prstGeom prst="rect">
                      <a:avLst/>
                    </a:prstGeom>
                  </pic:spPr>
                </pic:pic>
              </a:graphicData>
            </a:graphic>
          </wp:anchor>
        </w:drawing>
      </w:r>
    </w:p>
    <w:p w14:paraId="3B7CC461" w14:textId="77777777" w:rsidR="00C526AE" w:rsidRDefault="00C526AE">
      <w:pPr>
        <w:pStyle w:val="BodyText"/>
        <w:jc w:val="left"/>
        <w:rPr>
          <w:sz w:val="11"/>
        </w:rPr>
        <w:sectPr w:rsidR="00C526AE">
          <w:pgSz w:w="11910" w:h="16840"/>
          <w:pgMar w:top="1340" w:right="1133" w:bottom="1200" w:left="1275" w:header="0" w:footer="1002" w:gutter="0"/>
          <w:cols w:space="720"/>
        </w:sectPr>
      </w:pPr>
    </w:p>
    <w:p w14:paraId="3C8695E1" w14:textId="77777777" w:rsidR="00C526AE" w:rsidRDefault="00A11850">
      <w:pPr>
        <w:pStyle w:val="BodyText"/>
        <w:spacing w:before="76"/>
        <w:jc w:val="left"/>
      </w:pPr>
      <w:r>
        <w:t>Figure</w:t>
      </w:r>
      <w:r>
        <w:rPr>
          <w:spacing w:val="-3"/>
        </w:rPr>
        <w:t xml:space="preserve"> </w:t>
      </w:r>
      <w:r>
        <w:t>1:</w:t>
      </w:r>
      <w:r>
        <w:rPr>
          <w:spacing w:val="49"/>
        </w:rPr>
        <w:t xml:space="preserve"> </w:t>
      </w:r>
      <w:r>
        <w:t>Map</w:t>
      </w:r>
      <w:r>
        <w:rPr>
          <w:spacing w:val="-2"/>
        </w:rPr>
        <w:t xml:space="preserve"> </w:t>
      </w:r>
      <w:r>
        <w:t>of</w:t>
      </w:r>
      <w:r>
        <w:rPr>
          <w:spacing w:val="-3"/>
        </w:rPr>
        <w:t xml:space="preserve"> </w:t>
      </w:r>
      <w:proofErr w:type="spellStart"/>
      <w:r>
        <w:t>Fafi</w:t>
      </w:r>
      <w:proofErr w:type="spellEnd"/>
      <w:r>
        <w:rPr>
          <w:spacing w:val="-1"/>
        </w:rPr>
        <w:t xml:space="preserve"> </w:t>
      </w:r>
      <w:r>
        <w:t>sub-county</w:t>
      </w:r>
      <w:r>
        <w:rPr>
          <w:spacing w:val="-6"/>
        </w:rPr>
        <w:t xml:space="preserve"> </w:t>
      </w:r>
      <w:r>
        <w:t>(Former</w:t>
      </w:r>
      <w:r>
        <w:rPr>
          <w:spacing w:val="-4"/>
        </w:rPr>
        <w:t xml:space="preserve"> </w:t>
      </w:r>
      <w:proofErr w:type="spellStart"/>
      <w:r>
        <w:t>Jarajila</w:t>
      </w:r>
      <w:proofErr w:type="spellEnd"/>
      <w:r>
        <w:rPr>
          <w:spacing w:val="-2"/>
        </w:rPr>
        <w:t xml:space="preserve"> Division)</w:t>
      </w:r>
    </w:p>
    <w:p w14:paraId="1230AE03" w14:textId="77777777" w:rsidR="00C526AE" w:rsidRDefault="00A11850">
      <w:pPr>
        <w:pStyle w:val="BodyText"/>
        <w:spacing w:before="176"/>
        <w:jc w:val="left"/>
      </w:pPr>
      <w:r>
        <w:rPr>
          <w:b/>
        </w:rPr>
        <w:t>Source:</w:t>
      </w:r>
      <w:r>
        <w:rPr>
          <w:b/>
          <w:spacing w:val="-5"/>
        </w:rPr>
        <w:t xml:space="preserve"> </w:t>
      </w:r>
      <w:r>
        <w:t>Garissa</w:t>
      </w:r>
      <w:r>
        <w:rPr>
          <w:spacing w:val="-5"/>
        </w:rPr>
        <w:t xml:space="preserve"> </w:t>
      </w:r>
      <w:r>
        <w:t>County</w:t>
      </w:r>
      <w:r>
        <w:rPr>
          <w:spacing w:val="-7"/>
        </w:rPr>
        <w:t xml:space="preserve"> </w:t>
      </w:r>
      <w:r>
        <w:t>Government</w:t>
      </w:r>
      <w:r>
        <w:rPr>
          <w:spacing w:val="-4"/>
        </w:rPr>
        <w:t xml:space="preserve"> </w:t>
      </w:r>
      <w:r>
        <w:rPr>
          <w:spacing w:val="-2"/>
        </w:rPr>
        <w:t>(2024)</w:t>
      </w:r>
    </w:p>
    <w:p w14:paraId="70905153" w14:textId="77777777" w:rsidR="00C526AE" w:rsidRDefault="00A11850">
      <w:pPr>
        <w:pStyle w:val="BodyText"/>
        <w:spacing w:before="198"/>
        <w:ind w:right="301"/>
      </w:pPr>
      <w:r>
        <w:t xml:space="preserve">The study employed a descriptive survey research design to explore climate change initiatives in </w:t>
      </w:r>
      <w:proofErr w:type="spellStart"/>
      <w:r>
        <w:t>Fafi</w:t>
      </w:r>
      <w:proofErr w:type="spellEnd"/>
      <w:r>
        <w:t xml:space="preserve"> sub-county, Garissa County. The target population consisted of 104 key informants, comprising donors from two organizations collaborating with the Garissa County government: the Kenya Development Response to Displacement Impact Project (KDRDIP) and the Kenya Climate Smart Agriculture</w:t>
      </w:r>
      <w:r>
        <w:rPr>
          <w:spacing w:val="-2"/>
        </w:rPr>
        <w:t xml:space="preserve"> </w:t>
      </w:r>
      <w:r>
        <w:t>Project</w:t>
      </w:r>
      <w:r>
        <w:rPr>
          <w:spacing w:val="-1"/>
        </w:rPr>
        <w:t xml:space="preserve"> </w:t>
      </w:r>
      <w:r>
        <w:t>(KCSAP) as</w:t>
      </w:r>
      <w:r>
        <w:rPr>
          <w:spacing w:val="-2"/>
        </w:rPr>
        <w:t xml:space="preserve"> </w:t>
      </w:r>
      <w:r>
        <w:t>well</w:t>
      </w:r>
      <w:r>
        <w:rPr>
          <w:spacing w:val="-1"/>
        </w:rPr>
        <w:t xml:space="preserve"> </w:t>
      </w:r>
      <w:r>
        <w:t>as</w:t>
      </w:r>
      <w:r>
        <w:rPr>
          <w:spacing w:val="-2"/>
        </w:rPr>
        <w:t xml:space="preserve"> </w:t>
      </w:r>
      <w:r>
        <w:t>representatives</w:t>
      </w:r>
      <w:r>
        <w:rPr>
          <w:spacing w:val="-2"/>
        </w:rPr>
        <w:t xml:space="preserve"> </w:t>
      </w:r>
      <w:r>
        <w:t>from</w:t>
      </w:r>
      <w:r>
        <w:rPr>
          <w:spacing w:val="-6"/>
        </w:rPr>
        <w:t xml:space="preserve"> </w:t>
      </w:r>
      <w:r>
        <w:t>the</w:t>
      </w:r>
      <w:r>
        <w:rPr>
          <w:spacing w:val="-2"/>
        </w:rPr>
        <w:t xml:space="preserve"> </w:t>
      </w:r>
      <w:r>
        <w:t>County’s</w:t>
      </w:r>
      <w:r>
        <w:rPr>
          <w:spacing w:val="-2"/>
        </w:rPr>
        <w:t xml:space="preserve"> </w:t>
      </w:r>
      <w:r>
        <w:t>Department</w:t>
      </w:r>
      <w:r>
        <w:rPr>
          <w:spacing w:val="-1"/>
        </w:rPr>
        <w:t xml:space="preserve"> </w:t>
      </w:r>
      <w:r>
        <w:t>of</w:t>
      </w:r>
      <w:r>
        <w:rPr>
          <w:spacing w:val="-2"/>
        </w:rPr>
        <w:t xml:space="preserve"> </w:t>
      </w:r>
      <w:r>
        <w:t>Agriculture. A census approach was adopted, ensuring that all 104 informants were included in the study. Data collection was conducted through interviews with each of the key informants. These included donors from KDRDIP and KCSAP, along with officials from the Department of Agriculture. The study gathered qualitative data, which was analysed verbatim to capture the depth and nuance of</w:t>
      </w:r>
      <w:r>
        <w:rPr>
          <w:spacing w:val="40"/>
        </w:rPr>
        <w:t xml:space="preserve"> </w:t>
      </w:r>
      <w:r>
        <w:t>participants' perspectives.</w:t>
      </w:r>
    </w:p>
    <w:p w14:paraId="6B8CCBBF" w14:textId="77777777" w:rsidR="00C526AE" w:rsidRDefault="00A11850">
      <w:pPr>
        <w:pStyle w:val="Heading1"/>
        <w:spacing w:before="190"/>
      </w:pPr>
      <w:r>
        <w:t>Reliability</w:t>
      </w:r>
      <w:r>
        <w:rPr>
          <w:spacing w:val="-5"/>
        </w:rPr>
        <w:t xml:space="preserve"> </w:t>
      </w:r>
      <w:r>
        <w:t>of</w:t>
      </w:r>
      <w:r>
        <w:rPr>
          <w:spacing w:val="-5"/>
        </w:rPr>
        <w:t xml:space="preserve"> </w:t>
      </w:r>
      <w:r>
        <w:rPr>
          <w:spacing w:val="-2"/>
        </w:rPr>
        <w:t>Instrument</w:t>
      </w:r>
    </w:p>
    <w:p w14:paraId="13713C20" w14:textId="77777777" w:rsidR="00C526AE" w:rsidRDefault="00A11850">
      <w:pPr>
        <w:pStyle w:val="BodyText"/>
        <w:spacing w:before="134" w:line="254" w:lineRule="auto"/>
        <w:ind w:right="307"/>
      </w:pPr>
      <w:r>
        <w:t>Reliability was obtained through use of test-retest method which assesses data reliability by administration of research instrument to same subjects twice.</w:t>
      </w:r>
    </w:p>
    <w:p w14:paraId="7A1C5417" w14:textId="77777777" w:rsidR="00C526AE" w:rsidRDefault="00A11850">
      <w:pPr>
        <w:pStyle w:val="Heading1"/>
        <w:spacing w:before="167"/>
      </w:pPr>
      <w:r>
        <w:t>Data</w:t>
      </w:r>
      <w:r>
        <w:rPr>
          <w:spacing w:val="-4"/>
        </w:rPr>
        <w:t xml:space="preserve"> </w:t>
      </w:r>
      <w:r>
        <w:t>Analysis</w:t>
      </w:r>
      <w:r>
        <w:rPr>
          <w:spacing w:val="-3"/>
        </w:rPr>
        <w:t xml:space="preserve"> </w:t>
      </w:r>
      <w:r>
        <w:rPr>
          <w:spacing w:val="-2"/>
        </w:rPr>
        <w:t>Methods</w:t>
      </w:r>
    </w:p>
    <w:p w14:paraId="2BD2E69A" w14:textId="77777777" w:rsidR="00C526AE" w:rsidRDefault="00A11850">
      <w:pPr>
        <w:pStyle w:val="BodyText"/>
        <w:spacing w:before="171" w:line="256" w:lineRule="auto"/>
        <w:ind w:right="304"/>
      </w:pPr>
      <w:r>
        <w:t>The study gathered qualitative data. The study systematically arranged the interviews for easy analysis. Qualitative data was analyzed verbatim.</w:t>
      </w:r>
    </w:p>
    <w:p w14:paraId="54E55951" w14:textId="77777777" w:rsidR="00C526AE" w:rsidRDefault="00A11850">
      <w:pPr>
        <w:pStyle w:val="Heading1"/>
        <w:spacing w:before="184"/>
      </w:pPr>
      <w:r>
        <w:t>Results</w:t>
      </w:r>
      <w:r>
        <w:rPr>
          <w:spacing w:val="-2"/>
        </w:rPr>
        <w:t xml:space="preserve"> </w:t>
      </w:r>
      <w:r>
        <w:t>and</w:t>
      </w:r>
      <w:r>
        <w:rPr>
          <w:spacing w:val="-1"/>
        </w:rPr>
        <w:t xml:space="preserve"> </w:t>
      </w:r>
      <w:r>
        <w:rPr>
          <w:spacing w:val="-2"/>
        </w:rPr>
        <w:t>Discussions</w:t>
      </w:r>
    </w:p>
    <w:p w14:paraId="7DA05B2E" w14:textId="77777777" w:rsidR="00C526AE" w:rsidRDefault="00A11850">
      <w:pPr>
        <w:spacing w:before="177"/>
        <w:ind w:left="165"/>
        <w:jc w:val="both"/>
        <w:rPr>
          <w:b/>
        </w:rPr>
      </w:pPr>
      <w:r>
        <w:rPr>
          <w:b/>
        </w:rPr>
        <w:t>Community</w:t>
      </w:r>
      <w:r>
        <w:rPr>
          <w:b/>
          <w:spacing w:val="-11"/>
        </w:rPr>
        <w:t xml:space="preserve"> </w:t>
      </w:r>
      <w:r>
        <w:rPr>
          <w:b/>
        </w:rPr>
        <w:t>Participation</w:t>
      </w:r>
      <w:r>
        <w:rPr>
          <w:b/>
          <w:spacing w:val="-7"/>
        </w:rPr>
        <w:t xml:space="preserve"> </w:t>
      </w:r>
      <w:r>
        <w:rPr>
          <w:b/>
        </w:rPr>
        <w:t>Integration</w:t>
      </w:r>
      <w:r>
        <w:rPr>
          <w:b/>
          <w:spacing w:val="-6"/>
        </w:rPr>
        <w:t xml:space="preserve"> </w:t>
      </w:r>
      <w:r>
        <w:rPr>
          <w:b/>
        </w:rPr>
        <w:t>into</w:t>
      </w:r>
      <w:r>
        <w:rPr>
          <w:b/>
          <w:spacing w:val="-6"/>
        </w:rPr>
        <w:t xml:space="preserve"> </w:t>
      </w:r>
      <w:r>
        <w:rPr>
          <w:b/>
        </w:rPr>
        <w:t>the</w:t>
      </w:r>
      <w:r>
        <w:rPr>
          <w:b/>
          <w:spacing w:val="-4"/>
        </w:rPr>
        <w:t xml:space="preserve"> </w:t>
      </w:r>
      <w:r>
        <w:rPr>
          <w:b/>
        </w:rPr>
        <w:t>Need</w:t>
      </w:r>
      <w:r>
        <w:rPr>
          <w:b/>
          <w:spacing w:val="-7"/>
        </w:rPr>
        <w:t xml:space="preserve"> </w:t>
      </w:r>
      <w:r>
        <w:rPr>
          <w:b/>
        </w:rPr>
        <w:t>Assessment</w:t>
      </w:r>
      <w:r>
        <w:rPr>
          <w:b/>
          <w:spacing w:val="-5"/>
        </w:rPr>
        <w:t xml:space="preserve"> </w:t>
      </w:r>
      <w:r>
        <w:rPr>
          <w:b/>
          <w:spacing w:val="-2"/>
        </w:rPr>
        <w:t>Process</w:t>
      </w:r>
    </w:p>
    <w:p w14:paraId="66DB1CDE" w14:textId="77777777" w:rsidR="00090A2E" w:rsidRDefault="00A11850">
      <w:pPr>
        <w:spacing w:before="172" w:line="256" w:lineRule="auto"/>
        <w:ind w:left="165" w:right="303"/>
        <w:jc w:val="both"/>
      </w:pPr>
      <w:r>
        <w:t xml:space="preserve">The study assessed the extent to which community participation has been integrated into the need assessment process for climate change adaptation initiatives in </w:t>
      </w:r>
      <w:proofErr w:type="spellStart"/>
      <w:r>
        <w:t>Fafi</w:t>
      </w:r>
      <w:proofErr w:type="spellEnd"/>
      <w:r>
        <w:t xml:space="preserve"> Sub-County. Various respondents emphasized that the first step involved identifying and engaging key local actors. One respondent</w:t>
      </w:r>
      <w:r>
        <w:rPr>
          <w:spacing w:val="40"/>
        </w:rPr>
        <w:t xml:space="preserve"> </w:t>
      </w:r>
      <w:r>
        <w:t>from Kenya Climate Smart Agriculture Project (KCSAP) indicated that,</w:t>
      </w:r>
    </w:p>
    <w:p w14:paraId="0BD6DCFD" w14:textId="78BC269B" w:rsidR="00C526AE" w:rsidRDefault="00A11850" w:rsidP="00090A2E">
      <w:pPr>
        <w:spacing w:before="172" w:line="256" w:lineRule="auto"/>
        <w:ind w:left="851" w:right="855"/>
        <w:jc w:val="both"/>
      </w:pPr>
      <w:r>
        <w:t xml:space="preserve"> “</w:t>
      </w:r>
      <w:r>
        <w:rPr>
          <w:i/>
        </w:rPr>
        <w:t>We started by mapping the local leaders, elders, women’s groups and the youth who could speak on behalf of the wider community</w:t>
      </w:r>
      <w:r>
        <w:t>.” Another respondent explained, “</w:t>
      </w:r>
      <w:r>
        <w:rPr>
          <w:i/>
        </w:rPr>
        <w:t>In every village we went to, we made sure to include both male and female voices, especially from vulnerable groups</w:t>
      </w:r>
      <w:r>
        <w:t>.”</w:t>
      </w:r>
      <w:r w:rsidR="00090A2E">
        <w:t>[</w:t>
      </w:r>
      <w:r w:rsidR="00090A2E" w:rsidRPr="00090A2E">
        <w:t xml:space="preserve"> </w:t>
      </w:r>
      <w:r w:rsidR="00090A2E">
        <w:t>KCSAP</w:t>
      </w:r>
      <w:r w:rsidR="00090A2E">
        <w:t>3, 2025]</w:t>
      </w:r>
    </w:p>
    <w:p w14:paraId="5054447B" w14:textId="77777777" w:rsidR="00090A2E" w:rsidRDefault="00A11850">
      <w:pPr>
        <w:spacing w:before="155" w:line="256" w:lineRule="auto"/>
        <w:ind w:left="165" w:right="301"/>
        <w:jc w:val="both"/>
        <w:rPr>
          <w:spacing w:val="-1"/>
        </w:rPr>
      </w:pPr>
      <w:r>
        <w:t>Various participatory tools were employed to collect information from community members. A</w:t>
      </w:r>
      <w:r>
        <w:rPr>
          <w:spacing w:val="40"/>
        </w:rPr>
        <w:t xml:space="preserve"> </w:t>
      </w:r>
      <w:r>
        <w:t>project officer from</w:t>
      </w:r>
      <w:r>
        <w:rPr>
          <w:spacing w:val="-1"/>
        </w:rPr>
        <w:t xml:space="preserve"> </w:t>
      </w:r>
      <w:r>
        <w:t>Kenya Development Response to</w:t>
      </w:r>
      <w:r>
        <w:rPr>
          <w:spacing w:val="-3"/>
        </w:rPr>
        <w:t xml:space="preserve"> </w:t>
      </w:r>
      <w:r>
        <w:t>Displacement Impact Project (KDRDIP) stated, “</w:t>
      </w:r>
      <w:r>
        <w:rPr>
          <w:i/>
        </w:rPr>
        <w:t>We used structured surveys and participatory rural appraisal tools. In many cases, we also held focus group discussions to allow people to talk more freely</w:t>
      </w:r>
      <w:r>
        <w:t>.”(KDRDIP officer). Respondents described two main approaches to participation. Some described a consultative model. For instance, respondent from</w:t>
      </w:r>
      <w:r>
        <w:rPr>
          <w:spacing w:val="-5"/>
        </w:rPr>
        <w:t xml:space="preserve"> </w:t>
      </w:r>
      <w:r>
        <w:t>county</w:t>
      </w:r>
      <w:r>
        <w:rPr>
          <w:spacing w:val="-4"/>
        </w:rPr>
        <w:t xml:space="preserve"> </w:t>
      </w:r>
      <w:r>
        <w:t>agricultural officer</w:t>
      </w:r>
      <w:r>
        <w:rPr>
          <w:spacing w:val="-1"/>
        </w:rPr>
        <w:t xml:space="preserve"> </w:t>
      </w:r>
      <w:r>
        <w:t>said,</w:t>
      </w:r>
      <w:r>
        <w:rPr>
          <w:spacing w:val="-1"/>
        </w:rPr>
        <w:t xml:space="preserve"> </w:t>
      </w:r>
    </w:p>
    <w:p w14:paraId="6129C633" w14:textId="77777777" w:rsidR="00090A2E" w:rsidRDefault="00A11850" w:rsidP="00090A2E">
      <w:pPr>
        <w:spacing w:before="155" w:line="256" w:lineRule="auto"/>
        <w:ind w:left="851" w:right="997"/>
        <w:jc w:val="both"/>
      </w:pPr>
      <w:r>
        <w:t>“</w:t>
      </w:r>
      <w:r>
        <w:rPr>
          <w:i/>
        </w:rPr>
        <w:t>We</w:t>
      </w:r>
      <w:r>
        <w:rPr>
          <w:i/>
          <w:spacing w:val="-1"/>
        </w:rPr>
        <w:t xml:space="preserve"> </w:t>
      </w:r>
      <w:r>
        <w:rPr>
          <w:i/>
        </w:rPr>
        <w:t>presented</w:t>
      </w:r>
      <w:r>
        <w:rPr>
          <w:i/>
          <w:spacing w:val="-3"/>
        </w:rPr>
        <w:t xml:space="preserve"> </w:t>
      </w:r>
      <w:r>
        <w:rPr>
          <w:i/>
        </w:rPr>
        <w:t>the</w:t>
      </w:r>
      <w:r>
        <w:rPr>
          <w:i/>
          <w:spacing w:val="-1"/>
        </w:rPr>
        <w:t xml:space="preserve"> </w:t>
      </w:r>
      <w:r>
        <w:rPr>
          <w:i/>
        </w:rPr>
        <w:t>initial plans</w:t>
      </w:r>
      <w:r>
        <w:rPr>
          <w:i/>
          <w:spacing w:val="-1"/>
        </w:rPr>
        <w:t xml:space="preserve"> </w:t>
      </w:r>
      <w:r>
        <w:rPr>
          <w:i/>
        </w:rPr>
        <w:t>to</w:t>
      </w:r>
      <w:r>
        <w:rPr>
          <w:i/>
          <w:spacing w:val="-4"/>
        </w:rPr>
        <w:t xml:space="preserve"> </w:t>
      </w:r>
      <w:r>
        <w:rPr>
          <w:i/>
        </w:rPr>
        <w:t>the</w:t>
      </w:r>
      <w:r>
        <w:rPr>
          <w:i/>
          <w:spacing w:val="-1"/>
        </w:rPr>
        <w:t xml:space="preserve"> </w:t>
      </w:r>
      <w:r>
        <w:rPr>
          <w:i/>
        </w:rPr>
        <w:t>community</w:t>
      </w:r>
      <w:r>
        <w:rPr>
          <w:i/>
          <w:spacing w:val="-1"/>
        </w:rPr>
        <w:t xml:space="preserve"> </w:t>
      </w:r>
      <w:r>
        <w:rPr>
          <w:i/>
        </w:rPr>
        <w:t>and asked for their input. They gave feedback, but the structure was already in place</w:t>
      </w:r>
      <w:r>
        <w:t>.”(</w:t>
      </w:r>
      <w:r w:rsidR="00090A2E">
        <w:t>CAO3, 2025].</w:t>
      </w:r>
    </w:p>
    <w:p w14:paraId="4CE89154" w14:textId="12945FBE" w:rsidR="00C526AE" w:rsidRDefault="00A11850">
      <w:pPr>
        <w:spacing w:before="155" w:line="256" w:lineRule="auto"/>
        <w:ind w:left="165" w:right="301"/>
        <w:jc w:val="both"/>
      </w:pPr>
      <w:r>
        <w:t xml:space="preserve"> This consultative form of engagement meant that communities could comment on pre-set agendas but were not directly involved in shaping them.</w:t>
      </w:r>
    </w:p>
    <w:p w14:paraId="64A20770" w14:textId="77777777" w:rsidR="00090A2E" w:rsidRDefault="00A11850">
      <w:pPr>
        <w:spacing w:before="154" w:line="256" w:lineRule="auto"/>
        <w:ind w:left="165" w:right="301"/>
        <w:jc w:val="both"/>
      </w:pPr>
      <w:r>
        <w:t xml:space="preserve">Others, however, reported deeper collaboration with local stakeholders. A respondent from KDRDIP mentioned, </w:t>
      </w:r>
    </w:p>
    <w:p w14:paraId="48436AB9" w14:textId="5F678AD8" w:rsidR="00090A2E" w:rsidRDefault="00A11850" w:rsidP="00090A2E">
      <w:pPr>
        <w:spacing w:before="154" w:line="256" w:lineRule="auto"/>
        <w:ind w:left="709" w:right="855"/>
        <w:jc w:val="both"/>
      </w:pPr>
      <w:r>
        <w:t>“</w:t>
      </w:r>
      <w:r>
        <w:rPr>
          <w:i/>
        </w:rPr>
        <w:t>In some wards, we co-designed the needs assessment with the locals. They told us which issues mattered most, like water scarcity and livestock disease, and we built the questions around that</w:t>
      </w:r>
      <w:r>
        <w:t xml:space="preserve">.”(KDRDIP </w:t>
      </w:r>
      <w:r w:rsidR="00090A2E">
        <w:t>5, 2025]</w:t>
      </w:r>
      <w:r>
        <w:t xml:space="preserve">. </w:t>
      </w:r>
    </w:p>
    <w:p w14:paraId="0087946D" w14:textId="77777777" w:rsidR="00090A2E" w:rsidRDefault="00A11850">
      <w:pPr>
        <w:spacing w:before="154" w:line="256" w:lineRule="auto"/>
        <w:ind w:left="165" w:right="301"/>
        <w:jc w:val="both"/>
      </w:pPr>
      <w:r>
        <w:t xml:space="preserve">A similar view was shared by a KCSAP Committee member who said, </w:t>
      </w:r>
    </w:p>
    <w:p w14:paraId="12EA924E" w14:textId="04BCF3C9" w:rsidR="00090A2E" w:rsidRDefault="00A11850" w:rsidP="00090A2E">
      <w:pPr>
        <w:spacing w:before="154" w:line="256" w:lineRule="auto"/>
        <w:ind w:left="851" w:right="301"/>
        <w:jc w:val="both"/>
      </w:pPr>
      <w:r>
        <w:t>“</w:t>
      </w:r>
      <w:r>
        <w:rPr>
          <w:i/>
        </w:rPr>
        <w:t>We didn’t just go with our tools we sat with them and decided together what data to collect and how</w:t>
      </w:r>
      <w:r>
        <w:t xml:space="preserve">.”(KCSAP </w:t>
      </w:r>
      <w:r w:rsidR="00090A2E">
        <w:t>2, 2025</w:t>
      </w:r>
      <w:r>
        <w:t xml:space="preserve">). </w:t>
      </w:r>
    </w:p>
    <w:p w14:paraId="2B61CC75" w14:textId="77777777" w:rsidR="000B7D26" w:rsidRDefault="00A11850" w:rsidP="000B7D26">
      <w:pPr>
        <w:spacing w:before="154" w:line="256" w:lineRule="auto"/>
        <w:ind w:right="301"/>
        <w:jc w:val="both"/>
      </w:pPr>
      <w:r>
        <w:t>Public meetings and forums were described as crucial platforms. These results are consistent with Rotter (2022) who offered that integrating community participation in need assessment has</w:t>
      </w:r>
      <w:r>
        <w:rPr>
          <w:spacing w:val="1"/>
        </w:rPr>
        <w:t xml:space="preserve"> </w:t>
      </w:r>
      <w:r>
        <w:t>become</w:t>
      </w:r>
      <w:r>
        <w:rPr>
          <w:spacing w:val="-1"/>
        </w:rPr>
        <w:t xml:space="preserve"> </w:t>
      </w:r>
      <w:r>
        <w:t>a cornerstone of research and</w:t>
      </w:r>
      <w:r>
        <w:rPr>
          <w:spacing w:val="-1"/>
        </w:rPr>
        <w:t xml:space="preserve"> </w:t>
      </w:r>
      <w:r>
        <w:t>policy-making</w:t>
      </w:r>
      <w:r>
        <w:rPr>
          <w:spacing w:val="-3"/>
        </w:rPr>
        <w:t xml:space="preserve"> </w:t>
      </w:r>
      <w:r>
        <w:t>in climate</w:t>
      </w:r>
      <w:r>
        <w:rPr>
          <w:spacing w:val="-1"/>
        </w:rPr>
        <w:t xml:space="preserve"> </w:t>
      </w:r>
      <w:r>
        <w:t xml:space="preserve">change adaptation. </w:t>
      </w:r>
      <w:r w:rsidR="000B7D26">
        <w:rPr>
          <w:spacing w:val="-5"/>
        </w:rPr>
        <w:t xml:space="preserve">The   respondents </w:t>
      </w:r>
      <w:r>
        <w:t>posit</w:t>
      </w:r>
      <w:r w:rsidR="000B7D26">
        <w:t>ed</w:t>
      </w:r>
      <w:r>
        <w:t xml:space="preserve"> that such assessments are increasingly embedded in public policy-making and shaped by decisions made by individuals, groups, organizations, and their networks within the community.</w:t>
      </w:r>
    </w:p>
    <w:p w14:paraId="5DEC7AC9" w14:textId="35341DA3" w:rsidR="00C526AE" w:rsidRDefault="00A11850" w:rsidP="000B7D26">
      <w:pPr>
        <w:spacing w:before="154" w:line="256" w:lineRule="auto"/>
        <w:ind w:right="301"/>
        <w:jc w:val="both"/>
      </w:pPr>
      <w:r>
        <w:t>This inclusive model not only enhances the legitimacy of adaptation strategies but also ensures they are contextually grounded and more likely to gain community support. The results also align with Amare (2021) that integration being an act or a process or instance of incorporation as equals into society or an organization of individuals of different groups as races ensures everyone is included together in terms of age, gender and color. Integration thus has systems that involve solutions that satisfy customer needs on time and within budget.</w:t>
      </w:r>
    </w:p>
    <w:p w14:paraId="542F4D7B" w14:textId="77777777" w:rsidR="00C526AE" w:rsidRDefault="00A11850">
      <w:pPr>
        <w:pStyle w:val="Heading1"/>
        <w:spacing w:before="178"/>
      </w:pPr>
      <w:r>
        <w:t>Benefits</w:t>
      </w:r>
      <w:r>
        <w:rPr>
          <w:spacing w:val="-6"/>
        </w:rPr>
        <w:t xml:space="preserve"> </w:t>
      </w:r>
      <w:r>
        <w:t>of Involving</w:t>
      </w:r>
      <w:r>
        <w:rPr>
          <w:spacing w:val="-6"/>
        </w:rPr>
        <w:t xml:space="preserve"> </w:t>
      </w:r>
      <w:r>
        <w:t>the</w:t>
      </w:r>
      <w:r>
        <w:rPr>
          <w:spacing w:val="-6"/>
        </w:rPr>
        <w:t xml:space="preserve"> </w:t>
      </w:r>
      <w:r>
        <w:t>Community</w:t>
      </w:r>
      <w:r>
        <w:rPr>
          <w:spacing w:val="-6"/>
        </w:rPr>
        <w:t xml:space="preserve"> </w:t>
      </w:r>
      <w:r>
        <w:t>in</w:t>
      </w:r>
      <w:r>
        <w:rPr>
          <w:spacing w:val="-3"/>
        </w:rPr>
        <w:t xml:space="preserve"> </w:t>
      </w:r>
      <w:r>
        <w:t>Need</w:t>
      </w:r>
      <w:r>
        <w:rPr>
          <w:spacing w:val="-3"/>
        </w:rPr>
        <w:t xml:space="preserve"> </w:t>
      </w:r>
      <w:r>
        <w:rPr>
          <w:spacing w:val="-2"/>
        </w:rPr>
        <w:t>Assessment.</w:t>
      </w:r>
    </w:p>
    <w:p w14:paraId="797C5EDB" w14:textId="77777777" w:rsidR="00090A2E" w:rsidRDefault="00A11850">
      <w:pPr>
        <w:pStyle w:val="BodyText"/>
        <w:spacing w:before="172" w:line="256" w:lineRule="auto"/>
        <w:ind w:right="300"/>
      </w:pPr>
      <w:r>
        <w:t xml:space="preserve">Participants in the study identified several key benefits of involving communities in the need assessment process for climate change adaptation initiatives in </w:t>
      </w:r>
      <w:proofErr w:type="spellStart"/>
      <w:r>
        <w:t>Fafi</w:t>
      </w:r>
      <w:proofErr w:type="spellEnd"/>
      <w:r>
        <w:t xml:space="preserve"> Sub-County. These benefits underline the critical role that local participation plays in ensuring the success, sustainability, and contextual relevance of adaptation strategies. One of the primary advantages of involving</w:t>
      </w:r>
      <w:r>
        <w:rPr>
          <w:spacing w:val="40"/>
        </w:rPr>
        <w:t xml:space="preserve"> </w:t>
      </w:r>
      <w:r>
        <w:t>communities in the need assessment process is the harnessing of indigenous and local knowledge. Communities directly impacted by climate change often possess a deep experiential understanding of their local environments, including historical weather patterns, environmental changes, and traditional coping mechanisms. A respondent from the Kenya Development Response to Displacement Impact Project (KDRDIP) emphasized,</w:t>
      </w:r>
    </w:p>
    <w:p w14:paraId="35BC4711" w14:textId="4FE1F8DC" w:rsidR="00C526AE" w:rsidRDefault="00A11850" w:rsidP="00090A2E">
      <w:pPr>
        <w:pStyle w:val="BodyText"/>
        <w:spacing w:before="172" w:line="256" w:lineRule="auto"/>
        <w:ind w:left="851" w:right="1422"/>
      </w:pPr>
      <w:r>
        <w:t xml:space="preserve"> “</w:t>
      </w:r>
      <w:r>
        <w:rPr>
          <w:i/>
        </w:rPr>
        <w:t>These people have seen the changes over decades, when the rains stopped coming, when the livestock started dying. That kind of information is not in reports</w:t>
      </w:r>
      <w:r>
        <w:t xml:space="preserve">.” </w:t>
      </w:r>
      <w:r w:rsidR="000B7D26">
        <w:t>[</w:t>
      </w:r>
      <w:r>
        <w:t xml:space="preserve">KDRDIP </w:t>
      </w:r>
      <w:r w:rsidR="000B7D26">
        <w:t>4, 2025]</w:t>
      </w:r>
      <w:r>
        <w:t>.</w:t>
      </w:r>
    </w:p>
    <w:p w14:paraId="5C2AB194" w14:textId="77777777" w:rsidR="000B7D26" w:rsidRDefault="00A11850">
      <w:pPr>
        <w:spacing w:before="153" w:line="256" w:lineRule="auto"/>
        <w:ind w:left="165" w:right="300"/>
        <w:jc w:val="both"/>
      </w:pPr>
      <w:r>
        <w:t xml:space="preserve">Moreover, community participation ensures that adaptation strategies are context-specific and locally relevant. Unlike top-down approaches, participatory assessments can address the actual needs, risks, and challenges faced by the community. As one officer from KCSAP explained, </w:t>
      </w:r>
    </w:p>
    <w:p w14:paraId="6C9BA7D3" w14:textId="77777777" w:rsidR="000B7D26" w:rsidRDefault="00A11850" w:rsidP="000B7D26">
      <w:pPr>
        <w:spacing w:before="153" w:line="256" w:lineRule="auto"/>
        <w:ind w:left="851" w:right="855"/>
        <w:jc w:val="both"/>
      </w:pPr>
      <w:r>
        <w:t>“</w:t>
      </w:r>
      <w:r>
        <w:rPr>
          <w:i/>
        </w:rPr>
        <w:t>What works in another sub-county may not work here. The people here know what they need, and we listen</w:t>
      </w:r>
      <w:r>
        <w:t xml:space="preserve">.” (KCSAP </w:t>
      </w:r>
      <w:r w:rsidR="000B7D26">
        <w:t>6, 2025</w:t>
      </w:r>
      <w:r>
        <w:t xml:space="preserve">). </w:t>
      </w:r>
    </w:p>
    <w:p w14:paraId="2FFE12A3" w14:textId="77777777" w:rsidR="00B75DA1" w:rsidRDefault="00A11850">
      <w:pPr>
        <w:spacing w:before="153" w:line="256" w:lineRule="auto"/>
        <w:ind w:left="165" w:right="300"/>
        <w:jc w:val="both"/>
      </w:pPr>
      <w:r>
        <w:t>Ownership and commitment were also highlighted as critical outcomes of participatory</w:t>
      </w:r>
      <w:r>
        <w:rPr>
          <w:spacing w:val="-4"/>
        </w:rPr>
        <w:t xml:space="preserve"> </w:t>
      </w:r>
      <w:r>
        <w:t>processes.</w:t>
      </w:r>
      <w:r>
        <w:rPr>
          <w:spacing w:val="-3"/>
        </w:rPr>
        <w:t xml:space="preserve"> </w:t>
      </w:r>
      <w:r>
        <w:t>When</w:t>
      </w:r>
      <w:r>
        <w:rPr>
          <w:spacing w:val="-1"/>
        </w:rPr>
        <w:t xml:space="preserve"> </w:t>
      </w:r>
      <w:r>
        <w:t>communities</w:t>
      </w:r>
      <w:r>
        <w:rPr>
          <w:spacing w:val="-1"/>
        </w:rPr>
        <w:t xml:space="preserve"> </w:t>
      </w:r>
      <w:r>
        <w:t>are</w:t>
      </w:r>
      <w:r>
        <w:rPr>
          <w:spacing w:val="-3"/>
        </w:rPr>
        <w:t xml:space="preserve"> </w:t>
      </w:r>
      <w:r>
        <w:t>involved</w:t>
      </w:r>
      <w:r>
        <w:rPr>
          <w:spacing w:val="-1"/>
        </w:rPr>
        <w:t xml:space="preserve"> </w:t>
      </w:r>
      <w:r>
        <w:t>from</w:t>
      </w:r>
      <w:r>
        <w:rPr>
          <w:spacing w:val="-5"/>
        </w:rPr>
        <w:t xml:space="preserve"> </w:t>
      </w:r>
      <w:r>
        <w:t>the</w:t>
      </w:r>
      <w:r>
        <w:rPr>
          <w:spacing w:val="-1"/>
        </w:rPr>
        <w:t xml:space="preserve"> </w:t>
      </w:r>
      <w:r>
        <w:t>outset,</w:t>
      </w:r>
      <w:r>
        <w:rPr>
          <w:spacing w:val="-4"/>
        </w:rPr>
        <w:t xml:space="preserve"> </w:t>
      </w:r>
      <w:r>
        <w:t>they</w:t>
      </w:r>
      <w:r>
        <w:rPr>
          <w:spacing w:val="-3"/>
        </w:rPr>
        <w:t xml:space="preserve"> </w:t>
      </w:r>
      <w:r>
        <w:t>are</w:t>
      </w:r>
      <w:r>
        <w:rPr>
          <w:spacing w:val="-3"/>
        </w:rPr>
        <w:t xml:space="preserve"> </w:t>
      </w:r>
      <w:r>
        <w:t>more</w:t>
      </w:r>
      <w:r>
        <w:rPr>
          <w:spacing w:val="-1"/>
        </w:rPr>
        <w:t xml:space="preserve"> </w:t>
      </w:r>
      <w:r>
        <w:t>likely</w:t>
      </w:r>
      <w:r>
        <w:rPr>
          <w:spacing w:val="-4"/>
        </w:rPr>
        <w:t xml:space="preserve"> </w:t>
      </w:r>
      <w:r>
        <w:t>to</w:t>
      </w:r>
      <w:r>
        <w:rPr>
          <w:spacing w:val="-1"/>
        </w:rPr>
        <w:t xml:space="preserve"> </w:t>
      </w:r>
      <w:r>
        <w:t>feel</w:t>
      </w:r>
      <w:r>
        <w:rPr>
          <w:spacing w:val="-3"/>
        </w:rPr>
        <w:t xml:space="preserve"> </w:t>
      </w:r>
      <w:r>
        <w:t xml:space="preserve">a sense of ownership over the strategies developed. A County Department of climate officer noted, </w:t>
      </w:r>
    </w:p>
    <w:p w14:paraId="12FF39C9" w14:textId="10078441" w:rsidR="00C526AE" w:rsidRDefault="00A11850" w:rsidP="00B75DA1">
      <w:pPr>
        <w:spacing w:before="153" w:line="256" w:lineRule="auto"/>
        <w:ind w:left="851" w:right="997"/>
        <w:jc w:val="both"/>
      </w:pPr>
      <w:r>
        <w:t>“</w:t>
      </w:r>
      <w:r>
        <w:rPr>
          <w:i/>
        </w:rPr>
        <w:t>When they contribute to the planning, they follow up on implementation. They protect the projects because they see them as theirs</w:t>
      </w:r>
      <w:r>
        <w:t xml:space="preserve">.” </w:t>
      </w:r>
      <w:r w:rsidR="00B75DA1">
        <w:t>[SCO1, 2025]</w:t>
      </w:r>
      <w:r>
        <w:t>.</w:t>
      </w:r>
    </w:p>
    <w:p w14:paraId="645888FE" w14:textId="77777777" w:rsidR="00C526AE" w:rsidRDefault="00A11850">
      <w:pPr>
        <w:pStyle w:val="Heading1"/>
        <w:spacing w:before="178"/>
      </w:pPr>
      <w:r>
        <w:t>Challenges</w:t>
      </w:r>
      <w:r>
        <w:rPr>
          <w:spacing w:val="-5"/>
        </w:rPr>
        <w:t xml:space="preserve"> </w:t>
      </w:r>
      <w:r>
        <w:t>in</w:t>
      </w:r>
      <w:r>
        <w:rPr>
          <w:spacing w:val="-3"/>
        </w:rPr>
        <w:t xml:space="preserve"> </w:t>
      </w:r>
      <w:r>
        <w:t>Engaging</w:t>
      </w:r>
      <w:r>
        <w:rPr>
          <w:spacing w:val="-3"/>
        </w:rPr>
        <w:t xml:space="preserve"> </w:t>
      </w:r>
      <w:r>
        <w:t>the</w:t>
      </w:r>
      <w:r>
        <w:rPr>
          <w:spacing w:val="-3"/>
        </w:rPr>
        <w:t xml:space="preserve"> </w:t>
      </w:r>
      <w:r>
        <w:t>Community</w:t>
      </w:r>
      <w:r>
        <w:rPr>
          <w:spacing w:val="-3"/>
        </w:rPr>
        <w:t xml:space="preserve"> </w:t>
      </w:r>
      <w:r>
        <w:t>in</w:t>
      </w:r>
      <w:r>
        <w:rPr>
          <w:spacing w:val="-6"/>
        </w:rPr>
        <w:t xml:space="preserve"> </w:t>
      </w:r>
      <w:r>
        <w:t>Need</w:t>
      </w:r>
      <w:r>
        <w:rPr>
          <w:spacing w:val="-2"/>
        </w:rPr>
        <w:t xml:space="preserve"> Assessment</w:t>
      </w:r>
    </w:p>
    <w:p w14:paraId="670A017F" w14:textId="77777777" w:rsidR="00B75DA1" w:rsidRDefault="00A11850">
      <w:pPr>
        <w:spacing w:before="171" w:line="256" w:lineRule="auto"/>
        <w:ind w:left="165" w:right="299"/>
        <w:jc w:val="both"/>
      </w:pPr>
      <w:r>
        <w:t xml:space="preserve">Despite the recognized importance of community participation in climate change adaptation, respondents identified several challenges encountered during the needs assessment phase in </w:t>
      </w:r>
      <w:proofErr w:type="spellStart"/>
      <w:r>
        <w:t>Fafi</w:t>
      </w:r>
      <w:proofErr w:type="spellEnd"/>
      <w:r>
        <w:t xml:space="preserve"> Sub- County. These obstacles highlight the complexities involved in facilitating inclusive and effective engagement. A significant challenge reported was a lack of trust between community members and external actors. Several respondents noted that communities were sometimes hesitant or skeptical about the intentions of the process. One officer explained, </w:t>
      </w:r>
    </w:p>
    <w:p w14:paraId="3E2E7BAB" w14:textId="17C3364C" w:rsidR="00B75DA1" w:rsidRDefault="00A11850" w:rsidP="00B75DA1">
      <w:pPr>
        <w:spacing w:before="171" w:line="256" w:lineRule="auto"/>
        <w:ind w:left="851" w:right="1138"/>
        <w:jc w:val="both"/>
      </w:pPr>
      <w:r>
        <w:t>“</w:t>
      </w:r>
      <w:r>
        <w:rPr>
          <w:i/>
        </w:rPr>
        <w:t>The people were asking us, ‘Are you just here to collect information again and disappear like the others?’ They didn’t believe anything would come out of it.</w:t>
      </w:r>
      <w:r>
        <w:t>” (County Agric. Officer). Another added, “</w:t>
      </w:r>
      <w:r>
        <w:rPr>
          <w:i/>
        </w:rPr>
        <w:t>There’s history here. Many projects come, ask questions, and leave. So they don’t trust easily</w:t>
      </w:r>
      <w:r>
        <w:t xml:space="preserve">.” </w:t>
      </w:r>
      <w:r w:rsidR="00B75DA1">
        <w:t>[</w:t>
      </w:r>
      <w:r>
        <w:t xml:space="preserve">KDRDIP </w:t>
      </w:r>
      <w:r w:rsidR="00B75DA1">
        <w:t>3, 2025]</w:t>
      </w:r>
      <w:r>
        <w:t>.</w:t>
      </w:r>
    </w:p>
    <w:p w14:paraId="338C6239" w14:textId="05E85C6D" w:rsidR="00C526AE" w:rsidRDefault="00A11850">
      <w:pPr>
        <w:spacing w:before="171" w:line="256" w:lineRule="auto"/>
        <w:ind w:left="165" w:right="299"/>
        <w:jc w:val="both"/>
      </w:pPr>
      <w:r>
        <w:t xml:space="preserve"> Building trust, therefore, required time, transparency, and repeated engagement.</w:t>
      </w:r>
    </w:p>
    <w:p w14:paraId="1804972A" w14:textId="77777777" w:rsidR="00B75DA1" w:rsidRDefault="00A11850">
      <w:pPr>
        <w:spacing w:before="153" w:line="256" w:lineRule="auto"/>
        <w:ind w:left="165" w:right="301"/>
        <w:jc w:val="both"/>
      </w:pPr>
      <w:r>
        <w:t xml:space="preserve">Cultural sensitivity emerged as another critical concern. Respondents acknowledged that failing to recognize local customs and social norms could quickly derail participation. </w:t>
      </w:r>
    </w:p>
    <w:p w14:paraId="7778DB9E" w14:textId="77777777" w:rsidR="00B75DA1" w:rsidRDefault="00A11850" w:rsidP="00B75DA1">
      <w:pPr>
        <w:spacing w:before="153" w:line="256" w:lineRule="auto"/>
        <w:ind w:left="709" w:right="1138"/>
        <w:jc w:val="both"/>
        <w:rPr>
          <w:spacing w:val="-2"/>
        </w:rPr>
      </w:pPr>
      <w:r>
        <w:t>“</w:t>
      </w:r>
      <w:r>
        <w:rPr>
          <w:i/>
        </w:rPr>
        <w:t>In some places, women can’t speak freely when elders are present. If you don’t plan properly, you end up only hearing from the</w:t>
      </w:r>
      <w:r>
        <w:rPr>
          <w:i/>
          <w:spacing w:val="-2"/>
        </w:rPr>
        <w:t xml:space="preserve"> </w:t>
      </w:r>
      <w:r>
        <w:rPr>
          <w:i/>
        </w:rPr>
        <w:t>men</w:t>
      </w:r>
      <w:r>
        <w:t>,”</w:t>
      </w:r>
      <w:r>
        <w:rPr>
          <w:spacing w:val="-2"/>
        </w:rPr>
        <w:t xml:space="preserve"> </w:t>
      </w:r>
      <w:r w:rsidR="00B75DA1">
        <w:t>[</w:t>
      </w:r>
      <w:r>
        <w:rPr>
          <w:spacing w:val="-2"/>
        </w:rPr>
        <w:t xml:space="preserve"> </w:t>
      </w:r>
      <w:r>
        <w:t>KCSAP</w:t>
      </w:r>
      <w:r w:rsidR="00B75DA1">
        <w:t>2, 2025]</w:t>
      </w:r>
      <w:r>
        <w:rPr>
          <w:spacing w:val="-2"/>
        </w:rPr>
        <w:t xml:space="preserve"> </w:t>
      </w:r>
    </w:p>
    <w:p w14:paraId="65E0B067" w14:textId="77777777" w:rsidR="00B75DA1" w:rsidRDefault="00A11850">
      <w:pPr>
        <w:spacing w:before="153" w:line="256" w:lineRule="auto"/>
        <w:ind w:left="165" w:right="301"/>
        <w:jc w:val="both"/>
        <w:rPr>
          <w:spacing w:val="-2"/>
        </w:rPr>
      </w:pPr>
      <w:r>
        <w:t>Another</w:t>
      </w:r>
      <w:r>
        <w:rPr>
          <w:spacing w:val="-1"/>
        </w:rPr>
        <w:t xml:space="preserve"> </w:t>
      </w:r>
      <w:r>
        <w:t>mentioned,</w:t>
      </w:r>
      <w:r>
        <w:rPr>
          <w:spacing w:val="-2"/>
        </w:rPr>
        <w:t xml:space="preserve"> </w:t>
      </w:r>
    </w:p>
    <w:p w14:paraId="5507129F" w14:textId="6DC883D0" w:rsidR="00B75DA1" w:rsidRDefault="00A11850" w:rsidP="00B75DA1">
      <w:pPr>
        <w:spacing w:before="153" w:line="256" w:lineRule="auto"/>
        <w:ind w:left="851" w:right="855"/>
        <w:jc w:val="both"/>
      </w:pPr>
      <w:r>
        <w:t>“</w:t>
      </w:r>
      <w:r>
        <w:rPr>
          <w:i/>
        </w:rPr>
        <w:t>You</w:t>
      </w:r>
      <w:r>
        <w:rPr>
          <w:i/>
          <w:spacing w:val="-2"/>
        </w:rPr>
        <w:t xml:space="preserve"> </w:t>
      </w:r>
      <w:r>
        <w:rPr>
          <w:i/>
        </w:rPr>
        <w:t>have</w:t>
      </w:r>
      <w:r>
        <w:rPr>
          <w:i/>
          <w:spacing w:val="-4"/>
        </w:rPr>
        <w:t xml:space="preserve"> </w:t>
      </w:r>
      <w:r>
        <w:rPr>
          <w:i/>
        </w:rPr>
        <w:t>to understand the clan dynamics. If one group feels ignored, they will resist the entire process</w:t>
      </w:r>
      <w:r>
        <w:t xml:space="preserve">.” </w:t>
      </w:r>
      <w:r w:rsidR="00B75DA1">
        <w:t>[</w:t>
      </w:r>
      <w:r>
        <w:t xml:space="preserve">KDRDIP </w:t>
      </w:r>
      <w:r w:rsidR="00B75DA1">
        <w:t>7, 2025]</w:t>
      </w:r>
      <w:r>
        <w:t xml:space="preserve">). </w:t>
      </w:r>
    </w:p>
    <w:p w14:paraId="2BA0F867" w14:textId="1E8AFC8B" w:rsidR="00C526AE" w:rsidRDefault="00A11850">
      <w:pPr>
        <w:spacing w:before="153" w:line="256" w:lineRule="auto"/>
        <w:ind w:left="165" w:right="301"/>
        <w:jc w:val="both"/>
      </w:pPr>
      <w:r>
        <w:t>Adapting engagement to respect religious practices, gender dynamics, and traditional authority was seen as essential.</w:t>
      </w:r>
    </w:p>
    <w:p w14:paraId="470FD9C3" w14:textId="77777777" w:rsidR="00C526AE" w:rsidRDefault="00A11850">
      <w:pPr>
        <w:pStyle w:val="Heading1"/>
        <w:spacing w:before="80" w:line="256" w:lineRule="auto"/>
        <w:ind w:right="315"/>
      </w:pPr>
      <w:r>
        <w:t>Community-Driven</w:t>
      </w:r>
      <w:r>
        <w:rPr>
          <w:spacing w:val="-3"/>
        </w:rPr>
        <w:t xml:space="preserve"> </w:t>
      </w:r>
      <w:r>
        <w:t>Need</w:t>
      </w:r>
      <w:r>
        <w:rPr>
          <w:spacing w:val="-5"/>
        </w:rPr>
        <w:t xml:space="preserve"> </w:t>
      </w:r>
      <w:r>
        <w:t>Assessments</w:t>
      </w:r>
      <w:r>
        <w:rPr>
          <w:spacing w:val="-5"/>
        </w:rPr>
        <w:t xml:space="preserve"> </w:t>
      </w:r>
      <w:r>
        <w:t>Influenced</w:t>
      </w:r>
      <w:r>
        <w:rPr>
          <w:spacing w:val="-3"/>
        </w:rPr>
        <w:t xml:space="preserve"> </w:t>
      </w:r>
      <w:r>
        <w:t>the</w:t>
      </w:r>
      <w:r>
        <w:rPr>
          <w:spacing w:val="-3"/>
        </w:rPr>
        <w:t xml:space="preserve"> </w:t>
      </w:r>
      <w:r>
        <w:t>Planning</w:t>
      </w:r>
      <w:r>
        <w:rPr>
          <w:spacing w:val="-3"/>
        </w:rPr>
        <w:t xml:space="preserve"> </w:t>
      </w:r>
      <w:r>
        <w:t>and</w:t>
      </w:r>
      <w:r>
        <w:rPr>
          <w:spacing w:val="80"/>
        </w:rPr>
        <w:t xml:space="preserve"> </w:t>
      </w:r>
      <w:r>
        <w:t>Implementation</w:t>
      </w:r>
      <w:r>
        <w:rPr>
          <w:spacing w:val="-3"/>
        </w:rPr>
        <w:t xml:space="preserve"> </w:t>
      </w:r>
      <w:r>
        <w:t>of</w:t>
      </w:r>
      <w:r>
        <w:rPr>
          <w:spacing w:val="-3"/>
        </w:rPr>
        <w:t xml:space="preserve"> </w:t>
      </w:r>
      <w:r>
        <w:t>Climate change Adaptation Projects</w:t>
      </w:r>
    </w:p>
    <w:p w14:paraId="12BBC1A6" w14:textId="77777777" w:rsidR="00B75DA1" w:rsidRDefault="00A11850">
      <w:pPr>
        <w:spacing w:before="154" w:line="256" w:lineRule="auto"/>
        <w:ind w:left="165" w:right="303"/>
        <w:jc w:val="both"/>
      </w:pPr>
      <w:r>
        <w:t>Community-driven needs assessments were reported</w:t>
      </w:r>
      <w:r>
        <w:rPr>
          <w:spacing w:val="-1"/>
        </w:rPr>
        <w:t xml:space="preserve"> </w:t>
      </w:r>
      <w:r>
        <w:t>to play</w:t>
      </w:r>
      <w:r>
        <w:rPr>
          <w:spacing w:val="-1"/>
        </w:rPr>
        <w:t xml:space="preserve"> </w:t>
      </w:r>
      <w:r>
        <w:t>a critical</w:t>
      </w:r>
      <w:r>
        <w:rPr>
          <w:spacing w:val="-1"/>
        </w:rPr>
        <w:t xml:space="preserve"> </w:t>
      </w:r>
      <w:r>
        <w:t>role</w:t>
      </w:r>
      <w:r>
        <w:rPr>
          <w:spacing w:val="-1"/>
        </w:rPr>
        <w:t xml:space="preserve"> </w:t>
      </w:r>
      <w:r>
        <w:t>in shaping</w:t>
      </w:r>
      <w:r>
        <w:rPr>
          <w:spacing w:val="-2"/>
        </w:rPr>
        <w:t xml:space="preserve"> </w:t>
      </w:r>
      <w:r>
        <w:t>the planning</w:t>
      </w:r>
      <w:r>
        <w:rPr>
          <w:spacing w:val="-2"/>
        </w:rPr>
        <w:t xml:space="preserve"> </w:t>
      </w:r>
      <w:r>
        <w:t xml:space="preserve">and implementation of climate change adaptation projects in </w:t>
      </w:r>
      <w:proofErr w:type="spellStart"/>
      <w:r>
        <w:t>Fafi</w:t>
      </w:r>
      <w:proofErr w:type="spellEnd"/>
      <w:r>
        <w:t xml:space="preserve"> Sub-County. According to the respondents, these participatory processes significantly enhanced the relevance, equity, and sustainability of adaptation initiatives by grounding them in local realities and priorities. One of the most notable contributions identified was the ability to accurately capture local vulnerabilities and priorities. A respondent from the Kenya Development Response to Displacement Impact Project (KDRDIP) stated, </w:t>
      </w:r>
    </w:p>
    <w:p w14:paraId="4621E3B5" w14:textId="6DFCFC2B" w:rsidR="00C526AE" w:rsidRDefault="00A11850" w:rsidP="00B75DA1">
      <w:pPr>
        <w:spacing w:before="154" w:line="256" w:lineRule="auto"/>
        <w:ind w:left="851" w:right="855"/>
        <w:jc w:val="both"/>
      </w:pPr>
      <w:r>
        <w:t>“</w:t>
      </w:r>
      <w:r>
        <w:rPr>
          <w:i/>
        </w:rPr>
        <w:t>The community told us directly what they are facing was long droughts, flood problems, animals dying, crops failing. That guided us in identifying where to start</w:t>
      </w:r>
      <w:r>
        <w:t xml:space="preserve">.” (KDRDIP </w:t>
      </w:r>
      <w:r w:rsidR="00B75DA1">
        <w:rPr>
          <w:spacing w:val="-2"/>
        </w:rPr>
        <w:t>4,2025</w:t>
      </w:r>
      <w:r>
        <w:rPr>
          <w:spacing w:val="-2"/>
        </w:rPr>
        <w:t>).</w:t>
      </w:r>
    </w:p>
    <w:p w14:paraId="73B286F9" w14:textId="77777777" w:rsidR="00B75DA1" w:rsidRDefault="00A11850">
      <w:pPr>
        <w:spacing w:before="152" w:line="256" w:lineRule="auto"/>
        <w:ind w:left="165" w:right="301"/>
        <w:jc w:val="both"/>
      </w:pPr>
      <w:r>
        <w:t xml:space="preserve">A respondent from county department of water added, </w:t>
      </w:r>
    </w:p>
    <w:p w14:paraId="3B679D71" w14:textId="77777777" w:rsidR="00B75DA1" w:rsidRDefault="00A11850" w:rsidP="00B75DA1">
      <w:pPr>
        <w:spacing w:before="152" w:line="256" w:lineRule="auto"/>
        <w:ind w:left="851" w:right="855"/>
        <w:jc w:val="both"/>
      </w:pPr>
      <w:r>
        <w:t>“</w:t>
      </w:r>
      <w:r>
        <w:rPr>
          <w:i/>
        </w:rPr>
        <w:t>We don’t just guess anymore. The</w:t>
      </w:r>
      <w:r>
        <w:rPr>
          <w:i/>
          <w:spacing w:val="80"/>
        </w:rPr>
        <w:t xml:space="preserve"> </w:t>
      </w:r>
      <w:r>
        <w:rPr>
          <w:i/>
        </w:rPr>
        <w:t>assessments tell us exactly what each area needs based on their own experience</w:t>
      </w:r>
      <w:r>
        <w:t xml:space="preserve">.” </w:t>
      </w:r>
      <w:r w:rsidR="00B75DA1">
        <w:t>[CWO3, 2025]</w:t>
      </w:r>
      <w:r>
        <w:t xml:space="preserve">. </w:t>
      </w:r>
    </w:p>
    <w:p w14:paraId="1C368997" w14:textId="77777777" w:rsidR="00B75DA1" w:rsidRDefault="00A11850">
      <w:pPr>
        <w:spacing w:before="152" w:line="256" w:lineRule="auto"/>
        <w:ind w:left="165" w:right="301"/>
        <w:jc w:val="both"/>
      </w:pPr>
      <w:r>
        <w:t>This first-hand local knowledge enabled planners to develop more targeted and context- specific adaptation strategies that addressed the unique vulnerabilities of different community groups. A</w:t>
      </w:r>
      <w:r>
        <w:rPr>
          <w:spacing w:val="-1"/>
        </w:rPr>
        <w:t xml:space="preserve"> </w:t>
      </w:r>
      <w:r>
        <w:t>KCSAP</w:t>
      </w:r>
      <w:r>
        <w:rPr>
          <w:spacing w:val="-1"/>
        </w:rPr>
        <w:t xml:space="preserve"> </w:t>
      </w:r>
      <w:r>
        <w:t xml:space="preserve">officer explained, </w:t>
      </w:r>
    </w:p>
    <w:p w14:paraId="1D2976BD" w14:textId="0C124A19" w:rsidR="00C526AE" w:rsidRDefault="00A11850" w:rsidP="00B75DA1">
      <w:pPr>
        <w:spacing w:before="152" w:line="256" w:lineRule="auto"/>
        <w:ind w:left="851" w:right="855"/>
        <w:jc w:val="both"/>
      </w:pPr>
      <w:r>
        <w:t>“</w:t>
      </w:r>
      <w:r>
        <w:rPr>
          <w:i/>
        </w:rPr>
        <w:t>When we</w:t>
      </w:r>
      <w:r>
        <w:rPr>
          <w:i/>
          <w:spacing w:val="-2"/>
        </w:rPr>
        <w:t xml:space="preserve"> </w:t>
      </w:r>
      <w:r>
        <w:rPr>
          <w:i/>
        </w:rPr>
        <w:t>included</w:t>
      </w:r>
      <w:r>
        <w:rPr>
          <w:i/>
          <w:spacing w:val="-2"/>
        </w:rPr>
        <w:t xml:space="preserve"> </w:t>
      </w:r>
      <w:r>
        <w:rPr>
          <w:i/>
        </w:rPr>
        <w:t>their</w:t>
      </w:r>
      <w:r>
        <w:rPr>
          <w:i/>
          <w:spacing w:val="-2"/>
        </w:rPr>
        <w:t xml:space="preserve"> </w:t>
      </w:r>
      <w:r>
        <w:rPr>
          <w:i/>
        </w:rPr>
        <w:t>stories and</w:t>
      </w:r>
      <w:r>
        <w:rPr>
          <w:i/>
          <w:spacing w:val="-2"/>
        </w:rPr>
        <w:t xml:space="preserve"> </w:t>
      </w:r>
      <w:r>
        <w:rPr>
          <w:i/>
        </w:rPr>
        <w:t>local data,</w:t>
      </w:r>
      <w:r>
        <w:rPr>
          <w:i/>
          <w:spacing w:val="-3"/>
        </w:rPr>
        <w:t xml:space="preserve"> </w:t>
      </w:r>
      <w:r>
        <w:rPr>
          <w:i/>
        </w:rPr>
        <w:t>the</w:t>
      </w:r>
      <w:r>
        <w:rPr>
          <w:i/>
          <w:spacing w:val="-2"/>
        </w:rPr>
        <w:t xml:space="preserve"> </w:t>
      </w:r>
      <w:r>
        <w:rPr>
          <w:i/>
        </w:rPr>
        <w:t>solutions made more sense to them. It was no longer a copy-paste model from somewhere else</w:t>
      </w:r>
      <w:r>
        <w:t xml:space="preserve">.” </w:t>
      </w:r>
      <w:r w:rsidR="00B75DA1">
        <w:t>[</w:t>
      </w:r>
      <w:r>
        <w:t xml:space="preserve">KCSAP </w:t>
      </w:r>
      <w:r w:rsidR="00B75DA1">
        <w:t>1, 2025]</w:t>
      </w:r>
      <w:r>
        <w:t>.</w:t>
      </w:r>
    </w:p>
    <w:p w14:paraId="5ABCFE49" w14:textId="77777777" w:rsidR="00C526AE" w:rsidRDefault="00A11850">
      <w:pPr>
        <w:pStyle w:val="Heading1"/>
        <w:spacing w:before="161" w:line="254" w:lineRule="auto"/>
        <w:jc w:val="left"/>
      </w:pPr>
      <w:r>
        <w:t>Successful</w:t>
      </w:r>
      <w:r>
        <w:rPr>
          <w:spacing w:val="-1"/>
        </w:rPr>
        <w:t xml:space="preserve"> </w:t>
      </w:r>
      <w:r>
        <w:t>Climate</w:t>
      </w:r>
      <w:r>
        <w:rPr>
          <w:spacing w:val="-2"/>
        </w:rPr>
        <w:t xml:space="preserve"> </w:t>
      </w:r>
      <w:r>
        <w:t>Change</w:t>
      </w:r>
      <w:r>
        <w:rPr>
          <w:spacing w:val="-2"/>
        </w:rPr>
        <w:t xml:space="preserve"> </w:t>
      </w:r>
      <w:r>
        <w:t>Adaptation</w:t>
      </w:r>
      <w:r>
        <w:rPr>
          <w:spacing w:val="-5"/>
        </w:rPr>
        <w:t xml:space="preserve"> </w:t>
      </w:r>
      <w:r>
        <w:t>Initiatives</w:t>
      </w:r>
      <w:r>
        <w:rPr>
          <w:spacing w:val="-4"/>
        </w:rPr>
        <w:t xml:space="preserve"> </w:t>
      </w:r>
      <w:r>
        <w:t>that</w:t>
      </w:r>
      <w:r>
        <w:rPr>
          <w:spacing w:val="-4"/>
        </w:rPr>
        <w:t xml:space="preserve"> </w:t>
      </w:r>
      <w:r>
        <w:t>were</w:t>
      </w:r>
      <w:r>
        <w:rPr>
          <w:spacing w:val="-2"/>
        </w:rPr>
        <w:t xml:space="preserve"> </w:t>
      </w:r>
      <w:r>
        <w:t>directly</w:t>
      </w:r>
      <w:r>
        <w:rPr>
          <w:spacing w:val="-5"/>
        </w:rPr>
        <w:t xml:space="preserve"> </w:t>
      </w:r>
      <w:r>
        <w:t>shaped</w:t>
      </w:r>
      <w:r>
        <w:rPr>
          <w:spacing w:val="-5"/>
        </w:rPr>
        <w:t xml:space="preserve"> </w:t>
      </w:r>
      <w:r>
        <w:t>by</w:t>
      </w:r>
      <w:r>
        <w:rPr>
          <w:spacing w:val="-2"/>
        </w:rPr>
        <w:t xml:space="preserve"> </w:t>
      </w:r>
      <w:r>
        <w:t>Community Participation in Need Assessment</w:t>
      </w:r>
    </w:p>
    <w:p w14:paraId="2D6BAAB4" w14:textId="77777777" w:rsidR="00B75DA1" w:rsidRDefault="00A11850">
      <w:pPr>
        <w:spacing w:before="158" w:line="256" w:lineRule="auto"/>
        <w:ind w:left="165" w:right="301"/>
        <w:jc w:val="both"/>
      </w:pPr>
      <w:proofErr w:type="spellStart"/>
      <w:r>
        <w:t>Fafi</w:t>
      </w:r>
      <w:proofErr w:type="spellEnd"/>
      <w:r>
        <w:t xml:space="preserve"> Sub-County faces persistent challenges related to water scarcity, worsened by erratic and increasingly unpredictable rainfall patterns. The availability of water for both domestic use and agricultural activities remains a pressing concern, particularly during prolonged dry seasons. Respondents identified one of the most successful outcomes of community-driven planning as the rainwater harvesting and small-scale irrigation initiative, which was directly informed by the needs assessment process. As one KCSAP committee explained, </w:t>
      </w:r>
    </w:p>
    <w:p w14:paraId="123F7E8C" w14:textId="647652AB" w:rsidR="00B75DA1" w:rsidRDefault="00A11850" w:rsidP="00B75DA1">
      <w:pPr>
        <w:spacing w:before="158" w:line="256" w:lineRule="auto"/>
        <w:ind w:left="851" w:right="855"/>
        <w:jc w:val="both"/>
      </w:pPr>
      <w:r>
        <w:t>“</w:t>
      </w:r>
      <w:r>
        <w:rPr>
          <w:i/>
        </w:rPr>
        <w:t>The community themselves highlighted water as the top priority. During meetings they told us that if water is solved, many other problems would reduce</w:t>
      </w:r>
      <w:r>
        <w:t xml:space="preserve">.” </w:t>
      </w:r>
      <w:r w:rsidR="00B75DA1">
        <w:t>[</w:t>
      </w:r>
      <w:r>
        <w:t xml:space="preserve">KCSAP </w:t>
      </w:r>
      <w:r w:rsidR="00B75DA1">
        <w:t>4, 2025</w:t>
      </w:r>
      <w:r>
        <w:t>)</w:t>
      </w:r>
      <w:r w:rsidR="00B75DA1">
        <w:t>]</w:t>
      </w:r>
      <w:r>
        <w:t xml:space="preserve">. </w:t>
      </w:r>
    </w:p>
    <w:p w14:paraId="0FCA5EF5" w14:textId="77777777" w:rsidR="00B75DA1" w:rsidRDefault="00A11850" w:rsidP="00B75DA1">
      <w:pPr>
        <w:spacing w:before="158" w:line="256" w:lineRule="auto"/>
        <w:ind w:right="430"/>
        <w:jc w:val="both"/>
      </w:pPr>
      <w:r>
        <w:t>In response, the project team initiated a needs-based</w:t>
      </w:r>
      <w:r>
        <w:rPr>
          <w:spacing w:val="40"/>
        </w:rPr>
        <w:t xml:space="preserve"> </w:t>
      </w:r>
      <w:r>
        <w:t xml:space="preserve">intervention involving the construction of community water storage tanks, installation of roof catchment systems, and introduction of drip irrigation technologies. </w:t>
      </w:r>
    </w:p>
    <w:p w14:paraId="1F741741" w14:textId="0D2148E3" w:rsidR="00C526AE" w:rsidRDefault="00A11850" w:rsidP="00B75DA1">
      <w:pPr>
        <w:spacing w:before="158" w:line="256" w:lineRule="auto"/>
        <w:ind w:left="851" w:right="855"/>
        <w:jc w:val="both"/>
      </w:pPr>
      <w:r>
        <w:t>“</w:t>
      </w:r>
      <w:r>
        <w:rPr>
          <w:i/>
        </w:rPr>
        <w:t>These systems came directly</w:t>
      </w:r>
      <w:r>
        <w:rPr>
          <w:i/>
          <w:spacing w:val="40"/>
        </w:rPr>
        <w:t xml:space="preserve"> </w:t>
      </w:r>
      <w:r>
        <w:rPr>
          <w:i/>
        </w:rPr>
        <w:t xml:space="preserve">from community proposals. We helped them implement what they already knew they needed,” </w:t>
      </w:r>
      <w:r>
        <w:t xml:space="preserve">remarked a County Department of water official </w:t>
      </w:r>
      <w:r w:rsidR="00B75DA1">
        <w:t>CWO3, 2025]</w:t>
      </w:r>
      <w:r>
        <w:t>.</w:t>
      </w:r>
    </w:p>
    <w:p w14:paraId="7C320998" w14:textId="77777777" w:rsidR="00B75DA1" w:rsidRDefault="00A11850">
      <w:pPr>
        <w:spacing w:before="150" w:line="256" w:lineRule="auto"/>
        <w:ind w:left="165" w:right="301"/>
        <w:jc w:val="both"/>
      </w:pPr>
      <w:r>
        <w:t xml:space="preserve">These interventions significantly improved water accessibility for household consumption and small- scale farming, especially during the dry season. A KDRDIP committee official added, </w:t>
      </w:r>
    </w:p>
    <w:p w14:paraId="43ACDF32" w14:textId="30767CE2" w:rsidR="00C526AE" w:rsidRDefault="00A11850" w:rsidP="00B75DA1">
      <w:pPr>
        <w:spacing w:before="150" w:line="256" w:lineRule="auto"/>
        <w:ind w:left="851" w:right="855"/>
        <w:jc w:val="both"/>
      </w:pPr>
      <w:r>
        <w:t>“</w:t>
      </w:r>
      <w:r>
        <w:rPr>
          <w:i/>
        </w:rPr>
        <w:t>The drip irrigation helped reduce water wastage. People can now grow food even when rains fail</w:t>
      </w:r>
      <w:r>
        <w:t xml:space="preserve">.” </w:t>
      </w:r>
      <w:r w:rsidR="00B75DA1">
        <w:t>[</w:t>
      </w:r>
      <w:r>
        <w:t xml:space="preserve">KDRDIP </w:t>
      </w:r>
      <w:r w:rsidR="00B75DA1">
        <w:rPr>
          <w:spacing w:val="-2"/>
        </w:rPr>
        <w:t>2, 2025].</w:t>
      </w:r>
      <w:r>
        <w:rPr>
          <w:spacing w:val="-2"/>
        </w:rPr>
        <w:t>.</w:t>
      </w:r>
    </w:p>
    <w:p w14:paraId="59FB5F0C" w14:textId="77777777" w:rsidR="00C526AE" w:rsidRDefault="00A11850">
      <w:pPr>
        <w:spacing w:before="159" w:line="256" w:lineRule="auto"/>
        <w:ind w:left="165" w:right="301"/>
        <w:jc w:val="both"/>
      </w:pPr>
      <w:r>
        <w:t>In addition to water-related solutions, the community-driven needs assessment also led to the development of an agricultural diversification program. The aim was to enhance resilience of local farming systems to the effects of climate variability. Respondents noted that community members suggested the adoption of drought-tolerant crops such as sorghum, millet, and cowpeas. “</w:t>
      </w:r>
      <w:r>
        <w:rPr>
          <w:i/>
        </w:rPr>
        <w:t>These were not imposed; the</w:t>
      </w:r>
      <w:r>
        <w:rPr>
          <w:i/>
          <w:spacing w:val="-1"/>
        </w:rPr>
        <w:t xml:space="preserve"> </w:t>
      </w:r>
      <w:r>
        <w:rPr>
          <w:i/>
        </w:rPr>
        <w:t>farmers recommended</w:t>
      </w:r>
      <w:r>
        <w:rPr>
          <w:i/>
          <w:spacing w:val="-1"/>
        </w:rPr>
        <w:t xml:space="preserve"> </w:t>
      </w:r>
      <w:r>
        <w:rPr>
          <w:i/>
        </w:rPr>
        <w:t>them during</w:t>
      </w:r>
      <w:r>
        <w:rPr>
          <w:i/>
          <w:spacing w:val="-1"/>
        </w:rPr>
        <w:t xml:space="preserve"> </w:t>
      </w:r>
      <w:r>
        <w:rPr>
          <w:i/>
        </w:rPr>
        <w:t>the assessment because</w:t>
      </w:r>
      <w:r>
        <w:rPr>
          <w:i/>
          <w:spacing w:val="-1"/>
        </w:rPr>
        <w:t xml:space="preserve"> </w:t>
      </w:r>
      <w:r>
        <w:rPr>
          <w:i/>
        </w:rPr>
        <w:t>they’ve used</w:t>
      </w:r>
      <w:r>
        <w:rPr>
          <w:i/>
          <w:spacing w:val="-1"/>
        </w:rPr>
        <w:t xml:space="preserve"> </w:t>
      </w:r>
      <w:r>
        <w:rPr>
          <w:i/>
        </w:rPr>
        <w:t>them before in hard years</w:t>
      </w:r>
      <w:r>
        <w:t>,” said a KCSAP respondent (KCSAP Officer).</w:t>
      </w:r>
    </w:p>
    <w:p w14:paraId="78DB7F43" w14:textId="77777777" w:rsidR="00B75DA1" w:rsidRDefault="00A11850">
      <w:pPr>
        <w:spacing w:before="154" w:line="256" w:lineRule="auto"/>
        <w:ind w:left="165" w:right="301"/>
        <w:jc w:val="both"/>
      </w:pPr>
      <w:r>
        <w:t xml:space="preserve">The initiative also promoted integrated farming, combining livestock with crop production. </w:t>
      </w:r>
    </w:p>
    <w:p w14:paraId="2FCE6065" w14:textId="77777777" w:rsidR="00B75DA1" w:rsidRDefault="00A11850" w:rsidP="00B75DA1">
      <w:pPr>
        <w:spacing w:before="154" w:line="256" w:lineRule="auto"/>
        <w:ind w:left="851" w:right="855"/>
        <w:jc w:val="both"/>
      </w:pPr>
      <w:r>
        <w:t>“</w:t>
      </w:r>
      <w:r>
        <w:rPr>
          <w:i/>
        </w:rPr>
        <w:t>Farmers told us they wanted a system where animals and crops support each other. That way, even if crops</w:t>
      </w:r>
      <w:r>
        <w:rPr>
          <w:i/>
          <w:spacing w:val="40"/>
        </w:rPr>
        <w:t xml:space="preserve"> </w:t>
      </w:r>
      <w:r>
        <w:rPr>
          <w:i/>
        </w:rPr>
        <w:t xml:space="preserve">fail, they have livestock to fall back on,” </w:t>
      </w:r>
      <w:r w:rsidR="00B75DA1">
        <w:t>[</w:t>
      </w:r>
      <w:r>
        <w:t xml:space="preserve"> KDRDIP </w:t>
      </w:r>
      <w:r w:rsidR="00B75DA1">
        <w:t>2, 2025</w:t>
      </w:r>
      <w:r>
        <w:t>).</w:t>
      </w:r>
    </w:p>
    <w:p w14:paraId="7DD7AFB9" w14:textId="77777777" w:rsidR="00B75DA1" w:rsidRDefault="00A11850">
      <w:pPr>
        <w:spacing w:before="154" w:line="256" w:lineRule="auto"/>
        <w:ind w:left="165" w:right="301"/>
        <w:jc w:val="both"/>
      </w:pPr>
      <w:r>
        <w:t xml:space="preserve"> Respondents emphasized that this strategy contributed not only to food security but also economic resilience, as livestock could be sold or traded during periods of scarcity. </w:t>
      </w:r>
    </w:p>
    <w:p w14:paraId="20A4016A" w14:textId="77777777" w:rsidR="00B75DA1" w:rsidRDefault="00A11850">
      <w:pPr>
        <w:spacing w:before="154" w:line="256" w:lineRule="auto"/>
        <w:ind w:left="165" w:right="301"/>
        <w:jc w:val="both"/>
        <w:rPr>
          <w:spacing w:val="20"/>
        </w:rPr>
      </w:pPr>
      <w:r>
        <w:t>“</w:t>
      </w:r>
      <w:r>
        <w:rPr>
          <w:i/>
        </w:rPr>
        <w:t>The manure from animals</w:t>
      </w:r>
      <w:r>
        <w:rPr>
          <w:i/>
          <w:spacing w:val="40"/>
        </w:rPr>
        <w:t xml:space="preserve"> </w:t>
      </w:r>
      <w:r>
        <w:rPr>
          <w:i/>
        </w:rPr>
        <w:t>is</w:t>
      </w:r>
      <w:r>
        <w:rPr>
          <w:i/>
          <w:spacing w:val="23"/>
        </w:rPr>
        <w:t xml:space="preserve"> </w:t>
      </w:r>
      <w:r>
        <w:rPr>
          <w:i/>
        </w:rPr>
        <w:t>improving</w:t>
      </w:r>
      <w:r>
        <w:rPr>
          <w:i/>
          <w:spacing w:val="23"/>
        </w:rPr>
        <w:t xml:space="preserve"> </w:t>
      </w:r>
      <w:r>
        <w:rPr>
          <w:i/>
        </w:rPr>
        <w:t>the</w:t>
      </w:r>
      <w:r>
        <w:rPr>
          <w:i/>
          <w:spacing w:val="23"/>
        </w:rPr>
        <w:t xml:space="preserve"> </w:t>
      </w:r>
      <w:r>
        <w:rPr>
          <w:i/>
        </w:rPr>
        <w:t>soil</w:t>
      </w:r>
      <w:r>
        <w:rPr>
          <w:i/>
          <w:spacing w:val="23"/>
        </w:rPr>
        <w:t xml:space="preserve"> </w:t>
      </w:r>
      <w:r>
        <w:rPr>
          <w:i/>
        </w:rPr>
        <w:t>too,</w:t>
      </w:r>
      <w:r>
        <w:rPr>
          <w:i/>
          <w:spacing w:val="23"/>
        </w:rPr>
        <w:t xml:space="preserve"> </w:t>
      </w:r>
      <w:r>
        <w:rPr>
          <w:i/>
        </w:rPr>
        <w:t>so</w:t>
      </w:r>
      <w:r>
        <w:rPr>
          <w:i/>
          <w:spacing w:val="23"/>
        </w:rPr>
        <w:t xml:space="preserve"> </w:t>
      </w:r>
      <w:r>
        <w:rPr>
          <w:i/>
        </w:rPr>
        <w:t>it’s</w:t>
      </w:r>
      <w:r>
        <w:rPr>
          <w:i/>
          <w:spacing w:val="23"/>
        </w:rPr>
        <w:t xml:space="preserve"> </w:t>
      </w:r>
      <w:r>
        <w:rPr>
          <w:i/>
        </w:rPr>
        <w:t>a</w:t>
      </w:r>
      <w:r>
        <w:rPr>
          <w:i/>
          <w:spacing w:val="23"/>
        </w:rPr>
        <w:t xml:space="preserve"> </w:t>
      </w:r>
      <w:r>
        <w:rPr>
          <w:i/>
        </w:rPr>
        <w:t>win-win,”</w:t>
      </w:r>
      <w:r>
        <w:rPr>
          <w:i/>
          <w:spacing w:val="22"/>
        </w:rPr>
        <w:t xml:space="preserve"> </w:t>
      </w:r>
      <w:r>
        <w:t>one</w:t>
      </w:r>
      <w:r>
        <w:rPr>
          <w:spacing w:val="23"/>
        </w:rPr>
        <w:t xml:space="preserve"> </w:t>
      </w:r>
      <w:r>
        <w:t>respondent</w:t>
      </w:r>
      <w:r>
        <w:rPr>
          <w:spacing w:val="23"/>
        </w:rPr>
        <w:t xml:space="preserve"> </w:t>
      </w:r>
      <w:r>
        <w:t>added</w:t>
      </w:r>
      <w:r>
        <w:rPr>
          <w:spacing w:val="23"/>
        </w:rPr>
        <w:t xml:space="preserve"> </w:t>
      </w:r>
      <w:r>
        <w:t>(County</w:t>
      </w:r>
      <w:r>
        <w:rPr>
          <w:spacing w:val="20"/>
        </w:rPr>
        <w:t xml:space="preserve"> </w:t>
      </w:r>
      <w:r>
        <w:t>Agric.</w:t>
      </w:r>
      <w:r>
        <w:rPr>
          <w:spacing w:val="23"/>
        </w:rPr>
        <w:t xml:space="preserve"> </w:t>
      </w:r>
      <w:r>
        <w:t>Officer).</w:t>
      </w:r>
      <w:r>
        <w:rPr>
          <w:spacing w:val="20"/>
        </w:rPr>
        <w:t xml:space="preserve"> </w:t>
      </w:r>
    </w:p>
    <w:p w14:paraId="2E4E0F1C" w14:textId="77777777" w:rsidR="000F1AF6" w:rsidRDefault="00A11850" w:rsidP="000F1AF6">
      <w:pPr>
        <w:spacing w:before="154" w:line="256" w:lineRule="auto"/>
        <w:ind w:left="165" w:right="301"/>
        <w:jc w:val="both"/>
      </w:pPr>
      <w:r>
        <w:t>These</w:t>
      </w:r>
      <w:r w:rsidR="000F1AF6">
        <w:t xml:space="preserve"> </w:t>
      </w:r>
      <w:r>
        <w:t>community-identified and implemented interventions demonstrate the practical impact of</w:t>
      </w:r>
      <w:r>
        <w:rPr>
          <w:spacing w:val="40"/>
        </w:rPr>
        <w:t xml:space="preserve"> </w:t>
      </w:r>
      <w:r>
        <w:t xml:space="preserve">participatory needs assessments. As one officer stated, </w:t>
      </w:r>
    </w:p>
    <w:p w14:paraId="371AB592" w14:textId="3F98B3CE" w:rsidR="00C526AE" w:rsidRDefault="00A11850" w:rsidP="000F1AF6">
      <w:pPr>
        <w:spacing w:before="154" w:line="256" w:lineRule="auto"/>
        <w:ind w:left="851" w:right="855"/>
        <w:jc w:val="both"/>
      </w:pPr>
      <w:r>
        <w:t>“</w:t>
      </w:r>
      <w:r>
        <w:rPr>
          <w:i/>
        </w:rPr>
        <w:t>It’s different when the community plans it.</w:t>
      </w:r>
      <w:r>
        <w:rPr>
          <w:i/>
          <w:spacing w:val="40"/>
        </w:rPr>
        <w:t xml:space="preserve"> </w:t>
      </w:r>
      <w:r>
        <w:rPr>
          <w:i/>
        </w:rPr>
        <w:t>The ownership is there, the maintenance is better, and the results last longer</w:t>
      </w:r>
      <w:r>
        <w:t xml:space="preserve">.” (KCSAP </w:t>
      </w:r>
      <w:r w:rsidR="000F1AF6">
        <w:t>5, 2025</w:t>
      </w:r>
      <w:r>
        <w:t>).</w:t>
      </w:r>
    </w:p>
    <w:p w14:paraId="16B46F71" w14:textId="77777777" w:rsidR="00C526AE" w:rsidRDefault="00A11850">
      <w:pPr>
        <w:pStyle w:val="BodyText"/>
        <w:spacing w:before="157" w:line="256" w:lineRule="auto"/>
        <w:ind w:right="301"/>
      </w:pPr>
      <w:r>
        <w:t>However, the study also points out that participation has not always been consistent across projects. Some interventions were implemented with minimal or no community input, often resulting in mismatched priorities or reduced community buy-in. These findings highlight a critical need to institutionalize participatory mechanisms to ensure inclusion is not optional but standard practice. Encouragingly, the research revealed that the level of community participation has increased over recent years, driven by rising awareness, education efforts, and supportive policy frameworks.</w:t>
      </w:r>
    </w:p>
    <w:p w14:paraId="23240DE1" w14:textId="520BD741" w:rsidR="00C526AE" w:rsidRDefault="00A11850">
      <w:pPr>
        <w:pStyle w:val="Heading1"/>
        <w:spacing w:before="181" w:line="424" w:lineRule="auto"/>
        <w:ind w:right="5102"/>
        <w:jc w:val="left"/>
      </w:pPr>
      <w:r>
        <w:rPr>
          <w:spacing w:val="-2"/>
        </w:rPr>
        <w:t>Conclusion</w:t>
      </w:r>
    </w:p>
    <w:p w14:paraId="4B726D56" w14:textId="7376CE14" w:rsidR="00C526AE" w:rsidRDefault="003B2947">
      <w:pPr>
        <w:pStyle w:val="BodyText"/>
        <w:spacing w:before="18" w:line="256" w:lineRule="auto"/>
        <w:ind w:right="302"/>
      </w:pPr>
      <w:r w:rsidRPr="003B2947">
        <w:t xml:space="preserve">The research concludes that mainstreaming community participation into climate change adaptation is not a procedural necessity, it is a strategic necessity. Community-led processes result in stronger, more equitable, and widely accepted outcomes. But for participation to be genuine and effective, it should be institutionalized, well supported, and encompass all segments of the community. Ultimately, enabling authentic community ownership of climate adaptation planning is essential to addressing the compounded impacts of climate change in vulnerable regions like </w:t>
      </w:r>
      <w:proofErr w:type="spellStart"/>
      <w:r w:rsidRPr="003B2947">
        <w:t>Fafi</w:t>
      </w:r>
      <w:proofErr w:type="spellEnd"/>
      <w:r w:rsidRPr="003B2947">
        <w:t xml:space="preserve"> Sub-County. The interventions promote participatory climate governance as a central pillar of local resilience</w:t>
      </w:r>
      <w:r>
        <w:t xml:space="preserve">. </w:t>
      </w:r>
      <w:r w:rsidR="00F707DD" w:rsidRPr="00F707DD">
        <w:t>However, challenges such as low participation rates from certain community groups, especially women and youth, due to cultural norms and socio-economic barriers hinder climate change adaptation. Moreover, disconnecting community members from the planning process overwhelm local knowledge and priorities. Conflict between local priorities and the objectives set by external factors hindered the full involvement of the community in the planning process, as their needs and preferences were not fully incorporated into the strategies</w:t>
      </w:r>
      <w:r w:rsidR="00F707DD">
        <w:t>.</w:t>
      </w:r>
    </w:p>
    <w:p w14:paraId="4F0A7DD6" w14:textId="77777777" w:rsidR="00C526AE" w:rsidRDefault="00A11850">
      <w:pPr>
        <w:pStyle w:val="Heading1"/>
        <w:jc w:val="left"/>
      </w:pPr>
      <w:r>
        <w:rPr>
          <w:spacing w:val="-2"/>
        </w:rPr>
        <w:t>Recommendations</w:t>
      </w:r>
    </w:p>
    <w:p w14:paraId="608A5794" w14:textId="77777777" w:rsidR="00C526AE" w:rsidRDefault="00A11850">
      <w:pPr>
        <w:pStyle w:val="BodyText"/>
        <w:spacing w:before="172" w:line="256" w:lineRule="auto"/>
        <w:ind w:right="300"/>
      </w:pPr>
      <w:r>
        <w:t>The study makes the following recommendations to improve the effectiveness, sustainability, and inclusivity of future adaptation efforts:</w:t>
      </w:r>
    </w:p>
    <w:p w14:paraId="364EA4A1" w14:textId="77777777" w:rsidR="00C526AE" w:rsidRDefault="00A11850">
      <w:pPr>
        <w:pStyle w:val="BodyText"/>
        <w:spacing w:before="159" w:line="256" w:lineRule="auto"/>
        <w:ind w:right="309"/>
      </w:pPr>
      <w:r>
        <w:t>Promotion of inclusive participation</w:t>
      </w:r>
      <w:r>
        <w:rPr>
          <w:spacing w:val="-2"/>
        </w:rPr>
        <w:t xml:space="preserve"> </w:t>
      </w:r>
      <w:r>
        <w:t>by</w:t>
      </w:r>
      <w:r>
        <w:rPr>
          <w:spacing w:val="-3"/>
        </w:rPr>
        <w:t xml:space="preserve"> </w:t>
      </w:r>
      <w:r>
        <w:t>ensuring</w:t>
      </w:r>
      <w:r>
        <w:rPr>
          <w:spacing w:val="-3"/>
        </w:rPr>
        <w:t xml:space="preserve"> </w:t>
      </w:r>
      <w:r>
        <w:t>that all</w:t>
      </w:r>
      <w:r>
        <w:rPr>
          <w:spacing w:val="-1"/>
        </w:rPr>
        <w:t xml:space="preserve"> </w:t>
      </w:r>
      <w:r>
        <w:t>community</w:t>
      </w:r>
      <w:r>
        <w:rPr>
          <w:spacing w:val="-3"/>
        </w:rPr>
        <w:t xml:space="preserve"> </w:t>
      </w:r>
      <w:r>
        <w:t>groups, especially</w:t>
      </w:r>
      <w:r>
        <w:rPr>
          <w:spacing w:val="-3"/>
        </w:rPr>
        <w:t xml:space="preserve"> </w:t>
      </w:r>
      <w:r>
        <w:t>women, youth, and marginalized populations, are actively engaged at planning stage of climate change adaptation initiatives. This can be achieved by organizing targeted outreach programs and creating spaces where these groups can freely express their needs and concerns.</w:t>
      </w:r>
    </w:p>
    <w:p w14:paraId="020E827E" w14:textId="47A0561D" w:rsidR="00C526AE" w:rsidRDefault="00A11850">
      <w:pPr>
        <w:pStyle w:val="BodyText"/>
        <w:spacing w:before="156" w:line="256" w:lineRule="auto"/>
        <w:ind w:right="303"/>
      </w:pPr>
      <w:r>
        <w:t xml:space="preserve">Strengthening capacity building by investing in capacity-building programs to enhance the technical knowledge and skills of community members. </w:t>
      </w:r>
    </w:p>
    <w:p w14:paraId="01B0D2A0" w14:textId="450E4EA9" w:rsidR="00C526AE" w:rsidRDefault="00A11850">
      <w:pPr>
        <w:pStyle w:val="BodyText"/>
        <w:spacing w:before="155" w:line="256" w:lineRule="auto"/>
        <w:ind w:right="305"/>
      </w:pPr>
      <w:r>
        <w:t>Fostering stronger collaboration between stakeholders by strengthening collaboration and</w:t>
      </w:r>
      <w:r>
        <w:rPr>
          <w:spacing w:val="40"/>
        </w:rPr>
        <w:t xml:space="preserve"> </w:t>
      </w:r>
      <w:r>
        <w:t xml:space="preserve">coordination between local government, NGOs, community leaders, and other stakeholders involved in climate adaptation </w:t>
      </w:r>
      <w:r w:rsidR="0011655E">
        <w:t>initiatives.</w:t>
      </w:r>
    </w:p>
    <w:p w14:paraId="2E0C2204" w14:textId="77777777" w:rsidR="0011655E" w:rsidRPr="0011655E" w:rsidRDefault="0011655E" w:rsidP="0011655E">
      <w:pPr>
        <w:pStyle w:val="BodyText"/>
        <w:spacing w:before="166" w:line="256" w:lineRule="auto"/>
        <w:ind w:left="0" w:right="302"/>
        <w:rPr>
          <w:b/>
          <w:bCs/>
          <w:sz w:val="24"/>
          <w:szCs w:val="24"/>
        </w:rPr>
      </w:pPr>
      <w:r w:rsidRPr="0011655E">
        <w:rPr>
          <w:b/>
          <w:bCs/>
          <w:sz w:val="24"/>
          <w:szCs w:val="24"/>
        </w:rPr>
        <w:t>Policy Recommendations</w:t>
      </w:r>
    </w:p>
    <w:p w14:paraId="2281C1E8" w14:textId="13B0B57D" w:rsidR="0011655E" w:rsidRDefault="0011655E" w:rsidP="0011655E">
      <w:pPr>
        <w:pStyle w:val="BodyText"/>
        <w:numPr>
          <w:ilvl w:val="1"/>
          <w:numId w:val="8"/>
        </w:numPr>
        <w:spacing w:before="166" w:line="256" w:lineRule="auto"/>
        <w:ind w:left="426" w:right="302"/>
      </w:pPr>
      <w:r>
        <w:t>Institutionalize Community Participation in Climate Adaptation Planning: Legislate the inclusion of community-led needs assessments in all climate adaptation planning at the county and sub-county levels to guarantee that projects tackle locally determined priorities.</w:t>
      </w:r>
    </w:p>
    <w:p w14:paraId="66F89B93" w14:textId="7D2F25B1" w:rsidR="0011655E" w:rsidRDefault="0011655E" w:rsidP="0011655E">
      <w:pPr>
        <w:pStyle w:val="BodyText"/>
        <w:numPr>
          <w:ilvl w:val="1"/>
          <w:numId w:val="8"/>
        </w:numPr>
        <w:spacing w:before="166" w:line="256" w:lineRule="auto"/>
        <w:ind w:left="426" w:right="302"/>
      </w:pPr>
      <w:r>
        <w:t>Establish Local Climate Committees: Officially constitute structures such as Ward Climate Action Committees to facilitate continuous community involvement in project identification, design, implementation, and monitoring.</w:t>
      </w:r>
    </w:p>
    <w:p w14:paraId="6A753C61" w14:textId="14C5FABA" w:rsidR="0011655E" w:rsidRDefault="0011655E" w:rsidP="0011655E">
      <w:pPr>
        <w:pStyle w:val="BodyText"/>
        <w:numPr>
          <w:ilvl w:val="1"/>
          <w:numId w:val="8"/>
        </w:numPr>
        <w:spacing w:before="166" w:line="256" w:lineRule="auto"/>
        <w:ind w:left="426" w:right="302"/>
      </w:pPr>
      <w:r>
        <w:t>Strengthen Trust and Transparency Mechanisms: Put in place feedback systems and community scorecards to enhance transparency and trust between communities and implementing agencies.</w:t>
      </w:r>
    </w:p>
    <w:p w14:paraId="2E9A373F" w14:textId="0A307C21" w:rsidR="0011655E" w:rsidRDefault="0011655E" w:rsidP="0011655E">
      <w:pPr>
        <w:pStyle w:val="BodyText"/>
        <w:numPr>
          <w:ilvl w:val="1"/>
          <w:numId w:val="8"/>
        </w:numPr>
        <w:spacing w:before="166" w:line="256" w:lineRule="auto"/>
        <w:ind w:left="426" w:right="302"/>
      </w:pPr>
      <w:r>
        <w:t>Invest in Capacity Development for Participatory Strategies: Train government officials, NGOs, and project staff in inclusive, culturally responsive, and gender-sensitive participatory approaches.</w:t>
      </w:r>
    </w:p>
    <w:p w14:paraId="6D4635D7" w14:textId="77777777" w:rsidR="0011655E" w:rsidRPr="0011655E" w:rsidRDefault="0011655E" w:rsidP="0011655E">
      <w:pPr>
        <w:pStyle w:val="BodyText"/>
        <w:spacing w:before="166" w:line="256" w:lineRule="auto"/>
        <w:ind w:left="0" w:right="302"/>
        <w:rPr>
          <w:b/>
          <w:bCs/>
          <w:sz w:val="24"/>
          <w:szCs w:val="24"/>
        </w:rPr>
      </w:pPr>
      <w:r w:rsidRPr="0011655E">
        <w:rPr>
          <w:b/>
          <w:bCs/>
          <w:sz w:val="24"/>
          <w:szCs w:val="24"/>
        </w:rPr>
        <w:t>Practical Implications</w:t>
      </w:r>
    </w:p>
    <w:p w14:paraId="398C5DA9" w14:textId="125EC391" w:rsidR="0011655E" w:rsidRDefault="0011655E" w:rsidP="0011655E">
      <w:pPr>
        <w:pStyle w:val="BodyText"/>
        <w:numPr>
          <w:ilvl w:val="1"/>
          <w:numId w:val="3"/>
        </w:numPr>
        <w:spacing w:before="166" w:line="256" w:lineRule="auto"/>
        <w:ind w:left="567" w:right="302"/>
      </w:pPr>
      <w:r>
        <w:t>Improved Project Relevance and Efficacy: Community participation ensures that climate adaptation interventions are informed by real, context-specific needs, rendering interventions more targeted, efficient, and effective.</w:t>
      </w:r>
    </w:p>
    <w:p w14:paraId="58F1ED3E" w14:textId="271FFDB8" w:rsidR="0011655E" w:rsidRDefault="0011655E" w:rsidP="0011655E">
      <w:pPr>
        <w:pStyle w:val="BodyText"/>
        <w:numPr>
          <w:ilvl w:val="1"/>
          <w:numId w:val="3"/>
        </w:numPr>
        <w:spacing w:before="166" w:line="256" w:lineRule="auto"/>
        <w:ind w:left="567" w:right="302"/>
      </w:pPr>
      <w:r>
        <w:t>Enhanced Ownership and Sustainability: Community-driven projects witness more ownership, local maintenance, and long-term sustainability with reduced dependence on outside agencies.</w:t>
      </w:r>
    </w:p>
    <w:p w14:paraId="54273CFD" w14:textId="11553E9C" w:rsidR="0011655E" w:rsidRDefault="0011655E" w:rsidP="0011655E">
      <w:pPr>
        <w:pStyle w:val="BodyText"/>
        <w:numPr>
          <w:ilvl w:val="1"/>
          <w:numId w:val="3"/>
        </w:numPr>
        <w:spacing w:before="166" w:line="256" w:lineRule="auto"/>
        <w:ind w:left="567" w:right="302"/>
      </w:pPr>
      <w:r>
        <w:t>Resource Optimization: Participatory approaches remove the risk of investing in misaligned projects. For example, instead of generic solutions, communities proposed actionable, locally-tested ideas such as rainwater harvesting or drought-resistant crops.</w:t>
      </w:r>
    </w:p>
    <w:p w14:paraId="005B8B1C" w14:textId="77777777" w:rsidR="0011655E" w:rsidRPr="0011655E" w:rsidRDefault="0011655E" w:rsidP="0011655E">
      <w:pPr>
        <w:pStyle w:val="BodyText"/>
        <w:spacing w:before="166" w:line="256" w:lineRule="auto"/>
        <w:ind w:left="0" w:right="302"/>
        <w:rPr>
          <w:b/>
          <w:bCs/>
        </w:rPr>
      </w:pPr>
      <w:r w:rsidRPr="0011655E">
        <w:rPr>
          <w:b/>
          <w:bCs/>
        </w:rPr>
        <w:t>Social Implications</w:t>
      </w:r>
    </w:p>
    <w:p w14:paraId="52F45270" w14:textId="0E4F9415" w:rsidR="0011655E" w:rsidRDefault="0011655E" w:rsidP="0011655E">
      <w:pPr>
        <w:pStyle w:val="BodyText"/>
        <w:numPr>
          <w:ilvl w:val="1"/>
          <w:numId w:val="3"/>
        </w:numPr>
        <w:spacing w:before="166" w:line="256" w:lineRule="auto"/>
        <w:ind w:left="567" w:right="302"/>
      </w:pPr>
      <w:r>
        <w:t>Empowerment of Marginalized Voices: Including women, youth, and elders in the need assessment process allowed for different sets of eyes, which led to more balanced solutions.</w:t>
      </w:r>
    </w:p>
    <w:p w14:paraId="020B8569" w14:textId="1DF09FF4" w:rsidR="0011655E" w:rsidRDefault="0011655E" w:rsidP="0011655E">
      <w:pPr>
        <w:pStyle w:val="BodyText"/>
        <w:numPr>
          <w:ilvl w:val="1"/>
          <w:numId w:val="3"/>
        </w:numPr>
        <w:spacing w:before="166" w:line="256" w:lineRule="auto"/>
        <w:ind w:left="567" w:right="302"/>
      </w:pPr>
      <w:r>
        <w:t>Cultural Sensitivity and Inclusion: Sensitivity to local customs (e.g., clan structures, gender roles) averted conflict and enabled broader buy-in to interventions.</w:t>
      </w:r>
    </w:p>
    <w:p w14:paraId="46B37390" w14:textId="1E75EF52" w:rsidR="00663BE4" w:rsidRDefault="0011655E" w:rsidP="0011655E">
      <w:pPr>
        <w:pStyle w:val="BodyText"/>
        <w:numPr>
          <w:ilvl w:val="1"/>
          <w:numId w:val="3"/>
        </w:numPr>
        <w:spacing w:before="166" w:line="256" w:lineRule="auto"/>
        <w:ind w:left="567" w:right="302"/>
      </w:pPr>
      <w:r>
        <w:t xml:space="preserve">Building Social Capital: Participatory processes enhanced social cohesion through greater cooperation, understanding, and shared responsibility in managing climate-related </w:t>
      </w:r>
      <w:r>
        <w:t>risks.</w:t>
      </w:r>
    </w:p>
    <w:p w14:paraId="547FCEBF" w14:textId="77777777" w:rsidR="0011655E" w:rsidRDefault="0011655E" w:rsidP="0011655E">
      <w:pPr>
        <w:pStyle w:val="BodyText"/>
        <w:spacing w:before="166" w:line="256" w:lineRule="auto"/>
        <w:ind w:right="302"/>
      </w:pPr>
      <w:r>
        <w:t>Limitations of the Study</w:t>
      </w:r>
    </w:p>
    <w:p w14:paraId="462B693A" w14:textId="77777777" w:rsidR="0011655E" w:rsidRDefault="0011655E" w:rsidP="0011655E">
      <w:pPr>
        <w:pStyle w:val="BodyText"/>
        <w:numPr>
          <w:ilvl w:val="0"/>
          <w:numId w:val="9"/>
        </w:numPr>
        <w:spacing w:before="166" w:line="256" w:lineRule="auto"/>
        <w:ind w:right="302"/>
      </w:pPr>
      <w:r>
        <w:t>The study applied qualitative methods and participatory observation. Even though the methods provided rich information, they limited generalizability of results to a larger population due to the subjective nature and small size of the sample that are typical of qualitative research.</w:t>
      </w:r>
    </w:p>
    <w:p w14:paraId="1F0B1B7A" w14:textId="77777777" w:rsidR="0011655E" w:rsidRDefault="0011655E" w:rsidP="0011655E">
      <w:pPr>
        <w:pStyle w:val="BodyText"/>
        <w:numPr>
          <w:ilvl w:val="0"/>
          <w:numId w:val="9"/>
        </w:numPr>
        <w:spacing w:before="166" w:line="256" w:lineRule="auto"/>
        <w:ind w:right="302"/>
      </w:pPr>
      <w:r>
        <w:t xml:space="preserve">The research was carried out in </w:t>
      </w:r>
      <w:proofErr w:type="spellStart"/>
      <w:r>
        <w:t>Fafi</w:t>
      </w:r>
      <w:proofErr w:type="spellEnd"/>
      <w:r>
        <w:t xml:space="preserve"> Sub-County alone. Its particular socio-cultural, environmental, and governance context means that the findings may not be directly transferable to other regions faced with other climate and social trends.</w:t>
      </w:r>
    </w:p>
    <w:p w14:paraId="0829CE19" w14:textId="65627302" w:rsidR="0011655E" w:rsidRDefault="0011655E" w:rsidP="0011655E">
      <w:pPr>
        <w:pStyle w:val="BodyText"/>
        <w:numPr>
          <w:ilvl w:val="0"/>
          <w:numId w:val="9"/>
        </w:numPr>
        <w:spacing w:before="166" w:line="256" w:lineRule="auto"/>
        <w:ind w:right="302"/>
      </w:pPr>
      <w:r>
        <w:t xml:space="preserve">The information </w:t>
      </w:r>
      <w:r>
        <w:t>was</w:t>
      </w:r>
      <w:r>
        <w:t xml:space="preserve"> collected cross-sectionally, limiting the ability to study the development of or influence of community engagement on climate adaptation outcomes over time.</w:t>
      </w:r>
    </w:p>
    <w:p w14:paraId="46D44017" w14:textId="0CE300D3" w:rsidR="0011655E" w:rsidRPr="0011655E" w:rsidRDefault="0011655E" w:rsidP="0011655E">
      <w:pPr>
        <w:pStyle w:val="BodyText"/>
        <w:spacing w:before="166" w:line="256" w:lineRule="auto"/>
        <w:ind w:left="360" w:right="302"/>
        <w:rPr>
          <w:b/>
          <w:bCs/>
        </w:rPr>
      </w:pPr>
      <w:r w:rsidRPr="0011655E">
        <w:rPr>
          <w:b/>
          <w:bCs/>
        </w:rPr>
        <w:t>Suggestions for Further Research</w:t>
      </w:r>
    </w:p>
    <w:p w14:paraId="57AB963C" w14:textId="77777777" w:rsidR="0011655E" w:rsidRDefault="0011655E" w:rsidP="0011655E">
      <w:pPr>
        <w:pStyle w:val="BodyText"/>
        <w:numPr>
          <w:ilvl w:val="0"/>
          <w:numId w:val="9"/>
        </w:numPr>
        <w:spacing w:before="166" w:line="256" w:lineRule="auto"/>
        <w:ind w:right="302"/>
      </w:pPr>
      <w:r>
        <w:t>Future studies should aim to combine qualitative methods with quantitative tools to validate and quantify findings to enhance generalizability and robustness.</w:t>
      </w:r>
    </w:p>
    <w:p w14:paraId="1E2FF77C" w14:textId="77777777" w:rsidR="0011655E" w:rsidRDefault="0011655E" w:rsidP="0011655E">
      <w:pPr>
        <w:pStyle w:val="BodyText"/>
        <w:numPr>
          <w:ilvl w:val="0"/>
          <w:numId w:val="9"/>
        </w:numPr>
        <w:spacing w:before="166" w:line="256" w:lineRule="auto"/>
        <w:ind w:right="302"/>
      </w:pPr>
      <w:r>
        <w:t>Subsequent studies could explore analogous participatory experiences in other counties or sub-counties to determine comparative best practices, challenges, and context-specific strengths.</w:t>
      </w:r>
    </w:p>
    <w:p w14:paraId="57B44AA6" w14:textId="68086855" w:rsidR="00D81487" w:rsidRDefault="00D81487" w:rsidP="0011655E">
      <w:pPr>
        <w:pStyle w:val="BodyText"/>
        <w:numPr>
          <w:ilvl w:val="0"/>
          <w:numId w:val="9"/>
        </w:numPr>
        <w:spacing w:before="166" w:line="256" w:lineRule="auto"/>
        <w:ind w:right="302"/>
      </w:pPr>
      <w:r w:rsidRPr="00D81487">
        <w:t>Conduct long-term studies to examine over time the evolution of community participation in climate change adaptation and its influence on the effectiveness and sustainability of implemented projects.</w:t>
      </w:r>
    </w:p>
    <w:p w14:paraId="7A22C010" w14:textId="313603D3" w:rsidR="0011655E" w:rsidRDefault="0011655E" w:rsidP="0011655E">
      <w:pPr>
        <w:pStyle w:val="BodyText"/>
        <w:numPr>
          <w:ilvl w:val="0"/>
          <w:numId w:val="9"/>
        </w:numPr>
        <w:spacing w:before="166" w:line="256" w:lineRule="auto"/>
        <w:ind w:right="302"/>
      </w:pPr>
      <w:r>
        <w:t>Increased research particularly on the participation of marginalized groups such as people with disabilities, nomadic populations, or women in patriarchal settings to find out about their specific barriers and inputs.</w:t>
      </w:r>
    </w:p>
    <w:p w14:paraId="59D44B84" w14:textId="77777777" w:rsidR="00663BE4" w:rsidRPr="009C5487" w:rsidRDefault="00663BE4" w:rsidP="00663BE4">
      <w:pPr>
        <w:rPr>
          <w:rFonts w:ascii="Calibri" w:eastAsia="Calibri" w:hAnsi="Calibri"/>
          <w:kern w:val="2"/>
          <w:highlight w:val="yellow"/>
        </w:rPr>
      </w:pPr>
      <w:bookmarkStart w:id="0" w:name="_Hlk197682619"/>
      <w:bookmarkStart w:id="1" w:name="_Hlk180402183"/>
      <w:bookmarkStart w:id="2" w:name="_Hlk183680988"/>
      <w:r w:rsidRPr="009C5487">
        <w:rPr>
          <w:rFonts w:ascii="Calibri" w:eastAsia="Calibri" w:hAnsi="Calibri"/>
          <w:kern w:val="2"/>
          <w:highlight w:val="yellow"/>
        </w:rPr>
        <w:t>Disclaimer (Artificial intelligence)</w:t>
      </w:r>
    </w:p>
    <w:p w14:paraId="5DE5F426" w14:textId="6F30973F" w:rsidR="00663BE4" w:rsidRPr="00F707DD" w:rsidRDefault="00663BE4" w:rsidP="00F707DD">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p>
    <w:p w14:paraId="15F22A7C" w14:textId="77777777" w:rsidR="00C526AE" w:rsidRDefault="00C526AE">
      <w:pPr>
        <w:pStyle w:val="BodyText"/>
        <w:spacing w:before="34"/>
        <w:ind w:left="0"/>
        <w:jc w:val="left"/>
      </w:pPr>
    </w:p>
    <w:p w14:paraId="065491B8" w14:textId="77777777" w:rsidR="00C526AE" w:rsidRDefault="00A11850">
      <w:pPr>
        <w:pStyle w:val="Heading1"/>
        <w:ind w:left="0" w:right="139"/>
        <w:jc w:val="center"/>
      </w:pPr>
      <w:r>
        <w:rPr>
          <w:spacing w:val="-2"/>
        </w:rPr>
        <w:t>References</w:t>
      </w:r>
    </w:p>
    <w:p w14:paraId="7566FBEF" w14:textId="77777777" w:rsidR="00C526AE" w:rsidRDefault="00C526AE">
      <w:pPr>
        <w:pStyle w:val="BodyText"/>
        <w:spacing w:before="195"/>
        <w:ind w:left="0"/>
        <w:jc w:val="left"/>
        <w:rPr>
          <w:b/>
        </w:rPr>
      </w:pPr>
    </w:p>
    <w:p w14:paraId="0ADBF398" w14:textId="77777777" w:rsidR="00C526AE" w:rsidRDefault="00A11850">
      <w:pPr>
        <w:pStyle w:val="BodyText"/>
        <w:spacing w:line="278" w:lineRule="auto"/>
        <w:ind w:left="1017" w:right="185" w:hanging="852"/>
        <w:jc w:val="left"/>
      </w:pPr>
      <w:proofErr w:type="spellStart"/>
      <w:r>
        <w:t>Atiek</w:t>
      </w:r>
      <w:proofErr w:type="spellEnd"/>
      <w:r>
        <w:t>,</w:t>
      </w:r>
      <w:r>
        <w:rPr>
          <w:spacing w:val="-2"/>
        </w:rPr>
        <w:t xml:space="preserve"> </w:t>
      </w:r>
      <w:r>
        <w:t>W.</w:t>
      </w:r>
      <w:r>
        <w:rPr>
          <w:spacing w:val="-2"/>
        </w:rPr>
        <w:t xml:space="preserve"> </w:t>
      </w:r>
      <w:r>
        <w:t>et</w:t>
      </w:r>
      <w:r>
        <w:rPr>
          <w:spacing w:val="-2"/>
        </w:rPr>
        <w:t xml:space="preserve"> </w:t>
      </w:r>
      <w:r>
        <w:t>al.</w:t>
      </w:r>
      <w:r>
        <w:rPr>
          <w:spacing w:val="-5"/>
        </w:rPr>
        <w:t xml:space="preserve"> </w:t>
      </w:r>
      <w:r>
        <w:t>(2021).</w:t>
      </w:r>
      <w:r>
        <w:rPr>
          <w:spacing w:val="40"/>
        </w:rPr>
        <w:t xml:space="preserve"> </w:t>
      </w:r>
      <w:r>
        <w:t>Communities’</w:t>
      </w:r>
      <w:r>
        <w:rPr>
          <w:spacing w:val="-2"/>
        </w:rPr>
        <w:t xml:space="preserve"> </w:t>
      </w:r>
      <w:r>
        <w:t>Adaptation</w:t>
      </w:r>
      <w:r>
        <w:rPr>
          <w:spacing w:val="-5"/>
        </w:rPr>
        <w:t xml:space="preserve"> </w:t>
      </w:r>
      <w:r>
        <w:t>and</w:t>
      </w:r>
      <w:r>
        <w:rPr>
          <w:spacing w:val="-4"/>
        </w:rPr>
        <w:t xml:space="preserve"> </w:t>
      </w:r>
      <w:r>
        <w:t>Vulnerability</w:t>
      </w:r>
      <w:r>
        <w:rPr>
          <w:spacing w:val="-5"/>
        </w:rPr>
        <w:t xml:space="preserve"> </w:t>
      </w:r>
      <w:r>
        <w:t>to</w:t>
      </w:r>
      <w:r>
        <w:rPr>
          <w:spacing w:val="-2"/>
        </w:rPr>
        <w:t xml:space="preserve"> </w:t>
      </w:r>
      <w:r>
        <w:t>Climate</w:t>
      </w:r>
      <w:r>
        <w:rPr>
          <w:spacing w:val="-2"/>
        </w:rPr>
        <w:t xml:space="preserve"> </w:t>
      </w:r>
      <w:r>
        <w:t>Change:</w:t>
      </w:r>
      <w:r>
        <w:rPr>
          <w:spacing w:val="-2"/>
        </w:rPr>
        <w:t xml:space="preserve"> </w:t>
      </w:r>
      <w:r>
        <w:t xml:space="preserve">Implications for Achieving a Climate-Smart Landscape. </w:t>
      </w:r>
      <w:hyperlink r:id="rId14">
        <w:r w:rsidR="00C526AE">
          <w:rPr>
            <w:u w:val="single"/>
          </w:rPr>
          <w:t>http://www.mdpi.com/journal/land</w:t>
        </w:r>
      </w:hyperlink>
    </w:p>
    <w:p w14:paraId="331CB3C2" w14:textId="77777777" w:rsidR="00C526AE" w:rsidRDefault="00A11850">
      <w:pPr>
        <w:pStyle w:val="BodyText"/>
        <w:spacing w:before="196" w:line="256" w:lineRule="auto"/>
        <w:ind w:left="1017" w:right="300" w:hanging="852"/>
      </w:pPr>
      <w:r>
        <w:t xml:space="preserve">Dao, L. T. A., Nguyen, T. A., &amp; Abbas, A. C. (2023). Climate change and Its Impacts on Vietnam Agriculture: A macroeconomic perspective. </w:t>
      </w:r>
      <w:r>
        <w:rPr>
          <w:i/>
        </w:rPr>
        <w:t>Ecological Informatics</w:t>
      </w:r>
      <w:r>
        <w:t xml:space="preserve">, 74, 101960. </w:t>
      </w:r>
      <w:hyperlink r:id="rId15">
        <w:r w:rsidR="00C526AE">
          <w:rPr>
            <w:spacing w:val="-2"/>
            <w:u w:val="single"/>
          </w:rPr>
          <w:t>https://doi.org/10.1016/j.ecoinf.2023.101960</w:t>
        </w:r>
      </w:hyperlink>
    </w:p>
    <w:p w14:paraId="0BDDAF29" w14:textId="77777777" w:rsidR="00090A2E" w:rsidRDefault="00090A2E">
      <w:pPr>
        <w:pStyle w:val="BodyText"/>
        <w:spacing w:before="157" w:line="256" w:lineRule="auto"/>
        <w:ind w:left="1017" w:right="118" w:hanging="852"/>
      </w:pPr>
      <w:r w:rsidRPr="00090A2E">
        <w:t xml:space="preserve">Deshmukh, P. (2025). Climate change and tourism: A comprehensive analysis. </w:t>
      </w:r>
      <w:r w:rsidRPr="00090A2E">
        <w:rPr>
          <w:i/>
          <w:iCs/>
        </w:rPr>
        <w:t>International Research Journal of Multidisciplinary Scope, 6</w:t>
      </w:r>
      <w:r w:rsidRPr="00090A2E">
        <w:t>(2), 1269–1281</w:t>
      </w:r>
    </w:p>
    <w:p w14:paraId="6F28F363" w14:textId="5AAF22FA" w:rsidR="00C526AE" w:rsidRDefault="00A11850">
      <w:pPr>
        <w:pStyle w:val="BodyText"/>
        <w:spacing w:before="157" w:line="256" w:lineRule="auto"/>
        <w:ind w:left="1017" w:right="118" w:hanging="852"/>
      </w:pPr>
      <w:r>
        <w:t xml:space="preserve">Intergovernmental Panel on Climate Change (IPCC). (2021). Climate Change 2021: The Physical Science Basis. Contribution of Working Group I to the Sixth Assessment Report of the IPCC. Cambridge University Press. </w:t>
      </w:r>
      <w:hyperlink r:id="rId16">
        <w:r w:rsidR="00C526AE">
          <w:rPr>
            <w:u w:val="single"/>
          </w:rPr>
          <w:t>https://www.ipcc.ch/report/ar6/wg1/</w:t>
        </w:r>
      </w:hyperlink>
    </w:p>
    <w:p w14:paraId="110E1BF9" w14:textId="77777777" w:rsidR="00C526AE" w:rsidRDefault="00C526AE">
      <w:pPr>
        <w:pStyle w:val="BodyText"/>
        <w:spacing w:before="158" w:line="256" w:lineRule="auto"/>
        <w:ind w:left="1017" w:right="114" w:hanging="852"/>
      </w:pPr>
      <w:hyperlink r:id="rId17">
        <w:proofErr w:type="spellStart"/>
        <w:r>
          <w:t>Kilewo</w:t>
        </w:r>
        <w:proofErr w:type="spellEnd"/>
      </w:hyperlink>
      <w:r>
        <w:rPr>
          <w:spacing w:val="-14"/>
        </w:rPr>
        <w:t xml:space="preserve"> </w:t>
      </w:r>
      <w:r>
        <w:t>,</w:t>
      </w:r>
      <w:r>
        <w:rPr>
          <w:spacing w:val="-9"/>
        </w:rPr>
        <w:t xml:space="preserve"> </w:t>
      </w:r>
      <w:r>
        <w:t xml:space="preserve">E. G &amp; </w:t>
      </w:r>
      <w:hyperlink r:id="rId18">
        <w:proofErr w:type="spellStart"/>
        <w:r>
          <w:t>Frumence</w:t>
        </w:r>
        <w:proofErr w:type="spellEnd"/>
        <w:r>
          <w:t>,</w:t>
        </w:r>
      </w:hyperlink>
      <w:r>
        <w:t xml:space="preserve"> G. (2015). Factors that hinder community participation in developing and implementing comprehensive council health plans in Manyoni District, Tanzania. </w:t>
      </w:r>
      <w:r>
        <w:rPr>
          <w:i/>
        </w:rPr>
        <w:t>Global Health Action</w:t>
      </w:r>
      <w:r>
        <w:t xml:space="preserve">. DOI: </w:t>
      </w:r>
      <w:hyperlink r:id="rId19">
        <w:r>
          <w:t>10.3402/gha.v8.26461</w:t>
        </w:r>
      </w:hyperlink>
    </w:p>
    <w:p w14:paraId="6553CE6F" w14:textId="77777777" w:rsidR="00C526AE" w:rsidRDefault="00A11850">
      <w:pPr>
        <w:pStyle w:val="BodyText"/>
        <w:spacing w:before="158" w:line="276" w:lineRule="auto"/>
        <w:ind w:left="1017" w:right="301" w:hanging="852"/>
      </w:pPr>
      <w:r>
        <w:t>Mansuri, G &amp; Rao, V (2013). Localizing Development. Does participation work? A World Bank Policy Research Project.</w:t>
      </w:r>
    </w:p>
    <w:p w14:paraId="5B237441" w14:textId="77777777" w:rsidR="00C526AE" w:rsidRDefault="00A11850">
      <w:pPr>
        <w:pStyle w:val="BodyText"/>
        <w:spacing w:before="200" w:line="276" w:lineRule="auto"/>
        <w:ind w:left="1017" w:right="303" w:hanging="852"/>
      </w:pPr>
      <w:r>
        <w:t xml:space="preserve">Mensah, I. (2016). Effects of Socio-Demographic Characteristics and Perceived Benefits of Tourism on Community Participation in Tourism in the </w:t>
      </w:r>
      <w:proofErr w:type="spellStart"/>
      <w:r>
        <w:t>Mesomagor</w:t>
      </w:r>
      <w:proofErr w:type="spellEnd"/>
      <w:r>
        <w:t xml:space="preserve"> Area of the Kakum National Park, Ghana. </w:t>
      </w:r>
      <w:r>
        <w:rPr>
          <w:i/>
        </w:rPr>
        <w:t xml:space="preserve">Athens Journal of Tourism </w:t>
      </w:r>
      <w:r>
        <w:t>211-230. DOI: 10.30958/ajt.3-3-3</w:t>
      </w:r>
    </w:p>
    <w:p w14:paraId="7A2FCC15" w14:textId="77777777" w:rsidR="00C526AE" w:rsidRDefault="00A11850">
      <w:pPr>
        <w:spacing w:before="201" w:line="256" w:lineRule="auto"/>
        <w:ind w:left="1017" w:right="303" w:hanging="852"/>
        <w:jc w:val="both"/>
      </w:pPr>
      <w:proofErr w:type="spellStart"/>
      <w:r>
        <w:t>Mugizi</w:t>
      </w:r>
      <w:proofErr w:type="spellEnd"/>
      <w:r>
        <w:t xml:space="preserve">, F., </w:t>
      </w:r>
      <w:proofErr w:type="spellStart"/>
      <w:r>
        <w:t>Ayorekire</w:t>
      </w:r>
      <w:proofErr w:type="spellEnd"/>
      <w:r>
        <w:t>, J.,</w:t>
      </w:r>
      <w:r>
        <w:rPr>
          <w:spacing w:val="-1"/>
        </w:rPr>
        <w:t xml:space="preserve"> </w:t>
      </w:r>
      <w:r>
        <w:t xml:space="preserve">&amp; </w:t>
      </w:r>
      <w:proofErr w:type="spellStart"/>
      <w:r>
        <w:t>Obua</w:t>
      </w:r>
      <w:proofErr w:type="spellEnd"/>
      <w:r>
        <w:t>, J. (2017). Factors that Influence Local Community</w:t>
      </w:r>
      <w:r>
        <w:rPr>
          <w:spacing w:val="-2"/>
        </w:rPr>
        <w:t xml:space="preserve"> </w:t>
      </w:r>
      <w:r>
        <w:t xml:space="preserve">Participation in Tourism in Murchison Falls Conservation Area. </w:t>
      </w:r>
      <w:r>
        <w:rPr>
          <w:i/>
        </w:rPr>
        <w:t xml:space="preserve">Journal of Environmental Science and Engineering </w:t>
      </w:r>
      <w:r>
        <w:t>6, 209-223.</w:t>
      </w:r>
    </w:p>
    <w:p w14:paraId="16B5461B" w14:textId="77777777" w:rsidR="00C526AE" w:rsidRDefault="00A11850">
      <w:pPr>
        <w:pStyle w:val="BodyText"/>
        <w:spacing w:before="157" w:line="256" w:lineRule="auto"/>
        <w:ind w:left="1017" w:right="303" w:hanging="852"/>
      </w:pPr>
      <w:r>
        <w:t xml:space="preserve">Nirmani, I.A.P (2025). Community Engagement in Climate Change Adaptation: Lessons from recent world experiences and applications for Sri Lanka . </w:t>
      </w:r>
      <w:r>
        <w:rPr>
          <w:i/>
        </w:rPr>
        <w:t>World Journal of Advanced Research</w:t>
      </w:r>
      <w:r>
        <w:rPr>
          <w:i/>
          <w:spacing w:val="40"/>
        </w:rPr>
        <w:t xml:space="preserve"> </w:t>
      </w:r>
      <w:r>
        <w:rPr>
          <w:i/>
        </w:rPr>
        <w:t>and Reviews</w:t>
      </w:r>
      <w:r>
        <w:t xml:space="preserve">. DOI: </w:t>
      </w:r>
      <w:hyperlink r:id="rId20">
        <w:r w:rsidR="00C526AE">
          <w:rPr>
            <w:color w:val="0000FF"/>
            <w:u w:val="single" w:color="0000FF"/>
          </w:rPr>
          <w:t>https://doi.org/10.30574/wjarr.2025.26.1.1338</w:t>
        </w:r>
      </w:hyperlink>
    </w:p>
    <w:p w14:paraId="434F32AE" w14:textId="77777777" w:rsidR="00C526AE" w:rsidRDefault="00C526AE">
      <w:pPr>
        <w:pStyle w:val="BodyText"/>
        <w:spacing w:before="25"/>
        <w:ind w:left="0"/>
        <w:jc w:val="left"/>
      </w:pPr>
    </w:p>
    <w:p w14:paraId="505811E1" w14:textId="77777777" w:rsidR="00C526AE" w:rsidRDefault="00A11850">
      <w:pPr>
        <w:ind w:left="885" w:right="185" w:hanging="720"/>
      </w:pPr>
      <w:r>
        <w:t>Palash,</w:t>
      </w:r>
      <w:r>
        <w:rPr>
          <w:spacing w:val="-6"/>
        </w:rPr>
        <w:t xml:space="preserve"> </w:t>
      </w:r>
      <w:r>
        <w:t>K.</w:t>
      </w:r>
      <w:r>
        <w:rPr>
          <w:spacing w:val="-3"/>
        </w:rPr>
        <w:t xml:space="preserve"> </w:t>
      </w:r>
      <w:r>
        <w:t>(2020).</w:t>
      </w:r>
      <w:r>
        <w:rPr>
          <w:spacing w:val="-6"/>
        </w:rPr>
        <w:t xml:space="preserve"> </w:t>
      </w:r>
      <w:r>
        <w:t>Exploring</w:t>
      </w:r>
      <w:r>
        <w:rPr>
          <w:spacing w:val="-6"/>
        </w:rPr>
        <w:t xml:space="preserve"> </w:t>
      </w:r>
      <w:r>
        <w:t>the</w:t>
      </w:r>
      <w:r>
        <w:rPr>
          <w:spacing w:val="-3"/>
        </w:rPr>
        <w:t xml:space="preserve"> </w:t>
      </w:r>
      <w:r>
        <w:t>Nexus</w:t>
      </w:r>
      <w:r>
        <w:rPr>
          <w:spacing w:val="-3"/>
        </w:rPr>
        <w:t xml:space="preserve"> </w:t>
      </w:r>
      <w:r>
        <w:t>between</w:t>
      </w:r>
      <w:r>
        <w:rPr>
          <w:spacing w:val="-3"/>
        </w:rPr>
        <w:t xml:space="preserve"> </w:t>
      </w:r>
      <w:r>
        <w:t>Participation</w:t>
      </w:r>
      <w:r>
        <w:rPr>
          <w:spacing w:val="-6"/>
        </w:rPr>
        <w:t xml:space="preserve"> </w:t>
      </w:r>
      <w:r>
        <w:t>and</w:t>
      </w:r>
      <w:r>
        <w:rPr>
          <w:spacing w:val="-3"/>
        </w:rPr>
        <w:t xml:space="preserve"> </w:t>
      </w:r>
      <w:r>
        <w:t>Empowerment.</w:t>
      </w:r>
      <w:r>
        <w:rPr>
          <w:spacing w:val="-1"/>
        </w:rPr>
        <w:t xml:space="preserve"> </w:t>
      </w:r>
      <w:hyperlink r:id="rId21">
        <w:r w:rsidR="00C526AE">
          <w:rPr>
            <w:i/>
            <w:u w:val="single"/>
          </w:rPr>
          <w:t>Journal</w:t>
        </w:r>
        <w:r w:rsidR="00C526AE">
          <w:rPr>
            <w:i/>
            <w:spacing w:val="-2"/>
            <w:u w:val="single"/>
          </w:rPr>
          <w:t xml:space="preserve"> </w:t>
        </w:r>
        <w:r w:rsidR="00C526AE">
          <w:rPr>
            <w:i/>
            <w:u w:val="single"/>
          </w:rPr>
          <w:t>of</w:t>
        </w:r>
      </w:hyperlink>
      <w:r>
        <w:rPr>
          <w:i/>
        </w:rPr>
        <w:t xml:space="preserve"> </w:t>
      </w:r>
      <w:hyperlink r:id="rId22">
        <w:r w:rsidR="00C526AE">
          <w:rPr>
            <w:i/>
            <w:u w:val="single"/>
          </w:rPr>
          <w:t>Development Policy and Practice</w:t>
        </w:r>
      </w:hyperlink>
      <w:r>
        <w:rPr>
          <w:i/>
        </w:rPr>
        <w:t xml:space="preserve"> </w:t>
      </w:r>
      <w:r>
        <w:t>5(1). DOI:</w:t>
      </w:r>
      <w:hyperlink r:id="rId23">
        <w:r w:rsidR="00C526AE">
          <w:rPr>
            <w:u w:val="single"/>
          </w:rPr>
          <w:t>10.1177/2455133320909926</w:t>
        </w:r>
      </w:hyperlink>
    </w:p>
    <w:p w14:paraId="5DB2C851" w14:textId="77777777" w:rsidR="00C526AE" w:rsidRDefault="00C526AE">
      <w:pPr>
        <w:pStyle w:val="BodyText"/>
        <w:spacing w:before="26"/>
        <w:ind w:left="0"/>
        <w:jc w:val="left"/>
      </w:pPr>
    </w:p>
    <w:p w14:paraId="2EBBB4A0" w14:textId="77777777" w:rsidR="00C526AE" w:rsidRDefault="00C526AE">
      <w:pPr>
        <w:pStyle w:val="BodyText"/>
        <w:ind w:left="28" w:right="163"/>
        <w:jc w:val="center"/>
      </w:pPr>
      <w:hyperlink r:id="rId24">
        <w:r>
          <w:t>Perkins,</w:t>
        </w:r>
      </w:hyperlink>
      <w:r>
        <w:rPr>
          <w:spacing w:val="53"/>
          <w:w w:val="150"/>
        </w:rPr>
        <w:t xml:space="preserve"> </w:t>
      </w:r>
      <w:r>
        <w:t>D.D</w:t>
      </w:r>
      <w:r>
        <w:rPr>
          <w:spacing w:val="53"/>
          <w:w w:val="150"/>
        </w:rPr>
        <w:t xml:space="preserve"> </w:t>
      </w:r>
      <w:r>
        <w:t>&amp;</w:t>
      </w:r>
      <w:r>
        <w:rPr>
          <w:spacing w:val="-4"/>
        </w:rPr>
        <w:t xml:space="preserve"> </w:t>
      </w:r>
      <w:hyperlink r:id="rId25">
        <w:r>
          <w:t>Zimmerman,</w:t>
        </w:r>
      </w:hyperlink>
      <w:r>
        <w:rPr>
          <w:spacing w:val="54"/>
          <w:w w:val="150"/>
        </w:rPr>
        <w:t xml:space="preserve"> </w:t>
      </w:r>
      <w:r>
        <w:t>M.A</w:t>
      </w:r>
      <w:r>
        <w:rPr>
          <w:spacing w:val="52"/>
          <w:w w:val="150"/>
        </w:rPr>
        <w:t xml:space="preserve"> </w:t>
      </w:r>
      <w:r>
        <w:t>(1995).</w:t>
      </w:r>
      <w:r>
        <w:rPr>
          <w:spacing w:val="54"/>
          <w:w w:val="150"/>
        </w:rPr>
        <w:t xml:space="preserve"> </w:t>
      </w:r>
      <w:r>
        <w:t>Empowerment</w:t>
      </w:r>
      <w:r>
        <w:rPr>
          <w:spacing w:val="53"/>
          <w:w w:val="150"/>
        </w:rPr>
        <w:t xml:space="preserve"> </w:t>
      </w:r>
      <w:r>
        <w:t>Theory,</w:t>
      </w:r>
      <w:r>
        <w:rPr>
          <w:spacing w:val="53"/>
          <w:w w:val="150"/>
        </w:rPr>
        <w:t xml:space="preserve"> </w:t>
      </w:r>
      <w:r>
        <w:t>Research,</w:t>
      </w:r>
      <w:r>
        <w:rPr>
          <w:spacing w:val="53"/>
          <w:w w:val="150"/>
        </w:rPr>
        <w:t xml:space="preserve"> </w:t>
      </w:r>
      <w:r>
        <w:t>and</w:t>
      </w:r>
      <w:r>
        <w:rPr>
          <w:spacing w:val="53"/>
          <w:w w:val="150"/>
        </w:rPr>
        <w:t xml:space="preserve"> </w:t>
      </w:r>
      <w:r>
        <w:rPr>
          <w:spacing w:val="-2"/>
        </w:rPr>
        <w:t>Application.</w:t>
      </w:r>
    </w:p>
    <w:p w14:paraId="720D38DC" w14:textId="77777777" w:rsidR="00C526AE" w:rsidRDefault="00A11850">
      <w:pPr>
        <w:spacing w:before="40"/>
        <w:ind w:right="163"/>
        <w:jc w:val="center"/>
      </w:pPr>
      <w:r>
        <w:rPr>
          <w:i/>
        </w:rPr>
        <w:t>American</w:t>
      </w:r>
      <w:r>
        <w:rPr>
          <w:i/>
          <w:spacing w:val="-6"/>
        </w:rPr>
        <w:t xml:space="preserve"> </w:t>
      </w:r>
      <w:r>
        <w:rPr>
          <w:i/>
        </w:rPr>
        <w:t>Journal</w:t>
      </w:r>
      <w:r>
        <w:rPr>
          <w:i/>
          <w:spacing w:val="-5"/>
        </w:rPr>
        <w:t xml:space="preserve"> </w:t>
      </w:r>
      <w:r>
        <w:rPr>
          <w:i/>
        </w:rPr>
        <w:t>of</w:t>
      </w:r>
      <w:r>
        <w:rPr>
          <w:i/>
          <w:spacing w:val="-3"/>
        </w:rPr>
        <w:t xml:space="preserve"> </w:t>
      </w:r>
      <w:r>
        <w:rPr>
          <w:i/>
        </w:rPr>
        <w:t>Community</w:t>
      </w:r>
      <w:r>
        <w:rPr>
          <w:i/>
          <w:spacing w:val="-4"/>
        </w:rPr>
        <w:t xml:space="preserve"> </w:t>
      </w:r>
      <w:r>
        <w:rPr>
          <w:i/>
        </w:rPr>
        <w:t>Psychology.</w:t>
      </w:r>
      <w:r>
        <w:rPr>
          <w:i/>
          <w:spacing w:val="-3"/>
        </w:rPr>
        <w:t xml:space="preserve"> </w:t>
      </w:r>
      <w:hyperlink r:id="rId26">
        <w:r w:rsidR="00C526AE">
          <w:rPr>
            <w:spacing w:val="-2"/>
          </w:rPr>
          <w:t>https://doi.org/10.1007/BF02506982</w:t>
        </w:r>
      </w:hyperlink>
    </w:p>
    <w:p w14:paraId="004B4EDB" w14:textId="77777777" w:rsidR="00C526AE" w:rsidRDefault="00C526AE">
      <w:pPr>
        <w:jc w:val="center"/>
        <w:sectPr w:rsidR="00C526AE">
          <w:pgSz w:w="11910" w:h="16840"/>
          <w:pgMar w:top="1340" w:right="1133" w:bottom="1200" w:left="1275" w:header="0" w:footer="1002" w:gutter="0"/>
          <w:cols w:space="720"/>
        </w:sectPr>
      </w:pPr>
    </w:p>
    <w:p w14:paraId="641CCFA5" w14:textId="77777777" w:rsidR="00C526AE" w:rsidRDefault="00C526AE">
      <w:pPr>
        <w:spacing w:before="76"/>
        <w:ind w:left="165"/>
        <w:rPr>
          <w:i/>
        </w:rPr>
      </w:pPr>
      <w:hyperlink r:id="rId27">
        <w:r>
          <w:t>Rappaport,</w:t>
        </w:r>
      </w:hyperlink>
      <w:r>
        <w:rPr>
          <w:spacing w:val="70"/>
          <w:w w:val="150"/>
        </w:rPr>
        <w:t xml:space="preserve"> </w:t>
      </w:r>
      <w:r>
        <w:t>J.</w:t>
      </w:r>
      <w:r>
        <w:rPr>
          <w:spacing w:val="75"/>
          <w:w w:val="150"/>
        </w:rPr>
        <w:t xml:space="preserve"> </w:t>
      </w:r>
      <w:r>
        <w:t>(1981).</w:t>
      </w:r>
      <w:r>
        <w:rPr>
          <w:spacing w:val="26"/>
        </w:rPr>
        <w:t xml:space="preserve">  </w:t>
      </w:r>
      <w:r>
        <w:t>In</w:t>
      </w:r>
      <w:r>
        <w:rPr>
          <w:spacing w:val="77"/>
          <w:w w:val="150"/>
        </w:rPr>
        <w:t xml:space="preserve"> </w:t>
      </w:r>
      <w:r>
        <w:t>Praise</w:t>
      </w:r>
      <w:r>
        <w:rPr>
          <w:spacing w:val="76"/>
          <w:w w:val="150"/>
        </w:rPr>
        <w:t xml:space="preserve"> </w:t>
      </w:r>
      <w:r>
        <w:t>of</w:t>
      </w:r>
      <w:r>
        <w:rPr>
          <w:spacing w:val="76"/>
          <w:w w:val="150"/>
        </w:rPr>
        <w:t xml:space="preserve"> </w:t>
      </w:r>
      <w:r>
        <w:t>Paradox:</w:t>
      </w:r>
      <w:r>
        <w:rPr>
          <w:spacing w:val="78"/>
          <w:w w:val="150"/>
        </w:rPr>
        <w:t xml:space="preserve"> </w:t>
      </w:r>
      <w:r>
        <w:t>A</w:t>
      </w:r>
      <w:r>
        <w:rPr>
          <w:spacing w:val="74"/>
          <w:w w:val="150"/>
        </w:rPr>
        <w:t xml:space="preserve"> </w:t>
      </w:r>
      <w:r>
        <w:t>Social</w:t>
      </w:r>
      <w:r>
        <w:rPr>
          <w:spacing w:val="76"/>
          <w:w w:val="150"/>
        </w:rPr>
        <w:t xml:space="preserve"> </w:t>
      </w:r>
      <w:r>
        <w:t>Prevention.</w:t>
      </w:r>
      <w:r>
        <w:rPr>
          <w:spacing w:val="78"/>
          <w:w w:val="150"/>
        </w:rPr>
        <w:t xml:space="preserve"> </w:t>
      </w:r>
      <w:r>
        <w:rPr>
          <w:i/>
        </w:rPr>
        <w:t>Community</w:t>
      </w:r>
      <w:r>
        <w:rPr>
          <w:i/>
          <w:spacing w:val="75"/>
          <w:w w:val="150"/>
        </w:rPr>
        <w:t xml:space="preserve"> </w:t>
      </w:r>
      <w:r>
        <w:rPr>
          <w:i/>
          <w:spacing w:val="-2"/>
        </w:rPr>
        <w:t>Psychology.</w:t>
      </w:r>
    </w:p>
    <w:p w14:paraId="4056CD9A" w14:textId="77777777" w:rsidR="00C526AE" w:rsidRDefault="00A11850">
      <w:pPr>
        <w:pStyle w:val="BodyText"/>
        <w:spacing w:before="37"/>
        <w:ind w:left="1017"/>
        <w:jc w:val="left"/>
      </w:pPr>
      <w:r>
        <w:t>DOI:</w:t>
      </w:r>
      <w:r>
        <w:rPr>
          <w:spacing w:val="-4"/>
        </w:rPr>
        <w:t xml:space="preserve"> </w:t>
      </w:r>
      <w:hyperlink r:id="rId28">
        <w:r w:rsidR="00C526AE">
          <w:rPr>
            <w:spacing w:val="-2"/>
          </w:rPr>
          <w:t>10.1007/BF00896357</w:t>
        </w:r>
      </w:hyperlink>
    </w:p>
    <w:p w14:paraId="5D1A5AF2" w14:textId="77777777" w:rsidR="00C526AE" w:rsidRDefault="00A11850">
      <w:pPr>
        <w:pStyle w:val="BodyText"/>
        <w:spacing w:before="239" w:line="276" w:lineRule="auto"/>
        <w:ind w:left="1017" w:right="302" w:hanging="852"/>
      </w:pPr>
      <w:proofErr w:type="spellStart"/>
      <w:r>
        <w:t>Reloj</w:t>
      </w:r>
      <w:proofErr w:type="spellEnd"/>
      <w:r>
        <w:t>, J (2023). Community Needs Assessment and Challenges. https//</w:t>
      </w:r>
      <w:hyperlink r:id="rId29">
        <w:r w:rsidR="00C526AE">
          <w:t>www.researchgate.net</w:t>
        </w:r>
      </w:hyperlink>
      <w:r>
        <w:t xml:space="preserve"> </w:t>
      </w:r>
      <w:r>
        <w:rPr>
          <w:spacing w:val="-2"/>
        </w:rPr>
        <w:t>publication.</w:t>
      </w:r>
    </w:p>
    <w:p w14:paraId="571FD320" w14:textId="77777777" w:rsidR="00C526AE" w:rsidRDefault="00A11850">
      <w:pPr>
        <w:pStyle w:val="BodyText"/>
        <w:spacing w:before="201"/>
        <w:jc w:val="left"/>
      </w:pPr>
      <w:r>
        <w:t>Ross,</w:t>
      </w:r>
      <w:r>
        <w:rPr>
          <w:spacing w:val="23"/>
        </w:rPr>
        <w:t xml:space="preserve"> </w:t>
      </w:r>
      <w:r>
        <w:t>H.</w:t>
      </w:r>
      <w:r>
        <w:rPr>
          <w:spacing w:val="23"/>
        </w:rPr>
        <w:t xml:space="preserve"> </w:t>
      </w:r>
      <w:r>
        <w:t>et.al</w:t>
      </w:r>
      <w:r>
        <w:rPr>
          <w:spacing w:val="23"/>
        </w:rPr>
        <w:t xml:space="preserve"> </w:t>
      </w:r>
      <w:r>
        <w:t>(2014).</w:t>
      </w:r>
      <w:r>
        <w:rPr>
          <w:spacing w:val="23"/>
        </w:rPr>
        <w:t xml:space="preserve"> </w:t>
      </w:r>
      <w:r>
        <w:t>A</w:t>
      </w:r>
      <w:r>
        <w:rPr>
          <w:spacing w:val="23"/>
        </w:rPr>
        <w:t xml:space="preserve"> </w:t>
      </w:r>
      <w:r>
        <w:t>participatory</w:t>
      </w:r>
      <w:r>
        <w:rPr>
          <w:spacing w:val="21"/>
        </w:rPr>
        <w:t xml:space="preserve"> </w:t>
      </w:r>
      <w:r>
        <w:t>systems</w:t>
      </w:r>
      <w:r>
        <w:rPr>
          <w:spacing w:val="23"/>
        </w:rPr>
        <w:t xml:space="preserve"> </w:t>
      </w:r>
      <w:r>
        <w:t>approach</w:t>
      </w:r>
      <w:r>
        <w:rPr>
          <w:spacing w:val="24"/>
        </w:rPr>
        <w:t xml:space="preserve"> </w:t>
      </w:r>
      <w:r>
        <w:t>to</w:t>
      </w:r>
      <w:r>
        <w:rPr>
          <w:spacing w:val="23"/>
        </w:rPr>
        <w:t xml:space="preserve"> </w:t>
      </w:r>
      <w:r>
        <w:t>understanding</w:t>
      </w:r>
      <w:r>
        <w:rPr>
          <w:spacing w:val="22"/>
        </w:rPr>
        <w:t xml:space="preserve"> </w:t>
      </w:r>
      <w:r>
        <w:t>climate</w:t>
      </w:r>
      <w:r>
        <w:rPr>
          <w:spacing w:val="23"/>
        </w:rPr>
        <w:t xml:space="preserve"> </w:t>
      </w:r>
      <w:r>
        <w:t>adaptation</w:t>
      </w:r>
      <w:r>
        <w:rPr>
          <w:spacing w:val="24"/>
        </w:rPr>
        <w:t xml:space="preserve"> </w:t>
      </w:r>
      <w:r>
        <w:rPr>
          <w:spacing w:val="-2"/>
        </w:rPr>
        <w:t>needs.</w:t>
      </w:r>
    </w:p>
    <w:p w14:paraId="7AF34AF6" w14:textId="77777777" w:rsidR="00C526AE" w:rsidRDefault="00A11850">
      <w:pPr>
        <w:pStyle w:val="BodyText"/>
        <w:spacing w:before="37"/>
        <w:ind w:left="1017"/>
        <w:jc w:val="left"/>
      </w:pPr>
      <w:r>
        <w:t>Climatic</w:t>
      </w:r>
      <w:r>
        <w:rPr>
          <w:spacing w:val="-4"/>
        </w:rPr>
        <w:t xml:space="preserve"> </w:t>
      </w:r>
      <w:r>
        <w:t>Change</w:t>
      </w:r>
      <w:r>
        <w:rPr>
          <w:spacing w:val="-4"/>
        </w:rPr>
        <w:t xml:space="preserve"> </w:t>
      </w:r>
      <w:r>
        <w:t>(2015)</w:t>
      </w:r>
      <w:r>
        <w:rPr>
          <w:spacing w:val="-4"/>
        </w:rPr>
        <w:t xml:space="preserve"> </w:t>
      </w:r>
      <w:r>
        <w:t>129:27-</w:t>
      </w:r>
      <w:r>
        <w:rPr>
          <w:spacing w:val="-8"/>
        </w:rPr>
        <w:t xml:space="preserve"> </w:t>
      </w:r>
      <w:r>
        <w:t>42.</w:t>
      </w:r>
      <w:r>
        <w:rPr>
          <w:spacing w:val="-4"/>
        </w:rPr>
        <w:t xml:space="preserve"> </w:t>
      </w:r>
      <w:r>
        <w:t>DOI</w:t>
      </w:r>
      <w:r>
        <w:rPr>
          <w:spacing w:val="-7"/>
        </w:rPr>
        <w:t xml:space="preserve"> </w:t>
      </w:r>
      <w:r>
        <w:t>10.1007/s10584-014-1318-</w:t>
      </w:r>
      <w:r>
        <w:rPr>
          <w:spacing w:val="-10"/>
        </w:rPr>
        <w:t>6</w:t>
      </w:r>
    </w:p>
    <w:p w14:paraId="628FC57D" w14:textId="77777777" w:rsidR="00C526AE" w:rsidRDefault="00A11850">
      <w:pPr>
        <w:pStyle w:val="BodyText"/>
        <w:spacing w:before="237"/>
        <w:jc w:val="left"/>
      </w:pPr>
      <w:r>
        <w:t>Ross</w:t>
      </w:r>
      <w:r>
        <w:rPr>
          <w:spacing w:val="53"/>
        </w:rPr>
        <w:t xml:space="preserve"> </w:t>
      </w:r>
      <w:r>
        <w:t>et.al</w:t>
      </w:r>
      <w:r>
        <w:rPr>
          <w:spacing w:val="56"/>
        </w:rPr>
        <w:t xml:space="preserve"> </w:t>
      </w:r>
      <w:r>
        <w:t>(2015).</w:t>
      </w:r>
      <w:r>
        <w:rPr>
          <w:spacing w:val="56"/>
        </w:rPr>
        <w:t xml:space="preserve"> </w:t>
      </w:r>
      <w:r>
        <w:t>A</w:t>
      </w:r>
      <w:r>
        <w:rPr>
          <w:spacing w:val="54"/>
        </w:rPr>
        <w:t xml:space="preserve"> </w:t>
      </w:r>
      <w:r>
        <w:t>participatory</w:t>
      </w:r>
      <w:r>
        <w:rPr>
          <w:spacing w:val="54"/>
        </w:rPr>
        <w:t xml:space="preserve"> </w:t>
      </w:r>
      <w:r>
        <w:t>systems</w:t>
      </w:r>
      <w:r>
        <w:rPr>
          <w:spacing w:val="56"/>
        </w:rPr>
        <w:t xml:space="preserve"> </w:t>
      </w:r>
      <w:r>
        <w:t>approach</w:t>
      </w:r>
      <w:r>
        <w:rPr>
          <w:spacing w:val="56"/>
        </w:rPr>
        <w:t xml:space="preserve"> </w:t>
      </w:r>
      <w:r>
        <w:t>to</w:t>
      </w:r>
      <w:r>
        <w:rPr>
          <w:spacing w:val="55"/>
        </w:rPr>
        <w:t xml:space="preserve"> </w:t>
      </w:r>
      <w:r>
        <w:t>understanding</w:t>
      </w:r>
      <w:r>
        <w:rPr>
          <w:spacing w:val="54"/>
        </w:rPr>
        <w:t xml:space="preserve"> </w:t>
      </w:r>
      <w:r>
        <w:t>climate</w:t>
      </w:r>
      <w:r>
        <w:rPr>
          <w:spacing w:val="56"/>
        </w:rPr>
        <w:t xml:space="preserve"> </w:t>
      </w:r>
      <w:r>
        <w:t>adaptation</w:t>
      </w:r>
      <w:r>
        <w:rPr>
          <w:spacing w:val="56"/>
        </w:rPr>
        <w:t xml:space="preserve"> </w:t>
      </w:r>
      <w:r>
        <w:rPr>
          <w:spacing w:val="-2"/>
        </w:rPr>
        <w:t>needs.</w:t>
      </w:r>
    </w:p>
    <w:p w14:paraId="40982BA5" w14:textId="77777777" w:rsidR="00C526AE" w:rsidRDefault="00A11850">
      <w:pPr>
        <w:spacing w:before="39"/>
        <w:ind w:left="1017"/>
      </w:pPr>
      <w:r>
        <w:rPr>
          <w:i/>
        </w:rPr>
        <w:t>Climatic</w:t>
      </w:r>
      <w:r>
        <w:rPr>
          <w:i/>
          <w:spacing w:val="-6"/>
        </w:rPr>
        <w:t xml:space="preserve"> </w:t>
      </w:r>
      <w:r>
        <w:rPr>
          <w:i/>
        </w:rPr>
        <w:t>Change</w:t>
      </w:r>
      <w:r>
        <w:rPr>
          <w:i/>
          <w:spacing w:val="-7"/>
        </w:rPr>
        <w:t xml:space="preserve"> </w:t>
      </w:r>
      <w:r>
        <w:t>(2015)</w:t>
      </w:r>
      <w:r>
        <w:rPr>
          <w:spacing w:val="-6"/>
        </w:rPr>
        <w:t xml:space="preserve"> </w:t>
      </w:r>
      <w:r>
        <w:t>129:27-42</w:t>
      </w:r>
      <w:r>
        <w:rPr>
          <w:spacing w:val="-6"/>
        </w:rPr>
        <w:t xml:space="preserve"> </w:t>
      </w:r>
      <w:r>
        <w:t>DOI</w:t>
      </w:r>
      <w:r>
        <w:rPr>
          <w:spacing w:val="-9"/>
        </w:rPr>
        <w:t xml:space="preserve"> </w:t>
      </w:r>
      <w:r>
        <w:t>10.1007/s10584-014-1318-</w:t>
      </w:r>
      <w:r>
        <w:rPr>
          <w:spacing w:val="-10"/>
        </w:rPr>
        <w:t>6</w:t>
      </w:r>
    </w:p>
    <w:p w14:paraId="28CF2D9D" w14:textId="77777777" w:rsidR="00C526AE" w:rsidRDefault="00C526AE">
      <w:pPr>
        <w:pStyle w:val="BodyText"/>
        <w:spacing w:before="237" w:line="276" w:lineRule="auto"/>
        <w:ind w:left="1017" w:right="299" w:hanging="852"/>
      </w:pPr>
      <w:hyperlink r:id="rId30">
        <w:r>
          <w:t>Shahadat, S</w:t>
        </w:r>
      </w:hyperlink>
      <w:r>
        <w:t>.,</w:t>
      </w:r>
      <w:r>
        <w:rPr>
          <w:spacing w:val="-1"/>
        </w:rPr>
        <w:t xml:space="preserve"> </w:t>
      </w:r>
      <w:hyperlink r:id="rId31">
        <w:r>
          <w:t>&amp; Rahman, B.</w:t>
        </w:r>
      </w:hyperlink>
      <w:r>
        <w:t xml:space="preserve"> (2014). Public Participation and Lay Knowledge in Environmental Governance: A Case Study of Community Based Adaptation in Bangladesh, </w:t>
      </w:r>
      <w:hyperlink r:id="rId32">
        <w:r>
          <w:rPr>
            <w:i/>
          </w:rPr>
          <w:t>SSRN</w:t>
        </w:r>
      </w:hyperlink>
      <w:r>
        <w:rPr>
          <w:i/>
        </w:rPr>
        <w:t xml:space="preserve"> </w:t>
      </w:r>
      <w:hyperlink r:id="rId33">
        <w:r>
          <w:rPr>
            <w:i/>
          </w:rPr>
          <w:t>Electronic Journal</w:t>
        </w:r>
      </w:hyperlink>
      <w:r>
        <w:rPr>
          <w:i/>
        </w:rPr>
        <w:t xml:space="preserve"> </w:t>
      </w:r>
      <w:r>
        <w:t>11(1):135-142. DOI:</w:t>
      </w:r>
      <w:hyperlink r:id="rId34">
        <w:r>
          <w:t>10.2139/ssrn.2372844</w:t>
        </w:r>
      </w:hyperlink>
    </w:p>
    <w:p w14:paraId="2F159D41" w14:textId="77777777" w:rsidR="00C526AE" w:rsidRDefault="00C526AE">
      <w:pPr>
        <w:pStyle w:val="BodyText"/>
        <w:spacing w:before="201" w:line="276" w:lineRule="auto"/>
        <w:ind w:left="1017" w:right="309" w:hanging="852"/>
      </w:pPr>
      <w:hyperlink r:id="rId35">
        <w:r>
          <w:t>Thi, T,T.P</w:t>
        </w:r>
      </w:hyperlink>
      <w:r>
        <w:t xml:space="preserve"> et.al., </w:t>
      </w:r>
      <w:r>
        <w:rPr>
          <w:color w:val="212121"/>
        </w:rPr>
        <w:t xml:space="preserve">(2018). Stakeholder Participation in Climate Change Adaptation Policies: A Case in Vietnam. </w:t>
      </w:r>
      <w:hyperlink r:id="rId36">
        <w:r>
          <w:rPr>
            <w:color w:val="0000FF"/>
            <w:u w:val="single" w:color="0000FF"/>
          </w:rPr>
          <w:t>https://dx.doi.org/10.2139/ssrn.3215173</w:t>
        </w:r>
      </w:hyperlink>
    </w:p>
    <w:p w14:paraId="6B3E8972" w14:textId="77777777" w:rsidR="00C526AE" w:rsidRDefault="00C526AE">
      <w:pPr>
        <w:pStyle w:val="BodyText"/>
        <w:spacing w:before="26"/>
        <w:ind w:left="0"/>
        <w:jc w:val="left"/>
      </w:pPr>
    </w:p>
    <w:p w14:paraId="592BDB84" w14:textId="77777777" w:rsidR="00C526AE" w:rsidRDefault="00A11850">
      <w:pPr>
        <w:pStyle w:val="BodyText"/>
        <w:ind w:left="885" w:hanging="720"/>
        <w:jc w:val="left"/>
      </w:pPr>
      <w:r>
        <w:rPr>
          <w:color w:val="333333"/>
        </w:rPr>
        <w:t>Wolf,</w:t>
      </w:r>
      <w:r>
        <w:rPr>
          <w:color w:val="333333"/>
          <w:spacing w:val="-6"/>
        </w:rPr>
        <w:t xml:space="preserve"> </w:t>
      </w:r>
      <w:r>
        <w:rPr>
          <w:color w:val="333333"/>
        </w:rPr>
        <w:t>J</w:t>
      </w:r>
      <w:r>
        <w:rPr>
          <w:color w:val="333333"/>
          <w:spacing w:val="-1"/>
        </w:rPr>
        <w:t xml:space="preserve"> </w:t>
      </w:r>
      <w:r>
        <w:rPr>
          <w:color w:val="333333"/>
        </w:rPr>
        <w:t>&amp;</w:t>
      </w:r>
      <w:r>
        <w:rPr>
          <w:color w:val="333333"/>
          <w:spacing w:val="-5"/>
        </w:rPr>
        <w:t xml:space="preserve"> </w:t>
      </w:r>
      <w:r>
        <w:rPr>
          <w:color w:val="333333"/>
        </w:rPr>
        <w:t>Moser,</w:t>
      </w:r>
      <w:r>
        <w:rPr>
          <w:color w:val="333333"/>
          <w:spacing w:val="-3"/>
        </w:rPr>
        <w:t xml:space="preserve"> </w:t>
      </w:r>
      <w:r>
        <w:rPr>
          <w:color w:val="333333"/>
        </w:rPr>
        <w:t>C.S.</w:t>
      </w:r>
      <w:r>
        <w:rPr>
          <w:color w:val="333333"/>
          <w:spacing w:val="-3"/>
        </w:rPr>
        <w:t xml:space="preserve"> </w:t>
      </w:r>
      <w:r>
        <w:rPr>
          <w:color w:val="333333"/>
        </w:rPr>
        <w:t>(2011).</w:t>
      </w:r>
      <w:r>
        <w:rPr>
          <w:color w:val="333333"/>
          <w:spacing w:val="-2"/>
        </w:rPr>
        <w:t xml:space="preserve"> </w:t>
      </w:r>
      <w:r>
        <w:rPr>
          <w:color w:val="333333"/>
        </w:rPr>
        <w:t>Individual</w:t>
      </w:r>
      <w:r>
        <w:rPr>
          <w:color w:val="333333"/>
          <w:spacing w:val="-2"/>
        </w:rPr>
        <w:t xml:space="preserve"> </w:t>
      </w:r>
      <w:r>
        <w:rPr>
          <w:color w:val="333333"/>
        </w:rPr>
        <w:t>understandings,</w:t>
      </w:r>
      <w:r>
        <w:rPr>
          <w:color w:val="333333"/>
          <w:spacing w:val="-3"/>
        </w:rPr>
        <w:t xml:space="preserve"> </w:t>
      </w:r>
      <w:r>
        <w:rPr>
          <w:color w:val="333333"/>
        </w:rPr>
        <w:t>perceptions,</w:t>
      </w:r>
      <w:r>
        <w:rPr>
          <w:color w:val="333333"/>
          <w:spacing w:val="-5"/>
        </w:rPr>
        <w:t xml:space="preserve"> </w:t>
      </w:r>
      <w:r>
        <w:rPr>
          <w:color w:val="333333"/>
        </w:rPr>
        <w:t>and</w:t>
      </w:r>
      <w:r>
        <w:rPr>
          <w:color w:val="333333"/>
          <w:spacing w:val="-3"/>
        </w:rPr>
        <w:t xml:space="preserve"> </w:t>
      </w:r>
      <w:r>
        <w:rPr>
          <w:color w:val="333333"/>
        </w:rPr>
        <w:t>engagement</w:t>
      </w:r>
      <w:r>
        <w:rPr>
          <w:color w:val="333333"/>
          <w:spacing w:val="-2"/>
        </w:rPr>
        <w:t xml:space="preserve"> </w:t>
      </w:r>
      <w:r>
        <w:rPr>
          <w:color w:val="333333"/>
        </w:rPr>
        <w:t>with</w:t>
      </w:r>
      <w:r>
        <w:rPr>
          <w:color w:val="333333"/>
          <w:spacing w:val="-3"/>
        </w:rPr>
        <w:t xml:space="preserve"> </w:t>
      </w:r>
      <w:r>
        <w:rPr>
          <w:color w:val="333333"/>
        </w:rPr>
        <w:t xml:space="preserve">climate change: insights from in‐depth studies across the world. </w:t>
      </w:r>
      <w:r>
        <w:rPr>
          <w:i/>
          <w:color w:val="333333"/>
        </w:rPr>
        <w:t xml:space="preserve">Wires Climate Change. </w:t>
      </w:r>
      <w:hyperlink r:id="rId37">
        <w:r w:rsidR="00C526AE">
          <w:rPr>
            <w:spacing w:val="-2"/>
          </w:rPr>
          <w:t>https://doi.org/10.1002/wcc.120</w:t>
        </w:r>
      </w:hyperlink>
    </w:p>
    <w:sectPr w:rsidR="00C526AE">
      <w:pgSz w:w="11910" w:h="16840"/>
      <w:pgMar w:top="1340" w:right="1133" w:bottom="1200" w:left="1275"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71FF" w14:textId="77777777" w:rsidR="003458E6" w:rsidRDefault="003458E6">
      <w:r>
        <w:separator/>
      </w:r>
    </w:p>
  </w:endnote>
  <w:endnote w:type="continuationSeparator" w:id="0">
    <w:p w14:paraId="4AACED99" w14:textId="77777777" w:rsidR="003458E6" w:rsidRDefault="0034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4460" w14:textId="77777777" w:rsidR="00625246" w:rsidRDefault="00625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FBE6" w14:textId="77777777" w:rsidR="00C526AE" w:rsidRDefault="00A11850">
    <w:pPr>
      <w:pStyle w:val="BodyText"/>
      <w:spacing w:line="14" w:lineRule="auto"/>
      <w:ind w:left="0"/>
      <w:jc w:val="left"/>
      <w:rPr>
        <w:sz w:val="20"/>
      </w:rPr>
    </w:pPr>
    <w:r>
      <w:rPr>
        <w:noProof/>
        <w:sz w:val="20"/>
      </w:rPr>
      <mc:AlternateContent>
        <mc:Choice Requires="wps">
          <w:drawing>
            <wp:anchor distT="0" distB="0" distL="0" distR="0" simplePos="0" relativeHeight="487490048" behindDoc="1" locked="0" layoutInCell="1" allowOverlap="1" wp14:anchorId="248B8443" wp14:editId="175DBAF6">
              <wp:simplePos x="0" y="0"/>
              <wp:positionH relativeFrom="page">
                <wp:posOffset>3697351</wp:posOffset>
              </wp:positionH>
              <wp:positionV relativeFrom="page">
                <wp:posOffset>9916159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1DA20D3" w14:textId="77777777" w:rsidR="00C526AE" w:rsidRDefault="00A11850">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48B8443" id="_x0000_t202" coordsize="21600,21600" o:spt="202" path="m,l,21600r21600,l21600,xe">
              <v:stroke joinstyle="miter"/>
              <v:path gradientshapeok="t" o:connecttype="rect"/>
            </v:shapetype>
            <v:shape id="Textbox 1" o:spid="_x0000_s1026" type="#_x0000_t202" style="position:absolute;margin-left:291.15pt;margin-top:780.8pt;width:13.3pt;height:13.0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" filled="f" stroked="f">
              <v:textbox inset="0,0,0,0">
                <w:txbxContent>
                  <w:p w14:paraId="01DA20D3" w14:textId="77777777" w:rsidR="00C526AE" w:rsidRDefault="00A11850">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0C72" w14:textId="77777777" w:rsidR="00625246" w:rsidRDefault="00625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F861" w14:textId="77777777" w:rsidR="003458E6" w:rsidRDefault="003458E6">
      <w:r>
        <w:separator/>
      </w:r>
    </w:p>
  </w:footnote>
  <w:footnote w:type="continuationSeparator" w:id="0">
    <w:p w14:paraId="3C98365E" w14:textId="77777777" w:rsidR="003458E6" w:rsidRDefault="0034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077F" w14:textId="417D00FB" w:rsidR="00625246" w:rsidRDefault="00000000">
    <w:pPr>
      <w:pStyle w:val="Header"/>
    </w:pPr>
    <w:r>
      <w:rPr>
        <w:noProof/>
      </w:rPr>
      <w:pict w14:anchorId="6B80A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79532" o:spid="_x0000_s1026" type="#_x0000_t136" style="position:absolute;margin-left:0;margin-top:0;width:602.75pt;height:66.95pt;rotation:315;z-index:-158223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2225" w14:textId="42117DA2" w:rsidR="00625246" w:rsidRDefault="00000000">
    <w:pPr>
      <w:pStyle w:val="Header"/>
    </w:pPr>
    <w:r>
      <w:rPr>
        <w:noProof/>
      </w:rPr>
      <w:pict w14:anchorId="19A74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79533" o:spid="_x0000_s1027" type="#_x0000_t136" style="position:absolute;margin-left:0;margin-top:0;width:602.75pt;height:66.95pt;rotation:315;z-index:-158202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D3A7" w14:textId="6E4D0A96" w:rsidR="00625246" w:rsidRDefault="00000000">
    <w:pPr>
      <w:pStyle w:val="Header"/>
    </w:pPr>
    <w:r>
      <w:rPr>
        <w:noProof/>
      </w:rPr>
      <w:pict w14:anchorId="1E459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79531" o:spid="_x0000_s1025" type="#_x0000_t136" style="position:absolute;margin-left:0;margin-top:0;width:602.75pt;height:66.95pt;rotation:315;z-index:-15824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F5A"/>
    <w:multiLevelType w:val="hybridMultilevel"/>
    <w:tmpl w:val="265054B2"/>
    <w:lvl w:ilvl="0" w:tplc="0C000001">
      <w:start w:val="1"/>
      <w:numFmt w:val="bullet"/>
      <w:lvlText w:val=""/>
      <w:lvlJc w:val="left"/>
      <w:pPr>
        <w:ind w:left="885" w:hanging="360"/>
      </w:pPr>
      <w:rPr>
        <w:rFonts w:ascii="Symbol" w:hAnsi="Symbol" w:hint="default"/>
      </w:rPr>
    </w:lvl>
    <w:lvl w:ilvl="1" w:tplc="0C000003">
      <w:start w:val="1"/>
      <w:numFmt w:val="bullet"/>
      <w:lvlText w:val="o"/>
      <w:lvlJc w:val="left"/>
      <w:pPr>
        <w:ind w:left="1605" w:hanging="360"/>
      </w:pPr>
      <w:rPr>
        <w:rFonts w:ascii="Courier New" w:hAnsi="Courier New" w:cs="Courier New" w:hint="default"/>
      </w:rPr>
    </w:lvl>
    <w:lvl w:ilvl="2" w:tplc="0C000005" w:tentative="1">
      <w:start w:val="1"/>
      <w:numFmt w:val="bullet"/>
      <w:lvlText w:val=""/>
      <w:lvlJc w:val="left"/>
      <w:pPr>
        <w:ind w:left="2325" w:hanging="360"/>
      </w:pPr>
      <w:rPr>
        <w:rFonts w:ascii="Wingdings" w:hAnsi="Wingdings" w:hint="default"/>
      </w:rPr>
    </w:lvl>
    <w:lvl w:ilvl="3" w:tplc="0C000001" w:tentative="1">
      <w:start w:val="1"/>
      <w:numFmt w:val="bullet"/>
      <w:lvlText w:val=""/>
      <w:lvlJc w:val="left"/>
      <w:pPr>
        <w:ind w:left="3045" w:hanging="360"/>
      </w:pPr>
      <w:rPr>
        <w:rFonts w:ascii="Symbol" w:hAnsi="Symbol" w:hint="default"/>
      </w:rPr>
    </w:lvl>
    <w:lvl w:ilvl="4" w:tplc="0C000003" w:tentative="1">
      <w:start w:val="1"/>
      <w:numFmt w:val="bullet"/>
      <w:lvlText w:val="o"/>
      <w:lvlJc w:val="left"/>
      <w:pPr>
        <w:ind w:left="3765" w:hanging="360"/>
      </w:pPr>
      <w:rPr>
        <w:rFonts w:ascii="Courier New" w:hAnsi="Courier New" w:cs="Courier New" w:hint="default"/>
      </w:rPr>
    </w:lvl>
    <w:lvl w:ilvl="5" w:tplc="0C000005" w:tentative="1">
      <w:start w:val="1"/>
      <w:numFmt w:val="bullet"/>
      <w:lvlText w:val=""/>
      <w:lvlJc w:val="left"/>
      <w:pPr>
        <w:ind w:left="4485" w:hanging="360"/>
      </w:pPr>
      <w:rPr>
        <w:rFonts w:ascii="Wingdings" w:hAnsi="Wingdings" w:hint="default"/>
      </w:rPr>
    </w:lvl>
    <w:lvl w:ilvl="6" w:tplc="0C000001" w:tentative="1">
      <w:start w:val="1"/>
      <w:numFmt w:val="bullet"/>
      <w:lvlText w:val=""/>
      <w:lvlJc w:val="left"/>
      <w:pPr>
        <w:ind w:left="5205" w:hanging="360"/>
      </w:pPr>
      <w:rPr>
        <w:rFonts w:ascii="Symbol" w:hAnsi="Symbol" w:hint="default"/>
      </w:rPr>
    </w:lvl>
    <w:lvl w:ilvl="7" w:tplc="0C000003" w:tentative="1">
      <w:start w:val="1"/>
      <w:numFmt w:val="bullet"/>
      <w:lvlText w:val="o"/>
      <w:lvlJc w:val="left"/>
      <w:pPr>
        <w:ind w:left="5925" w:hanging="360"/>
      </w:pPr>
      <w:rPr>
        <w:rFonts w:ascii="Courier New" w:hAnsi="Courier New" w:cs="Courier New" w:hint="default"/>
      </w:rPr>
    </w:lvl>
    <w:lvl w:ilvl="8" w:tplc="0C000005" w:tentative="1">
      <w:start w:val="1"/>
      <w:numFmt w:val="bullet"/>
      <w:lvlText w:val=""/>
      <w:lvlJc w:val="left"/>
      <w:pPr>
        <w:ind w:left="6645" w:hanging="360"/>
      </w:pPr>
      <w:rPr>
        <w:rFonts w:ascii="Wingdings" w:hAnsi="Wingdings" w:hint="default"/>
      </w:rPr>
    </w:lvl>
  </w:abstractNum>
  <w:abstractNum w:abstractNumId="1" w15:restartNumberingAfterBreak="0">
    <w:nsid w:val="1150591C"/>
    <w:multiLevelType w:val="hybridMultilevel"/>
    <w:tmpl w:val="8058179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7B26528"/>
    <w:multiLevelType w:val="hybridMultilevel"/>
    <w:tmpl w:val="114A9E06"/>
    <w:lvl w:ilvl="0" w:tplc="0C000001">
      <w:start w:val="1"/>
      <w:numFmt w:val="bullet"/>
      <w:lvlText w:val=""/>
      <w:lvlJc w:val="left"/>
      <w:pPr>
        <w:ind w:left="885" w:hanging="360"/>
      </w:pPr>
      <w:rPr>
        <w:rFonts w:ascii="Symbol" w:hAnsi="Symbol" w:hint="default"/>
      </w:rPr>
    </w:lvl>
    <w:lvl w:ilvl="1" w:tplc="0C000003" w:tentative="1">
      <w:start w:val="1"/>
      <w:numFmt w:val="bullet"/>
      <w:lvlText w:val="o"/>
      <w:lvlJc w:val="left"/>
      <w:pPr>
        <w:ind w:left="1605" w:hanging="360"/>
      </w:pPr>
      <w:rPr>
        <w:rFonts w:ascii="Courier New" w:hAnsi="Courier New" w:cs="Courier New" w:hint="default"/>
      </w:rPr>
    </w:lvl>
    <w:lvl w:ilvl="2" w:tplc="0C000005" w:tentative="1">
      <w:start w:val="1"/>
      <w:numFmt w:val="bullet"/>
      <w:lvlText w:val=""/>
      <w:lvlJc w:val="left"/>
      <w:pPr>
        <w:ind w:left="2325" w:hanging="360"/>
      </w:pPr>
      <w:rPr>
        <w:rFonts w:ascii="Wingdings" w:hAnsi="Wingdings" w:hint="default"/>
      </w:rPr>
    </w:lvl>
    <w:lvl w:ilvl="3" w:tplc="0C000001" w:tentative="1">
      <w:start w:val="1"/>
      <w:numFmt w:val="bullet"/>
      <w:lvlText w:val=""/>
      <w:lvlJc w:val="left"/>
      <w:pPr>
        <w:ind w:left="3045" w:hanging="360"/>
      </w:pPr>
      <w:rPr>
        <w:rFonts w:ascii="Symbol" w:hAnsi="Symbol" w:hint="default"/>
      </w:rPr>
    </w:lvl>
    <w:lvl w:ilvl="4" w:tplc="0C000003" w:tentative="1">
      <w:start w:val="1"/>
      <w:numFmt w:val="bullet"/>
      <w:lvlText w:val="o"/>
      <w:lvlJc w:val="left"/>
      <w:pPr>
        <w:ind w:left="3765" w:hanging="360"/>
      </w:pPr>
      <w:rPr>
        <w:rFonts w:ascii="Courier New" w:hAnsi="Courier New" w:cs="Courier New" w:hint="default"/>
      </w:rPr>
    </w:lvl>
    <w:lvl w:ilvl="5" w:tplc="0C000005" w:tentative="1">
      <w:start w:val="1"/>
      <w:numFmt w:val="bullet"/>
      <w:lvlText w:val=""/>
      <w:lvlJc w:val="left"/>
      <w:pPr>
        <w:ind w:left="4485" w:hanging="360"/>
      </w:pPr>
      <w:rPr>
        <w:rFonts w:ascii="Wingdings" w:hAnsi="Wingdings" w:hint="default"/>
      </w:rPr>
    </w:lvl>
    <w:lvl w:ilvl="6" w:tplc="0C000001" w:tentative="1">
      <w:start w:val="1"/>
      <w:numFmt w:val="bullet"/>
      <w:lvlText w:val=""/>
      <w:lvlJc w:val="left"/>
      <w:pPr>
        <w:ind w:left="5205" w:hanging="360"/>
      </w:pPr>
      <w:rPr>
        <w:rFonts w:ascii="Symbol" w:hAnsi="Symbol" w:hint="default"/>
      </w:rPr>
    </w:lvl>
    <w:lvl w:ilvl="7" w:tplc="0C000003" w:tentative="1">
      <w:start w:val="1"/>
      <w:numFmt w:val="bullet"/>
      <w:lvlText w:val="o"/>
      <w:lvlJc w:val="left"/>
      <w:pPr>
        <w:ind w:left="5925" w:hanging="360"/>
      </w:pPr>
      <w:rPr>
        <w:rFonts w:ascii="Courier New" w:hAnsi="Courier New" w:cs="Courier New" w:hint="default"/>
      </w:rPr>
    </w:lvl>
    <w:lvl w:ilvl="8" w:tplc="0C000005" w:tentative="1">
      <w:start w:val="1"/>
      <w:numFmt w:val="bullet"/>
      <w:lvlText w:val=""/>
      <w:lvlJc w:val="left"/>
      <w:pPr>
        <w:ind w:left="6645" w:hanging="360"/>
      </w:pPr>
      <w:rPr>
        <w:rFonts w:ascii="Wingdings" w:hAnsi="Wingdings" w:hint="default"/>
      </w:rPr>
    </w:lvl>
  </w:abstractNum>
  <w:abstractNum w:abstractNumId="3" w15:restartNumberingAfterBreak="0">
    <w:nsid w:val="43B11930"/>
    <w:multiLevelType w:val="hybridMultilevel"/>
    <w:tmpl w:val="C5AC0F60"/>
    <w:lvl w:ilvl="0" w:tplc="0409001B">
      <w:start w:val="1"/>
      <w:numFmt w:val="lowerRoman"/>
      <w:lvlText w:val="%1."/>
      <w:lvlJc w:val="right"/>
      <w:pPr>
        <w:ind w:left="885" w:hanging="360"/>
      </w:pPr>
    </w:lvl>
    <w:lvl w:ilvl="1" w:tplc="FFFFFFFF" w:tentative="1">
      <w:start w:val="1"/>
      <w:numFmt w:val="lowerLetter"/>
      <w:lvlText w:val="%2."/>
      <w:lvlJc w:val="left"/>
      <w:pPr>
        <w:ind w:left="1605" w:hanging="360"/>
      </w:pPr>
    </w:lvl>
    <w:lvl w:ilvl="2" w:tplc="FFFFFFFF" w:tentative="1">
      <w:start w:val="1"/>
      <w:numFmt w:val="lowerRoman"/>
      <w:lvlText w:val="%3."/>
      <w:lvlJc w:val="right"/>
      <w:pPr>
        <w:ind w:left="2325" w:hanging="180"/>
      </w:pPr>
    </w:lvl>
    <w:lvl w:ilvl="3" w:tplc="FFFFFFFF" w:tentative="1">
      <w:start w:val="1"/>
      <w:numFmt w:val="decimal"/>
      <w:lvlText w:val="%4."/>
      <w:lvlJc w:val="left"/>
      <w:pPr>
        <w:ind w:left="3045" w:hanging="360"/>
      </w:pPr>
    </w:lvl>
    <w:lvl w:ilvl="4" w:tplc="FFFFFFFF" w:tentative="1">
      <w:start w:val="1"/>
      <w:numFmt w:val="lowerLetter"/>
      <w:lvlText w:val="%5."/>
      <w:lvlJc w:val="left"/>
      <w:pPr>
        <w:ind w:left="3765" w:hanging="360"/>
      </w:pPr>
    </w:lvl>
    <w:lvl w:ilvl="5" w:tplc="FFFFFFFF" w:tentative="1">
      <w:start w:val="1"/>
      <w:numFmt w:val="lowerRoman"/>
      <w:lvlText w:val="%6."/>
      <w:lvlJc w:val="right"/>
      <w:pPr>
        <w:ind w:left="4485" w:hanging="180"/>
      </w:pPr>
    </w:lvl>
    <w:lvl w:ilvl="6" w:tplc="FFFFFFFF" w:tentative="1">
      <w:start w:val="1"/>
      <w:numFmt w:val="decimal"/>
      <w:lvlText w:val="%7."/>
      <w:lvlJc w:val="left"/>
      <w:pPr>
        <w:ind w:left="5205" w:hanging="360"/>
      </w:pPr>
    </w:lvl>
    <w:lvl w:ilvl="7" w:tplc="FFFFFFFF" w:tentative="1">
      <w:start w:val="1"/>
      <w:numFmt w:val="lowerLetter"/>
      <w:lvlText w:val="%8."/>
      <w:lvlJc w:val="left"/>
      <w:pPr>
        <w:ind w:left="5925" w:hanging="360"/>
      </w:pPr>
    </w:lvl>
    <w:lvl w:ilvl="8" w:tplc="FFFFFFFF" w:tentative="1">
      <w:start w:val="1"/>
      <w:numFmt w:val="lowerRoman"/>
      <w:lvlText w:val="%9."/>
      <w:lvlJc w:val="right"/>
      <w:pPr>
        <w:ind w:left="6645" w:hanging="180"/>
      </w:pPr>
    </w:lvl>
  </w:abstractNum>
  <w:abstractNum w:abstractNumId="4" w15:restartNumberingAfterBreak="0">
    <w:nsid w:val="4DDF3C1B"/>
    <w:multiLevelType w:val="hybridMultilevel"/>
    <w:tmpl w:val="2F54158E"/>
    <w:lvl w:ilvl="0" w:tplc="0C00000F">
      <w:start w:val="1"/>
      <w:numFmt w:val="decimal"/>
      <w:lvlText w:val="%1."/>
      <w:lvlJc w:val="left"/>
      <w:pPr>
        <w:ind w:left="885" w:hanging="360"/>
      </w:pPr>
    </w:lvl>
    <w:lvl w:ilvl="1" w:tplc="0C000019" w:tentative="1">
      <w:start w:val="1"/>
      <w:numFmt w:val="lowerLetter"/>
      <w:lvlText w:val="%2."/>
      <w:lvlJc w:val="left"/>
      <w:pPr>
        <w:ind w:left="1605" w:hanging="360"/>
      </w:pPr>
    </w:lvl>
    <w:lvl w:ilvl="2" w:tplc="0C00001B" w:tentative="1">
      <w:start w:val="1"/>
      <w:numFmt w:val="lowerRoman"/>
      <w:lvlText w:val="%3."/>
      <w:lvlJc w:val="right"/>
      <w:pPr>
        <w:ind w:left="2325" w:hanging="180"/>
      </w:pPr>
    </w:lvl>
    <w:lvl w:ilvl="3" w:tplc="0C00000F" w:tentative="1">
      <w:start w:val="1"/>
      <w:numFmt w:val="decimal"/>
      <w:lvlText w:val="%4."/>
      <w:lvlJc w:val="left"/>
      <w:pPr>
        <w:ind w:left="3045" w:hanging="360"/>
      </w:pPr>
    </w:lvl>
    <w:lvl w:ilvl="4" w:tplc="0C000019" w:tentative="1">
      <w:start w:val="1"/>
      <w:numFmt w:val="lowerLetter"/>
      <w:lvlText w:val="%5."/>
      <w:lvlJc w:val="left"/>
      <w:pPr>
        <w:ind w:left="3765" w:hanging="360"/>
      </w:pPr>
    </w:lvl>
    <w:lvl w:ilvl="5" w:tplc="0C00001B" w:tentative="1">
      <w:start w:val="1"/>
      <w:numFmt w:val="lowerRoman"/>
      <w:lvlText w:val="%6."/>
      <w:lvlJc w:val="right"/>
      <w:pPr>
        <w:ind w:left="4485" w:hanging="180"/>
      </w:pPr>
    </w:lvl>
    <w:lvl w:ilvl="6" w:tplc="0C00000F" w:tentative="1">
      <w:start w:val="1"/>
      <w:numFmt w:val="decimal"/>
      <w:lvlText w:val="%7."/>
      <w:lvlJc w:val="left"/>
      <w:pPr>
        <w:ind w:left="5205" w:hanging="360"/>
      </w:pPr>
    </w:lvl>
    <w:lvl w:ilvl="7" w:tplc="0C000019" w:tentative="1">
      <w:start w:val="1"/>
      <w:numFmt w:val="lowerLetter"/>
      <w:lvlText w:val="%8."/>
      <w:lvlJc w:val="left"/>
      <w:pPr>
        <w:ind w:left="5925" w:hanging="360"/>
      </w:pPr>
    </w:lvl>
    <w:lvl w:ilvl="8" w:tplc="0C00001B" w:tentative="1">
      <w:start w:val="1"/>
      <w:numFmt w:val="lowerRoman"/>
      <w:lvlText w:val="%9."/>
      <w:lvlJc w:val="right"/>
      <w:pPr>
        <w:ind w:left="6645" w:hanging="180"/>
      </w:pPr>
    </w:lvl>
  </w:abstractNum>
  <w:abstractNum w:abstractNumId="5" w15:restartNumberingAfterBreak="0">
    <w:nsid w:val="51B84DF7"/>
    <w:multiLevelType w:val="hybridMultilevel"/>
    <w:tmpl w:val="5D68B250"/>
    <w:lvl w:ilvl="0" w:tplc="0C000001">
      <w:start w:val="1"/>
      <w:numFmt w:val="bullet"/>
      <w:lvlText w:val=""/>
      <w:lvlJc w:val="left"/>
      <w:pPr>
        <w:ind w:left="885" w:hanging="360"/>
      </w:pPr>
      <w:rPr>
        <w:rFonts w:ascii="Symbol" w:hAnsi="Symbol" w:hint="default"/>
      </w:rPr>
    </w:lvl>
    <w:lvl w:ilvl="1" w:tplc="FFFFFFFF" w:tentative="1">
      <w:start w:val="1"/>
      <w:numFmt w:val="lowerLetter"/>
      <w:lvlText w:val="%2."/>
      <w:lvlJc w:val="left"/>
      <w:pPr>
        <w:ind w:left="1605" w:hanging="360"/>
      </w:pPr>
    </w:lvl>
    <w:lvl w:ilvl="2" w:tplc="FFFFFFFF" w:tentative="1">
      <w:start w:val="1"/>
      <w:numFmt w:val="lowerRoman"/>
      <w:lvlText w:val="%3."/>
      <w:lvlJc w:val="right"/>
      <w:pPr>
        <w:ind w:left="2325" w:hanging="180"/>
      </w:pPr>
    </w:lvl>
    <w:lvl w:ilvl="3" w:tplc="FFFFFFFF" w:tentative="1">
      <w:start w:val="1"/>
      <w:numFmt w:val="decimal"/>
      <w:lvlText w:val="%4."/>
      <w:lvlJc w:val="left"/>
      <w:pPr>
        <w:ind w:left="3045" w:hanging="360"/>
      </w:pPr>
    </w:lvl>
    <w:lvl w:ilvl="4" w:tplc="FFFFFFFF" w:tentative="1">
      <w:start w:val="1"/>
      <w:numFmt w:val="lowerLetter"/>
      <w:lvlText w:val="%5."/>
      <w:lvlJc w:val="left"/>
      <w:pPr>
        <w:ind w:left="3765" w:hanging="360"/>
      </w:pPr>
    </w:lvl>
    <w:lvl w:ilvl="5" w:tplc="FFFFFFFF" w:tentative="1">
      <w:start w:val="1"/>
      <w:numFmt w:val="lowerRoman"/>
      <w:lvlText w:val="%6."/>
      <w:lvlJc w:val="right"/>
      <w:pPr>
        <w:ind w:left="4485" w:hanging="180"/>
      </w:pPr>
    </w:lvl>
    <w:lvl w:ilvl="6" w:tplc="FFFFFFFF" w:tentative="1">
      <w:start w:val="1"/>
      <w:numFmt w:val="decimal"/>
      <w:lvlText w:val="%7."/>
      <w:lvlJc w:val="left"/>
      <w:pPr>
        <w:ind w:left="5205" w:hanging="360"/>
      </w:pPr>
    </w:lvl>
    <w:lvl w:ilvl="7" w:tplc="FFFFFFFF" w:tentative="1">
      <w:start w:val="1"/>
      <w:numFmt w:val="lowerLetter"/>
      <w:lvlText w:val="%8."/>
      <w:lvlJc w:val="left"/>
      <w:pPr>
        <w:ind w:left="5925" w:hanging="360"/>
      </w:pPr>
    </w:lvl>
    <w:lvl w:ilvl="8" w:tplc="FFFFFFFF" w:tentative="1">
      <w:start w:val="1"/>
      <w:numFmt w:val="lowerRoman"/>
      <w:lvlText w:val="%9."/>
      <w:lvlJc w:val="right"/>
      <w:pPr>
        <w:ind w:left="6645" w:hanging="180"/>
      </w:pPr>
    </w:lvl>
  </w:abstractNum>
  <w:abstractNum w:abstractNumId="6" w15:restartNumberingAfterBreak="0">
    <w:nsid w:val="5EDD1046"/>
    <w:multiLevelType w:val="hybridMultilevel"/>
    <w:tmpl w:val="05A836AC"/>
    <w:lvl w:ilvl="0" w:tplc="0C000001">
      <w:start w:val="1"/>
      <w:numFmt w:val="bullet"/>
      <w:lvlText w:val=""/>
      <w:lvlJc w:val="left"/>
      <w:pPr>
        <w:ind w:left="885" w:hanging="360"/>
      </w:pPr>
      <w:rPr>
        <w:rFonts w:ascii="Symbol" w:hAnsi="Symbol" w:hint="default"/>
      </w:rPr>
    </w:lvl>
    <w:lvl w:ilvl="1" w:tplc="0C000003" w:tentative="1">
      <w:start w:val="1"/>
      <w:numFmt w:val="bullet"/>
      <w:lvlText w:val="o"/>
      <w:lvlJc w:val="left"/>
      <w:pPr>
        <w:ind w:left="1605" w:hanging="360"/>
      </w:pPr>
      <w:rPr>
        <w:rFonts w:ascii="Courier New" w:hAnsi="Courier New" w:cs="Courier New" w:hint="default"/>
      </w:rPr>
    </w:lvl>
    <w:lvl w:ilvl="2" w:tplc="0C000005" w:tentative="1">
      <w:start w:val="1"/>
      <w:numFmt w:val="bullet"/>
      <w:lvlText w:val=""/>
      <w:lvlJc w:val="left"/>
      <w:pPr>
        <w:ind w:left="2325" w:hanging="360"/>
      </w:pPr>
      <w:rPr>
        <w:rFonts w:ascii="Wingdings" w:hAnsi="Wingdings" w:hint="default"/>
      </w:rPr>
    </w:lvl>
    <w:lvl w:ilvl="3" w:tplc="0C000001" w:tentative="1">
      <w:start w:val="1"/>
      <w:numFmt w:val="bullet"/>
      <w:lvlText w:val=""/>
      <w:lvlJc w:val="left"/>
      <w:pPr>
        <w:ind w:left="3045" w:hanging="360"/>
      </w:pPr>
      <w:rPr>
        <w:rFonts w:ascii="Symbol" w:hAnsi="Symbol" w:hint="default"/>
      </w:rPr>
    </w:lvl>
    <w:lvl w:ilvl="4" w:tplc="0C000003" w:tentative="1">
      <w:start w:val="1"/>
      <w:numFmt w:val="bullet"/>
      <w:lvlText w:val="o"/>
      <w:lvlJc w:val="left"/>
      <w:pPr>
        <w:ind w:left="3765" w:hanging="360"/>
      </w:pPr>
      <w:rPr>
        <w:rFonts w:ascii="Courier New" w:hAnsi="Courier New" w:cs="Courier New" w:hint="default"/>
      </w:rPr>
    </w:lvl>
    <w:lvl w:ilvl="5" w:tplc="0C000005" w:tentative="1">
      <w:start w:val="1"/>
      <w:numFmt w:val="bullet"/>
      <w:lvlText w:val=""/>
      <w:lvlJc w:val="left"/>
      <w:pPr>
        <w:ind w:left="4485" w:hanging="360"/>
      </w:pPr>
      <w:rPr>
        <w:rFonts w:ascii="Wingdings" w:hAnsi="Wingdings" w:hint="default"/>
      </w:rPr>
    </w:lvl>
    <w:lvl w:ilvl="6" w:tplc="0C000001" w:tentative="1">
      <w:start w:val="1"/>
      <w:numFmt w:val="bullet"/>
      <w:lvlText w:val=""/>
      <w:lvlJc w:val="left"/>
      <w:pPr>
        <w:ind w:left="5205" w:hanging="360"/>
      </w:pPr>
      <w:rPr>
        <w:rFonts w:ascii="Symbol" w:hAnsi="Symbol" w:hint="default"/>
      </w:rPr>
    </w:lvl>
    <w:lvl w:ilvl="7" w:tplc="0C000003" w:tentative="1">
      <w:start w:val="1"/>
      <w:numFmt w:val="bullet"/>
      <w:lvlText w:val="o"/>
      <w:lvlJc w:val="left"/>
      <w:pPr>
        <w:ind w:left="5925" w:hanging="360"/>
      </w:pPr>
      <w:rPr>
        <w:rFonts w:ascii="Courier New" w:hAnsi="Courier New" w:cs="Courier New" w:hint="default"/>
      </w:rPr>
    </w:lvl>
    <w:lvl w:ilvl="8" w:tplc="0C000005" w:tentative="1">
      <w:start w:val="1"/>
      <w:numFmt w:val="bullet"/>
      <w:lvlText w:val=""/>
      <w:lvlJc w:val="left"/>
      <w:pPr>
        <w:ind w:left="6645" w:hanging="360"/>
      </w:pPr>
      <w:rPr>
        <w:rFonts w:ascii="Wingdings" w:hAnsi="Wingdings" w:hint="default"/>
      </w:rPr>
    </w:lvl>
  </w:abstractNum>
  <w:abstractNum w:abstractNumId="7" w15:restartNumberingAfterBreak="0">
    <w:nsid w:val="6E422C5A"/>
    <w:multiLevelType w:val="hybridMultilevel"/>
    <w:tmpl w:val="5F5A7204"/>
    <w:lvl w:ilvl="0" w:tplc="0C000001">
      <w:start w:val="1"/>
      <w:numFmt w:val="bullet"/>
      <w:lvlText w:val=""/>
      <w:lvlJc w:val="left"/>
      <w:pPr>
        <w:ind w:left="885" w:hanging="360"/>
      </w:pPr>
      <w:rPr>
        <w:rFonts w:ascii="Symbol" w:hAnsi="Symbol" w:hint="default"/>
      </w:rPr>
    </w:lvl>
    <w:lvl w:ilvl="1" w:tplc="863E74E0">
      <w:numFmt w:val="bullet"/>
      <w:lvlText w:val="•"/>
      <w:lvlJc w:val="left"/>
      <w:pPr>
        <w:ind w:left="1605" w:hanging="360"/>
      </w:pPr>
      <w:rPr>
        <w:rFonts w:ascii="Times New Roman" w:eastAsia="Times New Roman" w:hAnsi="Times New Roman" w:cs="Times New Roman" w:hint="default"/>
      </w:rPr>
    </w:lvl>
    <w:lvl w:ilvl="2" w:tplc="0C000005" w:tentative="1">
      <w:start w:val="1"/>
      <w:numFmt w:val="bullet"/>
      <w:lvlText w:val=""/>
      <w:lvlJc w:val="left"/>
      <w:pPr>
        <w:ind w:left="2325" w:hanging="360"/>
      </w:pPr>
      <w:rPr>
        <w:rFonts w:ascii="Wingdings" w:hAnsi="Wingdings" w:hint="default"/>
      </w:rPr>
    </w:lvl>
    <w:lvl w:ilvl="3" w:tplc="0C000001" w:tentative="1">
      <w:start w:val="1"/>
      <w:numFmt w:val="bullet"/>
      <w:lvlText w:val=""/>
      <w:lvlJc w:val="left"/>
      <w:pPr>
        <w:ind w:left="3045" w:hanging="360"/>
      </w:pPr>
      <w:rPr>
        <w:rFonts w:ascii="Symbol" w:hAnsi="Symbol" w:hint="default"/>
      </w:rPr>
    </w:lvl>
    <w:lvl w:ilvl="4" w:tplc="0C000003" w:tentative="1">
      <w:start w:val="1"/>
      <w:numFmt w:val="bullet"/>
      <w:lvlText w:val="o"/>
      <w:lvlJc w:val="left"/>
      <w:pPr>
        <w:ind w:left="3765" w:hanging="360"/>
      </w:pPr>
      <w:rPr>
        <w:rFonts w:ascii="Courier New" w:hAnsi="Courier New" w:cs="Courier New" w:hint="default"/>
      </w:rPr>
    </w:lvl>
    <w:lvl w:ilvl="5" w:tplc="0C000005" w:tentative="1">
      <w:start w:val="1"/>
      <w:numFmt w:val="bullet"/>
      <w:lvlText w:val=""/>
      <w:lvlJc w:val="left"/>
      <w:pPr>
        <w:ind w:left="4485" w:hanging="360"/>
      </w:pPr>
      <w:rPr>
        <w:rFonts w:ascii="Wingdings" w:hAnsi="Wingdings" w:hint="default"/>
      </w:rPr>
    </w:lvl>
    <w:lvl w:ilvl="6" w:tplc="0C000001" w:tentative="1">
      <w:start w:val="1"/>
      <w:numFmt w:val="bullet"/>
      <w:lvlText w:val=""/>
      <w:lvlJc w:val="left"/>
      <w:pPr>
        <w:ind w:left="5205" w:hanging="360"/>
      </w:pPr>
      <w:rPr>
        <w:rFonts w:ascii="Symbol" w:hAnsi="Symbol" w:hint="default"/>
      </w:rPr>
    </w:lvl>
    <w:lvl w:ilvl="7" w:tplc="0C000003" w:tentative="1">
      <w:start w:val="1"/>
      <w:numFmt w:val="bullet"/>
      <w:lvlText w:val="o"/>
      <w:lvlJc w:val="left"/>
      <w:pPr>
        <w:ind w:left="5925" w:hanging="360"/>
      </w:pPr>
      <w:rPr>
        <w:rFonts w:ascii="Courier New" w:hAnsi="Courier New" w:cs="Courier New" w:hint="default"/>
      </w:rPr>
    </w:lvl>
    <w:lvl w:ilvl="8" w:tplc="0C000005" w:tentative="1">
      <w:start w:val="1"/>
      <w:numFmt w:val="bullet"/>
      <w:lvlText w:val=""/>
      <w:lvlJc w:val="left"/>
      <w:pPr>
        <w:ind w:left="6645" w:hanging="360"/>
      </w:pPr>
      <w:rPr>
        <w:rFonts w:ascii="Wingdings" w:hAnsi="Wingdings" w:hint="default"/>
      </w:rPr>
    </w:lvl>
  </w:abstractNum>
  <w:abstractNum w:abstractNumId="8" w15:restartNumberingAfterBreak="0">
    <w:nsid w:val="6F392416"/>
    <w:multiLevelType w:val="hybridMultilevel"/>
    <w:tmpl w:val="F356B73C"/>
    <w:lvl w:ilvl="0" w:tplc="FFFFFFFF">
      <w:start w:val="1"/>
      <w:numFmt w:val="bullet"/>
      <w:lvlText w:val=""/>
      <w:lvlJc w:val="left"/>
      <w:pPr>
        <w:ind w:left="885" w:hanging="360"/>
      </w:pPr>
      <w:rPr>
        <w:rFonts w:ascii="Symbol" w:hAnsi="Symbol" w:hint="default"/>
      </w:rPr>
    </w:lvl>
    <w:lvl w:ilvl="1" w:tplc="04090001">
      <w:start w:val="1"/>
      <w:numFmt w:val="bullet"/>
      <w:lvlText w:val=""/>
      <w:lvlJc w:val="left"/>
      <w:pPr>
        <w:ind w:left="1605" w:hanging="360"/>
      </w:pPr>
      <w:rPr>
        <w:rFonts w:ascii="Symbol" w:hAnsi="Symbol"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num w:numId="1" w16cid:durableId="1404332284">
    <w:abstractNumId w:val="4"/>
  </w:num>
  <w:num w:numId="2" w16cid:durableId="2047682097">
    <w:abstractNumId w:val="3"/>
  </w:num>
  <w:num w:numId="3" w16cid:durableId="1822497732">
    <w:abstractNumId w:val="7"/>
  </w:num>
  <w:num w:numId="4" w16cid:durableId="1085885732">
    <w:abstractNumId w:val="5"/>
  </w:num>
  <w:num w:numId="5" w16cid:durableId="1333870224">
    <w:abstractNumId w:val="6"/>
  </w:num>
  <w:num w:numId="6" w16cid:durableId="75976019">
    <w:abstractNumId w:val="2"/>
  </w:num>
  <w:num w:numId="7" w16cid:durableId="394089313">
    <w:abstractNumId w:val="0"/>
  </w:num>
  <w:num w:numId="8" w16cid:durableId="393545470">
    <w:abstractNumId w:val="8"/>
  </w:num>
  <w:num w:numId="9" w16cid:durableId="147162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AE"/>
    <w:rsid w:val="000410D4"/>
    <w:rsid w:val="00090A2E"/>
    <w:rsid w:val="000B7D26"/>
    <w:rsid w:val="000F1AF6"/>
    <w:rsid w:val="0011655E"/>
    <w:rsid w:val="00146BB9"/>
    <w:rsid w:val="001D304E"/>
    <w:rsid w:val="00233D5F"/>
    <w:rsid w:val="003458E6"/>
    <w:rsid w:val="003B2947"/>
    <w:rsid w:val="003E142C"/>
    <w:rsid w:val="00607E5C"/>
    <w:rsid w:val="00625246"/>
    <w:rsid w:val="00663BE4"/>
    <w:rsid w:val="007C3C6C"/>
    <w:rsid w:val="0095238C"/>
    <w:rsid w:val="00A11850"/>
    <w:rsid w:val="00A308FB"/>
    <w:rsid w:val="00A76D93"/>
    <w:rsid w:val="00B75DA1"/>
    <w:rsid w:val="00C33C14"/>
    <w:rsid w:val="00C526AE"/>
    <w:rsid w:val="00C9246A"/>
    <w:rsid w:val="00D81487"/>
    <w:rsid w:val="00E37A72"/>
    <w:rsid w:val="00ED495F"/>
    <w:rsid w:val="00F310A6"/>
    <w:rsid w:val="00F707DD"/>
    <w:rsid w:val="00F9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B6A60"/>
  <w15:docId w15:val="{761858B1-2179-46DF-8E8F-C5E51BB6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jc w:val="both"/>
      <w:outlineLvl w:val="0"/>
    </w:pPr>
    <w:rPr>
      <w:b/>
      <w:bCs/>
    </w:rPr>
  </w:style>
  <w:style w:type="paragraph" w:styleId="Heading3">
    <w:name w:val="heading 3"/>
    <w:basedOn w:val="Normal"/>
    <w:next w:val="Normal"/>
    <w:link w:val="Heading3Char"/>
    <w:uiPriority w:val="9"/>
    <w:semiHidden/>
    <w:unhideWhenUsed/>
    <w:qFormat/>
    <w:rsid w:val="007C3C6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07E5C"/>
    <w:rPr>
      <w:color w:val="0000FF" w:themeColor="hyperlink"/>
      <w:u w:val="single"/>
    </w:rPr>
  </w:style>
  <w:style w:type="character" w:styleId="UnresolvedMention">
    <w:name w:val="Unresolved Mention"/>
    <w:basedOn w:val="DefaultParagraphFont"/>
    <w:uiPriority w:val="99"/>
    <w:semiHidden/>
    <w:unhideWhenUsed/>
    <w:rsid w:val="00607E5C"/>
    <w:rPr>
      <w:color w:val="605E5C"/>
      <w:shd w:val="clear" w:color="auto" w:fill="E1DFDD"/>
    </w:rPr>
  </w:style>
  <w:style w:type="character" w:customStyle="1" w:styleId="Heading3Char">
    <w:name w:val="Heading 3 Char"/>
    <w:basedOn w:val="DefaultParagraphFont"/>
    <w:link w:val="Heading3"/>
    <w:uiPriority w:val="9"/>
    <w:semiHidden/>
    <w:rsid w:val="007C3C6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625246"/>
    <w:pPr>
      <w:tabs>
        <w:tab w:val="center" w:pos="4680"/>
        <w:tab w:val="right" w:pos="9360"/>
      </w:tabs>
    </w:pPr>
  </w:style>
  <w:style w:type="character" w:customStyle="1" w:styleId="HeaderChar">
    <w:name w:val="Header Char"/>
    <w:basedOn w:val="DefaultParagraphFont"/>
    <w:link w:val="Header"/>
    <w:uiPriority w:val="99"/>
    <w:rsid w:val="00625246"/>
    <w:rPr>
      <w:rFonts w:ascii="Times New Roman" w:eastAsia="Times New Roman" w:hAnsi="Times New Roman" w:cs="Times New Roman"/>
    </w:rPr>
  </w:style>
  <w:style w:type="paragraph" w:styleId="Footer">
    <w:name w:val="footer"/>
    <w:basedOn w:val="Normal"/>
    <w:link w:val="FooterChar"/>
    <w:uiPriority w:val="99"/>
    <w:unhideWhenUsed/>
    <w:rsid w:val="00625246"/>
    <w:pPr>
      <w:tabs>
        <w:tab w:val="center" w:pos="4680"/>
        <w:tab w:val="right" w:pos="9360"/>
      </w:tabs>
    </w:pPr>
  </w:style>
  <w:style w:type="character" w:customStyle="1" w:styleId="FooterChar">
    <w:name w:val="Footer Char"/>
    <w:basedOn w:val="DefaultParagraphFont"/>
    <w:link w:val="Footer"/>
    <w:uiPriority w:val="99"/>
    <w:rsid w:val="006252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pubmed.ncbi.nlm.nih.gov/?term=Frumence%2BG&amp;cauthor_id=26037041" TargetMode="External"/><Relationship Id="rId26" Type="http://schemas.openxmlformats.org/officeDocument/2006/relationships/hyperlink" Target="https://doi.org/10.1007/BF02506982" TargetMode="External"/><Relationship Id="rId39" Type="http://schemas.openxmlformats.org/officeDocument/2006/relationships/theme" Target="theme/theme1.xml"/><Relationship Id="rId21" Type="http://schemas.openxmlformats.org/officeDocument/2006/relationships/hyperlink" Target="https://www.researchgate.net/journal/Journal-of-Development-Policy-and-Practice-2455-1333?_tp=eyJjb250ZXh0Ijp7ImZpcnN0UGFnZSI6InB1YmxpY2F0aW9uIiwicGFnZSI6InB1YmxpY2F0aW9uIn19" TargetMode="External"/><Relationship Id="rId34" Type="http://schemas.openxmlformats.org/officeDocument/2006/relationships/hyperlink" Target="http://dx.doi.org/10.2139/ssrn.237284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ubmed.ncbi.nlm.nih.gov/?term=Kilewo%2BEG&amp;cauthor_id=26037041" TargetMode="External"/><Relationship Id="rId25" Type="http://schemas.openxmlformats.org/officeDocument/2006/relationships/hyperlink" Target="https://onlinelibrary.wiley.com/authored-by/Zimmerman/Marc%2BA" TargetMode="External"/><Relationship Id="rId33" Type="http://schemas.openxmlformats.org/officeDocument/2006/relationships/hyperlink" Target="https://www.researchgate.net/journal/SSRN-Electronic-Journal-1556-506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pcc.ch/report/ar6/wg1/" TargetMode="External"/><Relationship Id="rId20" Type="http://schemas.openxmlformats.org/officeDocument/2006/relationships/hyperlink" Target="https://doi.org/10.30574/wjarr.2025.26.1.1338" TargetMode="External"/><Relationship Id="rId29" Type="http://schemas.openxmlformats.org/officeDocument/2006/relationships/hyperlink" Target="http://www.researchgate.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onlinelibrary.wiley.com/authored-by/Perkins/Douglas%2BD" TargetMode="External"/><Relationship Id="rId32" Type="http://schemas.openxmlformats.org/officeDocument/2006/relationships/hyperlink" Target="https://www.researchgate.net/journal/SSRN-Electronic-Journal-1556-5068" TargetMode="External"/><Relationship Id="rId37" Type="http://schemas.openxmlformats.org/officeDocument/2006/relationships/hyperlink" Target="https://doi.org/10.1002/wcc.120" TargetMode="External"/><Relationship Id="rId5" Type="http://schemas.openxmlformats.org/officeDocument/2006/relationships/footnotes" Target="footnotes.xml"/><Relationship Id="rId15" Type="http://schemas.openxmlformats.org/officeDocument/2006/relationships/hyperlink" Target="https://doi.org/10.1016/j.ecoinf.2023.101960" TargetMode="External"/><Relationship Id="rId23" Type="http://schemas.openxmlformats.org/officeDocument/2006/relationships/hyperlink" Target="http://dx.doi.org/10.1177/2455133320909926" TargetMode="External"/><Relationship Id="rId28" Type="http://schemas.openxmlformats.org/officeDocument/2006/relationships/hyperlink" Target="https://doi.org/10.1007/bf00896357" TargetMode="External"/><Relationship Id="rId36" Type="http://schemas.openxmlformats.org/officeDocument/2006/relationships/hyperlink" Target="https://dx.doi.org/10.2139/ssrn.3215173" TargetMode="External"/><Relationship Id="rId10" Type="http://schemas.openxmlformats.org/officeDocument/2006/relationships/footer" Target="footer2.xml"/><Relationship Id="rId19" Type="http://schemas.openxmlformats.org/officeDocument/2006/relationships/hyperlink" Target="https://doi.org/10.3402/gha.v8.26461" TargetMode="External"/><Relationship Id="rId31" Type="http://schemas.openxmlformats.org/officeDocument/2006/relationships/hyperlink" Target="https://www.google.co.ke/search?tbo=p&amp;tbm=bks&amp;q=inauthor%3A%22Md%2BMusfiqur%2BRahman%2BBhuiya%22&amp;source=gbs_metadata_r&amp;cad=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dpi.com/journal/land" TargetMode="External"/><Relationship Id="rId22" Type="http://schemas.openxmlformats.org/officeDocument/2006/relationships/hyperlink" Target="https://www.researchgate.net/journal/Journal-of-Development-Policy-and-Practice-2455-1333?_tp=eyJjb250ZXh0Ijp7ImZpcnN0UGFnZSI6InB1YmxpY2F0aW9uIiwicGFnZSI6InB1YmxpY2F0aW9uIn19" TargetMode="External"/><Relationship Id="rId27" Type="http://schemas.openxmlformats.org/officeDocument/2006/relationships/hyperlink" Target="https://pubmed.ncbi.nlm.nih.gov/?term=Rappaport%2BJ&amp;cauthor_id=7223726" TargetMode="External"/><Relationship Id="rId30" Type="http://schemas.openxmlformats.org/officeDocument/2006/relationships/hyperlink" Target="https://www.google.co.ke/search?tbo=p&amp;tbm=bks&amp;q=inauthor%3A%22Shahadat%2BShakil%22&amp;source=gbs_metadata_r&amp;cad=1" TargetMode="External"/><Relationship Id="rId35" Type="http://schemas.openxmlformats.org/officeDocument/2006/relationships/hyperlink" Target="https://papers.ssrn.com/sol3/cf_dev/AbsByAuth.cfm?per_id=3061029"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5871</Words>
  <Characters>33469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JUMAWEI</dc:creator>
  <cp:lastModifiedBy>Muinde Kimuyu</cp:lastModifiedBy>
  <cp:revision>5</cp:revision>
  <dcterms:created xsi:type="dcterms:W3CDTF">2025-09-09T17:03:00Z</dcterms:created>
  <dcterms:modified xsi:type="dcterms:W3CDTF">2025-09-09T18:33:00Z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2010</vt:lpwstr>
  </property>
  <property fmtid="{D5CDD505-2E9C-101B-9397-08002B2CF9AE}" pid="4" name="LastSaved">
    <vt:filetime>2025-09-03T00:00:00Z</vt:filetime>
  </property>
  <property fmtid="{D5CDD505-2E9C-101B-9397-08002B2CF9AE}" pid="5" name="Producer">
    <vt:lpwstr>Microsoft® Word 2010</vt:lpwstr>
  </property>
</Properties>
</file>