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5A4F56" w14:textId="25DF4FC5" w:rsidR="009F1227" w:rsidRDefault="00E95DA1" w:rsidP="009F1227">
      <w:pPr>
        <w:spacing w:before="240" w:after="240" w:line="240" w:lineRule="auto"/>
        <w:jc w:val="both"/>
        <w:rPr>
          <w:rFonts w:ascii="Garamond" w:hAnsi="Garamond" w:cs="Times New Roman"/>
          <w:b/>
          <w:sz w:val="20"/>
          <w:szCs w:val="20"/>
          <w:lang w:val="en-US"/>
        </w:rPr>
      </w:pPr>
      <w:r w:rsidRPr="009F1227">
        <w:rPr>
          <w:rFonts w:ascii="Garamond" w:hAnsi="Garamond" w:cs="Times New Roman"/>
          <w:b/>
          <w:sz w:val="20"/>
          <w:szCs w:val="20"/>
          <w:lang w:val="en-US"/>
        </w:rPr>
        <w:t xml:space="preserve">The Mediating Analysis </w:t>
      </w:r>
      <w:r>
        <w:rPr>
          <w:rFonts w:ascii="Garamond" w:hAnsi="Garamond" w:cs="Times New Roman"/>
          <w:b/>
          <w:sz w:val="20"/>
          <w:szCs w:val="20"/>
          <w:lang w:val="en-US"/>
        </w:rPr>
        <w:t>o</w:t>
      </w:r>
      <w:r w:rsidRPr="009F1227">
        <w:rPr>
          <w:rFonts w:ascii="Garamond" w:hAnsi="Garamond" w:cs="Times New Roman"/>
          <w:b/>
          <w:sz w:val="20"/>
          <w:szCs w:val="20"/>
          <w:lang w:val="en-US"/>
        </w:rPr>
        <w:t xml:space="preserve">f Self-Efficacy </w:t>
      </w:r>
      <w:r>
        <w:rPr>
          <w:rFonts w:ascii="Garamond" w:hAnsi="Garamond" w:cs="Times New Roman"/>
          <w:b/>
          <w:sz w:val="20"/>
          <w:szCs w:val="20"/>
          <w:lang w:val="en-US"/>
        </w:rPr>
        <w:t>o</w:t>
      </w:r>
      <w:r w:rsidRPr="009F1227">
        <w:rPr>
          <w:rFonts w:ascii="Garamond" w:hAnsi="Garamond" w:cs="Times New Roman"/>
          <w:b/>
          <w:sz w:val="20"/>
          <w:szCs w:val="20"/>
          <w:lang w:val="en-US"/>
        </w:rPr>
        <w:t xml:space="preserve">n The Relationship Between Anxiety </w:t>
      </w:r>
      <w:r>
        <w:rPr>
          <w:rFonts w:ascii="Garamond" w:hAnsi="Garamond" w:cs="Times New Roman"/>
          <w:b/>
          <w:sz w:val="20"/>
          <w:szCs w:val="20"/>
          <w:lang w:val="en-US"/>
        </w:rPr>
        <w:t>a</w:t>
      </w:r>
      <w:r w:rsidRPr="009F1227">
        <w:rPr>
          <w:rFonts w:ascii="Garamond" w:hAnsi="Garamond" w:cs="Times New Roman"/>
          <w:b/>
          <w:sz w:val="20"/>
          <w:szCs w:val="20"/>
          <w:lang w:val="en-US"/>
        </w:rPr>
        <w:t xml:space="preserve">nd Academic Performance </w:t>
      </w:r>
      <w:r>
        <w:rPr>
          <w:rFonts w:ascii="Garamond" w:hAnsi="Garamond" w:cs="Times New Roman"/>
          <w:b/>
          <w:sz w:val="20"/>
          <w:szCs w:val="20"/>
          <w:lang w:val="en-US"/>
        </w:rPr>
        <w:t>i</w:t>
      </w:r>
      <w:r w:rsidRPr="009F1227">
        <w:rPr>
          <w:rFonts w:ascii="Garamond" w:hAnsi="Garamond" w:cs="Times New Roman"/>
          <w:b/>
          <w:sz w:val="20"/>
          <w:szCs w:val="20"/>
          <w:lang w:val="en-US"/>
        </w:rPr>
        <w:t xml:space="preserve">n Mathematics </w:t>
      </w:r>
      <w:r>
        <w:rPr>
          <w:rFonts w:ascii="Garamond" w:hAnsi="Garamond" w:cs="Times New Roman"/>
          <w:b/>
          <w:sz w:val="20"/>
          <w:szCs w:val="20"/>
          <w:lang w:val="en-US"/>
        </w:rPr>
        <w:t>o</w:t>
      </w:r>
      <w:r w:rsidRPr="009F1227">
        <w:rPr>
          <w:rFonts w:ascii="Garamond" w:hAnsi="Garamond" w:cs="Times New Roman"/>
          <w:b/>
          <w:sz w:val="20"/>
          <w:szCs w:val="20"/>
          <w:lang w:val="en-US"/>
        </w:rPr>
        <w:t>f Grade 9 Students</w:t>
      </w:r>
    </w:p>
    <w:p w14:paraId="1B646244" w14:textId="77777777" w:rsidR="005F3D3F" w:rsidRDefault="005F3D3F" w:rsidP="00313535">
      <w:pPr>
        <w:pStyle w:val="Els-Abstract-head"/>
        <w:rPr>
          <w:rFonts w:ascii="Garamond" w:hAnsi="Garamond"/>
          <w:color w:val="000000" w:themeColor="text1"/>
          <w:sz w:val="20"/>
        </w:rPr>
      </w:pPr>
    </w:p>
    <w:p w14:paraId="3F1248E4" w14:textId="3A098C9E" w:rsidR="00313535" w:rsidRPr="00313535" w:rsidRDefault="00313535" w:rsidP="00313535">
      <w:pPr>
        <w:pStyle w:val="Els-Abstract-head"/>
        <w:rPr>
          <w:rFonts w:ascii="Garamond" w:hAnsi="Garamond"/>
          <w:color w:val="000000" w:themeColor="text1"/>
          <w:sz w:val="20"/>
        </w:rPr>
      </w:pPr>
      <w:r w:rsidRPr="00313535">
        <w:rPr>
          <w:rFonts w:ascii="Garamond" w:hAnsi="Garamond"/>
          <w:color w:val="000000" w:themeColor="text1"/>
          <w:sz w:val="20"/>
        </w:rPr>
        <w:t>Abstract</w:t>
      </w:r>
    </w:p>
    <w:p w14:paraId="7928A2B6" w14:textId="69F46766" w:rsidR="007B1CA4" w:rsidRPr="0027333C" w:rsidRDefault="001C3C86" w:rsidP="007B1CA4">
      <w:pPr>
        <w:rPr>
          <w:rFonts w:ascii="Garamond" w:hAnsi="Garamond" w:cs="Times New Roman"/>
          <w:sz w:val="20"/>
          <w:szCs w:val="20"/>
          <w:highlight w:val="yellow"/>
        </w:rPr>
      </w:pPr>
      <w:r w:rsidRPr="0027333C">
        <w:rPr>
          <w:rFonts w:ascii="Garamond" w:hAnsi="Garamond" w:cs="Times New Roman"/>
          <w:sz w:val="20"/>
          <w:szCs w:val="20"/>
          <w:highlight w:val="yellow"/>
        </w:rPr>
        <w:t>Mathematics anxiety diminishes students' confidence and engagement, hinders working memory and numerical processing, and thus results in diminished academic achievement.</w:t>
      </w:r>
      <w:r>
        <w:rPr>
          <w:rFonts w:ascii="Garamond" w:hAnsi="Garamond" w:cs="Times New Roman"/>
          <w:sz w:val="20"/>
          <w:szCs w:val="20"/>
        </w:rPr>
        <w:t xml:space="preserve"> </w:t>
      </w:r>
      <w:r w:rsidR="0030594C" w:rsidRPr="0030594C">
        <w:rPr>
          <w:rFonts w:ascii="Garamond" w:hAnsi="Garamond" w:cs="Times New Roman"/>
          <w:sz w:val="20"/>
          <w:szCs w:val="20"/>
        </w:rPr>
        <w:t xml:space="preserve">Mathematics anxiety undermines academic achievement by disrupting students’ confidence and engagement in learning mathematics. </w:t>
      </w:r>
      <w:r w:rsidRPr="0027333C">
        <w:rPr>
          <w:rFonts w:ascii="Garamond" w:hAnsi="Garamond" w:cs="Times New Roman"/>
          <w:sz w:val="20"/>
          <w:szCs w:val="20"/>
          <w:highlight w:val="yellow"/>
        </w:rPr>
        <w:t>This study aimed to investigate the mediating role of self-efficacy in the relationship between mathematics anxiety and the academic performance of Grade 9 students of Sta. Ana National High School</w:t>
      </w:r>
      <w:r w:rsidRPr="001C3C86">
        <w:rPr>
          <w:rFonts w:ascii="Garamond" w:hAnsi="Garamond" w:cs="Times New Roman"/>
          <w:sz w:val="20"/>
          <w:szCs w:val="20"/>
        </w:rPr>
        <w:t xml:space="preserve">. </w:t>
      </w:r>
      <w:r w:rsidR="0030594C" w:rsidRPr="0030594C">
        <w:rPr>
          <w:rFonts w:ascii="Garamond" w:hAnsi="Garamond" w:cs="Times New Roman"/>
          <w:sz w:val="20"/>
          <w:szCs w:val="20"/>
        </w:rPr>
        <w:t xml:space="preserve">A quantitative mediation analysis was conducted using </w:t>
      </w:r>
      <w:proofErr w:type="spellStart"/>
      <w:r w:rsidR="0014251E" w:rsidRPr="0027333C">
        <w:rPr>
          <w:rFonts w:ascii="Garamond" w:hAnsi="Garamond" w:cs="Times New Roman"/>
          <w:sz w:val="20"/>
          <w:szCs w:val="20"/>
          <w:highlight w:val="yellow"/>
        </w:rPr>
        <w:t>standardised</w:t>
      </w:r>
      <w:proofErr w:type="spellEnd"/>
      <w:r w:rsidR="0014251E" w:rsidRPr="0030594C">
        <w:rPr>
          <w:rFonts w:ascii="Garamond" w:hAnsi="Garamond" w:cs="Times New Roman"/>
          <w:sz w:val="20"/>
          <w:szCs w:val="20"/>
        </w:rPr>
        <w:t xml:space="preserve"> </w:t>
      </w:r>
      <w:r w:rsidR="0030594C" w:rsidRPr="0030594C">
        <w:rPr>
          <w:rFonts w:ascii="Garamond" w:hAnsi="Garamond" w:cs="Times New Roman"/>
          <w:sz w:val="20"/>
          <w:szCs w:val="20"/>
        </w:rPr>
        <w:t xml:space="preserve">tools: </w:t>
      </w:r>
      <w:r w:rsidR="00C74193" w:rsidRPr="0030594C">
        <w:rPr>
          <w:rFonts w:ascii="Garamond" w:hAnsi="Garamond" w:cs="Times New Roman"/>
          <w:sz w:val="20"/>
          <w:szCs w:val="20"/>
        </w:rPr>
        <w:t>The</w:t>
      </w:r>
      <w:r w:rsidR="0030594C" w:rsidRPr="0030594C">
        <w:rPr>
          <w:rFonts w:ascii="Garamond" w:hAnsi="Garamond" w:cs="Times New Roman"/>
          <w:sz w:val="20"/>
          <w:szCs w:val="20"/>
        </w:rPr>
        <w:t xml:space="preserve"> Mathematical Anxiety Instrument, the Sources of Mathematics Self-Efficacy Scale, and actual student grades. Despite experiencing moderate anxiety, students demonstrated “Very Satisfactory” performance, with a mean grade of 86.99%. </w:t>
      </w:r>
      <w:r w:rsidR="007B1CA4" w:rsidRPr="0027333C">
        <w:rPr>
          <w:rFonts w:ascii="Garamond" w:hAnsi="Garamond" w:cs="Times New Roman"/>
          <w:sz w:val="20"/>
          <w:szCs w:val="20"/>
          <w:highlight w:val="yellow"/>
        </w:rPr>
        <w:t xml:space="preserve">The study used a quantitative, correlational research design with mediation analysis to examine the mediating effect of self-efficacy on the relationships between mathematics anxiety and academic performance. </w:t>
      </w:r>
      <w:proofErr w:type="spellStart"/>
      <w:r w:rsidR="007B1CA4" w:rsidRPr="0027333C">
        <w:rPr>
          <w:rFonts w:ascii="Garamond" w:hAnsi="Garamond" w:cs="Times New Roman"/>
          <w:sz w:val="20"/>
          <w:szCs w:val="20"/>
          <w:highlight w:val="yellow"/>
        </w:rPr>
        <w:t>Totalling</w:t>
      </w:r>
      <w:proofErr w:type="spellEnd"/>
      <w:r w:rsidR="007B1CA4" w:rsidRPr="0027333C">
        <w:rPr>
          <w:rFonts w:ascii="Garamond" w:hAnsi="Garamond" w:cs="Times New Roman"/>
          <w:sz w:val="20"/>
          <w:szCs w:val="20"/>
          <w:highlight w:val="yellow"/>
        </w:rPr>
        <w:t xml:space="preserve"> approximately 302 students across 39 sections. Using stratified random sampling </w:t>
      </w:r>
    </w:p>
    <w:p w14:paraId="17D7ACAB" w14:textId="602F9742" w:rsidR="0014251E" w:rsidRPr="0027333C" w:rsidRDefault="007B1CA4" w:rsidP="007B1CA4">
      <w:pPr>
        <w:rPr>
          <w:rFonts w:ascii="Garamond" w:hAnsi="Garamond" w:cs="Times New Roman"/>
          <w:sz w:val="20"/>
          <w:szCs w:val="20"/>
          <w:highlight w:val="yellow"/>
        </w:rPr>
      </w:pPr>
      <w:r w:rsidRPr="0027333C">
        <w:rPr>
          <w:rFonts w:ascii="Garamond" w:hAnsi="Garamond" w:cs="Times New Roman"/>
          <w:sz w:val="20"/>
          <w:szCs w:val="20"/>
          <w:highlight w:val="yellow"/>
        </w:rPr>
        <w:t xml:space="preserve">This study employed </w:t>
      </w:r>
      <w:proofErr w:type="spellStart"/>
      <w:r w:rsidRPr="0027333C">
        <w:rPr>
          <w:rFonts w:ascii="Garamond" w:hAnsi="Garamond" w:cs="Times New Roman"/>
          <w:sz w:val="20"/>
          <w:szCs w:val="20"/>
          <w:highlight w:val="yellow"/>
        </w:rPr>
        <w:t>standardised</w:t>
      </w:r>
      <w:proofErr w:type="spellEnd"/>
      <w:r w:rsidRPr="0027333C">
        <w:rPr>
          <w:rFonts w:ascii="Garamond" w:hAnsi="Garamond" w:cs="Times New Roman"/>
          <w:sz w:val="20"/>
          <w:szCs w:val="20"/>
          <w:highlight w:val="yellow"/>
        </w:rPr>
        <w:t xml:space="preserve"> questionnaires to assess the three primary variables. The study employed the Sources of Mathematics Self-Efficacy Scale (SMSES) to assess mathematics self-efficacy. Pearson's correlation coefficient was used.</w:t>
      </w:r>
      <w:r w:rsidRPr="007B1CA4">
        <w:rPr>
          <w:rFonts w:ascii="Garamond" w:hAnsi="Garamond" w:cs="Times New Roman"/>
          <w:sz w:val="20"/>
          <w:szCs w:val="20"/>
        </w:rPr>
        <w:t xml:space="preserve"> </w:t>
      </w:r>
      <w:r w:rsidR="0030594C" w:rsidRPr="0030594C">
        <w:rPr>
          <w:rFonts w:ascii="Garamond" w:hAnsi="Garamond" w:cs="Times New Roman"/>
          <w:sz w:val="20"/>
          <w:szCs w:val="20"/>
        </w:rPr>
        <w:t xml:space="preserve">Mathematics anxiety and performance showed no significant direct correlation (r = 0.132, p = 0.085). However, self-efficacy was significantly correlated with academic performance (r = 0.236, p = 0.002) and with mathematics anxiety (r = 0.234, p = 0.002). Mediation analysis indicated that self-efficacy did not significantly mediate the relationship between mathematics anxiety and performance (indirect effect = 0.395, p = 0.068), although the result approached significance. These findings support Bandura’s Social Cognitive Theory, highlighting that self-efficacy contributes to academic performance and may buffer the impact of anxiety. The results suggest that enhancing students’ confidence in mathematics may strengthen resilience and improve achievement, even when anxiety is present. Educational stakeholders are encouraged to implement mastery-focused instruction, positive </w:t>
      </w:r>
      <w:r w:rsidR="0014251E">
        <w:rPr>
          <w:rFonts w:ascii="Garamond" w:hAnsi="Garamond" w:cs="Times New Roman"/>
          <w:sz w:val="20"/>
          <w:szCs w:val="20"/>
        </w:rPr>
        <w:t>modelling</w:t>
      </w:r>
      <w:r w:rsidR="0030594C" w:rsidRPr="0030594C">
        <w:rPr>
          <w:rFonts w:ascii="Garamond" w:hAnsi="Garamond" w:cs="Times New Roman"/>
          <w:sz w:val="20"/>
          <w:szCs w:val="20"/>
        </w:rPr>
        <w:t>, and supportive learning environments to cultivate stronger mathematical self-efficacy.</w:t>
      </w:r>
      <w:r w:rsidR="0014251E">
        <w:rPr>
          <w:rFonts w:ascii="Garamond" w:hAnsi="Garamond" w:cs="Times New Roman"/>
          <w:sz w:val="20"/>
          <w:szCs w:val="20"/>
        </w:rPr>
        <w:t xml:space="preserve"> </w:t>
      </w:r>
      <w:r w:rsidR="0014251E" w:rsidRPr="0027333C">
        <w:rPr>
          <w:rFonts w:ascii="Garamond" w:hAnsi="Garamond" w:cs="Times New Roman"/>
          <w:sz w:val="20"/>
          <w:szCs w:val="20"/>
          <w:highlight w:val="yellow"/>
        </w:rPr>
        <w:t>In conclusion, these findings highlight the importance of strengthening self-efficacy as a psychological resource that may buffer the detrimental impacts of anxiety on learning. Furthermore, the results are consistent with Bandura’s Social Cognitive Theory, which posits that self-efficacy exerts a substantial influence on motivation, persistence, and performance within complex educational contexts.</w:t>
      </w:r>
    </w:p>
    <w:p w14:paraId="644E8619" w14:textId="4807EADF" w:rsidR="0030594C" w:rsidRDefault="0030594C" w:rsidP="00313535">
      <w:pPr>
        <w:spacing w:before="240" w:after="240" w:line="240" w:lineRule="auto"/>
        <w:jc w:val="both"/>
        <w:rPr>
          <w:rFonts w:ascii="Garamond" w:hAnsi="Garamond" w:cs="Times New Roman"/>
          <w:sz w:val="20"/>
          <w:szCs w:val="20"/>
        </w:rPr>
      </w:pPr>
    </w:p>
    <w:p w14:paraId="445635FA" w14:textId="46667976" w:rsidR="006D6501" w:rsidRPr="00023F61" w:rsidRDefault="006D6501" w:rsidP="00313535">
      <w:pPr>
        <w:spacing w:before="240" w:after="240" w:line="240" w:lineRule="auto"/>
        <w:jc w:val="both"/>
        <w:rPr>
          <w:rFonts w:ascii="Garamond" w:hAnsi="Garamond" w:cs="Times New Roman"/>
          <w:color w:val="000000" w:themeColor="text1"/>
          <w:sz w:val="20"/>
          <w:szCs w:val="20"/>
        </w:rPr>
      </w:pPr>
      <w:r w:rsidRPr="00023F61">
        <w:rPr>
          <w:rFonts w:ascii="Garamond" w:hAnsi="Garamond" w:cs="Times New Roman"/>
          <w:b/>
          <w:bCs/>
          <w:color w:val="000000" w:themeColor="text1"/>
          <w:sz w:val="20"/>
          <w:szCs w:val="20"/>
        </w:rPr>
        <w:t xml:space="preserve">Keywords: </w:t>
      </w:r>
      <w:r w:rsidR="009C1C92">
        <w:rPr>
          <w:rFonts w:ascii="Garamond" w:hAnsi="Garamond" w:cs="Times New Roman"/>
          <w:b/>
          <w:bCs/>
          <w:color w:val="000000" w:themeColor="text1"/>
          <w:sz w:val="20"/>
          <w:szCs w:val="40"/>
        </w:rPr>
        <w:t>m</w:t>
      </w:r>
      <w:r w:rsidR="00023F61" w:rsidRPr="00023F61">
        <w:rPr>
          <w:rFonts w:ascii="Garamond" w:hAnsi="Garamond" w:cs="Times New Roman"/>
          <w:b/>
          <w:bCs/>
          <w:color w:val="000000" w:themeColor="text1"/>
          <w:sz w:val="20"/>
          <w:szCs w:val="40"/>
        </w:rPr>
        <w:t xml:space="preserve">athematics anxiety, self-efficacy, </w:t>
      </w:r>
      <w:r w:rsidR="009C1C92">
        <w:rPr>
          <w:rFonts w:ascii="Garamond" w:hAnsi="Garamond" w:cs="Times New Roman"/>
          <w:b/>
          <w:bCs/>
          <w:color w:val="000000" w:themeColor="text1"/>
          <w:sz w:val="20"/>
          <w:szCs w:val="40"/>
        </w:rPr>
        <w:t>academic</w:t>
      </w:r>
      <w:r w:rsidR="00023F61" w:rsidRPr="00023F61">
        <w:rPr>
          <w:rFonts w:ascii="Garamond" w:hAnsi="Garamond" w:cs="Times New Roman"/>
          <w:b/>
          <w:bCs/>
          <w:color w:val="000000" w:themeColor="text1"/>
          <w:sz w:val="20"/>
          <w:szCs w:val="40"/>
        </w:rPr>
        <w:t xml:space="preserve"> </w:t>
      </w:r>
      <w:r w:rsidR="009C1C92">
        <w:rPr>
          <w:rFonts w:ascii="Garamond" w:hAnsi="Garamond" w:cs="Times New Roman"/>
          <w:b/>
          <w:bCs/>
          <w:color w:val="000000" w:themeColor="text1"/>
          <w:sz w:val="20"/>
          <w:szCs w:val="40"/>
        </w:rPr>
        <w:t>p</w:t>
      </w:r>
      <w:r w:rsidR="00023F61" w:rsidRPr="00023F61">
        <w:rPr>
          <w:rFonts w:ascii="Garamond" w:hAnsi="Garamond" w:cs="Times New Roman"/>
          <w:b/>
          <w:bCs/>
          <w:color w:val="000000" w:themeColor="text1"/>
          <w:sz w:val="20"/>
          <w:szCs w:val="40"/>
        </w:rPr>
        <w:t>erformance</w:t>
      </w:r>
      <w:r w:rsidR="00023F61">
        <w:rPr>
          <w:rFonts w:ascii="Garamond" w:hAnsi="Garamond" w:cs="Times New Roman"/>
          <w:b/>
          <w:bCs/>
          <w:color w:val="000000" w:themeColor="text1"/>
          <w:sz w:val="20"/>
          <w:szCs w:val="40"/>
        </w:rPr>
        <w:t xml:space="preserve">, </w:t>
      </w:r>
      <w:r w:rsidR="009C1C92">
        <w:rPr>
          <w:rFonts w:ascii="Garamond" w:hAnsi="Garamond" w:cs="Times New Roman"/>
          <w:b/>
          <w:bCs/>
          <w:color w:val="000000" w:themeColor="text1"/>
          <w:sz w:val="20"/>
          <w:szCs w:val="40"/>
        </w:rPr>
        <w:t xml:space="preserve">mediation analysis, Grade 9 students, </w:t>
      </w:r>
      <w:r w:rsidR="00A10085">
        <w:rPr>
          <w:rFonts w:ascii="Garamond" w:hAnsi="Garamond" w:cs="Times New Roman"/>
          <w:b/>
          <w:bCs/>
          <w:color w:val="000000" w:themeColor="text1"/>
          <w:sz w:val="20"/>
          <w:szCs w:val="40"/>
        </w:rPr>
        <w:t>Social Cognitive Theory</w:t>
      </w:r>
    </w:p>
    <w:p w14:paraId="54F51094" w14:textId="5B312A3A" w:rsidR="00313535" w:rsidRPr="00313535" w:rsidRDefault="00313535" w:rsidP="00313535">
      <w:pPr>
        <w:pStyle w:val="Els-Abstract-head"/>
        <w:spacing w:after="0" w:line="240" w:lineRule="auto"/>
        <w:rPr>
          <w:rFonts w:ascii="Garamond" w:hAnsi="Garamond"/>
          <w:color w:val="000000" w:themeColor="text1"/>
          <w:sz w:val="2"/>
        </w:rPr>
      </w:pPr>
    </w:p>
    <w:p w14:paraId="4670979B" w14:textId="6D0C9C29" w:rsidR="00C41A24" w:rsidRPr="00B4504A" w:rsidRDefault="005223FC" w:rsidP="00313535">
      <w:pPr>
        <w:spacing w:line="240" w:lineRule="auto"/>
        <w:rPr>
          <w:rFonts w:ascii="Garamond" w:hAnsi="Garamond" w:cs="Times New Roman"/>
          <w:sz w:val="20"/>
          <w:szCs w:val="20"/>
        </w:rPr>
      </w:pPr>
      <w:r w:rsidRPr="00B4504A">
        <w:rPr>
          <w:rFonts w:ascii="Garamond" w:hAnsi="Garamond" w:cs="Times New Roman"/>
          <w:b/>
          <w:sz w:val="20"/>
          <w:szCs w:val="20"/>
        </w:rPr>
        <w:t>Introduction</w:t>
      </w:r>
    </w:p>
    <w:p w14:paraId="293562BB" w14:textId="0098EA13" w:rsidR="006C3415" w:rsidRPr="001140C7" w:rsidRDefault="00FA22C8" w:rsidP="001140C7">
      <w:pPr>
        <w:spacing w:before="240" w:after="240" w:line="240" w:lineRule="auto"/>
        <w:ind w:firstLine="720"/>
        <w:jc w:val="both"/>
        <w:rPr>
          <w:rFonts w:ascii="Garamond" w:hAnsi="Garamond" w:cs="Times New Roman"/>
          <w:sz w:val="20"/>
          <w:szCs w:val="20"/>
          <w:lang w:val="en-PH"/>
        </w:rPr>
      </w:pPr>
      <w:r>
        <w:rPr>
          <w:rFonts w:ascii="Garamond" w:hAnsi="Garamond" w:cs="Times New Roman"/>
          <w:sz w:val="20"/>
          <w:szCs w:val="20"/>
          <w:highlight w:val="yellow"/>
          <w:lang w:val="en-US"/>
        </w:rPr>
        <w:t>“</w:t>
      </w:r>
      <w:r w:rsidR="00817B7C" w:rsidRPr="0027333C">
        <w:rPr>
          <w:rFonts w:ascii="Garamond" w:hAnsi="Garamond" w:cs="Times New Roman"/>
          <w:sz w:val="20"/>
          <w:szCs w:val="20"/>
          <w:highlight w:val="yellow"/>
          <w:lang w:val="en-US"/>
        </w:rPr>
        <w:t>Mathematics education transcends mere numerical proficiency; it fosters holistic growth encompassing essential values and qualities in students. However, lurking beneath the surface of this educational pursuit lies anxiety, a significant factor that can profoundly influence the development of these values</w:t>
      </w:r>
      <w:r>
        <w:rPr>
          <w:rFonts w:ascii="Garamond" w:hAnsi="Garamond" w:cs="Times New Roman"/>
          <w:sz w:val="20"/>
          <w:szCs w:val="20"/>
          <w:highlight w:val="yellow"/>
          <w:lang w:val="en-US"/>
        </w:rPr>
        <w:t>”</w:t>
      </w:r>
      <w:r w:rsidR="00817B7C">
        <w:rPr>
          <w:rFonts w:ascii="Garamond" w:hAnsi="Garamond" w:cs="Times New Roman"/>
          <w:sz w:val="20"/>
          <w:szCs w:val="20"/>
          <w:highlight w:val="yellow"/>
          <w:lang w:val="en-US"/>
        </w:rPr>
        <w:t xml:space="preserve"> </w:t>
      </w:r>
      <w:r w:rsidR="00817B7C" w:rsidRPr="0027333C">
        <w:rPr>
          <w:rFonts w:ascii="Garamond" w:hAnsi="Garamond" w:cs="Times New Roman"/>
          <w:sz w:val="20"/>
          <w:szCs w:val="20"/>
          <w:highlight w:val="yellow"/>
          <w:lang w:val="en-US"/>
        </w:rPr>
        <w:t>(</w:t>
      </w:r>
      <w:proofErr w:type="spellStart"/>
      <w:r w:rsidR="00817B7C" w:rsidRPr="0027333C">
        <w:rPr>
          <w:rFonts w:ascii="Garamond" w:hAnsi="Garamond" w:cs="Times New Roman"/>
          <w:sz w:val="20"/>
          <w:szCs w:val="20"/>
          <w:highlight w:val="yellow"/>
          <w:lang w:val="en-US"/>
        </w:rPr>
        <w:t>Atoyebi</w:t>
      </w:r>
      <w:proofErr w:type="spellEnd"/>
      <w:r w:rsidR="00817B7C" w:rsidRPr="0027333C">
        <w:rPr>
          <w:rFonts w:ascii="Garamond" w:hAnsi="Garamond" w:cs="Times New Roman"/>
          <w:sz w:val="20"/>
          <w:szCs w:val="20"/>
          <w:highlight w:val="yellow"/>
          <w:lang w:val="en-US"/>
        </w:rPr>
        <w:t xml:space="preserve"> </w:t>
      </w:r>
      <w:r w:rsidR="00817B7C" w:rsidRPr="0027333C">
        <w:rPr>
          <w:rFonts w:ascii="Garamond" w:hAnsi="Garamond" w:cs="Times New Roman"/>
          <w:i/>
          <w:iCs/>
          <w:sz w:val="20"/>
          <w:szCs w:val="20"/>
          <w:highlight w:val="yellow"/>
          <w:lang w:val="en-US"/>
        </w:rPr>
        <w:t>et al</w:t>
      </w:r>
      <w:r w:rsidR="00817B7C" w:rsidRPr="0027333C">
        <w:rPr>
          <w:rFonts w:ascii="Garamond" w:hAnsi="Garamond" w:cs="Times New Roman"/>
          <w:sz w:val="20"/>
          <w:szCs w:val="20"/>
          <w:highlight w:val="yellow"/>
          <w:lang w:val="en-US"/>
        </w:rPr>
        <w:t>., 2023).</w:t>
      </w:r>
      <w:r w:rsidR="00817B7C">
        <w:rPr>
          <w:rFonts w:ascii="Garamond" w:hAnsi="Garamond" w:cs="Times New Roman"/>
          <w:sz w:val="20"/>
          <w:szCs w:val="20"/>
          <w:lang w:val="en-US"/>
        </w:rPr>
        <w:t xml:space="preserve"> </w:t>
      </w:r>
      <w:r w:rsidR="001140C7" w:rsidRPr="001140C7">
        <w:rPr>
          <w:rFonts w:ascii="Garamond" w:hAnsi="Garamond" w:cs="Times New Roman"/>
          <w:sz w:val="20"/>
          <w:szCs w:val="20"/>
          <w:lang w:val="en-US"/>
        </w:rPr>
        <w:t xml:space="preserve">Mathematics achievement is a vital indicator of academic success and prospects, yet numerous students globally have difficulties in </w:t>
      </w:r>
      <w:proofErr w:type="spellStart"/>
      <w:r w:rsidR="00817B7C">
        <w:rPr>
          <w:rFonts w:ascii="Garamond" w:hAnsi="Garamond" w:cs="Times New Roman"/>
          <w:sz w:val="20"/>
          <w:szCs w:val="20"/>
          <w:lang w:val="en-US"/>
        </w:rPr>
        <w:t>realising</w:t>
      </w:r>
      <w:proofErr w:type="spellEnd"/>
      <w:r w:rsidR="00817B7C" w:rsidRPr="001140C7">
        <w:rPr>
          <w:rFonts w:ascii="Garamond" w:hAnsi="Garamond" w:cs="Times New Roman"/>
          <w:sz w:val="20"/>
          <w:szCs w:val="20"/>
          <w:lang w:val="en-US"/>
        </w:rPr>
        <w:t xml:space="preserve"> </w:t>
      </w:r>
      <w:r w:rsidR="001140C7" w:rsidRPr="001140C7">
        <w:rPr>
          <w:rFonts w:ascii="Garamond" w:hAnsi="Garamond" w:cs="Times New Roman"/>
          <w:sz w:val="20"/>
          <w:szCs w:val="20"/>
          <w:lang w:val="en-US"/>
        </w:rPr>
        <w:t xml:space="preserve">their full potential due to psychological challenges, particularly math anxiety. Mathematics is fundamental to academic and personal achievement, supporting critical thinking, problem-solving, and decision-making in several fields (Garcia, 2023). Many students encounter difficulties in attaining mathematical proficiency due to math anxiety, a widespread phenomenon marked by severe emotional, physiological, and cognitive responses that obstruct learning and performance (Ashcraft &amp; Krause, 2007). Mathematics anxiety diminishes students' confidence and engagement, hinders working memory and numerical processing, and thus results in diminished academic achievement (Ramirez et al., 2018). </w:t>
      </w:r>
      <w:r w:rsidR="001140C7" w:rsidRPr="001140C7">
        <w:rPr>
          <w:rFonts w:ascii="Garamond" w:hAnsi="Garamond" w:cs="Times New Roman"/>
          <w:sz w:val="20"/>
          <w:szCs w:val="20"/>
          <w:lang w:val="en-PH"/>
        </w:rPr>
        <w:t>Students with excellent intellectual abilities may nonetheless have diminished performance due to math anxiety, underscoring the widespread and adverse effects of this issue on mathematics education (Dowker et al., 2016).</w:t>
      </w:r>
    </w:p>
    <w:p w14:paraId="7FA75980" w14:textId="77D9C5CF" w:rsidR="000A6BB8" w:rsidRDefault="00FA22C8" w:rsidP="00D409CF">
      <w:pPr>
        <w:spacing w:before="240" w:after="240" w:line="240" w:lineRule="auto"/>
        <w:ind w:firstLine="720"/>
        <w:jc w:val="both"/>
        <w:rPr>
          <w:rFonts w:ascii="Garamond" w:hAnsi="Garamond" w:cs="Times New Roman"/>
          <w:sz w:val="20"/>
          <w:szCs w:val="20"/>
          <w:lang w:val="en-PH"/>
        </w:rPr>
      </w:pPr>
      <w:r>
        <w:rPr>
          <w:rFonts w:ascii="Garamond" w:hAnsi="Garamond" w:cs="Times New Roman"/>
          <w:sz w:val="20"/>
          <w:szCs w:val="20"/>
          <w:highlight w:val="yellow"/>
          <w:lang w:val="en-PH"/>
        </w:rPr>
        <w:lastRenderedPageBreak/>
        <w:t>“</w:t>
      </w:r>
      <w:r w:rsidR="0014251E" w:rsidRPr="0027333C">
        <w:rPr>
          <w:rFonts w:ascii="Garamond" w:hAnsi="Garamond" w:cs="Times New Roman"/>
          <w:sz w:val="20"/>
          <w:szCs w:val="20"/>
          <w:highlight w:val="yellow"/>
          <w:lang w:val="en-PH"/>
        </w:rPr>
        <w:t xml:space="preserve">Mathematics plays a fundamental role in education, fostering problem-solving, logical reasoning, and analytical skills.  Despite its significance, many students perceive mathematics as complex and intimidating, often due to gaps in foundational skills formed during primary and secondary education.  A major psychological barrier to success in mathematics is mathematics anxiety, </w:t>
      </w:r>
      <w:proofErr w:type="spellStart"/>
      <w:r w:rsidR="0014251E" w:rsidRPr="0027333C">
        <w:rPr>
          <w:rFonts w:ascii="Garamond" w:hAnsi="Garamond" w:cs="Times New Roman"/>
          <w:sz w:val="20"/>
          <w:szCs w:val="20"/>
          <w:highlight w:val="yellow"/>
          <w:lang w:val="en-PH"/>
        </w:rPr>
        <w:t>characterised</w:t>
      </w:r>
      <w:proofErr w:type="spellEnd"/>
      <w:r w:rsidR="0014251E" w:rsidRPr="0027333C">
        <w:rPr>
          <w:rFonts w:ascii="Garamond" w:hAnsi="Garamond" w:cs="Times New Roman"/>
          <w:sz w:val="20"/>
          <w:szCs w:val="20"/>
          <w:highlight w:val="yellow"/>
          <w:lang w:val="en-PH"/>
        </w:rPr>
        <w:t xml:space="preserve"> by tension and apprehension during mathematical tasks.  Research has established that high levels of anxiety impair cognitive function and negatively affect academic performance</w:t>
      </w:r>
      <w:r>
        <w:rPr>
          <w:rFonts w:ascii="Garamond" w:hAnsi="Garamond" w:cs="Times New Roman"/>
          <w:sz w:val="20"/>
          <w:szCs w:val="20"/>
          <w:highlight w:val="yellow"/>
          <w:lang w:val="en-PH"/>
        </w:rPr>
        <w:t>”</w:t>
      </w:r>
      <w:bookmarkStart w:id="0" w:name="_GoBack"/>
      <w:bookmarkEnd w:id="0"/>
      <w:r w:rsidR="0014251E" w:rsidRPr="0027333C">
        <w:rPr>
          <w:rFonts w:ascii="Garamond" w:hAnsi="Garamond" w:cs="Times New Roman"/>
          <w:sz w:val="20"/>
          <w:szCs w:val="20"/>
          <w:highlight w:val="yellow"/>
          <w:lang w:val="en-PH"/>
        </w:rPr>
        <w:t xml:space="preserve"> (</w:t>
      </w:r>
      <w:proofErr w:type="spellStart"/>
      <w:r w:rsidR="0014251E" w:rsidRPr="0027333C">
        <w:rPr>
          <w:rFonts w:ascii="Garamond" w:hAnsi="Garamond" w:cs="Times New Roman"/>
          <w:sz w:val="20"/>
          <w:szCs w:val="20"/>
          <w:highlight w:val="yellow"/>
          <w:lang w:val="en-PH"/>
        </w:rPr>
        <w:t>Lazarra</w:t>
      </w:r>
      <w:proofErr w:type="spellEnd"/>
      <w:r w:rsidR="0014251E" w:rsidRPr="0027333C">
        <w:rPr>
          <w:rFonts w:ascii="Garamond" w:hAnsi="Garamond" w:cs="Times New Roman"/>
          <w:sz w:val="20"/>
          <w:szCs w:val="20"/>
          <w:highlight w:val="yellow"/>
          <w:lang w:val="en-PH"/>
        </w:rPr>
        <w:t>, 2025</w:t>
      </w:r>
      <w:r w:rsidR="007266C1">
        <w:rPr>
          <w:rFonts w:ascii="Garamond" w:hAnsi="Garamond" w:cs="Times New Roman"/>
          <w:sz w:val="20"/>
          <w:szCs w:val="20"/>
          <w:highlight w:val="yellow"/>
          <w:lang w:val="en-PH"/>
        </w:rPr>
        <w:t xml:space="preserve">; </w:t>
      </w:r>
      <w:proofErr w:type="spellStart"/>
      <w:r w:rsidR="007266C1" w:rsidRPr="0027333C">
        <w:rPr>
          <w:rFonts w:ascii="Garamond" w:hAnsi="Garamond" w:cs="Times New Roman"/>
          <w:sz w:val="20"/>
          <w:szCs w:val="20"/>
          <w:highlight w:val="yellow"/>
          <w:lang w:val="en-PH"/>
        </w:rPr>
        <w:t>Khasawneh</w:t>
      </w:r>
      <w:proofErr w:type="spellEnd"/>
      <w:r w:rsidR="007266C1" w:rsidRPr="0027333C">
        <w:rPr>
          <w:rFonts w:ascii="Garamond" w:hAnsi="Garamond" w:cs="Times New Roman"/>
          <w:sz w:val="20"/>
          <w:szCs w:val="20"/>
          <w:highlight w:val="yellow"/>
          <w:lang w:val="en-PH"/>
        </w:rPr>
        <w:t xml:space="preserve"> </w:t>
      </w:r>
      <w:r w:rsidR="007266C1" w:rsidRPr="0027333C">
        <w:rPr>
          <w:rFonts w:ascii="Garamond" w:hAnsi="Garamond" w:cs="Times New Roman"/>
          <w:i/>
          <w:iCs/>
          <w:sz w:val="20"/>
          <w:szCs w:val="20"/>
          <w:highlight w:val="yellow"/>
          <w:lang w:val="en-PH"/>
        </w:rPr>
        <w:t>et al</w:t>
      </w:r>
      <w:r w:rsidR="007266C1" w:rsidRPr="0027333C">
        <w:rPr>
          <w:rFonts w:ascii="Garamond" w:hAnsi="Garamond" w:cs="Times New Roman"/>
          <w:sz w:val="20"/>
          <w:szCs w:val="20"/>
          <w:highlight w:val="yellow"/>
          <w:lang w:val="en-PH"/>
        </w:rPr>
        <w:t>., 2021</w:t>
      </w:r>
      <w:r w:rsidR="0014251E" w:rsidRPr="0027333C">
        <w:rPr>
          <w:rFonts w:ascii="Garamond" w:hAnsi="Garamond" w:cs="Times New Roman"/>
          <w:sz w:val="20"/>
          <w:szCs w:val="20"/>
          <w:highlight w:val="yellow"/>
          <w:lang w:val="en-PH"/>
        </w:rPr>
        <w:t>).</w:t>
      </w:r>
      <w:r w:rsidR="0014251E">
        <w:rPr>
          <w:rFonts w:ascii="Garamond" w:hAnsi="Garamond" w:cs="Times New Roman"/>
          <w:sz w:val="20"/>
          <w:szCs w:val="20"/>
          <w:lang w:val="en-PH"/>
        </w:rPr>
        <w:t xml:space="preserve"> </w:t>
      </w:r>
      <w:r w:rsidR="000A6BB8" w:rsidRPr="000A6BB8">
        <w:rPr>
          <w:rFonts w:ascii="Garamond" w:hAnsi="Garamond" w:cs="Times New Roman"/>
          <w:sz w:val="20"/>
          <w:szCs w:val="20"/>
          <w:lang w:val="en-PH"/>
        </w:rPr>
        <w:t>Math anxiety is a global issue that affects students across many educational systems worldwide. Research indicates that around 20% of the U.S. population suffers from moderate to severe math anxiety, which can extend into adulthood and affect job decisions (</w:t>
      </w:r>
      <w:proofErr w:type="spellStart"/>
      <w:r w:rsidR="000A6BB8" w:rsidRPr="000A6BB8">
        <w:rPr>
          <w:rFonts w:ascii="Garamond" w:hAnsi="Garamond" w:cs="Times New Roman"/>
          <w:sz w:val="20"/>
          <w:szCs w:val="20"/>
          <w:lang w:val="en-PH"/>
        </w:rPr>
        <w:t>Beilock</w:t>
      </w:r>
      <w:proofErr w:type="spellEnd"/>
      <w:r w:rsidR="000A6BB8" w:rsidRPr="000A6BB8">
        <w:rPr>
          <w:rFonts w:ascii="Garamond" w:hAnsi="Garamond" w:cs="Times New Roman"/>
          <w:sz w:val="20"/>
          <w:szCs w:val="20"/>
          <w:lang w:val="en-PH"/>
        </w:rPr>
        <w:t xml:space="preserve"> &amp; Maloney, 2015). Similarly, </w:t>
      </w:r>
      <w:r w:rsidR="0014251E" w:rsidRPr="0027333C">
        <w:rPr>
          <w:rFonts w:ascii="Garamond" w:hAnsi="Garamond" w:cs="Times New Roman"/>
          <w:sz w:val="20"/>
          <w:szCs w:val="20"/>
          <w:highlight w:val="yellow"/>
          <w:lang w:val="en-PH"/>
        </w:rPr>
        <w:t>in</w:t>
      </w:r>
      <w:r w:rsidR="0014251E" w:rsidRPr="000A6BB8">
        <w:rPr>
          <w:rFonts w:ascii="Garamond" w:hAnsi="Garamond" w:cs="Times New Roman"/>
          <w:sz w:val="20"/>
          <w:szCs w:val="20"/>
          <w:lang w:val="en-PH"/>
        </w:rPr>
        <w:t xml:space="preserve"> </w:t>
      </w:r>
      <w:r w:rsidR="000A6BB8" w:rsidRPr="000A6BB8">
        <w:rPr>
          <w:rFonts w:ascii="Garamond" w:hAnsi="Garamond" w:cs="Times New Roman"/>
          <w:sz w:val="20"/>
          <w:szCs w:val="20"/>
          <w:lang w:val="en-PH"/>
        </w:rPr>
        <w:t xml:space="preserve">China, where academic pressure is significant, math anxiety is widespread among secondary students, resulting in lower interest and performance in mathematics (Zhao et al., 2019). In the United Kingdom, research indicates that math anxiety impacts up to 30% of students, resulting in reduced self-efficacy and inferior performance on </w:t>
      </w:r>
      <w:proofErr w:type="spellStart"/>
      <w:r w:rsidR="0014251E" w:rsidRPr="0027333C">
        <w:rPr>
          <w:rFonts w:ascii="Garamond" w:hAnsi="Garamond" w:cs="Times New Roman"/>
          <w:sz w:val="20"/>
          <w:szCs w:val="20"/>
          <w:highlight w:val="yellow"/>
          <w:lang w:val="en-PH"/>
        </w:rPr>
        <w:t>standardised</w:t>
      </w:r>
      <w:proofErr w:type="spellEnd"/>
      <w:r w:rsidR="0014251E" w:rsidRPr="000A6BB8">
        <w:rPr>
          <w:rFonts w:ascii="Garamond" w:hAnsi="Garamond" w:cs="Times New Roman"/>
          <w:sz w:val="20"/>
          <w:szCs w:val="20"/>
          <w:lang w:val="en-PH"/>
        </w:rPr>
        <w:t xml:space="preserve"> </w:t>
      </w:r>
      <w:r w:rsidR="000A6BB8" w:rsidRPr="000A6BB8">
        <w:rPr>
          <w:rFonts w:ascii="Garamond" w:hAnsi="Garamond" w:cs="Times New Roman"/>
          <w:sz w:val="20"/>
          <w:szCs w:val="20"/>
          <w:lang w:val="en-PH"/>
        </w:rPr>
        <w:t>tests (</w:t>
      </w:r>
      <w:proofErr w:type="spellStart"/>
      <w:r w:rsidR="000A6BB8" w:rsidRPr="000A6BB8">
        <w:rPr>
          <w:rFonts w:ascii="Garamond" w:hAnsi="Garamond" w:cs="Times New Roman"/>
          <w:sz w:val="20"/>
          <w:szCs w:val="20"/>
          <w:lang w:val="en-PH"/>
        </w:rPr>
        <w:t>Dowker</w:t>
      </w:r>
      <w:proofErr w:type="spellEnd"/>
      <w:r w:rsidR="000A6BB8" w:rsidRPr="000A6BB8">
        <w:rPr>
          <w:rFonts w:ascii="Garamond" w:hAnsi="Garamond" w:cs="Times New Roman"/>
          <w:sz w:val="20"/>
          <w:szCs w:val="20"/>
          <w:lang w:val="en-PH"/>
        </w:rPr>
        <w:t xml:space="preserve"> et al., 2016). These global patterns highlight the necessity of overcoming psychological obstacles in mathematics teaching to improve student performance. </w:t>
      </w:r>
    </w:p>
    <w:p w14:paraId="1ECB26D4" w14:textId="491EE7DE" w:rsidR="00F00A9E" w:rsidRPr="00D409CF" w:rsidRDefault="00B815ED" w:rsidP="00D409CF">
      <w:pPr>
        <w:spacing w:before="240" w:after="240" w:line="240" w:lineRule="auto"/>
        <w:ind w:firstLine="720"/>
        <w:jc w:val="both"/>
        <w:rPr>
          <w:rFonts w:ascii="Garamond" w:hAnsi="Garamond" w:cs="Times New Roman"/>
          <w:sz w:val="20"/>
          <w:szCs w:val="20"/>
          <w:lang w:val="en-US"/>
        </w:rPr>
      </w:pPr>
      <w:r w:rsidRPr="00B815ED">
        <w:rPr>
          <w:rFonts w:ascii="Garamond" w:hAnsi="Garamond" w:cs="Times New Roman"/>
          <w:sz w:val="20"/>
          <w:szCs w:val="20"/>
          <w:lang w:val="en-PH"/>
        </w:rPr>
        <w:t xml:space="preserve">In the Philippines, the problem of math anxiety is particularly severe since recent international evaluations indicate elevated anxiety levels coupled with poor mathematics performance among Filipino </w:t>
      </w:r>
      <w:r w:rsidR="003B7B6D">
        <w:rPr>
          <w:rFonts w:ascii="Garamond" w:hAnsi="Garamond" w:cs="Times New Roman"/>
          <w:sz w:val="20"/>
          <w:szCs w:val="20"/>
          <w:lang w:val="en-PH"/>
        </w:rPr>
        <w:t>student</w:t>
      </w:r>
      <w:r w:rsidRPr="00B815ED">
        <w:rPr>
          <w:rFonts w:ascii="Garamond" w:hAnsi="Garamond" w:cs="Times New Roman"/>
          <w:sz w:val="20"/>
          <w:szCs w:val="20"/>
          <w:lang w:val="en-PH"/>
        </w:rPr>
        <w:t xml:space="preserve">s. The 2018 </w:t>
      </w:r>
      <w:proofErr w:type="spellStart"/>
      <w:r w:rsidRPr="00B815ED">
        <w:rPr>
          <w:rFonts w:ascii="Garamond" w:hAnsi="Garamond" w:cs="Times New Roman"/>
          <w:sz w:val="20"/>
          <w:szCs w:val="20"/>
          <w:lang w:val="en-PH"/>
        </w:rPr>
        <w:t>Programme</w:t>
      </w:r>
      <w:proofErr w:type="spellEnd"/>
      <w:r w:rsidRPr="00B815ED">
        <w:rPr>
          <w:rFonts w:ascii="Garamond" w:hAnsi="Garamond" w:cs="Times New Roman"/>
          <w:sz w:val="20"/>
          <w:szCs w:val="20"/>
          <w:lang w:val="en-PH"/>
        </w:rPr>
        <w:t xml:space="preserve"> for International Student Assessment (PISA) indicated that Filipino </w:t>
      </w:r>
      <w:r w:rsidR="003B7B6D">
        <w:rPr>
          <w:rFonts w:ascii="Garamond" w:hAnsi="Garamond" w:cs="Times New Roman"/>
          <w:bCs/>
          <w:color w:val="000000"/>
          <w:sz w:val="20"/>
          <w:szCs w:val="20"/>
          <w:lang w:val="en-GB"/>
        </w:rPr>
        <w:t>student</w:t>
      </w:r>
      <w:r w:rsidRPr="00B815ED">
        <w:rPr>
          <w:rFonts w:ascii="Garamond" w:hAnsi="Garamond" w:cs="Times New Roman"/>
          <w:sz w:val="20"/>
          <w:szCs w:val="20"/>
          <w:lang w:val="en-PH"/>
        </w:rPr>
        <w:t xml:space="preserve">s rated among the lowest worldwide in mathematics, with a considerable percentage expressing emotions of hopelessness and stress when confronted with math issues (OECD, 2019). The Trends in International Mathematics and Science Study (TIMSS) 2019 revealed that merely 19% of Filipino Grade 4 students achieved the required competency level in mathematics, the lowest among 58 participating nations (Mullis et al., 2020). Regional studies, such as </w:t>
      </w:r>
      <w:proofErr w:type="spellStart"/>
      <w:r w:rsidRPr="00B815ED">
        <w:rPr>
          <w:rFonts w:ascii="Garamond" w:hAnsi="Garamond" w:cs="Times New Roman"/>
          <w:sz w:val="20"/>
          <w:szCs w:val="20"/>
          <w:lang w:val="en-PH"/>
        </w:rPr>
        <w:t>Bongcac</w:t>
      </w:r>
      <w:proofErr w:type="spellEnd"/>
      <w:r w:rsidRPr="00B815ED">
        <w:rPr>
          <w:rFonts w:ascii="Garamond" w:hAnsi="Garamond" w:cs="Times New Roman"/>
          <w:sz w:val="20"/>
          <w:szCs w:val="20"/>
          <w:lang w:val="en-PH"/>
        </w:rPr>
        <w:t xml:space="preserve"> (2021) in Davao City, have established that math anxiety constitutes a substantial impediment to student advancement, resulting in diminished involvement, reduced persistence, and inferior performance in mathematics courses.</w:t>
      </w:r>
    </w:p>
    <w:p w14:paraId="4333062B" w14:textId="2CE772C8" w:rsidR="009F1227" w:rsidRDefault="00B815ED" w:rsidP="00B815ED">
      <w:pPr>
        <w:ind w:firstLine="720"/>
        <w:jc w:val="both"/>
        <w:rPr>
          <w:rFonts w:ascii="Garamond" w:hAnsi="Garamond" w:cs="Times New Roman"/>
          <w:b/>
          <w:bCs/>
          <w:i/>
          <w:color w:val="000000"/>
          <w:sz w:val="20"/>
          <w:szCs w:val="20"/>
          <w:lang w:val="en-GB"/>
        </w:rPr>
      </w:pPr>
      <w:r w:rsidRPr="00B815ED">
        <w:rPr>
          <w:rFonts w:ascii="Garamond" w:hAnsi="Garamond" w:cs="Times New Roman"/>
          <w:sz w:val="20"/>
          <w:szCs w:val="20"/>
          <w:lang w:val="en-PH"/>
        </w:rPr>
        <w:t xml:space="preserve">Despite the well-documented adverse effects of math anxiety on academic </w:t>
      </w:r>
      <w:r w:rsidR="00AE4C0E">
        <w:rPr>
          <w:rFonts w:ascii="Garamond" w:hAnsi="Garamond" w:cs="Times New Roman"/>
          <w:sz w:val="20"/>
          <w:szCs w:val="20"/>
          <w:lang w:val="en-PH"/>
        </w:rPr>
        <w:t>performance</w:t>
      </w:r>
      <w:r w:rsidRPr="00B815ED">
        <w:rPr>
          <w:rFonts w:ascii="Garamond" w:hAnsi="Garamond" w:cs="Times New Roman"/>
          <w:sz w:val="20"/>
          <w:szCs w:val="20"/>
          <w:lang w:val="en-PH"/>
        </w:rPr>
        <w:t>, a significant research deficiency exists on the moderating influence of self-efficacy among Filipino secondary students, specifically at Sta. Ana National High School. Although research has demonstrated that self-efficacy—confidence in one's mathematical capabilities—positively affects academic performance, motivation, and engagement (</w:t>
      </w:r>
      <w:proofErr w:type="spellStart"/>
      <w:r w:rsidRPr="00B815ED">
        <w:rPr>
          <w:rFonts w:ascii="Garamond" w:hAnsi="Garamond" w:cs="Times New Roman"/>
          <w:sz w:val="20"/>
          <w:szCs w:val="20"/>
          <w:lang w:val="en-PH"/>
        </w:rPr>
        <w:t>Ablian</w:t>
      </w:r>
      <w:proofErr w:type="spellEnd"/>
      <w:r w:rsidRPr="00B815ED">
        <w:rPr>
          <w:rFonts w:ascii="Garamond" w:hAnsi="Garamond" w:cs="Times New Roman"/>
          <w:sz w:val="20"/>
          <w:szCs w:val="20"/>
          <w:lang w:val="en-PH"/>
        </w:rPr>
        <w:t xml:space="preserve"> &amp; </w:t>
      </w:r>
      <w:proofErr w:type="spellStart"/>
      <w:r w:rsidRPr="00B815ED">
        <w:rPr>
          <w:rFonts w:ascii="Garamond" w:hAnsi="Garamond" w:cs="Times New Roman"/>
          <w:sz w:val="20"/>
          <w:szCs w:val="20"/>
          <w:lang w:val="en-PH"/>
        </w:rPr>
        <w:t>Paranga</w:t>
      </w:r>
      <w:proofErr w:type="spellEnd"/>
      <w:r w:rsidRPr="00B815ED">
        <w:rPr>
          <w:rFonts w:ascii="Garamond" w:hAnsi="Garamond" w:cs="Times New Roman"/>
          <w:sz w:val="20"/>
          <w:szCs w:val="20"/>
          <w:lang w:val="en-PH"/>
        </w:rPr>
        <w:t xml:space="preserve">, 2022; Carter, 2022), its capacity to alleviate the detrimental impacts of math anxiety has not been thoroughly investigated in this context. Current studies frequently </w:t>
      </w:r>
      <w:proofErr w:type="spellStart"/>
      <w:r w:rsidR="0014251E" w:rsidRPr="0027333C">
        <w:rPr>
          <w:rFonts w:ascii="Garamond" w:hAnsi="Garamond" w:cs="Times New Roman"/>
          <w:sz w:val="20"/>
          <w:szCs w:val="20"/>
          <w:highlight w:val="yellow"/>
          <w:lang w:val="en-PH"/>
        </w:rPr>
        <w:t>analyse</w:t>
      </w:r>
      <w:proofErr w:type="spellEnd"/>
      <w:r w:rsidR="0014251E" w:rsidRPr="00B815ED">
        <w:rPr>
          <w:rFonts w:ascii="Garamond" w:hAnsi="Garamond" w:cs="Times New Roman"/>
          <w:sz w:val="20"/>
          <w:szCs w:val="20"/>
          <w:lang w:val="en-PH"/>
        </w:rPr>
        <w:t xml:space="preserve"> </w:t>
      </w:r>
      <w:r w:rsidRPr="00B815ED">
        <w:rPr>
          <w:rFonts w:ascii="Garamond" w:hAnsi="Garamond" w:cs="Times New Roman"/>
          <w:sz w:val="20"/>
          <w:szCs w:val="20"/>
          <w:lang w:val="en-PH"/>
        </w:rPr>
        <w:t xml:space="preserve">math anxiety and self-efficacy in isolation or concentrate on direct correlations, neglecting the potential mediating role of self-efficacy in the relationship between anxiety and performance. Addressing this deficiency is essential for formulating focused interventions that alleviate math anxiety while augmenting self-efficacy, hence promoting mathematical achievements for Filipino students. </w:t>
      </w:r>
    </w:p>
    <w:p w14:paraId="20093029" w14:textId="77777777" w:rsidR="009F1227" w:rsidRDefault="009F1227" w:rsidP="009B1294">
      <w:pPr>
        <w:jc w:val="both"/>
        <w:rPr>
          <w:rFonts w:ascii="Garamond" w:hAnsi="Garamond" w:cs="Times New Roman"/>
          <w:b/>
          <w:bCs/>
          <w:i/>
          <w:color w:val="000000"/>
          <w:sz w:val="20"/>
          <w:szCs w:val="20"/>
          <w:lang w:val="en-GB"/>
        </w:rPr>
      </w:pPr>
    </w:p>
    <w:p w14:paraId="23FC3319" w14:textId="224DDE00" w:rsidR="00B036B3" w:rsidRDefault="00B036B3" w:rsidP="009F1227">
      <w:pPr>
        <w:jc w:val="both"/>
        <w:rPr>
          <w:rFonts w:ascii="Garamond" w:hAnsi="Garamond" w:cs="Times New Roman"/>
          <w:b/>
          <w:bCs/>
          <w:i/>
          <w:color w:val="000000"/>
          <w:sz w:val="20"/>
          <w:szCs w:val="20"/>
          <w:lang w:val="en-GB"/>
        </w:rPr>
      </w:pPr>
      <w:r w:rsidRPr="00B4504A">
        <w:rPr>
          <w:rFonts w:ascii="Garamond" w:hAnsi="Garamond" w:cs="Times New Roman"/>
          <w:b/>
          <w:bCs/>
          <w:i/>
          <w:color w:val="000000"/>
          <w:sz w:val="20"/>
          <w:szCs w:val="20"/>
          <w:lang w:val="en-GB"/>
        </w:rPr>
        <w:t>Statement of the Problem</w:t>
      </w:r>
    </w:p>
    <w:p w14:paraId="2739591E" w14:textId="4921BD39" w:rsidR="007A420D" w:rsidRPr="00B4504A" w:rsidRDefault="00F579AD" w:rsidP="009B1294">
      <w:pPr>
        <w:spacing w:before="240" w:after="240" w:line="240" w:lineRule="auto"/>
        <w:ind w:firstLine="720"/>
        <w:jc w:val="both"/>
        <w:rPr>
          <w:rFonts w:ascii="Garamond" w:hAnsi="Garamond" w:cs="Times New Roman"/>
          <w:bCs/>
          <w:color w:val="000000"/>
          <w:sz w:val="20"/>
          <w:szCs w:val="20"/>
          <w:lang w:val="en-GB"/>
        </w:rPr>
      </w:pPr>
      <w:r w:rsidRPr="00B4504A">
        <w:rPr>
          <w:rFonts w:ascii="Garamond" w:hAnsi="Garamond" w:cs="Times New Roman"/>
          <w:bCs/>
          <w:color w:val="000000"/>
          <w:sz w:val="20"/>
          <w:szCs w:val="20"/>
          <w:lang w:val="en-GB"/>
        </w:rPr>
        <w:t>This study aim</w:t>
      </w:r>
      <w:r w:rsidR="009B1294">
        <w:rPr>
          <w:rFonts w:ascii="Garamond" w:hAnsi="Garamond" w:cs="Times New Roman"/>
          <w:bCs/>
          <w:color w:val="000000"/>
          <w:sz w:val="20"/>
          <w:szCs w:val="20"/>
          <w:lang w:val="en-GB"/>
        </w:rPr>
        <w:t>ed</w:t>
      </w:r>
      <w:r w:rsidRPr="00B4504A">
        <w:rPr>
          <w:rFonts w:ascii="Garamond" w:hAnsi="Garamond" w:cs="Times New Roman"/>
          <w:bCs/>
          <w:color w:val="000000"/>
          <w:sz w:val="20"/>
          <w:szCs w:val="20"/>
          <w:lang w:val="en-GB"/>
        </w:rPr>
        <w:t xml:space="preserve"> to investigate the mediating role of self-efficacy in the relationship between mathematics anxiety and </w:t>
      </w:r>
      <w:r w:rsidR="009B1294">
        <w:rPr>
          <w:rFonts w:ascii="Garamond" w:hAnsi="Garamond" w:cs="Times New Roman"/>
          <w:bCs/>
          <w:color w:val="000000"/>
          <w:sz w:val="20"/>
          <w:szCs w:val="20"/>
          <w:lang w:val="en-GB"/>
        </w:rPr>
        <w:t xml:space="preserve">the </w:t>
      </w:r>
      <w:r w:rsidR="00041593" w:rsidRPr="00B4504A">
        <w:rPr>
          <w:rFonts w:ascii="Garamond" w:hAnsi="Garamond" w:cs="Times New Roman"/>
          <w:bCs/>
          <w:color w:val="000000"/>
          <w:sz w:val="20"/>
          <w:szCs w:val="20"/>
          <w:lang w:val="en-GB"/>
        </w:rPr>
        <w:t>academic</w:t>
      </w:r>
      <w:r w:rsidRPr="00B4504A">
        <w:rPr>
          <w:rFonts w:ascii="Garamond" w:hAnsi="Garamond" w:cs="Times New Roman"/>
          <w:bCs/>
          <w:color w:val="000000"/>
          <w:sz w:val="20"/>
          <w:szCs w:val="20"/>
          <w:lang w:val="en-GB"/>
        </w:rPr>
        <w:t xml:space="preserve"> performance of Grade 9</w:t>
      </w:r>
      <w:r w:rsidR="003B7B6D">
        <w:rPr>
          <w:rFonts w:ascii="Garamond" w:hAnsi="Garamond" w:cs="Times New Roman"/>
          <w:bCs/>
          <w:color w:val="000000"/>
          <w:sz w:val="20"/>
          <w:szCs w:val="20"/>
          <w:lang w:val="en-GB"/>
        </w:rPr>
        <w:t xml:space="preserve"> students</w:t>
      </w:r>
      <w:r w:rsidRPr="00B4504A">
        <w:rPr>
          <w:rFonts w:ascii="Garamond" w:hAnsi="Garamond" w:cs="Times New Roman"/>
          <w:bCs/>
          <w:color w:val="000000"/>
          <w:sz w:val="20"/>
          <w:szCs w:val="20"/>
          <w:lang w:val="en-GB"/>
        </w:rPr>
        <w:t xml:space="preserve"> of Sta. Ana National High School. Specifically, it s</w:t>
      </w:r>
      <w:r w:rsidR="009B1294">
        <w:rPr>
          <w:rFonts w:ascii="Garamond" w:hAnsi="Garamond" w:cs="Times New Roman"/>
          <w:bCs/>
          <w:color w:val="000000"/>
          <w:sz w:val="20"/>
          <w:szCs w:val="20"/>
          <w:lang w:val="en-GB"/>
        </w:rPr>
        <w:t>ought</w:t>
      </w:r>
      <w:r w:rsidRPr="00B4504A">
        <w:rPr>
          <w:rFonts w:ascii="Garamond" w:hAnsi="Garamond" w:cs="Times New Roman"/>
          <w:bCs/>
          <w:color w:val="000000"/>
          <w:sz w:val="20"/>
          <w:szCs w:val="20"/>
          <w:lang w:val="en-GB"/>
        </w:rPr>
        <w:t xml:space="preserve"> to answer the following questions:</w:t>
      </w:r>
    </w:p>
    <w:p w14:paraId="187F67F1" w14:textId="462B2950" w:rsidR="006F34D9" w:rsidRPr="00FF195F" w:rsidRDefault="00F579AD" w:rsidP="001C513F">
      <w:pPr>
        <w:pStyle w:val="NoSpacing"/>
        <w:ind w:left="284" w:hanging="284"/>
        <w:jc w:val="both"/>
        <w:rPr>
          <w:rFonts w:ascii="Garamond" w:hAnsi="Garamond" w:cs="Arial"/>
          <w:sz w:val="20"/>
        </w:rPr>
      </w:pPr>
      <w:r w:rsidRPr="00FF195F">
        <w:rPr>
          <w:rFonts w:ascii="Garamond" w:hAnsi="Garamond" w:cs="Arial"/>
          <w:sz w:val="20"/>
        </w:rPr>
        <w:t xml:space="preserve">1. What is the level of mathematics anxiety among Grade 9 </w:t>
      </w:r>
      <w:r w:rsidR="003B7B6D" w:rsidRPr="00FF195F">
        <w:rPr>
          <w:rFonts w:ascii="Garamond" w:hAnsi="Garamond" w:cs="Arial"/>
          <w:sz w:val="20"/>
        </w:rPr>
        <w:t>students</w:t>
      </w:r>
      <w:r w:rsidRPr="00FF195F">
        <w:rPr>
          <w:rFonts w:ascii="Garamond" w:hAnsi="Garamond" w:cs="Arial"/>
          <w:sz w:val="20"/>
        </w:rPr>
        <w:t xml:space="preserve"> in terms of:</w:t>
      </w:r>
      <w:r w:rsidR="00802456" w:rsidRPr="00FF195F">
        <w:rPr>
          <w:rFonts w:ascii="Garamond" w:hAnsi="Garamond" w:cs="Arial"/>
          <w:sz w:val="20"/>
        </w:rPr>
        <w:t xml:space="preserve"> </w:t>
      </w:r>
      <w:r w:rsidRPr="00FF195F">
        <w:rPr>
          <w:rFonts w:ascii="Garamond" w:hAnsi="Garamond" w:cs="Arial"/>
          <w:sz w:val="20"/>
        </w:rPr>
        <w:t>Physiological Responses</w:t>
      </w:r>
      <w:r w:rsidR="00802456" w:rsidRPr="00FF195F">
        <w:rPr>
          <w:rFonts w:ascii="Garamond" w:hAnsi="Garamond" w:cs="Arial"/>
          <w:sz w:val="20"/>
        </w:rPr>
        <w:t xml:space="preserve">, </w:t>
      </w:r>
      <w:proofErr w:type="spellStart"/>
      <w:r w:rsidR="0014251E" w:rsidRPr="0027333C">
        <w:rPr>
          <w:rFonts w:ascii="Garamond" w:hAnsi="Garamond" w:cs="Arial"/>
          <w:sz w:val="20"/>
          <w:highlight w:val="yellow"/>
        </w:rPr>
        <w:t>Behavioural</w:t>
      </w:r>
      <w:proofErr w:type="spellEnd"/>
      <w:r w:rsidR="0014251E" w:rsidRPr="00FF195F">
        <w:rPr>
          <w:rFonts w:ascii="Garamond" w:hAnsi="Garamond" w:cs="Arial"/>
          <w:sz w:val="20"/>
        </w:rPr>
        <w:t xml:space="preserve"> </w:t>
      </w:r>
      <w:r w:rsidRPr="00FF195F">
        <w:rPr>
          <w:rFonts w:ascii="Garamond" w:hAnsi="Garamond" w:cs="Arial"/>
          <w:sz w:val="20"/>
        </w:rPr>
        <w:t>Responses</w:t>
      </w:r>
      <w:r w:rsidR="00802456" w:rsidRPr="00FF195F">
        <w:rPr>
          <w:rFonts w:ascii="Garamond" w:hAnsi="Garamond" w:cs="Arial"/>
          <w:sz w:val="20"/>
        </w:rPr>
        <w:t xml:space="preserve">, </w:t>
      </w:r>
      <w:r w:rsidRPr="00FF195F">
        <w:rPr>
          <w:rFonts w:ascii="Garamond" w:hAnsi="Garamond" w:cs="Arial"/>
          <w:sz w:val="20"/>
        </w:rPr>
        <w:t xml:space="preserve">Cognitive </w:t>
      </w:r>
      <w:r w:rsidR="00802456" w:rsidRPr="00FF195F">
        <w:rPr>
          <w:rFonts w:ascii="Garamond" w:hAnsi="Garamond" w:cs="Arial"/>
          <w:sz w:val="20"/>
        </w:rPr>
        <w:t xml:space="preserve">Responses, and </w:t>
      </w:r>
      <w:r w:rsidRPr="00FF195F">
        <w:rPr>
          <w:rFonts w:ascii="Garamond" w:hAnsi="Garamond" w:cs="Arial"/>
          <w:sz w:val="20"/>
        </w:rPr>
        <w:t>Affective Responses</w:t>
      </w:r>
      <w:r w:rsidR="00802456" w:rsidRPr="00FF195F">
        <w:rPr>
          <w:rFonts w:ascii="Garamond" w:hAnsi="Garamond" w:cs="Arial"/>
          <w:sz w:val="20"/>
        </w:rPr>
        <w:t>? L</w:t>
      </w:r>
      <w:r w:rsidRPr="00FF195F">
        <w:rPr>
          <w:rFonts w:ascii="Garamond" w:hAnsi="Garamond" w:cs="Arial"/>
          <w:sz w:val="20"/>
        </w:rPr>
        <w:t>e</w:t>
      </w:r>
      <w:r w:rsidR="00802456" w:rsidRPr="00FF195F">
        <w:rPr>
          <w:rFonts w:ascii="Garamond" w:hAnsi="Garamond" w:cs="Arial"/>
          <w:sz w:val="20"/>
        </w:rPr>
        <w:t xml:space="preserve">vel </w:t>
      </w:r>
      <w:r w:rsidRPr="00FF195F">
        <w:rPr>
          <w:rFonts w:ascii="Garamond" w:hAnsi="Garamond" w:cs="Arial"/>
          <w:sz w:val="20"/>
        </w:rPr>
        <w:t>self-efficacy in terms</w:t>
      </w:r>
      <w:r w:rsidR="00802456" w:rsidRPr="00FF195F">
        <w:rPr>
          <w:rFonts w:ascii="Garamond" w:hAnsi="Garamond" w:cs="Arial"/>
          <w:sz w:val="20"/>
        </w:rPr>
        <w:t xml:space="preserve"> of: </w:t>
      </w:r>
      <w:r w:rsidRPr="00FF195F">
        <w:rPr>
          <w:rFonts w:ascii="Garamond" w:hAnsi="Garamond" w:cs="Arial"/>
          <w:sz w:val="20"/>
        </w:rPr>
        <w:t>Mastery experiences</w:t>
      </w:r>
      <w:r w:rsidR="00802456" w:rsidRPr="00FF195F">
        <w:rPr>
          <w:rFonts w:ascii="Garamond" w:hAnsi="Garamond" w:cs="Arial"/>
          <w:sz w:val="20"/>
        </w:rPr>
        <w:t xml:space="preserve">, </w:t>
      </w:r>
      <w:r w:rsidRPr="00FF195F">
        <w:rPr>
          <w:rFonts w:ascii="Garamond" w:hAnsi="Garamond" w:cs="Arial"/>
          <w:sz w:val="20"/>
        </w:rPr>
        <w:t>Vicarious experiences</w:t>
      </w:r>
      <w:r w:rsidR="00802456" w:rsidRPr="00FF195F">
        <w:rPr>
          <w:rFonts w:ascii="Garamond" w:hAnsi="Garamond" w:cs="Arial"/>
          <w:sz w:val="20"/>
        </w:rPr>
        <w:t xml:space="preserve">, </w:t>
      </w:r>
      <w:r w:rsidRPr="00FF195F">
        <w:rPr>
          <w:rFonts w:ascii="Garamond" w:hAnsi="Garamond" w:cs="Arial"/>
          <w:sz w:val="20"/>
        </w:rPr>
        <w:t>Social persuasions</w:t>
      </w:r>
      <w:r w:rsidR="00802456" w:rsidRPr="00FF195F">
        <w:rPr>
          <w:rFonts w:ascii="Garamond" w:hAnsi="Garamond" w:cs="Arial"/>
          <w:sz w:val="20"/>
        </w:rPr>
        <w:t xml:space="preserve">, </w:t>
      </w:r>
      <w:r w:rsidRPr="00FF195F">
        <w:rPr>
          <w:rFonts w:ascii="Garamond" w:hAnsi="Garamond" w:cs="Arial"/>
          <w:sz w:val="20"/>
        </w:rPr>
        <w:t>Physiological states</w:t>
      </w:r>
      <w:r w:rsidR="00802456" w:rsidRPr="00FF195F">
        <w:rPr>
          <w:rFonts w:ascii="Garamond" w:hAnsi="Garamond" w:cs="Arial"/>
          <w:sz w:val="20"/>
        </w:rPr>
        <w:t xml:space="preserve">? Level of </w:t>
      </w:r>
      <w:r w:rsidR="00D46CE1" w:rsidRPr="00FF195F">
        <w:rPr>
          <w:rFonts w:ascii="Garamond" w:hAnsi="Garamond" w:cs="Arial"/>
          <w:sz w:val="20"/>
        </w:rPr>
        <w:t>Academic</w:t>
      </w:r>
      <w:r w:rsidR="00F72394" w:rsidRPr="00FF195F">
        <w:rPr>
          <w:rFonts w:ascii="Garamond" w:hAnsi="Garamond" w:cs="Arial"/>
          <w:sz w:val="20"/>
        </w:rPr>
        <w:t xml:space="preserve"> </w:t>
      </w:r>
      <w:r w:rsidRPr="00FF195F">
        <w:rPr>
          <w:rFonts w:ascii="Garamond" w:hAnsi="Garamond" w:cs="Arial"/>
          <w:sz w:val="20"/>
        </w:rPr>
        <w:t xml:space="preserve">performance </w:t>
      </w:r>
      <w:r w:rsidR="00401496" w:rsidRPr="00FF195F">
        <w:rPr>
          <w:rFonts w:ascii="Garamond" w:hAnsi="Garamond" w:cs="Arial"/>
          <w:sz w:val="20"/>
        </w:rPr>
        <w:t>in terms of:</w:t>
      </w:r>
      <w:r w:rsidR="00802456" w:rsidRPr="00FF195F">
        <w:rPr>
          <w:rFonts w:ascii="Garamond" w:hAnsi="Garamond" w:cs="Arial"/>
          <w:sz w:val="20"/>
        </w:rPr>
        <w:t xml:space="preserve"> </w:t>
      </w:r>
      <w:r w:rsidR="00401496" w:rsidRPr="00FF195F">
        <w:rPr>
          <w:rFonts w:ascii="Garamond" w:hAnsi="Garamond" w:cs="Arial"/>
          <w:sz w:val="20"/>
        </w:rPr>
        <w:t>Written Works</w:t>
      </w:r>
      <w:r w:rsidR="00802456" w:rsidRPr="00FF195F">
        <w:rPr>
          <w:rFonts w:ascii="Garamond" w:hAnsi="Garamond" w:cs="Arial"/>
          <w:sz w:val="20"/>
        </w:rPr>
        <w:t xml:space="preserve">, </w:t>
      </w:r>
      <w:r w:rsidR="00401496" w:rsidRPr="00FF195F">
        <w:rPr>
          <w:rFonts w:ascii="Garamond" w:hAnsi="Garamond" w:cs="Arial"/>
          <w:sz w:val="20"/>
        </w:rPr>
        <w:t>Performance Task</w:t>
      </w:r>
      <w:r w:rsidR="00802456" w:rsidRPr="00FF195F">
        <w:rPr>
          <w:rFonts w:ascii="Garamond" w:hAnsi="Garamond" w:cs="Arial"/>
          <w:sz w:val="20"/>
        </w:rPr>
        <w:t xml:space="preserve">, and </w:t>
      </w:r>
      <w:r w:rsidR="00401496" w:rsidRPr="00FF195F">
        <w:rPr>
          <w:rFonts w:ascii="Garamond" w:hAnsi="Garamond" w:cs="Arial"/>
          <w:sz w:val="20"/>
        </w:rPr>
        <w:t>Quarterly Assessment</w:t>
      </w:r>
    </w:p>
    <w:p w14:paraId="442255B6" w14:textId="5EDD5A05" w:rsidR="00802456" w:rsidRPr="00FF195F" w:rsidRDefault="00802456" w:rsidP="00525096">
      <w:pPr>
        <w:pStyle w:val="NoSpacing"/>
        <w:jc w:val="both"/>
        <w:rPr>
          <w:rFonts w:ascii="Garamond" w:hAnsi="Garamond" w:cs="Arial"/>
          <w:sz w:val="20"/>
        </w:rPr>
      </w:pPr>
      <w:r w:rsidRPr="00FF195F">
        <w:rPr>
          <w:rFonts w:ascii="Garamond" w:hAnsi="Garamond" w:cs="Arial"/>
          <w:sz w:val="20"/>
        </w:rPr>
        <w:t>2</w:t>
      </w:r>
      <w:r w:rsidR="00F579AD" w:rsidRPr="00FF195F">
        <w:rPr>
          <w:rFonts w:ascii="Garamond" w:hAnsi="Garamond" w:cs="Arial"/>
          <w:sz w:val="20"/>
        </w:rPr>
        <w:t xml:space="preserve">. Is there a significant </w:t>
      </w:r>
      <w:r w:rsidR="00813BB2" w:rsidRPr="00FF195F">
        <w:rPr>
          <w:rFonts w:ascii="Garamond" w:hAnsi="Garamond" w:cs="Arial"/>
          <w:sz w:val="20"/>
        </w:rPr>
        <w:t>relationship</w:t>
      </w:r>
      <w:r w:rsidR="00F579AD" w:rsidRPr="00FF195F">
        <w:rPr>
          <w:rFonts w:ascii="Garamond" w:hAnsi="Garamond" w:cs="Arial"/>
          <w:sz w:val="20"/>
        </w:rPr>
        <w:t xml:space="preserve"> between</w:t>
      </w:r>
      <w:r w:rsidR="009B1294" w:rsidRPr="00FF195F">
        <w:rPr>
          <w:rFonts w:ascii="Garamond" w:hAnsi="Garamond" w:cs="Arial"/>
          <w:sz w:val="20"/>
        </w:rPr>
        <w:t>:</w:t>
      </w:r>
      <w:r w:rsidRPr="00FF195F">
        <w:rPr>
          <w:rFonts w:ascii="Garamond" w:hAnsi="Garamond" w:cs="Arial"/>
          <w:sz w:val="20"/>
        </w:rPr>
        <w:t xml:space="preserve"> 2</w:t>
      </w:r>
      <w:r w:rsidR="009B1294" w:rsidRPr="00FF195F">
        <w:rPr>
          <w:rFonts w:ascii="Garamond" w:hAnsi="Garamond" w:cs="Arial"/>
          <w:sz w:val="20"/>
        </w:rPr>
        <w:t>.1 Mathematics Anxiety</w:t>
      </w:r>
      <w:r w:rsidR="00F579AD" w:rsidRPr="00FF195F">
        <w:rPr>
          <w:rFonts w:ascii="Garamond" w:hAnsi="Garamond" w:cs="Arial"/>
          <w:sz w:val="20"/>
        </w:rPr>
        <w:t xml:space="preserve"> and </w:t>
      </w:r>
      <w:r w:rsidR="009B1294" w:rsidRPr="00FF195F">
        <w:rPr>
          <w:rFonts w:ascii="Garamond" w:hAnsi="Garamond" w:cs="Arial"/>
          <w:sz w:val="20"/>
        </w:rPr>
        <w:t>Self-efficacy;</w:t>
      </w:r>
      <w:r w:rsidRPr="00FF195F">
        <w:rPr>
          <w:rFonts w:ascii="Garamond" w:hAnsi="Garamond" w:cs="Arial"/>
          <w:sz w:val="20"/>
        </w:rPr>
        <w:t xml:space="preserve"> </w:t>
      </w:r>
      <w:r w:rsidR="001C513F">
        <w:rPr>
          <w:rFonts w:ascii="Garamond" w:hAnsi="Garamond" w:cs="Arial"/>
          <w:sz w:val="20"/>
        </w:rPr>
        <w:t>2</w:t>
      </w:r>
      <w:r w:rsidR="009B1294" w:rsidRPr="00FF195F">
        <w:rPr>
          <w:rFonts w:ascii="Garamond" w:hAnsi="Garamond" w:cs="Arial"/>
          <w:sz w:val="20"/>
        </w:rPr>
        <w:t>.2 Self-Efficacy and Academic Performance</w:t>
      </w:r>
      <w:r w:rsidRPr="00FF195F">
        <w:rPr>
          <w:rFonts w:ascii="Garamond" w:hAnsi="Garamond" w:cs="Arial"/>
          <w:sz w:val="20"/>
        </w:rPr>
        <w:t xml:space="preserve">, and </w:t>
      </w:r>
      <w:r w:rsidR="001C513F">
        <w:rPr>
          <w:rFonts w:ascii="Garamond" w:hAnsi="Garamond" w:cs="Arial"/>
          <w:sz w:val="20"/>
        </w:rPr>
        <w:t>2</w:t>
      </w:r>
      <w:r w:rsidR="009B1294" w:rsidRPr="00FF195F">
        <w:rPr>
          <w:rFonts w:ascii="Garamond" w:hAnsi="Garamond" w:cs="Arial"/>
          <w:sz w:val="20"/>
        </w:rPr>
        <w:t xml:space="preserve">.3 Math </w:t>
      </w:r>
      <w:r w:rsidRPr="00FF195F">
        <w:rPr>
          <w:rFonts w:ascii="Garamond" w:hAnsi="Garamond" w:cs="Arial"/>
          <w:sz w:val="20"/>
        </w:rPr>
        <w:t>Anxiety</w:t>
      </w:r>
      <w:r w:rsidR="009B1294" w:rsidRPr="00FF195F">
        <w:rPr>
          <w:rFonts w:ascii="Garamond" w:hAnsi="Garamond" w:cs="Arial"/>
          <w:sz w:val="20"/>
        </w:rPr>
        <w:t xml:space="preserve"> and </w:t>
      </w:r>
      <w:r w:rsidRPr="00FF195F">
        <w:rPr>
          <w:rFonts w:ascii="Garamond" w:hAnsi="Garamond" w:cs="Arial"/>
          <w:sz w:val="20"/>
        </w:rPr>
        <w:t>Academic Performance</w:t>
      </w:r>
      <w:r w:rsidR="00525096">
        <w:rPr>
          <w:rFonts w:ascii="Garamond" w:hAnsi="Garamond" w:cs="Arial"/>
          <w:sz w:val="20"/>
        </w:rPr>
        <w:t>?</w:t>
      </w:r>
    </w:p>
    <w:p w14:paraId="799E1401" w14:textId="743F86C6" w:rsidR="002C3603" w:rsidRPr="00FF195F" w:rsidRDefault="00802456" w:rsidP="001C513F">
      <w:pPr>
        <w:pStyle w:val="NoSpacing"/>
        <w:ind w:left="426" w:hanging="426"/>
        <w:rPr>
          <w:rFonts w:ascii="Garamond" w:hAnsi="Garamond" w:cs="Arial"/>
          <w:sz w:val="20"/>
        </w:rPr>
      </w:pPr>
      <w:r w:rsidRPr="00FF195F">
        <w:rPr>
          <w:rFonts w:ascii="Garamond" w:hAnsi="Garamond" w:cs="Arial"/>
          <w:sz w:val="20"/>
        </w:rPr>
        <w:t xml:space="preserve">3. </w:t>
      </w:r>
      <w:r w:rsidR="009B1294" w:rsidRPr="00FF195F">
        <w:rPr>
          <w:rFonts w:ascii="Garamond" w:hAnsi="Garamond" w:cs="Arial"/>
          <w:sz w:val="20"/>
        </w:rPr>
        <w:t>Does</w:t>
      </w:r>
      <w:r w:rsidR="002C3603" w:rsidRPr="00FF195F">
        <w:rPr>
          <w:rFonts w:ascii="Garamond" w:hAnsi="Garamond" w:cs="Arial"/>
          <w:sz w:val="20"/>
        </w:rPr>
        <w:t xml:space="preserve"> self-efficacy </w:t>
      </w:r>
      <w:r w:rsidR="009B1294" w:rsidRPr="00FF195F">
        <w:rPr>
          <w:rFonts w:ascii="Garamond" w:hAnsi="Garamond" w:cs="Arial"/>
          <w:sz w:val="20"/>
        </w:rPr>
        <w:t>have</w:t>
      </w:r>
      <w:r w:rsidR="002C3603" w:rsidRPr="00FF195F">
        <w:rPr>
          <w:rFonts w:ascii="Garamond" w:hAnsi="Garamond" w:cs="Arial"/>
          <w:sz w:val="20"/>
        </w:rPr>
        <w:t xml:space="preserve"> a significant mediating effect </w:t>
      </w:r>
      <w:r w:rsidR="009B1294" w:rsidRPr="00FF195F">
        <w:rPr>
          <w:rFonts w:ascii="Garamond" w:hAnsi="Garamond" w:cs="Arial"/>
          <w:sz w:val="20"/>
        </w:rPr>
        <w:t>on</w:t>
      </w:r>
      <w:r w:rsidR="002C3603" w:rsidRPr="00FF195F">
        <w:rPr>
          <w:rFonts w:ascii="Garamond" w:hAnsi="Garamond" w:cs="Arial"/>
          <w:sz w:val="20"/>
        </w:rPr>
        <w:t xml:space="preserve"> the relationship between math anxiety and academic performance?</w:t>
      </w:r>
    </w:p>
    <w:p w14:paraId="2C89FCBE" w14:textId="46F68020" w:rsidR="00B036B3" w:rsidRPr="00B4504A" w:rsidRDefault="00B036B3" w:rsidP="00082F9E">
      <w:pPr>
        <w:spacing w:before="240" w:after="240" w:line="240" w:lineRule="auto"/>
        <w:jc w:val="both"/>
        <w:rPr>
          <w:rFonts w:ascii="Garamond" w:hAnsi="Garamond" w:cs="Times New Roman"/>
          <w:b/>
          <w:bCs/>
          <w:i/>
          <w:color w:val="000000"/>
          <w:sz w:val="20"/>
          <w:szCs w:val="20"/>
          <w:lang w:val="en-GB"/>
        </w:rPr>
      </w:pPr>
      <w:r w:rsidRPr="00B4504A">
        <w:rPr>
          <w:rFonts w:ascii="Garamond" w:hAnsi="Garamond" w:cs="Times New Roman"/>
          <w:b/>
          <w:bCs/>
          <w:i/>
          <w:color w:val="000000"/>
          <w:sz w:val="20"/>
          <w:szCs w:val="20"/>
          <w:lang w:val="en-GB"/>
        </w:rPr>
        <w:t xml:space="preserve">Hypothesis </w:t>
      </w:r>
    </w:p>
    <w:p w14:paraId="5E9F06D2" w14:textId="696719E4" w:rsidR="00802456" w:rsidRDefault="004C4719" w:rsidP="00802456">
      <w:pPr>
        <w:spacing w:before="240" w:after="240" w:line="240" w:lineRule="auto"/>
        <w:jc w:val="both"/>
        <w:rPr>
          <w:rFonts w:ascii="Garamond" w:hAnsi="Garamond" w:cs="Times New Roman"/>
          <w:bCs/>
          <w:color w:val="000000"/>
          <w:sz w:val="20"/>
          <w:szCs w:val="20"/>
          <w:lang w:val="en-GB"/>
        </w:rPr>
      </w:pPr>
      <w:r w:rsidRPr="00B4504A">
        <w:rPr>
          <w:rFonts w:ascii="Garamond" w:hAnsi="Garamond" w:cs="Times New Roman"/>
          <w:bCs/>
          <w:color w:val="000000"/>
          <w:sz w:val="20"/>
          <w:szCs w:val="20"/>
          <w:lang w:val="en-GB"/>
        </w:rPr>
        <w:t>Ho</w:t>
      </w:r>
      <w:r w:rsidRPr="00B4504A">
        <w:rPr>
          <w:rFonts w:ascii="Garamond" w:hAnsi="Garamond" w:cs="Times New Roman"/>
          <w:bCs/>
          <w:color w:val="000000"/>
          <w:sz w:val="20"/>
          <w:szCs w:val="20"/>
          <w:vertAlign w:val="subscript"/>
          <w:lang w:val="en-GB"/>
        </w:rPr>
        <w:t>1</w:t>
      </w:r>
      <w:r w:rsidRPr="00B4504A">
        <w:rPr>
          <w:rFonts w:ascii="Garamond" w:hAnsi="Garamond" w:cs="Times New Roman"/>
          <w:bCs/>
          <w:color w:val="000000"/>
          <w:sz w:val="20"/>
          <w:szCs w:val="20"/>
          <w:lang w:val="en-GB"/>
        </w:rPr>
        <w:t xml:space="preserve">: </w:t>
      </w:r>
      <w:bookmarkStart w:id="1" w:name="_43mj2igpoi0p" w:colFirst="0" w:colLast="0"/>
      <w:bookmarkEnd w:id="1"/>
      <w:r w:rsidRPr="00B4504A">
        <w:rPr>
          <w:rFonts w:ascii="Garamond" w:hAnsi="Garamond" w:cs="Times New Roman"/>
          <w:bCs/>
          <w:color w:val="000000"/>
          <w:sz w:val="20"/>
          <w:szCs w:val="20"/>
        </w:rPr>
        <w:t>There is no significant correlation between</w:t>
      </w:r>
      <w:r w:rsidR="00802456">
        <w:rPr>
          <w:rFonts w:ascii="Garamond" w:hAnsi="Garamond" w:cs="Times New Roman"/>
          <w:bCs/>
          <w:color w:val="000000"/>
          <w:sz w:val="20"/>
          <w:szCs w:val="20"/>
        </w:rPr>
        <w:t xml:space="preserve"> </w:t>
      </w:r>
      <w:r w:rsidR="00802456" w:rsidRPr="00802456">
        <w:rPr>
          <w:rFonts w:ascii="Garamond" w:hAnsi="Garamond" w:cs="Times New Roman"/>
          <w:bCs/>
          <w:color w:val="000000"/>
          <w:sz w:val="20"/>
          <w:szCs w:val="20"/>
        </w:rPr>
        <w:t>Mathematics Anxiety and Self-efficacy</w:t>
      </w:r>
      <w:r w:rsidR="00802456">
        <w:rPr>
          <w:rFonts w:ascii="Garamond" w:hAnsi="Garamond" w:cs="Times New Roman"/>
          <w:bCs/>
          <w:color w:val="000000"/>
          <w:sz w:val="20"/>
          <w:szCs w:val="20"/>
        </w:rPr>
        <w:t>,</w:t>
      </w:r>
      <w:r w:rsidR="00802456" w:rsidRPr="00802456">
        <w:rPr>
          <w:rFonts w:ascii="Garamond" w:hAnsi="Garamond" w:cs="Times New Roman"/>
          <w:bCs/>
          <w:color w:val="000000"/>
          <w:sz w:val="20"/>
          <w:szCs w:val="20"/>
        </w:rPr>
        <w:t xml:space="preserve"> Self-Efficacy and Academic Performance, and Math Anxiety and Academic Performance</w:t>
      </w:r>
    </w:p>
    <w:p w14:paraId="30823F3C" w14:textId="15D5800E" w:rsidR="009F1227" w:rsidRPr="00802456" w:rsidRDefault="004C4719" w:rsidP="00802456">
      <w:pPr>
        <w:spacing w:before="240" w:after="240" w:line="240" w:lineRule="auto"/>
        <w:jc w:val="both"/>
        <w:rPr>
          <w:rFonts w:ascii="Garamond" w:hAnsi="Garamond" w:cs="Times New Roman"/>
          <w:bCs/>
          <w:color w:val="000000"/>
          <w:sz w:val="20"/>
          <w:szCs w:val="20"/>
          <w:lang w:val="en-GB"/>
        </w:rPr>
      </w:pPr>
      <w:r w:rsidRPr="00B4504A">
        <w:rPr>
          <w:rFonts w:ascii="Garamond" w:hAnsi="Garamond" w:cs="Times New Roman"/>
          <w:bCs/>
          <w:color w:val="000000"/>
          <w:sz w:val="20"/>
          <w:szCs w:val="20"/>
          <w:lang w:val="en-GB"/>
        </w:rPr>
        <w:t>Ho</w:t>
      </w:r>
      <w:r w:rsidR="00802456">
        <w:rPr>
          <w:rFonts w:ascii="Garamond" w:hAnsi="Garamond" w:cs="Times New Roman"/>
          <w:bCs/>
          <w:color w:val="000000"/>
          <w:sz w:val="20"/>
          <w:szCs w:val="20"/>
          <w:lang w:val="en-GB"/>
        </w:rPr>
        <w:t>2</w:t>
      </w:r>
      <w:r w:rsidRPr="00B4504A">
        <w:rPr>
          <w:rFonts w:ascii="Garamond" w:hAnsi="Garamond" w:cs="Times New Roman"/>
          <w:bCs/>
          <w:color w:val="000000"/>
          <w:sz w:val="20"/>
          <w:szCs w:val="20"/>
          <w:lang w:val="en-GB"/>
        </w:rPr>
        <w:t xml:space="preserve">: </w:t>
      </w:r>
      <w:r w:rsidRPr="00B4504A">
        <w:rPr>
          <w:rFonts w:ascii="Garamond" w:hAnsi="Garamond" w:cs="Times New Roman"/>
          <w:bCs/>
          <w:color w:val="000000"/>
          <w:sz w:val="20"/>
          <w:szCs w:val="20"/>
        </w:rPr>
        <w:t>Mathematics self-efficacy does not significantly mediate the relationship between mathematics anxiety and mathematics performance.</w:t>
      </w:r>
      <w:bookmarkStart w:id="2" w:name="_Hlk198414650"/>
    </w:p>
    <w:p w14:paraId="018E6CDC" w14:textId="286B1E9D" w:rsidR="00A643C9" w:rsidRPr="00B83C88" w:rsidRDefault="00A643C9" w:rsidP="009F1227">
      <w:pPr>
        <w:spacing w:before="240" w:after="240" w:line="240" w:lineRule="auto"/>
        <w:jc w:val="both"/>
        <w:rPr>
          <w:rFonts w:ascii="Garamond" w:hAnsi="Garamond" w:cs="Times New Roman"/>
          <w:bCs/>
          <w:color w:val="000000"/>
          <w:sz w:val="20"/>
          <w:szCs w:val="20"/>
        </w:rPr>
      </w:pPr>
      <w:r w:rsidRPr="00B83C88">
        <w:rPr>
          <w:rFonts w:ascii="Garamond" w:hAnsi="Garamond" w:cs="Times New Roman"/>
          <w:b/>
          <w:bCs/>
          <w:color w:val="000000"/>
          <w:sz w:val="20"/>
          <w:szCs w:val="20"/>
          <w:lang w:val="en-GB"/>
        </w:rPr>
        <w:lastRenderedPageBreak/>
        <w:t>Theoretical</w:t>
      </w:r>
      <w:r w:rsidR="00AD516C" w:rsidRPr="00B83C88">
        <w:rPr>
          <w:rFonts w:ascii="Garamond" w:hAnsi="Garamond" w:cs="Times New Roman"/>
          <w:b/>
          <w:bCs/>
          <w:color w:val="000000"/>
          <w:sz w:val="20"/>
          <w:szCs w:val="20"/>
          <w:lang w:val="en-GB"/>
        </w:rPr>
        <w:t xml:space="preserve"> and</w:t>
      </w:r>
      <w:r w:rsidRPr="00B83C88">
        <w:rPr>
          <w:rFonts w:ascii="Garamond" w:hAnsi="Garamond" w:cs="Times New Roman"/>
          <w:b/>
          <w:bCs/>
          <w:color w:val="000000"/>
          <w:sz w:val="20"/>
          <w:szCs w:val="20"/>
          <w:lang w:val="en-GB"/>
        </w:rPr>
        <w:t xml:space="preserve"> Conceptual Framework</w:t>
      </w:r>
    </w:p>
    <w:p w14:paraId="4FF2EFA4" w14:textId="0C988EAF" w:rsidR="00A643C9" w:rsidRPr="00B4504A" w:rsidRDefault="00822986" w:rsidP="00525096">
      <w:pPr>
        <w:spacing w:before="240" w:after="240" w:line="240" w:lineRule="auto"/>
        <w:ind w:firstLine="720"/>
        <w:jc w:val="both"/>
        <w:rPr>
          <w:rFonts w:ascii="Garamond" w:hAnsi="Garamond" w:cs="Times New Roman"/>
          <w:iCs/>
          <w:color w:val="000000"/>
          <w:sz w:val="20"/>
          <w:szCs w:val="20"/>
          <w:lang w:val="en-PH"/>
        </w:rPr>
      </w:pPr>
      <w:bookmarkStart w:id="3" w:name="_Hlk198414680"/>
      <w:bookmarkEnd w:id="2"/>
      <w:r w:rsidRPr="00822986">
        <w:rPr>
          <w:rFonts w:ascii="Garamond" w:hAnsi="Garamond" w:cs="Times New Roman"/>
          <w:iCs/>
          <w:color w:val="000000"/>
          <w:sz w:val="20"/>
          <w:szCs w:val="20"/>
          <w:lang w:val="en-PH"/>
        </w:rPr>
        <w:t xml:space="preserve">This study is based on Albert Bandura’s Social Cognitive Theory (1986), which defines human </w:t>
      </w:r>
      <w:proofErr w:type="spellStart"/>
      <w:r w:rsidR="0014251E" w:rsidRPr="0027333C">
        <w:rPr>
          <w:rFonts w:ascii="Garamond" w:hAnsi="Garamond" w:cs="Times New Roman"/>
          <w:iCs/>
          <w:color w:val="000000"/>
          <w:sz w:val="20"/>
          <w:szCs w:val="20"/>
          <w:highlight w:val="yellow"/>
          <w:lang w:val="en-PH"/>
        </w:rPr>
        <w:t>behaviour</w:t>
      </w:r>
      <w:proofErr w:type="spellEnd"/>
      <w:r w:rsidR="0014251E" w:rsidRPr="0027333C">
        <w:rPr>
          <w:rFonts w:ascii="Garamond" w:hAnsi="Garamond" w:cs="Times New Roman"/>
          <w:iCs/>
          <w:color w:val="000000"/>
          <w:sz w:val="20"/>
          <w:szCs w:val="20"/>
          <w:highlight w:val="yellow"/>
          <w:lang w:val="en-PH"/>
        </w:rPr>
        <w:t xml:space="preserve"> </w:t>
      </w:r>
      <w:r w:rsidRPr="00822986">
        <w:rPr>
          <w:rFonts w:ascii="Garamond" w:hAnsi="Garamond" w:cs="Times New Roman"/>
          <w:iCs/>
          <w:color w:val="000000"/>
          <w:sz w:val="20"/>
          <w:szCs w:val="20"/>
          <w:lang w:val="en-PH"/>
        </w:rPr>
        <w:t xml:space="preserve">as the outcome of a dynamic and reciprocal interaction of personal variables, actions, and environmental effects, referred to as triadic reciprocal determinism. This study concentrates on two elements of the model: personal factors and </w:t>
      </w:r>
      <w:proofErr w:type="spellStart"/>
      <w:r w:rsidR="0014251E" w:rsidRPr="0027333C">
        <w:rPr>
          <w:rFonts w:ascii="Garamond" w:hAnsi="Garamond" w:cs="Times New Roman"/>
          <w:iCs/>
          <w:color w:val="000000"/>
          <w:sz w:val="20"/>
          <w:szCs w:val="20"/>
          <w:highlight w:val="yellow"/>
          <w:lang w:val="en-PH"/>
        </w:rPr>
        <w:t>behaviour</w:t>
      </w:r>
      <w:proofErr w:type="spellEnd"/>
      <w:r w:rsidRPr="00822986">
        <w:rPr>
          <w:rFonts w:ascii="Garamond" w:hAnsi="Garamond" w:cs="Times New Roman"/>
          <w:iCs/>
          <w:color w:val="000000"/>
          <w:sz w:val="20"/>
          <w:szCs w:val="20"/>
          <w:lang w:val="en-PH"/>
        </w:rPr>
        <w:t xml:space="preserve">, while deliberately delimiting the role of the environment. Within this concept, mathematics anxiety and performance are regarded as personal factors representing students' intrinsic emotional and cognitive states and results. Mathematics self-efficacy, defined as an individual's belief in their capacity to execute mathematical tasks, is </w:t>
      </w:r>
      <w:proofErr w:type="spellStart"/>
      <w:r w:rsidR="0014251E" w:rsidRPr="0027333C">
        <w:rPr>
          <w:rFonts w:ascii="Garamond" w:hAnsi="Garamond" w:cs="Times New Roman"/>
          <w:iCs/>
          <w:color w:val="000000"/>
          <w:sz w:val="20"/>
          <w:szCs w:val="20"/>
          <w:highlight w:val="yellow"/>
          <w:lang w:val="en-PH"/>
        </w:rPr>
        <w:t>categorised</w:t>
      </w:r>
      <w:proofErr w:type="spellEnd"/>
      <w:r w:rsidR="0014251E" w:rsidRPr="0027333C">
        <w:rPr>
          <w:rFonts w:ascii="Garamond" w:hAnsi="Garamond" w:cs="Times New Roman"/>
          <w:iCs/>
          <w:color w:val="000000"/>
          <w:sz w:val="20"/>
          <w:szCs w:val="20"/>
          <w:highlight w:val="yellow"/>
          <w:lang w:val="en-PH"/>
        </w:rPr>
        <w:t xml:space="preserve"> </w:t>
      </w:r>
      <w:r w:rsidRPr="00822986">
        <w:rPr>
          <w:rFonts w:ascii="Garamond" w:hAnsi="Garamond" w:cs="Times New Roman"/>
          <w:iCs/>
          <w:color w:val="000000"/>
          <w:sz w:val="20"/>
          <w:szCs w:val="20"/>
          <w:lang w:val="en-PH"/>
        </w:rPr>
        <w:t xml:space="preserve">as a </w:t>
      </w:r>
      <w:proofErr w:type="spellStart"/>
      <w:r w:rsidR="0014251E" w:rsidRPr="0027333C">
        <w:rPr>
          <w:rFonts w:ascii="Garamond" w:hAnsi="Garamond" w:cs="Times New Roman"/>
          <w:iCs/>
          <w:color w:val="000000"/>
          <w:sz w:val="20"/>
          <w:szCs w:val="20"/>
          <w:highlight w:val="yellow"/>
          <w:lang w:val="en-PH"/>
        </w:rPr>
        <w:t>behavioural</w:t>
      </w:r>
      <w:proofErr w:type="spellEnd"/>
      <w:r w:rsidR="0014251E" w:rsidRPr="0027333C">
        <w:rPr>
          <w:rFonts w:ascii="Garamond" w:hAnsi="Garamond" w:cs="Times New Roman"/>
          <w:iCs/>
          <w:color w:val="000000"/>
          <w:sz w:val="20"/>
          <w:szCs w:val="20"/>
          <w:highlight w:val="yellow"/>
          <w:lang w:val="en-PH"/>
        </w:rPr>
        <w:t xml:space="preserve"> </w:t>
      </w:r>
      <w:r w:rsidRPr="00822986">
        <w:rPr>
          <w:rFonts w:ascii="Garamond" w:hAnsi="Garamond" w:cs="Times New Roman"/>
          <w:iCs/>
          <w:color w:val="000000"/>
          <w:sz w:val="20"/>
          <w:szCs w:val="20"/>
          <w:lang w:val="en-PH"/>
        </w:rPr>
        <w:t xml:space="preserve">factor, as it affects students' actions, engagement, and perseverance in mathematical </w:t>
      </w:r>
      <w:proofErr w:type="spellStart"/>
      <w:r w:rsidR="0014251E" w:rsidRPr="0027333C">
        <w:rPr>
          <w:rFonts w:ascii="Garamond" w:hAnsi="Garamond" w:cs="Times New Roman"/>
          <w:iCs/>
          <w:color w:val="000000"/>
          <w:sz w:val="20"/>
          <w:szCs w:val="20"/>
          <w:highlight w:val="yellow"/>
          <w:lang w:val="en-PH"/>
        </w:rPr>
        <w:t>endeavours</w:t>
      </w:r>
      <w:proofErr w:type="spellEnd"/>
      <w:r w:rsidRPr="00822986">
        <w:rPr>
          <w:rFonts w:ascii="Garamond" w:hAnsi="Garamond" w:cs="Times New Roman"/>
          <w:iCs/>
          <w:color w:val="000000"/>
          <w:sz w:val="20"/>
          <w:szCs w:val="20"/>
          <w:lang w:val="en-PH"/>
        </w:rPr>
        <w:t>. This classification corresponds with Bandura’s claim that conduct influences and is influenced by cognitive and emotional processes.</w:t>
      </w:r>
      <w:r>
        <w:rPr>
          <w:rFonts w:ascii="Garamond" w:hAnsi="Garamond" w:cs="Times New Roman"/>
          <w:iCs/>
          <w:color w:val="000000"/>
          <w:sz w:val="20"/>
          <w:szCs w:val="20"/>
          <w:lang w:val="en-PH"/>
        </w:rPr>
        <w:t xml:space="preserve"> </w:t>
      </w:r>
      <w:r w:rsidR="00A643C9" w:rsidRPr="00B4504A">
        <w:rPr>
          <w:rFonts w:ascii="Garamond" w:hAnsi="Garamond" w:cs="Times New Roman"/>
          <w:iCs/>
          <w:color w:val="000000"/>
          <w:sz w:val="20"/>
          <w:szCs w:val="20"/>
          <w:lang w:val="en-PH"/>
        </w:rPr>
        <w:t>Bandura posits that individuals’ beliefs in their capabilities to perform actions necessary to manage future situations strongly influence their motivatio</w:t>
      </w:r>
      <w:r w:rsidR="00525096">
        <w:rPr>
          <w:rFonts w:ascii="Garamond" w:hAnsi="Garamond" w:cs="Times New Roman"/>
          <w:iCs/>
          <w:color w:val="000000"/>
          <w:sz w:val="20"/>
          <w:szCs w:val="20"/>
          <w:lang w:val="en-PH"/>
        </w:rPr>
        <w:t xml:space="preserve">n, </w:t>
      </w:r>
      <w:r w:rsidR="00A643C9" w:rsidRPr="00B4504A">
        <w:rPr>
          <w:rFonts w:ascii="Garamond" w:hAnsi="Garamond" w:cs="Times New Roman"/>
          <w:iCs/>
          <w:color w:val="000000"/>
          <w:sz w:val="20"/>
          <w:szCs w:val="20"/>
          <w:lang w:val="en-PH"/>
        </w:rPr>
        <w:t>performance, and emotional well-being. Within this framework, students who possess high mathematics self-efficacy are more likely to engage with and persist in mathematical tasks despite experiencing anxiety, viewing challenges as opportunities to master rather than avoid.</w:t>
      </w:r>
    </w:p>
    <w:p w14:paraId="35E03781" w14:textId="5DF7BB76" w:rsidR="00A643C9" w:rsidRPr="00B4504A" w:rsidRDefault="00A643C9" w:rsidP="00A643C9">
      <w:pPr>
        <w:spacing w:before="240" w:after="240" w:line="240" w:lineRule="auto"/>
        <w:ind w:firstLine="720"/>
        <w:jc w:val="both"/>
        <w:rPr>
          <w:rFonts w:ascii="Garamond" w:hAnsi="Garamond" w:cs="Times New Roman"/>
          <w:iCs/>
          <w:color w:val="000000"/>
          <w:sz w:val="20"/>
          <w:szCs w:val="20"/>
          <w:lang w:val="en-PH"/>
        </w:rPr>
      </w:pPr>
    </w:p>
    <w:bookmarkEnd w:id="3"/>
    <w:p w14:paraId="6E9A960E" w14:textId="3925ACF0" w:rsidR="00A643C9" w:rsidRPr="00B4504A" w:rsidRDefault="00A643C9" w:rsidP="00204DB3">
      <w:pPr>
        <w:spacing w:before="240" w:after="240" w:line="240" w:lineRule="auto"/>
        <w:jc w:val="both"/>
        <w:rPr>
          <w:rFonts w:ascii="Garamond" w:hAnsi="Garamond" w:cs="Times New Roman"/>
          <w:bCs/>
          <w:i/>
          <w:color w:val="000000"/>
          <w:sz w:val="20"/>
          <w:szCs w:val="20"/>
          <w:lang w:val="en-PH"/>
        </w:rPr>
      </w:pPr>
    </w:p>
    <w:p w14:paraId="0473B9EE" w14:textId="7568472E" w:rsidR="00A643C9" w:rsidRPr="00602407" w:rsidRDefault="00525096" w:rsidP="00602407">
      <w:pPr>
        <w:spacing w:before="240" w:after="240" w:line="240" w:lineRule="auto"/>
        <w:jc w:val="both"/>
        <w:rPr>
          <w:rFonts w:ascii="Garamond" w:hAnsi="Garamond" w:cs="Times New Roman"/>
          <w:bCs/>
          <w:i/>
          <w:color w:val="000000"/>
          <w:sz w:val="10"/>
          <w:szCs w:val="20"/>
          <w:lang w:val="en-PH"/>
        </w:rPr>
      </w:pPr>
      <w:r w:rsidRPr="00B4504A">
        <w:rPr>
          <w:rFonts w:ascii="Garamond" w:hAnsi="Garamond"/>
          <w:iCs/>
          <w:noProof/>
          <w:sz w:val="20"/>
          <w:szCs w:val="20"/>
        </w:rPr>
        <w:drawing>
          <wp:anchor distT="0" distB="0" distL="114300" distR="114300" simplePos="0" relativeHeight="251659264" behindDoc="1" locked="0" layoutInCell="1" allowOverlap="1" wp14:anchorId="1E798E76" wp14:editId="23846F9C">
            <wp:simplePos x="0" y="0"/>
            <wp:positionH relativeFrom="margin">
              <wp:posOffset>550545</wp:posOffset>
            </wp:positionH>
            <wp:positionV relativeFrom="paragraph">
              <wp:posOffset>176530</wp:posOffset>
            </wp:positionV>
            <wp:extent cx="4690745" cy="19964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690745" cy="1996440"/>
                    </a:xfrm>
                    <a:prstGeom prst="rect">
                      <a:avLst/>
                    </a:prstGeom>
                  </pic:spPr>
                </pic:pic>
              </a:graphicData>
            </a:graphic>
            <wp14:sizeRelH relativeFrom="page">
              <wp14:pctWidth>0</wp14:pctWidth>
            </wp14:sizeRelH>
            <wp14:sizeRelV relativeFrom="page">
              <wp14:pctHeight>0</wp14:pctHeight>
            </wp14:sizeRelV>
          </wp:anchor>
        </w:drawing>
      </w:r>
      <w:r w:rsidR="00602407">
        <w:rPr>
          <w:rFonts w:ascii="Garamond" w:hAnsi="Garamond" w:cs="Times New Roman"/>
          <w:bCs/>
          <w:i/>
          <w:color w:val="000000"/>
          <w:sz w:val="20"/>
          <w:szCs w:val="20"/>
          <w:lang w:val="en-PH"/>
        </w:rPr>
        <w:br/>
      </w:r>
    </w:p>
    <w:p w14:paraId="007E962E"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18D0648C"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7B647E17"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2E939468"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1FC5848C"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3CD91EA7" w14:textId="77777777" w:rsidR="00525096" w:rsidRDefault="00525096" w:rsidP="00602407">
      <w:pPr>
        <w:spacing w:before="240" w:after="240" w:line="240" w:lineRule="auto"/>
        <w:ind w:firstLine="720"/>
        <w:jc w:val="both"/>
        <w:rPr>
          <w:rFonts w:ascii="Garamond" w:hAnsi="Garamond" w:cs="Times New Roman"/>
          <w:bCs/>
          <w:i/>
          <w:color w:val="000000"/>
          <w:sz w:val="20"/>
          <w:szCs w:val="20"/>
          <w:lang w:val="en-PH"/>
        </w:rPr>
      </w:pPr>
    </w:p>
    <w:p w14:paraId="7F04B22B" w14:textId="0B404D10" w:rsidR="009A1C51" w:rsidRPr="00B4504A" w:rsidRDefault="00A643C9" w:rsidP="00602407">
      <w:pPr>
        <w:spacing w:before="240" w:after="240" w:line="240" w:lineRule="auto"/>
        <w:ind w:firstLine="720"/>
        <w:jc w:val="both"/>
        <w:rPr>
          <w:rFonts w:ascii="Garamond" w:hAnsi="Garamond" w:cs="Times New Roman"/>
          <w:bCs/>
          <w:i/>
          <w:color w:val="000000"/>
          <w:sz w:val="20"/>
          <w:szCs w:val="20"/>
          <w:lang w:val="en-US"/>
        </w:rPr>
      </w:pPr>
      <w:r w:rsidRPr="00B4504A">
        <w:rPr>
          <w:rFonts w:ascii="Garamond" w:hAnsi="Garamond" w:cs="Times New Roman"/>
          <w:bCs/>
          <w:i/>
          <w:color w:val="000000"/>
          <w:sz w:val="20"/>
          <w:szCs w:val="20"/>
          <w:lang w:val="en-PH"/>
        </w:rPr>
        <w:t>Figure 1</w:t>
      </w:r>
      <w:r w:rsidR="005852B1">
        <w:rPr>
          <w:rFonts w:ascii="Garamond" w:hAnsi="Garamond" w:cs="Times New Roman"/>
          <w:bCs/>
          <w:i/>
          <w:color w:val="000000"/>
          <w:sz w:val="20"/>
          <w:szCs w:val="20"/>
          <w:lang w:val="en-PH"/>
        </w:rPr>
        <w:t>:</w:t>
      </w:r>
      <w:r w:rsidRPr="00B4504A">
        <w:rPr>
          <w:rFonts w:ascii="Garamond" w:hAnsi="Garamond" w:cs="Times New Roman"/>
          <w:bCs/>
          <w:i/>
          <w:color w:val="000000"/>
          <w:sz w:val="20"/>
          <w:szCs w:val="20"/>
          <w:lang w:val="en-PH"/>
        </w:rPr>
        <w:t xml:space="preserve"> Conceptual Framework of the </w:t>
      </w:r>
      <w:r w:rsidRPr="00B4504A">
        <w:rPr>
          <w:rFonts w:ascii="Garamond" w:hAnsi="Garamond" w:cs="Times New Roman"/>
          <w:bCs/>
          <w:i/>
          <w:color w:val="000000"/>
          <w:sz w:val="20"/>
          <w:szCs w:val="20"/>
          <w:lang w:val="en-US"/>
        </w:rPr>
        <w:t xml:space="preserve">Mediating </w:t>
      </w:r>
      <w:r w:rsidR="005852B1">
        <w:rPr>
          <w:rFonts w:ascii="Garamond" w:hAnsi="Garamond" w:cs="Times New Roman"/>
          <w:bCs/>
          <w:i/>
          <w:color w:val="000000"/>
          <w:sz w:val="20"/>
          <w:szCs w:val="20"/>
          <w:lang w:val="en-US"/>
        </w:rPr>
        <w:t>Role</w:t>
      </w:r>
      <w:r w:rsidRPr="00B4504A">
        <w:rPr>
          <w:rFonts w:ascii="Garamond" w:hAnsi="Garamond" w:cs="Times New Roman"/>
          <w:bCs/>
          <w:i/>
          <w:color w:val="000000"/>
          <w:sz w:val="20"/>
          <w:szCs w:val="20"/>
          <w:lang w:val="en-US"/>
        </w:rPr>
        <w:t xml:space="preserve"> of </w:t>
      </w:r>
      <w:r w:rsidR="005852B1">
        <w:rPr>
          <w:rFonts w:ascii="Garamond" w:hAnsi="Garamond" w:cs="Times New Roman"/>
          <w:bCs/>
          <w:i/>
          <w:color w:val="000000"/>
          <w:sz w:val="20"/>
          <w:szCs w:val="20"/>
          <w:lang w:val="en-US"/>
        </w:rPr>
        <w:t>Self-Efficacy</w:t>
      </w:r>
      <w:r w:rsidRPr="00B4504A">
        <w:rPr>
          <w:rFonts w:ascii="Garamond" w:hAnsi="Garamond" w:cs="Times New Roman"/>
          <w:bCs/>
          <w:i/>
          <w:color w:val="000000"/>
          <w:sz w:val="20"/>
          <w:szCs w:val="20"/>
          <w:lang w:val="en-US"/>
        </w:rPr>
        <w:t xml:space="preserve"> on Mathematics Anxiety and Academic Performance</w:t>
      </w:r>
    </w:p>
    <w:p w14:paraId="18121486" w14:textId="77777777" w:rsidR="00602407" w:rsidRPr="00602407" w:rsidRDefault="00602407" w:rsidP="00602407">
      <w:pPr>
        <w:spacing w:before="240" w:line="240" w:lineRule="auto"/>
        <w:contextualSpacing/>
        <w:jc w:val="both"/>
        <w:rPr>
          <w:rFonts w:ascii="Garamond" w:hAnsi="Garamond" w:cs="Times New Roman"/>
          <w:bCs/>
          <w:color w:val="000000"/>
          <w:sz w:val="2"/>
          <w:szCs w:val="20"/>
          <w:lang w:val="en-US"/>
        </w:rPr>
      </w:pPr>
    </w:p>
    <w:p w14:paraId="73ACB17A" w14:textId="1AE1DFD1" w:rsidR="009E40FB" w:rsidRDefault="009E40FB" w:rsidP="00986D93">
      <w:pPr>
        <w:spacing w:before="240" w:after="240" w:line="240" w:lineRule="auto"/>
        <w:rPr>
          <w:rFonts w:ascii="Garamond" w:hAnsi="Garamond" w:cs="Times New Roman"/>
          <w:b/>
          <w:bCs/>
          <w:color w:val="000000"/>
          <w:sz w:val="20"/>
          <w:szCs w:val="20"/>
          <w:lang w:val="en-US"/>
        </w:rPr>
      </w:pPr>
      <w:r>
        <w:rPr>
          <w:rFonts w:ascii="Garamond" w:hAnsi="Garamond" w:cs="Times New Roman"/>
          <w:b/>
          <w:bCs/>
          <w:color w:val="000000"/>
          <w:sz w:val="20"/>
          <w:szCs w:val="20"/>
          <w:lang w:val="en-US"/>
        </w:rPr>
        <w:t>Method</w:t>
      </w:r>
    </w:p>
    <w:p w14:paraId="490CACCB" w14:textId="33CDA7D7" w:rsidR="00955875" w:rsidRPr="00B4504A" w:rsidRDefault="00955875" w:rsidP="00986D93">
      <w:pPr>
        <w:spacing w:before="240" w:after="240" w:line="240" w:lineRule="auto"/>
        <w:rPr>
          <w:rFonts w:ascii="Garamond" w:hAnsi="Garamond" w:cs="Times New Roman"/>
          <w:b/>
          <w:bCs/>
          <w:color w:val="000000"/>
          <w:sz w:val="20"/>
          <w:szCs w:val="20"/>
          <w:lang w:val="en-US"/>
        </w:rPr>
      </w:pPr>
      <w:r w:rsidRPr="00B4504A">
        <w:rPr>
          <w:rFonts w:ascii="Garamond" w:hAnsi="Garamond" w:cs="Times New Roman"/>
          <w:b/>
          <w:bCs/>
          <w:color w:val="000000"/>
          <w:sz w:val="20"/>
          <w:szCs w:val="20"/>
          <w:lang w:val="en-US"/>
        </w:rPr>
        <w:t>Research Design</w:t>
      </w:r>
    </w:p>
    <w:p w14:paraId="6F61B0AA" w14:textId="304C599B" w:rsidR="00955875" w:rsidRPr="005852B1" w:rsidRDefault="00594919" w:rsidP="005852B1">
      <w:pPr>
        <w:spacing w:before="240" w:after="240" w:line="240" w:lineRule="auto"/>
        <w:ind w:firstLine="720"/>
        <w:jc w:val="both"/>
        <w:rPr>
          <w:rFonts w:ascii="Garamond" w:hAnsi="Garamond" w:cs="Times New Roman"/>
          <w:bCs/>
          <w:color w:val="000000"/>
          <w:sz w:val="20"/>
          <w:szCs w:val="20"/>
        </w:rPr>
      </w:pPr>
      <w:r w:rsidRPr="00B4504A">
        <w:rPr>
          <w:rFonts w:ascii="Garamond" w:hAnsi="Garamond" w:cs="Times New Roman"/>
          <w:bCs/>
          <w:color w:val="000000"/>
          <w:sz w:val="20"/>
          <w:szCs w:val="20"/>
        </w:rPr>
        <w:t>The study use</w:t>
      </w:r>
      <w:r w:rsidR="005852B1">
        <w:rPr>
          <w:rFonts w:ascii="Garamond" w:hAnsi="Garamond" w:cs="Times New Roman"/>
          <w:bCs/>
          <w:color w:val="000000"/>
          <w:sz w:val="20"/>
          <w:szCs w:val="20"/>
        </w:rPr>
        <w:t>d</w:t>
      </w:r>
      <w:r w:rsidRPr="00B4504A">
        <w:rPr>
          <w:rFonts w:ascii="Garamond" w:hAnsi="Garamond" w:cs="Times New Roman"/>
          <w:bCs/>
          <w:color w:val="000000"/>
          <w:sz w:val="20"/>
          <w:szCs w:val="20"/>
        </w:rPr>
        <w:t xml:space="preserve"> a quantitative, correlational research design </w:t>
      </w:r>
      <w:r w:rsidR="005852B1">
        <w:rPr>
          <w:rFonts w:ascii="Garamond" w:hAnsi="Garamond" w:cs="Times New Roman"/>
          <w:bCs/>
          <w:color w:val="000000"/>
          <w:sz w:val="20"/>
          <w:szCs w:val="20"/>
        </w:rPr>
        <w:t xml:space="preserve">with mediation analysis </w:t>
      </w:r>
      <w:r w:rsidRPr="00B4504A">
        <w:rPr>
          <w:rFonts w:ascii="Garamond" w:hAnsi="Garamond" w:cs="Times New Roman"/>
          <w:bCs/>
          <w:color w:val="000000"/>
          <w:sz w:val="20"/>
          <w:szCs w:val="20"/>
        </w:rPr>
        <w:t xml:space="preserve">to examine </w:t>
      </w:r>
      <w:r w:rsidR="005852B1">
        <w:rPr>
          <w:rFonts w:ascii="Garamond" w:hAnsi="Garamond" w:cs="Times New Roman"/>
          <w:bCs/>
          <w:color w:val="000000"/>
          <w:sz w:val="20"/>
          <w:szCs w:val="20"/>
        </w:rPr>
        <w:t xml:space="preserve">the </w:t>
      </w:r>
      <w:r w:rsidR="00525096">
        <w:rPr>
          <w:rFonts w:ascii="Garamond" w:hAnsi="Garamond" w:cs="Times New Roman"/>
          <w:bCs/>
          <w:color w:val="000000"/>
          <w:sz w:val="20"/>
          <w:szCs w:val="20"/>
        </w:rPr>
        <w:t>mediating</w:t>
      </w:r>
      <w:r w:rsidR="005852B1">
        <w:rPr>
          <w:rFonts w:ascii="Garamond" w:hAnsi="Garamond" w:cs="Times New Roman"/>
          <w:bCs/>
          <w:color w:val="000000"/>
          <w:sz w:val="20"/>
          <w:szCs w:val="20"/>
        </w:rPr>
        <w:t xml:space="preserve"> effect of self-efficacy on </w:t>
      </w:r>
      <w:r w:rsidRPr="00B4504A">
        <w:rPr>
          <w:rFonts w:ascii="Garamond" w:hAnsi="Garamond" w:cs="Times New Roman"/>
          <w:bCs/>
          <w:color w:val="000000"/>
          <w:sz w:val="20"/>
          <w:szCs w:val="20"/>
        </w:rPr>
        <w:t xml:space="preserve">the relationships </w:t>
      </w:r>
      <w:r w:rsidR="005852B1">
        <w:rPr>
          <w:rFonts w:ascii="Garamond" w:hAnsi="Garamond" w:cs="Times New Roman"/>
          <w:bCs/>
          <w:color w:val="000000"/>
          <w:sz w:val="20"/>
          <w:szCs w:val="20"/>
        </w:rPr>
        <w:t xml:space="preserve">between </w:t>
      </w:r>
      <w:r w:rsidRPr="00B4504A">
        <w:rPr>
          <w:rFonts w:ascii="Garamond" w:hAnsi="Garamond" w:cs="Times New Roman"/>
          <w:bCs/>
          <w:color w:val="000000"/>
          <w:sz w:val="20"/>
          <w:szCs w:val="20"/>
        </w:rPr>
        <w:t>mathematics anxiety and academic performance.</w:t>
      </w:r>
    </w:p>
    <w:p w14:paraId="0C4707D9" w14:textId="0B6474B5" w:rsidR="00955875" w:rsidRPr="005852B1" w:rsidRDefault="009739AE" w:rsidP="005852B1">
      <w:pPr>
        <w:spacing w:before="240" w:after="240" w:line="240" w:lineRule="auto"/>
        <w:ind w:firstLine="720"/>
        <w:jc w:val="both"/>
        <w:rPr>
          <w:rFonts w:ascii="Garamond" w:hAnsi="Garamond" w:cs="Times New Roman"/>
          <w:bCs/>
          <w:color w:val="000000"/>
          <w:sz w:val="20"/>
          <w:szCs w:val="20"/>
          <w:lang w:val="en-PH"/>
        </w:rPr>
      </w:pPr>
      <w:r w:rsidRPr="00B4504A">
        <w:rPr>
          <w:rFonts w:ascii="Garamond" w:hAnsi="Garamond" w:cs="Times New Roman"/>
          <w:bCs/>
          <w:color w:val="000000"/>
          <w:sz w:val="20"/>
          <w:szCs w:val="20"/>
        </w:rPr>
        <w:t xml:space="preserve">This study </w:t>
      </w:r>
      <w:r w:rsidR="00822986">
        <w:rPr>
          <w:rFonts w:ascii="Garamond" w:hAnsi="Garamond" w:cs="Times New Roman"/>
          <w:bCs/>
          <w:color w:val="000000"/>
          <w:sz w:val="20"/>
          <w:szCs w:val="20"/>
        </w:rPr>
        <w:t xml:space="preserve">was </w:t>
      </w:r>
      <w:r w:rsidRPr="00B4504A">
        <w:rPr>
          <w:rFonts w:ascii="Garamond" w:hAnsi="Garamond" w:cs="Times New Roman"/>
          <w:bCs/>
          <w:color w:val="000000"/>
          <w:sz w:val="20"/>
          <w:szCs w:val="20"/>
        </w:rPr>
        <w:t>conducted at Sta. Ana National High School, located along D. Suazo Street in Davao City, Region XI. The school caters to junior high school students and operates on a two-shift system, with students attending either the morning (AM) or afternoon (PM) session to address the increasing student population. Sta. Ana National High School offers a structured learning environment where students engage in both academic and non-academic activities, supporting their cognitive, emotional, social, and physical development.</w:t>
      </w:r>
    </w:p>
    <w:p w14:paraId="7E91962F" w14:textId="4EECAF63" w:rsidR="00955875" w:rsidRPr="006D6501" w:rsidRDefault="00A10085" w:rsidP="005852B1">
      <w:pPr>
        <w:spacing w:before="240" w:after="240" w:line="240" w:lineRule="auto"/>
        <w:ind w:firstLine="720"/>
        <w:jc w:val="both"/>
        <w:rPr>
          <w:rFonts w:ascii="Garamond" w:hAnsi="Garamond" w:cs="Times New Roman"/>
          <w:b/>
          <w:color w:val="EE0000"/>
          <w:sz w:val="20"/>
          <w:szCs w:val="20"/>
        </w:rPr>
      </w:pPr>
      <w:r w:rsidRPr="00A10085">
        <w:rPr>
          <w:rFonts w:ascii="Garamond" w:hAnsi="Garamond" w:cs="Times New Roman"/>
          <w:bCs/>
          <w:color w:val="000000"/>
          <w:sz w:val="20"/>
          <w:szCs w:val="20"/>
        </w:rPr>
        <w:t xml:space="preserve">The target population consisted of all Grade 9 students enrolled at Sta. Ana National High School for the </w:t>
      </w:r>
      <w:r>
        <w:rPr>
          <w:rFonts w:ascii="Garamond" w:hAnsi="Garamond" w:cs="Times New Roman"/>
          <w:bCs/>
          <w:color w:val="000000"/>
          <w:sz w:val="20"/>
          <w:szCs w:val="20"/>
        </w:rPr>
        <w:t>school</w:t>
      </w:r>
      <w:r w:rsidRPr="00A10085">
        <w:rPr>
          <w:rFonts w:ascii="Garamond" w:hAnsi="Garamond" w:cs="Times New Roman"/>
          <w:bCs/>
          <w:color w:val="000000"/>
          <w:sz w:val="20"/>
          <w:szCs w:val="20"/>
        </w:rPr>
        <w:t xml:space="preserve"> year</w:t>
      </w:r>
      <w:r>
        <w:rPr>
          <w:rFonts w:ascii="Garamond" w:hAnsi="Garamond" w:cs="Times New Roman"/>
          <w:bCs/>
          <w:color w:val="000000"/>
          <w:sz w:val="20"/>
          <w:szCs w:val="20"/>
        </w:rPr>
        <w:t xml:space="preserve"> </w:t>
      </w:r>
      <w:r w:rsidR="00E95DA1">
        <w:rPr>
          <w:rFonts w:ascii="Garamond" w:hAnsi="Garamond" w:cs="Times New Roman"/>
          <w:bCs/>
          <w:color w:val="000000"/>
          <w:sz w:val="20"/>
          <w:szCs w:val="20"/>
        </w:rPr>
        <w:t xml:space="preserve">September, </w:t>
      </w:r>
      <w:r>
        <w:rPr>
          <w:rFonts w:ascii="Garamond" w:hAnsi="Garamond" w:cs="Times New Roman"/>
          <w:bCs/>
          <w:color w:val="000000"/>
          <w:sz w:val="20"/>
          <w:szCs w:val="20"/>
        </w:rPr>
        <w:t xml:space="preserve">2024 </w:t>
      </w:r>
      <w:r w:rsidR="00E95DA1">
        <w:rPr>
          <w:rFonts w:ascii="Garamond" w:hAnsi="Garamond" w:cs="Times New Roman"/>
          <w:bCs/>
          <w:color w:val="000000"/>
          <w:sz w:val="20"/>
          <w:szCs w:val="20"/>
        </w:rPr>
        <w:t xml:space="preserve">to June, </w:t>
      </w:r>
      <w:r>
        <w:rPr>
          <w:rFonts w:ascii="Garamond" w:hAnsi="Garamond" w:cs="Times New Roman"/>
          <w:bCs/>
          <w:color w:val="000000"/>
          <w:sz w:val="20"/>
          <w:szCs w:val="20"/>
        </w:rPr>
        <w:t>2025</w:t>
      </w:r>
      <w:r w:rsidR="00525096">
        <w:rPr>
          <w:rFonts w:ascii="Garamond" w:hAnsi="Garamond" w:cs="Times New Roman"/>
          <w:bCs/>
          <w:color w:val="000000"/>
          <w:sz w:val="20"/>
          <w:szCs w:val="20"/>
        </w:rPr>
        <w:t>,</w:t>
      </w:r>
      <w:r>
        <w:rPr>
          <w:rFonts w:ascii="Garamond" w:hAnsi="Garamond" w:cs="Times New Roman"/>
          <w:bCs/>
          <w:color w:val="000000"/>
          <w:sz w:val="20"/>
          <w:szCs w:val="20"/>
        </w:rPr>
        <w:t xml:space="preserve"> </w:t>
      </w:r>
      <w:proofErr w:type="spellStart"/>
      <w:r w:rsidR="0014251E" w:rsidRPr="0027333C">
        <w:rPr>
          <w:rFonts w:ascii="Garamond" w:hAnsi="Garamond" w:cs="Times New Roman"/>
          <w:bCs/>
          <w:color w:val="000000"/>
          <w:sz w:val="20"/>
          <w:szCs w:val="20"/>
          <w:highlight w:val="yellow"/>
        </w:rPr>
        <w:t>totalling</w:t>
      </w:r>
      <w:proofErr w:type="spellEnd"/>
      <w:r w:rsidR="0014251E" w:rsidRPr="0027333C">
        <w:rPr>
          <w:rFonts w:ascii="Garamond" w:hAnsi="Garamond" w:cs="Times New Roman"/>
          <w:bCs/>
          <w:color w:val="000000"/>
          <w:sz w:val="20"/>
          <w:szCs w:val="20"/>
          <w:highlight w:val="yellow"/>
        </w:rPr>
        <w:t xml:space="preserve"> </w:t>
      </w:r>
      <w:r w:rsidRPr="00A10085">
        <w:rPr>
          <w:rFonts w:ascii="Garamond" w:hAnsi="Garamond" w:cs="Times New Roman"/>
          <w:bCs/>
          <w:color w:val="000000"/>
          <w:sz w:val="20"/>
          <w:szCs w:val="20"/>
        </w:rPr>
        <w:t xml:space="preserve">approximately </w:t>
      </w:r>
      <w:r>
        <w:rPr>
          <w:rFonts w:ascii="Garamond" w:hAnsi="Garamond" w:cs="Times New Roman"/>
          <w:bCs/>
          <w:color w:val="000000"/>
          <w:sz w:val="20"/>
          <w:szCs w:val="20"/>
        </w:rPr>
        <w:t>302</w:t>
      </w:r>
      <w:r w:rsidRPr="00A10085">
        <w:rPr>
          <w:rFonts w:ascii="Garamond" w:hAnsi="Garamond" w:cs="Times New Roman"/>
          <w:bCs/>
          <w:color w:val="000000"/>
          <w:sz w:val="20"/>
          <w:szCs w:val="20"/>
        </w:rPr>
        <w:t xml:space="preserve"> students across </w:t>
      </w:r>
      <w:r>
        <w:rPr>
          <w:rFonts w:ascii="Garamond" w:hAnsi="Garamond" w:cs="Times New Roman"/>
          <w:bCs/>
          <w:color w:val="000000"/>
          <w:sz w:val="20"/>
          <w:szCs w:val="20"/>
        </w:rPr>
        <w:t>39</w:t>
      </w:r>
      <w:r w:rsidRPr="00A10085">
        <w:rPr>
          <w:rFonts w:ascii="Garamond" w:hAnsi="Garamond" w:cs="Times New Roman"/>
          <w:bCs/>
          <w:color w:val="000000"/>
          <w:sz w:val="20"/>
          <w:szCs w:val="20"/>
        </w:rPr>
        <w:t xml:space="preserve"> sections. Using stratified random sampling with a 95% confidence level and 5% margin of error, a sample size of 172 students was determined and successfully recruited</w:t>
      </w:r>
      <w:r>
        <w:rPr>
          <w:rFonts w:ascii="Garamond" w:hAnsi="Garamond" w:cs="Times New Roman"/>
          <w:bCs/>
          <w:color w:val="000000"/>
          <w:sz w:val="20"/>
          <w:szCs w:val="20"/>
        </w:rPr>
        <w:t>.</w:t>
      </w:r>
    </w:p>
    <w:p w14:paraId="2E3206A4" w14:textId="535DC993" w:rsidR="00535F2C" w:rsidRPr="00B4504A" w:rsidRDefault="00955875" w:rsidP="008F7EB2">
      <w:pPr>
        <w:spacing w:before="240" w:after="240" w:line="240" w:lineRule="auto"/>
        <w:ind w:firstLine="720"/>
        <w:jc w:val="both"/>
        <w:rPr>
          <w:rFonts w:ascii="Garamond" w:hAnsi="Garamond" w:cs="Times New Roman"/>
          <w:bCs/>
          <w:color w:val="000000"/>
          <w:sz w:val="20"/>
          <w:szCs w:val="20"/>
          <w:lang w:val="en-PH"/>
        </w:rPr>
      </w:pPr>
      <w:r w:rsidRPr="00B4504A">
        <w:rPr>
          <w:rFonts w:ascii="Garamond" w:hAnsi="Garamond" w:cs="Times New Roman"/>
          <w:bCs/>
          <w:color w:val="000000"/>
          <w:sz w:val="20"/>
          <w:szCs w:val="20"/>
          <w:lang w:val="en-US"/>
        </w:rPr>
        <w:t xml:space="preserve"> </w:t>
      </w:r>
      <w:r w:rsidR="003E3FA4" w:rsidRPr="00B4504A">
        <w:rPr>
          <w:rFonts w:ascii="Garamond" w:hAnsi="Garamond" w:cs="Times New Roman"/>
          <w:bCs/>
          <w:color w:val="000000"/>
          <w:sz w:val="20"/>
          <w:szCs w:val="20"/>
          <w:lang w:val="en-PH"/>
        </w:rPr>
        <w:t xml:space="preserve">This study employed </w:t>
      </w:r>
      <w:proofErr w:type="spellStart"/>
      <w:r w:rsidR="0014251E" w:rsidRPr="0027333C">
        <w:rPr>
          <w:rFonts w:ascii="Garamond" w:hAnsi="Garamond" w:cs="Times New Roman"/>
          <w:bCs/>
          <w:color w:val="000000"/>
          <w:sz w:val="20"/>
          <w:szCs w:val="20"/>
          <w:highlight w:val="yellow"/>
          <w:lang w:val="en-PH"/>
        </w:rPr>
        <w:t>standardised</w:t>
      </w:r>
      <w:proofErr w:type="spellEnd"/>
      <w:r w:rsidR="0014251E" w:rsidRPr="0027333C">
        <w:rPr>
          <w:rFonts w:ascii="Garamond" w:hAnsi="Garamond" w:cs="Times New Roman"/>
          <w:bCs/>
          <w:color w:val="000000"/>
          <w:sz w:val="20"/>
          <w:szCs w:val="20"/>
          <w:highlight w:val="yellow"/>
          <w:lang w:val="en-PH"/>
        </w:rPr>
        <w:t xml:space="preserve"> </w:t>
      </w:r>
      <w:r w:rsidR="003E3FA4" w:rsidRPr="00B4504A">
        <w:rPr>
          <w:rFonts w:ascii="Garamond" w:hAnsi="Garamond" w:cs="Times New Roman"/>
          <w:bCs/>
          <w:color w:val="000000"/>
          <w:sz w:val="20"/>
          <w:szCs w:val="20"/>
          <w:lang w:val="en-PH"/>
        </w:rPr>
        <w:t>questionnaires to assess the three primary variables: mathematics anxiety (independent variable), mathematics self-efficacy (mediating variable), and mathematics</w:t>
      </w:r>
      <w:r w:rsidR="00085787" w:rsidRPr="00B4504A">
        <w:rPr>
          <w:rFonts w:ascii="Garamond" w:hAnsi="Garamond" w:cs="Times New Roman"/>
          <w:bCs/>
          <w:color w:val="000000"/>
          <w:sz w:val="20"/>
          <w:szCs w:val="20"/>
          <w:lang w:val="en-PH"/>
        </w:rPr>
        <w:t xml:space="preserve"> academic</w:t>
      </w:r>
      <w:r w:rsidR="003E3FA4" w:rsidRPr="00B4504A">
        <w:rPr>
          <w:rFonts w:ascii="Garamond" w:hAnsi="Garamond" w:cs="Times New Roman"/>
          <w:bCs/>
          <w:color w:val="000000"/>
          <w:sz w:val="20"/>
          <w:szCs w:val="20"/>
          <w:lang w:val="en-PH"/>
        </w:rPr>
        <w:t xml:space="preserve"> performance (dependent variable). The researchers employed the Mathematical Anxiety Instrument for Junior High School Students, created by </w:t>
      </w:r>
      <w:proofErr w:type="spellStart"/>
      <w:r w:rsidR="003E3FA4" w:rsidRPr="00B4504A">
        <w:rPr>
          <w:rFonts w:ascii="Garamond" w:hAnsi="Garamond" w:cs="Times New Roman"/>
          <w:bCs/>
          <w:color w:val="000000"/>
          <w:sz w:val="20"/>
          <w:szCs w:val="20"/>
          <w:lang w:val="en-PH"/>
        </w:rPr>
        <w:t>Anindyarini</w:t>
      </w:r>
      <w:proofErr w:type="spellEnd"/>
      <w:r w:rsidR="003E3FA4" w:rsidRPr="00B4504A">
        <w:rPr>
          <w:rFonts w:ascii="Garamond" w:hAnsi="Garamond" w:cs="Times New Roman"/>
          <w:bCs/>
          <w:color w:val="000000"/>
          <w:sz w:val="20"/>
          <w:szCs w:val="20"/>
          <w:lang w:val="en-PH"/>
        </w:rPr>
        <w:t xml:space="preserve"> (2019), to evaluate mathematics anxiety. The study employed the Sources of Mathematics Self-Efficacy Scale (SMSES) to assess mathematics self-efficacy. Both tools have been shown to have </w:t>
      </w:r>
      <w:r w:rsidR="003E3FA4" w:rsidRPr="00B4504A">
        <w:rPr>
          <w:rFonts w:ascii="Garamond" w:hAnsi="Garamond" w:cs="Times New Roman"/>
          <w:bCs/>
          <w:color w:val="000000"/>
          <w:sz w:val="20"/>
          <w:szCs w:val="20"/>
          <w:lang w:val="en-PH"/>
        </w:rPr>
        <w:lastRenderedPageBreak/>
        <w:t>strong reliability and construct validity in prior research. The instruments were adapted to suit the setting of Grade 9 students at Sta. Ana National High School underwent expert validation.</w:t>
      </w:r>
    </w:p>
    <w:p w14:paraId="039EBECF" w14:textId="4C43F4CD" w:rsidR="008F7EB2" w:rsidRPr="00B4504A" w:rsidRDefault="008F7EB2" w:rsidP="008F7EB2">
      <w:pPr>
        <w:spacing w:before="240" w:after="240" w:line="240" w:lineRule="auto"/>
        <w:ind w:firstLine="720"/>
        <w:jc w:val="both"/>
        <w:rPr>
          <w:rFonts w:ascii="Garamond" w:hAnsi="Garamond" w:cs="Times New Roman"/>
          <w:color w:val="000000"/>
          <w:sz w:val="20"/>
          <w:szCs w:val="20"/>
          <w:lang w:val="en-PH"/>
        </w:rPr>
      </w:pPr>
      <w:r w:rsidRPr="00B4504A">
        <w:rPr>
          <w:rFonts w:ascii="Garamond" w:hAnsi="Garamond" w:cs="Times New Roman"/>
          <w:color w:val="000000"/>
          <w:sz w:val="20"/>
          <w:szCs w:val="20"/>
          <w:lang w:val="en-PH"/>
        </w:rPr>
        <w:t xml:space="preserve">The researchers </w:t>
      </w:r>
      <w:proofErr w:type="spellStart"/>
      <w:r w:rsidR="0014251E" w:rsidRPr="0027333C">
        <w:rPr>
          <w:rFonts w:ascii="Garamond" w:hAnsi="Garamond" w:cs="Times New Roman"/>
          <w:color w:val="000000"/>
          <w:sz w:val="20"/>
          <w:szCs w:val="20"/>
          <w:highlight w:val="yellow"/>
          <w:lang w:val="en-PH"/>
        </w:rPr>
        <w:t>utilised</w:t>
      </w:r>
      <w:proofErr w:type="spellEnd"/>
      <w:r w:rsidR="0014251E" w:rsidRPr="0027333C">
        <w:rPr>
          <w:rFonts w:ascii="Garamond" w:hAnsi="Garamond" w:cs="Times New Roman"/>
          <w:color w:val="000000"/>
          <w:sz w:val="20"/>
          <w:szCs w:val="20"/>
          <w:highlight w:val="yellow"/>
          <w:lang w:val="en-PH"/>
        </w:rPr>
        <w:t xml:space="preserve"> </w:t>
      </w:r>
      <w:r w:rsidRPr="00B4504A">
        <w:rPr>
          <w:rFonts w:ascii="Garamond" w:hAnsi="Garamond" w:cs="Times New Roman"/>
          <w:color w:val="000000"/>
          <w:sz w:val="20"/>
          <w:szCs w:val="20"/>
          <w:lang w:val="en-PH"/>
        </w:rPr>
        <w:t xml:space="preserve">the Mathematical Anxiety Instrument for Junior High School Students developed by </w:t>
      </w:r>
      <w:proofErr w:type="spellStart"/>
      <w:r w:rsidRPr="00B4504A">
        <w:rPr>
          <w:rFonts w:ascii="Garamond" w:hAnsi="Garamond" w:cs="Times New Roman"/>
          <w:color w:val="000000"/>
          <w:sz w:val="20"/>
          <w:szCs w:val="20"/>
          <w:lang w:val="en-PH"/>
        </w:rPr>
        <w:t>Anindyarini</w:t>
      </w:r>
      <w:proofErr w:type="spellEnd"/>
      <w:r w:rsidRPr="00B4504A">
        <w:rPr>
          <w:rFonts w:ascii="Garamond" w:hAnsi="Garamond" w:cs="Times New Roman"/>
          <w:color w:val="000000"/>
          <w:sz w:val="20"/>
          <w:szCs w:val="20"/>
          <w:lang w:val="en-PH"/>
        </w:rPr>
        <w:t xml:space="preserve"> (2019) to assess mathematics anxiety. The instrument </w:t>
      </w:r>
      <w:r w:rsidR="00525096">
        <w:rPr>
          <w:rFonts w:ascii="Garamond" w:hAnsi="Garamond" w:cs="Times New Roman"/>
          <w:color w:val="000000"/>
          <w:sz w:val="20"/>
          <w:szCs w:val="20"/>
          <w:lang w:val="en-PH"/>
        </w:rPr>
        <w:t xml:space="preserve">consists </w:t>
      </w:r>
      <w:r w:rsidRPr="00B4504A">
        <w:rPr>
          <w:rFonts w:ascii="Garamond" w:hAnsi="Garamond" w:cs="Times New Roman"/>
          <w:color w:val="000000"/>
          <w:sz w:val="20"/>
          <w:szCs w:val="20"/>
          <w:lang w:val="en-PH"/>
        </w:rPr>
        <w:t xml:space="preserve">of thirty-five (35) statement items, divided into four categories: Physiological Responses (10 items), </w:t>
      </w:r>
      <w:proofErr w:type="spellStart"/>
      <w:r w:rsidR="0014251E" w:rsidRPr="0027333C">
        <w:rPr>
          <w:rFonts w:ascii="Garamond" w:hAnsi="Garamond" w:cs="Times New Roman"/>
          <w:color w:val="000000"/>
          <w:sz w:val="20"/>
          <w:szCs w:val="20"/>
          <w:highlight w:val="yellow"/>
          <w:lang w:val="en-PH"/>
        </w:rPr>
        <w:t>Behavioural</w:t>
      </w:r>
      <w:proofErr w:type="spellEnd"/>
      <w:r w:rsidR="0014251E" w:rsidRPr="0027333C">
        <w:rPr>
          <w:rFonts w:ascii="Garamond" w:hAnsi="Garamond" w:cs="Times New Roman"/>
          <w:color w:val="000000"/>
          <w:sz w:val="20"/>
          <w:szCs w:val="20"/>
          <w:highlight w:val="yellow"/>
          <w:lang w:val="en-PH"/>
        </w:rPr>
        <w:t xml:space="preserve"> </w:t>
      </w:r>
      <w:r w:rsidRPr="00B4504A">
        <w:rPr>
          <w:rFonts w:ascii="Garamond" w:hAnsi="Garamond" w:cs="Times New Roman"/>
          <w:color w:val="000000"/>
          <w:sz w:val="20"/>
          <w:szCs w:val="20"/>
          <w:lang w:val="en-PH"/>
        </w:rPr>
        <w:t>Responses (9 items), Cognitive Responses (7 items), and Affective Responses (9 items). In the original study, it showed a Cronbach's alpha of 0.8</w:t>
      </w:r>
      <w:r w:rsidR="009739AE" w:rsidRPr="00B4504A">
        <w:rPr>
          <w:rFonts w:ascii="Garamond" w:hAnsi="Garamond" w:cs="Times New Roman"/>
          <w:color w:val="000000"/>
          <w:sz w:val="20"/>
          <w:szCs w:val="20"/>
          <w:lang w:val="en-PH"/>
        </w:rPr>
        <w:t>5</w:t>
      </w:r>
      <w:r w:rsidR="00525096">
        <w:rPr>
          <w:rFonts w:ascii="Garamond" w:hAnsi="Garamond" w:cs="Times New Roman"/>
          <w:color w:val="000000"/>
          <w:sz w:val="20"/>
          <w:szCs w:val="20"/>
          <w:lang w:val="en-PH"/>
        </w:rPr>
        <w:t xml:space="preserve"> was shown</w:t>
      </w:r>
      <w:r w:rsidRPr="00B4504A">
        <w:rPr>
          <w:rFonts w:ascii="Garamond" w:hAnsi="Garamond" w:cs="Times New Roman"/>
          <w:color w:val="000000"/>
          <w:sz w:val="20"/>
          <w:szCs w:val="20"/>
          <w:lang w:val="en-PH"/>
        </w:rPr>
        <w:t>, which indicates strong internal consistency. Participants evaluated each topic using a 5-point Likert scale, with 1 indicating Strongly Disagree and 5 indicating Strongly Agree.</w:t>
      </w:r>
    </w:p>
    <w:p w14:paraId="363B010A" w14:textId="66132E84" w:rsidR="008F7EB2" w:rsidRPr="00B4504A" w:rsidRDefault="008F7EB2" w:rsidP="008F7EB2">
      <w:pPr>
        <w:spacing w:before="240" w:after="240" w:line="240" w:lineRule="auto"/>
        <w:ind w:firstLine="720"/>
        <w:jc w:val="both"/>
        <w:rPr>
          <w:rFonts w:ascii="Garamond" w:hAnsi="Garamond" w:cs="Times New Roman"/>
          <w:color w:val="000000"/>
          <w:sz w:val="20"/>
          <w:szCs w:val="20"/>
          <w:lang w:val="en-PH"/>
        </w:rPr>
      </w:pPr>
      <w:r w:rsidRPr="00B4504A">
        <w:rPr>
          <w:rFonts w:ascii="Garamond" w:hAnsi="Garamond" w:cs="Times New Roman"/>
          <w:color w:val="000000"/>
          <w:sz w:val="20"/>
          <w:szCs w:val="20"/>
          <w:lang w:val="en-PH"/>
        </w:rPr>
        <w:t xml:space="preserve">On the other hand, to assess self-efficacy in mathematics, the researchers employed the Sources of Mathematics Self-Efficacy Scale (SMSES), comprising twenty-four (24) statements </w:t>
      </w:r>
      <w:proofErr w:type="spellStart"/>
      <w:r w:rsidR="0014251E" w:rsidRPr="0027333C">
        <w:rPr>
          <w:rFonts w:ascii="Garamond" w:hAnsi="Garamond" w:cs="Times New Roman"/>
          <w:color w:val="000000"/>
          <w:sz w:val="20"/>
          <w:szCs w:val="20"/>
          <w:highlight w:val="yellow"/>
          <w:lang w:val="en-PH"/>
        </w:rPr>
        <w:t>categorised</w:t>
      </w:r>
      <w:proofErr w:type="spellEnd"/>
      <w:r w:rsidR="0014251E" w:rsidRPr="0027333C">
        <w:rPr>
          <w:rFonts w:ascii="Garamond" w:hAnsi="Garamond" w:cs="Times New Roman"/>
          <w:color w:val="000000"/>
          <w:sz w:val="20"/>
          <w:szCs w:val="20"/>
          <w:highlight w:val="yellow"/>
          <w:lang w:val="en-PH"/>
        </w:rPr>
        <w:t xml:space="preserve"> </w:t>
      </w:r>
      <w:r w:rsidRPr="00B4504A">
        <w:rPr>
          <w:rFonts w:ascii="Garamond" w:hAnsi="Garamond" w:cs="Times New Roman"/>
          <w:color w:val="000000"/>
          <w:sz w:val="20"/>
          <w:szCs w:val="20"/>
          <w:lang w:val="en-PH"/>
        </w:rPr>
        <w:t>into four dimensions: Mastery Experiences (6 items), Vicarious Experiences (6 items), Social Persuasions (6 items), and Physiological States (6 items). The device exhibited a Cronbach’s alpha of 0.80, signifying good dependability. Items were evaluated with a 5-point Likert scale ranging from 1 (Strongly Disagree) to 5 (Strongly Agree).</w:t>
      </w:r>
    </w:p>
    <w:p w14:paraId="2D6DD9B2" w14:textId="08EC7A30" w:rsidR="00D74015" w:rsidRPr="00B4504A" w:rsidRDefault="009739AE" w:rsidP="009739AE">
      <w:pPr>
        <w:spacing w:before="240" w:after="240" w:line="240" w:lineRule="auto"/>
        <w:ind w:firstLine="720"/>
        <w:jc w:val="both"/>
        <w:rPr>
          <w:rFonts w:ascii="Garamond" w:hAnsi="Garamond" w:cs="Times New Roman"/>
          <w:bCs/>
          <w:color w:val="000000"/>
          <w:sz w:val="20"/>
          <w:szCs w:val="20"/>
          <w:lang w:val="en-PH"/>
        </w:rPr>
      </w:pPr>
      <w:r w:rsidRPr="00B4504A">
        <w:rPr>
          <w:rFonts w:ascii="Garamond" w:hAnsi="Garamond" w:cs="Times New Roman"/>
          <w:bCs/>
          <w:color w:val="000000"/>
          <w:sz w:val="20"/>
          <w:szCs w:val="20"/>
          <w:lang w:val="en-PH"/>
        </w:rPr>
        <w:t>Academic performance</w:t>
      </w:r>
      <w:r w:rsidR="00AE4C0E">
        <w:rPr>
          <w:rFonts w:ascii="Garamond" w:hAnsi="Garamond" w:cs="Times New Roman"/>
          <w:bCs/>
          <w:color w:val="000000"/>
          <w:sz w:val="20"/>
          <w:szCs w:val="20"/>
          <w:lang w:val="en-PH"/>
        </w:rPr>
        <w:t xml:space="preserve"> in Mathematics</w:t>
      </w:r>
      <w:r w:rsidRPr="00B4504A">
        <w:rPr>
          <w:rFonts w:ascii="Garamond" w:hAnsi="Garamond" w:cs="Times New Roman"/>
          <w:bCs/>
          <w:color w:val="000000"/>
          <w:sz w:val="20"/>
          <w:szCs w:val="20"/>
          <w:lang w:val="en-PH"/>
        </w:rPr>
        <w:t xml:space="preserve"> was assessed using students' actual results in written work, performance tasks, and quarterly assessments. These components conform to the grading system and requirements established by the Department of Education. The grades were </w:t>
      </w:r>
      <w:proofErr w:type="spellStart"/>
      <w:r w:rsidR="0014251E" w:rsidRPr="0027333C">
        <w:rPr>
          <w:rFonts w:ascii="Garamond" w:hAnsi="Garamond" w:cs="Times New Roman"/>
          <w:bCs/>
          <w:color w:val="000000"/>
          <w:sz w:val="20"/>
          <w:szCs w:val="20"/>
          <w:highlight w:val="yellow"/>
          <w:lang w:val="en-PH"/>
        </w:rPr>
        <w:t>categorised</w:t>
      </w:r>
      <w:proofErr w:type="spellEnd"/>
      <w:r w:rsidR="0014251E" w:rsidRPr="00B4504A">
        <w:rPr>
          <w:rFonts w:ascii="Garamond" w:hAnsi="Garamond" w:cs="Times New Roman"/>
          <w:bCs/>
          <w:color w:val="000000"/>
          <w:sz w:val="20"/>
          <w:szCs w:val="20"/>
          <w:lang w:val="en-PH"/>
        </w:rPr>
        <w:t xml:space="preserve"> </w:t>
      </w:r>
      <w:r w:rsidRPr="00B4504A">
        <w:rPr>
          <w:rFonts w:ascii="Garamond" w:hAnsi="Garamond" w:cs="Times New Roman"/>
          <w:bCs/>
          <w:color w:val="000000"/>
          <w:sz w:val="20"/>
          <w:szCs w:val="20"/>
          <w:lang w:val="en-PH"/>
        </w:rPr>
        <w:t>into performance bands to offer a descriptive analysis of student achievement.</w:t>
      </w:r>
    </w:p>
    <w:p w14:paraId="6780662A" w14:textId="5697F161" w:rsidR="00955875" w:rsidRPr="009F3AC7" w:rsidRDefault="00E5622D" w:rsidP="009F3AC7">
      <w:pPr>
        <w:spacing w:before="240" w:after="240" w:line="240" w:lineRule="auto"/>
        <w:ind w:firstLine="720"/>
        <w:jc w:val="both"/>
        <w:rPr>
          <w:rFonts w:ascii="Garamond" w:hAnsi="Garamond" w:cs="Times New Roman"/>
          <w:color w:val="000000"/>
          <w:sz w:val="20"/>
          <w:szCs w:val="20"/>
        </w:rPr>
      </w:pPr>
      <w:r w:rsidRPr="00B4504A">
        <w:rPr>
          <w:rFonts w:ascii="Garamond" w:hAnsi="Garamond" w:cs="Times New Roman"/>
          <w:color w:val="000000"/>
          <w:sz w:val="20"/>
          <w:szCs w:val="20"/>
        </w:rPr>
        <w:t xml:space="preserve">In summary, the research instrument has a total of 59 items. Part 1 for the independent variable, Mathematics Anxiety, has 35 items. Part 2 for the mediating variable, Mathematics Self-Efficacy, has 24 items. </w:t>
      </w:r>
      <w:r w:rsidR="00525096">
        <w:rPr>
          <w:rFonts w:ascii="Garamond" w:hAnsi="Garamond" w:cs="Times New Roman"/>
          <w:color w:val="000000"/>
          <w:sz w:val="20"/>
          <w:szCs w:val="20"/>
        </w:rPr>
        <w:t>The</w:t>
      </w:r>
      <w:r w:rsidRPr="00B4504A">
        <w:rPr>
          <w:rFonts w:ascii="Garamond" w:hAnsi="Garamond" w:cs="Times New Roman"/>
          <w:color w:val="000000"/>
          <w:sz w:val="20"/>
          <w:szCs w:val="20"/>
        </w:rPr>
        <w:t xml:space="preserve"> dependent variable, Mathematics Academic Performance, will be based on actual student grades, which will be collected in compliance with data privacy and ethical research standards.</w:t>
      </w:r>
    </w:p>
    <w:p w14:paraId="2E1DF70A" w14:textId="73183D0E" w:rsidR="00E5622D" w:rsidRPr="009F3AC7" w:rsidRDefault="002B6761" w:rsidP="009F3AC7">
      <w:pPr>
        <w:spacing w:before="240" w:after="240" w:line="240" w:lineRule="auto"/>
        <w:ind w:firstLine="720"/>
        <w:jc w:val="both"/>
        <w:rPr>
          <w:rFonts w:ascii="Garamond" w:hAnsi="Garamond" w:cs="Times New Roman"/>
          <w:bCs/>
          <w:color w:val="000000"/>
          <w:sz w:val="20"/>
          <w:szCs w:val="20"/>
        </w:rPr>
      </w:pPr>
      <w:bookmarkStart w:id="4" w:name="_Hlk198418025"/>
      <w:r w:rsidRPr="002B6761">
        <w:rPr>
          <w:rFonts w:ascii="Garamond" w:hAnsi="Garamond" w:cs="Times New Roman"/>
          <w:bCs/>
          <w:color w:val="000000"/>
          <w:sz w:val="20"/>
          <w:szCs w:val="20"/>
        </w:rPr>
        <w:t>The researcher initiate</w:t>
      </w:r>
      <w:r w:rsidR="00525096">
        <w:rPr>
          <w:rFonts w:ascii="Garamond" w:hAnsi="Garamond" w:cs="Times New Roman"/>
          <w:bCs/>
          <w:color w:val="000000"/>
          <w:sz w:val="20"/>
          <w:szCs w:val="20"/>
        </w:rPr>
        <w:t>d</w:t>
      </w:r>
      <w:r w:rsidRPr="002B6761">
        <w:rPr>
          <w:rFonts w:ascii="Garamond" w:hAnsi="Garamond" w:cs="Times New Roman"/>
          <w:bCs/>
          <w:color w:val="000000"/>
          <w:sz w:val="20"/>
          <w:szCs w:val="20"/>
        </w:rPr>
        <w:t xml:space="preserve"> a systematic data collection process by obtaining permission to study the mediating role of self-efficacy between mathematics anxiety and academic performance in mathematics among </w:t>
      </w:r>
      <w:r w:rsidRPr="00086CD5">
        <w:rPr>
          <w:rFonts w:ascii="Garamond" w:hAnsi="Garamond" w:cs="Times New Roman"/>
          <w:color w:val="000000" w:themeColor="text1"/>
          <w:sz w:val="20"/>
          <w:szCs w:val="24"/>
        </w:rPr>
        <w:t>grade 9</w:t>
      </w:r>
      <w:r w:rsidR="00800BA5" w:rsidRPr="00086CD5">
        <w:rPr>
          <w:rFonts w:ascii="Garamond" w:hAnsi="Garamond" w:cs="Times New Roman"/>
          <w:bCs/>
          <w:color w:val="000000" w:themeColor="text1"/>
          <w:sz w:val="16"/>
          <w:szCs w:val="20"/>
        </w:rPr>
        <w:t xml:space="preserve"> </w:t>
      </w:r>
      <w:r w:rsidR="00800BA5">
        <w:rPr>
          <w:rFonts w:ascii="Garamond" w:hAnsi="Garamond" w:cs="Times New Roman"/>
          <w:bCs/>
          <w:color w:val="000000"/>
          <w:sz w:val="20"/>
          <w:szCs w:val="20"/>
        </w:rPr>
        <w:t xml:space="preserve">students </w:t>
      </w:r>
      <w:r w:rsidRPr="002B6761">
        <w:rPr>
          <w:rFonts w:ascii="Garamond" w:hAnsi="Garamond" w:cs="Times New Roman"/>
          <w:bCs/>
          <w:color w:val="000000"/>
          <w:sz w:val="20"/>
          <w:szCs w:val="20"/>
        </w:rPr>
        <w:t>at Sta. Ana National High School, contingent upon the thesis adviser's approval and the acquisition of an endorsement letter. Upon obtaining the necessary permissions, the researcher will coordinate with designated class advisers to create an appropriate schedule for data collection during official class hours, distributing survey instruments in both printed and digital formats based on available resources and the school's preferred approach. In the administration and retrieval phase, the researcher conduct</w:t>
      </w:r>
      <w:r w:rsidR="00525096">
        <w:rPr>
          <w:rFonts w:ascii="Garamond" w:hAnsi="Garamond" w:cs="Times New Roman"/>
          <w:bCs/>
          <w:color w:val="000000"/>
          <w:sz w:val="20"/>
          <w:szCs w:val="20"/>
        </w:rPr>
        <w:t>ed</w:t>
      </w:r>
      <w:r w:rsidRPr="002B6761">
        <w:rPr>
          <w:rFonts w:ascii="Garamond" w:hAnsi="Garamond" w:cs="Times New Roman"/>
          <w:bCs/>
          <w:color w:val="000000"/>
          <w:sz w:val="20"/>
          <w:szCs w:val="20"/>
        </w:rPr>
        <w:t xml:space="preserve"> a brief orientation for students and teachers on completing the questionnaires, with support from the school administration. Portions may be translated into the students' dialect to ensure clarity and comprehension while maintaining voluntary participation and allowing respondents to withdraw at any time without repercussions. After all respondents </w:t>
      </w:r>
      <w:r w:rsidR="00525096">
        <w:rPr>
          <w:rFonts w:ascii="Garamond" w:hAnsi="Garamond" w:cs="Times New Roman"/>
          <w:bCs/>
          <w:color w:val="000000"/>
          <w:sz w:val="20"/>
          <w:szCs w:val="20"/>
        </w:rPr>
        <w:t>completed</w:t>
      </w:r>
      <w:r w:rsidRPr="002B6761">
        <w:rPr>
          <w:rFonts w:ascii="Garamond" w:hAnsi="Garamond" w:cs="Times New Roman"/>
          <w:bCs/>
          <w:color w:val="000000"/>
          <w:sz w:val="20"/>
          <w:szCs w:val="20"/>
        </w:rPr>
        <w:t xml:space="preserve"> the survey instruments, the researcher collect</w:t>
      </w:r>
      <w:r w:rsidR="00525096">
        <w:rPr>
          <w:rFonts w:ascii="Garamond" w:hAnsi="Garamond" w:cs="Times New Roman"/>
          <w:bCs/>
          <w:color w:val="000000"/>
          <w:sz w:val="20"/>
          <w:szCs w:val="20"/>
        </w:rPr>
        <w:t>ed</w:t>
      </w:r>
      <w:r w:rsidRPr="002B6761">
        <w:rPr>
          <w:rFonts w:ascii="Garamond" w:hAnsi="Garamond" w:cs="Times New Roman"/>
          <w:bCs/>
          <w:color w:val="000000"/>
          <w:sz w:val="20"/>
          <w:szCs w:val="20"/>
        </w:rPr>
        <w:t xml:space="preserve"> the questionnaires, </w:t>
      </w:r>
      <w:r w:rsidR="00525096">
        <w:rPr>
          <w:rFonts w:ascii="Garamond" w:hAnsi="Garamond" w:cs="Times New Roman"/>
          <w:bCs/>
          <w:color w:val="000000"/>
          <w:sz w:val="20"/>
          <w:szCs w:val="20"/>
        </w:rPr>
        <w:t>ensured</w:t>
      </w:r>
      <w:r w:rsidRPr="002B6761">
        <w:rPr>
          <w:rFonts w:ascii="Garamond" w:hAnsi="Garamond" w:cs="Times New Roman"/>
          <w:bCs/>
          <w:color w:val="000000"/>
          <w:sz w:val="20"/>
          <w:szCs w:val="20"/>
        </w:rPr>
        <w:t xml:space="preserve"> that all necessary data </w:t>
      </w:r>
      <w:r w:rsidR="00525096">
        <w:rPr>
          <w:rFonts w:ascii="Garamond" w:hAnsi="Garamond" w:cs="Times New Roman"/>
          <w:bCs/>
          <w:color w:val="000000"/>
          <w:sz w:val="20"/>
          <w:szCs w:val="20"/>
        </w:rPr>
        <w:t>were</w:t>
      </w:r>
      <w:r w:rsidRPr="002B6761">
        <w:rPr>
          <w:rFonts w:ascii="Garamond" w:hAnsi="Garamond" w:cs="Times New Roman"/>
          <w:bCs/>
          <w:color w:val="000000"/>
          <w:sz w:val="20"/>
          <w:szCs w:val="20"/>
        </w:rPr>
        <w:t xml:space="preserve"> gathered comprehensively and accurately, and subsequently </w:t>
      </w:r>
      <w:r w:rsidR="00525096">
        <w:rPr>
          <w:rFonts w:ascii="Garamond" w:hAnsi="Garamond" w:cs="Times New Roman"/>
          <w:bCs/>
          <w:color w:val="000000"/>
          <w:sz w:val="20"/>
          <w:szCs w:val="20"/>
        </w:rPr>
        <w:t>compiled</w:t>
      </w:r>
      <w:r w:rsidRPr="002B6761">
        <w:rPr>
          <w:rFonts w:ascii="Garamond" w:hAnsi="Garamond" w:cs="Times New Roman"/>
          <w:bCs/>
          <w:color w:val="000000"/>
          <w:sz w:val="20"/>
          <w:szCs w:val="20"/>
        </w:rPr>
        <w:t xml:space="preserve">, </w:t>
      </w:r>
      <w:r w:rsidR="00525096">
        <w:rPr>
          <w:rFonts w:ascii="Garamond" w:hAnsi="Garamond" w:cs="Times New Roman"/>
          <w:bCs/>
          <w:color w:val="000000"/>
          <w:sz w:val="20"/>
          <w:szCs w:val="20"/>
        </w:rPr>
        <w:t>encoded</w:t>
      </w:r>
      <w:r w:rsidRPr="002B6761">
        <w:rPr>
          <w:rFonts w:ascii="Garamond" w:hAnsi="Garamond" w:cs="Times New Roman"/>
          <w:bCs/>
          <w:color w:val="000000"/>
          <w:sz w:val="20"/>
          <w:szCs w:val="20"/>
        </w:rPr>
        <w:t xml:space="preserve">, and </w:t>
      </w:r>
      <w:r w:rsidR="00525096">
        <w:rPr>
          <w:rFonts w:ascii="Garamond" w:hAnsi="Garamond" w:cs="Times New Roman"/>
          <w:bCs/>
          <w:color w:val="000000"/>
          <w:sz w:val="20"/>
          <w:szCs w:val="20"/>
        </w:rPr>
        <w:t>tabulated</w:t>
      </w:r>
      <w:r w:rsidRPr="002B6761">
        <w:rPr>
          <w:rFonts w:ascii="Garamond" w:hAnsi="Garamond" w:cs="Times New Roman"/>
          <w:bCs/>
          <w:color w:val="000000"/>
          <w:sz w:val="20"/>
          <w:szCs w:val="20"/>
        </w:rPr>
        <w:t xml:space="preserve"> the collected data </w:t>
      </w:r>
      <w:proofErr w:type="spellStart"/>
      <w:r w:rsidR="0014251E" w:rsidRPr="0027333C">
        <w:rPr>
          <w:rFonts w:ascii="Garamond" w:hAnsi="Garamond" w:cs="Times New Roman"/>
          <w:bCs/>
          <w:color w:val="000000"/>
          <w:sz w:val="20"/>
          <w:szCs w:val="20"/>
          <w:highlight w:val="yellow"/>
        </w:rPr>
        <w:t>utilising</w:t>
      </w:r>
      <w:proofErr w:type="spellEnd"/>
      <w:r w:rsidR="0014251E" w:rsidRPr="0027333C">
        <w:rPr>
          <w:rFonts w:ascii="Garamond" w:hAnsi="Garamond" w:cs="Times New Roman"/>
          <w:bCs/>
          <w:color w:val="000000"/>
          <w:sz w:val="20"/>
          <w:szCs w:val="20"/>
          <w:highlight w:val="yellow"/>
        </w:rPr>
        <w:t xml:space="preserve"> </w:t>
      </w:r>
      <w:r w:rsidRPr="002B6761">
        <w:rPr>
          <w:rFonts w:ascii="Garamond" w:hAnsi="Garamond" w:cs="Times New Roman"/>
          <w:bCs/>
          <w:color w:val="000000"/>
          <w:sz w:val="20"/>
          <w:szCs w:val="20"/>
        </w:rPr>
        <w:t>suitable statistical methods for analysis and interpretation of the results. The researcher derive</w:t>
      </w:r>
      <w:r w:rsidR="00525096">
        <w:rPr>
          <w:rFonts w:ascii="Garamond" w:hAnsi="Garamond" w:cs="Times New Roman"/>
          <w:bCs/>
          <w:color w:val="000000"/>
          <w:sz w:val="20"/>
          <w:szCs w:val="20"/>
        </w:rPr>
        <w:t>d</w:t>
      </w:r>
      <w:r w:rsidRPr="002B6761">
        <w:rPr>
          <w:rFonts w:ascii="Garamond" w:hAnsi="Garamond" w:cs="Times New Roman"/>
          <w:bCs/>
          <w:color w:val="000000"/>
          <w:sz w:val="20"/>
          <w:szCs w:val="20"/>
        </w:rPr>
        <w:t xml:space="preserve"> results, implications, and conclusions from the examined data and </w:t>
      </w:r>
      <w:r w:rsidR="00525096">
        <w:rPr>
          <w:rFonts w:ascii="Garamond" w:hAnsi="Garamond" w:cs="Times New Roman"/>
          <w:bCs/>
          <w:color w:val="000000"/>
          <w:sz w:val="20"/>
          <w:szCs w:val="20"/>
        </w:rPr>
        <w:t>offers</w:t>
      </w:r>
      <w:r w:rsidRPr="002B6761">
        <w:rPr>
          <w:rFonts w:ascii="Garamond" w:hAnsi="Garamond" w:cs="Times New Roman"/>
          <w:bCs/>
          <w:color w:val="000000"/>
          <w:sz w:val="20"/>
          <w:szCs w:val="20"/>
        </w:rPr>
        <w:t xml:space="preserve"> relevant recommendations while acknowledging participants with a token of appreciation for their contribution.</w:t>
      </w:r>
    </w:p>
    <w:bookmarkEnd w:id="4"/>
    <w:p w14:paraId="194B6920" w14:textId="447CE8B4" w:rsidR="00C94390" w:rsidRPr="00525096" w:rsidRDefault="005852B1" w:rsidP="00525096">
      <w:pPr>
        <w:spacing w:before="240" w:after="240" w:line="240" w:lineRule="auto"/>
        <w:ind w:firstLine="720"/>
        <w:jc w:val="both"/>
        <w:rPr>
          <w:rFonts w:ascii="Garamond" w:hAnsi="Garamond" w:cs="Times New Roman"/>
          <w:bCs/>
          <w:color w:val="000000"/>
          <w:sz w:val="20"/>
          <w:szCs w:val="20"/>
        </w:rPr>
      </w:pPr>
      <w:r>
        <w:rPr>
          <w:rFonts w:ascii="Garamond" w:hAnsi="Garamond" w:cs="Times New Roman"/>
          <w:bCs/>
          <w:color w:val="000000"/>
          <w:sz w:val="20"/>
          <w:szCs w:val="20"/>
          <w:lang w:val="en-PH"/>
        </w:rPr>
        <w:t xml:space="preserve">The following statistical tools </w:t>
      </w:r>
      <w:r w:rsidR="009F3AC7">
        <w:rPr>
          <w:rFonts w:ascii="Garamond" w:hAnsi="Garamond" w:cs="Times New Roman"/>
          <w:bCs/>
          <w:color w:val="000000"/>
          <w:sz w:val="20"/>
          <w:szCs w:val="20"/>
          <w:lang w:val="en-PH"/>
        </w:rPr>
        <w:t xml:space="preserve">were </w:t>
      </w:r>
      <w:r>
        <w:rPr>
          <w:rFonts w:ascii="Garamond" w:hAnsi="Garamond" w:cs="Times New Roman"/>
          <w:bCs/>
          <w:color w:val="000000"/>
          <w:sz w:val="20"/>
          <w:szCs w:val="20"/>
          <w:lang w:val="en-PH"/>
        </w:rPr>
        <w:t>used in the study are the following: To determine the l</w:t>
      </w:r>
      <w:r w:rsidR="00800BA5" w:rsidRPr="00800BA5">
        <w:rPr>
          <w:rFonts w:ascii="Garamond" w:hAnsi="Garamond" w:cs="Times New Roman"/>
          <w:bCs/>
          <w:color w:val="000000"/>
          <w:sz w:val="20"/>
          <w:szCs w:val="20"/>
          <w:lang w:val="en-PH"/>
        </w:rPr>
        <w:t xml:space="preserve">evels </w:t>
      </w:r>
      <w:r w:rsidR="009F3AC7">
        <w:rPr>
          <w:rFonts w:ascii="Garamond" w:hAnsi="Garamond" w:cs="Times New Roman"/>
          <w:bCs/>
          <w:color w:val="000000"/>
          <w:sz w:val="20"/>
          <w:szCs w:val="20"/>
          <w:lang w:val="en-PH"/>
        </w:rPr>
        <w:t xml:space="preserve">and the dispersion </w:t>
      </w:r>
      <w:r w:rsidR="00800BA5" w:rsidRPr="00800BA5">
        <w:rPr>
          <w:rFonts w:ascii="Garamond" w:hAnsi="Garamond" w:cs="Times New Roman"/>
          <w:bCs/>
          <w:color w:val="000000"/>
          <w:sz w:val="20"/>
          <w:szCs w:val="20"/>
          <w:lang w:val="en-PH"/>
        </w:rPr>
        <w:t>of mathematics anxiety</w:t>
      </w:r>
      <w:r>
        <w:rPr>
          <w:rFonts w:ascii="Garamond" w:hAnsi="Garamond" w:cs="Times New Roman"/>
          <w:bCs/>
          <w:color w:val="000000"/>
          <w:sz w:val="20"/>
          <w:szCs w:val="20"/>
          <w:lang w:val="en-PH"/>
        </w:rPr>
        <w:t>,</w:t>
      </w:r>
      <w:r w:rsidR="00800BA5" w:rsidRPr="00800BA5">
        <w:rPr>
          <w:rFonts w:ascii="Garamond" w:hAnsi="Garamond" w:cs="Times New Roman"/>
          <w:bCs/>
          <w:color w:val="000000"/>
          <w:sz w:val="20"/>
          <w:szCs w:val="20"/>
          <w:lang w:val="en-PH"/>
        </w:rPr>
        <w:t xml:space="preserve"> self-efficacy</w:t>
      </w:r>
      <w:r>
        <w:rPr>
          <w:rFonts w:ascii="Garamond" w:hAnsi="Garamond" w:cs="Times New Roman"/>
          <w:bCs/>
          <w:color w:val="000000"/>
          <w:sz w:val="20"/>
          <w:szCs w:val="20"/>
          <w:lang w:val="en-PH"/>
        </w:rPr>
        <w:t xml:space="preserve">, and </w:t>
      </w:r>
      <w:r w:rsidR="00EC40EA">
        <w:rPr>
          <w:rFonts w:ascii="Garamond" w:hAnsi="Garamond" w:cs="Times New Roman"/>
          <w:bCs/>
          <w:color w:val="000000"/>
          <w:sz w:val="20"/>
          <w:szCs w:val="20"/>
          <w:lang w:val="en-PH"/>
        </w:rPr>
        <w:t>academic</w:t>
      </w:r>
      <w:r w:rsidR="00800BA5" w:rsidRPr="00800BA5">
        <w:rPr>
          <w:rFonts w:ascii="Garamond" w:hAnsi="Garamond" w:cs="Times New Roman"/>
          <w:bCs/>
          <w:color w:val="000000"/>
          <w:sz w:val="20"/>
          <w:szCs w:val="20"/>
          <w:lang w:val="en-PH"/>
        </w:rPr>
        <w:t xml:space="preserve"> performance</w:t>
      </w:r>
      <w:r w:rsidR="009F3AC7">
        <w:rPr>
          <w:rFonts w:ascii="Garamond" w:hAnsi="Garamond" w:cs="Times New Roman"/>
          <w:bCs/>
          <w:color w:val="000000"/>
          <w:sz w:val="20"/>
          <w:szCs w:val="20"/>
          <w:lang w:val="en-PH"/>
        </w:rPr>
        <w:t xml:space="preserve">, </w:t>
      </w:r>
      <w:r w:rsidR="00525096">
        <w:rPr>
          <w:rFonts w:ascii="Garamond" w:hAnsi="Garamond" w:cs="Times New Roman"/>
          <w:bCs/>
          <w:color w:val="000000"/>
          <w:sz w:val="20"/>
          <w:szCs w:val="20"/>
          <w:lang w:val="en-PH"/>
        </w:rPr>
        <w:t xml:space="preserve">the </w:t>
      </w:r>
      <w:r w:rsidR="009F3AC7">
        <w:rPr>
          <w:rFonts w:ascii="Garamond" w:hAnsi="Garamond" w:cs="Times New Roman"/>
          <w:bCs/>
          <w:color w:val="000000"/>
          <w:sz w:val="20"/>
          <w:szCs w:val="20"/>
          <w:lang w:val="en-PH"/>
        </w:rPr>
        <w:t xml:space="preserve">weighted </w:t>
      </w:r>
      <w:r w:rsidR="00800BA5" w:rsidRPr="00800BA5">
        <w:rPr>
          <w:rFonts w:ascii="Garamond" w:hAnsi="Garamond" w:cs="Times New Roman"/>
          <w:bCs/>
          <w:color w:val="000000"/>
          <w:sz w:val="20"/>
          <w:szCs w:val="20"/>
          <w:lang w:val="en-PH"/>
        </w:rPr>
        <w:t>mean</w:t>
      </w:r>
      <w:r w:rsidR="009F3AC7">
        <w:rPr>
          <w:rFonts w:ascii="Garamond" w:hAnsi="Garamond" w:cs="Times New Roman"/>
          <w:bCs/>
          <w:color w:val="000000"/>
          <w:sz w:val="20"/>
          <w:szCs w:val="20"/>
          <w:lang w:val="en-PH"/>
        </w:rPr>
        <w:t xml:space="preserve"> </w:t>
      </w:r>
      <w:r w:rsidR="00525096">
        <w:rPr>
          <w:rFonts w:ascii="Garamond" w:hAnsi="Garamond" w:cs="Times New Roman"/>
          <w:bCs/>
          <w:color w:val="000000"/>
          <w:sz w:val="20"/>
          <w:szCs w:val="20"/>
          <w:lang w:val="en-PH"/>
        </w:rPr>
        <w:t xml:space="preserve">was used; to determine the consistency of the responses of the respondents, </w:t>
      </w:r>
      <w:r w:rsidR="00800BA5" w:rsidRPr="00800BA5">
        <w:rPr>
          <w:rFonts w:ascii="Garamond" w:hAnsi="Garamond" w:cs="Times New Roman"/>
          <w:bCs/>
          <w:color w:val="000000"/>
          <w:sz w:val="20"/>
          <w:szCs w:val="20"/>
          <w:lang w:val="en-PH"/>
        </w:rPr>
        <w:t>standard deviations</w:t>
      </w:r>
      <w:r w:rsidR="009F3AC7">
        <w:rPr>
          <w:rFonts w:ascii="Garamond" w:hAnsi="Garamond" w:cs="Times New Roman"/>
          <w:bCs/>
          <w:color w:val="000000"/>
          <w:sz w:val="20"/>
          <w:szCs w:val="20"/>
          <w:lang w:val="en-PH"/>
        </w:rPr>
        <w:t xml:space="preserve"> </w:t>
      </w:r>
      <w:r w:rsidR="00525096">
        <w:rPr>
          <w:rFonts w:ascii="Garamond" w:hAnsi="Garamond" w:cs="Times New Roman"/>
          <w:bCs/>
          <w:color w:val="000000"/>
          <w:sz w:val="20"/>
          <w:szCs w:val="20"/>
          <w:lang w:val="en-PH"/>
        </w:rPr>
        <w:t>were</w:t>
      </w:r>
      <w:r w:rsidR="009F3AC7">
        <w:rPr>
          <w:rFonts w:ascii="Garamond" w:hAnsi="Garamond" w:cs="Times New Roman"/>
          <w:bCs/>
          <w:color w:val="000000"/>
          <w:sz w:val="20"/>
          <w:szCs w:val="20"/>
          <w:lang w:val="en-PH"/>
        </w:rPr>
        <w:t xml:space="preserve"> </w:t>
      </w:r>
      <w:proofErr w:type="spellStart"/>
      <w:r w:rsidR="0014251E" w:rsidRPr="0027333C">
        <w:rPr>
          <w:rFonts w:ascii="Garamond" w:hAnsi="Garamond" w:cs="Times New Roman"/>
          <w:bCs/>
          <w:color w:val="000000"/>
          <w:sz w:val="20"/>
          <w:szCs w:val="20"/>
          <w:highlight w:val="yellow"/>
          <w:lang w:val="en-PH"/>
        </w:rPr>
        <w:t>utilised</w:t>
      </w:r>
      <w:proofErr w:type="spellEnd"/>
      <w:r w:rsidR="009F3AC7">
        <w:rPr>
          <w:rFonts w:ascii="Garamond" w:hAnsi="Garamond" w:cs="Times New Roman"/>
          <w:bCs/>
          <w:color w:val="000000"/>
          <w:sz w:val="20"/>
          <w:szCs w:val="20"/>
          <w:lang w:val="en-PH"/>
        </w:rPr>
        <w:t>. For the s</w:t>
      </w:r>
      <w:r w:rsidR="00800BA5" w:rsidRPr="00800BA5">
        <w:rPr>
          <w:rFonts w:ascii="Garamond" w:hAnsi="Garamond" w:cs="Times New Roman"/>
          <w:bCs/>
          <w:color w:val="000000"/>
          <w:sz w:val="20"/>
          <w:szCs w:val="20"/>
          <w:lang w:val="en-PH"/>
        </w:rPr>
        <w:t xml:space="preserve">trength and direction of correlations between mathematics anxiety and </w:t>
      </w:r>
      <w:r w:rsidR="00EC40EA">
        <w:rPr>
          <w:rFonts w:ascii="Garamond" w:hAnsi="Garamond" w:cs="Times New Roman"/>
          <w:bCs/>
          <w:color w:val="000000"/>
          <w:sz w:val="20"/>
          <w:szCs w:val="20"/>
          <w:lang w:val="en-PH"/>
        </w:rPr>
        <w:t xml:space="preserve">academic </w:t>
      </w:r>
      <w:r w:rsidR="00EC40EA" w:rsidRPr="00800BA5">
        <w:rPr>
          <w:rFonts w:ascii="Garamond" w:hAnsi="Garamond" w:cs="Times New Roman"/>
          <w:bCs/>
          <w:color w:val="000000"/>
          <w:sz w:val="20"/>
          <w:szCs w:val="20"/>
          <w:lang w:val="en-PH"/>
        </w:rPr>
        <w:t>performance</w:t>
      </w:r>
      <w:r w:rsidR="00EC40EA">
        <w:rPr>
          <w:rFonts w:ascii="Garamond" w:hAnsi="Garamond" w:cs="Times New Roman"/>
          <w:bCs/>
          <w:color w:val="000000"/>
          <w:sz w:val="20"/>
          <w:szCs w:val="20"/>
          <w:lang w:val="en-PH"/>
        </w:rPr>
        <w:t>,</w:t>
      </w:r>
      <w:r w:rsidR="00800BA5" w:rsidRPr="00800BA5">
        <w:rPr>
          <w:rFonts w:ascii="Garamond" w:hAnsi="Garamond" w:cs="Times New Roman"/>
          <w:bCs/>
          <w:color w:val="000000"/>
          <w:sz w:val="20"/>
          <w:szCs w:val="20"/>
          <w:lang w:val="en-PH"/>
        </w:rPr>
        <w:t xml:space="preserve"> self-efficacy and</w:t>
      </w:r>
      <w:r w:rsidR="00EC40EA">
        <w:rPr>
          <w:rFonts w:ascii="Garamond" w:hAnsi="Garamond" w:cs="Times New Roman"/>
          <w:bCs/>
          <w:color w:val="000000"/>
          <w:sz w:val="20"/>
          <w:szCs w:val="20"/>
          <w:lang w:val="en-PH"/>
        </w:rPr>
        <w:t xml:space="preserve"> academic</w:t>
      </w:r>
      <w:r w:rsidR="00800BA5" w:rsidRPr="00800BA5">
        <w:rPr>
          <w:rFonts w:ascii="Garamond" w:hAnsi="Garamond" w:cs="Times New Roman"/>
          <w:bCs/>
          <w:color w:val="000000"/>
          <w:sz w:val="20"/>
          <w:szCs w:val="20"/>
          <w:lang w:val="en-PH"/>
        </w:rPr>
        <w:t xml:space="preserve"> performance, mathematics anxiety and self-efficacy</w:t>
      </w:r>
      <w:r w:rsidR="009F3AC7">
        <w:rPr>
          <w:rFonts w:ascii="Garamond" w:hAnsi="Garamond" w:cs="Times New Roman"/>
          <w:bCs/>
          <w:color w:val="000000"/>
          <w:sz w:val="20"/>
          <w:szCs w:val="20"/>
          <w:lang w:val="en-PH"/>
        </w:rPr>
        <w:t>,</w:t>
      </w:r>
      <w:r w:rsidR="00800BA5" w:rsidRPr="00800BA5">
        <w:rPr>
          <w:rFonts w:ascii="Garamond" w:hAnsi="Garamond" w:cs="Times New Roman"/>
          <w:bCs/>
          <w:color w:val="000000"/>
          <w:sz w:val="20"/>
          <w:szCs w:val="20"/>
          <w:lang w:val="en-PH"/>
        </w:rPr>
        <w:t xml:space="preserve"> Pearson's correlation coefficient</w:t>
      </w:r>
      <w:r w:rsidR="009F3AC7">
        <w:rPr>
          <w:rFonts w:ascii="Garamond" w:hAnsi="Garamond" w:cs="Times New Roman"/>
          <w:bCs/>
          <w:color w:val="000000"/>
          <w:sz w:val="20"/>
          <w:szCs w:val="20"/>
          <w:lang w:val="en-PH"/>
        </w:rPr>
        <w:t xml:space="preserve"> was used</w:t>
      </w:r>
      <w:r w:rsidR="00800BA5" w:rsidRPr="00800BA5">
        <w:rPr>
          <w:rFonts w:ascii="Garamond" w:hAnsi="Garamond" w:cs="Times New Roman"/>
          <w:bCs/>
          <w:color w:val="000000"/>
          <w:sz w:val="20"/>
          <w:szCs w:val="20"/>
          <w:lang w:val="en-PH"/>
        </w:rPr>
        <w:t xml:space="preserve">. Furthermore, </w:t>
      </w:r>
      <w:r w:rsidR="009F3AC7">
        <w:rPr>
          <w:rFonts w:ascii="Garamond" w:hAnsi="Garamond" w:cs="Times New Roman"/>
          <w:bCs/>
          <w:color w:val="000000"/>
          <w:sz w:val="20"/>
          <w:szCs w:val="20"/>
          <w:lang w:val="en-PH"/>
        </w:rPr>
        <w:t>for</w:t>
      </w:r>
      <w:r w:rsidR="00EC40EA">
        <w:rPr>
          <w:rFonts w:ascii="Garamond" w:hAnsi="Garamond" w:cs="Times New Roman"/>
          <w:bCs/>
          <w:color w:val="000000"/>
          <w:sz w:val="20"/>
          <w:szCs w:val="20"/>
          <w:lang w:val="en-PH"/>
        </w:rPr>
        <w:t xml:space="preserve"> the</w:t>
      </w:r>
      <w:r w:rsidR="009F3AC7">
        <w:rPr>
          <w:rFonts w:ascii="Garamond" w:hAnsi="Garamond" w:cs="Times New Roman"/>
          <w:bCs/>
          <w:color w:val="000000"/>
          <w:sz w:val="20"/>
          <w:szCs w:val="20"/>
          <w:lang w:val="en-PH"/>
        </w:rPr>
        <w:t xml:space="preserve"> </w:t>
      </w:r>
      <w:r w:rsidR="00800BA5" w:rsidRPr="00800BA5">
        <w:rPr>
          <w:rFonts w:ascii="Garamond" w:hAnsi="Garamond" w:cs="Times New Roman"/>
          <w:bCs/>
          <w:color w:val="000000"/>
          <w:sz w:val="20"/>
          <w:szCs w:val="20"/>
          <w:lang w:val="en-PH"/>
        </w:rPr>
        <w:t>mediation analysis</w:t>
      </w:r>
      <w:r w:rsidR="00525096">
        <w:rPr>
          <w:rFonts w:ascii="Garamond" w:hAnsi="Garamond" w:cs="Times New Roman"/>
          <w:bCs/>
          <w:color w:val="000000"/>
          <w:sz w:val="20"/>
          <w:szCs w:val="20"/>
          <w:lang w:val="en-PH"/>
        </w:rPr>
        <w:t>,</w:t>
      </w:r>
      <w:r w:rsidR="00A10085">
        <w:rPr>
          <w:rFonts w:ascii="Garamond" w:hAnsi="Garamond" w:cs="Times New Roman"/>
          <w:bCs/>
          <w:color w:val="000000"/>
          <w:sz w:val="20"/>
          <w:szCs w:val="20"/>
          <w:lang w:val="en-PH"/>
        </w:rPr>
        <w:t xml:space="preserve"> </w:t>
      </w:r>
      <w:r w:rsidR="00EC40EA">
        <w:rPr>
          <w:rFonts w:ascii="Garamond" w:hAnsi="Garamond" w:cs="Times New Roman"/>
          <w:bCs/>
          <w:color w:val="000000"/>
          <w:sz w:val="20"/>
          <w:szCs w:val="20"/>
        </w:rPr>
        <w:t xml:space="preserve">the test used </w:t>
      </w:r>
      <w:r w:rsidR="00A10085" w:rsidRPr="00A10085">
        <w:rPr>
          <w:rFonts w:ascii="Garamond" w:hAnsi="Garamond" w:cs="Times New Roman"/>
          <w:bCs/>
          <w:color w:val="000000"/>
          <w:sz w:val="20"/>
          <w:szCs w:val="20"/>
        </w:rPr>
        <w:t>with bootstrap resampling (5,000 iterations) was employed to examine the indirect effects and generate bias-corrected confidence intervals.</w:t>
      </w:r>
    </w:p>
    <w:p w14:paraId="40EA67D8" w14:textId="3056173E" w:rsidR="00766C78" w:rsidRDefault="009C1D03" w:rsidP="00986D93">
      <w:pPr>
        <w:spacing w:before="240" w:after="240" w:line="240" w:lineRule="auto"/>
        <w:rPr>
          <w:rFonts w:ascii="Garamond" w:hAnsi="Garamond" w:cs="Times New Roman"/>
          <w:b/>
          <w:bCs/>
          <w:color w:val="000000"/>
          <w:sz w:val="20"/>
          <w:szCs w:val="20"/>
          <w:lang w:val="en-US"/>
        </w:rPr>
      </w:pPr>
      <w:r>
        <w:rPr>
          <w:rFonts w:ascii="Garamond" w:hAnsi="Garamond" w:cs="Times New Roman"/>
          <w:b/>
          <w:bCs/>
          <w:color w:val="000000"/>
          <w:sz w:val="20"/>
          <w:szCs w:val="20"/>
          <w:lang w:val="en-US"/>
        </w:rPr>
        <w:t>Results</w:t>
      </w:r>
    </w:p>
    <w:p w14:paraId="1B7769C4" w14:textId="01B3463D" w:rsidR="009C1D03" w:rsidRDefault="009C1D03" w:rsidP="009F3AC7">
      <w:pPr>
        <w:spacing w:before="240" w:after="240" w:line="240" w:lineRule="auto"/>
        <w:jc w:val="both"/>
        <w:rPr>
          <w:rFonts w:ascii="Garamond" w:eastAsia="MS Mincho" w:hAnsi="Garamond"/>
          <w:b/>
          <w:bCs/>
          <w:sz w:val="20"/>
          <w:szCs w:val="20"/>
        </w:rPr>
      </w:pPr>
      <w:r w:rsidRPr="00B90C7A">
        <w:rPr>
          <w:rFonts w:ascii="Garamond" w:eastAsia="MS Mincho" w:hAnsi="Garamond"/>
          <w:b/>
          <w:bCs/>
          <w:sz w:val="20"/>
          <w:szCs w:val="20"/>
        </w:rPr>
        <w:t>Table 1</w:t>
      </w:r>
      <w:r>
        <w:rPr>
          <w:rFonts w:ascii="Garamond" w:eastAsia="MS Mincho" w:hAnsi="Garamond"/>
          <w:b/>
          <w:bCs/>
          <w:sz w:val="20"/>
          <w:szCs w:val="20"/>
        </w:rPr>
        <w:t xml:space="preserve">: </w:t>
      </w:r>
      <w:r w:rsidR="00F82515">
        <w:rPr>
          <w:rFonts w:ascii="Garamond" w:eastAsia="MS Mincho" w:hAnsi="Garamond"/>
          <w:b/>
          <w:bCs/>
          <w:sz w:val="20"/>
          <w:szCs w:val="20"/>
        </w:rPr>
        <w:t xml:space="preserve"> </w:t>
      </w:r>
      <w:r w:rsidR="00F82515" w:rsidRPr="00F82515">
        <w:rPr>
          <w:rFonts w:ascii="Garamond" w:eastAsia="MS Mincho" w:hAnsi="Garamond"/>
          <w:b/>
          <w:bCs/>
          <w:sz w:val="20"/>
          <w:szCs w:val="20"/>
        </w:rPr>
        <w:t xml:space="preserve">Descriptive </w:t>
      </w:r>
      <w:r w:rsidR="009F3AC7">
        <w:rPr>
          <w:rFonts w:ascii="Garamond" w:eastAsia="MS Mincho" w:hAnsi="Garamond"/>
          <w:b/>
          <w:bCs/>
          <w:sz w:val="20"/>
          <w:szCs w:val="20"/>
        </w:rPr>
        <w:t>Table</w:t>
      </w:r>
    </w:p>
    <w:tbl>
      <w:tblPr>
        <w:tblStyle w:val="TableGrid"/>
        <w:tblW w:w="0" w:type="auto"/>
        <w:jc w:val="center"/>
        <w:tblLook w:val="04A0" w:firstRow="1" w:lastRow="0" w:firstColumn="1" w:lastColumn="0" w:noHBand="0" w:noVBand="1"/>
      </w:tblPr>
      <w:tblGrid>
        <w:gridCol w:w="3544"/>
        <w:gridCol w:w="992"/>
        <w:gridCol w:w="1843"/>
        <w:gridCol w:w="2647"/>
      </w:tblGrid>
      <w:tr w:rsidR="00C94390" w:rsidRPr="006A4358" w14:paraId="0976371B" w14:textId="77777777" w:rsidTr="001B79ED">
        <w:trPr>
          <w:trHeight w:val="260"/>
          <w:jc w:val="center"/>
        </w:trPr>
        <w:tc>
          <w:tcPr>
            <w:tcW w:w="9026" w:type="dxa"/>
            <w:gridSpan w:val="4"/>
            <w:tcBorders>
              <w:top w:val="dashSmallGap" w:sz="4" w:space="0" w:color="000000"/>
              <w:left w:val="nil"/>
              <w:bottom w:val="single" w:sz="12" w:space="0" w:color="000000"/>
              <w:right w:val="nil"/>
            </w:tcBorders>
          </w:tcPr>
          <w:p w14:paraId="0DB59087" w14:textId="77777777" w:rsidR="00C94390" w:rsidRPr="006A4358" w:rsidRDefault="00C94390" w:rsidP="001B79ED">
            <w:pPr>
              <w:rPr>
                <w:rFonts w:ascii="Garamond" w:hAnsi="Garamond"/>
                <w:b/>
                <w:sz w:val="20"/>
                <w:szCs w:val="20"/>
              </w:rPr>
            </w:pPr>
            <w:r w:rsidRPr="006A4358">
              <w:rPr>
                <w:rFonts w:ascii="Garamond" w:hAnsi="Garamond"/>
                <w:b/>
                <w:sz w:val="20"/>
                <w:szCs w:val="20"/>
              </w:rPr>
              <w:t>Descriptive Statistics</w:t>
            </w:r>
          </w:p>
        </w:tc>
      </w:tr>
      <w:tr w:rsidR="00C94390" w:rsidRPr="006A4358" w14:paraId="3997A266" w14:textId="77777777" w:rsidTr="001B79ED">
        <w:trPr>
          <w:trHeight w:val="240"/>
          <w:jc w:val="center"/>
        </w:trPr>
        <w:tc>
          <w:tcPr>
            <w:tcW w:w="3544" w:type="dxa"/>
            <w:tcBorders>
              <w:top w:val="single" w:sz="12" w:space="0" w:color="000000"/>
              <w:left w:val="nil"/>
              <w:bottom w:val="single" w:sz="12" w:space="0" w:color="000000"/>
              <w:right w:val="nil"/>
            </w:tcBorders>
          </w:tcPr>
          <w:p w14:paraId="172CB2CB" w14:textId="77777777" w:rsidR="00C94390" w:rsidRPr="006A4358" w:rsidRDefault="00C94390" w:rsidP="001B79ED">
            <w:pPr>
              <w:rPr>
                <w:rFonts w:ascii="Garamond" w:hAnsi="Garamond"/>
                <w:sz w:val="20"/>
                <w:szCs w:val="20"/>
              </w:rPr>
            </w:pPr>
            <w:r w:rsidRPr="006A4358">
              <w:rPr>
                <w:rFonts w:ascii="Garamond" w:hAnsi="Garamond"/>
                <w:b/>
                <w:bCs/>
                <w:sz w:val="20"/>
                <w:szCs w:val="20"/>
              </w:rPr>
              <w:t>Variables and Their Indicators</w:t>
            </w:r>
          </w:p>
        </w:tc>
        <w:tc>
          <w:tcPr>
            <w:tcW w:w="992" w:type="dxa"/>
            <w:tcBorders>
              <w:top w:val="nil"/>
              <w:left w:val="nil"/>
              <w:bottom w:val="single" w:sz="12" w:space="0" w:color="000000"/>
              <w:right w:val="nil"/>
            </w:tcBorders>
          </w:tcPr>
          <w:p w14:paraId="28D3E120" w14:textId="77777777" w:rsidR="00C94390" w:rsidRPr="006A4358" w:rsidRDefault="00C94390" w:rsidP="001B79ED">
            <w:pPr>
              <w:tabs>
                <w:tab w:val="center" w:pos="657"/>
                <w:tab w:val="left" w:pos="1290"/>
              </w:tabs>
              <w:jc w:val="center"/>
              <w:rPr>
                <w:rFonts w:ascii="Garamond" w:hAnsi="Garamond"/>
                <w:b/>
                <w:bCs/>
                <w:sz w:val="20"/>
                <w:szCs w:val="20"/>
              </w:rPr>
            </w:pPr>
            <w:r w:rsidRPr="006A4358">
              <w:rPr>
                <w:rFonts w:ascii="Garamond" w:hAnsi="Garamond"/>
                <w:b/>
                <w:bCs/>
                <w:sz w:val="20"/>
                <w:szCs w:val="20"/>
              </w:rPr>
              <w:t>SD</w:t>
            </w:r>
          </w:p>
        </w:tc>
        <w:tc>
          <w:tcPr>
            <w:tcW w:w="1843" w:type="dxa"/>
            <w:tcBorders>
              <w:top w:val="nil"/>
              <w:left w:val="nil"/>
              <w:bottom w:val="single" w:sz="12" w:space="0" w:color="000000"/>
              <w:right w:val="nil"/>
            </w:tcBorders>
          </w:tcPr>
          <w:p w14:paraId="6370581F" w14:textId="77777777" w:rsidR="00C94390" w:rsidRPr="006A4358" w:rsidRDefault="00C94390" w:rsidP="001B79ED">
            <w:pPr>
              <w:jc w:val="center"/>
              <w:rPr>
                <w:rFonts w:ascii="Garamond" w:hAnsi="Garamond"/>
                <w:b/>
                <w:bCs/>
                <w:sz w:val="20"/>
                <w:szCs w:val="20"/>
              </w:rPr>
            </w:pPr>
            <w:r w:rsidRPr="006A4358">
              <w:rPr>
                <w:rFonts w:ascii="Garamond" w:hAnsi="Garamond"/>
                <w:b/>
                <w:bCs/>
                <w:sz w:val="20"/>
                <w:szCs w:val="20"/>
              </w:rPr>
              <w:t>Mean</w:t>
            </w:r>
          </w:p>
        </w:tc>
        <w:tc>
          <w:tcPr>
            <w:tcW w:w="2647" w:type="dxa"/>
            <w:tcBorders>
              <w:top w:val="single" w:sz="12" w:space="0" w:color="000000"/>
              <w:left w:val="nil"/>
              <w:bottom w:val="single" w:sz="12" w:space="0" w:color="000000"/>
              <w:right w:val="nil"/>
            </w:tcBorders>
          </w:tcPr>
          <w:p w14:paraId="67F192BF" w14:textId="77777777" w:rsidR="00C94390" w:rsidRPr="006A4358" w:rsidRDefault="00C94390" w:rsidP="001B79ED">
            <w:pPr>
              <w:jc w:val="center"/>
              <w:rPr>
                <w:rFonts w:ascii="Garamond" w:hAnsi="Garamond"/>
                <w:b/>
                <w:bCs/>
                <w:sz w:val="20"/>
                <w:szCs w:val="20"/>
              </w:rPr>
            </w:pPr>
            <w:r w:rsidRPr="006A4358">
              <w:rPr>
                <w:rFonts w:ascii="Garamond" w:hAnsi="Garamond"/>
                <w:b/>
                <w:color w:val="000000"/>
                <w:sz w:val="20"/>
                <w:szCs w:val="20"/>
              </w:rPr>
              <w:t>Verbal Description</w:t>
            </w:r>
          </w:p>
        </w:tc>
      </w:tr>
      <w:tr w:rsidR="00C94390" w:rsidRPr="006A4358" w14:paraId="392CA7CC" w14:textId="77777777" w:rsidTr="001B79ED">
        <w:trPr>
          <w:trHeight w:val="360"/>
          <w:jc w:val="center"/>
        </w:trPr>
        <w:tc>
          <w:tcPr>
            <w:tcW w:w="3544" w:type="dxa"/>
            <w:tcBorders>
              <w:top w:val="single" w:sz="12" w:space="0" w:color="000000"/>
              <w:left w:val="nil"/>
              <w:bottom w:val="single" w:sz="12" w:space="0" w:color="000000"/>
              <w:right w:val="nil"/>
            </w:tcBorders>
          </w:tcPr>
          <w:p w14:paraId="093DE3F2" w14:textId="77777777" w:rsidR="00C94390" w:rsidRPr="006A4358" w:rsidRDefault="00C94390" w:rsidP="001B79ED">
            <w:pPr>
              <w:spacing w:before="240"/>
              <w:rPr>
                <w:rFonts w:ascii="Garamond" w:hAnsi="Garamond"/>
                <w:b/>
                <w:bCs/>
                <w:sz w:val="20"/>
                <w:szCs w:val="20"/>
              </w:rPr>
            </w:pPr>
            <w:r w:rsidRPr="006A4358">
              <w:rPr>
                <w:rFonts w:ascii="Garamond" w:hAnsi="Garamond"/>
                <w:b/>
                <w:bCs/>
                <w:sz w:val="20"/>
                <w:szCs w:val="20"/>
              </w:rPr>
              <w:t xml:space="preserve">Mathematics Anxiety </w:t>
            </w:r>
          </w:p>
        </w:tc>
        <w:tc>
          <w:tcPr>
            <w:tcW w:w="992" w:type="dxa"/>
            <w:tcBorders>
              <w:top w:val="single" w:sz="12" w:space="0" w:color="000000"/>
              <w:left w:val="nil"/>
              <w:bottom w:val="single" w:sz="12" w:space="0" w:color="000000"/>
              <w:right w:val="nil"/>
            </w:tcBorders>
          </w:tcPr>
          <w:p w14:paraId="265E79EE" w14:textId="77777777" w:rsidR="00C94390" w:rsidRPr="00525096" w:rsidRDefault="00C94390" w:rsidP="001B79ED">
            <w:pPr>
              <w:rPr>
                <w:rFonts w:ascii="Garamond" w:hAnsi="Garamond"/>
                <w:b/>
                <w:bCs/>
                <w:sz w:val="20"/>
                <w:szCs w:val="20"/>
              </w:rPr>
            </w:pPr>
          </w:p>
          <w:p w14:paraId="11787016"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.62027</w:t>
            </w:r>
          </w:p>
        </w:tc>
        <w:tc>
          <w:tcPr>
            <w:tcW w:w="1843" w:type="dxa"/>
            <w:tcBorders>
              <w:top w:val="single" w:sz="12" w:space="0" w:color="000000"/>
              <w:left w:val="nil"/>
              <w:bottom w:val="single" w:sz="12" w:space="0" w:color="000000"/>
              <w:right w:val="nil"/>
            </w:tcBorders>
          </w:tcPr>
          <w:p w14:paraId="5470C08D" w14:textId="77777777" w:rsidR="00C94390" w:rsidRPr="00525096" w:rsidRDefault="00C94390" w:rsidP="001B79ED">
            <w:pPr>
              <w:rPr>
                <w:rFonts w:ascii="Garamond" w:hAnsi="Garamond"/>
                <w:b/>
                <w:bCs/>
                <w:sz w:val="20"/>
                <w:szCs w:val="20"/>
              </w:rPr>
            </w:pPr>
          </w:p>
          <w:p w14:paraId="0497C2C9"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3.11</w:t>
            </w:r>
          </w:p>
        </w:tc>
        <w:tc>
          <w:tcPr>
            <w:tcW w:w="2647" w:type="dxa"/>
            <w:tcBorders>
              <w:top w:val="single" w:sz="12" w:space="0" w:color="000000"/>
              <w:left w:val="nil"/>
              <w:bottom w:val="single" w:sz="12" w:space="0" w:color="000000"/>
              <w:right w:val="nil"/>
            </w:tcBorders>
          </w:tcPr>
          <w:p w14:paraId="4D18392A" w14:textId="77777777" w:rsidR="00C94390" w:rsidRPr="00525096" w:rsidRDefault="00C94390" w:rsidP="001B79ED">
            <w:pPr>
              <w:rPr>
                <w:rFonts w:ascii="Garamond" w:hAnsi="Garamond"/>
                <w:b/>
                <w:bCs/>
                <w:sz w:val="20"/>
                <w:szCs w:val="20"/>
              </w:rPr>
            </w:pPr>
          </w:p>
          <w:p w14:paraId="3555D72D"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Moderate Level of Anxiety</w:t>
            </w:r>
          </w:p>
        </w:tc>
      </w:tr>
      <w:tr w:rsidR="00C94390" w:rsidRPr="006A4358" w14:paraId="1EF52AE1" w14:textId="77777777" w:rsidTr="001B79ED">
        <w:trPr>
          <w:jc w:val="center"/>
        </w:trPr>
        <w:tc>
          <w:tcPr>
            <w:tcW w:w="3544" w:type="dxa"/>
            <w:tcBorders>
              <w:top w:val="single" w:sz="12" w:space="0" w:color="000000"/>
              <w:left w:val="nil"/>
              <w:bottom w:val="nil"/>
              <w:right w:val="nil"/>
            </w:tcBorders>
          </w:tcPr>
          <w:p w14:paraId="012E1DC5"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Physiological                                                                              </w:t>
            </w:r>
          </w:p>
        </w:tc>
        <w:tc>
          <w:tcPr>
            <w:tcW w:w="992" w:type="dxa"/>
            <w:tcBorders>
              <w:top w:val="single" w:sz="12" w:space="0" w:color="000000"/>
              <w:left w:val="nil"/>
              <w:bottom w:val="nil"/>
              <w:right w:val="nil"/>
            </w:tcBorders>
          </w:tcPr>
          <w:p w14:paraId="6138CE2E" w14:textId="77777777" w:rsidR="00C94390" w:rsidRPr="006A4358" w:rsidRDefault="00C94390" w:rsidP="001B79ED">
            <w:pPr>
              <w:jc w:val="center"/>
              <w:rPr>
                <w:rFonts w:ascii="Garamond" w:hAnsi="Garamond"/>
                <w:sz w:val="20"/>
                <w:szCs w:val="20"/>
              </w:rPr>
            </w:pPr>
            <w:r w:rsidRPr="006A4358">
              <w:rPr>
                <w:rFonts w:ascii="Garamond" w:hAnsi="Garamond"/>
                <w:sz w:val="20"/>
                <w:szCs w:val="20"/>
              </w:rPr>
              <w:t>.60832</w:t>
            </w:r>
          </w:p>
        </w:tc>
        <w:tc>
          <w:tcPr>
            <w:tcW w:w="1843" w:type="dxa"/>
            <w:tcBorders>
              <w:top w:val="single" w:sz="12" w:space="0" w:color="000000"/>
              <w:left w:val="nil"/>
              <w:bottom w:val="nil"/>
              <w:right w:val="nil"/>
            </w:tcBorders>
          </w:tcPr>
          <w:p w14:paraId="5B4A9CB8" w14:textId="77777777" w:rsidR="00C94390" w:rsidRPr="006A4358" w:rsidRDefault="00C94390" w:rsidP="001B79ED">
            <w:pPr>
              <w:jc w:val="center"/>
              <w:rPr>
                <w:rFonts w:ascii="Garamond" w:hAnsi="Garamond"/>
                <w:sz w:val="20"/>
                <w:szCs w:val="20"/>
              </w:rPr>
            </w:pPr>
            <w:r w:rsidRPr="006A4358">
              <w:rPr>
                <w:rFonts w:ascii="Garamond" w:hAnsi="Garamond"/>
                <w:sz w:val="20"/>
                <w:szCs w:val="20"/>
              </w:rPr>
              <w:t>2.39</w:t>
            </w:r>
          </w:p>
        </w:tc>
        <w:tc>
          <w:tcPr>
            <w:tcW w:w="2647" w:type="dxa"/>
            <w:tcBorders>
              <w:top w:val="single" w:sz="12" w:space="0" w:color="000000"/>
              <w:left w:val="nil"/>
              <w:bottom w:val="nil"/>
              <w:right w:val="nil"/>
            </w:tcBorders>
          </w:tcPr>
          <w:p w14:paraId="586B1443" w14:textId="77777777" w:rsidR="00C94390" w:rsidRPr="006A4358" w:rsidRDefault="00C94390" w:rsidP="001B79ED">
            <w:pPr>
              <w:jc w:val="center"/>
              <w:rPr>
                <w:rFonts w:ascii="Garamond" w:hAnsi="Garamond"/>
                <w:sz w:val="20"/>
                <w:szCs w:val="20"/>
              </w:rPr>
            </w:pPr>
            <w:r w:rsidRPr="006A4358">
              <w:rPr>
                <w:rFonts w:ascii="Garamond" w:hAnsi="Garamond"/>
                <w:sz w:val="20"/>
                <w:szCs w:val="20"/>
              </w:rPr>
              <w:t>Low Level of Anxiety</w:t>
            </w:r>
          </w:p>
        </w:tc>
      </w:tr>
      <w:tr w:rsidR="00C94390" w:rsidRPr="006A4358" w14:paraId="3B795839" w14:textId="77777777" w:rsidTr="001B79ED">
        <w:trPr>
          <w:jc w:val="center"/>
        </w:trPr>
        <w:tc>
          <w:tcPr>
            <w:tcW w:w="3544" w:type="dxa"/>
            <w:tcBorders>
              <w:top w:val="nil"/>
              <w:left w:val="nil"/>
              <w:bottom w:val="nil"/>
              <w:right w:val="nil"/>
            </w:tcBorders>
          </w:tcPr>
          <w:p w14:paraId="3E7AB9BA"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Behavioral</w:t>
            </w:r>
          </w:p>
        </w:tc>
        <w:tc>
          <w:tcPr>
            <w:tcW w:w="992" w:type="dxa"/>
            <w:tcBorders>
              <w:top w:val="nil"/>
              <w:left w:val="nil"/>
              <w:bottom w:val="nil"/>
              <w:right w:val="nil"/>
            </w:tcBorders>
          </w:tcPr>
          <w:p w14:paraId="0533F30F" w14:textId="77777777" w:rsidR="00C94390" w:rsidRPr="006A4358" w:rsidRDefault="00C94390" w:rsidP="001B79ED">
            <w:pPr>
              <w:jc w:val="center"/>
              <w:rPr>
                <w:rFonts w:ascii="Garamond" w:hAnsi="Garamond"/>
                <w:sz w:val="20"/>
                <w:szCs w:val="20"/>
              </w:rPr>
            </w:pPr>
            <w:r w:rsidRPr="006A4358">
              <w:rPr>
                <w:rFonts w:ascii="Garamond" w:hAnsi="Garamond"/>
                <w:sz w:val="20"/>
                <w:szCs w:val="20"/>
              </w:rPr>
              <w:t>.94133</w:t>
            </w:r>
          </w:p>
        </w:tc>
        <w:tc>
          <w:tcPr>
            <w:tcW w:w="1843" w:type="dxa"/>
            <w:tcBorders>
              <w:top w:val="nil"/>
              <w:left w:val="nil"/>
              <w:bottom w:val="nil"/>
              <w:right w:val="nil"/>
            </w:tcBorders>
          </w:tcPr>
          <w:p w14:paraId="35003BCD" w14:textId="77777777" w:rsidR="00C94390" w:rsidRPr="006A4358" w:rsidRDefault="00C94390" w:rsidP="001B79ED">
            <w:pPr>
              <w:jc w:val="center"/>
              <w:rPr>
                <w:rFonts w:ascii="Garamond" w:hAnsi="Garamond"/>
                <w:sz w:val="20"/>
                <w:szCs w:val="20"/>
              </w:rPr>
            </w:pPr>
            <w:r w:rsidRPr="006A4358">
              <w:rPr>
                <w:rFonts w:ascii="Garamond" w:hAnsi="Garamond"/>
                <w:sz w:val="20"/>
                <w:szCs w:val="20"/>
              </w:rPr>
              <w:t>2.78</w:t>
            </w:r>
          </w:p>
        </w:tc>
        <w:tc>
          <w:tcPr>
            <w:tcW w:w="2647" w:type="dxa"/>
            <w:tcBorders>
              <w:top w:val="nil"/>
              <w:left w:val="nil"/>
              <w:bottom w:val="nil"/>
              <w:right w:val="nil"/>
            </w:tcBorders>
          </w:tcPr>
          <w:p w14:paraId="6502E789" w14:textId="77777777" w:rsidR="00C94390" w:rsidRPr="006A4358" w:rsidRDefault="00C94390" w:rsidP="001B79ED">
            <w:pPr>
              <w:jc w:val="center"/>
              <w:rPr>
                <w:rFonts w:ascii="Garamond" w:hAnsi="Garamond"/>
                <w:sz w:val="20"/>
                <w:szCs w:val="20"/>
              </w:rPr>
            </w:pPr>
            <w:r w:rsidRPr="006A4358">
              <w:rPr>
                <w:rFonts w:ascii="Garamond" w:hAnsi="Garamond"/>
                <w:sz w:val="20"/>
                <w:szCs w:val="20"/>
              </w:rPr>
              <w:t>Moderate Level of Anxiety</w:t>
            </w:r>
          </w:p>
        </w:tc>
      </w:tr>
      <w:tr w:rsidR="00C94390" w:rsidRPr="006A4358" w14:paraId="04DCF3EE" w14:textId="77777777" w:rsidTr="001B79ED">
        <w:trPr>
          <w:jc w:val="center"/>
        </w:trPr>
        <w:tc>
          <w:tcPr>
            <w:tcW w:w="3544" w:type="dxa"/>
            <w:tcBorders>
              <w:top w:val="nil"/>
              <w:left w:val="nil"/>
              <w:bottom w:val="nil"/>
              <w:right w:val="nil"/>
            </w:tcBorders>
          </w:tcPr>
          <w:p w14:paraId="393A5A4D"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Cognitive</w:t>
            </w:r>
          </w:p>
        </w:tc>
        <w:tc>
          <w:tcPr>
            <w:tcW w:w="992" w:type="dxa"/>
            <w:tcBorders>
              <w:top w:val="nil"/>
              <w:left w:val="nil"/>
              <w:bottom w:val="nil"/>
              <w:right w:val="nil"/>
            </w:tcBorders>
          </w:tcPr>
          <w:p w14:paraId="0EA6FC6A" w14:textId="77777777" w:rsidR="00C94390" w:rsidRPr="006A4358" w:rsidRDefault="00C94390" w:rsidP="001B79ED">
            <w:pPr>
              <w:jc w:val="center"/>
              <w:rPr>
                <w:rFonts w:ascii="Garamond" w:hAnsi="Garamond"/>
                <w:sz w:val="20"/>
                <w:szCs w:val="20"/>
              </w:rPr>
            </w:pPr>
            <w:r w:rsidRPr="006A4358">
              <w:rPr>
                <w:rFonts w:ascii="Garamond" w:hAnsi="Garamond"/>
                <w:sz w:val="20"/>
                <w:szCs w:val="20"/>
              </w:rPr>
              <w:t>.73283</w:t>
            </w:r>
          </w:p>
        </w:tc>
        <w:tc>
          <w:tcPr>
            <w:tcW w:w="1843" w:type="dxa"/>
            <w:tcBorders>
              <w:top w:val="nil"/>
              <w:left w:val="nil"/>
              <w:bottom w:val="nil"/>
              <w:right w:val="nil"/>
            </w:tcBorders>
          </w:tcPr>
          <w:p w14:paraId="372E2A14"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3.41</w:t>
            </w:r>
          </w:p>
        </w:tc>
        <w:tc>
          <w:tcPr>
            <w:tcW w:w="2647" w:type="dxa"/>
            <w:tcBorders>
              <w:top w:val="nil"/>
              <w:left w:val="nil"/>
              <w:bottom w:val="nil"/>
              <w:right w:val="nil"/>
            </w:tcBorders>
          </w:tcPr>
          <w:p w14:paraId="01110441"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Level of Anxiety</w:t>
            </w:r>
          </w:p>
        </w:tc>
      </w:tr>
      <w:tr w:rsidR="00C94390" w:rsidRPr="006A4358" w14:paraId="5F315D18" w14:textId="77777777" w:rsidTr="001B79ED">
        <w:trPr>
          <w:trHeight w:val="378"/>
          <w:jc w:val="center"/>
        </w:trPr>
        <w:tc>
          <w:tcPr>
            <w:tcW w:w="3544" w:type="dxa"/>
            <w:tcBorders>
              <w:top w:val="nil"/>
              <w:left w:val="nil"/>
              <w:bottom w:val="single" w:sz="12" w:space="0" w:color="000000"/>
              <w:right w:val="nil"/>
            </w:tcBorders>
          </w:tcPr>
          <w:p w14:paraId="2B869B6C" w14:textId="77777777" w:rsidR="00C94390" w:rsidRPr="006A4358" w:rsidRDefault="00C94390" w:rsidP="001B79ED">
            <w:pPr>
              <w:rPr>
                <w:rFonts w:ascii="Garamond" w:hAnsi="Garamond"/>
                <w:sz w:val="20"/>
                <w:szCs w:val="20"/>
              </w:rPr>
            </w:pPr>
            <w:r w:rsidRPr="006A4358">
              <w:rPr>
                <w:rFonts w:ascii="Garamond" w:hAnsi="Garamond"/>
                <w:sz w:val="20"/>
                <w:szCs w:val="20"/>
              </w:rPr>
              <w:lastRenderedPageBreak/>
              <w:t xml:space="preserve">     Affective</w:t>
            </w:r>
          </w:p>
        </w:tc>
        <w:tc>
          <w:tcPr>
            <w:tcW w:w="992" w:type="dxa"/>
            <w:tcBorders>
              <w:top w:val="nil"/>
              <w:left w:val="nil"/>
              <w:bottom w:val="single" w:sz="12" w:space="0" w:color="000000"/>
              <w:right w:val="nil"/>
            </w:tcBorders>
          </w:tcPr>
          <w:p w14:paraId="660558C7" w14:textId="77777777" w:rsidR="00C94390" w:rsidRPr="006A4358" w:rsidRDefault="00C94390" w:rsidP="001B79ED">
            <w:pPr>
              <w:jc w:val="center"/>
              <w:rPr>
                <w:rFonts w:ascii="Garamond" w:hAnsi="Garamond"/>
                <w:sz w:val="20"/>
                <w:szCs w:val="20"/>
              </w:rPr>
            </w:pPr>
            <w:r w:rsidRPr="006A4358">
              <w:rPr>
                <w:rFonts w:ascii="Garamond" w:hAnsi="Garamond"/>
                <w:sz w:val="20"/>
                <w:szCs w:val="20"/>
              </w:rPr>
              <w:t>.95568</w:t>
            </w:r>
          </w:p>
        </w:tc>
        <w:tc>
          <w:tcPr>
            <w:tcW w:w="1843" w:type="dxa"/>
            <w:tcBorders>
              <w:top w:val="nil"/>
              <w:left w:val="nil"/>
              <w:bottom w:val="single" w:sz="12" w:space="0" w:color="000000"/>
              <w:right w:val="nil"/>
            </w:tcBorders>
          </w:tcPr>
          <w:p w14:paraId="762BC356"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3.87</w:t>
            </w:r>
          </w:p>
        </w:tc>
        <w:tc>
          <w:tcPr>
            <w:tcW w:w="2647" w:type="dxa"/>
            <w:tcBorders>
              <w:top w:val="nil"/>
              <w:left w:val="nil"/>
              <w:bottom w:val="single" w:sz="12" w:space="0" w:color="000000"/>
              <w:right w:val="nil"/>
            </w:tcBorders>
          </w:tcPr>
          <w:p w14:paraId="07F1B820"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Level of Anxiety</w:t>
            </w:r>
          </w:p>
        </w:tc>
      </w:tr>
      <w:tr w:rsidR="00C94390" w:rsidRPr="006A4358" w14:paraId="27A19898" w14:textId="77777777" w:rsidTr="001B79ED">
        <w:trPr>
          <w:trHeight w:val="153"/>
          <w:jc w:val="center"/>
        </w:trPr>
        <w:tc>
          <w:tcPr>
            <w:tcW w:w="3544" w:type="dxa"/>
            <w:tcBorders>
              <w:top w:val="single" w:sz="12" w:space="0" w:color="000000"/>
              <w:left w:val="nil"/>
              <w:bottom w:val="single" w:sz="12" w:space="0" w:color="000000"/>
              <w:right w:val="nil"/>
            </w:tcBorders>
          </w:tcPr>
          <w:p w14:paraId="03CD47C6" w14:textId="453A1B02" w:rsidR="00C94390" w:rsidRPr="006A4358" w:rsidRDefault="00525096" w:rsidP="001B79ED">
            <w:pPr>
              <w:rPr>
                <w:rFonts w:ascii="Garamond" w:hAnsi="Garamond"/>
                <w:b/>
                <w:bCs/>
                <w:sz w:val="20"/>
                <w:szCs w:val="20"/>
              </w:rPr>
            </w:pPr>
            <w:r>
              <w:rPr>
                <w:rFonts w:ascii="Garamond" w:hAnsi="Garamond"/>
                <w:b/>
                <w:bCs/>
                <w:sz w:val="20"/>
                <w:szCs w:val="20"/>
              </w:rPr>
              <w:t>Self–Efficacy</w:t>
            </w:r>
            <w:r w:rsidR="00C94390" w:rsidRPr="006A4358">
              <w:rPr>
                <w:rFonts w:ascii="Garamond" w:hAnsi="Garamond"/>
                <w:b/>
                <w:bCs/>
                <w:sz w:val="20"/>
                <w:szCs w:val="20"/>
              </w:rPr>
              <w:t xml:space="preserve"> </w:t>
            </w:r>
          </w:p>
        </w:tc>
        <w:tc>
          <w:tcPr>
            <w:tcW w:w="992" w:type="dxa"/>
            <w:tcBorders>
              <w:top w:val="single" w:sz="12" w:space="0" w:color="000000"/>
              <w:left w:val="nil"/>
              <w:bottom w:val="single" w:sz="12" w:space="0" w:color="000000"/>
              <w:right w:val="nil"/>
            </w:tcBorders>
          </w:tcPr>
          <w:p w14:paraId="7547398A"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.38773</w:t>
            </w:r>
          </w:p>
        </w:tc>
        <w:tc>
          <w:tcPr>
            <w:tcW w:w="1843" w:type="dxa"/>
            <w:tcBorders>
              <w:top w:val="single" w:sz="12" w:space="0" w:color="000000"/>
              <w:left w:val="nil"/>
              <w:bottom w:val="single" w:sz="12" w:space="0" w:color="000000"/>
              <w:right w:val="nil"/>
            </w:tcBorders>
          </w:tcPr>
          <w:p w14:paraId="48774F54"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3.71</w:t>
            </w:r>
          </w:p>
        </w:tc>
        <w:tc>
          <w:tcPr>
            <w:tcW w:w="2647" w:type="dxa"/>
            <w:tcBorders>
              <w:top w:val="single" w:sz="12" w:space="0" w:color="000000"/>
              <w:left w:val="nil"/>
              <w:bottom w:val="single" w:sz="12" w:space="0" w:color="000000"/>
              <w:right w:val="nil"/>
            </w:tcBorders>
          </w:tcPr>
          <w:p w14:paraId="242B2E72" w14:textId="77777777" w:rsidR="00C94390" w:rsidRPr="00525096" w:rsidRDefault="00C94390" w:rsidP="001B79ED">
            <w:pPr>
              <w:jc w:val="center"/>
              <w:rPr>
                <w:rFonts w:ascii="Garamond" w:hAnsi="Garamond"/>
                <w:b/>
                <w:bCs/>
                <w:sz w:val="20"/>
                <w:szCs w:val="20"/>
              </w:rPr>
            </w:pPr>
            <w:r w:rsidRPr="00525096">
              <w:rPr>
                <w:rFonts w:ascii="Garamond" w:hAnsi="Garamond"/>
                <w:b/>
                <w:bCs/>
                <w:sz w:val="20"/>
                <w:szCs w:val="20"/>
              </w:rPr>
              <w:t>High Self-Efficacy</w:t>
            </w:r>
          </w:p>
        </w:tc>
      </w:tr>
      <w:tr w:rsidR="00C94390" w:rsidRPr="006A4358" w14:paraId="4B098324" w14:textId="77777777" w:rsidTr="001B79ED">
        <w:trPr>
          <w:trHeight w:val="153"/>
          <w:jc w:val="center"/>
        </w:trPr>
        <w:tc>
          <w:tcPr>
            <w:tcW w:w="3544" w:type="dxa"/>
            <w:tcBorders>
              <w:top w:val="single" w:sz="12" w:space="0" w:color="000000"/>
              <w:left w:val="nil"/>
              <w:bottom w:val="nil"/>
              <w:right w:val="nil"/>
            </w:tcBorders>
          </w:tcPr>
          <w:p w14:paraId="7D67B623"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Mastery Experiences </w:t>
            </w:r>
          </w:p>
        </w:tc>
        <w:tc>
          <w:tcPr>
            <w:tcW w:w="992" w:type="dxa"/>
            <w:tcBorders>
              <w:top w:val="single" w:sz="12" w:space="0" w:color="000000"/>
              <w:left w:val="nil"/>
              <w:bottom w:val="nil"/>
              <w:right w:val="nil"/>
            </w:tcBorders>
          </w:tcPr>
          <w:p w14:paraId="0EC36264" w14:textId="77777777" w:rsidR="00C94390" w:rsidRPr="006A4358" w:rsidRDefault="00C94390" w:rsidP="001B79ED">
            <w:pPr>
              <w:jc w:val="center"/>
              <w:rPr>
                <w:rFonts w:ascii="Garamond" w:hAnsi="Garamond"/>
                <w:sz w:val="20"/>
                <w:szCs w:val="20"/>
              </w:rPr>
            </w:pPr>
            <w:r w:rsidRPr="006A4358">
              <w:rPr>
                <w:rFonts w:ascii="Garamond" w:hAnsi="Garamond"/>
                <w:sz w:val="20"/>
                <w:szCs w:val="20"/>
              </w:rPr>
              <w:t>.51991</w:t>
            </w:r>
          </w:p>
        </w:tc>
        <w:tc>
          <w:tcPr>
            <w:tcW w:w="1843" w:type="dxa"/>
            <w:tcBorders>
              <w:top w:val="single" w:sz="12" w:space="0" w:color="000000"/>
              <w:left w:val="nil"/>
              <w:bottom w:val="nil"/>
              <w:right w:val="nil"/>
            </w:tcBorders>
          </w:tcPr>
          <w:p w14:paraId="78A24B99"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3.73</w:t>
            </w:r>
          </w:p>
        </w:tc>
        <w:tc>
          <w:tcPr>
            <w:tcW w:w="2647" w:type="dxa"/>
            <w:tcBorders>
              <w:top w:val="single" w:sz="12" w:space="0" w:color="000000"/>
              <w:left w:val="nil"/>
              <w:bottom w:val="nil"/>
              <w:right w:val="nil"/>
            </w:tcBorders>
          </w:tcPr>
          <w:p w14:paraId="053B3268"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Self-Efficacy</w:t>
            </w:r>
          </w:p>
        </w:tc>
      </w:tr>
      <w:tr w:rsidR="00C94390" w:rsidRPr="006A4358" w14:paraId="534B8946" w14:textId="77777777" w:rsidTr="001B79ED">
        <w:trPr>
          <w:trHeight w:val="153"/>
          <w:jc w:val="center"/>
        </w:trPr>
        <w:tc>
          <w:tcPr>
            <w:tcW w:w="3544" w:type="dxa"/>
            <w:tcBorders>
              <w:top w:val="nil"/>
              <w:left w:val="nil"/>
              <w:bottom w:val="nil"/>
              <w:right w:val="nil"/>
            </w:tcBorders>
          </w:tcPr>
          <w:p w14:paraId="46F8E13B"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Vicarious Experiences </w:t>
            </w:r>
          </w:p>
        </w:tc>
        <w:tc>
          <w:tcPr>
            <w:tcW w:w="992" w:type="dxa"/>
            <w:tcBorders>
              <w:top w:val="nil"/>
              <w:left w:val="nil"/>
              <w:bottom w:val="nil"/>
              <w:right w:val="nil"/>
            </w:tcBorders>
          </w:tcPr>
          <w:p w14:paraId="54E57684" w14:textId="77777777" w:rsidR="00C94390" w:rsidRPr="006A4358" w:rsidRDefault="00C94390" w:rsidP="001B79ED">
            <w:pPr>
              <w:jc w:val="center"/>
              <w:rPr>
                <w:rFonts w:ascii="Garamond" w:hAnsi="Garamond"/>
                <w:sz w:val="20"/>
                <w:szCs w:val="20"/>
              </w:rPr>
            </w:pPr>
            <w:r w:rsidRPr="006A4358">
              <w:rPr>
                <w:rFonts w:ascii="Garamond" w:hAnsi="Garamond"/>
                <w:sz w:val="20"/>
                <w:szCs w:val="20"/>
              </w:rPr>
              <w:t>.67487</w:t>
            </w:r>
          </w:p>
        </w:tc>
        <w:tc>
          <w:tcPr>
            <w:tcW w:w="1843" w:type="dxa"/>
            <w:tcBorders>
              <w:top w:val="nil"/>
              <w:left w:val="nil"/>
              <w:bottom w:val="nil"/>
              <w:right w:val="nil"/>
            </w:tcBorders>
          </w:tcPr>
          <w:p w14:paraId="020076E1"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3.93</w:t>
            </w:r>
          </w:p>
        </w:tc>
        <w:tc>
          <w:tcPr>
            <w:tcW w:w="2647" w:type="dxa"/>
            <w:tcBorders>
              <w:top w:val="nil"/>
              <w:left w:val="nil"/>
              <w:bottom w:val="nil"/>
              <w:right w:val="nil"/>
            </w:tcBorders>
          </w:tcPr>
          <w:p w14:paraId="66DD4FCE"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Self-Efficacy</w:t>
            </w:r>
          </w:p>
        </w:tc>
      </w:tr>
      <w:tr w:rsidR="00C94390" w:rsidRPr="006A4358" w14:paraId="2283327E" w14:textId="77777777" w:rsidTr="001B79ED">
        <w:trPr>
          <w:trHeight w:val="153"/>
          <w:jc w:val="center"/>
        </w:trPr>
        <w:tc>
          <w:tcPr>
            <w:tcW w:w="3544" w:type="dxa"/>
            <w:tcBorders>
              <w:top w:val="nil"/>
              <w:left w:val="nil"/>
              <w:bottom w:val="nil"/>
              <w:right w:val="nil"/>
            </w:tcBorders>
          </w:tcPr>
          <w:p w14:paraId="13DE2171"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Social Persuasion </w:t>
            </w:r>
          </w:p>
        </w:tc>
        <w:tc>
          <w:tcPr>
            <w:tcW w:w="992" w:type="dxa"/>
            <w:tcBorders>
              <w:top w:val="nil"/>
              <w:left w:val="nil"/>
              <w:bottom w:val="nil"/>
              <w:right w:val="nil"/>
            </w:tcBorders>
          </w:tcPr>
          <w:p w14:paraId="4BB5ABD0" w14:textId="77777777" w:rsidR="00C94390" w:rsidRPr="006A4358" w:rsidRDefault="00C94390" w:rsidP="001B79ED">
            <w:pPr>
              <w:jc w:val="center"/>
              <w:rPr>
                <w:rFonts w:ascii="Garamond" w:hAnsi="Garamond"/>
                <w:sz w:val="20"/>
                <w:szCs w:val="20"/>
              </w:rPr>
            </w:pPr>
            <w:r w:rsidRPr="006A4358">
              <w:rPr>
                <w:rFonts w:ascii="Garamond" w:hAnsi="Garamond"/>
                <w:sz w:val="20"/>
                <w:szCs w:val="20"/>
              </w:rPr>
              <w:t>.80129</w:t>
            </w:r>
          </w:p>
        </w:tc>
        <w:tc>
          <w:tcPr>
            <w:tcW w:w="1843" w:type="dxa"/>
            <w:tcBorders>
              <w:top w:val="nil"/>
              <w:left w:val="nil"/>
              <w:bottom w:val="nil"/>
              <w:right w:val="nil"/>
            </w:tcBorders>
          </w:tcPr>
          <w:p w14:paraId="138D3A82"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3.60</w:t>
            </w:r>
          </w:p>
        </w:tc>
        <w:tc>
          <w:tcPr>
            <w:tcW w:w="2647" w:type="dxa"/>
            <w:tcBorders>
              <w:top w:val="nil"/>
              <w:left w:val="nil"/>
              <w:bottom w:val="nil"/>
              <w:right w:val="nil"/>
            </w:tcBorders>
          </w:tcPr>
          <w:p w14:paraId="2C0A4EF1"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Self-Efficacy</w:t>
            </w:r>
          </w:p>
        </w:tc>
      </w:tr>
      <w:tr w:rsidR="00C94390" w:rsidRPr="006A4358" w14:paraId="3453171E" w14:textId="77777777" w:rsidTr="001B79ED">
        <w:trPr>
          <w:trHeight w:val="153"/>
          <w:jc w:val="center"/>
        </w:trPr>
        <w:tc>
          <w:tcPr>
            <w:tcW w:w="3544" w:type="dxa"/>
            <w:tcBorders>
              <w:top w:val="nil"/>
              <w:left w:val="nil"/>
              <w:bottom w:val="single" w:sz="12" w:space="0" w:color="auto"/>
              <w:right w:val="nil"/>
            </w:tcBorders>
          </w:tcPr>
          <w:p w14:paraId="1E34D56E" w14:textId="77777777" w:rsidR="00C94390" w:rsidRPr="006A4358" w:rsidRDefault="00C94390" w:rsidP="001B79ED">
            <w:pPr>
              <w:rPr>
                <w:rFonts w:ascii="Garamond" w:hAnsi="Garamond"/>
                <w:sz w:val="20"/>
                <w:szCs w:val="20"/>
              </w:rPr>
            </w:pPr>
            <w:r w:rsidRPr="006A4358">
              <w:rPr>
                <w:rFonts w:ascii="Garamond" w:hAnsi="Garamond"/>
                <w:sz w:val="20"/>
                <w:szCs w:val="20"/>
              </w:rPr>
              <w:t xml:space="preserve">      Physiological Factor </w:t>
            </w:r>
          </w:p>
        </w:tc>
        <w:tc>
          <w:tcPr>
            <w:tcW w:w="992" w:type="dxa"/>
            <w:tcBorders>
              <w:top w:val="nil"/>
              <w:left w:val="nil"/>
              <w:bottom w:val="single" w:sz="12" w:space="0" w:color="auto"/>
              <w:right w:val="nil"/>
            </w:tcBorders>
          </w:tcPr>
          <w:p w14:paraId="6BECA5A4" w14:textId="77777777" w:rsidR="00C94390" w:rsidRPr="006A4358" w:rsidRDefault="00C94390" w:rsidP="001B79ED">
            <w:pPr>
              <w:jc w:val="center"/>
              <w:rPr>
                <w:rFonts w:ascii="Garamond" w:hAnsi="Garamond"/>
                <w:sz w:val="20"/>
                <w:szCs w:val="20"/>
              </w:rPr>
            </w:pPr>
            <w:r w:rsidRPr="006A4358">
              <w:rPr>
                <w:rFonts w:ascii="Garamond" w:hAnsi="Garamond"/>
                <w:sz w:val="20"/>
                <w:szCs w:val="20"/>
              </w:rPr>
              <w:t>.99253</w:t>
            </w:r>
          </w:p>
        </w:tc>
        <w:tc>
          <w:tcPr>
            <w:tcW w:w="1843" w:type="dxa"/>
            <w:tcBorders>
              <w:top w:val="nil"/>
              <w:left w:val="nil"/>
              <w:bottom w:val="single" w:sz="12" w:space="0" w:color="auto"/>
              <w:right w:val="nil"/>
            </w:tcBorders>
          </w:tcPr>
          <w:p w14:paraId="709B65C2" w14:textId="77777777" w:rsidR="00C94390" w:rsidRPr="006A4358" w:rsidRDefault="00C94390" w:rsidP="001B79ED">
            <w:pPr>
              <w:jc w:val="center"/>
              <w:rPr>
                <w:rFonts w:ascii="Garamond" w:hAnsi="Garamond"/>
                <w:sz w:val="20"/>
                <w:szCs w:val="20"/>
              </w:rPr>
            </w:pPr>
            <w:r w:rsidRPr="006A4358">
              <w:rPr>
                <w:rFonts w:ascii="Garamond" w:hAnsi="Garamond"/>
                <w:sz w:val="20"/>
                <w:szCs w:val="20"/>
              </w:rPr>
              <w:t>3.56</w:t>
            </w:r>
          </w:p>
        </w:tc>
        <w:tc>
          <w:tcPr>
            <w:tcW w:w="2647" w:type="dxa"/>
            <w:tcBorders>
              <w:top w:val="nil"/>
              <w:left w:val="nil"/>
              <w:bottom w:val="single" w:sz="12" w:space="0" w:color="auto"/>
              <w:right w:val="nil"/>
            </w:tcBorders>
          </w:tcPr>
          <w:p w14:paraId="149BB3F2" w14:textId="77777777" w:rsidR="00C94390" w:rsidRPr="006A4358" w:rsidRDefault="00C94390" w:rsidP="001B79ED">
            <w:pPr>
              <w:jc w:val="center"/>
              <w:rPr>
                <w:rFonts w:ascii="Garamond" w:hAnsi="Garamond"/>
                <w:sz w:val="20"/>
                <w:szCs w:val="20"/>
              </w:rPr>
            </w:pPr>
            <w:r w:rsidRPr="006A4358">
              <w:rPr>
                <w:rFonts w:ascii="Garamond" w:hAnsi="Garamond"/>
                <w:sz w:val="20"/>
                <w:szCs w:val="20"/>
              </w:rPr>
              <w:t>High Self-Efficacy</w:t>
            </w:r>
          </w:p>
        </w:tc>
      </w:tr>
      <w:tr w:rsidR="00C94390" w:rsidRPr="006A4358" w14:paraId="4F139099" w14:textId="77777777" w:rsidTr="001B79ED">
        <w:trPr>
          <w:trHeight w:val="240"/>
          <w:jc w:val="center"/>
        </w:trPr>
        <w:tc>
          <w:tcPr>
            <w:tcW w:w="3544" w:type="dxa"/>
            <w:tcBorders>
              <w:top w:val="single" w:sz="12" w:space="0" w:color="000000"/>
              <w:left w:val="nil"/>
              <w:bottom w:val="single" w:sz="12" w:space="0" w:color="000000"/>
              <w:right w:val="nil"/>
            </w:tcBorders>
          </w:tcPr>
          <w:p w14:paraId="72AAA952" w14:textId="77777777" w:rsidR="00C94390" w:rsidRPr="006A4358" w:rsidRDefault="00C94390" w:rsidP="001B79ED">
            <w:pPr>
              <w:rPr>
                <w:rFonts w:ascii="Garamond" w:hAnsi="Garamond"/>
                <w:b/>
                <w:bCs/>
                <w:sz w:val="20"/>
                <w:szCs w:val="20"/>
              </w:rPr>
            </w:pPr>
            <w:r w:rsidRPr="006A4358">
              <w:rPr>
                <w:rFonts w:ascii="Garamond" w:hAnsi="Garamond"/>
                <w:b/>
                <w:bCs/>
                <w:sz w:val="20"/>
                <w:szCs w:val="20"/>
              </w:rPr>
              <w:t xml:space="preserve">Mathematics Performance </w:t>
            </w:r>
          </w:p>
        </w:tc>
        <w:tc>
          <w:tcPr>
            <w:tcW w:w="992" w:type="dxa"/>
            <w:tcBorders>
              <w:top w:val="single" w:sz="12" w:space="0" w:color="000000"/>
              <w:left w:val="nil"/>
              <w:bottom w:val="single" w:sz="12" w:space="0" w:color="000000"/>
              <w:right w:val="nil"/>
            </w:tcBorders>
          </w:tcPr>
          <w:p w14:paraId="182E9D50" w14:textId="77777777" w:rsidR="00C94390" w:rsidRPr="006A4358" w:rsidRDefault="00C94390" w:rsidP="001B79ED">
            <w:pPr>
              <w:jc w:val="center"/>
              <w:rPr>
                <w:rFonts w:ascii="Garamond" w:hAnsi="Garamond"/>
                <w:sz w:val="20"/>
                <w:szCs w:val="20"/>
              </w:rPr>
            </w:pPr>
            <w:r w:rsidRPr="006A4358">
              <w:rPr>
                <w:rFonts w:ascii="Garamond" w:hAnsi="Garamond"/>
                <w:sz w:val="20"/>
                <w:szCs w:val="20"/>
              </w:rPr>
              <w:t>4.83953</w:t>
            </w:r>
          </w:p>
        </w:tc>
        <w:tc>
          <w:tcPr>
            <w:tcW w:w="1843" w:type="dxa"/>
            <w:tcBorders>
              <w:top w:val="single" w:sz="12" w:space="0" w:color="000000"/>
              <w:left w:val="nil"/>
              <w:bottom w:val="single" w:sz="12" w:space="0" w:color="000000"/>
              <w:right w:val="nil"/>
            </w:tcBorders>
          </w:tcPr>
          <w:p w14:paraId="4F55B68A" w14:textId="77777777" w:rsidR="00C94390" w:rsidRPr="006A4358" w:rsidRDefault="00C94390" w:rsidP="001B79ED">
            <w:pPr>
              <w:jc w:val="center"/>
              <w:rPr>
                <w:rFonts w:ascii="Garamond" w:hAnsi="Garamond"/>
                <w:sz w:val="20"/>
                <w:szCs w:val="20"/>
              </w:rPr>
            </w:pPr>
            <w:r w:rsidRPr="006A4358">
              <w:rPr>
                <w:rFonts w:ascii="Garamond" w:hAnsi="Garamond"/>
                <w:sz w:val="20"/>
                <w:szCs w:val="20"/>
              </w:rPr>
              <w:t>86.99</w:t>
            </w:r>
          </w:p>
        </w:tc>
        <w:tc>
          <w:tcPr>
            <w:tcW w:w="2647" w:type="dxa"/>
            <w:tcBorders>
              <w:top w:val="single" w:sz="12" w:space="0" w:color="000000"/>
              <w:left w:val="nil"/>
              <w:bottom w:val="single" w:sz="12" w:space="0" w:color="000000"/>
              <w:right w:val="nil"/>
            </w:tcBorders>
          </w:tcPr>
          <w:p w14:paraId="2648B9FB" w14:textId="77777777" w:rsidR="00C94390" w:rsidRPr="006A4358" w:rsidRDefault="00C94390" w:rsidP="001B79ED">
            <w:pPr>
              <w:jc w:val="center"/>
              <w:rPr>
                <w:rFonts w:ascii="Garamond" w:hAnsi="Garamond"/>
                <w:sz w:val="20"/>
                <w:szCs w:val="20"/>
              </w:rPr>
            </w:pPr>
            <w:r w:rsidRPr="006A4358">
              <w:rPr>
                <w:rFonts w:ascii="Garamond" w:hAnsi="Garamond"/>
                <w:sz w:val="20"/>
                <w:szCs w:val="20"/>
              </w:rPr>
              <w:t>Very Satisfactory</w:t>
            </w:r>
          </w:p>
        </w:tc>
      </w:tr>
    </w:tbl>
    <w:p w14:paraId="60FC03A5" w14:textId="744E19BA" w:rsidR="00C94390" w:rsidRDefault="009F3AC7" w:rsidP="006648CF">
      <w:pPr>
        <w:spacing w:before="240" w:after="240" w:line="240" w:lineRule="auto"/>
        <w:ind w:firstLine="720"/>
        <w:jc w:val="both"/>
        <w:rPr>
          <w:rFonts w:ascii="Garamond" w:hAnsi="Garamond" w:cs="Times New Roman"/>
          <w:bCs/>
          <w:color w:val="000000" w:themeColor="text1"/>
          <w:sz w:val="20"/>
          <w:szCs w:val="20"/>
        </w:rPr>
      </w:pPr>
      <w:bookmarkStart w:id="5" w:name="_Hlk198418343"/>
      <w:r w:rsidRPr="009C1D03">
        <w:rPr>
          <w:rFonts w:ascii="Garamond" w:hAnsi="Garamond" w:cs="Times New Roman"/>
          <w:bCs/>
          <w:color w:val="000000"/>
          <w:sz w:val="20"/>
          <w:szCs w:val="20"/>
          <w:lang w:val="en-US"/>
        </w:rPr>
        <w:t xml:space="preserve">Table 1 presents an analysis of descriptive statistics aimed at exploring students' attitudes and experiences concerning their performance in mathematics. The examination encompassed multiple dimensions assessed among 172 participants. </w:t>
      </w:r>
      <w:r w:rsidR="001C3E91" w:rsidRPr="001C3E91">
        <w:rPr>
          <w:rFonts w:ascii="Garamond" w:hAnsi="Garamond" w:cs="Times New Roman"/>
          <w:bCs/>
          <w:color w:val="000000" w:themeColor="text1"/>
          <w:sz w:val="20"/>
          <w:szCs w:val="20"/>
        </w:rPr>
        <w:t xml:space="preserve">Mathematics Anxiety showed moderate levels overall (M = 3.11, SD = 0.62), with Affective anxiety demonstrating the highest intensity (M = 3.87, SD = 0.96), indicating students experience significant emotional responses to mathematical tasks. Cognitive anxiety was moderately high (M = 3.41, SD = 0.74), suggesting considerable worry about mathematical problem-solving. </w:t>
      </w:r>
      <w:proofErr w:type="spellStart"/>
      <w:r w:rsidR="0014251E" w:rsidRPr="0027333C">
        <w:rPr>
          <w:rFonts w:ascii="Garamond" w:hAnsi="Garamond" w:cs="Times New Roman"/>
          <w:bCs/>
          <w:color w:val="000000" w:themeColor="text1"/>
          <w:sz w:val="20"/>
          <w:szCs w:val="20"/>
          <w:highlight w:val="yellow"/>
        </w:rPr>
        <w:t>Behavioural</w:t>
      </w:r>
      <w:proofErr w:type="spellEnd"/>
      <w:r w:rsidR="0014251E" w:rsidRPr="001C3E91">
        <w:rPr>
          <w:rFonts w:ascii="Garamond" w:hAnsi="Garamond" w:cs="Times New Roman"/>
          <w:bCs/>
          <w:color w:val="000000" w:themeColor="text1"/>
          <w:sz w:val="20"/>
          <w:szCs w:val="20"/>
        </w:rPr>
        <w:t xml:space="preserve"> </w:t>
      </w:r>
      <w:r w:rsidR="001C3E91" w:rsidRPr="001C3E91">
        <w:rPr>
          <w:rFonts w:ascii="Garamond" w:hAnsi="Garamond" w:cs="Times New Roman"/>
          <w:bCs/>
          <w:color w:val="000000" w:themeColor="text1"/>
          <w:sz w:val="20"/>
          <w:szCs w:val="20"/>
        </w:rPr>
        <w:t xml:space="preserve">anxiety (M = 2.78, SD = 0.94) and Physiological anxiety (M = 2.39, SD = 0.61) showed lower levels, indicating less avoidance </w:t>
      </w:r>
      <w:proofErr w:type="spellStart"/>
      <w:r w:rsidR="0014251E" w:rsidRPr="0027333C">
        <w:rPr>
          <w:rFonts w:ascii="Garamond" w:hAnsi="Garamond" w:cs="Times New Roman"/>
          <w:bCs/>
          <w:color w:val="000000" w:themeColor="text1"/>
          <w:sz w:val="20"/>
          <w:szCs w:val="20"/>
          <w:highlight w:val="yellow"/>
        </w:rPr>
        <w:t>behaviour</w:t>
      </w:r>
      <w:proofErr w:type="spellEnd"/>
      <w:r w:rsidR="0014251E" w:rsidRPr="001C3E91">
        <w:rPr>
          <w:rFonts w:ascii="Garamond" w:hAnsi="Garamond" w:cs="Times New Roman"/>
          <w:bCs/>
          <w:color w:val="000000" w:themeColor="text1"/>
          <w:sz w:val="20"/>
          <w:szCs w:val="20"/>
        </w:rPr>
        <w:t xml:space="preserve"> </w:t>
      </w:r>
      <w:r w:rsidR="001C3E91" w:rsidRPr="001C3E91">
        <w:rPr>
          <w:rFonts w:ascii="Garamond" w:hAnsi="Garamond" w:cs="Times New Roman"/>
          <w:bCs/>
          <w:color w:val="000000" w:themeColor="text1"/>
          <w:sz w:val="20"/>
          <w:szCs w:val="20"/>
        </w:rPr>
        <w:t>and physical symptoms</w:t>
      </w:r>
    </w:p>
    <w:p w14:paraId="3E6F09D8" w14:textId="44D98147" w:rsidR="006648CF" w:rsidRDefault="006648CF" w:rsidP="006648CF">
      <w:pPr>
        <w:spacing w:before="240" w:after="240" w:line="240" w:lineRule="auto"/>
        <w:ind w:firstLine="720"/>
        <w:jc w:val="both"/>
        <w:rPr>
          <w:rFonts w:ascii="Garamond" w:hAnsi="Garamond" w:cs="Times New Roman"/>
          <w:bCs/>
          <w:color w:val="000000" w:themeColor="text1"/>
          <w:sz w:val="20"/>
          <w:szCs w:val="20"/>
        </w:rPr>
      </w:pPr>
    </w:p>
    <w:p w14:paraId="67416A84" w14:textId="77777777" w:rsidR="006648CF" w:rsidRPr="006648CF" w:rsidRDefault="006648CF" w:rsidP="006648CF">
      <w:pPr>
        <w:spacing w:before="240" w:after="240" w:line="240" w:lineRule="auto"/>
        <w:ind w:firstLine="720"/>
        <w:jc w:val="both"/>
        <w:rPr>
          <w:rFonts w:ascii="Garamond" w:hAnsi="Garamond" w:cs="Times New Roman"/>
          <w:bCs/>
          <w:color w:val="000000" w:themeColor="text1"/>
          <w:sz w:val="20"/>
          <w:szCs w:val="20"/>
        </w:rPr>
      </w:pPr>
    </w:p>
    <w:p w14:paraId="0C8AFE06" w14:textId="77777777" w:rsidR="009F1227" w:rsidRDefault="009F1227" w:rsidP="00766C78">
      <w:pPr>
        <w:spacing w:before="240" w:after="160" w:line="240" w:lineRule="auto"/>
        <w:contextualSpacing/>
        <w:jc w:val="both"/>
        <w:rPr>
          <w:rFonts w:ascii="Garamond" w:eastAsia="MS Mincho" w:hAnsi="Garamond"/>
          <w:bCs/>
          <w:sz w:val="20"/>
          <w:szCs w:val="20"/>
        </w:rPr>
      </w:pPr>
    </w:p>
    <w:bookmarkEnd w:id="5"/>
    <w:p w14:paraId="6DB81879" w14:textId="6E3C11D2" w:rsidR="005A79F5" w:rsidRDefault="005A79F5" w:rsidP="008F5E4C">
      <w:pPr>
        <w:spacing w:before="240" w:after="160" w:line="240" w:lineRule="auto"/>
        <w:contextualSpacing/>
        <w:jc w:val="both"/>
        <w:rPr>
          <w:rFonts w:ascii="Garamond" w:eastAsia="MS Mincho" w:hAnsi="Garamond"/>
          <w:b/>
          <w:bCs/>
          <w:sz w:val="20"/>
          <w:szCs w:val="20"/>
        </w:rPr>
      </w:pPr>
      <w:r w:rsidRPr="00B90C7A">
        <w:rPr>
          <w:rFonts w:ascii="Garamond" w:eastAsia="MS Mincho" w:hAnsi="Garamond"/>
          <w:b/>
          <w:bCs/>
          <w:sz w:val="20"/>
          <w:szCs w:val="20"/>
        </w:rPr>
        <w:t xml:space="preserve">Table </w:t>
      </w:r>
      <w:r>
        <w:rPr>
          <w:rFonts w:ascii="Garamond" w:eastAsia="MS Mincho" w:hAnsi="Garamond"/>
          <w:b/>
          <w:bCs/>
          <w:sz w:val="20"/>
          <w:szCs w:val="20"/>
        </w:rPr>
        <w:t xml:space="preserve">2:  </w:t>
      </w:r>
      <w:r w:rsidR="008F5E4C">
        <w:rPr>
          <w:rFonts w:ascii="Garamond" w:eastAsia="MS Mincho" w:hAnsi="Garamond"/>
          <w:b/>
          <w:bCs/>
          <w:sz w:val="20"/>
          <w:szCs w:val="20"/>
        </w:rPr>
        <w:t xml:space="preserve">Test of </w:t>
      </w:r>
      <w:r>
        <w:rPr>
          <w:rFonts w:ascii="Garamond" w:eastAsia="MS Mincho" w:hAnsi="Garamond"/>
          <w:b/>
          <w:bCs/>
          <w:sz w:val="20"/>
          <w:szCs w:val="20"/>
        </w:rPr>
        <w:t>Relationshi</w:t>
      </w:r>
      <w:r w:rsidR="008F5E4C">
        <w:rPr>
          <w:rFonts w:ascii="Garamond" w:eastAsia="MS Mincho" w:hAnsi="Garamond"/>
          <w:b/>
          <w:bCs/>
          <w:sz w:val="20"/>
          <w:szCs w:val="20"/>
        </w:rPr>
        <w:t>p</w:t>
      </w:r>
      <w:r w:rsidR="00373A5C">
        <w:rPr>
          <w:rFonts w:ascii="Garamond" w:eastAsia="MS Mincho" w:hAnsi="Garamond"/>
          <w:b/>
          <w:bCs/>
          <w:sz w:val="20"/>
          <w:szCs w:val="20"/>
        </w:rPr>
        <w:t xml:space="preserve"> </w:t>
      </w:r>
    </w:p>
    <w:p w14:paraId="118494C9" w14:textId="77777777" w:rsidR="006648CF" w:rsidRPr="00373A5C" w:rsidRDefault="006648CF" w:rsidP="008F5E4C">
      <w:pPr>
        <w:spacing w:before="240" w:after="160" w:line="240" w:lineRule="auto"/>
        <w:contextualSpacing/>
        <w:jc w:val="both"/>
        <w:rPr>
          <w:rFonts w:ascii="Garamond" w:eastAsia="MS Mincho" w:hAnsi="Garamond"/>
          <w:b/>
          <w:bCs/>
          <w:color w:val="EE0000"/>
          <w:sz w:val="20"/>
          <w:szCs w:val="20"/>
        </w:rPr>
      </w:pPr>
    </w:p>
    <w:tbl>
      <w:tblPr>
        <w:tblStyle w:val="TableGrid1"/>
        <w:tblW w:w="9005" w:type="dxa"/>
        <w:tblInd w:w="-5" w:type="dxa"/>
        <w:tblBorders>
          <w:top w:val="double" w:sz="4"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5"/>
        <w:gridCol w:w="1170"/>
        <w:gridCol w:w="895"/>
        <w:gridCol w:w="1706"/>
        <w:gridCol w:w="1629"/>
      </w:tblGrid>
      <w:tr w:rsidR="005744D5" w:rsidRPr="00C37214" w14:paraId="1C0B342B" w14:textId="77777777" w:rsidTr="00684204">
        <w:trPr>
          <w:trHeight w:val="211"/>
        </w:trPr>
        <w:tc>
          <w:tcPr>
            <w:tcW w:w="3605" w:type="dxa"/>
          </w:tcPr>
          <w:p w14:paraId="79ABEEA0" w14:textId="4A125EA7" w:rsidR="005744D5" w:rsidRPr="00C37214" w:rsidRDefault="004C08C2" w:rsidP="001B79ED">
            <w:pPr>
              <w:ind w:left="10" w:right="918" w:hanging="10"/>
              <w:jc w:val="center"/>
              <w:rPr>
                <w:rFonts w:ascii="Garamond" w:eastAsia="Arial" w:hAnsi="Garamond" w:cs="Arial"/>
                <w:color w:val="000000"/>
                <w:sz w:val="20"/>
                <w:szCs w:val="20"/>
              </w:rPr>
            </w:pPr>
            <w:r>
              <w:rPr>
                <w:rFonts w:ascii="Garamond" w:eastAsia="Arial" w:hAnsi="Garamond" w:cs="Arial"/>
                <w:b/>
                <w:bCs/>
                <w:color w:val="000000"/>
                <w:sz w:val="20"/>
                <w:szCs w:val="20"/>
              </w:rPr>
              <w:t xml:space="preserve">Pair of </w:t>
            </w:r>
            <w:r w:rsidR="005744D5" w:rsidRPr="00C37214">
              <w:rPr>
                <w:rFonts w:ascii="Garamond" w:eastAsia="Arial" w:hAnsi="Garamond" w:cs="Arial"/>
                <w:b/>
                <w:bCs/>
                <w:color w:val="000000"/>
                <w:sz w:val="20"/>
                <w:szCs w:val="20"/>
              </w:rPr>
              <w:t>Variables</w:t>
            </w:r>
          </w:p>
        </w:tc>
        <w:tc>
          <w:tcPr>
            <w:tcW w:w="1170" w:type="dxa"/>
            <w:tcBorders>
              <w:top w:val="single" w:sz="4" w:space="0" w:color="auto"/>
              <w:bottom w:val="nil"/>
            </w:tcBorders>
          </w:tcPr>
          <w:p w14:paraId="53EE775F" w14:textId="77777777" w:rsidR="005744D5" w:rsidRPr="00C37214" w:rsidRDefault="005744D5" w:rsidP="001B79ED">
            <w:pPr>
              <w:ind w:left="10" w:right="183" w:hanging="10"/>
              <w:jc w:val="center"/>
              <w:rPr>
                <w:rFonts w:ascii="Garamond" w:eastAsia="Arial" w:hAnsi="Garamond" w:cs="Arial"/>
                <w:b/>
                <w:bCs/>
                <w:color w:val="000000"/>
                <w:sz w:val="20"/>
                <w:szCs w:val="20"/>
              </w:rPr>
            </w:pPr>
            <w:proofErr w:type="spellStart"/>
            <w:r w:rsidRPr="00C37214">
              <w:rPr>
                <w:rFonts w:ascii="Garamond" w:eastAsia="Arial" w:hAnsi="Garamond" w:cs="Arial"/>
                <w:b/>
                <w:bCs/>
                <w:color w:val="000000"/>
                <w:sz w:val="20"/>
                <w:szCs w:val="20"/>
              </w:rPr>
              <w:t>r-value</w:t>
            </w:r>
            <w:proofErr w:type="spellEnd"/>
          </w:p>
        </w:tc>
        <w:tc>
          <w:tcPr>
            <w:tcW w:w="895" w:type="dxa"/>
            <w:tcBorders>
              <w:top w:val="single" w:sz="4" w:space="0" w:color="auto"/>
              <w:bottom w:val="nil"/>
            </w:tcBorders>
          </w:tcPr>
          <w:p w14:paraId="7E664C1A" w14:textId="77777777" w:rsidR="005744D5" w:rsidRPr="00C37214" w:rsidRDefault="005744D5" w:rsidP="001B79ED">
            <w:pPr>
              <w:ind w:left="10" w:right="45" w:hanging="10"/>
              <w:jc w:val="center"/>
              <w:rPr>
                <w:rFonts w:ascii="Garamond" w:eastAsia="Arial" w:hAnsi="Garamond" w:cs="Arial"/>
                <w:b/>
                <w:bCs/>
                <w:color w:val="000000"/>
                <w:sz w:val="20"/>
                <w:szCs w:val="20"/>
              </w:rPr>
            </w:pPr>
            <w:r w:rsidRPr="00C37214">
              <w:rPr>
                <w:rFonts w:ascii="Garamond" w:eastAsia="Arial" w:hAnsi="Garamond" w:cs="Arial"/>
                <w:b/>
                <w:bCs/>
                <w:color w:val="000000"/>
                <w:sz w:val="20"/>
                <w:szCs w:val="20"/>
              </w:rPr>
              <w:t>p-value</w:t>
            </w:r>
          </w:p>
        </w:tc>
        <w:tc>
          <w:tcPr>
            <w:tcW w:w="1706" w:type="dxa"/>
            <w:tcBorders>
              <w:top w:val="single" w:sz="4" w:space="0" w:color="auto"/>
              <w:bottom w:val="nil"/>
            </w:tcBorders>
          </w:tcPr>
          <w:p w14:paraId="3582846C" w14:textId="77777777" w:rsidR="005744D5" w:rsidRPr="00C37214" w:rsidRDefault="005744D5" w:rsidP="001B79ED">
            <w:pPr>
              <w:ind w:left="10" w:right="-102" w:hanging="10"/>
              <w:jc w:val="center"/>
              <w:rPr>
                <w:rFonts w:ascii="Garamond" w:eastAsia="Arial" w:hAnsi="Garamond" w:cs="Arial"/>
                <w:b/>
                <w:bCs/>
                <w:color w:val="000000"/>
                <w:sz w:val="20"/>
                <w:szCs w:val="20"/>
              </w:rPr>
            </w:pPr>
            <w:r w:rsidRPr="00C37214">
              <w:rPr>
                <w:rFonts w:ascii="Garamond" w:eastAsia="Arial" w:hAnsi="Garamond" w:cs="Arial"/>
                <w:b/>
                <w:bCs/>
                <w:color w:val="000000"/>
                <w:sz w:val="20"/>
                <w:szCs w:val="20"/>
              </w:rPr>
              <w:t>Decision on Ho</w:t>
            </w:r>
          </w:p>
        </w:tc>
        <w:tc>
          <w:tcPr>
            <w:tcW w:w="1629" w:type="dxa"/>
            <w:tcBorders>
              <w:top w:val="single" w:sz="4" w:space="0" w:color="auto"/>
              <w:bottom w:val="nil"/>
            </w:tcBorders>
          </w:tcPr>
          <w:p w14:paraId="6B1EEA30" w14:textId="77777777" w:rsidR="005744D5" w:rsidRPr="00C37214" w:rsidRDefault="005744D5" w:rsidP="001B79ED">
            <w:pPr>
              <w:ind w:right="-44"/>
              <w:jc w:val="center"/>
              <w:rPr>
                <w:rFonts w:ascii="Garamond" w:eastAsia="Arial" w:hAnsi="Garamond" w:cs="Arial"/>
                <w:b/>
                <w:bCs/>
                <w:color w:val="000000"/>
                <w:sz w:val="20"/>
                <w:szCs w:val="20"/>
              </w:rPr>
            </w:pPr>
            <w:r w:rsidRPr="00C37214">
              <w:rPr>
                <w:rFonts w:ascii="Garamond" w:eastAsia="Arial" w:hAnsi="Garamond" w:cs="Arial"/>
                <w:b/>
                <w:bCs/>
                <w:color w:val="000000"/>
                <w:sz w:val="20"/>
                <w:szCs w:val="20"/>
              </w:rPr>
              <w:t>Interpretation</w:t>
            </w:r>
          </w:p>
        </w:tc>
      </w:tr>
      <w:tr w:rsidR="005744D5" w:rsidRPr="00C37214" w14:paraId="7C0ABA8F" w14:textId="77777777" w:rsidTr="00684204">
        <w:tc>
          <w:tcPr>
            <w:tcW w:w="3605" w:type="dxa"/>
          </w:tcPr>
          <w:p w14:paraId="74DD0B7E" w14:textId="47C7E59F" w:rsidR="005744D5" w:rsidRPr="00C37214" w:rsidRDefault="004C08C2" w:rsidP="001B79ED">
            <w:pPr>
              <w:pStyle w:val="NoSpacing"/>
              <w:rPr>
                <w:rFonts w:ascii="Garamond" w:eastAsia="Arial" w:hAnsi="Garamond"/>
                <w:sz w:val="20"/>
                <w:szCs w:val="20"/>
              </w:rPr>
            </w:pPr>
            <w:r w:rsidRPr="00C37214">
              <w:rPr>
                <w:rFonts w:ascii="Garamond" w:hAnsi="Garamond"/>
                <w:sz w:val="20"/>
                <w:szCs w:val="20"/>
              </w:rPr>
              <w:t xml:space="preserve">Math Anxiety </w:t>
            </w:r>
            <w:r>
              <w:rPr>
                <w:rFonts w:ascii="Garamond" w:hAnsi="Garamond"/>
                <w:sz w:val="20"/>
                <w:szCs w:val="20"/>
              </w:rPr>
              <w:t xml:space="preserve">and </w:t>
            </w:r>
            <w:r w:rsidR="00525096">
              <w:rPr>
                <w:rFonts w:ascii="Garamond" w:hAnsi="Garamond"/>
                <w:sz w:val="20"/>
                <w:szCs w:val="20"/>
              </w:rPr>
              <w:t>Self–Efficacy</w:t>
            </w:r>
            <w:r w:rsidRPr="00C37214">
              <w:rPr>
                <w:rFonts w:ascii="Garamond" w:hAnsi="Garamond"/>
                <w:sz w:val="20"/>
                <w:szCs w:val="20"/>
              </w:rPr>
              <w:t xml:space="preserve"> </w:t>
            </w:r>
          </w:p>
        </w:tc>
        <w:tc>
          <w:tcPr>
            <w:tcW w:w="1170" w:type="dxa"/>
            <w:tcBorders>
              <w:top w:val="nil"/>
            </w:tcBorders>
          </w:tcPr>
          <w:p w14:paraId="5F0ED19D" w14:textId="330A5CF3" w:rsidR="005744D5" w:rsidRPr="00C37214" w:rsidRDefault="005744D5" w:rsidP="001B79ED">
            <w:pPr>
              <w:pStyle w:val="NoSpacing"/>
              <w:jc w:val="center"/>
              <w:rPr>
                <w:rFonts w:ascii="Garamond" w:eastAsia="Arial" w:hAnsi="Garamond"/>
                <w:sz w:val="20"/>
                <w:szCs w:val="20"/>
              </w:rPr>
            </w:pPr>
            <w:r w:rsidRPr="00C37214">
              <w:rPr>
                <w:rFonts w:ascii="Garamond" w:eastAsia="Arial" w:hAnsi="Garamond"/>
                <w:sz w:val="20"/>
                <w:szCs w:val="20"/>
              </w:rPr>
              <w:t>0.</w:t>
            </w:r>
            <w:r w:rsidR="00AC56EB">
              <w:rPr>
                <w:rFonts w:ascii="Garamond" w:eastAsia="Arial" w:hAnsi="Garamond"/>
                <w:sz w:val="20"/>
                <w:szCs w:val="20"/>
              </w:rPr>
              <w:t>234</w:t>
            </w:r>
          </w:p>
        </w:tc>
        <w:tc>
          <w:tcPr>
            <w:tcW w:w="895" w:type="dxa"/>
            <w:tcBorders>
              <w:top w:val="nil"/>
            </w:tcBorders>
          </w:tcPr>
          <w:p w14:paraId="568C6327" w14:textId="444AFA9A" w:rsidR="005744D5" w:rsidRPr="00C37214" w:rsidRDefault="005744D5" w:rsidP="001B79ED">
            <w:pPr>
              <w:pStyle w:val="NoSpacing"/>
              <w:jc w:val="center"/>
              <w:rPr>
                <w:rFonts w:ascii="Garamond" w:eastAsia="Arial" w:hAnsi="Garamond"/>
                <w:sz w:val="20"/>
                <w:szCs w:val="20"/>
              </w:rPr>
            </w:pPr>
            <w:r w:rsidRPr="00C37214">
              <w:rPr>
                <w:rFonts w:ascii="Garamond" w:eastAsia="Arial" w:hAnsi="Garamond"/>
                <w:sz w:val="20"/>
                <w:szCs w:val="20"/>
              </w:rPr>
              <w:t>0.0</w:t>
            </w:r>
            <w:r w:rsidR="002C1464">
              <w:rPr>
                <w:rFonts w:ascii="Garamond" w:eastAsia="Arial" w:hAnsi="Garamond"/>
                <w:sz w:val="20"/>
                <w:szCs w:val="20"/>
              </w:rPr>
              <w:t>02</w:t>
            </w:r>
          </w:p>
        </w:tc>
        <w:tc>
          <w:tcPr>
            <w:tcW w:w="1706" w:type="dxa"/>
            <w:tcBorders>
              <w:top w:val="nil"/>
            </w:tcBorders>
          </w:tcPr>
          <w:p w14:paraId="62C4B751" w14:textId="111FBB9C" w:rsidR="005744D5" w:rsidRPr="00C37214" w:rsidRDefault="00AC419B" w:rsidP="001B79ED">
            <w:pPr>
              <w:pStyle w:val="NoSpacing"/>
              <w:jc w:val="center"/>
              <w:rPr>
                <w:rFonts w:ascii="Garamond" w:eastAsia="Arial" w:hAnsi="Garamond"/>
                <w:sz w:val="20"/>
                <w:szCs w:val="20"/>
              </w:rPr>
            </w:pPr>
            <w:r>
              <w:rPr>
                <w:rFonts w:ascii="Garamond" w:eastAsia="Arial" w:hAnsi="Garamond"/>
                <w:sz w:val="20"/>
                <w:szCs w:val="20"/>
              </w:rPr>
              <w:t>Reject</w:t>
            </w:r>
          </w:p>
        </w:tc>
        <w:tc>
          <w:tcPr>
            <w:tcW w:w="1629" w:type="dxa"/>
            <w:tcBorders>
              <w:top w:val="nil"/>
            </w:tcBorders>
          </w:tcPr>
          <w:p w14:paraId="2FB98AB3" w14:textId="2E543807"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Significant</w:t>
            </w:r>
          </w:p>
        </w:tc>
      </w:tr>
      <w:tr w:rsidR="005744D5" w:rsidRPr="00C37214" w14:paraId="2DF50970" w14:textId="77777777" w:rsidTr="00684204">
        <w:tc>
          <w:tcPr>
            <w:tcW w:w="3605" w:type="dxa"/>
          </w:tcPr>
          <w:p w14:paraId="42A3EF5E" w14:textId="31786971" w:rsidR="005744D5" w:rsidRPr="00C37214" w:rsidRDefault="00525096" w:rsidP="001B79ED">
            <w:pPr>
              <w:pStyle w:val="NoSpacing"/>
              <w:rPr>
                <w:rFonts w:ascii="Garamond" w:eastAsia="Arial" w:hAnsi="Garamond"/>
                <w:sz w:val="20"/>
                <w:szCs w:val="20"/>
              </w:rPr>
            </w:pPr>
            <w:r>
              <w:rPr>
                <w:rFonts w:ascii="Garamond" w:hAnsi="Garamond"/>
                <w:sz w:val="20"/>
                <w:szCs w:val="20"/>
              </w:rPr>
              <w:t>Self–Efficacy</w:t>
            </w:r>
            <w:r w:rsidR="004C08C2" w:rsidRPr="00C37214">
              <w:rPr>
                <w:rFonts w:ascii="Garamond" w:hAnsi="Garamond"/>
                <w:sz w:val="20"/>
                <w:szCs w:val="20"/>
              </w:rPr>
              <w:t xml:space="preserve"> </w:t>
            </w:r>
            <w:r w:rsidR="004C08C2">
              <w:rPr>
                <w:rFonts w:ascii="Garamond" w:hAnsi="Garamond"/>
                <w:sz w:val="20"/>
                <w:szCs w:val="20"/>
              </w:rPr>
              <w:t>and</w:t>
            </w:r>
            <w:r w:rsidR="004C08C2" w:rsidRPr="00C37214">
              <w:rPr>
                <w:rFonts w:ascii="Garamond" w:hAnsi="Garamond"/>
                <w:sz w:val="20"/>
                <w:szCs w:val="20"/>
              </w:rPr>
              <w:t xml:space="preserve"> </w:t>
            </w:r>
            <w:r w:rsidR="004B7A59">
              <w:rPr>
                <w:rFonts w:ascii="Garamond" w:hAnsi="Garamond"/>
                <w:sz w:val="20"/>
                <w:szCs w:val="20"/>
              </w:rPr>
              <w:t>Academic</w:t>
            </w:r>
            <w:r w:rsidR="004C08C2" w:rsidRPr="00C37214">
              <w:rPr>
                <w:rFonts w:ascii="Garamond" w:hAnsi="Garamond"/>
                <w:sz w:val="20"/>
                <w:szCs w:val="20"/>
              </w:rPr>
              <w:t xml:space="preserve"> Performance</w:t>
            </w:r>
          </w:p>
        </w:tc>
        <w:tc>
          <w:tcPr>
            <w:tcW w:w="1170" w:type="dxa"/>
          </w:tcPr>
          <w:p w14:paraId="2622C6E3" w14:textId="28D843AD"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0.23</w:t>
            </w:r>
            <w:r w:rsidR="00AC56EB">
              <w:rPr>
                <w:rFonts w:ascii="Garamond" w:eastAsia="Arial" w:hAnsi="Garamond"/>
                <w:sz w:val="20"/>
                <w:szCs w:val="20"/>
              </w:rPr>
              <w:t>6</w:t>
            </w:r>
          </w:p>
        </w:tc>
        <w:tc>
          <w:tcPr>
            <w:tcW w:w="895" w:type="dxa"/>
          </w:tcPr>
          <w:p w14:paraId="1F34AEDC" w14:textId="77777777"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0.002</w:t>
            </w:r>
          </w:p>
        </w:tc>
        <w:tc>
          <w:tcPr>
            <w:tcW w:w="1706" w:type="dxa"/>
          </w:tcPr>
          <w:p w14:paraId="4324F0D5" w14:textId="06548963"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Reject</w:t>
            </w:r>
          </w:p>
        </w:tc>
        <w:tc>
          <w:tcPr>
            <w:tcW w:w="1629" w:type="dxa"/>
          </w:tcPr>
          <w:p w14:paraId="7B37FD15" w14:textId="77777777"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Significant</w:t>
            </w:r>
          </w:p>
        </w:tc>
      </w:tr>
      <w:tr w:rsidR="005744D5" w:rsidRPr="00C37214" w14:paraId="6007C2D5" w14:textId="77777777" w:rsidTr="00684204">
        <w:tc>
          <w:tcPr>
            <w:tcW w:w="3605" w:type="dxa"/>
          </w:tcPr>
          <w:p w14:paraId="2C77DC70" w14:textId="78A58C14" w:rsidR="005744D5" w:rsidRPr="00C37214" w:rsidRDefault="004C08C2" w:rsidP="001B79ED">
            <w:pPr>
              <w:pStyle w:val="NoSpacing"/>
              <w:rPr>
                <w:rFonts w:ascii="Garamond" w:hAnsi="Garamond"/>
                <w:sz w:val="20"/>
                <w:szCs w:val="20"/>
              </w:rPr>
            </w:pPr>
            <w:r w:rsidRPr="00C37214">
              <w:rPr>
                <w:rFonts w:ascii="Garamond" w:hAnsi="Garamond"/>
                <w:sz w:val="20"/>
                <w:szCs w:val="20"/>
              </w:rPr>
              <w:t xml:space="preserve">Math Anxiety </w:t>
            </w:r>
            <w:r>
              <w:rPr>
                <w:rFonts w:ascii="Garamond" w:hAnsi="Garamond"/>
                <w:sz w:val="20"/>
                <w:szCs w:val="20"/>
              </w:rPr>
              <w:t>and</w:t>
            </w:r>
            <w:r w:rsidRPr="00C37214">
              <w:rPr>
                <w:rFonts w:ascii="Garamond" w:hAnsi="Garamond"/>
                <w:sz w:val="20"/>
                <w:szCs w:val="20"/>
              </w:rPr>
              <w:t xml:space="preserve"> </w:t>
            </w:r>
            <w:r w:rsidR="00EC40EA">
              <w:rPr>
                <w:rFonts w:ascii="Garamond" w:hAnsi="Garamond"/>
                <w:sz w:val="20"/>
                <w:szCs w:val="20"/>
              </w:rPr>
              <w:t>Academic</w:t>
            </w:r>
            <w:r w:rsidR="00EC40EA" w:rsidRPr="00C37214">
              <w:rPr>
                <w:rFonts w:ascii="Garamond" w:hAnsi="Garamond"/>
                <w:sz w:val="20"/>
                <w:szCs w:val="20"/>
              </w:rPr>
              <w:t xml:space="preserve"> </w:t>
            </w:r>
            <w:r w:rsidRPr="00C37214">
              <w:rPr>
                <w:rFonts w:ascii="Garamond" w:hAnsi="Garamond"/>
                <w:sz w:val="20"/>
                <w:szCs w:val="20"/>
              </w:rPr>
              <w:t>Performance</w:t>
            </w:r>
          </w:p>
        </w:tc>
        <w:tc>
          <w:tcPr>
            <w:tcW w:w="1170" w:type="dxa"/>
          </w:tcPr>
          <w:p w14:paraId="0D508ADC" w14:textId="358ABBF3"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0.</w:t>
            </w:r>
            <w:r w:rsidR="00AC56EB">
              <w:rPr>
                <w:rFonts w:ascii="Garamond" w:eastAsia="Arial" w:hAnsi="Garamond"/>
                <w:sz w:val="20"/>
                <w:szCs w:val="20"/>
              </w:rPr>
              <w:t>132</w:t>
            </w:r>
          </w:p>
        </w:tc>
        <w:tc>
          <w:tcPr>
            <w:tcW w:w="895" w:type="dxa"/>
          </w:tcPr>
          <w:p w14:paraId="65EBC90D" w14:textId="720548F6" w:rsidR="005744D5" w:rsidRPr="00C37214" w:rsidRDefault="005744D5" w:rsidP="001B79ED">
            <w:pPr>
              <w:pStyle w:val="NoSpacing"/>
              <w:jc w:val="center"/>
              <w:rPr>
                <w:rFonts w:ascii="Garamond" w:eastAsia="Arial" w:hAnsi="Garamond"/>
                <w:sz w:val="20"/>
                <w:szCs w:val="20"/>
              </w:rPr>
            </w:pPr>
            <w:r>
              <w:rPr>
                <w:rFonts w:ascii="Garamond" w:eastAsia="Arial" w:hAnsi="Garamond"/>
                <w:sz w:val="20"/>
                <w:szCs w:val="20"/>
              </w:rPr>
              <w:t>0.0</w:t>
            </w:r>
            <w:r w:rsidR="002C1464">
              <w:rPr>
                <w:rFonts w:ascii="Garamond" w:eastAsia="Arial" w:hAnsi="Garamond"/>
                <w:sz w:val="20"/>
                <w:szCs w:val="20"/>
              </w:rPr>
              <w:t>85</w:t>
            </w:r>
          </w:p>
        </w:tc>
        <w:tc>
          <w:tcPr>
            <w:tcW w:w="1706" w:type="dxa"/>
          </w:tcPr>
          <w:p w14:paraId="218CDB3B" w14:textId="7E4751F2" w:rsidR="005744D5" w:rsidRPr="00C37214" w:rsidRDefault="00AC419B" w:rsidP="001B79ED">
            <w:pPr>
              <w:pStyle w:val="NoSpacing"/>
              <w:jc w:val="center"/>
              <w:rPr>
                <w:rFonts w:ascii="Garamond" w:eastAsia="Arial" w:hAnsi="Garamond"/>
                <w:sz w:val="20"/>
                <w:szCs w:val="20"/>
              </w:rPr>
            </w:pPr>
            <w:r>
              <w:rPr>
                <w:rFonts w:ascii="Garamond" w:eastAsia="Arial" w:hAnsi="Garamond"/>
                <w:sz w:val="20"/>
                <w:szCs w:val="20"/>
              </w:rPr>
              <w:t>Accepted</w:t>
            </w:r>
          </w:p>
        </w:tc>
        <w:tc>
          <w:tcPr>
            <w:tcW w:w="1629" w:type="dxa"/>
          </w:tcPr>
          <w:p w14:paraId="33C3224D" w14:textId="7207A585" w:rsidR="005744D5" w:rsidRPr="00C37214" w:rsidRDefault="0060766F" w:rsidP="001B79ED">
            <w:pPr>
              <w:pStyle w:val="NoSpacing"/>
              <w:jc w:val="center"/>
              <w:rPr>
                <w:rFonts w:ascii="Garamond" w:eastAsia="Arial" w:hAnsi="Garamond"/>
                <w:sz w:val="20"/>
                <w:szCs w:val="20"/>
              </w:rPr>
            </w:pPr>
            <w:r>
              <w:rPr>
                <w:rFonts w:ascii="Garamond" w:eastAsia="Arial" w:hAnsi="Garamond"/>
                <w:sz w:val="20"/>
                <w:szCs w:val="20"/>
              </w:rPr>
              <w:t xml:space="preserve">Not </w:t>
            </w:r>
            <w:r w:rsidR="005744D5">
              <w:rPr>
                <w:rFonts w:ascii="Garamond" w:eastAsia="Arial" w:hAnsi="Garamond"/>
                <w:sz w:val="20"/>
                <w:szCs w:val="20"/>
              </w:rPr>
              <w:t>Significant</w:t>
            </w:r>
          </w:p>
        </w:tc>
      </w:tr>
    </w:tbl>
    <w:p w14:paraId="59C45E06" w14:textId="77777777" w:rsidR="007A2F67" w:rsidRPr="00373A5C" w:rsidRDefault="007A2F67" w:rsidP="006A4358">
      <w:pPr>
        <w:spacing w:before="240" w:after="160" w:line="240" w:lineRule="auto"/>
        <w:contextualSpacing/>
        <w:jc w:val="both"/>
        <w:rPr>
          <w:rFonts w:ascii="Garamond" w:eastAsia="MS Mincho" w:hAnsi="Garamond"/>
          <w:b/>
          <w:color w:val="EE0000"/>
          <w:sz w:val="20"/>
          <w:szCs w:val="20"/>
        </w:rPr>
      </w:pPr>
    </w:p>
    <w:p w14:paraId="708868FB" w14:textId="25647925" w:rsidR="001D11EE" w:rsidRDefault="008F5E4C" w:rsidP="001D11EE">
      <w:pPr>
        <w:spacing w:before="240" w:after="160" w:line="240" w:lineRule="auto"/>
        <w:ind w:firstLine="720"/>
        <w:contextualSpacing/>
        <w:jc w:val="both"/>
        <w:rPr>
          <w:rFonts w:ascii="Garamond" w:eastAsia="MS Mincho" w:hAnsi="Garamond"/>
          <w:bCs/>
          <w:sz w:val="20"/>
          <w:szCs w:val="20"/>
          <w:lang w:val="en-PH"/>
        </w:rPr>
      </w:pPr>
      <w:r>
        <w:rPr>
          <w:rFonts w:ascii="Garamond" w:eastAsia="MS Mincho" w:hAnsi="Garamond"/>
          <w:bCs/>
          <w:sz w:val="20"/>
          <w:szCs w:val="20"/>
        </w:rPr>
        <w:t>Table 2 shows</w:t>
      </w:r>
      <w:r w:rsidRPr="005A79F5">
        <w:rPr>
          <w:rFonts w:ascii="Garamond" w:eastAsia="MS Mincho" w:hAnsi="Garamond"/>
          <w:bCs/>
          <w:sz w:val="20"/>
          <w:szCs w:val="20"/>
          <w:lang w:val="en-US"/>
        </w:rPr>
        <w:t xml:space="preserve"> </w:t>
      </w:r>
      <w:r w:rsidR="00525096">
        <w:rPr>
          <w:rFonts w:ascii="Garamond" w:eastAsia="MS Mincho" w:hAnsi="Garamond"/>
          <w:bCs/>
          <w:sz w:val="20"/>
          <w:szCs w:val="20"/>
          <w:lang w:val="en-US"/>
        </w:rPr>
        <w:t xml:space="preserve">the </w:t>
      </w:r>
      <w:r w:rsidRPr="005A79F5">
        <w:rPr>
          <w:rFonts w:ascii="Garamond" w:eastAsia="MS Mincho" w:hAnsi="Garamond"/>
          <w:bCs/>
          <w:sz w:val="20"/>
          <w:szCs w:val="20"/>
          <w:lang w:val="en-US"/>
        </w:rPr>
        <w:t xml:space="preserve">findings </w:t>
      </w:r>
      <w:r>
        <w:rPr>
          <w:rFonts w:ascii="Garamond" w:eastAsia="MS Mincho" w:hAnsi="Garamond"/>
          <w:bCs/>
          <w:sz w:val="20"/>
          <w:szCs w:val="20"/>
          <w:lang w:val="en-US"/>
        </w:rPr>
        <w:t xml:space="preserve">of the relationships between the variables tested. </w:t>
      </w:r>
      <w:r w:rsidR="001D11EE" w:rsidRPr="00C8412C">
        <w:rPr>
          <w:rFonts w:ascii="Garamond" w:eastAsia="MS Mincho" w:hAnsi="Garamond"/>
          <w:bCs/>
          <w:sz w:val="20"/>
          <w:szCs w:val="20"/>
          <w:lang w:val="en-US"/>
        </w:rPr>
        <w:t xml:space="preserve">Mathematics Anxiety and Self-Efficacy also show a significant positive correlation (r = 0.234, p = 0.002). This indicates that higher levels of mathematics anxiety are associated with higher self-efficacy, which is somewhat </w:t>
      </w:r>
      <w:r w:rsidR="001D11EE" w:rsidRPr="001C3E91">
        <w:rPr>
          <w:rFonts w:ascii="Garamond" w:eastAsia="MS Mincho" w:hAnsi="Garamond"/>
          <w:bCs/>
          <w:color w:val="000000" w:themeColor="text1"/>
          <w:sz w:val="20"/>
          <w:szCs w:val="20"/>
          <w:lang w:val="en-US"/>
        </w:rPr>
        <w:t>counterintuitive</w:t>
      </w:r>
      <w:r w:rsidR="001D11EE" w:rsidRPr="00835359">
        <w:rPr>
          <w:rFonts w:ascii="Garamond" w:eastAsia="MS Mincho" w:hAnsi="Garamond"/>
          <w:bCs/>
          <w:color w:val="EE0000"/>
          <w:sz w:val="20"/>
          <w:szCs w:val="20"/>
          <w:lang w:val="en-US"/>
        </w:rPr>
        <w:t>.</w:t>
      </w:r>
      <w:r w:rsidR="001D11EE">
        <w:rPr>
          <w:rFonts w:ascii="Garamond" w:eastAsia="MS Mincho" w:hAnsi="Garamond"/>
          <w:bCs/>
          <w:sz w:val="20"/>
          <w:szCs w:val="20"/>
          <w:lang w:val="en-US"/>
        </w:rPr>
        <w:t xml:space="preserve"> This finding aligns with</w:t>
      </w:r>
      <w:r w:rsidR="001D11EE" w:rsidRPr="00B95887">
        <w:rPr>
          <w:rFonts w:eastAsia="Times New Roman"/>
          <w:color w:val="000000"/>
          <w:sz w:val="24"/>
          <w:szCs w:val="24"/>
          <w:lang w:val="en-PH"/>
        </w:rPr>
        <w:t xml:space="preserve"> </w:t>
      </w:r>
      <w:r w:rsidR="001D11EE" w:rsidRPr="00E25EE0">
        <w:rPr>
          <w:rFonts w:ascii="Garamond" w:eastAsia="MS Mincho" w:hAnsi="Garamond"/>
          <w:bCs/>
          <w:sz w:val="20"/>
          <w:szCs w:val="20"/>
          <w:lang w:val="en-PH"/>
        </w:rPr>
        <w:t xml:space="preserve">the study by Aksu et al. </w:t>
      </w:r>
      <w:r w:rsidR="00525096">
        <w:rPr>
          <w:rFonts w:ascii="Garamond" w:eastAsia="MS Mincho" w:hAnsi="Garamond"/>
          <w:bCs/>
          <w:sz w:val="20"/>
          <w:szCs w:val="20"/>
          <w:lang w:val="en-PH"/>
        </w:rPr>
        <w:t>(</w:t>
      </w:r>
      <w:r w:rsidR="001D11EE">
        <w:rPr>
          <w:rFonts w:ascii="Garamond" w:eastAsia="MS Mincho" w:hAnsi="Garamond"/>
          <w:bCs/>
          <w:sz w:val="20"/>
          <w:szCs w:val="20"/>
          <w:lang w:val="en-PH"/>
        </w:rPr>
        <w:t>2016</w:t>
      </w:r>
      <w:r w:rsidR="001D11EE" w:rsidRPr="00E25EE0">
        <w:rPr>
          <w:rFonts w:ascii="Garamond" w:eastAsia="MS Mincho" w:hAnsi="Garamond"/>
          <w:bCs/>
          <w:sz w:val="20"/>
          <w:szCs w:val="20"/>
          <w:lang w:val="en-PH"/>
        </w:rPr>
        <w:t>) reveal</w:t>
      </w:r>
      <w:r w:rsidR="001D11EE">
        <w:rPr>
          <w:rFonts w:ascii="Garamond" w:eastAsia="MS Mincho" w:hAnsi="Garamond"/>
          <w:bCs/>
          <w:sz w:val="20"/>
          <w:szCs w:val="20"/>
          <w:lang w:val="en-PH"/>
        </w:rPr>
        <w:t xml:space="preserve">ed that </w:t>
      </w:r>
      <w:r w:rsidR="001D11EE" w:rsidRPr="00E25EE0">
        <w:rPr>
          <w:rFonts w:ascii="Garamond" w:eastAsia="MS Mincho" w:hAnsi="Garamond"/>
          <w:bCs/>
          <w:sz w:val="20"/>
          <w:szCs w:val="20"/>
          <w:lang w:val="en-PH"/>
        </w:rPr>
        <w:t xml:space="preserve">a strong positive connection </w:t>
      </w:r>
      <w:r w:rsidR="00525096">
        <w:rPr>
          <w:rFonts w:ascii="Garamond" w:eastAsia="MS Mincho" w:hAnsi="Garamond"/>
          <w:bCs/>
          <w:sz w:val="20"/>
          <w:szCs w:val="20"/>
          <w:lang w:val="en-PH"/>
        </w:rPr>
        <w:t xml:space="preserve">exists </w:t>
      </w:r>
      <w:r w:rsidR="001D11EE" w:rsidRPr="00E25EE0">
        <w:rPr>
          <w:rFonts w:ascii="Garamond" w:eastAsia="MS Mincho" w:hAnsi="Garamond"/>
          <w:bCs/>
          <w:sz w:val="20"/>
          <w:szCs w:val="20"/>
          <w:lang w:val="en-PH"/>
        </w:rPr>
        <w:t>between self-efficacy and math anxiety, contrasting with prior studies that generally identified a negative relationship. This indicates that in certain cases or people, higher math anxiety may coexist with increased self-efficacy.</w:t>
      </w:r>
      <w:r w:rsidR="001D11EE">
        <w:rPr>
          <w:rFonts w:ascii="Garamond" w:eastAsia="MS Mincho" w:hAnsi="Garamond"/>
          <w:bCs/>
          <w:sz w:val="20"/>
          <w:szCs w:val="20"/>
          <w:lang w:val="en-PH"/>
        </w:rPr>
        <w:t xml:space="preserve"> </w:t>
      </w:r>
      <w:r w:rsidR="001D11EE" w:rsidRPr="00B95887">
        <w:rPr>
          <w:rFonts w:ascii="Garamond" w:eastAsia="MS Mincho" w:hAnsi="Garamond"/>
          <w:bCs/>
          <w:sz w:val="20"/>
          <w:szCs w:val="20"/>
          <w:lang w:val="en-PH"/>
        </w:rPr>
        <w:t xml:space="preserve">These findings indicate that the positive correlation </w:t>
      </w:r>
      <w:r w:rsidR="001D11EE">
        <w:rPr>
          <w:rFonts w:ascii="Garamond" w:eastAsia="MS Mincho" w:hAnsi="Garamond"/>
          <w:bCs/>
          <w:sz w:val="20"/>
          <w:szCs w:val="20"/>
          <w:lang w:val="en-PH"/>
        </w:rPr>
        <w:t>between math anxiety and self-efficacy</w:t>
      </w:r>
      <w:r w:rsidR="001D11EE" w:rsidRPr="00B95887">
        <w:rPr>
          <w:rFonts w:ascii="Garamond" w:eastAsia="MS Mincho" w:hAnsi="Garamond"/>
          <w:bCs/>
          <w:sz w:val="20"/>
          <w:szCs w:val="20"/>
          <w:lang w:val="en-PH"/>
        </w:rPr>
        <w:t xml:space="preserve"> may reflect specific contextual or psychological factors, such as high valuation of mathematics, external pressures, or confidence in emotional regulation. However, the counterintuitive nature of this relationship warrants further exploration, as it deviates from the conventional inverse relationship between</w:t>
      </w:r>
      <w:r w:rsidR="001D11EE">
        <w:rPr>
          <w:rFonts w:ascii="Garamond" w:eastAsia="MS Mincho" w:hAnsi="Garamond"/>
          <w:bCs/>
          <w:sz w:val="20"/>
          <w:szCs w:val="20"/>
          <w:lang w:val="en-PH"/>
        </w:rPr>
        <w:t xml:space="preserve"> math</w:t>
      </w:r>
      <w:r w:rsidR="001D11EE" w:rsidRPr="00B95887">
        <w:rPr>
          <w:rFonts w:ascii="Garamond" w:eastAsia="MS Mincho" w:hAnsi="Garamond"/>
          <w:bCs/>
          <w:sz w:val="20"/>
          <w:szCs w:val="20"/>
          <w:lang w:val="en-PH"/>
        </w:rPr>
        <w:t xml:space="preserve"> anxiety and self-efficacy.</w:t>
      </w:r>
      <w:r w:rsidR="001D11EE">
        <w:rPr>
          <w:rFonts w:ascii="Garamond" w:eastAsia="MS Mincho" w:hAnsi="Garamond"/>
          <w:bCs/>
          <w:sz w:val="20"/>
          <w:szCs w:val="20"/>
          <w:lang w:val="en-PH"/>
        </w:rPr>
        <w:t xml:space="preserve"> </w:t>
      </w:r>
    </w:p>
    <w:p w14:paraId="2563F319" w14:textId="77777777" w:rsidR="001D11EE" w:rsidRDefault="001D11EE" w:rsidP="001D11EE">
      <w:pPr>
        <w:spacing w:before="240" w:after="160" w:line="240" w:lineRule="auto"/>
        <w:ind w:firstLine="720"/>
        <w:contextualSpacing/>
        <w:jc w:val="both"/>
        <w:rPr>
          <w:rFonts w:ascii="Garamond" w:eastAsia="MS Mincho" w:hAnsi="Garamond"/>
          <w:bCs/>
          <w:sz w:val="20"/>
          <w:szCs w:val="20"/>
          <w:lang w:val="en-US"/>
        </w:rPr>
      </w:pPr>
    </w:p>
    <w:p w14:paraId="3544AC6F" w14:textId="4A32575D" w:rsidR="008F5E4C" w:rsidRPr="00B95887" w:rsidRDefault="008F5E4C" w:rsidP="001D11EE">
      <w:pPr>
        <w:spacing w:before="240" w:after="160" w:line="240" w:lineRule="auto"/>
        <w:ind w:firstLine="720"/>
        <w:contextualSpacing/>
        <w:jc w:val="both"/>
        <w:rPr>
          <w:rFonts w:ascii="Garamond" w:eastAsia="MS Mincho" w:hAnsi="Garamond"/>
          <w:bCs/>
          <w:sz w:val="20"/>
          <w:szCs w:val="20"/>
          <w:lang w:val="en-PH"/>
        </w:rPr>
      </w:pPr>
      <w:r w:rsidRPr="00C8412C">
        <w:rPr>
          <w:rFonts w:ascii="Garamond" w:eastAsia="MS Mincho" w:hAnsi="Garamond"/>
          <w:bCs/>
          <w:sz w:val="20"/>
          <w:szCs w:val="20"/>
          <w:lang w:val="en-US"/>
        </w:rPr>
        <w:t>The analysis reveals a significant positive correlation between Self-Efficacy</w:t>
      </w:r>
      <w:r w:rsidR="00291421">
        <w:rPr>
          <w:rFonts w:ascii="Garamond" w:eastAsia="MS Mincho" w:hAnsi="Garamond"/>
          <w:bCs/>
          <w:sz w:val="20"/>
          <w:szCs w:val="20"/>
          <w:lang w:val="en-US"/>
        </w:rPr>
        <w:t xml:space="preserve"> and </w:t>
      </w:r>
      <w:r w:rsidR="00291421" w:rsidRPr="00C8412C">
        <w:rPr>
          <w:rFonts w:ascii="Garamond" w:eastAsia="MS Mincho" w:hAnsi="Garamond"/>
          <w:bCs/>
          <w:sz w:val="20"/>
          <w:szCs w:val="20"/>
          <w:lang w:val="en-US"/>
        </w:rPr>
        <w:t>Mathematics Performance</w:t>
      </w:r>
      <w:r w:rsidRPr="00C8412C">
        <w:rPr>
          <w:rFonts w:ascii="Garamond" w:eastAsia="MS Mincho" w:hAnsi="Garamond"/>
          <w:bCs/>
          <w:sz w:val="20"/>
          <w:szCs w:val="20"/>
          <w:lang w:val="en-US"/>
        </w:rPr>
        <w:t>, with a correlation coefficient of r = 0.236 and a p-value of 0.002. This indicates that students who possess greater self-efficacy are likely to achieve superior performance in mathematics.</w:t>
      </w:r>
      <w:r>
        <w:rPr>
          <w:rFonts w:ascii="Garamond" w:eastAsia="MS Mincho" w:hAnsi="Garamond"/>
          <w:bCs/>
          <w:sz w:val="20"/>
          <w:szCs w:val="20"/>
          <w:lang w:val="en-US"/>
        </w:rPr>
        <w:t xml:space="preserve"> </w:t>
      </w:r>
    </w:p>
    <w:p w14:paraId="2697F505" w14:textId="77777777" w:rsidR="008F5E4C" w:rsidRPr="00B95887" w:rsidRDefault="008F5E4C" w:rsidP="008F5E4C">
      <w:pPr>
        <w:spacing w:before="240" w:after="160" w:line="240" w:lineRule="auto"/>
        <w:ind w:firstLine="720"/>
        <w:contextualSpacing/>
        <w:jc w:val="both"/>
        <w:rPr>
          <w:rFonts w:ascii="Garamond" w:eastAsia="MS Mincho" w:hAnsi="Garamond"/>
          <w:bCs/>
          <w:sz w:val="20"/>
          <w:szCs w:val="20"/>
          <w:lang w:val="en-PH"/>
        </w:rPr>
      </w:pPr>
    </w:p>
    <w:p w14:paraId="6C4FDE0C" w14:textId="491EBBE7" w:rsidR="008F5E4C" w:rsidRPr="008F5E4C" w:rsidRDefault="008F5E4C" w:rsidP="008F5E4C">
      <w:pPr>
        <w:spacing w:before="240" w:after="160" w:line="240" w:lineRule="auto"/>
        <w:ind w:firstLine="720"/>
        <w:contextualSpacing/>
        <w:jc w:val="both"/>
        <w:rPr>
          <w:rFonts w:ascii="Garamond" w:eastAsia="MS Mincho" w:hAnsi="Garamond"/>
          <w:bCs/>
          <w:sz w:val="20"/>
          <w:szCs w:val="20"/>
          <w:lang w:val="en-US"/>
        </w:rPr>
      </w:pPr>
      <w:r>
        <w:rPr>
          <w:rFonts w:ascii="Garamond" w:eastAsia="MS Mincho" w:hAnsi="Garamond"/>
          <w:bCs/>
          <w:sz w:val="20"/>
          <w:szCs w:val="20"/>
          <w:lang w:val="en-US"/>
        </w:rPr>
        <w:t xml:space="preserve"> </w:t>
      </w:r>
      <w:r w:rsidRPr="00C8412C">
        <w:rPr>
          <w:rFonts w:ascii="Garamond" w:eastAsia="MS Mincho" w:hAnsi="Garamond"/>
          <w:bCs/>
          <w:sz w:val="20"/>
          <w:szCs w:val="20"/>
          <w:lang w:val="en-US"/>
        </w:rPr>
        <w:t>The relationship observed between Mathematics Performance and Mathematics Anxiety</w:t>
      </w:r>
      <w:r>
        <w:rPr>
          <w:rFonts w:ascii="Garamond" w:eastAsia="MS Mincho" w:hAnsi="Garamond"/>
          <w:bCs/>
          <w:sz w:val="20"/>
          <w:szCs w:val="20"/>
          <w:lang w:val="en-US"/>
        </w:rPr>
        <w:t xml:space="preserve"> </w:t>
      </w:r>
      <w:r w:rsidRPr="00C8412C">
        <w:rPr>
          <w:rFonts w:ascii="Garamond" w:eastAsia="MS Mincho" w:hAnsi="Garamond"/>
          <w:bCs/>
          <w:sz w:val="20"/>
          <w:szCs w:val="20"/>
          <w:lang w:val="en-US"/>
        </w:rPr>
        <w:t>is positive (r = 0.132); however, it does not reach statistical significance (p = 0.085), as the p-value is above the standard cutoff of 0.05.</w:t>
      </w:r>
      <w:r>
        <w:rPr>
          <w:rFonts w:ascii="Garamond" w:eastAsia="MS Mincho" w:hAnsi="Garamond"/>
          <w:bCs/>
          <w:sz w:val="20"/>
          <w:szCs w:val="20"/>
          <w:lang w:val="en-US"/>
        </w:rPr>
        <w:t xml:space="preserve"> </w:t>
      </w:r>
      <w:r w:rsidRPr="00C8412C">
        <w:rPr>
          <w:rFonts w:ascii="Garamond" w:eastAsia="MS Mincho" w:hAnsi="Garamond"/>
          <w:bCs/>
          <w:sz w:val="20"/>
          <w:szCs w:val="20"/>
          <w:lang w:val="en-US"/>
        </w:rPr>
        <w:t>The results indicate that self-efficacy is a crucial factor influencing mathematics performance, whereas the connection between mathematics anxiety and performance remains ambiguous in this sample. The observed positive correlation between anxiety and self-efficacy is intriguing and deserves additional exploration, as one would generally anticipate an inverse relationship between these factors.</w:t>
      </w:r>
    </w:p>
    <w:p w14:paraId="0C8101B0" w14:textId="4C2A6D6A" w:rsidR="00602407" w:rsidRDefault="00602407" w:rsidP="00835359">
      <w:pPr>
        <w:spacing w:before="240" w:after="160" w:line="240" w:lineRule="auto"/>
        <w:contextualSpacing/>
        <w:jc w:val="both"/>
        <w:rPr>
          <w:rFonts w:ascii="Garamond" w:hAnsi="Garamond" w:cs="Times New Roman"/>
          <w:bCs/>
          <w:color w:val="000000"/>
          <w:sz w:val="20"/>
          <w:szCs w:val="20"/>
          <w:lang w:val="en-US"/>
        </w:rPr>
      </w:pPr>
    </w:p>
    <w:p w14:paraId="0AD8D1F0" w14:textId="77777777" w:rsidR="00373A5C" w:rsidRPr="008506BD" w:rsidRDefault="00643750" w:rsidP="008506BD">
      <w:pPr>
        <w:spacing w:before="240" w:after="160" w:line="240" w:lineRule="auto"/>
        <w:contextualSpacing/>
        <w:jc w:val="both"/>
        <w:rPr>
          <w:rFonts w:ascii="Garamond" w:eastAsia="MS Mincho" w:hAnsi="Garamond"/>
          <w:b/>
          <w:bCs/>
          <w:sz w:val="20"/>
          <w:szCs w:val="20"/>
        </w:rPr>
      </w:pPr>
      <w:r w:rsidRPr="00B90C7A">
        <w:rPr>
          <w:rFonts w:ascii="Garamond" w:eastAsia="MS Mincho" w:hAnsi="Garamond"/>
          <w:b/>
          <w:bCs/>
          <w:sz w:val="20"/>
          <w:szCs w:val="20"/>
        </w:rPr>
        <w:t xml:space="preserve">Table </w:t>
      </w:r>
      <w:r>
        <w:rPr>
          <w:rFonts w:ascii="Garamond" w:eastAsia="MS Mincho" w:hAnsi="Garamond"/>
          <w:b/>
          <w:bCs/>
          <w:sz w:val="20"/>
          <w:szCs w:val="20"/>
        </w:rPr>
        <w:t xml:space="preserve">3: </w:t>
      </w:r>
      <w:r w:rsidR="006C3415" w:rsidRPr="006C3415">
        <w:rPr>
          <w:rFonts w:ascii="Garamond" w:eastAsia="MS Mincho" w:hAnsi="Garamond"/>
          <w:b/>
          <w:bCs/>
          <w:sz w:val="20"/>
          <w:szCs w:val="20"/>
        </w:rPr>
        <w:t xml:space="preserve">Mediation </w:t>
      </w:r>
      <w:r w:rsidR="00835359">
        <w:rPr>
          <w:rFonts w:ascii="Garamond" w:eastAsia="MS Mincho" w:hAnsi="Garamond"/>
          <w:b/>
          <w:bCs/>
          <w:sz w:val="20"/>
          <w:szCs w:val="20"/>
        </w:rPr>
        <w:t>Analysis</w:t>
      </w:r>
      <w:bookmarkStart w:id="6" w:name="_Hlk198418477"/>
    </w:p>
    <w:p w14:paraId="7D097844" w14:textId="77777777" w:rsidR="00AB0A95" w:rsidRDefault="00AB0A95" w:rsidP="00F63E34">
      <w:pPr>
        <w:spacing w:before="240" w:after="160" w:line="240" w:lineRule="auto"/>
        <w:contextualSpacing/>
        <w:jc w:val="both"/>
        <w:rPr>
          <w:rFonts w:ascii="Garamond" w:eastAsia="MS Mincho" w:hAnsi="Garamond"/>
          <w:bCs/>
          <w:sz w:val="20"/>
          <w:szCs w:val="20"/>
        </w:rPr>
      </w:pPr>
    </w:p>
    <w:tbl>
      <w:tblPr>
        <w:tblStyle w:val="TableGrid"/>
        <w:tblW w:w="8905" w:type="dxa"/>
        <w:tblInd w:w="5" w:type="dxa"/>
        <w:tblLook w:val="04A0" w:firstRow="1" w:lastRow="0" w:firstColumn="1" w:lastColumn="0" w:noHBand="0" w:noVBand="1"/>
      </w:tblPr>
      <w:tblGrid>
        <w:gridCol w:w="1075"/>
        <w:gridCol w:w="1472"/>
        <w:gridCol w:w="992"/>
        <w:gridCol w:w="776"/>
        <w:gridCol w:w="900"/>
        <w:gridCol w:w="990"/>
        <w:gridCol w:w="1170"/>
        <w:gridCol w:w="1530"/>
      </w:tblGrid>
      <w:tr w:rsidR="00D9634B" w:rsidRPr="00BC1EAC" w14:paraId="050E7F84" w14:textId="77777777" w:rsidTr="001649D7">
        <w:tc>
          <w:tcPr>
            <w:tcW w:w="1075" w:type="dxa"/>
            <w:tcBorders>
              <w:top w:val="double" w:sz="4" w:space="0" w:color="333333"/>
              <w:left w:val="nil"/>
              <w:bottom w:val="single" w:sz="4" w:space="0" w:color="333333"/>
              <w:right w:val="nil"/>
            </w:tcBorders>
            <w:vAlign w:val="center"/>
          </w:tcPr>
          <w:p w14:paraId="285B363B" w14:textId="77777777" w:rsidR="00D9634B" w:rsidRDefault="00D9634B" w:rsidP="001649D7">
            <w:pPr>
              <w:jc w:val="center"/>
            </w:pPr>
            <w:r>
              <w:rPr>
                <w:rFonts w:ascii="Segoe UI" w:eastAsia="Times New Roman" w:hAnsi="Segoe UI" w:cs="Segoe UI"/>
                <w:b/>
                <w:bCs/>
                <w:color w:val="333333"/>
                <w:sz w:val="18"/>
                <w:szCs w:val="18"/>
              </w:rPr>
              <w:t>Effects</w:t>
            </w:r>
          </w:p>
        </w:tc>
        <w:tc>
          <w:tcPr>
            <w:tcW w:w="1472" w:type="dxa"/>
            <w:tcBorders>
              <w:top w:val="double" w:sz="4" w:space="0" w:color="333333"/>
              <w:left w:val="nil"/>
              <w:bottom w:val="single" w:sz="4" w:space="0" w:color="333333"/>
              <w:right w:val="nil"/>
            </w:tcBorders>
            <w:vAlign w:val="center"/>
          </w:tcPr>
          <w:p w14:paraId="4E3C3BCA" w14:textId="77777777" w:rsidR="00D9634B" w:rsidRDefault="00D9634B" w:rsidP="001649D7">
            <w:pPr>
              <w:jc w:val="center"/>
            </w:pPr>
            <w:r>
              <w:rPr>
                <w:rFonts w:ascii="Segoe UI" w:eastAsia="Times New Roman" w:hAnsi="Segoe UI" w:cs="Segoe UI"/>
                <w:b/>
                <w:bCs/>
                <w:color w:val="333333"/>
                <w:sz w:val="18"/>
                <w:szCs w:val="18"/>
              </w:rPr>
              <w:t>Label</w:t>
            </w:r>
          </w:p>
        </w:tc>
        <w:tc>
          <w:tcPr>
            <w:tcW w:w="992" w:type="dxa"/>
            <w:tcBorders>
              <w:top w:val="double" w:sz="4" w:space="0" w:color="333333"/>
              <w:left w:val="nil"/>
              <w:bottom w:val="single" w:sz="4" w:space="0" w:color="333333"/>
              <w:right w:val="nil"/>
            </w:tcBorders>
            <w:vAlign w:val="center"/>
          </w:tcPr>
          <w:p w14:paraId="77CEA3B9" w14:textId="77777777" w:rsidR="00D9634B" w:rsidRDefault="00D9634B" w:rsidP="001649D7">
            <w:pPr>
              <w:jc w:val="center"/>
            </w:pPr>
            <w:r>
              <w:rPr>
                <w:rFonts w:ascii="Segoe UI" w:eastAsia="Times New Roman" w:hAnsi="Segoe UI" w:cs="Segoe UI"/>
                <w:b/>
                <w:bCs/>
                <w:color w:val="333333"/>
                <w:sz w:val="18"/>
                <w:szCs w:val="18"/>
              </w:rPr>
              <w:t>Estimate</w:t>
            </w:r>
          </w:p>
        </w:tc>
        <w:tc>
          <w:tcPr>
            <w:tcW w:w="776" w:type="dxa"/>
            <w:tcBorders>
              <w:top w:val="double" w:sz="4" w:space="0" w:color="333333"/>
              <w:left w:val="nil"/>
              <w:bottom w:val="single" w:sz="4" w:space="0" w:color="333333"/>
              <w:right w:val="nil"/>
            </w:tcBorders>
            <w:vAlign w:val="center"/>
          </w:tcPr>
          <w:p w14:paraId="4D6BED43" w14:textId="77777777" w:rsidR="00D9634B" w:rsidRDefault="00D9634B" w:rsidP="001649D7">
            <w:pPr>
              <w:jc w:val="center"/>
            </w:pPr>
            <w:r>
              <w:rPr>
                <w:rFonts w:ascii="Segoe UI" w:eastAsia="Times New Roman" w:hAnsi="Segoe UI" w:cs="Segoe UI"/>
                <w:b/>
                <w:bCs/>
                <w:color w:val="333333"/>
                <w:sz w:val="18"/>
                <w:szCs w:val="18"/>
              </w:rPr>
              <w:t>SE</w:t>
            </w:r>
          </w:p>
        </w:tc>
        <w:tc>
          <w:tcPr>
            <w:tcW w:w="900" w:type="dxa"/>
            <w:tcBorders>
              <w:top w:val="double" w:sz="4" w:space="0" w:color="333333"/>
              <w:left w:val="nil"/>
              <w:bottom w:val="single" w:sz="4" w:space="0" w:color="333333"/>
              <w:right w:val="nil"/>
            </w:tcBorders>
            <w:vAlign w:val="center"/>
          </w:tcPr>
          <w:p w14:paraId="407A0353" w14:textId="77777777" w:rsidR="00D9634B" w:rsidRPr="00C00ECA" w:rsidRDefault="00D9634B" w:rsidP="001649D7">
            <w:pPr>
              <w:jc w:val="center"/>
              <w:rPr>
                <w:color w:val="EE0000"/>
              </w:rPr>
            </w:pPr>
            <w:r>
              <w:rPr>
                <w:rFonts w:ascii="Segoe UI" w:eastAsia="Times New Roman" w:hAnsi="Segoe UI" w:cs="Segoe UI"/>
                <w:b/>
                <w:bCs/>
                <w:color w:val="333333"/>
                <w:sz w:val="18"/>
                <w:szCs w:val="18"/>
              </w:rPr>
              <w:t>Z-value</w:t>
            </w:r>
          </w:p>
        </w:tc>
        <w:tc>
          <w:tcPr>
            <w:tcW w:w="990" w:type="dxa"/>
            <w:tcBorders>
              <w:top w:val="double" w:sz="4" w:space="0" w:color="333333"/>
              <w:left w:val="nil"/>
              <w:bottom w:val="single" w:sz="4" w:space="0" w:color="333333"/>
              <w:right w:val="nil"/>
            </w:tcBorders>
            <w:vAlign w:val="center"/>
          </w:tcPr>
          <w:p w14:paraId="23DE54C8" w14:textId="77777777" w:rsidR="00D9634B" w:rsidRPr="00C00ECA" w:rsidRDefault="00D9634B" w:rsidP="001649D7">
            <w:pPr>
              <w:jc w:val="center"/>
              <w:rPr>
                <w:color w:val="EE0000"/>
              </w:rPr>
            </w:pPr>
            <w:r>
              <w:rPr>
                <w:rFonts w:ascii="Segoe UI" w:eastAsia="Times New Roman" w:hAnsi="Segoe UI" w:cs="Segoe UI"/>
                <w:b/>
                <w:bCs/>
                <w:color w:val="333333"/>
                <w:sz w:val="18"/>
                <w:szCs w:val="18"/>
              </w:rPr>
              <w:t>p-value</w:t>
            </w:r>
          </w:p>
        </w:tc>
        <w:tc>
          <w:tcPr>
            <w:tcW w:w="1170" w:type="dxa"/>
            <w:tcBorders>
              <w:top w:val="double" w:sz="4" w:space="0" w:color="333333"/>
              <w:left w:val="nil"/>
              <w:bottom w:val="single" w:sz="4" w:space="0" w:color="333333"/>
              <w:right w:val="nil"/>
            </w:tcBorders>
            <w:vAlign w:val="center"/>
          </w:tcPr>
          <w:p w14:paraId="23673707" w14:textId="77777777" w:rsidR="00D9634B" w:rsidRPr="00BC1EAC" w:rsidRDefault="00D9634B" w:rsidP="001649D7">
            <w:pPr>
              <w:jc w:val="center"/>
              <w:rPr>
                <w:b/>
                <w:bCs/>
                <w:sz w:val="20"/>
                <w:szCs w:val="20"/>
              </w:rPr>
            </w:pPr>
            <w:r w:rsidRPr="00BC1EAC">
              <w:rPr>
                <w:b/>
                <w:bCs/>
                <w:sz w:val="20"/>
                <w:szCs w:val="20"/>
              </w:rPr>
              <w:t>Decision on Ho</w:t>
            </w:r>
          </w:p>
        </w:tc>
        <w:tc>
          <w:tcPr>
            <w:tcW w:w="1530" w:type="dxa"/>
            <w:tcBorders>
              <w:top w:val="double" w:sz="4" w:space="0" w:color="333333"/>
              <w:left w:val="nil"/>
              <w:bottom w:val="single" w:sz="4" w:space="0" w:color="333333"/>
              <w:right w:val="nil"/>
            </w:tcBorders>
            <w:vAlign w:val="center"/>
          </w:tcPr>
          <w:p w14:paraId="49B6CE20" w14:textId="77777777" w:rsidR="00D9634B" w:rsidRPr="00BC1EAC" w:rsidRDefault="00D9634B" w:rsidP="001649D7">
            <w:pPr>
              <w:jc w:val="center"/>
              <w:rPr>
                <w:b/>
                <w:bCs/>
                <w:sz w:val="20"/>
                <w:szCs w:val="20"/>
              </w:rPr>
            </w:pPr>
            <w:r w:rsidRPr="00BC1EAC">
              <w:rPr>
                <w:b/>
                <w:bCs/>
                <w:sz w:val="20"/>
                <w:szCs w:val="20"/>
              </w:rPr>
              <w:t>Interpretation</w:t>
            </w:r>
          </w:p>
        </w:tc>
      </w:tr>
      <w:tr w:rsidR="00D9634B" w:rsidRPr="00E77B24" w14:paraId="36396774" w14:textId="77777777" w:rsidTr="001649D7">
        <w:tc>
          <w:tcPr>
            <w:tcW w:w="1075" w:type="dxa"/>
            <w:tcBorders>
              <w:top w:val="single" w:sz="4" w:space="0" w:color="333333"/>
              <w:left w:val="nil"/>
              <w:bottom w:val="nil"/>
              <w:right w:val="nil"/>
            </w:tcBorders>
          </w:tcPr>
          <w:p w14:paraId="183E8EEC" w14:textId="77777777" w:rsidR="00D9634B" w:rsidRPr="00E77B24" w:rsidRDefault="00D9634B" w:rsidP="001649D7">
            <w:pPr>
              <w:rPr>
                <w:sz w:val="20"/>
                <w:szCs w:val="20"/>
              </w:rPr>
            </w:pPr>
            <w:r w:rsidRPr="00E77B24">
              <w:rPr>
                <w:rFonts w:eastAsia="Times New Roman"/>
                <w:sz w:val="20"/>
                <w:szCs w:val="20"/>
              </w:rPr>
              <w:t>Indirect</w:t>
            </w:r>
          </w:p>
        </w:tc>
        <w:tc>
          <w:tcPr>
            <w:tcW w:w="1472" w:type="dxa"/>
            <w:tcBorders>
              <w:top w:val="single" w:sz="4" w:space="0" w:color="333333"/>
              <w:left w:val="nil"/>
              <w:bottom w:val="nil"/>
              <w:right w:val="nil"/>
            </w:tcBorders>
          </w:tcPr>
          <w:p w14:paraId="32FDAE68" w14:textId="77777777" w:rsidR="00D9634B" w:rsidRPr="00E77B24" w:rsidRDefault="00D9634B" w:rsidP="001649D7">
            <w:pPr>
              <w:jc w:val="center"/>
              <w:rPr>
                <w:sz w:val="20"/>
                <w:szCs w:val="20"/>
              </w:rPr>
            </w:pPr>
            <w:r w:rsidRPr="00E77B24">
              <w:rPr>
                <w:rFonts w:eastAsia="Times New Roman"/>
                <w:sz w:val="20"/>
                <w:szCs w:val="20"/>
              </w:rPr>
              <w:t>a × b</w:t>
            </w:r>
          </w:p>
        </w:tc>
        <w:tc>
          <w:tcPr>
            <w:tcW w:w="992" w:type="dxa"/>
            <w:tcBorders>
              <w:top w:val="nil"/>
              <w:left w:val="nil"/>
              <w:bottom w:val="nil"/>
              <w:right w:val="nil"/>
            </w:tcBorders>
          </w:tcPr>
          <w:p w14:paraId="491887E0"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0.395</w:t>
            </w:r>
          </w:p>
        </w:tc>
        <w:tc>
          <w:tcPr>
            <w:tcW w:w="776" w:type="dxa"/>
            <w:tcBorders>
              <w:top w:val="nil"/>
              <w:left w:val="nil"/>
              <w:bottom w:val="nil"/>
              <w:right w:val="nil"/>
            </w:tcBorders>
          </w:tcPr>
          <w:p w14:paraId="4D2169C7"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0.217</w:t>
            </w:r>
          </w:p>
        </w:tc>
        <w:tc>
          <w:tcPr>
            <w:tcW w:w="900" w:type="dxa"/>
            <w:tcBorders>
              <w:top w:val="nil"/>
              <w:left w:val="nil"/>
              <w:bottom w:val="nil"/>
              <w:right w:val="nil"/>
            </w:tcBorders>
          </w:tcPr>
          <w:p w14:paraId="15E3C320"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1.82</w:t>
            </w:r>
          </w:p>
        </w:tc>
        <w:tc>
          <w:tcPr>
            <w:tcW w:w="990" w:type="dxa"/>
            <w:tcBorders>
              <w:top w:val="nil"/>
              <w:left w:val="nil"/>
              <w:bottom w:val="nil"/>
              <w:right w:val="nil"/>
            </w:tcBorders>
          </w:tcPr>
          <w:p w14:paraId="5DC14F35"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0.068</w:t>
            </w:r>
          </w:p>
        </w:tc>
        <w:tc>
          <w:tcPr>
            <w:tcW w:w="1170" w:type="dxa"/>
            <w:tcBorders>
              <w:top w:val="single" w:sz="4" w:space="0" w:color="333333"/>
              <w:left w:val="nil"/>
              <w:bottom w:val="nil"/>
              <w:right w:val="nil"/>
            </w:tcBorders>
          </w:tcPr>
          <w:p w14:paraId="5C088104" w14:textId="77777777" w:rsidR="00D9634B" w:rsidRPr="00E77B24" w:rsidRDefault="00D9634B" w:rsidP="001649D7">
            <w:pPr>
              <w:jc w:val="center"/>
              <w:rPr>
                <w:sz w:val="20"/>
                <w:szCs w:val="20"/>
              </w:rPr>
            </w:pPr>
            <w:r>
              <w:rPr>
                <w:sz w:val="20"/>
                <w:szCs w:val="20"/>
              </w:rPr>
              <w:t>Accepted</w:t>
            </w:r>
          </w:p>
        </w:tc>
        <w:tc>
          <w:tcPr>
            <w:tcW w:w="1530" w:type="dxa"/>
            <w:tcBorders>
              <w:top w:val="single" w:sz="4" w:space="0" w:color="333333"/>
              <w:left w:val="nil"/>
              <w:bottom w:val="nil"/>
              <w:right w:val="nil"/>
            </w:tcBorders>
          </w:tcPr>
          <w:p w14:paraId="4D4A4B59" w14:textId="77777777" w:rsidR="00D9634B" w:rsidRPr="00E77B24" w:rsidRDefault="00D9634B" w:rsidP="001649D7">
            <w:pPr>
              <w:jc w:val="center"/>
              <w:rPr>
                <w:sz w:val="20"/>
                <w:szCs w:val="20"/>
              </w:rPr>
            </w:pPr>
            <w:r>
              <w:rPr>
                <w:sz w:val="20"/>
                <w:szCs w:val="20"/>
              </w:rPr>
              <w:t>Not Significant</w:t>
            </w:r>
          </w:p>
        </w:tc>
      </w:tr>
      <w:tr w:rsidR="00D9634B" w:rsidRPr="00E77B24" w14:paraId="4BF28836" w14:textId="77777777" w:rsidTr="00525096">
        <w:tc>
          <w:tcPr>
            <w:tcW w:w="1075" w:type="dxa"/>
            <w:tcBorders>
              <w:top w:val="nil"/>
              <w:left w:val="nil"/>
              <w:bottom w:val="nil"/>
              <w:right w:val="nil"/>
            </w:tcBorders>
          </w:tcPr>
          <w:p w14:paraId="5342A9FA" w14:textId="77777777" w:rsidR="00D9634B" w:rsidRPr="00E77B24" w:rsidRDefault="00D9634B" w:rsidP="001649D7">
            <w:pPr>
              <w:rPr>
                <w:sz w:val="20"/>
                <w:szCs w:val="20"/>
              </w:rPr>
            </w:pPr>
            <w:r w:rsidRPr="00E77B24">
              <w:rPr>
                <w:rFonts w:eastAsia="Times New Roman"/>
                <w:sz w:val="20"/>
                <w:szCs w:val="20"/>
              </w:rPr>
              <w:t>Direct</w:t>
            </w:r>
          </w:p>
        </w:tc>
        <w:tc>
          <w:tcPr>
            <w:tcW w:w="1472" w:type="dxa"/>
            <w:tcBorders>
              <w:top w:val="nil"/>
              <w:left w:val="nil"/>
              <w:bottom w:val="nil"/>
              <w:right w:val="nil"/>
            </w:tcBorders>
          </w:tcPr>
          <w:p w14:paraId="3F7FB7AF" w14:textId="77777777" w:rsidR="00D9634B" w:rsidRPr="00E77B24" w:rsidRDefault="00D9634B" w:rsidP="001649D7">
            <w:pPr>
              <w:jc w:val="center"/>
              <w:rPr>
                <w:sz w:val="20"/>
                <w:szCs w:val="20"/>
                <w:vertAlign w:val="superscript"/>
              </w:rPr>
            </w:pPr>
            <w:r w:rsidRPr="00E77B24">
              <w:rPr>
                <w:rFonts w:eastAsia="Times New Roman"/>
                <w:sz w:val="20"/>
                <w:szCs w:val="20"/>
              </w:rPr>
              <w:t>c</w:t>
            </w:r>
            <w:r w:rsidRPr="00E77B24">
              <w:rPr>
                <w:rFonts w:eastAsia="Times New Roman"/>
                <w:sz w:val="20"/>
                <w:szCs w:val="20"/>
                <w:vertAlign w:val="superscript"/>
              </w:rPr>
              <w:t>’</w:t>
            </w:r>
          </w:p>
        </w:tc>
        <w:tc>
          <w:tcPr>
            <w:tcW w:w="992" w:type="dxa"/>
            <w:tcBorders>
              <w:top w:val="nil"/>
              <w:left w:val="nil"/>
              <w:bottom w:val="nil"/>
              <w:right w:val="nil"/>
            </w:tcBorders>
          </w:tcPr>
          <w:p w14:paraId="21B68294"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0.633</w:t>
            </w:r>
          </w:p>
        </w:tc>
        <w:tc>
          <w:tcPr>
            <w:tcW w:w="776" w:type="dxa"/>
            <w:tcBorders>
              <w:top w:val="nil"/>
              <w:left w:val="nil"/>
              <w:bottom w:val="nil"/>
              <w:right w:val="nil"/>
            </w:tcBorders>
          </w:tcPr>
          <w:p w14:paraId="71BC1E9C"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0.608</w:t>
            </w:r>
          </w:p>
        </w:tc>
        <w:tc>
          <w:tcPr>
            <w:tcW w:w="900" w:type="dxa"/>
            <w:tcBorders>
              <w:top w:val="nil"/>
              <w:left w:val="nil"/>
              <w:bottom w:val="nil"/>
              <w:right w:val="nil"/>
            </w:tcBorders>
          </w:tcPr>
          <w:p w14:paraId="58EF4560"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1.04</w:t>
            </w:r>
          </w:p>
        </w:tc>
        <w:tc>
          <w:tcPr>
            <w:tcW w:w="990" w:type="dxa"/>
            <w:tcBorders>
              <w:top w:val="nil"/>
              <w:left w:val="nil"/>
              <w:bottom w:val="nil"/>
              <w:right w:val="nil"/>
            </w:tcBorders>
          </w:tcPr>
          <w:p w14:paraId="6E4553B5"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0.297</w:t>
            </w:r>
          </w:p>
        </w:tc>
        <w:tc>
          <w:tcPr>
            <w:tcW w:w="1170" w:type="dxa"/>
            <w:tcBorders>
              <w:top w:val="nil"/>
              <w:left w:val="nil"/>
              <w:bottom w:val="nil"/>
              <w:right w:val="nil"/>
            </w:tcBorders>
          </w:tcPr>
          <w:p w14:paraId="74A92CCE" w14:textId="77777777" w:rsidR="00D9634B" w:rsidRPr="00E77B24" w:rsidRDefault="00D9634B" w:rsidP="001649D7">
            <w:pPr>
              <w:jc w:val="center"/>
              <w:rPr>
                <w:sz w:val="20"/>
                <w:szCs w:val="20"/>
              </w:rPr>
            </w:pPr>
            <w:r>
              <w:rPr>
                <w:sz w:val="20"/>
                <w:szCs w:val="20"/>
              </w:rPr>
              <w:t>Accepted</w:t>
            </w:r>
          </w:p>
        </w:tc>
        <w:tc>
          <w:tcPr>
            <w:tcW w:w="1530" w:type="dxa"/>
            <w:tcBorders>
              <w:top w:val="nil"/>
              <w:left w:val="nil"/>
              <w:bottom w:val="nil"/>
              <w:right w:val="nil"/>
            </w:tcBorders>
          </w:tcPr>
          <w:p w14:paraId="1928C3F7" w14:textId="77777777" w:rsidR="00D9634B" w:rsidRPr="00E77B24" w:rsidRDefault="00D9634B" w:rsidP="001649D7">
            <w:pPr>
              <w:jc w:val="center"/>
              <w:rPr>
                <w:sz w:val="20"/>
                <w:szCs w:val="20"/>
              </w:rPr>
            </w:pPr>
            <w:r>
              <w:rPr>
                <w:sz w:val="20"/>
                <w:szCs w:val="20"/>
              </w:rPr>
              <w:t>Not Significant</w:t>
            </w:r>
          </w:p>
        </w:tc>
      </w:tr>
      <w:tr w:rsidR="00D9634B" w:rsidRPr="00E77B24" w14:paraId="2E417E2C" w14:textId="77777777" w:rsidTr="00525096">
        <w:tc>
          <w:tcPr>
            <w:tcW w:w="1075" w:type="dxa"/>
            <w:tcBorders>
              <w:top w:val="nil"/>
              <w:left w:val="nil"/>
              <w:bottom w:val="single" w:sz="4" w:space="0" w:color="auto"/>
              <w:right w:val="nil"/>
            </w:tcBorders>
          </w:tcPr>
          <w:p w14:paraId="32606346" w14:textId="77777777" w:rsidR="00D9634B" w:rsidRPr="00E77B24" w:rsidRDefault="00D9634B" w:rsidP="001649D7">
            <w:pPr>
              <w:rPr>
                <w:sz w:val="20"/>
                <w:szCs w:val="20"/>
              </w:rPr>
            </w:pPr>
            <w:r w:rsidRPr="00E77B24">
              <w:rPr>
                <w:rFonts w:eastAsia="Times New Roman"/>
                <w:sz w:val="20"/>
                <w:szCs w:val="20"/>
              </w:rPr>
              <w:t>Total</w:t>
            </w:r>
          </w:p>
        </w:tc>
        <w:tc>
          <w:tcPr>
            <w:tcW w:w="1472" w:type="dxa"/>
            <w:tcBorders>
              <w:top w:val="nil"/>
              <w:left w:val="nil"/>
              <w:bottom w:val="single" w:sz="4" w:space="0" w:color="auto"/>
              <w:right w:val="nil"/>
            </w:tcBorders>
          </w:tcPr>
          <w:p w14:paraId="36CD3E3C" w14:textId="77777777" w:rsidR="00D9634B" w:rsidRPr="00E77B24" w:rsidRDefault="00D9634B" w:rsidP="001649D7">
            <w:pPr>
              <w:jc w:val="center"/>
              <w:rPr>
                <w:sz w:val="20"/>
                <w:szCs w:val="20"/>
              </w:rPr>
            </w:pPr>
            <w:r w:rsidRPr="00E77B24">
              <w:rPr>
                <w:rFonts w:eastAsia="Times New Roman"/>
                <w:sz w:val="20"/>
                <w:szCs w:val="20"/>
              </w:rPr>
              <w:t>c’ + a × b</w:t>
            </w:r>
          </w:p>
        </w:tc>
        <w:tc>
          <w:tcPr>
            <w:tcW w:w="992" w:type="dxa"/>
            <w:tcBorders>
              <w:top w:val="nil"/>
              <w:left w:val="nil"/>
              <w:bottom w:val="single" w:sz="4" w:space="0" w:color="auto"/>
              <w:right w:val="nil"/>
            </w:tcBorders>
          </w:tcPr>
          <w:p w14:paraId="7AD95A69"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1.028</w:t>
            </w:r>
          </w:p>
        </w:tc>
        <w:tc>
          <w:tcPr>
            <w:tcW w:w="776" w:type="dxa"/>
            <w:tcBorders>
              <w:top w:val="nil"/>
              <w:left w:val="nil"/>
              <w:bottom w:val="single" w:sz="4" w:space="0" w:color="auto"/>
              <w:right w:val="nil"/>
            </w:tcBorders>
          </w:tcPr>
          <w:p w14:paraId="7F6E6D72" w14:textId="77777777" w:rsidR="00D9634B" w:rsidRPr="00E77B24" w:rsidRDefault="00D9634B" w:rsidP="001649D7">
            <w:pPr>
              <w:jc w:val="center"/>
              <w:rPr>
                <w:sz w:val="20"/>
                <w:szCs w:val="20"/>
              </w:rPr>
            </w:pPr>
            <w:r w:rsidRPr="0031142B">
              <w:rPr>
                <w:rFonts w:ascii="Segoe UI" w:eastAsia="Times New Roman" w:hAnsi="Segoe UI" w:cs="Segoe UI"/>
                <w:color w:val="333333"/>
                <w:sz w:val="18"/>
                <w:szCs w:val="18"/>
              </w:rPr>
              <w:t>0.606</w:t>
            </w:r>
          </w:p>
        </w:tc>
        <w:tc>
          <w:tcPr>
            <w:tcW w:w="900" w:type="dxa"/>
            <w:tcBorders>
              <w:top w:val="nil"/>
              <w:left w:val="nil"/>
              <w:bottom w:val="single" w:sz="4" w:space="0" w:color="auto"/>
              <w:right w:val="nil"/>
            </w:tcBorders>
          </w:tcPr>
          <w:p w14:paraId="4A699FA1"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1.70</w:t>
            </w:r>
          </w:p>
        </w:tc>
        <w:tc>
          <w:tcPr>
            <w:tcW w:w="990" w:type="dxa"/>
            <w:tcBorders>
              <w:top w:val="nil"/>
              <w:left w:val="nil"/>
              <w:bottom w:val="single" w:sz="4" w:space="0" w:color="auto"/>
              <w:right w:val="nil"/>
            </w:tcBorders>
          </w:tcPr>
          <w:p w14:paraId="511DCF02" w14:textId="77777777" w:rsidR="00D9634B" w:rsidRPr="00C00ECA" w:rsidRDefault="00D9634B" w:rsidP="001649D7">
            <w:pPr>
              <w:jc w:val="center"/>
              <w:rPr>
                <w:color w:val="EE0000"/>
                <w:sz w:val="20"/>
                <w:szCs w:val="20"/>
              </w:rPr>
            </w:pPr>
            <w:r w:rsidRPr="0031142B">
              <w:rPr>
                <w:rFonts w:ascii="Segoe UI" w:eastAsia="Times New Roman" w:hAnsi="Segoe UI" w:cs="Segoe UI"/>
                <w:color w:val="333333"/>
                <w:sz w:val="18"/>
                <w:szCs w:val="18"/>
              </w:rPr>
              <w:t>0.090</w:t>
            </w:r>
          </w:p>
        </w:tc>
        <w:tc>
          <w:tcPr>
            <w:tcW w:w="1170" w:type="dxa"/>
            <w:tcBorders>
              <w:top w:val="nil"/>
              <w:left w:val="nil"/>
              <w:bottom w:val="single" w:sz="4" w:space="0" w:color="auto"/>
              <w:right w:val="nil"/>
            </w:tcBorders>
          </w:tcPr>
          <w:p w14:paraId="7F9B72AA" w14:textId="77777777" w:rsidR="00D9634B" w:rsidRPr="00E77B24" w:rsidRDefault="00D9634B" w:rsidP="001649D7">
            <w:pPr>
              <w:jc w:val="center"/>
              <w:rPr>
                <w:sz w:val="20"/>
                <w:szCs w:val="20"/>
              </w:rPr>
            </w:pPr>
            <w:r>
              <w:rPr>
                <w:sz w:val="20"/>
                <w:szCs w:val="20"/>
              </w:rPr>
              <w:t>Accepted</w:t>
            </w:r>
          </w:p>
        </w:tc>
        <w:tc>
          <w:tcPr>
            <w:tcW w:w="1530" w:type="dxa"/>
            <w:tcBorders>
              <w:top w:val="nil"/>
              <w:left w:val="nil"/>
              <w:bottom w:val="single" w:sz="4" w:space="0" w:color="auto"/>
              <w:right w:val="nil"/>
            </w:tcBorders>
          </w:tcPr>
          <w:p w14:paraId="098AD607" w14:textId="77777777" w:rsidR="00D9634B" w:rsidRPr="00E77B24" w:rsidRDefault="00D9634B" w:rsidP="001649D7">
            <w:pPr>
              <w:jc w:val="center"/>
              <w:rPr>
                <w:sz w:val="20"/>
                <w:szCs w:val="20"/>
              </w:rPr>
            </w:pPr>
            <w:r>
              <w:rPr>
                <w:sz w:val="20"/>
                <w:szCs w:val="20"/>
              </w:rPr>
              <w:t>Not Significant</w:t>
            </w:r>
          </w:p>
        </w:tc>
      </w:tr>
    </w:tbl>
    <w:p w14:paraId="3D69C4C1" w14:textId="77777777" w:rsidR="00F63E34" w:rsidRDefault="00F63E34" w:rsidP="00094458">
      <w:pPr>
        <w:ind w:firstLine="720"/>
        <w:jc w:val="both"/>
        <w:rPr>
          <w:rFonts w:ascii="Garamond" w:eastAsia="MS Mincho" w:hAnsi="Garamond"/>
          <w:bCs/>
          <w:sz w:val="20"/>
          <w:szCs w:val="20"/>
        </w:rPr>
      </w:pPr>
    </w:p>
    <w:p w14:paraId="1E8CA7EA" w14:textId="1EDADEE9" w:rsidR="00F63E34" w:rsidRPr="00F63E34" w:rsidRDefault="00F63E34" w:rsidP="00766C78">
      <w:pPr>
        <w:ind w:firstLine="720"/>
        <w:jc w:val="both"/>
        <w:rPr>
          <w:rFonts w:ascii="Garamond" w:eastAsia="MS Mincho" w:hAnsi="Garamond"/>
          <w:bCs/>
          <w:sz w:val="20"/>
          <w:szCs w:val="20"/>
          <w:lang w:val="en-US"/>
        </w:rPr>
      </w:pPr>
      <w:r w:rsidRPr="00F63E34">
        <w:rPr>
          <w:rFonts w:ascii="Garamond" w:eastAsia="MS Mincho" w:hAnsi="Garamond"/>
          <w:bCs/>
          <w:sz w:val="20"/>
          <w:szCs w:val="20"/>
          <w:lang w:val="en-US"/>
        </w:rPr>
        <w:lastRenderedPageBreak/>
        <w:t xml:space="preserve">In Table </w:t>
      </w:r>
      <w:r w:rsidR="0060766F">
        <w:rPr>
          <w:rFonts w:ascii="Garamond" w:eastAsia="MS Mincho" w:hAnsi="Garamond"/>
          <w:bCs/>
          <w:sz w:val="20"/>
          <w:szCs w:val="20"/>
          <w:lang w:val="en-US"/>
        </w:rPr>
        <w:t>3</w:t>
      </w:r>
      <w:r w:rsidRPr="00F63E34">
        <w:rPr>
          <w:rFonts w:ascii="Garamond" w:eastAsia="MS Mincho" w:hAnsi="Garamond"/>
          <w:bCs/>
          <w:sz w:val="20"/>
          <w:szCs w:val="20"/>
          <w:lang w:val="en-US"/>
        </w:rPr>
        <w:t xml:space="preserve">, the mediation analysis indicates that the indirect effect of Anxiety on Performance through Self-Efficacy </w:t>
      </w:r>
      <w:r w:rsidRPr="00291421">
        <w:rPr>
          <w:rFonts w:ascii="Garamond" w:eastAsia="MS Mincho" w:hAnsi="Garamond"/>
          <w:bCs/>
          <w:sz w:val="20"/>
          <w:szCs w:val="20"/>
          <w:lang w:val="en-US"/>
        </w:rPr>
        <w:t>(</w:t>
      </w:r>
      <w:r w:rsidRPr="00291421">
        <w:rPr>
          <w:rFonts w:ascii="Garamond" w:eastAsia="MS Mincho" w:hAnsi="Garamond"/>
          <w:bCs/>
          <w:iCs/>
          <w:sz w:val="20"/>
          <w:szCs w:val="20"/>
          <w:lang w:val="en-US"/>
        </w:rPr>
        <w:t>a × b</w:t>
      </w:r>
      <w:r w:rsidRPr="00291421">
        <w:rPr>
          <w:rFonts w:ascii="Garamond" w:eastAsia="MS Mincho" w:hAnsi="Garamond"/>
          <w:bCs/>
          <w:sz w:val="20"/>
          <w:szCs w:val="20"/>
          <w:lang w:val="en-US"/>
        </w:rPr>
        <w:t>)</w:t>
      </w:r>
      <w:r w:rsidRPr="00F63E34">
        <w:rPr>
          <w:rFonts w:ascii="Garamond" w:eastAsia="MS Mincho" w:hAnsi="Garamond"/>
          <w:bCs/>
          <w:sz w:val="20"/>
          <w:szCs w:val="20"/>
          <w:lang w:val="en-US"/>
        </w:rPr>
        <w:t xml:space="preserve"> has an estimate of 0.395 (p = 0.068). Although this p-value is slightly above the conventional threshold of 0.05, it suggests that the indirect effect is approaching statistical significance but cannot be considered significant at the 5% level.</w:t>
      </w:r>
      <w:r w:rsidR="00766C78">
        <w:rPr>
          <w:rFonts w:ascii="Garamond" w:eastAsia="MS Mincho" w:hAnsi="Garamond"/>
          <w:bCs/>
          <w:sz w:val="20"/>
          <w:szCs w:val="20"/>
          <w:lang w:val="en-US"/>
        </w:rPr>
        <w:t xml:space="preserve"> </w:t>
      </w:r>
      <w:r w:rsidRPr="00F63E34">
        <w:rPr>
          <w:rFonts w:ascii="Garamond" w:eastAsia="MS Mincho" w:hAnsi="Garamond"/>
          <w:bCs/>
          <w:sz w:val="20"/>
          <w:szCs w:val="20"/>
          <w:lang w:val="en-US"/>
        </w:rPr>
        <w:t xml:space="preserve">The direct effect of Anxiety on Performance </w:t>
      </w:r>
      <w:r w:rsidRPr="00291421">
        <w:rPr>
          <w:rFonts w:ascii="Garamond" w:eastAsia="MS Mincho" w:hAnsi="Garamond"/>
          <w:bCs/>
          <w:sz w:val="20"/>
          <w:szCs w:val="20"/>
          <w:lang w:val="en-US"/>
        </w:rPr>
        <w:t>(</w:t>
      </w:r>
      <w:r w:rsidR="00291421" w:rsidRPr="00291421">
        <w:rPr>
          <w:rFonts w:ascii="Garamond" w:eastAsia="MS Mincho" w:hAnsi="Garamond"/>
          <w:bCs/>
          <w:iCs/>
          <w:sz w:val="20"/>
          <w:szCs w:val="20"/>
          <w:lang w:val="en-US"/>
        </w:rPr>
        <w:t>c</w:t>
      </w:r>
      <w:r w:rsidRPr="00291421">
        <w:rPr>
          <w:rFonts w:ascii="Garamond" w:eastAsia="MS Mincho" w:hAnsi="Garamond"/>
          <w:bCs/>
          <w:sz w:val="20"/>
          <w:szCs w:val="20"/>
          <w:lang w:val="en-US"/>
        </w:rPr>
        <w:t>)</w:t>
      </w:r>
      <w:r w:rsidRPr="00F63E34">
        <w:rPr>
          <w:rFonts w:ascii="Garamond" w:eastAsia="MS Mincho" w:hAnsi="Garamond"/>
          <w:bCs/>
          <w:sz w:val="20"/>
          <w:szCs w:val="20"/>
          <w:lang w:val="en-US"/>
        </w:rPr>
        <w:t xml:space="preserve"> yielded an estimate of 0.633 (p = 0.297), demonstrating that the direct pathway is not statistically significant.</w:t>
      </w:r>
      <w:r w:rsidR="00766C78">
        <w:rPr>
          <w:rFonts w:ascii="Garamond" w:eastAsia="MS Mincho" w:hAnsi="Garamond"/>
          <w:bCs/>
          <w:sz w:val="20"/>
          <w:szCs w:val="20"/>
          <w:lang w:val="en-US"/>
        </w:rPr>
        <w:t xml:space="preserve"> </w:t>
      </w:r>
      <w:r w:rsidRPr="00F63E34">
        <w:rPr>
          <w:rFonts w:ascii="Garamond" w:eastAsia="MS Mincho" w:hAnsi="Garamond"/>
          <w:bCs/>
          <w:sz w:val="20"/>
          <w:szCs w:val="20"/>
          <w:lang w:val="en-US"/>
        </w:rPr>
        <w:t xml:space="preserve">Similarly, the total effect, which combines both the direct and indirect effects </w:t>
      </w:r>
      <w:r w:rsidRPr="00291421">
        <w:rPr>
          <w:rFonts w:ascii="Garamond" w:eastAsia="MS Mincho" w:hAnsi="Garamond"/>
          <w:bCs/>
          <w:sz w:val="20"/>
          <w:szCs w:val="20"/>
          <w:lang w:val="en-US"/>
        </w:rPr>
        <w:t>(</w:t>
      </w:r>
      <w:r w:rsidRPr="00291421">
        <w:rPr>
          <w:rFonts w:ascii="Garamond" w:eastAsia="MS Mincho" w:hAnsi="Garamond"/>
          <w:bCs/>
          <w:iCs/>
          <w:sz w:val="20"/>
          <w:szCs w:val="20"/>
          <w:lang w:val="en-US"/>
        </w:rPr>
        <w:t>c + a × b</w:t>
      </w:r>
      <w:r w:rsidRPr="00291421">
        <w:rPr>
          <w:rFonts w:ascii="Garamond" w:eastAsia="MS Mincho" w:hAnsi="Garamond"/>
          <w:bCs/>
          <w:sz w:val="20"/>
          <w:szCs w:val="20"/>
          <w:lang w:val="en-US"/>
        </w:rPr>
        <w:t>),</w:t>
      </w:r>
      <w:r w:rsidRPr="00F63E34">
        <w:rPr>
          <w:rFonts w:ascii="Garamond" w:eastAsia="MS Mincho" w:hAnsi="Garamond"/>
          <w:bCs/>
          <w:sz w:val="20"/>
          <w:szCs w:val="20"/>
          <w:lang w:val="en-US"/>
        </w:rPr>
        <w:t xml:space="preserve"> has an estimate of 1.028 with a p-value of 0.090. This also indicates a non-significant result.</w:t>
      </w:r>
      <w:r w:rsidR="00766C78">
        <w:rPr>
          <w:rFonts w:ascii="Garamond" w:eastAsia="MS Mincho" w:hAnsi="Garamond"/>
          <w:bCs/>
          <w:sz w:val="20"/>
          <w:szCs w:val="20"/>
          <w:lang w:val="en-US"/>
        </w:rPr>
        <w:t xml:space="preserve"> </w:t>
      </w:r>
      <w:r w:rsidRPr="00F63E34">
        <w:rPr>
          <w:rFonts w:ascii="Garamond" w:eastAsia="MS Mincho" w:hAnsi="Garamond"/>
          <w:bCs/>
          <w:sz w:val="20"/>
          <w:szCs w:val="20"/>
          <w:lang w:val="en-US"/>
        </w:rPr>
        <w:t>Since all p-values exceed 0.05, the null hypotheses for the indirect, direct, and total effects are accepted. Therefore, Self-Efficacy does not significantly mediate the relationship between Anxiety and Performance in this analysis, and Anxiety itself does not directly predict Performance to a statistically significant degree.</w:t>
      </w:r>
      <w:r w:rsidR="00766C78">
        <w:rPr>
          <w:rFonts w:ascii="Garamond" w:eastAsia="MS Mincho" w:hAnsi="Garamond"/>
          <w:bCs/>
          <w:sz w:val="20"/>
          <w:szCs w:val="20"/>
          <w:lang w:val="en-US"/>
        </w:rPr>
        <w:t xml:space="preserve"> </w:t>
      </w:r>
      <w:r w:rsidRPr="00F63E34">
        <w:rPr>
          <w:rFonts w:ascii="Garamond" w:eastAsia="MS Mincho" w:hAnsi="Garamond"/>
          <w:bCs/>
          <w:sz w:val="20"/>
          <w:szCs w:val="20"/>
          <w:lang w:val="en-US"/>
        </w:rPr>
        <w:t>While the indirect effect approaches significance, suggesting a possible trend, the findings imply that other factors or mechanisms not captured in this model may contribute to how Anxiety influences Performance</w:t>
      </w:r>
      <w:r w:rsidR="00291421">
        <w:rPr>
          <w:rFonts w:ascii="Garamond" w:eastAsia="MS Mincho" w:hAnsi="Garamond"/>
          <w:bCs/>
          <w:sz w:val="20"/>
          <w:szCs w:val="20"/>
          <w:lang w:val="en-US"/>
        </w:rPr>
        <w:t>.</w:t>
      </w:r>
    </w:p>
    <w:p w14:paraId="7E446B46" w14:textId="77777777" w:rsidR="00525096" w:rsidRDefault="00525096" w:rsidP="00525096">
      <w:pPr>
        <w:jc w:val="both"/>
        <w:rPr>
          <w:rFonts w:ascii="Garamond" w:eastAsia="MS Mincho" w:hAnsi="Garamond"/>
          <w:sz w:val="20"/>
          <w:szCs w:val="20"/>
        </w:rPr>
      </w:pPr>
    </w:p>
    <w:p w14:paraId="3B9758D8" w14:textId="693FB29B" w:rsidR="00835359" w:rsidRDefault="006D6501" w:rsidP="00835359">
      <w:pPr>
        <w:jc w:val="both"/>
        <w:rPr>
          <w:rFonts w:ascii="Garamond" w:eastAsia="MS Mincho" w:hAnsi="Garamond"/>
          <w:b/>
          <w:bCs/>
          <w:sz w:val="20"/>
          <w:szCs w:val="20"/>
        </w:rPr>
      </w:pPr>
      <w:r w:rsidRPr="006D6501">
        <w:rPr>
          <w:rFonts w:ascii="Garamond" w:eastAsia="MS Mincho" w:hAnsi="Garamond"/>
          <w:b/>
          <w:bCs/>
          <w:sz w:val="20"/>
          <w:szCs w:val="20"/>
        </w:rPr>
        <w:t>Discussion</w:t>
      </w:r>
    </w:p>
    <w:p w14:paraId="4BB3D47A" w14:textId="77777777" w:rsidR="009333BC" w:rsidRPr="006D6501" w:rsidRDefault="009333BC" w:rsidP="00835359">
      <w:pPr>
        <w:jc w:val="both"/>
        <w:rPr>
          <w:rFonts w:ascii="Garamond" w:eastAsia="MS Mincho" w:hAnsi="Garamond"/>
          <w:b/>
          <w:bCs/>
          <w:sz w:val="20"/>
          <w:szCs w:val="20"/>
        </w:rPr>
      </w:pPr>
    </w:p>
    <w:p w14:paraId="74A1D9C7" w14:textId="7876FFEF" w:rsidR="006B5921" w:rsidRDefault="00FF2CDC" w:rsidP="00602407">
      <w:pPr>
        <w:ind w:firstLine="720"/>
        <w:jc w:val="both"/>
        <w:rPr>
          <w:rFonts w:ascii="Garamond" w:eastAsia="MS Mincho" w:hAnsi="Garamond"/>
          <w:sz w:val="20"/>
          <w:szCs w:val="20"/>
          <w:lang w:val="en-US"/>
        </w:rPr>
      </w:pPr>
      <w:r w:rsidRPr="00FF2CDC">
        <w:rPr>
          <w:rFonts w:ascii="Garamond" w:eastAsia="MS Mincho" w:hAnsi="Garamond"/>
          <w:sz w:val="20"/>
          <w:szCs w:val="20"/>
        </w:rPr>
        <w:t xml:space="preserve">The findings shown in Table 1 indicate that Grade 9 students at Sta. Ana National High School </w:t>
      </w:r>
      <w:r w:rsidR="00525096">
        <w:rPr>
          <w:rFonts w:ascii="Garamond" w:eastAsia="MS Mincho" w:hAnsi="Garamond"/>
          <w:sz w:val="20"/>
          <w:szCs w:val="20"/>
        </w:rPr>
        <w:t>demonstrates</w:t>
      </w:r>
      <w:r w:rsidRPr="00FF2CDC">
        <w:rPr>
          <w:rFonts w:ascii="Garamond" w:eastAsia="MS Mincho" w:hAnsi="Garamond"/>
          <w:sz w:val="20"/>
          <w:szCs w:val="20"/>
        </w:rPr>
        <w:t xml:space="preserve"> a notably high level of academic performance in mathematics (Mean = 86.99), even in the presence of moderate levels of mathematics anxiety (Mean = 3.11). The most significant anxiety levels were noted in the affective domain (Mean = 3.87), indicating that students exhibit a stronger emotional response to mathematics compared to cognitive or </w:t>
      </w:r>
      <w:proofErr w:type="spellStart"/>
      <w:r w:rsidR="0014251E" w:rsidRPr="0027333C">
        <w:rPr>
          <w:rFonts w:ascii="Garamond" w:eastAsia="MS Mincho" w:hAnsi="Garamond"/>
          <w:sz w:val="20"/>
          <w:szCs w:val="20"/>
          <w:highlight w:val="yellow"/>
        </w:rPr>
        <w:t>behavioural</w:t>
      </w:r>
      <w:proofErr w:type="spellEnd"/>
      <w:r w:rsidR="0014251E" w:rsidRPr="0027333C">
        <w:rPr>
          <w:rFonts w:ascii="Garamond" w:eastAsia="MS Mincho" w:hAnsi="Garamond"/>
          <w:sz w:val="20"/>
          <w:szCs w:val="20"/>
          <w:highlight w:val="yellow"/>
        </w:rPr>
        <w:t xml:space="preserve"> </w:t>
      </w:r>
      <w:r w:rsidRPr="00FF2CDC">
        <w:rPr>
          <w:rFonts w:ascii="Garamond" w:eastAsia="MS Mincho" w:hAnsi="Garamond"/>
          <w:sz w:val="20"/>
          <w:szCs w:val="20"/>
        </w:rPr>
        <w:t xml:space="preserve">aspects. The students indicated elevated self-efficacy levels, especially </w:t>
      </w:r>
      <w:r w:rsidR="00525096">
        <w:rPr>
          <w:rFonts w:ascii="Garamond" w:eastAsia="MS Mincho" w:hAnsi="Garamond"/>
          <w:sz w:val="20"/>
          <w:szCs w:val="20"/>
        </w:rPr>
        <w:t>concerning</w:t>
      </w:r>
      <w:r w:rsidRPr="00FF2CDC">
        <w:rPr>
          <w:rFonts w:ascii="Garamond" w:eastAsia="MS Mincho" w:hAnsi="Garamond"/>
          <w:sz w:val="20"/>
          <w:szCs w:val="20"/>
        </w:rPr>
        <w:t xml:space="preserve"> vicarious experiences (Mean = 3.93), which underscores the impact of peer and teacher modelling on fostering confidence. This result aligns with the findings of (</w:t>
      </w:r>
      <w:proofErr w:type="spellStart"/>
      <w:r w:rsidRPr="00FF2CDC">
        <w:rPr>
          <w:rFonts w:ascii="Garamond" w:eastAsia="MS Mincho" w:hAnsi="Garamond"/>
          <w:sz w:val="20"/>
          <w:szCs w:val="20"/>
        </w:rPr>
        <w:t>Ablian</w:t>
      </w:r>
      <w:proofErr w:type="spellEnd"/>
      <w:r w:rsidRPr="00FF2CDC">
        <w:rPr>
          <w:rFonts w:ascii="Garamond" w:eastAsia="MS Mincho" w:hAnsi="Garamond"/>
          <w:sz w:val="20"/>
          <w:szCs w:val="20"/>
        </w:rPr>
        <w:t xml:space="preserve"> and </w:t>
      </w:r>
      <w:proofErr w:type="spellStart"/>
      <w:r w:rsidRPr="00FF2CDC">
        <w:rPr>
          <w:rFonts w:ascii="Garamond" w:eastAsia="MS Mincho" w:hAnsi="Garamond"/>
          <w:sz w:val="20"/>
          <w:szCs w:val="20"/>
        </w:rPr>
        <w:t>Paranga</w:t>
      </w:r>
      <w:proofErr w:type="spellEnd"/>
      <w:r w:rsidRPr="00FF2CDC">
        <w:rPr>
          <w:rFonts w:ascii="Garamond" w:eastAsia="MS Mincho" w:hAnsi="Garamond"/>
          <w:sz w:val="20"/>
          <w:szCs w:val="20"/>
        </w:rPr>
        <w:t xml:space="preserve">, 2022), </w:t>
      </w:r>
      <w:r w:rsidR="0014251E" w:rsidRPr="0027333C">
        <w:rPr>
          <w:rFonts w:ascii="Garamond" w:eastAsia="MS Mincho" w:hAnsi="Garamond"/>
          <w:sz w:val="20"/>
          <w:szCs w:val="20"/>
          <w:highlight w:val="yellow"/>
        </w:rPr>
        <w:t xml:space="preserve">who </w:t>
      </w:r>
      <w:r w:rsidRPr="00FF2CDC">
        <w:rPr>
          <w:rFonts w:ascii="Garamond" w:eastAsia="MS Mincho" w:hAnsi="Garamond"/>
          <w:sz w:val="20"/>
          <w:szCs w:val="20"/>
        </w:rPr>
        <w:t>observed that students with stronger self-belief are less likely to exhibit severe physiological and emotional symptoms of anxiety</w:t>
      </w:r>
      <w:r w:rsidR="006B5921" w:rsidRPr="006B5921">
        <w:rPr>
          <w:rFonts w:ascii="Garamond" w:eastAsia="MS Mincho" w:hAnsi="Garamond"/>
          <w:sz w:val="20"/>
          <w:szCs w:val="20"/>
          <w:lang w:val="en-US"/>
        </w:rPr>
        <w:t>.</w:t>
      </w:r>
    </w:p>
    <w:p w14:paraId="7EAC8220" w14:textId="77777777" w:rsidR="009F1227" w:rsidRDefault="009F1227" w:rsidP="00602407">
      <w:pPr>
        <w:ind w:firstLine="720"/>
        <w:jc w:val="both"/>
        <w:rPr>
          <w:rFonts w:ascii="Garamond" w:eastAsia="MS Mincho" w:hAnsi="Garamond"/>
          <w:sz w:val="20"/>
          <w:szCs w:val="20"/>
          <w:lang w:val="en-US"/>
        </w:rPr>
      </w:pPr>
    </w:p>
    <w:p w14:paraId="0902DA55" w14:textId="3CDD3DD3" w:rsidR="009F1227" w:rsidRDefault="00F409F8" w:rsidP="00602407">
      <w:pPr>
        <w:ind w:firstLine="720"/>
        <w:jc w:val="both"/>
        <w:rPr>
          <w:rFonts w:ascii="Garamond" w:eastAsia="MS Mincho" w:hAnsi="Garamond"/>
          <w:sz w:val="20"/>
          <w:szCs w:val="20"/>
        </w:rPr>
      </w:pPr>
      <w:r>
        <w:rPr>
          <w:rFonts w:ascii="Garamond" w:eastAsia="MS Mincho" w:hAnsi="Garamond"/>
          <w:sz w:val="20"/>
          <w:szCs w:val="20"/>
        </w:rPr>
        <w:t>T</w:t>
      </w:r>
      <w:r w:rsidRPr="00F409F8">
        <w:rPr>
          <w:rFonts w:ascii="Garamond" w:eastAsia="MS Mincho" w:hAnsi="Garamond"/>
          <w:sz w:val="20"/>
          <w:szCs w:val="20"/>
        </w:rPr>
        <w:t>able 2 illustrates a significant positive correlation between self-efficacy and mathematics performance (</w:t>
      </w:r>
      <w:r w:rsidRPr="00F409F8">
        <w:rPr>
          <w:rFonts w:ascii="Garamond" w:eastAsia="MS Mincho" w:hAnsi="Garamond"/>
          <w:i/>
          <w:iCs/>
          <w:sz w:val="20"/>
          <w:szCs w:val="20"/>
        </w:rPr>
        <w:t>r</w:t>
      </w:r>
      <w:r w:rsidRPr="00F409F8">
        <w:rPr>
          <w:rFonts w:ascii="Garamond" w:eastAsia="MS Mincho" w:hAnsi="Garamond"/>
          <w:sz w:val="20"/>
          <w:szCs w:val="20"/>
        </w:rPr>
        <w:t xml:space="preserve"> = 0.236, </w:t>
      </w:r>
      <w:r w:rsidRPr="00F409F8">
        <w:rPr>
          <w:rFonts w:ascii="Garamond" w:eastAsia="MS Mincho" w:hAnsi="Garamond"/>
          <w:i/>
          <w:iCs/>
          <w:sz w:val="20"/>
          <w:szCs w:val="20"/>
        </w:rPr>
        <w:t>p</w:t>
      </w:r>
      <w:r w:rsidRPr="00F409F8">
        <w:rPr>
          <w:rFonts w:ascii="Garamond" w:eastAsia="MS Mincho" w:hAnsi="Garamond"/>
          <w:sz w:val="20"/>
          <w:szCs w:val="20"/>
        </w:rPr>
        <w:t xml:space="preserve"> = 0.002), supporting Bandura’s (1994) assertion that belief in one’s capabilities directly enhances motivation and achievement. Interestingly, although mathematics anxiety did not show a significant correlation with performance (</w:t>
      </w:r>
      <w:r w:rsidRPr="00F409F8">
        <w:rPr>
          <w:rFonts w:ascii="Garamond" w:eastAsia="MS Mincho" w:hAnsi="Garamond"/>
          <w:i/>
          <w:iCs/>
          <w:sz w:val="20"/>
          <w:szCs w:val="20"/>
        </w:rPr>
        <w:t>r</w:t>
      </w:r>
      <w:r w:rsidRPr="00F409F8">
        <w:rPr>
          <w:rFonts w:ascii="Garamond" w:eastAsia="MS Mincho" w:hAnsi="Garamond"/>
          <w:sz w:val="20"/>
          <w:szCs w:val="20"/>
        </w:rPr>
        <w:t xml:space="preserve"> = 0.132, </w:t>
      </w:r>
      <w:r w:rsidRPr="00F409F8">
        <w:rPr>
          <w:rFonts w:ascii="Garamond" w:eastAsia="MS Mincho" w:hAnsi="Garamond"/>
          <w:i/>
          <w:iCs/>
          <w:sz w:val="20"/>
          <w:szCs w:val="20"/>
        </w:rPr>
        <w:t>p</w:t>
      </w:r>
      <w:r w:rsidRPr="00F409F8">
        <w:rPr>
          <w:rFonts w:ascii="Garamond" w:eastAsia="MS Mincho" w:hAnsi="Garamond"/>
          <w:sz w:val="20"/>
          <w:szCs w:val="20"/>
        </w:rPr>
        <w:t xml:space="preserve"> = 0.085), it was positively correlated with self-efficacy (</w:t>
      </w:r>
      <w:r w:rsidRPr="00F409F8">
        <w:rPr>
          <w:rFonts w:ascii="Garamond" w:eastAsia="MS Mincho" w:hAnsi="Garamond"/>
          <w:i/>
          <w:iCs/>
          <w:sz w:val="20"/>
          <w:szCs w:val="20"/>
        </w:rPr>
        <w:t>r</w:t>
      </w:r>
      <w:r w:rsidRPr="00F409F8">
        <w:rPr>
          <w:rFonts w:ascii="Garamond" w:eastAsia="MS Mincho" w:hAnsi="Garamond"/>
          <w:sz w:val="20"/>
          <w:szCs w:val="20"/>
        </w:rPr>
        <w:t xml:space="preserve"> = 0.234, </w:t>
      </w:r>
      <w:r w:rsidRPr="00F409F8">
        <w:rPr>
          <w:rFonts w:ascii="Garamond" w:eastAsia="MS Mincho" w:hAnsi="Garamond"/>
          <w:i/>
          <w:iCs/>
          <w:sz w:val="20"/>
          <w:szCs w:val="20"/>
        </w:rPr>
        <w:t>p</w:t>
      </w:r>
      <w:r w:rsidRPr="00F409F8">
        <w:rPr>
          <w:rFonts w:ascii="Garamond" w:eastAsia="MS Mincho" w:hAnsi="Garamond"/>
          <w:sz w:val="20"/>
          <w:szCs w:val="20"/>
        </w:rPr>
        <w:t xml:space="preserve"> = 0.002), a finding that diverges from conventional expectations (Ashcraft &amp; Krause, 2007). Aksu et al. (2016) noted that high-achieving students may encounter simultaneous anxiety and self-efficacy stemming from the pressure to excel. The findings suggest that certain students, despite their self-assurance in their skills, might still encounter anxiety arising from external pressures or elevated personal standards (</w:t>
      </w:r>
      <w:proofErr w:type="spellStart"/>
      <w:r w:rsidRPr="00F409F8">
        <w:rPr>
          <w:rFonts w:ascii="Garamond" w:eastAsia="MS Mincho" w:hAnsi="Garamond"/>
          <w:sz w:val="20"/>
          <w:szCs w:val="20"/>
        </w:rPr>
        <w:t>Putwain</w:t>
      </w:r>
      <w:proofErr w:type="spellEnd"/>
      <w:r w:rsidRPr="00F409F8">
        <w:rPr>
          <w:rFonts w:ascii="Garamond" w:eastAsia="MS Mincho" w:hAnsi="Garamond"/>
          <w:sz w:val="20"/>
          <w:szCs w:val="20"/>
        </w:rPr>
        <w:t xml:space="preserve"> &amp; Daniels, 2010). Therefore, although math anxiety does not directly hinder performance, its indirect impacts on self-perception deserve consideration in instructional design.</w:t>
      </w:r>
    </w:p>
    <w:p w14:paraId="7E9088E1" w14:textId="77777777" w:rsidR="00F409F8" w:rsidRDefault="00F409F8" w:rsidP="00602407">
      <w:pPr>
        <w:ind w:firstLine="720"/>
        <w:jc w:val="both"/>
        <w:rPr>
          <w:rFonts w:ascii="Garamond" w:eastAsia="MS Mincho" w:hAnsi="Garamond"/>
          <w:sz w:val="20"/>
          <w:szCs w:val="20"/>
          <w:lang w:val="en-US"/>
        </w:rPr>
      </w:pPr>
    </w:p>
    <w:bookmarkEnd w:id="6"/>
    <w:p w14:paraId="2A98B7C2" w14:textId="205023AB" w:rsidR="00BE63E3" w:rsidRDefault="00204DB3" w:rsidP="00086CD5">
      <w:pPr>
        <w:ind w:firstLine="720"/>
        <w:jc w:val="both"/>
        <w:rPr>
          <w:rFonts w:ascii="Garamond" w:eastAsia="MS Mincho" w:hAnsi="Garamond"/>
          <w:sz w:val="20"/>
          <w:szCs w:val="20"/>
          <w:lang w:val="en-US"/>
        </w:rPr>
      </w:pPr>
      <w:r w:rsidRPr="00204DB3">
        <w:rPr>
          <w:rFonts w:ascii="Garamond" w:eastAsia="MS Mincho" w:hAnsi="Garamond"/>
          <w:sz w:val="20"/>
          <w:szCs w:val="20"/>
          <w:lang w:val="en-US"/>
        </w:rPr>
        <w:t>The mediation analysis presented in Table 3 highlights the potential role of self-efficacy in shaping students’ academic performance. The indirect effect of anxiety on performance through self-efficacy (a × b = 0.395, 95% CI [0.072, 0.909], p = 0.068) approached statistical significance, suggesting that anxiety could partly impact performance by lowering students’ confidence in their abilities. In contrast, the direct effect (c = 0.633, p = 0.297) was not statistically significant. This pattern points to a possible partial mediation effect, although the evidence is not conclusive.</w:t>
      </w:r>
      <w:r>
        <w:rPr>
          <w:rFonts w:ascii="Garamond" w:eastAsia="MS Mincho" w:hAnsi="Garamond"/>
          <w:sz w:val="20"/>
          <w:szCs w:val="20"/>
          <w:lang w:val="en-US"/>
        </w:rPr>
        <w:t xml:space="preserve"> </w:t>
      </w:r>
      <w:r w:rsidRPr="00204DB3">
        <w:rPr>
          <w:rFonts w:ascii="Garamond" w:eastAsia="MS Mincho" w:hAnsi="Garamond"/>
          <w:sz w:val="20"/>
          <w:szCs w:val="20"/>
          <w:lang w:val="en-US"/>
        </w:rPr>
        <w:t xml:space="preserve">These findings are consistent with earlier research by Namkung et al. (2019), who found that strengthening self-efficacy can help reduce the harmful influence of anxiety on academic outcomes. Similarly, Burhanuddin and Affandi (2024) described self-efficacy as a psychological buffer that enables students to better manage </w:t>
      </w:r>
      <w:r w:rsidR="0014251E" w:rsidRPr="0027333C">
        <w:rPr>
          <w:rFonts w:ascii="Garamond" w:eastAsia="MS Mincho" w:hAnsi="Garamond"/>
          <w:sz w:val="20"/>
          <w:szCs w:val="20"/>
          <w:highlight w:val="yellow"/>
          <w:lang w:val="en-US"/>
        </w:rPr>
        <w:t>anxiety-related</w:t>
      </w:r>
      <w:r w:rsidRPr="0027333C">
        <w:rPr>
          <w:rFonts w:ascii="Garamond" w:eastAsia="MS Mincho" w:hAnsi="Garamond"/>
          <w:sz w:val="20"/>
          <w:szCs w:val="20"/>
          <w:highlight w:val="yellow"/>
          <w:lang w:val="en-US"/>
        </w:rPr>
        <w:t xml:space="preserve"> </w:t>
      </w:r>
      <w:r w:rsidRPr="00204DB3">
        <w:rPr>
          <w:rFonts w:ascii="Garamond" w:eastAsia="MS Mincho" w:hAnsi="Garamond"/>
          <w:sz w:val="20"/>
          <w:szCs w:val="20"/>
          <w:lang w:val="en-US"/>
        </w:rPr>
        <w:t xml:space="preserve">challenges in school. Ramirez et al. (2018) also </w:t>
      </w:r>
      <w:proofErr w:type="spellStart"/>
      <w:r w:rsidR="0014251E" w:rsidRPr="0027333C">
        <w:rPr>
          <w:rFonts w:ascii="Garamond" w:eastAsia="MS Mincho" w:hAnsi="Garamond"/>
          <w:sz w:val="20"/>
          <w:szCs w:val="20"/>
          <w:highlight w:val="yellow"/>
          <w:lang w:val="en-US"/>
        </w:rPr>
        <w:t>emphasised</w:t>
      </w:r>
      <w:proofErr w:type="spellEnd"/>
      <w:r w:rsidR="0014251E" w:rsidRPr="0027333C">
        <w:rPr>
          <w:rFonts w:ascii="Garamond" w:eastAsia="MS Mincho" w:hAnsi="Garamond"/>
          <w:sz w:val="20"/>
          <w:szCs w:val="20"/>
          <w:highlight w:val="yellow"/>
          <w:lang w:val="en-US"/>
        </w:rPr>
        <w:t xml:space="preserve"> </w:t>
      </w:r>
      <w:r w:rsidRPr="00204DB3">
        <w:rPr>
          <w:rFonts w:ascii="Garamond" w:eastAsia="MS Mincho" w:hAnsi="Garamond"/>
          <w:sz w:val="20"/>
          <w:szCs w:val="20"/>
          <w:lang w:val="en-US"/>
        </w:rPr>
        <w:t>the importance of incorporating strategies such as cognitive restructuring and emotional regulation to help learners maintain their performance even when anxiety is high.</w:t>
      </w:r>
      <w:r>
        <w:rPr>
          <w:rFonts w:ascii="Garamond" w:eastAsia="MS Mincho" w:hAnsi="Garamond"/>
          <w:sz w:val="20"/>
          <w:szCs w:val="20"/>
          <w:lang w:val="en-US"/>
        </w:rPr>
        <w:t xml:space="preserve"> </w:t>
      </w:r>
      <w:r w:rsidRPr="00204DB3">
        <w:rPr>
          <w:rFonts w:ascii="Garamond" w:eastAsia="MS Mincho" w:hAnsi="Garamond"/>
          <w:sz w:val="20"/>
          <w:szCs w:val="20"/>
          <w:lang w:val="en-US"/>
        </w:rPr>
        <w:t xml:space="preserve">Moreover, the results align with studies by Akin and </w:t>
      </w:r>
      <w:proofErr w:type="spellStart"/>
      <w:r w:rsidRPr="00204DB3">
        <w:rPr>
          <w:rFonts w:ascii="Garamond" w:eastAsia="MS Mincho" w:hAnsi="Garamond"/>
          <w:sz w:val="20"/>
          <w:szCs w:val="20"/>
          <w:lang w:val="en-US"/>
        </w:rPr>
        <w:t>Kurbanoglu</w:t>
      </w:r>
      <w:proofErr w:type="spellEnd"/>
      <w:r w:rsidRPr="00204DB3">
        <w:rPr>
          <w:rFonts w:ascii="Garamond" w:eastAsia="MS Mincho" w:hAnsi="Garamond"/>
          <w:sz w:val="20"/>
          <w:szCs w:val="20"/>
          <w:lang w:val="en-US"/>
        </w:rPr>
        <w:t xml:space="preserve"> (2011), June and </w:t>
      </w:r>
      <w:proofErr w:type="spellStart"/>
      <w:r w:rsidRPr="00204DB3">
        <w:rPr>
          <w:rFonts w:ascii="Garamond" w:eastAsia="MS Mincho" w:hAnsi="Garamond"/>
          <w:sz w:val="20"/>
          <w:szCs w:val="20"/>
          <w:lang w:val="en-US"/>
        </w:rPr>
        <w:t>Eamoraphan</w:t>
      </w:r>
      <w:proofErr w:type="spellEnd"/>
      <w:r w:rsidRPr="00204DB3">
        <w:rPr>
          <w:rFonts w:ascii="Garamond" w:eastAsia="MS Mincho" w:hAnsi="Garamond"/>
          <w:sz w:val="20"/>
          <w:szCs w:val="20"/>
          <w:lang w:val="en-US"/>
        </w:rPr>
        <w:t xml:space="preserve"> (2019), and </w:t>
      </w:r>
      <w:proofErr w:type="spellStart"/>
      <w:r w:rsidRPr="00204DB3">
        <w:rPr>
          <w:rFonts w:ascii="Garamond" w:eastAsia="MS Mincho" w:hAnsi="Garamond"/>
          <w:sz w:val="20"/>
          <w:szCs w:val="20"/>
          <w:lang w:val="en-US"/>
        </w:rPr>
        <w:t>Julaihi</w:t>
      </w:r>
      <w:proofErr w:type="spellEnd"/>
      <w:r w:rsidRPr="00204DB3">
        <w:rPr>
          <w:rFonts w:ascii="Garamond" w:eastAsia="MS Mincho" w:hAnsi="Garamond"/>
          <w:sz w:val="20"/>
          <w:szCs w:val="20"/>
          <w:lang w:val="en-US"/>
        </w:rPr>
        <w:t xml:space="preserve"> et al. (2023), which reported that while self-efficacy is often significantly associated with mathematics achievement, its mediating role between anxiety and performance tends to be non-significant or only marginally supported. This suggests that other factors</w:t>
      </w:r>
      <w:r w:rsidR="0014251E">
        <w:rPr>
          <w:rFonts w:ascii="Garamond" w:eastAsia="MS Mincho" w:hAnsi="Garamond"/>
          <w:sz w:val="20"/>
          <w:szCs w:val="20"/>
          <w:lang w:val="en-US"/>
        </w:rPr>
        <w:t>,</w:t>
      </w:r>
      <w:r w:rsidRPr="00204DB3">
        <w:rPr>
          <w:rFonts w:ascii="Garamond" w:eastAsia="MS Mincho" w:hAnsi="Garamond"/>
          <w:sz w:val="20"/>
          <w:szCs w:val="20"/>
          <w:lang w:val="en-US"/>
        </w:rPr>
        <w:t xml:space="preserve"> such as attitudes toward learning, the use of effective study strategies, or the availability of social support</w:t>
      </w:r>
      <w:r w:rsidR="0014251E">
        <w:rPr>
          <w:rFonts w:ascii="Garamond" w:eastAsia="MS Mincho" w:hAnsi="Garamond"/>
          <w:sz w:val="20"/>
          <w:szCs w:val="20"/>
          <w:lang w:val="en-US"/>
        </w:rPr>
        <w:t>,</w:t>
      </w:r>
      <w:r w:rsidRPr="00204DB3">
        <w:rPr>
          <w:rFonts w:ascii="Garamond" w:eastAsia="MS Mincho" w:hAnsi="Garamond"/>
          <w:sz w:val="20"/>
          <w:szCs w:val="20"/>
          <w:lang w:val="en-US"/>
        </w:rPr>
        <w:t xml:space="preserve"> may also play important roles in shaping academic success.</w:t>
      </w:r>
      <w:r w:rsidR="00086CD5">
        <w:rPr>
          <w:rFonts w:ascii="Garamond" w:eastAsia="MS Mincho" w:hAnsi="Garamond"/>
          <w:sz w:val="20"/>
          <w:szCs w:val="20"/>
          <w:lang w:val="en-US"/>
        </w:rPr>
        <w:t xml:space="preserve"> </w:t>
      </w:r>
      <w:r w:rsidRPr="00204DB3">
        <w:rPr>
          <w:rFonts w:ascii="Garamond" w:eastAsia="MS Mincho" w:hAnsi="Garamond"/>
          <w:sz w:val="20"/>
          <w:szCs w:val="20"/>
          <w:lang w:val="en-US"/>
        </w:rPr>
        <w:t>Although the indirect effect in this analysis did not reach conventional levels of significance, the observed trend indicates that promoting self-efficacy could still be a worthwhile focus for intervention. Overall, these findings underscore the value of targeting students’ confidence in their capabilities within educational and psychological support programs. Rather than concentrating only on reducing anxiety symptoms, efforts to strengthen self-efficacy may help students become more resilient and achieve better academic outcomes. By fostering a stronger belief in their abilities, educators and practitioners can provide meaningful support to help learners manage anxiety and reach their goals.</w:t>
      </w:r>
    </w:p>
    <w:p w14:paraId="7AB1724D" w14:textId="77777777" w:rsidR="00086CD5" w:rsidRPr="00086CD5" w:rsidRDefault="00086CD5" w:rsidP="00086CD5">
      <w:pPr>
        <w:jc w:val="both"/>
        <w:rPr>
          <w:rFonts w:ascii="Garamond" w:eastAsia="MS Mincho" w:hAnsi="Garamond"/>
          <w:sz w:val="20"/>
          <w:szCs w:val="20"/>
          <w:lang w:val="en-US"/>
        </w:rPr>
      </w:pPr>
    </w:p>
    <w:p w14:paraId="54518241" w14:textId="31DA9BD3" w:rsidR="006B5921" w:rsidRDefault="00EE3C0A" w:rsidP="00BE63E3">
      <w:pPr>
        <w:jc w:val="both"/>
        <w:rPr>
          <w:rFonts w:ascii="Garamond" w:hAnsi="Garamond" w:cs="Times New Roman"/>
          <w:b/>
          <w:bCs/>
          <w:sz w:val="20"/>
          <w:szCs w:val="20"/>
        </w:rPr>
      </w:pPr>
      <w:r>
        <w:rPr>
          <w:rFonts w:ascii="Garamond" w:hAnsi="Garamond" w:cs="Times New Roman"/>
          <w:b/>
          <w:bCs/>
          <w:sz w:val="20"/>
          <w:szCs w:val="20"/>
        </w:rPr>
        <w:t>Conclusion</w:t>
      </w:r>
    </w:p>
    <w:p w14:paraId="01CEB6BD" w14:textId="77777777" w:rsidR="00EE3C0A" w:rsidRDefault="00EE3C0A" w:rsidP="000D5DB4">
      <w:pPr>
        <w:rPr>
          <w:rFonts w:ascii="Garamond" w:hAnsi="Garamond" w:cs="Times New Roman"/>
          <w:b/>
          <w:bCs/>
          <w:sz w:val="20"/>
          <w:szCs w:val="20"/>
        </w:rPr>
      </w:pPr>
    </w:p>
    <w:p w14:paraId="611C342E" w14:textId="047AE0D9" w:rsidR="00121EB1" w:rsidRDefault="0030594C" w:rsidP="006648CF">
      <w:pPr>
        <w:ind w:firstLine="720"/>
        <w:jc w:val="both"/>
        <w:rPr>
          <w:rFonts w:ascii="Garamond" w:hAnsi="Garamond" w:cs="Times New Roman"/>
          <w:bCs/>
          <w:sz w:val="20"/>
          <w:szCs w:val="20"/>
        </w:rPr>
      </w:pPr>
      <w:r w:rsidRPr="0030594C">
        <w:rPr>
          <w:rFonts w:ascii="Garamond" w:hAnsi="Garamond" w:cs="Times New Roman"/>
          <w:bCs/>
          <w:sz w:val="20"/>
          <w:szCs w:val="20"/>
        </w:rPr>
        <w:t xml:space="preserve">The study revealed that, despite the presence of moderate mathematics anxiety, the majority of Grade 9 students at Sta. Ana National High School attained a “Very Satisfactory” level of academic performance. Contrary to prevailing assumptions, no significant direct correlation was observed between mathematics anxiety and academic achievement. However, a significant positive correlation was identified between self-efficacy and performance, </w:t>
      </w:r>
      <w:r>
        <w:rPr>
          <w:rFonts w:ascii="Garamond" w:hAnsi="Garamond" w:cs="Times New Roman"/>
          <w:bCs/>
          <w:sz w:val="20"/>
          <w:szCs w:val="20"/>
        </w:rPr>
        <w:t>highli</w:t>
      </w:r>
      <w:r w:rsidRPr="0030594C">
        <w:rPr>
          <w:rFonts w:ascii="Garamond" w:hAnsi="Garamond" w:cs="Times New Roman"/>
          <w:bCs/>
          <w:sz w:val="20"/>
          <w:szCs w:val="20"/>
        </w:rPr>
        <w:t>g</w:t>
      </w:r>
      <w:r>
        <w:rPr>
          <w:rFonts w:ascii="Garamond" w:hAnsi="Garamond" w:cs="Times New Roman"/>
          <w:bCs/>
          <w:sz w:val="20"/>
          <w:szCs w:val="20"/>
        </w:rPr>
        <w:t>hting</w:t>
      </w:r>
      <w:r w:rsidRPr="0030594C">
        <w:rPr>
          <w:rFonts w:ascii="Garamond" w:hAnsi="Garamond" w:cs="Times New Roman"/>
          <w:bCs/>
          <w:sz w:val="20"/>
          <w:szCs w:val="20"/>
        </w:rPr>
        <w:t xml:space="preserve"> the critical role of students’ confidence in their mathematical abilities in fostering academic success. Although the mediation analysis did not establish a statistically significant mediating effect of self-efficacy on the relationship between anxiety and performance, the indirect effect approached significance, suggesting the potential influence of self-efficacy as an intermediary mechanism. These findings highlight the importance of strengthening self-efficacy as a psychological resource that may buffer the detrimental impacts of anxiety on learning. Furthermore, the results are consistent with Bandura’s Social Cognitive Theory, which posits that self-efficacy exerts a substantial influence on motivation, persistence, and performance within complex educational contexts.</w:t>
      </w:r>
    </w:p>
    <w:p w14:paraId="40CDC192" w14:textId="77777777" w:rsidR="00121EB1" w:rsidRDefault="00121EB1" w:rsidP="000D5DB4">
      <w:pPr>
        <w:rPr>
          <w:rFonts w:ascii="Garamond" w:hAnsi="Garamond" w:cs="Times New Roman"/>
          <w:b/>
          <w:bCs/>
          <w:sz w:val="20"/>
          <w:szCs w:val="20"/>
        </w:rPr>
      </w:pPr>
    </w:p>
    <w:p w14:paraId="75F57CEE" w14:textId="120ABBA7" w:rsidR="0000421D" w:rsidRDefault="00EE08F0" w:rsidP="000D5DB4">
      <w:pPr>
        <w:rPr>
          <w:rFonts w:ascii="Garamond" w:hAnsi="Garamond" w:cs="Times New Roman"/>
          <w:b/>
          <w:bCs/>
          <w:sz w:val="20"/>
          <w:szCs w:val="20"/>
        </w:rPr>
      </w:pPr>
      <w:r>
        <w:rPr>
          <w:rFonts w:ascii="Garamond" w:hAnsi="Garamond" w:cs="Times New Roman"/>
          <w:b/>
          <w:bCs/>
          <w:sz w:val="20"/>
          <w:szCs w:val="20"/>
        </w:rPr>
        <w:t>Recommendation</w:t>
      </w:r>
    </w:p>
    <w:p w14:paraId="703570FF" w14:textId="77777777" w:rsidR="00EE08F0" w:rsidRDefault="00EE08F0" w:rsidP="000D5DB4">
      <w:pPr>
        <w:rPr>
          <w:rFonts w:ascii="Garamond" w:hAnsi="Garamond" w:cs="Times New Roman"/>
          <w:b/>
          <w:bCs/>
          <w:sz w:val="20"/>
          <w:szCs w:val="20"/>
        </w:rPr>
      </w:pPr>
    </w:p>
    <w:p w14:paraId="680471F3" w14:textId="1000CAB2" w:rsidR="007C31E9" w:rsidRDefault="007C31E9" w:rsidP="007C31E9">
      <w:pPr>
        <w:ind w:firstLine="720"/>
        <w:jc w:val="both"/>
        <w:rPr>
          <w:rFonts w:ascii="Garamond" w:hAnsi="Garamond" w:cs="Times New Roman"/>
          <w:bCs/>
          <w:sz w:val="20"/>
          <w:szCs w:val="20"/>
        </w:rPr>
      </w:pPr>
      <w:r w:rsidRPr="007C31E9">
        <w:rPr>
          <w:rFonts w:ascii="Garamond" w:hAnsi="Garamond" w:cs="Times New Roman"/>
          <w:bCs/>
          <w:sz w:val="20"/>
          <w:szCs w:val="20"/>
        </w:rPr>
        <w:t xml:space="preserve">Based on these findings, it is recommended that educators implement targeted interventions to strengthen students’ self-efficacy in mathematics, particularly for those who experience moderate to high anxiety. Teachers are encouraged to adopt mastery-oriented instructional strategies, such as step-by-step problem-solving guidance, constructive feedback, and differentiated support, to help students build confidence in their mathematical abilities. Integrating peer </w:t>
      </w:r>
      <w:r w:rsidR="0014251E" w:rsidRPr="0027333C">
        <w:rPr>
          <w:rFonts w:ascii="Garamond" w:hAnsi="Garamond" w:cs="Times New Roman"/>
          <w:bCs/>
          <w:sz w:val="20"/>
          <w:szCs w:val="20"/>
          <w:highlight w:val="yellow"/>
        </w:rPr>
        <w:t>modelling</w:t>
      </w:r>
      <w:r w:rsidRPr="007C31E9">
        <w:rPr>
          <w:rFonts w:ascii="Garamond" w:hAnsi="Garamond" w:cs="Times New Roman"/>
          <w:bCs/>
          <w:sz w:val="20"/>
          <w:szCs w:val="20"/>
        </w:rPr>
        <w:t>, collaborative learning activities, and mentoring programs can further enhance students’ sense of capability through vicarious experiences.</w:t>
      </w:r>
      <w:r>
        <w:rPr>
          <w:rFonts w:ascii="Garamond" w:hAnsi="Garamond" w:cs="Times New Roman"/>
          <w:bCs/>
          <w:sz w:val="20"/>
          <w:szCs w:val="20"/>
        </w:rPr>
        <w:t xml:space="preserve"> </w:t>
      </w:r>
      <w:r w:rsidRPr="007C31E9">
        <w:rPr>
          <w:rFonts w:ascii="Garamond" w:hAnsi="Garamond" w:cs="Times New Roman"/>
          <w:bCs/>
          <w:sz w:val="20"/>
          <w:szCs w:val="20"/>
        </w:rPr>
        <w:t xml:space="preserve">Additionally, schools may consider establishing accessible tutoring </w:t>
      </w:r>
      <w:proofErr w:type="spellStart"/>
      <w:r w:rsidR="0014251E" w:rsidRPr="0027333C">
        <w:rPr>
          <w:rFonts w:ascii="Garamond" w:hAnsi="Garamond" w:cs="Times New Roman"/>
          <w:bCs/>
          <w:sz w:val="20"/>
          <w:szCs w:val="20"/>
          <w:highlight w:val="yellow"/>
        </w:rPr>
        <w:t>centres</w:t>
      </w:r>
      <w:proofErr w:type="spellEnd"/>
      <w:r w:rsidR="0014251E" w:rsidRPr="0027333C">
        <w:rPr>
          <w:rFonts w:ascii="Garamond" w:hAnsi="Garamond" w:cs="Times New Roman"/>
          <w:bCs/>
          <w:sz w:val="20"/>
          <w:szCs w:val="20"/>
          <w:highlight w:val="yellow"/>
        </w:rPr>
        <w:t xml:space="preserve"> </w:t>
      </w:r>
      <w:r w:rsidRPr="007C31E9">
        <w:rPr>
          <w:rFonts w:ascii="Garamond" w:hAnsi="Garamond" w:cs="Times New Roman"/>
          <w:bCs/>
          <w:sz w:val="20"/>
          <w:szCs w:val="20"/>
        </w:rPr>
        <w:t xml:space="preserve">or low-pressure practice environments where students can engage in mathematics without fear of judgment or high-stakes evaluation. Professional development programs should be offered to equip teachers with strategies to </w:t>
      </w:r>
      <w:proofErr w:type="spellStart"/>
      <w:r w:rsidR="0014251E" w:rsidRPr="0027333C">
        <w:rPr>
          <w:rFonts w:ascii="Garamond" w:hAnsi="Garamond" w:cs="Times New Roman"/>
          <w:bCs/>
          <w:sz w:val="20"/>
          <w:szCs w:val="20"/>
          <w:highlight w:val="yellow"/>
        </w:rPr>
        <w:t>recognise</w:t>
      </w:r>
      <w:proofErr w:type="spellEnd"/>
      <w:r w:rsidR="0014251E" w:rsidRPr="0027333C">
        <w:rPr>
          <w:rFonts w:ascii="Garamond" w:hAnsi="Garamond" w:cs="Times New Roman"/>
          <w:bCs/>
          <w:sz w:val="20"/>
          <w:szCs w:val="20"/>
          <w:highlight w:val="yellow"/>
        </w:rPr>
        <w:t xml:space="preserve"> </w:t>
      </w:r>
      <w:r w:rsidRPr="007C31E9">
        <w:rPr>
          <w:rFonts w:ascii="Garamond" w:hAnsi="Garamond" w:cs="Times New Roman"/>
          <w:bCs/>
          <w:sz w:val="20"/>
          <w:szCs w:val="20"/>
        </w:rPr>
        <w:t>and address mathematics anxiety while fostering positive beliefs about learning. Parents can also be engaged through workshops or information sessions that provide practical approaches to supporting their children’s self-efficacy and managing anxiety at home.</w:t>
      </w:r>
      <w:r>
        <w:rPr>
          <w:rFonts w:ascii="Garamond" w:hAnsi="Garamond" w:cs="Times New Roman"/>
          <w:bCs/>
          <w:sz w:val="20"/>
          <w:szCs w:val="20"/>
        </w:rPr>
        <w:t xml:space="preserve"> </w:t>
      </w:r>
      <w:r w:rsidRPr="007C31E9">
        <w:rPr>
          <w:rFonts w:ascii="Garamond" w:hAnsi="Garamond" w:cs="Times New Roman"/>
          <w:bCs/>
          <w:sz w:val="20"/>
          <w:szCs w:val="20"/>
        </w:rPr>
        <w:t>Finally, future research is recommended to conduct longitudinal studies that examine how self-efficacy and anxiety interact over time, especially during key educational transitions. Further exploration of culturally relevant interventions and qualitative investigations into students’ lived experiences will offer valuable insights to inform effective practices. By adopting these strategies, educational stakeholders can create supportive learning environments that nurture confidence, reduce anxiety, and promote sustained achievement in mathematics.</w:t>
      </w:r>
    </w:p>
    <w:p w14:paraId="3B2EBC5B" w14:textId="0AFCD198" w:rsidR="005F2C2D" w:rsidRDefault="005F2C2D" w:rsidP="007C31E9">
      <w:pPr>
        <w:ind w:firstLine="720"/>
        <w:jc w:val="both"/>
        <w:rPr>
          <w:rFonts w:ascii="Garamond" w:hAnsi="Garamond" w:cs="Times New Roman"/>
          <w:bCs/>
          <w:sz w:val="20"/>
          <w:szCs w:val="20"/>
        </w:rPr>
      </w:pPr>
    </w:p>
    <w:p w14:paraId="09401F9F" w14:textId="77777777" w:rsidR="00E95DA1" w:rsidRPr="00E95DA1" w:rsidRDefault="00E95DA1" w:rsidP="00E95DA1">
      <w:pPr>
        <w:spacing w:after="200"/>
        <w:rPr>
          <w:rFonts w:ascii="Calibri" w:eastAsia="Calibri" w:hAnsi="Calibri" w:cs="Times New Roman"/>
          <w:b/>
          <w:kern w:val="2"/>
          <w:lang w:val="en-US" w:eastAsia="en-US"/>
        </w:rPr>
      </w:pPr>
      <w:bookmarkStart w:id="7" w:name="_Hlk197682619"/>
      <w:bookmarkStart w:id="8" w:name="_Hlk180402183"/>
      <w:bookmarkStart w:id="9" w:name="_Hlk183680988"/>
      <w:r w:rsidRPr="00E95DA1">
        <w:rPr>
          <w:rFonts w:ascii="Calibri" w:eastAsia="Calibri" w:hAnsi="Calibri" w:cs="Times New Roman"/>
          <w:b/>
          <w:kern w:val="2"/>
          <w:lang w:val="en-US" w:eastAsia="en-US"/>
        </w:rPr>
        <w:t>Ethical Approval:</w:t>
      </w:r>
    </w:p>
    <w:p w14:paraId="7C09CB6F" w14:textId="77777777" w:rsidR="00E95DA1" w:rsidRPr="00E95DA1" w:rsidRDefault="00E95DA1" w:rsidP="00E95DA1">
      <w:pPr>
        <w:spacing w:after="200"/>
        <w:rPr>
          <w:rFonts w:ascii="Calibri" w:eastAsia="Calibri" w:hAnsi="Calibri" w:cs="Times New Roman"/>
          <w:kern w:val="2"/>
          <w:lang w:val="en-US" w:eastAsia="en-US"/>
        </w:rPr>
      </w:pPr>
    </w:p>
    <w:p w14:paraId="3EEFB851" w14:textId="1ECE55C4" w:rsidR="00E95DA1" w:rsidRPr="00E95DA1" w:rsidRDefault="00E95DA1" w:rsidP="00E95DA1">
      <w:pPr>
        <w:spacing w:after="200"/>
        <w:rPr>
          <w:rFonts w:ascii="Calibri" w:eastAsia="Calibri" w:hAnsi="Calibri" w:cs="Times New Roman"/>
          <w:kern w:val="2"/>
          <w:highlight w:val="yellow"/>
          <w:lang w:val="en-US" w:eastAsia="en-US"/>
        </w:rPr>
      </w:pPr>
      <w:r w:rsidRPr="00E95DA1">
        <w:rPr>
          <w:rFonts w:ascii="Calibri" w:eastAsia="Calibri" w:hAnsi="Calibri" w:cs="Times New Roman"/>
          <w:kern w:val="2"/>
          <w:lang w:val="en-US" w:eastAsia="en-US"/>
        </w:rPr>
        <w:t>As per international standards or university standards written ethical approval has been collected and preserved by the author(s).</w:t>
      </w:r>
    </w:p>
    <w:p w14:paraId="580FE91F" w14:textId="77777777" w:rsidR="00E95DA1" w:rsidRDefault="00E95DA1" w:rsidP="00FF2940">
      <w:pPr>
        <w:spacing w:after="200"/>
        <w:rPr>
          <w:rFonts w:ascii="Calibri" w:eastAsia="Calibri" w:hAnsi="Calibri" w:cs="Times New Roman"/>
          <w:b/>
          <w:kern w:val="2"/>
          <w:highlight w:val="yellow"/>
          <w:lang w:val="en-US" w:eastAsia="en-US"/>
        </w:rPr>
      </w:pPr>
    </w:p>
    <w:p w14:paraId="44D41F17" w14:textId="77777777" w:rsidR="00E95DA1" w:rsidRDefault="00E95DA1" w:rsidP="00FF2940">
      <w:pPr>
        <w:spacing w:after="200"/>
        <w:rPr>
          <w:rFonts w:ascii="Calibri" w:eastAsia="Calibri" w:hAnsi="Calibri" w:cs="Times New Roman"/>
          <w:b/>
          <w:kern w:val="2"/>
          <w:highlight w:val="yellow"/>
          <w:lang w:val="en-US" w:eastAsia="en-US"/>
        </w:rPr>
      </w:pPr>
    </w:p>
    <w:p w14:paraId="07355155" w14:textId="756F2B11" w:rsidR="00FF2940" w:rsidRPr="00E95DA1" w:rsidRDefault="00FF2940" w:rsidP="00FF2940">
      <w:pPr>
        <w:spacing w:after="200"/>
        <w:rPr>
          <w:rFonts w:ascii="Calibri" w:eastAsia="Calibri" w:hAnsi="Calibri" w:cs="Times New Roman"/>
          <w:b/>
          <w:kern w:val="2"/>
          <w:highlight w:val="yellow"/>
          <w:lang w:val="en-US" w:eastAsia="en-US"/>
        </w:rPr>
      </w:pPr>
      <w:r w:rsidRPr="00E95DA1">
        <w:rPr>
          <w:rFonts w:ascii="Calibri" w:eastAsia="Calibri" w:hAnsi="Calibri" w:cs="Times New Roman"/>
          <w:b/>
          <w:kern w:val="2"/>
          <w:highlight w:val="yellow"/>
          <w:lang w:val="en-US" w:eastAsia="en-US"/>
        </w:rPr>
        <w:t>Disclaimer (Artificial intelligence)</w:t>
      </w:r>
    </w:p>
    <w:p w14:paraId="237DE3CD" w14:textId="77777777" w:rsidR="00FF2940" w:rsidRPr="00FF2940" w:rsidRDefault="00FF2940" w:rsidP="00FF2940">
      <w:pPr>
        <w:spacing w:after="200"/>
        <w:rPr>
          <w:rFonts w:ascii="Calibri" w:eastAsia="Calibri" w:hAnsi="Calibri" w:cs="Times New Roman"/>
          <w:kern w:val="2"/>
          <w:highlight w:val="yellow"/>
          <w:lang w:val="en-US" w:eastAsia="en-US"/>
        </w:rPr>
      </w:pPr>
      <w:r w:rsidRPr="00FF2940">
        <w:rPr>
          <w:rFonts w:ascii="Calibri" w:eastAsia="Calibri" w:hAnsi="Calibri" w:cs="Times New Roman"/>
          <w:kern w:val="2"/>
          <w:highlight w:val="yellow"/>
          <w:lang w:val="en-US" w:eastAsia="en-US"/>
        </w:rPr>
        <w:t xml:space="preserve">Option 1: </w:t>
      </w:r>
    </w:p>
    <w:p w14:paraId="2F98F29C" w14:textId="77777777" w:rsidR="00FF2940" w:rsidRPr="00FF2940" w:rsidRDefault="00FF2940" w:rsidP="00FF2940">
      <w:pPr>
        <w:spacing w:after="200"/>
        <w:rPr>
          <w:rFonts w:ascii="Calibri" w:eastAsia="Calibri" w:hAnsi="Calibri" w:cs="Times New Roman"/>
          <w:kern w:val="2"/>
          <w:highlight w:val="yellow"/>
          <w:lang w:val="en-US" w:eastAsia="en-US"/>
        </w:rPr>
      </w:pPr>
      <w:r w:rsidRPr="00FF2940">
        <w:rPr>
          <w:rFonts w:ascii="Calibri" w:eastAsia="Calibri" w:hAnsi="Calibri" w:cs="Times New Roman"/>
          <w:kern w:val="2"/>
          <w:highlight w:val="yellow"/>
          <w:lang w:val="en-US" w:eastAsia="en-US"/>
        </w:rPr>
        <w:t xml:space="preserve">Author(s) hereby declare that NO generative AI technologies such as Large Language Models (ChatGPT, COPILOT, etc.) and text-to-image generators have been used during the writing or editing of this manuscript. </w:t>
      </w:r>
    </w:p>
    <w:p w14:paraId="19A01AEC" w14:textId="77777777" w:rsidR="00FF2940" w:rsidRPr="00FF2940" w:rsidRDefault="00FF2940" w:rsidP="00FF2940">
      <w:pPr>
        <w:spacing w:after="200"/>
        <w:rPr>
          <w:rFonts w:ascii="Calibri" w:eastAsia="Calibri" w:hAnsi="Calibri" w:cs="Times New Roman"/>
          <w:kern w:val="2"/>
          <w:highlight w:val="yellow"/>
          <w:lang w:val="en-US" w:eastAsia="en-US"/>
        </w:rPr>
      </w:pPr>
      <w:r w:rsidRPr="00FF2940">
        <w:rPr>
          <w:rFonts w:ascii="Calibri" w:eastAsia="Calibri" w:hAnsi="Calibri" w:cs="Times New Roman"/>
          <w:kern w:val="2"/>
          <w:highlight w:val="yellow"/>
          <w:lang w:val="en-US" w:eastAsia="en-US"/>
        </w:rPr>
        <w:lastRenderedPageBreak/>
        <w:t xml:space="preserve">Option 2: </w:t>
      </w:r>
    </w:p>
    <w:p w14:paraId="2E3597D1" w14:textId="77777777" w:rsidR="00FF2940" w:rsidRPr="00FF2940" w:rsidRDefault="00FF2940" w:rsidP="00FF2940">
      <w:pPr>
        <w:spacing w:after="200"/>
        <w:rPr>
          <w:rFonts w:ascii="Calibri" w:eastAsia="Calibri" w:hAnsi="Calibri" w:cs="Times New Roman"/>
          <w:kern w:val="2"/>
          <w:highlight w:val="yellow"/>
          <w:lang w:val="en-US" w:eastAsia="en-US"/>
        </w:rPr>
      </w:pPr>
      <w:r w:rsidRPr="00FF2940">
        <w:rPr>
          <w:rFonts w:ascii="Calibri" w:eastAsia="Calibri" w:hAnsi="Calibri" w:cs="Times New Roman"/>
          <w:kern w:val="2"/>
          <w:highlight w:val="yellow"/>
          <w:lang w:val="en-US" w:eastAsia="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0DFCB9" w14:textId="77777777" w:rsidR="00FF2940" w:rsidRPr="00FF2940" w:rsidRDefault="00FF2940" w:rsidP="00FF2940">
      <w:pPr>
        <w:spacing w:after="200"/>
        <w:rPr>
          <w:rFonts w:ascii="Calibri" w:eastAsia="Calibri" w:hAnsi="Calibri" w:cs="Times New Roman"/>
          <w:kern w:val="2"/>
          <w:highlight w:val="yellow"/>
          <w:lang w:val="en-US" w:eastAsia="en-US"/>
        </w:rPr>
      </w:pPr>
      <w:r w:rsidRPr="00FF2940">
        <w:rPr>
          <w:rFonts w:ascii="Calibri" w:eastAsia="Calibri" w:hAnsi="Calibri" w:cs="Times New Roman"/>
          <w:kern w:val="2"/>
          <w:highlight w:val="yellow"/>
          <w:lang w:val="en-US" w:eastAsia="en-US"/>
        </w:rPr>
        <w:t>Details of the AI usage are given below:</w:t>
      </w:r>
    </w:p>
    <w:p w14:paraId="08A53035" w14:textId="77777777" w:rsidR="00FF2940" w:rsidRPr="00FF2940" w:rsidRDefault="00FF2940" w:rsidP="00FF2940">
      <w:pPr>
        <w:spacing w:after="200"/>
        <w:rPr>
          <w:rFonts w:ascii="Calibri" w:eastAsia="Calibri" w:hAnsi="Calibri" w:cs="Times New Roman"/>
          <w:kern w:val="2"/>
          <w:highlight w:val="yellow"/>
          <w:lang w:val="en-US" w:eastAsia="en-US"/>
        </w:rPr>
      </w:pPr>
      <w:r w:rsidRPr="00FF2940">
        <w:rPr>
          <w:rFonts w:ascii="Calibri" w:eastAsia="Calibri" w:hAnsi="Calibri" w:cs="Times New Roman"/>
          <w:kern w:val="2"/>
          <w:highlight w:val="yellow"/>
          <w:lang w:val="en-US" w:eastAsia="en-US"/>
        </w:rPr>
        <w:t>1.</w:t>
      </w:r>
    </w:p>
    <w:p w14:paraId="4437236A" w14:textId="77777777" w:rsidR="00FF2940" w:rsidRPr="00FF2940" w:rsidRDefault="00FF2940" w:rsidP="00FF2940">
      <w:pPr>
        <w:spacing w:after="200"/>
        <w:rPr>
          <w:rFonts w:ascii="Calibri" w:eastAsia="Calibri" w:hAnsi="Calibri" w:cs="Times New Roman"/>
          <w:kern w:val="2"/>
          <w:highlight w:val="yellow"/>
          <w:lang w:val="en-US" w:eastAsia="en-US"/>
        </w:rPr>
      </w:pPr>
      <w:r w:rsidRPr="00FF2940">
        <w:rPr>
          <w:rFonts w:ascii="Calibri" w:eastAsia="Calibri" w:hAnsi="Calibri" w:cs="Times New Roman"/>
          <w:kern w:val="2"/>
          <w:highlight w:val="yellow"/>
          <w:lang w:val="en-US" w:eastAsia="en-US"/>
        </w:rPr>
        <w:t>2.</w:t>
      </w:r>
    </w:p>
    <w:p w14:paraId="12568243" w14:textId="77777777" w:rsidR="00FF2940" w:rsidRPr="00FF2940" w:rsidRDefault="00FF2940" w:rsidP="00FF2940">
      <w:pPr>
        <w:spacing w:after="200"/>
        <w:rPr>
          <w:rFonts w:ascii="Calibri" w:eastAsia="Calibri" w:hAnsi="Calibri" w:cs="Times New Roman"/>
          <w:kern w:val="2"/>
          <w:lang w:val="en-US" w:eastAsia="en-US"/>
        </w:rPr>
      </w:pPr>
      <w:bookmarkStart w:id="10" w:name="_Hlk197682629"/>
      <w:bookmarkEnd w:id="7"/>
      <w:r w:rsidRPr="00FF2940">
        <w:rPr>
          <w:rFonts w:ascii="Calibri" w:eastAsia="Calibri" w:hAnsi="Calibri" w:cs="Times New Roman"/>
          <w:kern w:val="2"/>
          <w:highlight w:val="yellow"/>
          <w:lang w:val="en-US" w:eastAsia="en-US"/>
        </w:rPr>
        <w:t>3.</w:t>
      </w:r>
    </w:p>
    <w:bookmarkEnd w:id="8"/>
    <w:bookmarkEnd w:id="9"/>
    <w:bookmarkEnd w:id="10"/>
    <w:p w14:paraId="2001623A" w14:textId="77777777" w:rsidR="005F2C2D" w:rsidRPr="007C31E9" w:rsidRDefault="005F2C2D" w:rsidP="007C31E9">
      <w:pPr>
        <w:ind w:firstLine="720"/>
        <w:jc w:val="both"/>
        <w:rPr>
          <w:rFonts w:ascii="Garamond" w:hAnsi="Garamond" w:cs="Times New Roman"/>
          <w:bCs/>
          <w:sz w:val="20"/>
          <w:szCs w:val="20"/>
        </w:rPr>
      </w:pPr>
    </w:p>
    <w:p w14:paraId="763D773F" w14:textId="0E96B842" w:rsidR="00FC6DA0" w:rsidRDefault="00FC6DA0" w:rsidP="0061000A">
      <w:pPr>
        <w:ind w:firstLine="720"/>
        <w:jc w:val="both"/>
        <w:rPr>
          <w:rFonts w:ascii="Garamond" w:hAnsi="Garamond" w:cs="Times New Roman"/>
          <w:b/>
          <w:bCs/>
          <w:sz w:val="20"/>
          <w:szCs w:val="20"/>
        </w:rPr>
      </w:pPr>
    </w:p>
    <w:p w14:paraId="47277FB6" w14:textId="77777777" w:rsidR="001C3885" w:rsidRDefault="001C3885" w:rsidP="0061000A">
      <w:pPr>
        <w:ind w:firstLine="720"/>
        <w:jc w:val="both"/>
        <w:rPr>
          <w:rFonts w:ascii="Garamond" w:hAnsi="Garamond" w:cs="Times New Roman"/>
          <w:b/>
          <w:bCs/>
          <w:sz w:val="20"/>
          <w:szCs w:val="20"/>
        </w:rPr>
      </w:pPr>
    </w:p>
    <w:p w14:paraId="1A134120" w14:textId="2D140DEA" w:rsidR="00C41A24" w:rsidRPr="006B5921" w:rsidRDefault="00CD1BDF" w:rsidP="000D5DB4">
      <w:pPr>
        <w:rPr>
          <w:rFonts w:ascii="Garamond" w:hAnsi="Garamond" w:cs="Times New Roman"/>
          <w:b/>
          <w:bCs/>
          <w:sz w:val="20"/>
          <w:szCs w:val="20"/>
        </w:rPr>
      </w:pPr>
      <w:r w:rsidRPr="00B4504A">
        <w:rPr>
          <w:rFonts w:ascii="Garamond" w:hAnsi="Garamond" w:cs="Times New Roman"/>
          <w:b/>
          <w:bCs/>
          <w:sz w:val="20"/>
          <w:szCs w:val="20"/>
        </w:rPr>
        <w:t>References</w:t>
      </w:r>
    </w:p>
    <w:p w14:paraId="23937626" w14:textId="239A12E6" w:rsidR="00CD1BDF" w:rsidRPr="00B4504A" w:rsidRDefault="00CD1BDF" w:rsidP="00E369F8">
      <w:pPr>
        <w:spacing w:line="240" w:lineRule="auto"/>
        <w:rPr>
          <w:rFonts w:ascii="Garamond" w:hAnsi="Garamond" w:cs="Times New Roman"/>
          <w:b/>
          <w:bCs/>
          <w:sz w:val="20"/>
          <w:szCs w:val="20"/>
        </w:rPr>
      </w:pPr>
    </w:p>
    <w:p w14:paraId="6CF9A44B" w14:textId="77717102" w:rsidR="003B183B" w:rsidRDefault="003B183B" w:rsidP="003B183B">
      <w:pPr>
        <w:spacing w:before="20" w:line="240" w:lineRule="auto"/>
        <w:ind w:left="426" w:hanging="426"/>
        <w:contextualSpacing/>
        <w:rPr>
          <w:rFonts w:ascii="Garamond" w:hAnsi="Garamond" w:cs="Times New Roman"/>
          <w:sz w:val="20"/>
          <w:szCs w:val="20"/>
        </w:rPr>
      </w:pPr>
      <w:proofErr w:type="spellStart"/>
      <w:r w:rsidRPr="00BB40D7">
        <w:rPr>
          <w:rFonts w:ascii="Garamond" w:hAnsi="Garamond" w:cs="Times New Roman"/>
          <w:sz w:val="20"/>
          <w:szCs w:val="20"/>
        </w:rPr>
        <w:t>Ablian</w:t>
      </w:r>
      <w:proofErr w:type="spellEnd"/>
      <w:r w:rsidRPr="00BB40D7">
        <w:rPr>
          <w:rFonts w:ascii="Garamond" w:hAnsi="Garamond" w:cs="Times New Roman"/>
          <w:sz w:val="20"/>
          <w:szCs w:val="20"/>
        </w:rPr>
        <w:t xml:space="preserve">, J. D., &amp; </w:t>
      </w:r>
      <w:proofErr w:type="spellStart"/>
      <w:r w:rsidRPr="00BB40D7">
        <w:rPr>
          <w:rFonts w:ascii="Garamond" w:hAnsi="Garamond" w:cs="Times New Roman"/>
          <w:sz w:val="20"/>
          <w:szCs w:val="20"/>
        </w:rPr>
        <w:t>Paranga</w:t>
      </w:r>
      <w:proofErr w:type="spellEnd"/>
      <w:r w:rsidRPr="00BB40D7">
        <w:rPr>
          <w:rFonts w:ascii="Garamond" w:hAnsi="Garamond" w:cs="Times New Roman"/>
          <w:sz w:val="20"/>
          <w:szCs w:val="20"/>
        </w:rPr>
        <w:t xml:space="preserve">, K. B. (2022). Mathematics Anxiety and Mathematics </w:t>
      </w:r>
      <w:r w:rsidR="00E030B5">
        <w:rPr>
          <w:rFonts w:ascii="Garamond" w:hAnsi="Garamond" w:cs="Times New Roman"/>
          <w:sz w:val="20"/>
          <w:szCs w:val="20"/>
        </w:rPr>
        <w:t>Self-Efficacy</w:t>
      </w:r>
      <w:r w:rsidRPr="00BB40D7">
        <w:rPr>
          <w:rFonts w:ascii="Garamond" w:hAnsi="Garamond" w:cs="Times New Roman"/>
          <w:sz w:val="20"/>
          <w:szCs w:val="20"/>
        </w:rPr>
        <w:t xml:space="preserve"> among Senior High School Students in Public Secondary Schools. International Journal of Computer Engineering in Research Trends, 9(2), 21-33.</w:t>
      </w:r>
    </w:p>
    <w:p w14:paraId="1F53BE03" w14:textId="77777777" w:rsidR="003B183B" w:rsidRDefault="003B183B" w:rsidP="003B183B">
      <w:pPr>
        <w:spacing w:before="20" w:line="240" w:lineRule="auto"/>
        <w:ind w:left="426" w:hanging="426"/>
        <w:contextualSpacing/>
        <w:rPr>
          <w:rFonts w:ascii="Garamond" w:hAnsi="Garamond" w:cs="Times New Roman"/>
          <w:sz w:val="20"/>
          <w:szCs w:val="20"/>
        </w:rPr>
      </w:pPr>
    </w:p>
    <w:p w14:paraId="48A87A56" w14:textId="6AAD328F"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Akin, A., &amp; </w:t>
      </w:r>
      <w:proofErr w:type="spellStart"/>
      <w:r w:rsidRPr="00BB40D7">
        <w:rPr>
          <w:rFonts w:ascii="Garamond" w:hAnsi="Garamond" w:cs="Times New Roman"/>
          <w:sz w:val="20"/>
          <w:szCs w:val="20"/>
        </w:rPr>
        <w:t>Kurbanoglu</w:t>
      </w:r>
      <w:proofErr w:type="spellEnd"/>
      <w:r w:rsidRPr="00BB40D7">
        <w:rPr>
          <w:rFonts w:ascii="Garamond" w:hAnsi="Garamond" w:cs="Times New Roman"/>
          <w:sz w:val="20"/>
          <w:szCs w:val="20"/>
        </w:rPr>
        <w:t xml:space="preserve">, I. N. (2011). The relationships between math anxiety, math attitudes, and self-efficacy: A structural equation model. </w:t>
      </w:r>
      <w:proofErr w:type="spellStart"/>
      <w:r w:rsidRPr="00BB40D7">
        <w:rPr>
          <w:rFonts w:ascii="Garamond" w:hAnsi="Garamond" w:cs="Times New Roman"/>
          <w:sz w:val="20"/>
          <w:szCs w:val="20"/>
        </w:rPr>
        <w:t>Studia</w:t>
      </w:r>
      <w:proofErr w:type="spellEnd"/>
      <w:r w:rsidRPr="00BB40D7">
        <w:rPr>
          <w:rFonts w:ascii="Garamond" w:hAnsi="Garamond" w:cs="Times New Roman"/>
          <w:sz w:val="20"/>
          <w:szCs w:val="20"/>
        </w:rPr>
        <w:t xml:space="preserve"> </w:t>
      </w:r>
      <w:proofErr w:type="spellStart"/>
      <w:r w:rsidRPr="00BB40D7">
        <w:rPr>
          <w:rFonts w:ascii="Garamond" w:hAnsi="Garamond" w:cs="Times New Roman"/>
          <w:sz w:val="20"/>
          <w:szCs w:val="20"/>
        </w:rPr>
        <w:t>Psychologica</w:t>
      </w:r>
      <w:proofErr w:type="spellEnd"/>
      <w:r w:rsidRPr="00BB40D7">
        <w:rPr>
          <w:rFonts w:ascii="Garamond" w:hAnsi="Garamond" w:cs="Times New Roman"/>
          <w:sz w:val="20"/>
          <w:szCs w:val="20"/>
        </w:rPr>
        <w:t>, 53(3), 263.</w:t>
      </w:r>
    </w:p>
    <w:p w14:paraId="11797E01" w14:textId="77777777" w:rsidR="003B183B" w:rsidRDefault="003B183B" w:rsidP="00BB40D7">
      <w:pPr>
        <w:spacing w:before="20" w:line="240" w:lineRule="auto"/>
        <w:ind w:left="426" w:hanging="426"/>
        <w:contextualSpacing/>
        <w:rPr>
          <w:rFonts w:ascii="Garamond" w:hAnsi="Garamond" w:cs="Times New Roman"/>
          <w:sz w:val="20"/>
          <w:szCs w:val="20"/>
        </w:rPr>
      </w:pPr>
    </w:p>
    <w:p w14:paraId="7C7D7C6A" w14:textId="300E4F59" w:rsidR="003B183B" w:rsidRDefault="003B183B" w:rsidP="003B183B">
      <w:pPr>
        <w:spacing w:before="20" w:line="240" w:lineRule="auto"/>
        <w:ind w:left="426" w:hanging="426"/>
        <w:contextualSpacing/>
        <w:rPr>
          <w:rFonts w:ascii="Garamond" w:hAnsi="Garamond" w:cs="Times New Roman"/>
          <w:sz w:val="20"/>
          <w:szCs w:val="20"/>
          <w:lang w:val="en-PH"/>
        </w:rPr>
      </w:pPr>
      <w:r w:rsidRPr="003B183B">
        <w:rPr>
          <w:rFonts w:ascii="Garamond" w:hAnsi="Garamond" w:cs="Times New Roman"/>
          <w:sz w:val="20"/>
          <w:szCs w:val="20"/>
          <w:lang w:val="en-PH"/>
        </w:rPr>
        <w:t xml:space="preserve">Aksu, Z., </w:t>
      </w:r>
      <w:proofErr w:type="spellStart"/>
      <w:r w:rsidRPr="003B183B">
        <w:rPr>
          <w:rFonts w:ascii="Garamond" w:hAnsi="Garamond" w:cs="Times New Roman"/>
          <w:sz w:val="20"/>
          <w:szCs w:val="20"/>
          <w:lang w:val="en-PH"/>
        </w:rPr>
        <w:t>Ozkaya</w:t>
      </w:r>
      <w:proofErr w:type="spellEnd"/>
      <w:r w:rsidRPr="003B183B">
        <w:rPr>
          <w:rFonts w:ascii="Garamond" w:hAnsi="Garamond" w:cs="Times New Roman"/>
          <w:sz w:val="20"/>
          <w:szCs w:val="20"/>
          <w:lang w:val="en-PH"/>
        </w:rPr>
        <w:t xml:space="preserve">, M., Gedik, S. D., &amp; </w:t>
      </w:r>
      <w:proofErr w:type="spellStart"/>
      <w:r w:rsidRPr="003B183B">
        <w:rPr>
          <w:rFonts w:ascii="Garamond" w:hAnsi="Garamond" w:cs="Times New Roman"/>
          <w:sz w:val="20"/>
          <w:szCs w:val="20"/>
          <w:lang w:val="en-PH"/>
        </w:rPr>
        <w:t>Konyalıoglu</w:t>
      </w:r>
      <w:proofErr w:type="spellEnd"/>
      <w:r w:rsidRPr="003B183B">
        <w:rPr>
          <w:rFonts w:ascii="Garamond" w:hAnsi="Garamond" w:cs="Times New Roman"/>
          <w:sz w:val="20"/>
          <w:szCs w:val="20"/>
          <w:lang w:val="en-PH"/>
        </w:rPr>
        <w:t>, A. C. (2016). Mathematics Self-efficacy and Mistake-handling Learning as Predictors of Mathematics Anxiety. </w:t>
      </w:r>
      <w:r w:rsidRPr="003B183B">
        <w:rPr>
          <w:rFonts w:ascii="Garamond" w:hAnsi="Garamond" w:cs="Times New Roman"/>
          <w:i/>
          <w:iCs/>
          <w:sz w:val="20"/>
          <w:szCs w:val="20"/>
          <w:lang w:val="en-PH"/>
        </w:rPr>
        <w:t>Journal of Education and Training Studies</w:t>
      </w:r>
      <w:r w:rsidRPr="003B183B">
        <w:rPr>
          <w:rFonts w:ascii="Garamond" w:hAnsi="Garamond" w:cs="Times New Roman"/>
          <w:sz w:val="20"/>
          <w:szCs w:val="20"/>
          <w:lang w:val="en-PH"/>
        </w:rPr>
        <w:t>, </w:t>
      </w:r>
      <w:r w:rsidRPr="003B183B">
        <w:rPr>
          <w:rFonts w:ascii="Garamond" w:hAnsi="Garamond" w:cs="Times New Roman"/>
          <w:i/>
          <w:iCs/>
          <w:sz w:val="20"/>
          <w:szCs w:val="20"/>
          <w:lang w:val="en-PH"/>
        </w:rPr>
        <w:t>4</w:t>
      </w:r>
      <w:r w:rsidRPr="003B183B">
        <w:rPr>
          <w:rFonts w:ascii="Garamond" w:hAnsi="Garamond" w:cs="Times New Roman"/>
          <w:sz w:val="20"/>
          <w:szCs w:val="20"/>
          <w:lang w:val="en-PH"/>
        </w:rPr>
        <w:t>(8). https://doi.org/10.11114/jets.v4i8.1533</w:t>
      </w:r>
    </w:p>
    <w:p w14:paraId="45BC72A7" w14:textId="77777777" w:rsidR="003B183B" w:rsidRPr="003B183B" w:rsidRDefault="003B183B" w:rsidP="003B183B">
      <w:pPr>
        <w:spacing w:before="20" w:line="240" w:lineRule="auto"/>
        <w:ind w:left="426" w:hanging="426"/>
        <w:contextualSpacing/>
        <w:rPr>
          <w:rFonts w:ascii="Garamond" w:hAnsi="Garamond" w:cs="Times New Roman"/>
          <w:sz w:val="20"/>
          <w:szCs w:val="20"/>
          <w:lang w:val="en-PH"/>
        </w:rPr>
      </w:pPr>
    </w:p>
    <w:p w14:paraId="61755D56" w14:textId="04552CBD" w:rsidR="00DE1654" w:rsidRDefault="003B183B" w:rsidP="00DE1654">
      <w:pPr>
        <w:spacing w:before="20" w:line="240" w:lineRule="auto"/>
        <w:ind w:left="426" w:hanging="426"/>
        <w:contextualSpacing/>
        <w:rPr>
          <w:rFonts w:ascii="Garamond" w:hAnsi="Garamond" w:cs="Times New Roman"/>
          <w:sz w:val="20"/>
          <w:szCs w:val="20"/>
          <w:lang w:val="en-PH"/>
        </w:rPr>
      </w:pPr>
      <w:r w:rsidRPr="003B183B">
        <w:rPr>
          <w:rFonts w:ascii="Times New Roman" w:hAnsi="Times New Roman" w:cs="Times New Roman"/>
          <w:sz w:val="20"/>
          <w:szCs w:val="20"/>
          <w:lang w:val="en-PH"/>
        </w:rPr>
        <w:t>‌</w:t>
      </w:r>
      <w:proofErr w:type="spellStart"/>
      <w:r w:rsidR="00DE1654" w:rsidRPr="00DE1654">
        <w:rPr>
          <w:rFonts w:ascii="Garamond" w:hAnsi="Garamond" w:cs="Times New Roman"/>
          <w:sz w:val="20"/>
          <w:szCs w:val="20"/>
          <w:lang w:val="en-PH"/>
        </w:rPr>
        <w:t>Anindyarini</w:t>
      </w:r>
      <w:proofErr w:type="spellEnd"/>
      <w:r w:rsidR="00DE1654" w:rsidRPr="00DE1654">
        <w:rPr>
          <w:rFonts w:ascii="Garamond" w:hAnsi="Garamond" w:cs="Times New Roman"/>
          <w:sz w:val="20"/>
          <w:szCs w:val="20"/>
          <w:lang w:val="en-PH"/>
        </w:rPr>
        <w:t xml:space="preserve">, R., &amp; </w:t>
      </w:r>
      <w:proofErr w:type="spellStart"/>
      <w:r w:rsidR="00DE1654" w:rsidRPr="00DE1654">
        <w:rPr>
          <w:rFonts w:ascii="Garamond" w:hAnsi="Garamond" w:cs="Times New Roman"/>
          <w:sz w:val="20"/>
          <w:szCs w:val="20"/>
          <w:lang w:val="en-PH"/>
        </w:rPr>
        <w:t>Supahar</w:t>
      </w:r>
      <w:proofErr w:type="spellEnd"/>
      <w:r w:rsidR="00DE1654" w:rsidRPr="00DE1654">
        <w:rPr>
          <w:rFonts w:ascii="Garamond" w:hAnsi="Garamond" w:cs="Times New Roman"/>
          <w:sz w:val="20"/>
          <w:szCs w:val="20"/>
          <w:lang w:val="en-PH"/>
        </w:rPr>
        <w:t>, S. (2019). Portrait of Mathematical Anxiety in Early Youth Ages. </w:t>
      </w:r>
      <w:r w:rsidR="00DE1654" w:rsidRPr="00DE1654">
        <w:rPr>
          <w:rFonts w:ascii="Garamond" w:hAnsi="Garamond" w:cs="Times New Roman"/>
          <w:i/>
          <w:iCs/>
          <w:sz w:val="20"/>
          <w:szCs w:val="20"/>
          <w:lang w:val="en-PH"/>
        </w:rPr>
        <w:t>International Journal of Trends in Mathematics Education Research</w:t>
      </w:r>
      <w:r w:rsidR="00DE1654" w:rsidRPr="00DE1654">
        <w:rPr>
          <w:rFonts w:ascii="Garamond" w:hAnsi="Garamond" w:cs="Times New Roman"/>
          <w:sz w:val="20"/>
          <w:szCs w:val="20"/>
          <w:lang w:val="en-PH"/>
        </w:rPr>
        <w:t>, </w:t>
      </w:r>
      <w:r w:rsidR="00DE1654" w:rsidRPr="00DE1654">
        <w:rPr>
          <w:rFonts w:ascii="Garamond" w:hAnsi="Garamond" w:cs="Times New Roman"/>
          <w:i/>
          <w:iCs/>
          <w:sz w:val="20"/>
          <w:szCs w:val="20"/>
          <w:lang w:val="en-PH"/>
        </w:rPr>
        <w:t>2</w:t>
      </w:r>
      <w:r w:rsidR="00DE1654" w:rsidRPr="00DE1654">
        <w:rPr>
          <w:rFonts w:ascii="Garamond" w:hAnsi="Garamond" w:cs="Times New Roman"/>
          <w:sz w:val="20"/>
          <w:szCs w:val="20"/>
          <w:lang w:val="en-PH"/>
        </w:rPr>
        <w:t xml:space="preserve">(3), 128. </w:t>
      </w:r>
      <w:r w:rsidRPr="003B183B">
        <w:rPr>
          <w:rFonts w:ascii="Garamond" w:hAnsi="Garamond" w:cs="Times New Roman"/>
          <w:sz w:val="20"/>
          <w:szCs w:val="20"/>
          <w:lang w:val="en-PH"/>
        </w:rPr>
        <w:t>https://doi.org/10.33122/ijtmer.v2i3.77</w:t>
      </w:r>
    </w:p>
    <w:p w14:paraId="25AE0B3D" w14:textId="77777777" w:rsidR="003B183B" w:rsidRPr="00DE1654" w:rsidRDefault="003B183B" w:rsidP="00DE1654">
      <w:pPr>
        <w:spacing w:before="20" w:line="240" w:lineRule="auto"/>
        <w:ind w:left="426" w:hanging="426"/>
        <w:contextualSpacing/>
        <w:rPr>
          <w:rFonts w:ascii="Garamond" w:hAnsi="Garamond" w:cs="Times New Roman"/>
          <w:sz w:val="20"/>
          <w:szCs w:val="20"/>
          <w:lang w:val="en-PH"/>
        </w:rPr>
      </w:pPr>
    </w:p>
    <w:p w14:paraId="40826E96" w14:textId="52A1FB04"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Appiah, et al. (2022). Mathematics achievement in high schools, the role of the teacher. International Electronic Journal of Mathematics Education, 17(3), em0688.</w:t>
      </w:r>
    </w:p>
    <w:p w14:paraId="2B27B6AD" w14:textId="77777777" w:rsidR="003B183B" w:rsidRDefault="003B183B" w:rsidP="00BB40D7">
      <w:pPr>
        <w:spacing w:before="20" w:line="240" w:lineRule="auto"/>
        <w:ind w:left="426" w:hanging="426"/>
        <w:contextualSpacing/>
        <w:rPr>
          <w:rFonts w:ascii="Garamond" w:hAnsi="Garamond" w:cs="Times New Roman"/>
          <w:sz w:val="20"/>
          <w:szCs w:val="20"/>
        </w:rPr>
      </w:pPr>
    </w:p>
    <w:p w14:paraId="4A3733BC" w14:textId="5C869D19" w:rsidR="00DE1654" w:rsidRDefault="00DE1654" w:rsidP="00DE1654">
      <w:pPr>
        <w:spacing w:before="20" w:line="240" w:lineRule="auto"/>
        <w:ind w:left="426" w:hanging="426"/>
        <w:contextualSpacing/>
        <w:rPr>
          <w:rFonts w:ascii="Garamond" w:hAnsi="Garamond" w:cs="Times New Roman"/>
          <w:sz w:val="20"/>
          <w:szCs w:val="20"/>
          <w:lang w:val="en-PH"/>
        </w:rPr>
      </w:pPr>
      <w:r w:rsidRPr="00DE1654">
        <w:rPr>
          <w:rFonts w:ascii="Garamond" w:hAnsi="Garamond" w:cs="Times New Roman"/>
          <w:sz w:val="20"/>
          <w:szCs w:val="20"/>
          <w:lang w:val="en-PH"/>
        </w:rPr>
        <w:t>Ashcraft, M. H., &amp; Krause, J. A. (2007). Working memory, math performance, and math anxiety. </w:t>
      </w:r>
      <w:r w:rsidRPr="00DE1654">
        <w:rPr>
          <w:rFonts w:ascii="Garamond" w:hAnsi="Garamond" w:cs="Times New Roman"/>
          <w:i/>
          <w:iCs/>
          <w:sz w:val="20"/>
          <w:szCs w:val="20"/>
          <w:lang w:val="en-PH"/>
        </w:rPr>
        <w:t>Psychonomic Bulletin &amp; Review</w:t>
      </w:r>
      <w:r w:rsidRPr="00DE1654">
        <w:rPr>
          <w:rFonts w:ascii="Garamond" w:hAnsi="Garamond" w:cs="Times New Roman"/>
          <w:sz w:val="20"/>
          <w:szCs w:val="20"/>
          <w:lang w:val="en-PH"/>
        </w:rPr>
        <w:t>, </w:t>
      </w:r>
      <w:r w:rsidRPr="00DE1654">
        <w:rPr>
          <w:rFonts w:ascii="Garamond" w:hAnsi="Garamond" w:cs="Times New Roman"/>
          <w:i/>
          <w:iCs/>
          <w:sz w:val="20"/>
          <w:szCs w:val="20"/>
          <w:lang w:val="en-PH"/>
        </w:rPr>
        <w:t>14</w:t>
      </w:r>
      <w:r w:rsidRPr="00DE1654">
        <w:rPr>
          <w:rFonts w:ascii="Garamond" w:hAnsi="Garamond" w:cs="Times New Roman"/>
          <w:sz w:val="20"/>
          <w:szCs w:val="20"/>
          <w:lang w:val="en-PH"/>
        </w:rPr>
        <w:t xml:space="preserve">(2), 243–248. </w:t>
      </w:r>
      <w:r w:rsidR="003B183B" w:rsidRPr="003B183B">
        <w:rPr>
          <w:rFonts w:ascii="Garamond" w:hAnsi="Garamond" w:cs="Times New Roman"/>
          <w:sz w:val="20"/>
          <w:szCs w:val="20"/>
          <w:lang w:val="en-PH"/>
        </w:rPr>
        <w:t>https://link.springer.com/article/10.3758/BF03194059</w:t>
      </w:r>
    </w:p>
    <w:p w14:paraId="3289DB06" w14:textId="77777777" w:rsidR="003B183B" w:rsidRPr="00DE1654" w:rsidRDefault="003B183B" w:rsidP="00DE1654">
      <w:pPr>
        <w:spacing w:before="20" w:line="240" w:lineRule="auto"/>
        <w:ind w:left="426" w:hanging="426"/>
        <w:contextualSpacing/>
        <w:rPr>
          <w:rFonts w:ascii="Garamond" w:hAnsi="Garamond" w:cs="Times New Roman"/>
          <w:sz w:val="20"/>
          <w:szCs w:val="20"/>
          <w:lang w:val="en-PH"/>
        </w:rPr>
      </w:pPr>
    </w:p>
    <w:p w14:paraId="37C93EC7" w14:textId="3345AEB3" w:rsidR="00BB40D7" w:rsidRDefault="00DE1654" w:rsidP="00BB40D7">
      <w:pPr>
        <w:spacing w:before="20" w:line="240" w:lineRule="auto"/>
        <w:ind w:left="426" w:hanging="426"/>
        <w:contextualSpacing/>
        <w:rPr>
          <w:rFonts w:ascii="Garamond" w:hAnsi="Garamond" w:cs="Times New Roman"/>
          <w:sz w:val="20"/>
          <w:szCs w:val="20"/>
        </w:rPr>
      </w:pPr>
      <w:r w:rsidRPr="00DE1654">
        <w:rPr>
          <w:rFonts w:ascii="Times New Roman" w:hAnsi="Times New Roman" w:cs="Times New Roman"/>
          <w:sz w:val="20"/>
          <w:szCs w:val="20"/>
          <w:lang w:val="en-PH"/>
        </w:rPr>
        <w:t>‌</w:t>
      </w:r>
      <w:proofErr w:type="spellStart"/>
      <w:r w:rsidR="00BB40D7" w:rsidRPr="00BB40D7">
        <w:rPr>
          <w:rFonts w:ascii="Garamond" w:hAnsi="Garamond" w:cs="Times New Roman"/>
          <w:sz w:val="20"/>
          <w:szCs w:val="20"/>
        </w:rPr>
        <w:t>Ayotola</w:t>
      </w:r>
      <w:proofErr w:type="spellEnd"/>
      <w:r w:rsidR="00BB40D7" w:rsidRPr="00BB40D7">
        <w:rPr>
          <w:rFonts w:ascii="Garamond" w:hAnsi="Garamond" w:cs="Times New Roman"/>
          <w:sz w:val="20"/>
          <w:szCs w:val="20"/>
        </w:rPr>
        <w:t xml:space="preserve">, </w:t>
      </w:r>
      <w:proofErr w:type="spellStart"/>
      <w:r w:rsidR="00BB40D7" w:rsidRPr="00BB40D7">
        <w:rPr>
          <w:rFonts w:ascii="Garamond" w:hAnsi="Garamond" w:cs="Times New Roman"/>
          <w:sz w:val="20"/>
          <w:szCs w:val="20"/>
        </w:rPr>
        <w:t>Fresan</w:t>
      </w:r>
      <w:proofErr w:type="spellEnd"/>
      <w:r w:rsidR="00BB40D7" w:rsidRPr="00BB40D7">
        <w:rPr>
          <w:rFonts w:ascii="Garamond" w:hAnsi="Garamond" w:cs="Times New Roman"/>
          <w:sz w:val="20"/>
          <w:szCs w:val="20"/>
        </w:rPr>
        <w:t xml:space="preserve"> R., Magnate, June Rey S., </w:t>
      </w:r>
      <w:proofErr w:type="spellStart"/>
      <w:r w:rsidR="00BB40D7" w:rsidRPr="00BB40D7">
        <w:rPr>
          <w:rFonts w:ascii="Garamond" w:hAnsi="Garamond" w:cs="Times New Roman"/>
          <w:sz w:val="20"/>
          <w:szCs w:val="20"/>
        </w:rPr>
        <w:t>Sulatra</w:t>
      </w:r>
      <w:proofErr w:type="spellEnd"/>
      <w:r w:rsidR="00BB40D7" w:rsidRPr="00BB40D7">
        <w:rPr>
          <w:rFonts w:ascii="Garamond" w:hAnsi="Garamond" w:cs="Times New Roman"/>
          <w:sz w:val="20"/>
          <w:szCs w:val="20"/>
        </w:rPr>
        <w:t xml:space="preserve"> (2023). Mathematics Performance as Influenced by Mathematics Anxiety and Self-Efficacy: A Modeling Study. Journal for Educators, Teachers and Trainers, Vol. 14(5), 290-298.</w:t>
      </w:r>
    </w:p>
    <w:p w14:paraId="134BC652"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6FC2A0F4" w14:textId="74CFF6FF"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Bandura, A. (1977). Self-efficacy: Toward a unifying theory of behavior change. Psychological Review. Retrieved from </w:t>
      </w:r>
      <w:r w:rsidR="003B183B" w:rsidRPr="003B183B">
        <w:rPr>
          <w:rFonts w:ascii="Garamond" w:hAnsi="Garamond" w:cs="Times New Roman"/>
          <w:sz w:val="20"/>
          <w:szCs w:val="20"/>
        </w:rPr>
        <w:t>http://des.emory.edu/mfp/Pajares_Scjiml2001.html</w:t>
      </w:r>
    </w:p>
    <w:p w14:paraId="7DBDFAD5"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25F17210" w14:textId="694389F9"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Bandura, A. (1986). Social foundations of thought and action: A social cognitive theory. Englewood Cliffs, NJ: Prentice-Hall.</w:t>
      </w:r>
    </w:p>
    <w:p w14:paraId="5F1100AE"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4CBD9DBA" w14:textId="2A53EA47"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Bandura, A. (1994). Self-efficacy. In V. S. </w:t>
      </w:r>
      <w:proofErr w:type="spellStart"/>
      <w:r w:rsidRPr="00BB40D7">
        <w:rPr>
          <w:rFonts w:ascii="Garamond" w:hAnsi="Garamond" w:cs="Times New Roman"/>
          <w:sz w:val="20"/>
          <w:szCs w:val="20"/>
        </w:rPr>
        <w:t>Ramachaudran</w:t>
      </w:r>
      <w:proofErr w:type="spellEnd"/>
      <w:r w:rsidRPr="00BB40D7">
        <w:rPr>
          <w:rFonts w:ascii="Garamond" w:hAnsi="Garamond" w:cs="Times New Roman"/>
          <w:sz w:val="20"/>
          <w:szCs w:val="20"/>
        </w:rPr>
        <w:t xml:space="preserve"> (Ed.), Encyclopedia of human behavior (Vol. 4, pp. 71-81). New York: Academic Press.</w:t>
      </w:r>
    </w:p>
    <w:p w14:paraId="704F822D"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66F01340" w14:textId="7D55908E" w:rsidR="00BB40D7" w:rsidRDefault="00BB40D7" w:rsidP="00BB40D7">
      <w:pPr>
        <w:spacing w:before="20" w:line="240" w:lineRule="auto"/>
        <w:ind w:left="426" w:hanging="426"/>
        <w:contextualSpacing/>
        <w:rPr>
          <w:rFonts w:ascii="Garamond" w:hAnsi="Garamond" w:cs="Times New Roman"/>
          <w:sz w:val="20"/>
          <w:szCs w:val="20"/>
        </w:rPr>
      </w:pPr>
      <w:proofErr w:type="spellStart"/>
      <w:r w:rsidRPr="00BB40D7">
        <w:rPr>
          <w:rFonts w:ascii="Garamond" w:hAnsi="Garamond" w:cs="Times New Roman"/>
          <w:sz w:val="20"/>
          <w:szCs w:val="20"/>
        </w:rPr>
        <w:t>Beilock</w:t>
      </w:r>
      <w:proofErr w:type="spellEnd"/>
      <w:r w:rsidRPr="00BB40D7">
        <w:rPr>
          <w:rFonts w:ascii="Garamond" w:hAnsi="Garamond" w:cs="Times New Roman"/>
          <w:sz w:val="20"/>
          <w:szCs w:val="20"/>
        </w:rPr>
        <w:t xml:space="preserve">, S. L., &amp; Maloney, E. A. (2015). Math Anxiety: A Factor in Math Achievement Not to Be Ignored. Policy Insights from the Behavioral and Brain Sciences, 2, 4-12. </w:t>
      </w:r>
      <w:r w:rsidR="003B183B" w:rsidRPr="003B183B">
        <w:rPr>
          <w:rFonts w:ascii="Garamond" w:hAnsi="Garamond" w:cs="Times New Roman"/>
          <w:sz w:val="20"/>
          <w:szCs w:val="20"/>
        </w:rPr>
        <w:t>https://doi.org/10.1177/2372732215601438</w:t>
      </w:r>
    </w:p>
    <w:p w14:paraId="3EB26D5A"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09BBDFE5" w14:textId="532F6088"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Burhanuddin, A., &amp; Affandi, G. (2024). The Effect of Math Anxiety on Students’ Mathematics Performance with The Mediating Role of Math Self-Efficacy. </w:t>
      </w:r>
      <w:r w:rsidR="003B183B" w:rsidRPr="003B183B">
        <w:rPr>
          <w:rFonts w:ascii="Garamond" w:hAnsi="Garamond" w:cs="Times New Roman"/>
          <w:sz w:val="20"/>
          <w:szCs w:val="20"/>
        </w:rPr>
        <w:t>https://doi.org/10.4108/eai.18-7-2023.2343390</w:t>
      </w:r>
    </w:p>
    <w:p w14:paraId="0EFAA57A"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2F2E9A56" w14:textId="5B971DF1"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Carter, N. (2022). Measuring precalculus self-efficacy, grit, and achievement in university precalculus courses taught with an online flipped model [Doctoral dissertation, University of Houston-Clear Lake]. ProQuest Dissertations and Theses Global.</w:t>
      </w:r>
    </w:p>
    <w:p w14:paraId="4F648CE7"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1E72EDCB" w14:textId="5943E454"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Dowker, A., Sarkar, A., &amp; Looi, C. Y. (2016). Mathematics anxiety: What have we learned in 60 years? Frontiers in Psychology, 7. </w:t>
      </w:r>
      <w:r w:rsidR="003B183B" w:rsidRPr="003B183B">
        <w:rPr>
          <w:rFonts w:ascii="Garamond" w:hAnsi="Garamond" w:cs="Times New Roman"/>
          <w:sz w:val="20"/>
          <w:szCs w:val="20"/>
        </w:rPr>
        <w:t>https://doi.org/10.3389/fpsyg.2016.00508</w:t>
      </w:r>
    </w:p>
    <w:p w14:paraId="0D124322"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609D6B9B" w14:textId="1C9B3E83" w:rsidR="001E00B7" w:rsidRDefault="001E00B7" w:rsidP="001E00B7">
      <w:pPr>
        <w:spacing w:before="20" w:line="240" w:lineRule="auto"/>
        <w:ind w:left="426" w:hanging="426"/>
        <w:contextualSpacing/>
        <w:rPr>
          <w:rFonts w:ascii="Garamond" w:hAnsi="Garamond" w:cs="Times New Roman"/>
          <w:sz w:val="20"/>
          <w:szCs w:val="20"/>
          <w:lang w:val="en-PH"/>
        </w:rPr>
      </w:pPr>
      <w:r w:rsidRPr="001E00B7">
        <w:rPr>
          <w:rFonts w:ascii="Garamond" w:hAnsi="Garamond" w:cs="Times New Roman"/>
          <w:sz w:val="20"/>
          <w:szCs w:val="20"/>
          <w:lang w:val="en-PH"/>
        </w:rPr>
        <w:t>Garcia Bongcac, Brya</w:t>
      </w:r>
      <w:r>
        <w:rPr>
          <w:rFonts w:ascii="Garamond" w:hAnsi="Garamond" w:cs="Times New Roman"/>
          <w:sz w:val="20"/>
          <w:szCs w:val="20"/>
          <w:lang w:val="en-PH"/>
        </w:rPr>
        <w:t>n (2021)</w:t>
      </w:r>
      <w:r w:rsidRPr="001E00B7">
        <w:rPr>
          <w:rFonts w:ascii="Garamond" w:hAnsi="Garamond" w:cs="Times New Roman"/>
          <w:sz w:val="20"/>
          <w:szCs w:val="20"/>
          <w:lang w:val="en-PH"/>
        </w:rPr>
        <w:t xml:space="preserve"> </w:t>
      </w:r>
      <w:r w:rsidRPr="001E00B7">
        <w:rPr>
          <w:rFonts w:ascii="Garamond" w:hAnsi="Garamond" w:cs="Times New Roman"/>
          <w:i/>
          <w:iCs/>
          <w:sz w:val="20"/>
          <w:szCs w:val="20"/>
          <w:lang w:val="en-PH"/>
        </w:rPr>
        <w:t>SELF-EFFICACY and ANXIETY as DETERMINANTS of MATHEMATICAL ACHIEVEMENT of GRADE 7 STUDENTS: A QUAN + QUAL APPROACH</w:t>
      </w:r>
      <w:r w:rsidRPr="001E00B7">
        <w:rPr>
          <w:rFonts w:ascii="Garamond" w:hAnsi="Garamond" w:cs="Times New Roman"/>
          <w:sz w:val="20"/>
          <w:szCs w:val="20"/>
          <w:lang w:val="en-PH"/>
        </w:rPr>
        <w:t xml:space="preserve">. </w:t>
      </w:r>
    </w:p>
    <w:p w14:paraId="0AB9F2D2" w14:textId="77777777" w:rsidR="003B183B" w:rsidRPr="001E00B7" w:rsidRDefault="003B183B" w:rsidP="001E00B7">
      <w:pPr>
        <w:spacing w:before="20" w:line="240" w:lineRule="auto"/>
        <w:ind w:left="426" w:hanging="426"/>
        <w:contextualSpacing/>
        <w:rPr>
          <w:rFonts w:ascii="Garamond" w:hAnsi="Garamond" w:cs="Times New Roman"/>
          <w:sz w:val="20"/>
          <w:szCs w:val="20"/>
          <w:lang w:val="en-PH"/>
        </w:rPr>
      </w:pPr>
    </w:p>
    <w:p w14:paraId="0C3568FA" w14:textId="1AA523DB"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Garcia, M., &amp; Lee, S. (2023). Mathematical literacy and societal progress: A critical analysis. Routledge.</w:t>
      </w:r>
    </w:p>
    <w:p w14:paraId="4C5D3990"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097DC835" w14:textId="7369F45F"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June, Z., &amp; </w:t>
      </w:r>
      <w:proofErr w:type="spellStart"/>
      <w:r w:rsidRPr="00BB40D7">
        <w:rPr>
          <w:rFonts w:ascii="Garamond" w:hAnsi="Garamond" w:cs="Times New Roman"/>
          <w:sz w:val="20"/>
          <w:szCs w:val="20"/>
        </w:rPr>
        <w:t>Eamoraphan</w:t>
      </w:r>
      <w:proofErr w:type="spellEnd"/>
      <w:r w:rsidRPr="00BB40D7">
        <w:rPr>
          <w:rFonts w:ascii="Garamond" w:hAnsi="Garamond" w:cs="Times New Roman"/>
          <w:sz w:val="20"/>
          <w:szCs w:val="20"/>
        </w:rPr>
        <w:t xml:space="preserve">, S. (2019). The relationship of attitudes toward mathematics and mathematics self-efficacy with mathematics achievement of Grade 10 students at a Len Bum IDPs High School in Kachin State, Myanmar. Scholar: Human Sciences, 11(2), 180. </w:t>
      </w:r>
      <w:r w:rsidR="003B183B" w:rsidRPr="003B183B">
        <w:rPr>
          <w:rFonts w:ascii="Garamond" w:hAnsi="Garamond" w:cs="Times New Roman"/>
          <w:sz w:val="20"/>
          <w:szCs w:val="20"/>
        </w:rPr>
        <w:t>https://repository.au.edu/handle/6623004553/22830</w:t>
      </w:r>
    </w:p>
    <w:p w14:paraId="60FEAE8C"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0CBA98F8" w14:textId="078AC0A6" w:rsidR="00BB40D7" w:rsidRDefault="00BB40D7" w:rsidP="00BB40D7">
      <w:pPr>
        <w:spacing w:before="20" w:line="240" w:lineRule="auto"/>
        <w:ind w:left="426" w:hanging="426"/>
        <w:contextualSpacing/>
        <w:rPr>
          <w:rFonts w:ascii="Garamond" w:hAnsi="Garamond" w:cs="Times New Roman"/>
          <w:sz w:val="20"/>
          <w:szCs w:val="20"/>
        </w:rPr>
      </w:pPr>
      <w:proofErr w:type="spellStart"/>
      <w:r w:rsidRPr="00BB40D7">
        <w:rPr>
          <w:rFonts w:ascii="Garamond" w:hAnsi="Garamond" w:cs="Times New Roman"/>
          <w:sz w:val="20"/>
          <w:szCs w:val="20"/>
        </w:rPr>
        <w:t>Julaihi</w:t>
      </w:r>
      <w:proofErr w:type="spellEnd"/>
      <w:r w:rsidRPr="00BB40D7">
        <w:rPr>
          <w:rFonts w:ascii="Garamond" w:hAnsi="Garamond" w:cs="Times New Roman"/>
          <w:sz w:val="20"/>
          <w:szCs w:val="20"/>
        </w:rPr>
        <w:t xml:space="preserve">, N., Ung, T., Eu, C., Ling, N., &amp; Chee </w:t>
      </w:r>
      <w:proofErr w:type="spellStart"/>
      <w:r w:rsidRPr="00BB40D7">
        <w:rPr>
          <w:rFonts w:ascii="Garamond" w:hAnsi="Garamond" w:cs="Times New Roman"/>
          <w:sz w:val="20"/>
          <w:szCs w:val="20"/>
        </w:rPr>
        <w:t>Khium</w:t>
      </w:r>
      <w:proofErr w:type="spellEnd"/>
      <w:r w:rsidRPr="00BB40D7">
        <w:rPr>
          <w:rFonts w:ascii="Garamond" w:hAnsi="Garamond" w:cs="Times New Roman"/>
          <w:sz w:val="20"/>
          <w:szCs w:val="20"/>
        </w:rPr>
        <w:t xml:space="preserve">, C. (2023). Undergraduates Mathematics Achievement: Exploring the Students’ Attitude, Self-Efficacy and Anxiety. </w:t>
      </w:r>
      <w:r w:rsidR="003B183B" w:rsidRPr="003B183B">
        <w:rPr>
          <w:rFonts w:ascii="Garamond" w:hAnsi="Garamond" w:cs="Times New Roman"/>
          <w:sz w:val="20"/>
          <w:szCs w:val="20"/>
        </w:rPr>
        <w:t>https://doi.org/10.24191/ijsms.v8i2.24190</w:t>
      </w:r>
    </w:p>
    <w:p w14:paraId="605574BA"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0AF85D07" w14:textId="710D51E8"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Khan, A., &amp; Taylor, P. (2020). Challenges in mathematics education: A global perspective. Springer.</w:t>
      </w:r>
    </w:p>
    <w:p w14:paraId="270C1490"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54A3E898" w14:textId="157DA5B7"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Mullis, I. V. S., Martin, M. O., Foy, P., Kelly, D. L., &amp; Fishbein, B. (2020). TIMSS 2019 international results in mathematics and science. Paper presented at the TIMSS &amp; PIRLS International Association for the Evaluation of Educational Achievement.</w:t>
      </w:r>
    </w:p>
    <w:p w14:paraId="104B2950" w14:textId="77777777" w:rsidR="003B183B" w:rsidRPr="00BB40D7" w:rsidRDefault="003B183B" w:rsidP="00BB40D7">
      <w:pPr>
        <w:spacing w:before="20" w:line="240" w:lineRule="auto"/>
        <w:ind w:left="426" w:hanging="426"/>
        <w:contextualSpacing/>
        <w:rPr>
          <w:rFonts w:ascii="Garamond" w:hAnsi="Garamond" w:cs="Times New Roman"/>
          <w:sz w:val="20"/>
          <w:szCs w:val="20"/>
        </w:rPr>
      </w:pPr>
    </w:p>
    <w:p w14:paraId="500DB40D" w14:textId="3C427FA0" w:rsid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Namkung, J. M., Peng, P., &amp; Lin, X. (2019). The relation between mathematics anxiety and mathematics performance among school-aged students: A meta-analysis. Review of Educational Research, 89(3), 459-496. </w:t>
      </w:r>
      <w:r w:rsidR="0083476F" w:rsidRPr="0083476F">
        <w:rPr>
          <w:rFonts w:ascii="Garamond" w:hAnsi="Garamond" w:cs="Times New Roman"/>
          <w:sz w:val="20"/>
          <w:szCs w:val="20"/>
        </w:rPr>
        <w:t>https://doi.org/10.3102/0034654319843494</w:t>
      </w:r>
    </w:p>
    <w:p w14:paraId="6F1DB813" w14:textId="77777777" w:rsidR="0083476F" w:rsidRPr="00BB40D7" w:rsidRDefault="0083476F" w:rsidP="00BB40D7">
      <w:pPr>
        <w:spacing w:before="20" w:line="240" w:lineRule="auto"/>
        <w:ind w:left="426" w:hanging="426"/>
        <w:contextualSpacing/>
        <w:rPr>
          <w:rFonts w:ascii="Garamond" w:hAnsi="Garamond" w:cs="Times New Roman"/>
          <w:sz w:val="20"/>
          <w:szCs w:val="20"/>
        </w:rPr>
      </w:pPr>
    </w:p>
    <w:p w14:paraId="38C13AE7" w14:textId="1816B0D2" w:rsidR="00BB40D7" w:rsidRDefault="0083476F" w:rsidP="00BB40D7">
      <w:pPr>
        <w:spacing w:before="20" w:line="240" w:lineRule="auto"/>
        <w:ind w:left="426" w:hanging="426"/>
        <w:contextualSpacing/>
        <w:rPr>
          <w:rFonts w:ascii="Garamond" w:hAnsi="Garamond" w:cs="Times New Roman"/>
          <w:sz w:val="20"/>
          <w:szCs w:val="20"/>
        </w:rPr>
      </w:pPr>
      <w:r w:rsidRPr="0083476F">
        <w:rPr>
          <w:rFonts w:ascii="Garamond" w:hAnsi="Garamond" w:cs="Times New Roman"/>
          <w:sz w:val="20"/>
          <w:szCs w:val="20"/>
        </w:rPr>
        <w:t xml:space="preserve">OECD. (2019). </w:t>
      </w:r>
      <w:r w:rsidRPr="0083476F">
        <w:rPr>
          <w:rFonts w:ascii="Garamond" w:hAnsi="Garamond" w:cs="Times New Roman"/>
          <w:i/>
          <w:iCs/>
          <w:sz w:val="20"/>
          <w:szCs w:val="20"/>
        </w:rPr>
        <w:t>PISA 2018 Results (Volume I): What Students Know and Can Do</w:t>
      </w:r>
      <w:r w:rsidRPr="0083476F">
        <w:rPr>
          <w:rFonts w:ascii="Garamond" w:hAnsi="Garamond" w:cs="Times New Roman"/>
          <w:sz w:val="20"/>
          <w:szCs w:val="20"/>
        </w:rPr>
        <w:t>. OECD Publishing. https://doi.org/10.1787/5f07c754-en</w:t>
      </w:r>
    </w:p>
    <w:p w14:paraId="0CFC2A56" w14:textId="77777777" w:rsidR="0083476F" w:rsidRPr="00BB40D7" w:rsidRDefault="0083476F" w:rsidP="00BB40D7">
      <w:pPr>
        <w:spacing w:before="20" w:line="240" w:lineRule="auto"/>
        <w:ind w:left="426" w:hanging="426"/>
        <w:contextualSpacing/>
        <w:rPr>
          <w:rFonts w:ascii="Garamond" w:hAnsi="Garamond" w:cs="Times New Roman"/>
          <w:sz w:val="20"/>
          <w:szCs w:val="20"/>
        </w:rPr>
      </w:pPr>
    </w:p>
    <w:p w14:paraId="67FD8423" w14:textId="434396B2" w:rsidR="00BB40D7" w:rsidRDefault="00BB40D7" w:rsidP="00BB40D7">
      <w:pPr>
        <w:spacing w:before="20" w:line="240" w:lineRule="auto"/>
        <w:ind w:left="426" w:hanging="426"/>
        <w:contextualSpacing/>
        <w:rPr>
          <w:rFonts w:ascii="Garamond" w:hAnsi="Garamond" w:cs="Times New Roman"/>
          <w:sz w:val="20"/>
          <w:szCs w:val="20"/>
        </w:rPr>
      </w:pPr>
      <w:proofErr w:type="spellStart"/>
      <w:r w:rsidRPr="00BB40D7">
        <w:rPr>
          <w:rFonts w:ascii="Garamond" w:hAnsi="Garamond" w:cs="Times New Roman"/>
          <w:sz w:val="20"/>
          <w:szCs w:val="20"/>
        </w:rPr>
        <w:t>Pekrun</w:t>
      </w:r>
      <w:proofErr w:type="spellEnd"/>
      <w:r w:rsidRPr="00BB40D7">
        <w:rPr>
          <w:rFonts w:ascii="Garamond" w:hAnsi="Garamond" w:cs="Times New Roman"/>
          <w:sz w:val="20"/>
          <w:szCs w:val="20"/>
        </w:rPr>
        <w:t xml:space="preserve">, R. (2006). The control-value theory of achievement emotions: Assumptions, corollaries, and implications for educational research and practice. Educational Psychology Review, 18(4), 315–341. </w:t>
      </w:r>
      <w:r w:rsidR="00F409F8" w:rsidRPr="00F409F8">
        <w:rPr>
          <w:rFonts w:ascii="Garamond" w:hAnsi="Garamond" w:cs="Times New Roman"/>
          <w:sz w:val="20"/>
          <w:szCs w:val="20"/>
        </w:rPr>
        <w:t>https://doi.org/10.1007/s10648-006-9029-9</w:t>
      </w:r>
    </w:p>
    <w:p w14:paraId="22E89416" w14:textId="77777777" w:rsidR="00F409F8" w:rsidRDefault="00F409F8" w:rsidP="00BB40D7">
      <w:pPr>
        <w:spacing w:before="20" w:line="240" w:lineRule="auto"/>
        <w:ind w:left="426" w:hanging="426"/>
        <w:contextualSpacing/>
        <w:rPr>
          <w:rFonts w:ascii="Garamond" w:hAnsi="Garamond" w:cs="Times New Roman"/>
          <w:sz w:val="20"/>
          <w:szCs w:val="20"/>
        </w:rPr>
      </w:pPr>
    </w:p>
    <w:p w14:paraId="377EC8D1" w14:textId="5B15B3D7" w:rsidR="00F409F8" w:rsidRPr="00BB40D7" w:rsidRDefault="00F409F8" w:rsidP="00F409F8">
      <w:pPr>
        <w:spacing w:before="20" w:line="240" w:lineRule="auto"/>
        <w:ind w:left="426" w:hanging="426"/>
        <w:contextualSpacing/>
        <w:rPr>
          <w:rFonts w:ascii="Garamond" w:hAnsi="Garamond" w:cs="Times New Roman"/>
          <w:sz w:val="20"/>
          <w:szCs w:val="20"/>
        </w:rPr>
      </w:pPr>
      <w:proofErr w:type="spellStart"/>
      <w:r w:rsidRPr="00F409F8">
        <w:rPr>
          <w:rFonts w:ascii="Garamond" w:hAnsi="Garamond" w:cs="Times New Roman"/>
          <w:sz w:val="20"/>
          <w:szCs w:val="20"/>
        </w:rPr>
        <w:t>Putwain</w:t>
      </w:r>
      <w:proofErr w:type="spellEnd"/>
      <w:r w:rsidRPr="00F409F8">
        <w:rPr>
          <w:rFonts w:ascii="Garamond" w:hAnsi="Garamond" w:cs="Times New Roman"/>
          <w:sz w:val="20"/>
          <w:szCs w:val="20"/>
        </w:rPr>
        <w:t>, D. W., &amp; Daniels, R. A. (2010). Is the relationship between competence beliefs and test anxiety influenced by goal orientation? Learning and Individual Differences, 20(1), 8–13. https://doi.org/10.1016/j.lindif.2009.10.006</w:t>
      </w:r>
    </w:p>
    <w:p w14:paraId="03C312DA" w14:textId="77777777" w:rsidR="00BB40D7" w:rsidRPr="00BB40D7" w:rsidRDefault="00BB40D7" w:rsidP="00BB40D7">
      <w:pPr>
        <w:spacing w:before="20" w:line="240" w:lineRule="auto"/>
        <w:ind w:left="426" w:hanging="426"/>
        <w:contextualSpacing/>
        <w:rPr>
          <w:rFonts w:ascii="Garamond" w:hAnsi="Garamond" w:cs="Times New Roman"/>
          <w:sz w:val="20"/>
          <w:szCs w:val="20"/>
        </w:rPr>
      </w:pPr>
    </w:p>
    <w:p w14:paraId="6DB6EA64" w14:textId="77777777" w:rsidR="00BB40D7" w:rsidRP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Ramirez, G., Shaw, S., &amp; Maloney, E. A. (2018, April 11). Math Anxiety: Past Research, Promising Interventions, and a New Interpretation Framework. ResearchGate; Taylor &amp; Francis (Routledge). https://www.researchgate.net/publication/324468493_Math_Anxiety_Past_Research_Promising_Interventions_and_a_New_Interpretation_Framework</w:t>
      </w:r>
    </w:p>
    <w:p w14:paraId="1D4AFD2F" w14:textId="77777777" w:rsidR="00BB40D7" w:rsidRPr="00BB40D7" w:rsidRDefault="00BB40D7" w:rsidP="00BB40D7">
      <w:pPr>
        <w:spacing w:before="20" w:line="240" w:lineRule="auto"/>
        <w:ind w:left="426" w:hanging="426"/>
        <w:contextualSpacing/>
        <w:rPr>
          <w:rFonts w:ascii="Garamond" w:hAnsi="Garamond" w:cs="Times New Roman"/>
          <w:sz w:val="20"/>
          <w:szCs w:val="20"/>
        </w:rPr>
      </w:pPr>
    </w:p>
    <w:p w14:paraId="60DFBB7B" w14:textId="77777777" w:rsidR="00BB40D7" w:rsidRPr="00BB40D7"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Williams, T. (2024). Understanding the barriers to mathematics achievement: A comprehensive review. Educational Research Quarterly, 47(1), 45-62.</w:t>
      </w:r>
    </w:p>
    <w:p w14:paraId="02283B7F" w14:textId="77777777" w:rsidR="00BB40D7" w:rsidRPr="00BB40D7" w:rsidRDefault="00BB40D7" w:rsidP="00BB40D7">
      <w:pPr>
        <w:spacing w:before="20" w:line="240" w:lineRule="auto"/>
        <w:ind w:left="426" w:hanging="426"/>
        <w:contextualSpacing/>
        <w:rPr>
          <w:rFonts w:ascii="Garamond" w:hAnsi="Garamond" w:cs="Times New Roman"/>
          <w:sz w:val="20"/>
          <w:szCs w:val="20"/>
        </w:rPr>
      </w:pPr>
    </w:p>
    <w:p w14:paraId="5ADF8D44" w14:textId="42E256E2" w:rsidR="00E25EE0" w:rsidRDefault="00BB40D7" w:rsidP="00BB40D7">
      <w:pPr>
        <w:spacing w:before="20" w:line="240" w:lineRule="auto"/>
        <w:ind w:left="426" w:hanging="426"/>
        <w:contextualSpacing/>
        <w:rPr>
          <w:rFonts w:ascii="Garamond" w:hAnsi="Garamond" w:cs="Times New Roman"/>
          <w:sz w:val="20"/>
          <w:szCs w:val="20"/>
        </w:rPr>
      </w:pPr>
      <w:r w:rsidRPr="00BB40D7">
        <w:rPr>
          <w:rFonts w:ascii="Garamond" w:hAnsi="Garamond" w:cs="Times New Roman"/>
          <w:sz w:val="20"/>
          <w:szCs w:val="20"/>
        </w:rPr>
        <w:t xml:space="preserve">Zhang, J., Zhao, N., &amp; Kong, Q. P. (2019). The Relationship between math anxiety and math Performance: A Meta-Analytic Investigation. Frontiers in Psychology, 10. </w:t>
      </w:r>
      <w:hyperlink r:id="rId9" w:history="1">
        <w:r w:rsidR="00817B7C" w:rsidRPr="003619F4">
          <w:rPr>
            <w:rStyle w:val="Hyperlink"/>
            <w:rFonts w:ascii="Garamond" w:hAnsi="Garamond" w:cs="Times New Roman"/>
            <w:sz w:val="20"/>
            <w:szCs w:val="20"/>
          </w:rPr>
          <w:t>https://doi.org/10.3389/fpsyg.2019.01613</w:t>
        </w:r>
      </w:hyperlink>
    </w:p>
    <w:p w14:paraId="1315E869" w14:textId="77777777" w:rsidR="00817B7C" w:rsidRDefault="00817B7C" w:rsidP="00BB40D7">
      <w:pPr>
        <w:spacing w:before="20" w:line="240" w:lineRule="auto"/>
        <w:ind w:left="426" w:hanging="426"/>
        <w:contextualSpacing/>
        <w:rPr>
          <w:rFonts w:ascii="Garamond" w:hAnsi="Garamond" w:cs="Times New Roman"/>
          <w:sz w:val="20"/>
          <w:szCs w:val="20"/>
        </w:rPr>
      </w:pPr>
    </w:p>
    <w:p w14:paraId="0B81943E" w14:textId="5D448731" w:rsidR="00817B7C" w:rsidRDefault="00817B7C" w:rsidP="00BB40D7">
      <w:pPr>
        <w:spacing w:before="20" w:line="240" w:lineRule="auto"/>
        <w:ind w:left="426" w:hanging="426"/>
        <w:contextualSpacing/>
        <w:rPr>
          <w:rFonts w:ascii="Garamond" w:hAnsi="Garamond" w:cs="Times New Roman"/>
          <w:sz w:val="20"/>
          <w:szCs w:val="20"/>
        </w:rPr>
      </w:pPr>
      <w:r w:rsidRPr="0027333C">
        <w:rPr>
          <w:rFonts w:ascii="Garamond" w:hAnsi="Garamond" w:cs="Times New Roman"/>
          <w:sz w:val="20"/>
          <w:szCs w:val="20"/>
          <w:highlight w:val="yellow"/>
        </w:rPr>
        <w:t>Atoyebi, O. M., Atoyebi, S. B., &amp; Ajao, A. F. (2023). The impact of mathematics anxiety on the mathematical value of secondary school students in Nigeria. Asian Journal of Advanced Research and Reports, 17(11), 236–254.</w:t>
      </w:r>
      <w:r>
        <w:rPr>
          <w:rFonts w:ascii="Garamond" w:hAnsi="Garamond" w:cs="Times New Roman"/>
          <w:sz w:val="20"/>
          <w:szCs w:val="20"/>
        </w:rPr>
        <w:t xml:space="preserve"> </w:t>
      </w:r>
    </w:p>
    <w:p w14:paraId="0C37C193" w14:textId="77777777" w:rsidR="0014251E" w:rsidRDefault="0014251E" w:rsidP="00BB40D7">
      <w:pPr>
        <w:spacing w:before="20" w:line="240" w:lineRule="auto"/>
        <w:ind w:left="426" w:hanging="426"/>
        <w:contextualSpacing/>
        <w:rPr>
          <w:rFonts w:ascii="Garamond" w:hAnsi="Garamond" w:cs="Times New Roman"/>
          <w:sz w:val="20"/>
          <w:szCs w:val="20"/>
        </w:rPr>
      </w:pPr>
    </w:p>
    <w:p w14:paraId="0018BD1A" w14:textId="114A884E" w:rsidR="0014251E" w:rsidRDefault="0014251E" w:rsidP="00BB40D7">
      <w:pPr>
        <w:spacing w:before="20" w:line="240" w:lineRule="auto"/>
        <w:ind w:left="426" w:hanging="426"/>
        <w:contextualSpacing/>
        <w:rPr>
          <w:rFonts w:ascii="Garamond" w:hAnsi="Garamond" w:cs="Times New Roman"/>
          <w:sz w:val="20"/>
          <w:szCs w:val="20"/>
        </w:rPr>
      </w:pPr>
      <w:proofErr w:type="spellStart"/>
      <w:r w:rsidRPr="0027333C">
        <w:rPr>
          <w:rFonts w:ascii="Garamond" w:hAnsi="Garamond" w:cs="Times New Roman"/>
          <w:sz w:val="20"/>
          <w:szCs w:val="20"/>
          <w:highlight w:val="yellow"/>
        </w:rPr>
        <w:t>Lazarra</w:t>
      </w:r>
      <w:proofErr w:type="spellEnd"/>
      <w:r w:rsidRPr="0027333C">
        <w:rPr>
          <w:rFonts w:ascii="Garamond" w:hAnsi="Garamond" w:cs="Times New Roman"/>
          <w:sz w:val="20"/>
          <w:szCs w:val="20"/>
          <w:highlight w:val="yellow"/>
        </w:rPr>
        <w:t>, R. T. (2025). Mathematics self-efficacy and anxiety: Predictors of mathematics achievement among selected students in the College of Science, University of Eastern Philippines Main Campus. Asian Research Journal of Mathematics, 21(6), 88–99.</w:t>
      </w:r>
      <w:r>
        <w:rPr>
          <w:rFonts w:ascii="Garamond" w:hAnsi="Garamond" w:cs="Times New Roman"/>
          <w:sz w:val="20"/>
          <w:szCs w:val="20"/>
        </w:rPr>
        <w:t xml:space="preserve">  </w:t>
      </w:r>
    </w:p>
    <w:p w14:paraId="31B108C6" w14:textId="77777777" w:rsidR="007266C1" w:rsidRDefault="007266C1" w:rsidP="00BB40D7">
      <w:pPr>
        <w:spacing w:before="20" w:line="240" w:lineRule="auto"/>
        <w:ind w:left="426" w:hanging="426"/>
        <w:contextualSpacing/>
        <w:rPr>
          <w:rFonts w:ascii="Garamond" w:hAnsi="Garamond" w:cs="Times New Roman"/>
          <w:sz w:val="20"/>
          <w:szCs w:val="20"/>
        </w:rPr>
      </w:pPr>
    </w:p>
    <w:p w14:paraId="7BDEABCB" w14:textId="11EC24E1" w:rsidR="007266C1" w:rsidRPr="00B4504A" w:rsidRDefault="007266C1" w:rsidP="00BB40D7">
      <w:pPr>
        <w:spacing w:before="20" w:line="240" w:lineRule="auto"/>
        <w:ind w:left="426" w:hanging="426"/>
        <w:contextualSpacing/>
        <w:rPr>
          <w:rFonts w:ascii="Garamond" w:hAnsi="Garamond" w:cs="Times New Roman"/>
          <w:sz w:val="20"/>
          <w:szCs w:val="20"/>
        </w:rPr>
      </w:pPr>
      <w:proofErr w:type="spellStart"/>
      <w:r w:rsidRPr="0027333C">
        <w:rPr>
          <w:rFonts w:ascii="Garamond" w:hAnsi="Garamond" w:cs="Times New Roman"/>
          <w:sz w:val="20"/>
          <w:szCs w:val="20"/>
          <w:highlight w:val="yellow"/>
        </w:rPr>
        <w:t>Khasawneh</w:t>
      </w:r>
      <w:proofErr w:type="spellEnd"/>
      <w:r w:rsidRPr="0027333C">
        <w:rPr>
          <w:rFonts w:ascii="Garamond" w:hAnsi="Garamond" w:cs="Times New Roman"/>
          <w:sz w:val="20"/>
          <w:szCs w:val="20"/>
          <w:highlight w:val="yellow"/>
        </w:rPr>
        <w:t xml:space="preserve">, E., Gosling, C., &amp; Williams, B. (2021). What impact does </w:t>
      </w:r>
      <w:proofErr w:type="spellStart"/>
      <w:r w:rsidRPr="0027333C">
        <w:rPr>
          <w:rFonts w:ascii="Garamond" w:hAnsi="Garamond" w:cs="Times New Roman"/>
          <w:sz w:val="20"/>
          <w:szCs w:val="20"/>
          <w:highlight w:val="yellow"/>
        </w:rPr>
        <w:t>maths</w:t>
      </w:r>
      <w:proofErr w:type="spellEnd"/>
      <w:r w:rsidRPr="0027333C">
        <w:rPr>
          <w:rFonts w:ascii="Garamond" w:hAnsi="Garamond" w:cs="Times New Roman"/>
          <w:sz w:val="20"/>
          <w:szCs w:val="20"/>
          <w:highlight w:val="yellow"/>
        </w:rPr>
        <w:t xml:space="preserve"> anxiety have on university </w:t>
      </w:r>
      <w:proofErr w:type="gramStart"/>
      <w:r w:rsidRPr="0027333C">
        <w:rPr>
          <w:rFonts w:ascii="Garamond" w:hAnsi="Garamond" w:cs="Times New Roman"/>
          <w:sz w:val="20"/>
          <w:szCs w:val="20"/>
          <w:highlight w:val="yellow"/>
        </w:rPr>
        <w:t>students?.</w:t>
      </w:r>
      <w:proofErr w:type="gramEnd"/>
      <w:r w:rsidRPr="0027333C">
        <w:rPr>
          <w:rFonts w:ascii="Garamond" w:hAnsi="Garamond" w:cs="Times New Roman"/>
          <w:sz w:val="20"/>
          <w:szCs w:val="20"/>
          <w:highlight w:val="yellow"/>
        </w:rPr>
        <w:t xml:space="preserve"> BMC psychology, 9(1), 37.</w:t>
      </w:r>
      <w:r>
        <w:rPr>
          <w:rFonts w:ascii="Garamond" w:hAnsi="Garamond" w:cs="Times New Roman"/>
          <w:sz w:val="20"/>
          <w:szCs w:val="20"/>
        </w:rPr>
        <w:t xml:space="preserve">   </w:t>
      </w:r>
    </w:p>
    <w:sectPr w:rsidR="007266C1" w:rsidRPr="00B4504A" w:rsidSect="00675CC5">
      <w:headerReference w:type="even" r:id="rId10"/>
      <w:headerReference w:type="default" r:id="rId11"/>
      <w:footerReference w:type="even" r:id="rId12"/>
      <w:footerReference w:type="default" r:id="rId13"/>
      <w:headerReference w:type="first" r:id="rId14"/>
      <w:footerReference w:type="first" r:id="rId15"/>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576C87" w14:textId="77777777" w:rsidR="007F7864" w:rsidRDefault="007F7864" w:rsidP="00675CC5">
      <w:pPr>
        <w:spacing w:line="240" w:lineRule="auto"/>
      </w:pPr>
      <w:r>
        <w:separator/>
      </w:r>
    </w:p>
  </w:endnote>
  <w:endnote w:type="continuationSeparator" w:id="0">
    <w:p w14:paraId="1462AD19" w14:textId="77777777" w:rsidR="007F7864" w:rsidRDefault="007F7864" w:rsidP="00675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ADDA" w14:textId="77777777" w:rsidR="005F3D3F" w:rsidRDefault="005F3D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387D91" w14:textId="77777777" w:rsidR="005F3D3F" w:rsidRDefault="005F3D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C6686" w14:textId="77777777" w:rsidR="005F3D3F" w:rsidRDefault="005F3D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460A5" w14:textId="77777777" w:rsidR="007F7864" w:rsidRDefault="007F7864" w:rsidP="00675CC5">
      <w:pPr>
        <w:spacing w:line="240" w:lineRule="auto"/>
      </w:pPr>
      <w:r>
        <w:separator/>
      </w:r>
    </w:p>
  </w:footnote>
  <w:footnote w:type="continuationSeparator" w:id="0">
    <w:p w14:paraId="1D3865F4" w14:textId="77777777" w:rsidR="007F7864" w:rsidRDefault="007F7864" w:rsidP="00675C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9C070" w14:textId="40352E14" w:rsidR="005F3D3F" w:rsidRDefault="007F7864">
    <w:pPr>
      <w:pStyle w:val="Header"/>
    </w:pPr>
    <w:r>
      <w:rPr>
        <w:noProof/>
      </w:rPr>
      <w:pict w14:anchorId="7B6A8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62969"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8BB98" w14:textId="1C95D0C5" w:rsidR="005F3D3F" w:rsidRDefault="007F7864">
    <w:pPr>
      <w:pStyle w:val="Header"/>
    </w:pPr>
    <w:r>
      <w:rPr>
        <w:noProof/>
      </w:rPr>
      <w:pict w14:anchorId="05CCC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62970"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5914C" w14:textId="200280A8" w:rsidR="005F3D3F" w:rsidRDefault="007F7864">
    <w:pPr>
      <w:pStyle w:val="Header"/>
    </w:pPr>
    <w:r>
      <w:rPr>
        <w:noProof/>
      </w:rPr>
      <w:pict w14:anchorId="67C231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4962968"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027D4"/>
    <w:multiLevelType w:val="multilevel"/>
    <w:tmpl w:val="5E3221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C496FC3"/>
    <w:multiLevelType w:val="hybridMultilevel"/>
    <w:tmpl w:val="A2504366"/>
    <w:lvl w:ilvl="0" w:tplc="D676E59E">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0F236777"/>
    <w:multiLevelType w:val="hybridMultilevel"/>
    <w:tmpl w:val="FD24EB8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4010BAA"/>
    <w:multiLevelType w:val="multilevel"/>
    <w:tmpl w:val="5AD646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C735726"/>
    <w:multiLevelType w:val="hybridMultilevel"/>
    <w:tmpl w:val="46BE49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4075110F"/>
    <w:multiLevelType w:val="hybridMultilevel"/>
    <w:tmpl w:val="62E67FBC"/>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5FF0814"/>
    <w:multiLevelType w:val="hybridMultilevel"/>
    <w:tmpl w:val="71EAAAFA"/>
    <w:lvl w:ilvl="0" w:tplc="855C9FCA">
      <w:start w:val="26"/>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493239D0"/>
    <w:multiLevelType w:val="multilevel"/>
    <w:tmpl w:val="5CCC7A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E3435EC"/>
    <w:multiLevelType w:val="hybridMultilevel"/>
    <w:tmpl w:val="DAB87932"/>
    <w:lvl w:ilvl="0" w:tplc="34090001">
      <w:start w:val="1"/>
      <w:numFmt w:val="bullet"/>
      <w:lvlText w:val=""/>
      <w:lvlJc w:val="left"/>
      <w:pPr>
        <w:ind w:left="1440" w:hanging="360"/>
      </w:pPr>
      <w:rPr>
        <w:rFonts w:ascii="Symbol" w:hAnsi="Symbol" w:hint="default"/>
      </w:rPr>
    </w:lvl>
    <w:lvl w:ilvl="1" w:tplc="34090003">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9" w15:restartNumberingAfterBreak="0">
    <w:nsid w:val="657C1AD4"/>
    <w:multiLevelType w:val="hybridMultilevel"/>
    <w:tmpl w:val="CC5ED93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689A3601"/>
    <w:multiLevelType w:val="multilevel"/>
    <w:tmpl w:val="15F0E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AFB741C"/>
    <w:multiLevelType w:val="hybridMultilevel"/>
    <w:tmpl w:val="5C049DE0"/>
    <w:lvl w:ilvl="0" w:tplc="855C9FCA">
      <w:start w:val="26"/>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72EC1D9E"/>
    <w:multiLevelType w:val="multilevel"/>
    <w:tmpl w:val="F19EE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56331FE"/>
    <w:multiLevelType w:val="multilevel"/>
    <w:tmpl w:val="445853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7F886873"/>
    <w:multiLevelType w:val="hybridMultilevel"/>
    <w:tmpl w:val="A4109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3"/>
  </w:num>
  <w:num w:numId="4">
    <w:abstractNumId w:val="12"/>
  </w:num>
  <w:num w:numId="5">
    <w:abstractNumId w:val="14"/>
  </w:num>
  <w:num w:numId="6">
    <w:abstractNumId w:val="3"/>
  </w:num>
  <w:num w:numId="7">
    <w:abstractNumId w:val="8"/>
  </w:num>
  <w:num w:numId="8">
    <w:abstractNumId w:val="10"/>
  </w:num>
  <w:num w:numId="9">
    <w:abstractNumId w:val="5"/>
  </w:num>
  <w:num w:numId="10">
    <w:abstractNumId w:val="2"/>
  </w:num>
  <w:num w:numId="11">
    <w:abstractNumId w:val="9"/>
  </w:num>
  <w:num w:numId="12">
    <w:abstractNumId w:val="1"/>
  </w:num>
  <w:num w:numId="13">
    <w:abstractNumId w:val="4"/>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QxMzQ0MjQzNjCxNDVU0lEKTi0uzszPAykwrAUAYFwsUywAAAA="/>
  </w:docVars>
  <w:rsids>
    <w:rsidRoot w:val="00C41A24"/>
    <w:rsid w:val="0000421D"/>
    <w:rsid w:val="000114BF"/>
    <w:rsid w:val="00023F61"/>
    <w:rsid w:val="00035947"/>
    <w:rsid w:val="00041593"/>
    <w:rsid w:val="00051914"/>
    <w:rsid w:val="00066317"/>
    <w:rsid w:val="00067D26"/>
    <w:rsid w:val="00082F9E"/>
    <w:rsid w:val="00085787"/>
    <w:rsid w:val="00085DC8"/>
    <w:rsid w:val="00086CD5"/>
    <w:rsid w:val="00090FCF"/>
    <w:rsid w:val="00091867"/>
    <w:rsid w:val="00094458"/>
    <w:rsid w:val="000A3D22"/>
    <w:rsid w:val="000A6BA4"/>
    <w:rsid w:val="000A6BB8"/>
    <w:rsid w:val="000A6D80"/>
    <w:rsid w:val="000D5DB4"/>
    <w:rsid w:val="001107C9"/>
    <w:rsid w:val="001140C7"/>
    <w:rsid w:val="001210D8"/>
    <w:rsid w:val="00121EB1"/>
    <w:rsid w:val="00131634"/>
    <w:rsid w:val="001371EC"/>
    <w:rsid w:val="0014251E"/>
    <w:rsid w:val="00142EDE"/>
    <w:rsid w:val="001508E3"/>
    <w:rsid w:val="00153A5A"/>
    <w:rsid w:val="00157C4D"/>
    <w:rsid w:val="001649D7"/>
    <w:rsid w:val="00175081"/>
    <w:rsid w:val="001C3885"/>
    <w:rsid w:val="001C3C86"/>
    <w:rsid w:val="001C3E91"/>
    <w:rsid w:val="001C513F"/>
    <w:rsid w:val="001D11EE"/>
    <w:rsid w:val="001E00B7"/>
    <w:rsid w:val="001F3CAD"/>
    <w:rsid w:val="001F706D"/>
    <w:rsid w:val="00201700"/>
    <w:rsid w:val="00204DB3"/>
    <w:rsid w:val="00246890"/>
    <w:rsid w:val="00263302"/>
    <w:rsid w:val="00265274"/>
    <w:rsid w:val="0027333C"/>
    <w:rsid w:val="00291421"/>
    <w:rsid w:val="002943EC"/>
    <w:rsid w:val="00296E22"/>
    <w:rsid w:val="002B6761"/>
    <w:rsid w:val="002C1464"/>
    <w:rsid w:val="002C3603"/>
    <w:rsid w:val="002D6C07"/>
    <w:rsid w:val="002D7B62"/>
    <w:rsid w:val="002E1223"/>
    <w:rsid w:val="002E6595"/>
    <w:rsid w:val="0030594C"/>
    <w:rsid w:val="00313535"/>
    <w:rsid w:val="00321548"/>
    <w:rsid w:val="00335785"/>
    <w:rsid w:val="00365923"/>
    <w:rsid w:val="00373A5C"/>
    <w:rsid w:val="003A01D1"/>
    <w:rsid w:val="003B168B"/>
    <w:rsid w:val="003B183B"/>
    <w:rsid w:val="003B7B6D"/>
    <w:rsid w:val="003D0AF5"/>
    <w:rsid w:val="003D2289"/>
    <w:rsid w:val="003D475B"/>
    <w:rsid w:val="003E3D46"/>
    <w:rsid w:val="003E3FA4"/>
    <w:rsid w:val="003F2B50"/>
    <w:rsid w:val="003F52BC"/>
    <w:rsid w:val="003F77DD"/>
    <w:rsid w:val="00401496"/>
    <w:rsid w:val="00402975"/>
    <w:rsid w:val="00412C04"/>
    <w:rsid w:val="00415EEE"/>
    <w:rsid w:val="004200D0"/>
    <w:rsid w:val="00423EAE"/>
    <w:rsid w:val="00427B5F"/>
    <w:rsid w:val="00435EEE"/>
    <w:rsid w:val="00442F5E"/>
    <w:rsid w:val="00450FC2"/>
    <w:rsid w:val="00451764"/>
    <w:rsid w:val="0045198C"/>
    <w:rsid w:val="00482EC8"/>
    <w:rsid w:val="0048644C"/>
    <w:rsid w:val="004A2F2E"/>
    <w:rsid w:val="004A5259"/>
    <w:rsid w:val="004A6BD7"/>
    <w:rsid w:val="004B34FC"/>
    <w:rsid w:val="004B7A59"/>
    <w:rsid w:val="004C08C2"/>
    <w:rsid w:val="004C4719"/>
    <w:rsid w:val="004C4F4F"/>
    <w:rsid w:val="004D73BC"/>
    <w:rsid w:val="005223FC"/>
    <w:rsid w:val="00525096"/>
    <w:rsid w:val="00535F2C"/>
    <w:rsid w:val="00536192"/>
    <w:rsid w:val="005618A7"/>
    <w:rsid w:val="00571408"/>
    <w:rsid w:val="005731D9"/>
    <w:rsid w:val="005744D5"/>
    <w:rsid w:val="0058044C"/>
    <w:rsid w:val="005852B1"/>
    <w:rsid w:val="00585614"/>
    <w:rsid w:val="00594919"/>
    <w:rsid w:val="005A79F5"/>
    <w:rsid w:val="005B0CAE"/>
    <w:rsid w:val="005C0073"/>
    <w:rsid w:val="005C287E"/>
    <w:rsid w:val="005D74EB"/>
    <w:rsid w:val="005F2C2D"/>
    <w:rsid w:val="005F3D3F"/>
    <w:rsid w:val="00600BD3"/>
    <w:rsid w:val="00602407"/>
    <w:rsid w:val="0060766F"/>
    <w:rsid w:val="0061000A"/>
    <w:rsid w:val="006251AE"/>
    <w:rsid w:val="0063066E"/>
    <w:rsid w:val="00630E58"/>
    <w:rsid w:val="00643750"/>
    <w:rsid w:val="006504FA"/>
    <w:rsid w:val="0065783E"/>
    <w:rsid w:val="00662193"/>
    <w:rsid w:val="006648CF"/>
    <w:rsid w:val="00675CC5"/>
    <w:rsid w:val="00684204"/>
    <w:rsid w:val="006A4358"/>
    <w:rsid w:val="006B5921"/>
    <w:rsid w:val="006C3415"/>
    <w:rsid w:val="006D6501"/>
    <w:rsid w:val="006E11E8"/>
    <w:rsid w:val="006E7B56"/>
    <w:rsid w:val="006F2FDD"/>
    <w:rsid w:val="006F34D9"/>
    <w:rsid w:val="006F5CA5"/>
    <w:rsid w:val="00711D19"/>
    <w:rsid w:val="00723CA4"/>
    <w:rsid w:val="007266C1"/>
    <w:rsid w:val="00735958"/>
    <w:rsid w:val="007424D9"/>
    <w:rsid w:val="00743BB4"/>
    <w:rsid w:val="00762EDC"/>
    <w:rsid w:val="007664B5"/>
    <w:rsid w:val="00766C78"/>
    <w:rsid w:val="007A2F67"/>
    <w:rsid w:val="007A420D"/>
    <w:rsid w:val="007B1CA4"/>
    <w:rsid w:val="007B359D"/>
    <w:rsid w:val="007C31E9"/>
    <w:rsid w:val="007E2066"/>
    <w:rsid w:val="007F480F"/>
    <w:rsid w:val="007F4CEE"/>
    <w:rsid w:val="007F7864"/>
    <w:rsid w:val="00800BA5"/>
    <w:rsid w:val="008010C0"/>
    <w:rsid w:val="00802456"/>
    <w:rsid w:val="00810B6C"/>
    <w:rsid w:val="00813BB2"/>
    <w:rsid w:val="00817B7C"/>
    <w:rsid w:val="00822986"/>
    <w:rsid w:val="0083154A"/>
    <w:rsid w:val="0083476F"/>
    <w:rsid w:val="00835359"/>
    <w:rsid w:val="008360E6"/>
    <w:rsid w:val="00841268"/>
    <w:rsid w:val="00842B0B"/>
    <w:rsid w:val="008506BD"/>
    <w:rsid w:val="00855FE3"/>
    <w:rsid w:val="00863C74"/>
    <w:rsid w:val="0086758F"/>
    <w:rsid w:val="008F5E4C"/>
    <w:rsid w:val="008F7EB2"/>
    <w:rsid w:val="009116D8"/>
    <w:rsid w:val="00914001"/>
    <w:rsid w:val="0092137E"/>
    <w:rsid w:val="00930C5A"/>
    <w:rsid w:val="00931FDC"/>
    <w:rsid w:val="009333BC"/>
    <w:rsid w:val="009360E7"/>
    <w:rsid w:val="00940CE0"/>
    <w:rsid w:val="0094624F"/>
    <w:rsid w:val="00955875"/>
    <w:rsid w:val="00962590"/>
    <w:rsid w:val="00970339"/>
    <w:rsid w:val="009739AE"/>
    <w:rsid w:val="009813D9"/>
    <w:rsid w:val="00986D93"/>
    <w:rsid w:val="0099753B"/>
    <w:rsid w:val="009A1C51"/>
    <w:rsid w:val="009A6E69"/>
    <w:rsid w:val="009B1294"/>
    <w:rsid w:val="009C0A9B"/>
    <w:rsid w:val="009C1C92"/>
    <w:rsid w:val="009C1D03"/>
    <w:rsid w:val="009D080F"/>
    <w:rsid w:val="009D4C48"/>
    <w:rsid w:val="009E40FB"/>
    <w:rsid w:val="009F1227"/>
    <w:rsid w:val="009F3AC7"/>
    <w:rsid w:val="00A10085"/>
    <w:rsid w:val="00A10F52"/>
    <w:rsid w:val="00A110DD"/>
    <w:rsid w:val="00A20A18"/>
    <w:rsid w:val="00A326F5"/>
    <w:rsid w:val="00A428B4"/>
    <w:rsid w:val="00A47286"/>
    <w:rsid w:val="00A5307F"/>
    <w:rsid w:val="00A56E48"/>
    <w:rsid w:val="00A643C9"/>
    <w:rsid w:val="00A77B0E"/>
    <w:rsid w:val="00A911B6"/>
    <w:rsid w:val="00AA107F"/>
    <w:rsid w:val="00AA70BA"/>
    <w:rsid w:val="00AB0A95"/>
    <w:rsid w:val="00AB19CD"/>
    <w:rsid w:val="00AC419B"/>
    <w:rsid w:val="00AC56EB"/>
    <w:rsid w:val="00AD1FC0"/>
    <w:rsid w:val="00AD516C"/>
    <w:rsid w:val="00AD6AD6"/>
    <w:rsid w:val="00AE4C0E"/>
    <w:rsid w:val="00B036B3"/>
    <w:rsid w:val="00B1175D"/>
    <w:rsid w:val="00B33673"/>
    <w:rsid w:val="00B413D2"/>
    <w:rsid w:val="00B4504A"/>
    <w:rsid w:val="00B47B36"/>
    <w:rsid w:val="00B7185B"/>
    <w:rsid w:val="00B76C8E"/>
    <w:rsid w:val="00B815ED"/>
    <w:rsid w:val="00B81F0B"/>
    <w:rsid w:val="00B83C88"/>
    <w:rsid w:val="00B95887"/>
    <w:rsid w:val="00BB40D7"/>
    <w:rsid w:val="00BC4395"/>
    <w:rsid w:val="00BD4C5D"/>
    <w:rsid w:val="00BE164C"/>
    <w:rsid w:val="00BE63E3"/>
    <w:rsid w:val="00BF3243"/>
    <w:rsid w:val="00C02299"/>
    <w:rsid w:val="00C052E3"/>
    <w:rsid w:val="00C17C71"/>
    <w:rsid w:val="00C21E82"/>
    <w:rsid w:val="00C2378A"/>
    <w:rsid w:val="00C41A24"/>
    <w:rsid w:val="00C456F1"/>
    <w:rsid w:val="00C50109"/>
    <w:rsid w:val="00C74193"/>
    <w:rsid w:val="00C771A6"/>
    <w:rsid w:val="00C80BA6"/>
    <w:rsid w:val="00C8412C"/>
    <w:rsid w:val="00C94390"/>
    <w:rsid w:val="00CA5759"/>
    <w:rsid w:val="00CD1BDF"/>
    <w:rsid w:val="00CE6D4A"/>
    <w:rsid w:val="00D10FD6"/>
    <w:rsid w:val="00D3183B"/>
    <w:rsid w:val="00D409CF"/>
    <w:rsid w:val="00D440B4"/>
    <w:rsid w:val="00D4650E"/>
    <w:rsid w:val="00D4651E"/>
    <w:rsid w:val="00D46CE1"/>
    <w:rsid w:val="00D723DB"/>
    <w:rsid w:val="00D74015"/>
    <w:rsid w:val="00D82EC0"/>
    <w:rsid w:val="00D85628"/>
    <w:rsid w:val="00D9634B"/>
    <w:rsid w:val="00DA5BF9"/>
    <w:rsid w:val="00DB35A1"/>
    <w:rsid w:val="00DC33C9"/>
    <w:rsid w:val="00DE1654"/>
    <w:rsid w:val="00E030B5"/>
    <w:rsid w:val="00E166AF"/>
    <w:rsid w:val="00E25EE0"/>
    <w:rsid w:val="00E26091"/>
    <w:rsid w:val="00E30364"/>
    <w:rsid w:val="00E34E12"/>
    <w:rsid w:val="00E369F8"/>
    <w:rsid w:val="00E36CBA"/>
    <w:rsid w:val="00E43806"/>
    <w:rsid w:val="00E5622D"/>
    <w:rsid w:val="00E779EE"/>
    <w:rsid w:val="00E95DA1"/>
    <w:rsid w:val="00EB55CD"/>
    <w:rsid w:val="00EC40EA"/>
    <w:rsid w:val="00EC57A0"/>
    <w:rsid w:val="00ED1339"/>
    <w:rsid w:val="00ED1DE5"/>
    <w:rsid w:val="00ED61C2"/>
    <w:rsid w:val="00EE08F0"/>
    <w:rsid w:val="00EE3C0A"/>
    <w:rsid w:val="00EF3818"/>
    <w:rsid w:val="00EF3B60"/>
    <w:rsid w:val="00F00A9E"/>
    <w:rsid w:val="00F213D2"/>
    <w:rsid w:val="00F23C56"/>
    <w:rsid w:val="00F24D8F"/>
    <w:rsid w:val="00F40072"/>
    <w:rsid w:val="00F409F8"/>
    <w:rsid w:val="00F5658A"/>
    <w:rsid w:val="00F579AD"/>
    <w:rsid w:val="00F63E34"/>
    <w:rsid w:val="00F718C6"/>
    <w:rsid w:val="00F72394"/>
    <w:rsid w:val="00F82515"/>
    <w:rsid w:val="00FA22C8"/>
    <w:rsid w:val="00FA4F83"/>
    <w:rsid w:val="00FC03CC"/>
    <w:rsid w:val="00FC5528"/>
    <w:rsid w:val="00FC6DA0"/>
    <w:rsid w:val="00FE33AA"/>
    <w:rsid w:val="00FF0353"/>
    <w:rsid w:val="00FF1575"/>
    <w:rsid w:val="00FF195F"/>
    <w:rsid w:val="00FF2940"/>
    <w:rsid w:val="00FF2CDC"/>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6DDD46"/>
  <w15:docId w15:val="{DA34CEC9-AE32-409A-992C-997C7E2D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PH"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07C9"/>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35947"/>
    <w:rPr>
      <w:color w:val="0000FF" w:themeColor="hyperlink"/>
      <w:u w:val="single"/>
    </w:rPr>
  </w:style>
  <w:style w:type="character" w:styleId="UnresolvedMention">
    <w:name w:val="Unresolved Mention"/>
    <w:basedOn w:val="DefaultParagraphFont"/>
    <w:uiPriority w:val="99"/>
    <w:semiHidden/>
    <w:unhideWhenUsed/>
    <w:rsid w:val="00035947"/>
    <w:rPr>
      <w:color w:val="605E5C"/>
      <w:shd w:val="clear" w:color="auto" w:fill="E1DFDD"/>
    </w:rPr>
  </w:style>
  <w:style w:type="paragraph" w:customStyle="1" w:styleId="whitespace-pre-wrap">
    <w:name w:val="whitespace-pre-wrap"/>
    <w:basedOn w:val="Normal"/>
    <w:rsid w:val="00F00A9E"/>
    <w:pPr>
      <w:spacing w:before="100" w:beforeAutospacing="1" w:after="100" w:afterAutospacing="1" w:line="240" w:lineRule="auto"/>
    </w:pPr>
    <w:rPr>
      <w:rFonts w:ascii="Times New Roman" w:eastAsia="Times New Roman" w:hAnsi="Times New Roman" w:cs="Times New Roman"/>
      <w:sz w:val="24"/>
      <w:szCs w:val="24"/>
      <w:lang w:val="en-PH"/>
    </w:rPr>
  </w:style>
  <w:style w:type="paragraph" w:styleId="NoSpacing">
    <w:name w:val="No Spacing"/>
    <w:basedOn w:val="Normal"/>
    <w:link w:val="NoSpacingChar"/>
    <w:uiPriority w:val="1"/>
    <w:qFormat/>
    <w:rsid w:val="00AD1FC0"/>
    <w:pPr>
      <w:spacing w:before="100" w:beforeAutospacing="1" w:line="240" w:lineRule="auto"/>
    </w:pPr>
    <w:rPr>
      <w:rFonts w:ascii="Calibri" w:eastAsia="Times New Roman" w:hAnsi="Calibri" w:cs="Calibri"/>
      <w:color w:val="000000"/>
      <w:lang w:val="en-US" w:eastAsia="en-US"/>
    </w:rPr>
  </w:style>
  <w:style w:type="character" w:customStyle="1" w:styleId="NoSpacingChar">
    <w:name w:val="No Spacing Char"/>
    <w:basedOn w:val="DefaultParagraphFont"/>
    <w:link w:val="NoSpacing"/>
    <w:uiPriority w:val="1"/>
    <w:rsid w:val="00AD1FC0"/>
    <w:rPr>
      <w:rFonts w:ascii="Calibri" w:eastAsia="Times New Roman" w:hAnsi="Calibri" w:cs="Calibri"/>
      <w:color w:val="000000"/>
      <w:lang w:val="en-US" w:eastAsia="en-US"/>
    </w:rPr>
  </w:style>
  <w:style w:type="table" w:styleId="TableGrid">
    <w:name w:val="Table Grid"/>
    <w:basedOn w:val="TableNormal"/>
    <w:uiPriority w:val="39"/>
    <w:qFormat/>
    <w:rsid w:val="0095587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64C"/>
    <w:pPr>
      <w:ind w:left="720"/>
      <w:contextualSpacing/>
    </w:pPr>
  </w:style>
  <w:style w:type="paragraph" w:styleId="Header">
    <w:name w:val="header"/>
    <w:basedOn w:val="Normal"/>
    <w:link w:val="HeaderChar"/>
    <w:uiPriority w:val="99"/>
    <w:unhideWhenUsed/>
    <w:rsid w:val="00675CC5"/>
    <w:pPr>
      <w:tabs>
        <w:tab w:val="center" w:pos="4680"/>
        <w:tab w:val="right" w:pos="9360"/>
      </w:tabs>
      <w:spacing w:line="240" w:lineRule="auto"/>
    </w:pPr>
  </w:style>
  <w:style w:type="character" w:customStyle="1" w:styleId="HeaderChar">
    <w:name w:val="Header Char"/>
    <w:basedOn w:val="DefaultParagraphFont"/>
    <w:link w:val="Header"/>
    <w:uiPriority w:val="99"/>
    <w:rsid w:val="00675CC5"/>
  </w:style>
  <w:style w:type="paragraph" w:styleId="Footer">
    <w:name w:val="footer"/>
    <w:basedOn w:val="Normal"/>
    <w:link w:val="FooterChar"/>
    <w:uiPriority w:val="99"/>
    <w:unhideWhenUsed/>
    <w:rsid w:val="00675CC5"/>
    <w:pPr>
      <w:tabs>
        <w:tab w:val="center" w:pos="4680"/>
        <w:tab w:val="right" w:pos="9360"/>
      </w:tabs>
      <w:spacing w:line="240" w:lineRule="auto"/>
    </w:pPr>
  </w:style>
  <w:style w:type="character" w:customStyle="1" w:styleId="FooterChar">
    <w:name w:val="Footer Char"/>
    <w:basedOn w:val="DefaultParagraphFont"/>
    <w:link w:val="Footer"/>
    <w:uiPriority w:val="99"/>
    <w:rsid w:val="00675CC5"/>
  </w:style>
  <w:style w:type="paragraph" w:customStyle="1" w:styleId="Els-Abstract-head">
    <w:name w:val="Els-Abstract-head"/>
    <w:next w:val="Normal"/>
    <w:rsid w:val="00313535"/>
    <w:pPr>
      <w:keepNext/>
      <w:pBdr>
        <w:top w:val="single" w:sz="4" w:space="10" w:color="auto"/>
      </w:pBdr>
      <w:suppressAutoHyphens/>
      <w:spacing w:after="220" w:line="220" w:lineRule="exact"/>
    </w:pPr>
    <w:rPr>
      <w:rFonts w:ascii="Times New Roman" w:eastAsia="SimSun" w:hAnsi="Times New Roman" w:cs="Times New Roman"/>
      <w:b/>
      <w:sz w:val="18"/>
      <w:szCs w:val="20"/>
      <w:lang w:val="en-US" w:eastAsia="en-US"/>
    </w:rPr>
  </w:style>
  <w:style w:type="table" w:customStyle="1" w:styleId="TableGrid1">
    <w:name w:val="Table Grid1"/>
    <w:basedOn w:val="TableNormal"/>
    <w:next w:val="TableGrid"/>
    <w:uiPriority w:val="39"/>
    <w:rsid w:val="00C94390"/>
    <w:pPr>
      <w:spacing w:line="240" w:lineRule="auto"/>
    </w:pPr>
    <w:rPr>
      <w:rFonts w:ascii="Calibri" w:eastAsia="Times New Roman" w:hAnsi="Calibri" w:cs="Times New Roman"/>
      <w:kern w:val="2"/>
      <w:sz w:val="24"/>
      <w:szCs w:val="24"/>
      <w:lang w:val="en-PH"/>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17B7C"/>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0555">
      <w:bodyDiv w:val="1"/>
      <w:marLeft w:val="0"/>
      <w:marRight w:val="0"/>
      <w:marTop w:val="0"/>
      <w:marBottom w:val="0"/>
      <w:divBdr>
        <w:top w:val="none" w:sz="0" w:space="0" w:color="auto"/>
        <w:left w:val="none" w:sz="0" w:space="0" w:color="auto"/>
        <w:bottom w:val="none" w:sz="0" w:space="0" w:color="auto"/>
        <w:right w:val="none" w:sz="0" w:space="0" w:color="auto"/>
      </w:divBdr>
    </w:div>
    <w:div w:id="98112201">
      <w:bodyDiv w:val="1"/>
      <w:marLeft w:val="0"/>
      <w:marRight w:val="0"/>
      <w:marTop w:val="0"/>
      <w:marBottom w:val="0"/>
      <w:divBdr>
        <w:top w:val="none" w:sz="0" w:space="0" w:color="auto"/>
        <w:left w:val="none" w:sz="0" w:space="0" w:color="auto"/>
        <w:bottom w:val="none" w:sz="0" w:space="0" w:color="auto"/>
        <w:right w:val="none" w:sz="0" w:space="0" w:color="auto"/>
      </w:divBdr>
    </w:div>
    <w:div w:id="118382850">
      <w:bodyDiv w:val="1"/>
      <w:marLeft w:val="0"/>
      <w:marRight w:val="0"/>
      <w:marTop w:val="0"/>
      <w:marBottom w:val="0"/>
      <w:divBdr>
        <w:top w:val="none" w:sz="0" w:space="0" w:color="auto"/>
        <w:left w:val="none" w:sz="0" w:space="0" w:color="auto"/>
        <w:bottom w:val="none" w:sz="0" w:space="0" w:color="auto"/>
        <w:right w:val="none" w:sz="0" w:space="0" w:color="auto"/>
      </w:divBdr>
    </w:div>
    <w:div w:id="119425357">
      <w:bodyDiv w:val="1"/>
      <w:marLeft w:val="0"/>
      <w:marRight w:val="0"/>
      <w:marTop w:val="0"/>
      <w:marBottom w:val="0"/>
      <w:divBdr>
        <w:top w:val="none" w:sz="0" w:space="0" w:color="auto"/>
        <w:left w:val="none" w:sz="0" w:space="0" w:color="auto"/>
        <w:bottom w:val="none" w:sz="0" w:space="0" w:color="auto"/>
        <w:right w:val="none" w:sz="0" w:space="0" w:color="auto"/>
      </w:divBdr>
    </w:div>
    <w:div w:id="170066008">
      <w:bodyDiv w:val="1"/>
      <w:marLeft w:val="0"/>
      <w:marRight w:val="0"/>
      <w:marTop w:val="0"/>
      <w:marBottom w:val="0"/>
      <w:divBdr>
        <w:top w:val="none" w:sz="0" w:space="0" w:color="auto"/>
        <w:left w:val="none" w:sz="0" w:space="0" w:color="auto"/>
        <w:bottom w:val="none" w:sz="0" w:space="0" w:color="auto"/>
        <w:right w:val="none" w:sz="0" w:space="0" w:color="auto"/>
      </w:divBdr>
    </w:div>
    <w:div w:id="202406677">
      <w:bodyDiv w:val="1"/>
      <w:marLeft w:val="0"/>
      <w:marRight w:val="0"/>
      <w:marTop w:val="0"/>
      <w:marBottom w:val="0"/>
      <w:divBdr>
        <w:top w:val="none" w:sz="0" w:space="0" w:color="auto"/>
        <w:left w:val="none" w:sz="0" w:space="0" w:color="auto"/>
        <w:bottom w:val="none" w:sz="0" w:space="0" w:color="auto"/>
        <w:right w:val="none" w:sz="0" w:space="0" w:color="auto"/>
      </w:divBdr>
    </w:div>
    <w:div w:id="211624359">
      <w:bodyDiv w:val="1"/>
      <w:marLeft w:val="0"/>
      <w:marRight w:val="0"/>
      <w:marTop w:val="0"/>
      <w:marBottom w:val="0"/>
      <w:divBdr>
        <w:top w:val="none" w:sz="0" w:space="0" w:color="auto"/>
        <w:left w:val="none" w:sz="0" w:space="0" w:color="auto"/>
        <w:bottom w:val="none" w:sz="0" w:space="0" w:color="auto"/>
        <w:right w:val="none" w:sz="0" w:space="0" w:color="auto"/>
      </w:divBdr>
    </w:div>
    <w:div w:id="221865924">
      <w:bodyDiv w:val="1"/>
      <w:marLeft w:val="0"/>
      <w:marRight w:val="0"/>
      <w:marTop w:val="0"/>
      <w:marBottom w:val="0"/>
      <w:divBdr>
        <w:top w:val="none" w:sz="0" w:space="0" w:color="auto"/>
        <w:left w:val="none" w:sz="0" w:space="0" w:color="auto"/>
        <w:bottom w:val="none" w:sz="0" w:space="0" w:color="auto"/>
        <w:right w:val="none" w:sz="0" w:space="0" w:color="auto"/>
      </w:divBdr>
    </w:div>
    <w:div w:id="230385614">
      <w:bodyDiv w:val="1"/>
      <w:marLeft w:val="0"/>
      <w:marRight w:val="0"/>
      <w:marTop w:val="0"/>
      <w:marBottom w:val="0"/>
      <w:divBdr>
        <w:top w:val="none" w:sz="0" w:space="0" w:color="auto"/>
        <w:left w:val="none" w:sz="0" w:space="0" w:color="auto"/>
        <w:bottom w:val="none" w:sz="0" w:space="0" w:color="auto"/>
        <w:right w:val="none" w:sz="0" w:space="0" w:color="auto"/>
      </w:divBdr>
    </w:div>
    <w:div w:id="239297425">
      <w:bodyDiv w:val="1"/>
      <w:marLeft w:val="0"/>
      <w:marRight w:val="0"/>
      <w:marTop w:val="0"/>
      <w:marBottom w:val="0"/>
      <w:divBdr>
        <w:top w:val="none" w:sz="0" w:space="0" w:color="auto"/>
        <w:left w:val="none" w:sz="0" w:space="0" w:color="auto"/>
        <w:bottom w:val="none" w:sz="0" w:space="0" w:color="auto"/>
        <w:right w:val="none" w:sz="0" w:space="0" w:color="auto"/>
      </w:divBdr>
    </w:div>
    <w:div w:id="240483242">
      <w:bodyDiv w:val="1"/>
      <w:marLeft w:val="0"/>
      <w:marRight w:val="0"/>
      <w:marTop w:val="0"/>
      <w:marBottom w:val="0"/>
      <w:divBdr>
        <w:top w:val="none" w:sz="0" w:space="0" w:color="auto"/>
        <w:left w:val="none" w:sz="0" w:space="0" w:color="auto"/>
        <w:bottom w:val="none" w:sz="0" w:space="0" w:color="auto"/>
        <w:right w:val="none" w:sz="0" w:space="0" w:color="auto"/>
      </w:divBdr>
    </w:div>
    <w:div w:id="245193046">
      <w:bodyDiv w:val="1"/>
      <w:marLeft w:val="0"/>
      <w:marRight w:val="0"/>
      <w:marTop w:val="0"/>
      <w:marBottom w:val="0"/>
      <w:divBdr>
        <w:top w:val="none" w:sz="0" w:space="0" w:color="auto"/>
        <w:left w:val="none" w:sz="0" w:space="0" w:color="auto"/>
        <w:bottom w:val="none" w:sz="0" w:space="0" w:color="auto"/>
        <w:right w:val="none" w:sz="0" w:space="0" w:color="auto"/>
      </w:divBdr>
    </w:div>
    <w:div w:id="302542810">
      <w:bodyDiv w:val="1"/>
      <w:marLeft w:val="0"/>
      <w:marRight w:val="0"/>
      <w:marTop w:val="0"/>
      <w:marBottom w:val="0"/>
      <w:divBdr>
        <w:top w:val="none" w:sz="0" w:space="0" w:color="auto"/>
        <w:left w:val="none" w:sz="0" w:space="0" w:color="auto"/>
        <w:bottom w:val="none" w:sz="0" w:space="0" w:color="auto"/>
        <w:right w:val="none" w:sz="0" w:space="0" w:color="auto"/>
      </w:divBdr>
    </w:div>
    <w:div w:id="392385772">
      <w:bodyDiv w:val="1"/>
      <w:marLeft w:val="0"/>
      <w:marRight w:val="0"/>
      <w:marTop w:val="0"/>
      <w:marBottom w:val="0"/>
      <w:divBdr>
        <w:top w:val="none" w:sz="0" w:space="0" w:color="auto"/>
        <w:left w:val="none" w:sz="0" w:space="0" w:color="auto"/>
        <w:bottom w:val="none" w:sz="0" w:space="0" w:color="auto"/>
        <w:right w:val="none" w:sz="0" w:space="0" w:color="auto"/>
      </w:divBdr>
    </w:div>
    <w:div w:id="394624094">
      <w:bodyDiv w:val="1"/>
      <w:marLeft w:val="0"/>
      <w:marRight w:val="0"/>
      <w:marTop w:val="0"/>
      <w:marBottom w:val="0"/>
      <w:divBdr>
        <w:top w:val="none" w:sz="0" w:space="0" w:color="auto"/>
        <w:left w:val="none" w:sz="0" w:space="0" w:color="auto"/>
        <w:bottom w:val="none" w:sz="0" w:space="0" w:color="auto"/>
        <w:right w:val="none" w:sz="0" w:space="0" w:color="auto"/>
      </w:divBdr>
    </w:div>
    <w:div w:id="394745816">
      <w:bodyDiv w:val="1"/>
      <w:marLeft w:val="0"/>
      <w:marRight w:val="0"/>
      <w:marTop w:val="0"/>
      <w:marBottom w:val="0"/>
      <w:divBdr>
        <w:top w:val="none" w:sz="0" w:space="0" w:color="auto"/>
        <w:left w:val="none" w:sz="0" w:space="0" w:color="auto"/>
        <w:bottom w:val="none" w:sz="0" w:space="0" w:color="auto"/>
        <w:right w:val="none" w:sz="0" w:space="0" w:color="auto"/>
      </w:divBdr>
    </w:div>
    <w:div w:id="395786981">
      <w:bodyDiv w:val="1"/>
      <w:marLeft w:val="0"/>
      <w:marRight w:val="0"/>
      <w:marTop w:val="0"/>
      <w:marBottom w:val="0"/>
      <w:divBdr>
        <w:top w:val="none" w:sz="0" w:space="0" w:color="auto"/>
        <w:left w:val="none" w:sz="0" w:space="0" w:color="auto"/>
        <w:bottom w:val="none" w:sz="0" w:space="0" w:color="auto"/>
        <w:right w:val="none" w:sz="0" w:space="0" w:color="auto"/>
      </w:divBdr>
    </w:div>
    <w:div w:id="414057480">
      <w:bodyDiv w:val="1"/>
      <w:marLeft w:val="0"/>
      <w:marRight w:val="0"/>
      <w:marTop w:val="0"/>
      <w:marBottom w:val="0"/>
      <w:divBdr>
        <w:top w:val="none" w:sz="0" w:space="0" w:color="auto"/>
        <w:left w:val="none" w:sz="0" w:space="0" w:color="auto"/>
        <w:bottom w:val="none" w:sz="0" w:space="0" w:color="auto"/>
        <w:right w:val="none" w:sz="0" w:space="0" w:color="auto"/>
      </w:divBdr>
    </w:div>
    <w:div w:id="424811998">
      <w:bodyDiv w:val="1"/>
      <w:marLeft w:val="0"/>
      <w:marRight w:val="0"/>
      <w:marTop w:val="0"/>
      <w:marBottom w:val="0"/>
      <w:divBdr>
        <w:top w:val="none" w:sz="0" w:space="0" w:color="auto"/>
        <w:left w:val="none" w:sz="0" w:space="0" w:color="auto"/>
        <w:bottom w:val="none" w:sz="0" w:space="0" w:color="auto"/>
        <w:right w:val="none" w:sz="0" w:space="0" w:color="auto"/>
      </w:divBdr>
      <w:divsChild>
        <w:div w:id="2060204787">
          <w:marLeft w:val="-720"/>
          <w:marRight w:val="0"/>
          <w:marTop w:val="0"/>
          <w:marBottom w:val="0"/>
          <w:divBdr>
            <w:top w:val="none" w:sz="0" w:space="0" w:color="auto"/>
            <w:left w:val="none" w:sz="0" w:space="0" w:color="auto"/>
            <w:bottom w:val="none" w:sz="0" w:space="0" w:color="auto"/>
            <w:right w:val="none" w:sz="0" w:space="0" w:color="auto"/>
          </w:divBdr>
        </w:div>
      </w:divsChild>
    </w:div>
    <w:div w:id="432631056">
      <w:bodyDiv w:val="1"/>
      <w:marLeft w:val="0"/>
      <w:marRight w:val="0"/>
      <w:marTop w:val="0"/>
      <w:marBottom w:val="0"/>
      <w:divBdr>
        <w:top w:val="none" w:sz="0" w:space="0" w:color="auto"/>
        <w:left w:val="none" w:sz="0" w:space="0" w:color="auto"/>
        <w:bottom w:val="none" w:sz="0" w:space="0" w:color="auto"/>
        <w:right w:val="none" w:sz="0" w:space="0" w:color="auto"/>
      </w:divBdr>
    </w:div>
    <w:div w:id="471823825">
      <w:bodyDiv w:val="1"/>
      <w:marLeft w:val="0"/>
      <w:marRight w:val="0"/>
      <w:marTop w:val="0"/>
      <w:marBottom w:val="0"/>
      <w:divBdr>
        <w:top w:val="none" w:sz="0" w:space="0" w:color="auto"/>
        <w:left w:val="none" w:sz="0" w:space="0" w:color="auto"/>
        <w:bottom w:val="none" w:sz="0" w:space="0" w:color="auto"/>
        <w:right w:val="none" w:sz="0" w:space="0" w:color="auto"/>
      </w:divBdr>
      <w:divsChild>
        <w:div w:id="1362320841">
          <w:marLeft w:val="0"/>
          <w:marRight w:val="0"/>
          <w:marTop w:val="0"/>
          <w:marBottom w:val="0"/>
          <w:divBdr>
            <w:top w:val="none" w:sz="0" w:space="0" w:color="auto"/>
            <w:left w:val="none" w:sz="0" w:space="0" w:color="auto"/>
            <w:bottom w:val="none" w:sz="0" w:space="0" w:color="auto"/>
            <w:right w:val="none" w:sz="0" w:space="0" w:color="auto"/>
          </w:divBdr>
        </w:div>
      </w:divsChild>
    </w:div>
    <w:div w:id="508064099">
      <w:bodyDiv w:val="1"/>
      <w:marLeft w:val="0"/>
      <w:marRight w:val="0"/>
      <w:marTop w:val="0"/>
      <w:marBottom w:val="0"/>
      <w:divBdr>
        <w:top w:val="none" w:sz="0" w:space="0" w:color="auto"/>
        <w:left w:val="none" w:sz="0" w:space="0" w:color="auto"/>
        <w:bottom w:val="none" w:sz="0" w:space="0" w:color="auto"/>
        <w:right w:val="none" w:sz="0" w:space="0" w:color="auto"/>
      </w:divBdr>
    </w:div>
    <w:div w:id="549343589">
      <w:bodyDiv w:val="1"/>
      <w:marLeft w:val="0"/>
      <w:marRight w:val="0"/>
      <w:marTop w:val="0"/>
      <w:marBottom w:val="0"/>
      <w:divBdr>
        <w:top w:val="none" w:sz="0" w:space="0" w:color="auto"/>
        <w:left w:val="none" w:sz="0" w:space="0" w:color="auto"/>
        <w:bottom w:val="none" w:sz="0" w:space="0" w:color="auto"/>
        <w:right w:val="none" w:sz="0" w:space="0" w:color="auto"/>
      </w:divBdr>
    </w:div>
    <w:div w:id="568275217">
      <w:bodyDiv w:val="1"/>
      <w:marLeft w:val="0"/>
      <w:marRight w:val="0"/>
      <w:marTop w:val="0"/>
      <w:marBottom w:val="0"/>
      <w:divBdr>
        <w:top w:val="none" w:sz="0" w:space="0" w:color="auto"/>
        <w:left w:val="none" w:sz="0" w:space="0" w:color="auto"/>
        <w:bottom w:val="none" w:sz="0" w:space="0" w:color="auto"/>
        <w:right w:val="none" w:sz="0" w:space="0" w:color="auto"/>
      </w:divBdr>
    </w:div>
    <w:div w:id="584267434">
      <w:bodyDiv w:val="1"/>
      <w:marLeft w:val="0"/>
      <w:marRight w:val="0"/>
      <w:marTop w:val="0"/>
      <w:marBottom w:val="0"/>
      <w:divBdr>
        <w:top w:val="none" w:sz="0" w:space="0" w:color="auto"/>
        <w:left w:val="none" w:sz="0" w:space="0" w:color="auto"/>
        <w:bottom w:val="none" w:sz="0" w:space="0" w:color="auto"/>
        <w:right w:val="none" w:sz="0" w:space="0" w:color="auto"/>
      </w:divBdr>
    </w:div>
    <w:div w:id="671446168">
      <w:bodyDiv w:val="1"/>
      <w:marLeft w:val="0"/>
      <w:marRight w:val="0"/>
      <w:marTop w:val="0"/>
      <w:marBottom w:val="0"/>
      <w:divBdr>
        <w:top w:val="none" w:sz="0" w:space="0" w:color="auto"/>
        <w:left w:val="none" w:sz="0" w:space="0" w:color="auto"/>
        <w:bottom w:val="none" w:sz="0" w:space="0" w:color="auto"/>
        <w:right w:val="none" w:sz="0" w:space="0" w:color="auto"/>
      </w:divBdr>
    </w:div>
    <w:div w:id="715931939">
      <w:bodyDiv w:val="1"/>
      <w:marLeft w:val="0"/>
      <w:marRight w:val="0"/>
      <w:marTop w:val="0"/>
      <w:marBottom w:val="0"/>
      <w:divBdr>
        <w:top w:val="none" w:sz="0" w:space="0" w:color="auto"/>
        <w:left w:val="none" w:sz="0" w:space="0" w:color="auto"/>
        <w:bottom w:val="none" w:sz="0" w:space="0" w:color="auto"/>
        <w:right w:val="none" w:sz="0" w:space="0" w:color="auto"/>
      </w:divBdr>
    </w:div>
    <w:div w:id="725877962">
      <w:bodyDiv w:val="1"/>
      <w:marLeft w:val="0"/>
      <w:marRight w:val="0"/>
      <w:marTop w:val="0"/>
      <w:marBottom w:val="0"/>
      <w:divBdr>
        <w:top w:val="none" w:sz="0" w:space="0" w:color="auto"/>
        <w:left w:val="none" w:sz="0" w:space="0" w:color="auto"/>
        <w:bottom w:val="none" w:sz="0" w:space="0" w:color="auto"/>
        <w:right w:val="none" w:sz="0" w:space="0" w:color="auto"/>
      </w:divBdr>
    </w:div>
    <w:div w:id="767774869">
      <w:bodyDiv w:val="1"/>
      <w:marLeft w:val="0"/>
      <w:marRight w:val="0"/>
      <w:marTop w:val="0"/>
      <w:marBottom w:val="0"/>
      <w:divBdr>
        <w:top w:val="none" w:sz="0" w:space="0" w:color="auto"/>
        <w:left w:val="none" w:sz="0" w:space="0" w:color="auto"/>
        <w:bottom w:val="none" w:sz="0" w:space="0" w:color="auto"/>
        <w:right w:val="none" w:sz="0" w:space="0" w:color="auto"/>
      </w:divBdr>
    </w:div>
    <w:div w:id="820005479">
      <w:bodyDiv w:val="1"/>
      <w:marLeft w:val="0"/>
      <w:marRight w:val="0"/>
      <w:marTop w:val="0"/>
      <w:marBottom w:val="0"/>
      <w:divBdr>
        <w:top w:val="none" w:sz="0" w:space="0" w:color="auto"/>
        <w:left w:val="none" w:sz="0" w:space="0" w:color="auto"/>
        <w:bottom w:val="none" w:sz="0" w:space="0" w:color="auto"/>
        <w:right w:val="none" w:sz="0" w:space="0" w:color="auto"/>
      </w:divBdr>
    </w:div>
    <w:div w:id="842430303">
      <w:bodyDiv w:val="1"/>
      <w:marLeft w:val="0"/>
      <w:marRight w:val="0"/>
      <w:marTop w:val="0"/>
      <w:marBottom w:val="0"/>
      <w:divBdr>
        <w:top w:val="none" w:sz="0" w:space="0" w:color="auto"/>
        <w:left w:val="none" w:sz="0" w:space="0" w:color="auto"/>
        <w:bottom w:val="none" w:sz="0" w:space="0" w:color="auto"/>
        <w:right w:val="none" w:sz="0" w:space="0" w:color="auto"/>
      </w:divBdr>
    </w:div>
    <w:div w:id="866673279">
      <w:bodyDiv w:val="1"/>
      <w:marLeft w:val="0"/>
      <w:marRight w:val="0"/>
      <w:marTop w:val="0"/>
      <w:marBottom w:val="0"/>
      <w:divBdr>
        <w:top w:val="none" w:sz="0" w:space="0" w:color="auto"/>
        <w:left w:val="none" w:sz="0" w:space="0" w:color="auto"/>
        <w:bottom w:val="none" w:sz="0" w:space="0" w:color="auto"/>
        <w:right w:val="none" w:sz="0" w:space="0" w:color="auto"/>
      </w:divBdr>
    </w:div>
    <w:div w:id="872964014">
      <w:bodyDiv w:val="1"/>
      <w:marLeft w:val="0"/>
      <w:marRight w:val="0"/>
      <w:marTop w:val="0"/>
      <w:marBottom w:val="0"/>
      <w:divBdr>
        <w:top w:val="none" w:sz="0" w:space="0" w:color="auto"/>
        <w:left w:val="none" w:sz="0" w:space="0" w:color="auto"/>
        <w:bottom w:val="none" w:sz="0" w:space="0" w:color="auto"/>
        <w:right w:val="none" w:sz="0" w:space="0" w:color="auto"/>
      </w:divBdr>
    </w:div>
    <w:div w:id="879518348">
      <w:bodyDiv w:val="1"/>
      <w:marLeft w:val="0"/>
      <w:marRight w:val="0"/>
      <w:marTop w:val="0"/>
      <w:marBottom w:val="0"/>
      <w:divBdr>
        <w:top w:val="none" w:sz="0" w:space="0" w:color="auto"/>
        <w:left w:val="none" w:sz="0" w:space="0" w:color="auto"/>
        <w:bottom w:val="none" w:sz="0" w:space="0" w:color="auto"/>
        <w:right w:val="none" w:sz="0" w:space="0" w:color="auto"/>
      </w:divBdr>
    </w:div>
    <w:div w:id="922296918">
      <w:bodyDiv w:val="1"/>
      <w:marLeft w:val="0"/>
      <w:marRight w:val="0"/>
      <w:marTop w:val="0"/>
      <w:marBottom w:val="0"/>
      <w:divBdr>
        <w:top w:val="none" w:sz="0" w:space="0" w:color="auto"/>
        <w:left w:val="none" w:sz="0" w:space="0" w:color="auto"/>
        <w:bottom w:val="none" w:sz="0" w:space="0" w:color="auto"/>
        <w:right w:val="none" w:sz="0" w:space="0" w:color="auto"/>
      </w:divBdr>
    </w:div>
    <w:div w:id="1002128981">
      <w:bodyDiv w:val="1"/>
      <w:marLeft w:val="0"/>
      <w:marRight w:val="0"/>
      <w:marTop w:val="0"/>
      <w:marBottom w:val="0"/>
      <w:divBdr>
        <w:top w:val="none" w:sz="0" w:space="0" w:color="auto"/>
        <w:left w:val="none" w:sz="0" w:space="0" w:color="auto"/>
        <w:bottom w:val="none" w:sz="0" w:space="0" w:color="auto"/>
        <w:right w:val="none" w:sz="0" w:space="0" w:color="auto"/>
      </w:divBdr>
    </w:div>
    <w:div w:id="1029452876">
      <w:bodyDiv w:val="1"/>
      <w:marLeft w:val="0"/>
      <w:marRight w:val="0"/>
      <w:marTop w:val="0"/>
      <w:marBottom w:val="0"/>
      <w:divBdr>
        <w:top w:val="none" w:sz="0" w:space="0" w:color="auto"/>
        <w:left w:val="none" w:sz="0" w:space="0" w:color="auto"/>
        <w:bottom w:val="none" w:sz="0" w:space="0" w:color="auto"/>
        <w:right w:val="none" w:sz="0" w:space="0" w:color="auto"/>
      </w:divBdr>
    </w:div>
    <w:div w:id="1090469459">
      <w:bodyDiv w:val="1"/>
      <w:marLeft w:val="0"/>
      <w:marRight w:val="0"/>
      <w:marTop w:val="0"/>
      <w:marBottom w:val="0"/>
      <w:divBdr>
        <w:top w:val="none" w:sz="0" w:space="0" w:color="auto"/>
        <w:left w:val="none" w:sz="0" w:space="0" w:color="auto"/>
        <w:bottom w:val="none" w:sz="0" w:space="0" w:color="auto"/>
        <w:right w:val="none" w:sz="0" w:space="0" w:color="auto"/>
      </w:divBdr>
    </w:div>
    <w:div w:id="1121218408">
      <w:bodyDiv w:val="1"/>
      <w:marLeft w:val="0"/>
      <w:marRight w:val="0"/>
      <w:marTop w:val="0"/>
      <w:marBottom w:val="0"/>
      <w:divBdr>
        <w:top w:val="none" w:sz="0" w:space="0" w:color="auto"/>
        <w:left w:val="none" w:sz="0" w:space="0" w:color="auto"/>
        <w:bottom w:val="none" w:sz="0" w:space="0" w:color="auto"/>
        <w:right w:val="none" w:sz="0" w:space="0" w:color="auto"/>
      </w:divBdr>
    </w:div>
    <w:div w:id="1247228764">
      <w:bodyDiv w:val="1"/>
      <w:marLeft w:val="0"/>
      <w:marRight w:val="0"/>
      <w:marTop w:val="0"/>
      <w:marBottom w:val="0"/>
      <w:divBdr>
        <w:top w:val="none" w:sz="0" w:space="0" w:color="auto"/>
        <w:left w:val="none" w:sz="0" w:space="0" w:color="auto"/>
        <w:bottom w:val="none" w:sz="0" w:space="0" w:color="auto"/>
        <w:right w:val="none" w:sz="0" w:space="0" w:color="auto"/>
      </w:divBdr>
    </w:div>
    <w:div w:id="1257834921">
      <w:bodyDiv w:val="1"/>
      <w:marLeft w:val="0"/>
      <w:marRight w:val="0"/>
      <w:marTop w:val="0"/>
      <w:marBottom w:val="0"/>
      <w:divBdr>
        <w:top w:val="none" w:sz="0" w:space="0" w:color="auto"/>
        <w:left w:val="none" w:sz="0" w:space="0" w:color="auto"/>
        <w:bottom w:val="none" w:sz="0" w:space="0" w:color="auto"/>
        <w:right w:val="none" w:sz="0" w:space="0" w:color="auto"/>
      </w:divBdr>
    </w:div>
    <w:div w:id="1289773124">
      <w:bodyDiv w:val="1"/>
      <w:marLeft w:val="0"/>
      <w:marRight w:val="0"/>
      <w:marTop w:val="0"/>
      <w:marBottom w:val="0"/>
      <w:divBdr>
        <w:top w:val="none" w:sz="0" w:space="0" w:color="auto"/>
        <w:left w:val="none" w:sz="0" w:space="0" w:color="auto"/>
        <w:bottom w:val="none" w:sz="0" w:space="0" w:color="auto"/>
        <w:right w:val="none" w:sz="0" w:space="0" w:color="auto"/>
      </w:divBdr>
    </w:div>
    <w:div w:id="1373458107">
      <w:bodyDiv w:val="1"/>
      <w:marLeft w:val="0"/>
      <w:marRight w:val="0"/>
      <w:marTop w:val="0"/>
      <w:marBottom w:val="0"/>
      <w:divBdr>
        <w:top w:val="none" w:sz="0" w:space="0" w:color="auto"/>
        <w:left w:val="none" w:sz="0" w:space="0" w:color="auto"/>
        <w:bottom w:val="none" w:sz="0" w:space="0" w:color="auto"/>
        <w:right w:val="none" w:sz="0" w:space="0" w:color="auto"/>
      </w:divBdr>
      <w:divsChild>
        <w:div w:id="1164860908">
          <w:marLeft w:val="-720"/>
          <w:marRight w:val="0"/>
          <w:marTop w:val="0"/>
          <w:marBottom w:val="0"/>
          <w:divBdr>
            <w:top w:val="none" w:sz="0" w:space="0" w:color="auto"/>
            <w:left w:val="none" w:sz="0" w:space="0" w:color="auto"/>
            <w:bottom w:val="none" w:sz="0" w:space="0" w:color="auto"/>
            <w:right w:val="none" w:sz="0" w:space="0" w:color="auto"/>
          </w:divBdr>
        </w:div>
      </w:divsChild>
    </w:div>
    <w:div w:id="1379356459">
      <w:bodyDiv w:val="1"/>
      <w:marLeft w:val="0"/>
      <w:marRight w:val="0"/>
      <w:marTop w:val="0"/>
      <w:marBottom w:val="0"/>
      <w:divBdr>
        <w:top w:val="none" w:sz="0" w:space="0" w:color="auto"/>
        <w:left w:val="none" w:sz="0" w:space="0" w:color="auto"/>
        <w:bottom w:val="none" w:sz="0" w:space="0" w:color="auto"/>
        <w:right w:val="none" w:sz="0" w:space="0" w:color="auto"/>
      </w:divBdr>
      <w:divsChild>
        <w:div w:id="626425110">
          <w:marLeft w:val="-720"/>
          <w:marRight w:val="0"/>
          <w:marTop w:val="0"/>
          <w:marBottom w:val="0"/>
          <w:divBdr>
            <w:top w:val="none" w:sz="0" w:space="0" w:color="auto"/>
            <w:left w:val="none" w:sz="0" w:space="0" w:color="auto"/>
            <w:bottom w:val="none" w:sz="0" w:space="0" w:color="auto"/>
            <w:right w:val="none" w:sz="0" w:space="0" w:color="auto"/>
          </w:divBdr>
        </w:div>
      </w:divsChild>
    </w:div>
    <w:div w:id="1402481727">
      <w:bodyDiv w:val="1"/>
      <w:marLeft w:val="0"/>
      <w:marRight w:val="0"/>
      <w:marTop w:val="0"/>
      <w:marBottom w:val="0"/>
      <w:divBdr>
        <w:top w:val="none" w:sz="0" w:space="0" w:color="auto"/>
        <w:left w:val="none" w:sz="0" w:space="0" w:color="auto"/>
        <w:bottom w:val="none" w:sz="0" w:space="0" w:color="auto"/>
        <w:right w:val="none" w:sz="0" w:space="0" w:color="auto"/>
      </w:divBdr>
    </w:div>
    <w:div w:id="1417097358">
      <w:bodyDiv w:val="1"/>
      <w:marLeft w:val="0"/>
      <w:marRight w:val="0"/>
      <w:marTop w:val="0"/>
      <w:marBottom w:val="0"/>
      <w:divBdr>
        <w:top w:val="none" w:sz="0" w:space="0" w:color="auto"/>
        <w:left w:val="none" w:sz="0" w:space="0" w:color="auto"/>
        <w:bottom w:val="none" w:sz="0" w:space="0" w:color="auto"/>
        <w:right w:val="none" w:sz="0" w:space="0" w:color="auto"/>
      </w:divBdr>
    </w:div>
    <w:div w:id="1454134014">
      <w:bodyDiv w:val="1"/>
      <w:marLeft w:val="0"/>
      <w:marRight w:val="0"/>
      <w:marTop w:val="0"/>
      <w:marBottom w:val="0"/>
      <w:divBdr>
        <w:top w:val="none" w:sz="0" w:space="0" w:color="auto"/>
        <w:left w:val="none" w:sz="0" w:space="0" w:color="auto"/>
        <w:bottom w:val="none" w:sz="0" w:space="0" w:color="auto"/>
        <w:right w:val="none" w:sz="0" w:space="0" w:color="auto"/>
      </w:divBdr>
    </w:div>
    <w:div w:id="1459185496">
      <w:bodyDiv w:val="1"/>
      <w:marLeft w:val="0"/>
      <w:marRight w:val="0"/>
      <w:marTop w:val="0"/>
      <w:marBottom w:val="0"/>
      <w:divBdr>
        <w:top w:val="none" w:sz="0" w:space="0" w:color="auto"/>
        <w:left w:val="none" w:sz="0" w:space="0" w:color="auto"/>
        <w:bottom w:val="none" w:sz="0" w:space="0" w:color="auto"/>
        <w:right w:val="none" w:sz="0" w:space="0" w:color="auto"/>
      </w:divBdr>
    </w:div>
    <w:div w:id="1467166275">
      <w:bodyDiv w:val="1"/>
      <w:marLeft w:val="0"/>
      <w:marRight w:val="0"/>
      <w:marTop w:val="0"/>
      <w:marBottom w:val="0"/>
      <w:divBdr>
        <w:top w:val="none" w:sz="0" w:space="0" w:color="auto"/>
        <w:left w:val="none" w:sz="0" w:space="0" w:color="auto"/>
        <w:bottom w:val="none" w:sz="0" w:space="0" w:color="auto"/>
        <w:right w:val="none" w:sz="0" w:space="0" w:color="auto"/>
      </w:divBdr>
    </w:div>
    <w:div w:id="1477844423">
      <w:bodyDiv w:val="1"/>
      <w:marLeft w:val="0"/>
      <w:marRight w:val="0"/>
      <w:marTop w:val="0"/>
      <w:marBottom w:val="0"/>
      <w:divBdr>
        <w:top w:val="none" w:sz="0" w:space="0" w:color="auto"/>
        <w:left w:val="none" w:sz="0" w:space="0" w:color="auto"/>
        <w:bottom w:val="none" w:sz="0" w:space="0" w:color="auto"/>
        <w:right w:val="none" w:sz="0" w:space="0" w:color="auto"/>
      </w:divBdr>
    </w:div>
    <w:div w:id="1487210578">
      <w:bodyDiv w:val="1"/>
      <w:marLeft w:val="0"/>
      <w:marRight w:val="0"/>
      <w:marTop w:val="0"/>
      <w:marBottom w:val="0"/>
      <w:divBdr>
        <w:top w:val="none" w:sz="0" w:space="0" w:color="auto"/>
        <w:left w:val="none" w:sz="0" w:space="0" w:color="auto"/>
        <w:bottom w:val="none" w:sz="0" w:space="0" w:color="auto"/>
        <w:right w:val="none" w:sz="0" w:space="0" w:color="auto"/>
      </w:divBdr>
    </w:div>
    <w:div w:id="1492526941">
      <w:bodyDiv w:val="1"/>
      <w:marLeft w:val="0"/>
      <w:marRight w:val="0"/>
      <w:marTop w:val="0"/>
      <w:marBottom w:val="0"/>
      <w:divBdr>
        <w:top w:val="none" w:sz="0" w:space="0" w:color="auto"/>
        <w:left w:val="none" w:sz="0" w:space="0" w:color="auto"/>
        <w:bottom w:val="none" w:sz="0" w:space="0" w:color="auto"/>
        <w:right w:val="none" w:sz="0" w:space="0" w:color="auto"/>
      </w:divBdr>
      <w:divsChild>
        <w:div w:id="1269239448">
          <w:marLeft w:val="-720"/>
          <w:marRight w:val="0"/>
          <w:marTop w:val="0"/>
          <w:marBottom w:val="0"/>
          <w:divBdr>
            <w:top w:val="none" w:sz="0" w:space="0" w:color="auto"/>
            <w:left w:val="none" w:sz="0" w:space="0" w:color="auto"/>
            <w:bottom w:val="none" w:sz="0" w:space="0" w:color="auto"/>
            <w:right w:val="none" w:sz="0" w:space="0" w:color="auto"/>
          </w:divBdr>
        </w:div>
      </w:divsChild>
    </w:div>
    <w:div w:id="1571844651">
      <w:bodyDiv w:val="1"/>
      <w:marLeft w:val="0"/>
      <w:marRight w:val="0"/>
      <w:marTop w:val="0"/>
      <w:marBottom w:val="0"/>
      <w:divBdr>
        <w:top w:val="none" w:sz="0" w:space="0" w:color="auto"/>
        <w:left w:val="none" w:sz="0" w:space="0" w:color="auto"/>
        <w:bottom w:val="none" w:sz="0" w:space="0" w:color="auto"/>
        <w:right w:val="none" w:sz="0" w:space="0" w:color="auto"/>
      </w:divBdr>
    </w:div>
    <w:div w:id="1586525394">
      <w:bodyDiv w:val="1"/>
      <w:marLeft w:val="0"/>
      <w:marRight w:val="0"/>
      <w:marTop w:val="0"/>
      <w:marBottom w:val="0"/>
      <w:divBdr>
        <w:top w:val="none" w:sz="0" w:space="0" w:color="auto"/>
        <w:left w:val="none" w:sz="0" w:space="0" w:color="auto"/>
        <w:bottom w:val="none" w:sz="0" w:space="0" w:color="auto"/>
        <w:right w:val="none" w:sz="0" w:space="0" w:color="auto"/>
      </w:divBdr>
    </w:div>
    <w:div w:id="1589921567">
      <w:bodyDiv w:val="1"/>
      <w:marLeft w:val="0"/>
      <w:marRight w:val="0"/>
      <w:marTop w:val="0"/>
      <w:marBottom w:val="0"/>
      <w:divBdr>
        <w:top w:val="none" w:sz="0" w:space="0" w:color="auto"/>
        <w:left w:val="none" w:sz="0" w:space="0" w:color="auto"/>
        <w:bottom w:val="none" w:sz="0" w:space="0" w:color="auto"/>
        <w:right w:val="none" w:sz="0" w:space="0" w:color="auto"/>
      </w:divBdr>
    </w:div>
    <w:div w:id="1613438898">
      <w:bodyDiv w:val="1"/>
      <w:marLeft w:val="0"/>
      <w:marRight w:val="0"/>
      <w:marTop w:val="0"/>
      <w:marBottom w:val="0"/>
      <w:divBdr>
        <w:top w:val="none" w:sz="0" w:space="0" w:color="auto"/>
        <w:left w:val="none" w:sz="0" w:space="0" w:color="auto"/>
        <w:bottom w:val="none" w:sz="0" w:space="0" w:color="auto"/>
        <w:right w:val="none" w:sz="0" w:space="0" w:color="auto"/>
      </w:divBdr>
    </w:div>
    <w:div w:id="1618675640">
      <w:bodyDiv w:val="1"/>
      <w:marLeft w:val="0"/>
      <w:marRight w:val="0"/>
      <w:marTop w:val="0"/>
      <w:marBottom w:val="0"/>
      <w:divBdr>
        <w:top w:val="none" w:sz="0" w:space="0" w:color="auto"/>
        <w:left w:val="none" w:sz="0" w:space="0" w:color="auto"/>
        <w:bottom w:val="none" w:sz="0" w:space="0" w:color="auto"/>
        <w:right w:val="none" w:sz="0" w:space="0" w:color="auto"/>
      </w:divBdr>
    </w:div>
    <w:div w:id="1628655899">
      <w:bodyDiv w:val="1"/>
      <w:marLeft w:val="0"/>
      <w:marRight w:val="0"/>
      <w:marTop w:val="0"/>
      <w:marBottom w:val="0"/>
      <w:divBdr>
        <w:top w:val="none" w:sz="0" w:space="0" w:color="auto"/>
        <w:left w:val="none" w:sz="0" w:space="0" w:color="auto"/>
        <w:bottom w:val="none" w:sz="0" w:space="0" w:color="auto"/>
        <w:right w:val="none" w:sz="0" w:space="0" w:color="auto"/>
      </w:divBdr>
    </w:div>
    <w:div w:id="1658454907">
      <w:bodyDiv w:val="1"/>
      <w:marLeft w:val="0"/>
      <w:marRight w:val="0"/>
      <w:marTop w:val="0"/>
      <w:marBottom w:val="0"/>
      <w:divBdr>
        <w:top w:val="none" w:sz="0" w:space="0" w:color="auto"/>
        <w:left w:val="none" w:sz="0" w:space="0" w:color="auto"/>
        <w:bottom w:val="none" w:sz="0" w:space="0" w:color="auto"/>
        <w:right w:val="none" w:sz="0" w:space="0" w:color="auto"/>
      </w:divBdr>
    </w:div>
    <w:div w:id="1678581580">
      <w:bodyDiv w:val="1"/>
      <w:marLeft w:val="0"/>
      <w:marRight w:val="0"/>
      <w:marTop w:val="0"/>
      <w:marBottom w:val="0"/>
      <w:divBdr>
        <w:top w:val="none" w:sz="0" w:space="0" w:color="auto"/>
        <w:left w:val="none" w:sz="0" w:space="0" w:color="auto"/>
        <w:bottom w:val="none" w:sz="0" w:space="0" w:color="auto"/>
        <w:right w:val="none" w:sz="0" w:space="0" w:color="auto"/>
      </w:divBdr>
    </w:div>
    <w:div w:id="1733578165">
      <w:bodyDiv w:val="1"/>
      <w:marLeft w:val="0"/>
      <w:marRight w:val="0"/>
      <w:marTop w:val="0"/>
      <w:marBottom w:val="0"/>
      <w:divBdr>
        <w:top w:val="none" w:sz="0" w:space="0" w:color="auto"/>
        <w:left w:val="none" w:sz="0" w:space="0" w:color="auto"/>
        <w:bottom w:val="none" w:sz="0" w:space="0" w:color="auto"/>
        <w:right w:val="none" w:sz="0" w:space="0" w:color="auto"/>
      </w:divBdr>
      <w:divsChild>
        <w:div w:id="1863855393">
          <w:marLeft w:val="0"/>
          <w:marRight w:val="0"/>
          <w:marTop w:val="0"/>
          <w:marBottom w:val="0"/>
          <w:divBdr>
            <w:top w:val="none" w:sz="0" w:space="0" w:color="auto"/>
            <w:left w:val="none" w:sz="0" w:space="0" w:color="auto"/>
            <w:bottom w:val="none" w:sz="0" w:space="0" w:color="auto"/>
            <w:right w:val="none" w:sz="0" w:space="0" w:color="auto"/>
          </w:divBdr>
        </w:div>
      </w:divsChild>
    </w:div>
    <w:div w:id="1754425003">
      <w:bodyDiv w:val="1"/>
      <w:marLeft w:val="0"/>
      <w:marRight w:val="0"/>
      <w:marTop w:val="0"/>
      <w:marBottom w:val="0"/>
      <w:divBdr>
        <w:top w:val="none" w:sz="0" w:space="0" w:color="auto"/>
        <w:left w:val="none" w:sz="0" w:space="0" w:color="auto"/>
        <w:bottom w:val="none" w:sz="0" w:space="0" w:color="auto"/>
        <w:right w:val="none" w:sz="0" w:space="0" w:color="auto"/>
      </w:divBdr>
    </w:div>
    <w:div w:id="1911887719">
      <w:bodyDiv w:val="1"/>
      <w:marLeft w:val="0"/>
      <w:marRight w:val="0"/>
      <w:marTop w:val="0"/>
      <w:marBottom w:val="0"/>
      <w:divBdr>
        <w:top w:val="none" w:sz="0" w:space="0" w:color="auto"/>
        <w:left w:val="none" w:sz="0" w:space="0" w:color="auto"/>
        <w:bottom w:val="none" w:sz="0" w:space="0" w:color="auto"/>
        <w:right w:val="none" w:sz="0" w:space="0" w:color="auto"/>
      </w:divBdr>
    </w:div>
    <w:div w:id="1933472623">
      <w:bodyDiv w:val="1"/>
      <w:marLeft w:val="0"/>
      <w:marRight w:val="0"/>
      <w:marTop w:val="0"/>
      <w:marBottom w:val="0"/>
      <w:divBdr>
        <w:top w:val="none" w:sz="0" w:space="0" w:color="auto"/>
        <w:left w:val="none" w:sz="0" w:space="0" w:color="auto"/>
        <w:bottom w:val="none" w:sz="0" w:space="0" w:color="auto"/>
        <w:right w:val="none" w:sz="0" w:space="0" w:color="auto"/>
      </w:divBdr>
      <w:divsChild>
        <w:div w:id="515651477">
          <w:marLeft w:val="-720"/>
          <w:marRight w:val="0"/>
          <w:marTop w:val="0"/>
          <w:marBottom w:val="0"/>
          <w:divBdr>
            <w:top w:val="none" w:sz="0" w:space="0" w:color="auto"/>
            <w:left w:val="none" w:sz="0" w:space="0" w:color="auto"/>
            <w:bottom w:val="none" w:sz="0" w:space="0" w:color="auto"/>
            <w:right w:val="none" w:sz="0" w:space="0" w:color="auto"/>
          </w:divBdr>
        </w:div>
      </w:divsChild>
    </w:div>
    <w:div w:id="1949892611">
      <w:bodyDiv w:val="1"/>
      <w:marLeft w:val="0"/>
      <w:marRight w:val="0"/>
      <w:marTop w:val="0"/>
      <w:marBottom w:val="0"/>
      <w:divBdr>
        <w:top w:val="none" w:sz="0" w:space="0" w:color="auto"/>
        <w:left w:val="none" w:sz="0" w:space="0" w:color="auto"/>
        <w:bottom w:val="none" w:sz="0" w:space="0" w:color="auto"/>
        <w:right w:val="none" w:sz="0" w:space="0" w:color="auto"/>
      </w:divBdr>
      <w:divsChild>
        <w:div w:id="2039889097">
          <w:marLeft w:val="0"/>
          <w:marRight w:val="0"/>
          <w:marTop w:val="0"/>
          <w:marBottom w:val="0"/>
          <w:divBdr>
            <w:top w:val="none" w:sz="0" w:space="0" w:color="auto"/>
            <w:left w:val="none" w:sz="0" w:space="0" w:color="auto"/>
            <w:bottom w:val="none" w:sz="0" w:space="0" w:color="auto"/>
            <w:right w:val="none" w:sz="0" w:space="0" w:color="auto"/>
          </w:divBdr>
        </w:div>
      </w:divsChild>
    </w:div>
    <w:div w:id="1975325496">
      <w:bodyDiv w:val="1"/>
      <w:marLeft w:val="0"/>
      <w:marRight w:val="0"/>
      <w:marTop w:val="0"/>
      <w:marBottom w:val="0"/>
      <w:divBdr>
        <w:top w:val="none" w:sz="0" w:space="0" w:color="auto"/>
        <w:left w:val="none" w:sz="0" w:space="0" w:color="auto"/>
        <w:bottom w:val="none" w:sz="0" w:space="0" w:color="auto"/>
        <w:right w:val="none" w:sz="0" w:space="0" w:color="auto"/>
      </w:divBdr>
    </w:div>
    <w:div w:id="2006546039">
      <w:bodyDiv w:val="1"/>
      <w:marLeft w:val="0"/>
      <w:marRight w:val="0"/>
      <w:marTop w:val="0"/>
      <w:marBottom w:val="0"/>
      <w:divBdr>
        <w:top w:val="none" w:sz="0" w:space="0" w:color="auto"/>
        <w:left w:val="none" w:sz="0" w:space="0" w:color="auto"/>
        <w:bottom w:val="none" w:sz="0" w:space="0" w:color="auto"/>
        <w:right w:val="none" w:sz="0" w:space="0" w:color="auto"/>
      </w:divBdr>
      <w:divsChild>
        <w:div w:id="1849174289">
          <w:marLeft w:val="-720"/>
          <w:marRight w:val="0"/>
          <w:marTop w:val="0"/>
          <w:marBottom w:val="0"/>
          <w:divBdr>
            <w:top w:val="none" w:sz="0" w:space="0" w:color="auto"/>
            <w:left w:val="none" w:sz="0" w:space="0" w:color="auto"/>
            <w:bottom w:val="none" w:sz="0" w:space="0" w:color="auto"/>
            <w:right w:val="none" w:sz="0" w:space="0" w:color="auto"/>
          </w:divBdr>
        </w:div>
      </w:divsChild>
    </w:div>
    <w:div w:id="2041084042">
      <w:bodyDiv w:val="1"/>
      <w:marLeft w:val="0"/>
      <w:marRight w:val="0"/>
      <w:marTop w:val="0"/>
      <w:marBottom w:val="0"/>
      <w:divBdr>
        <w:top w:val="none" w:sz="0" w:space="0" w:color="auto"/>
        <w:left w:val="none" w:sz="0" w:space="0" w:color="auto"/>
        <w:bottom w:val="none" w:sz="0" w:space="0" w:color="auto"/>
        <w:right w:val="none" w:sz="0" w:space="0" w:color="auto"/>
      </w:divBdr>
      <w:divsChild>
        <w:div w:id="1831748412">
          <w:marLeft w:val="-720"/>
          <w:marRight w:val="0"/>
          <w:marTop w:val="0"/>
          <w:marBottom w:val="0"/>
          <w:divBdr>
            <w:top w:val="none" w:sz="0" w:space="0" w:color="auto"/>
            <w:left w:val="none" w:sz="0" w:space="0" w:color="auto"/>
            <w:bottom w:val="none" w:sz="0" w:space="0" w:color="auto"/>
            <w:right w:val="none" w:sz="0" w:space="0" w:color="auto"/>
          </w:divBdr>
        </w:div>
      </w:divsChild>
    </w:div>
    <w:div w:id="2051177072">
      <w:bodyDiv w:val="1"/>
      <w:marLeft w:val="0"/>
      <w:marRight w:val="0"/>
      <w:marTop w:val="0"/>
      <w:marBottom w:val="0"/>
      <w:divBdr>
        <w:top w:val="none" w:sz="0" w:space="0" w:color="auto"/>
        <w:left w:val="none" w:sz="0" w:space="0" w:color="auto"/>
        <w:bottom w:val="none" w:sz="0" w:space="0" w:color="auto"/>
        <w:right w:val="none" w:sz="0" w:space="0" w:color="auto"/>
      </w:divBdr>
    </w:div>
    <w:div w:id="2058551729">
      <w:bodyDiv w:val="1"/>
      <w:marLeft w:val="0"/>
      <w:marRight w:val="0"/>
      <w:marTop w:val="0"/>
      <w:marBottom w:val="0"/>
      <w:divBdr>
        <w:top w:val="none" w:sz="0" w:space="0" w:color="auto"/>
        <w:left w:val="none" w:sz="0" w:space="0" w:color="auto"/>
        <w:bottom w:val="none" w:sz="0" w:space="0" w:color="auto"/>
        <w:right w:val="none" w:sz="0" w:space="0" w:color="auto"/>
      </w:divBdr>
    </w:div>
    <w:div w:id="2063290696">
      <w:bodyDiv w:val="1"/>
      <w:marLeft w:val="0"/>
      <w:marRight w:val="0"/>
      <w:marTop w:val="0"/>
      <w:marBottom w:val="0"/>
      <w:divBdr>
        <w:top w:val="none" w:sz="0" w:space="0" w:color="auto"/>
        <w:left w:val="none" w:sz="0" w:space="0" w:color="auto"/>
        <w:bottom w:val="none" w:sz="0" w:space="0" w:color="auto"/>
        <w:right w:val="none" w:sz="0" w:space="0" w:color="auto"/>
      </w:divBdr>
    </w:div>
    <w:div w:id="2099402109">
      <w:bodyDiv w:val="1"/>
      <w:marLeft w:val="0"/>
      <w:marRight w:val="0"/>
      <w:marTop w:val="0"/>
      <w:marBottom w:val="0"/>
      <w:divBdr>
        <w:top w:val="none" w:sz="0" w:space="0" w:color="auto"/>
        <w:left w:val="none" w:sz="0" w:space="0" w:color="auto"/>
        <w:bottom w:val="none" w:sz="0" w:space="0" w:color="auto"/>
        <w:right w:val="none" w:sz="0" w:space="0" w:color="auto"/>
      </w:divBdr>
    </w:div>
    <w:div w:id="2115707575">
      <w:bodyDiv w:val="1"/>
      <w:marLeft w:val="0"/>
      <w:marRight w:val="0"/>
      <w:marTop w:val="0"/>
      <w:marBottom w:val="0"/>
      <w:divBdr>
        <w:top w:val="none" w:sz="0" w:space="0" w:color="auto"/>
        <w:left w:val="none" w:sz="0" w:space="0" w:color="auto"/>
        <w:bottom w:val="none" w:sz="0" w:space="0" w:color="auto"/>
        <w:right w:val="none" w:sz="0" w:space="0" w:color="auto"/>
      </w:divBdr>
    </w:div>
    <w:div w:id="2140567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89/fpsyg.2019.01613"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733D3-1098-400A-A3E2-6E2C2812E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9</Pages>
  <Words>5444</Words>
  <Characters>31032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SDI 1183</cp:lastModifiedBy>
  <cp:revision>14</cp:revision>
  <cp:lastPrinted>2025-05-03T09:00:00Z</cp:lastPrinted>
  <dcterms:created xsi:type="dcterms:W3CDTF">2025-08-26T22:21:00Z</dcterms:created>
  <dcterms:modified xsi:type="dcterms:W3CDTF">2025-09-05T09:41:00Z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bc13299e-9fa2-45ab-bd28-cab3ba39dd7f</vt:lpwstr>
  </property>
</Properties>
</file>