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1DD85" w14:textId="0FEF147C" w:rsidR="003B6AD6" w:rsidRPr="000A1B58" w:rsidRDefault="003B6AD6" w:rsidP="00392AF8">
      <w:pPr>
        <w:spacing w:after="0" w:line="240" w:lineRule="auto"/>
        <w:jc w:val="center"/>
        <w:rPr>
          <w:rFonts w:ascii="Arial" w:hAnsi="Arial" w:cs="Arial"/>
          <w:sz w:val="28"/>
          <w:szCs w:val="28"/>
        </w:rPr>
      </w:pPr>
      <w:r w:rsidRPr="000A1B58">
        <w:rPr>
          <w:rFonts w:ascii="Arial" w:hAnsi="Arial" w:cs="Arial"/>
          <w:sz w:val="28"/>
          <w:szCs w:val="28"/>
        </w:rPr>
        <w:t xml:space="preserve">Level of Community Participation in Rural Road Maintenance Projects: Insights from </w:t>
      </w:r>
      <w:proofErr w:type="spellStart"/>
      <w:r w:rsidRPr="000A1B58">
        <w:rPr>
          <w:rFonts w:ascii="Arial" w:hAnsi="Arial" w:cs="Arial"/>
          <w:sz w:val="28"/>
          <w:szCs w:val="28"/>
        </w:rPr>
        <w:t>Babati</w:t>
      </w:r>
      <w:proofErr w:type="spellEnd"/>
      <w:r w:rsidRPr="000A1B58">
        <w:rPr>
          <w:rFonts w:ascii="Arial" w:hAnsi="Arial" w:cs="Arial"/>
          <w:sz w:val="28"/>
          <w:szCs w:val="28"/>
        </w:rPr>
        <w:t xml:space="preserve"> District Council</w:t>
      </w:r>
      <w:r w:rsidR="000A1B58" w:rsidRPr="000A1B58">
        <w:rPr>
          <w:rFonts w:ascii="Arial" w:hAnsi="Arial" w:cs="Arial"/>
          <w:sz w:val="28"/>
          <w:szCs w:val="28"/>
        </w:rPr>
        <w:t>, Tanzania</w:t>
      </w:r>
    </w:p>
    <w:p w14:paraId="40CBF9A1" w14:textId="77777777" w:rsidR="003B6AD6" w:rsidRPr="00AE4356" w:rsidRDefault="003B6AD6" w:rsidP="00392AF8">
      <w:pPr>
        <w:spacing w:after="0" w:line="240" w:lineRule="auto"/>
        <w:jc w:val="center"/>
        <w:rPr>
          <w:rFonts w:ascii="Arial" w:hAnsi="Arial" w:cs="Arial"/>
          <w:sz w:val="28"/>
          <w:szCs w:val="28"/>
          <w:highlight w:val="yellow"/>
        </w:rPr>
      </w:pPr>
    </w:p>
    <w:p w14:paraId="731A807F" w14:textId="77777777" w:rsidR="004B7D50" w:rsidRPr="00AE4356" w:rsidRDefault="004B7D50" w:rsidP="00703D21">
      <w:pPr>
        <w:jc w:val="both"/>
        <w:rPr>
          <w:rFonts w:ascii="Arial" w:hAnsi="Arial" w:cs="Arial"/>
          <w:b/>
          <w:sz w:val="20"/>
          <w:szCs w:val="20"/>
          <w:highlight w:val="yellow"/>
        </w:rPr>
      </w:pPr>
    </w:p>
    <w:p w14:paraId="28E99075" w14:textId="1291814F" w:rsidR="00703D21" w:rsidRPr="00AE4356" w:rsidRDefault="00703D21" w:rsidP="00703D21">
      <w:pPr>
        <w:jc w:val="both"/>
        <w:rPr>
          <w:rFonts w:ascii="Arial" w:hAnsi="Arial" w:cs="Arial"/>
          <w:b/>
          <w:sz w:val="20"/>
          <w:szCs w:val="20"/>
          <w:highlight w:val="yellow"/>
        </w:rPr>
      </w:pPr>
      <w:r w:rsidRPr="00AE4356">
        <w:rPr>
          <w:rFonts w:ascii="Arial" w:hAnsi="Arial" w:cs="Arial"/>
          <w:b/>
          <w:sz w:val="20"/>
          <w:szCs w:val="20"/>
          <w:highlight w:val="yellow"/>
        </w:rPr>
        <w:t>Abstract</w:t>
      </w:r>
    </w:p>
    <w:p w14:paraId="235794AC" w14:textId="0BB93A77" w:rsidR="00703D21" w:rsidRPr="00AE4356" w:rsidRDefault="00703D21" w:rsidP="00703D21">
      <w:pPr>
        <w:jc w:val="both"/>
        <w:rPr>
          <w:rFonts w:ascii="Arial" w:hAnsi="Arial" w:cs="Arial"/>
          <w:b/>
          <w:sz w:val="20"/>
          <w:szCs w:val="20"/>
          <w:highlight w:val="yellow"/>
        </w:rPr>
      </w:pPr>
      <w:r w:rsidRPr="00AE4356">
        <w:rPr>
          <w:rFonts w:ascii="Arial" w:hAnsi="Arial" w:cs="Arial"/>
          <w:sz w:val="20"/>
          <w:szCs w:val="20"/>
          <w:highlight w:val="yellow"/>
        </w:rPr>
        <w:t xml:space="preserve">The sustainability of rural road networks is critical for socio-economic development in Tanzania, particularly in districts where agriculture and trade depend on reliable transport. This study assessed the level of community participation in rural road maintenance projects in </w:t>
      </w:r>
      <w:proofErr w:type="spellStart"/>
      <w:r w:rsidRPr="00AE4356">
        <w:rPr>
          <w:rFonts w:ascii="Arial" w:hAnsi="Arial" w:cs="Arial"/>
          <w:sz w:val="20"/>
          <w:szCs w:val="20"/>
          <w:highlight w:val="yellow"/>
        </w:rPr>
        <w:t>Babati</w:t>
      </w:r>
      <w:proofErr w:type="spellEnd"/>
      <w:r w:rsidRPr="00AE4356">
        <w:rPr>
          <w:rFonts w:ascii="Arial" w:hAnsi="Arial" w:cs="Arial"/>
          <w:sz w:val="20"/>
          <w:szCs w:val="20"/>
          <w:highlight w:val="yellow"/>
        </w:rPr>
        <w:t xml:space="preserve"> District Council, </w:t>
      </w:r>
      <w:proofErr w:type="spellStart"/>
      <w:r w:rsidRPr="00AE4356">
        <w:rPr>
          <w:rFonts w:ascii="Arial" w:hAnsi="Arial" w:cs="Arial"/>
          <w:sz w:val="20"/>
          <w:szCs w:val="20"/>
          <w:highlight w:val="yellow"/>
        </w:rPr>
        <w:t>Manyara</w:t>
      </w:r>
      <w:proofErr w:type="spellEnd"/>
      <w:r w:rsidRPr="00AE4356">
        <w:rPr>
          <w:rFonts w:ascii="Arial" w:hAnsi="Arial" w:cs="Arial"/>
          <w:sz w:val="20"/>
          <w:szCs w:val="20"/>
          <w:highlight w:val="yellow"/>
        </w:rPr>
        <w:t xml:space="preserve"> Region, focusing on planning, implementation, and monitoring phases. Using a mixed-methods approach, 399 community members were selected through simple random sampling, complemented by purposively sampled key informants, including local leaders and </w:t>
      </w:r>
      <w:r w:rsidR="00870044" w:rsidRPr="00870044">
        <w:rPr>
          <w:rFonts w:ascii="Arial" w:hAnsi="Arial" w:cs="Arial"/>
          <w:sz w:val="20"/>
          <w:szCs w:val="20"/>
        </w:rPr>
        <w:t>Tanzania Rural and Urban Roads Agency</w:t>
      </w:r>
      <w:r w:rsidR="00870044" w:rsidRPr="00870044">
        <w:rPr>
          <w:rFonts w:ascii="Arial" w:hAnsi="Arial" w:cs="Arial"/>
          <w:sz w:val="20"/>
          <w:szCs w:val="20"/>
          <w:highlight w:val="yellow"/>
        </w:rPr>
        <w:t xml:space="preserve"> </w:t>
      </w:r>
      <w:r w:rsidR="00870044">
        <w:rPr>
          <w:rFonts w:ascii="Arial" w:hAnsi="Arial" w:cs="Arial"/>
          <w:sz w:val="20"/>
          <w:szCs w:val="20"/>
          <w:highlight w:val="yellow"/>
        </w:rPr>
        <w:t>(</w:t>
      </w:r>
      <w:r w:rsidRPr="00AE4356">
        <w:rPr>
          <w:rFonts w:ascii="Arial" w:hAnsi="Arial" w:cs="Arial"/>
          <w:sz w:val="20"/>
          <w:szCs w:val="20"/>
          <w:highlight w:val="yellow"/>
        </w:rPr>
        <w:t>TARURA</w:t>
      </w:r>
      <w:r w:rsidR="00870044">
        <w:rPr>
          <w:rFonts w:ascii="Arial" w:hAnsi="Arial" w:cs="Arial"/>
          <w:sz w:val="20"/>
          <w:szCs w:val="20"/>
          <w:highlight w:val="yellow"/>
        </w:rPr>
        <w:t>)</w:t>
      </w:r>
      <w:r w:rsidRPr="00AE4356">
        <w:rPr>
          <w:rFonts w:ascii="Arial" w:hAnsi="Arial" w:cs="Arial"/>
          <w:sz w:val="20"/>
          <w:szCs w:val="20"/>
          <w:highlight w:val="yellow"/>
        </w:rPr>
        <w:t xml:space="preserve"> officials. Data collection involved structured questionnaires and key informant interviews. Quantitative responses were </w:t>
      </w:r>
      <w:proofErr w:type="spellStart"/>
      <w:r w:rsidRPr="00AE4356">
        <w:rPr>
          <w:rFonts w:ascii="Arial" w:hAnsi="Arial" w:cs="Arial"/>
          <w:sz w:val="20"/>
          <w:szCs w:val="20"/>
          <w:highlight w:val="yellow"/>
        </w:rPr>
        <w:t>analyzed</w:t>
      </w:r>
      <w:proofErr w:type="spellEnd"/>
      <w:r w:rsidRPr="00AE4356">
        <w:rPr>
          <w:rFonts w:ascii="Arial" w:hAnsi="Arial" w:cs="Arial"/>
          <w:sz w:val="20"/>
          <w:szCs w:val="20"/>
          <w:highlight w:val="yellow"/>
        </w:rPr>
        <w:t xml:space="preserve"> using descriptive statistics and a Participation Index (PI) to classify engagement levels as low, moderate, or high. Findings reveal that a majority (71.7%) of community members exhibited low participation, indicating minimal involvement in decision-making, </w:t>
      </w:r>
      <w:proofErr w:type="spellStart"/>
      <w:r w:rsidRPr="00AE4356">
        <w:rPr>
          <w:rFonts w:ascii="Arial" w:hAnsi="Arial" w:cs="Arial"/>
          <w:sz w:val="20"/>
          <w:szCs w:val="20"/>
          <w:highlight w:val="yellow"/>
        </w:rPr>
        <w:t>labor</w:t>
      </w:r>
      <w:proofErr w:type="spellEnd"/>
      <w:r w:rsidRPr="00AE4356">
        <w:rPr>
          <w:rFonts w:ascii="Arial" w:hAnsi="Arial" w:cs="Arial"/>
          <w:sz w:val="20"/>
          <w:szCs w:val="20"/>
          <w:highlight w:val="yellow"/>
        </w:rPr>
        <w:t xml:space="preserve"> contribution, and project monitoring. Moderate (16.7%) and high (11.6%) participation was limited to individuals who were often better educated, economically stable, or residing closer to project sites. Low engagement was attributed to inadequate communication, top-down decision-making, limited awareness of participatory processes, and socio-economic constraints, which also restricted marginalized groups, including women, youth, and residents of remote areas, from meaningful involvement. Despite low overall participation, there exists potential to enhance engagement through targeted interventions, such as participatory budgeting, community awareness campaigns, and structured mechanisms to recognize contributions. The study underscores the importance of inclusive and well-structured participation for improving local ownership, accountability, and sustainability of rural road maintenance initiatives. These insights provide practical guidance for policymakers, local authorities, and development partners aiming to strengthen community-driven infrastructure management in Tanzania and similar contexts.</w:t>
      </w:r>
    </w:p>
    <w:p w14:paraId="71EF5EDA" w14:textId="77777777" w:rsidR="00703D21" w:rsidRPr="00AE4356" w:rsidRDefault="00703D21" w:rsidP="00703D21">
      <w:pPr>
        <w:jc w:val="both"/>
        <w:rPr>
          <w:rFonts w:ascii="Arial" w:hAnsi="Arial" w:cs="Arial"/>
          <w:sz w:val="20"/>
          <w:szCs w:val="20"/>
          <w:highlight w:val="yellow"/>
        </w:rPr>
      </w:pPr>
    </w:p>
    <w:p w14:paraId="0716BF45" w14:textId="77777777" w:rsidR="00392AF8" w:rsidRPr="00AE4356" w:rsidRDefault="00703D21" w:rsidP="00703D21">
      <w:pPr>
        <w:ind w:left="360"/>
        <w:jc w:val="both"/>
        <w:rPr>
          <w:rFonts w:ascii="Arial" w:hAnsi="Arial" w:cs="Arial"/>
          <w:sz w:val="20"/>
          <w:szCs w:val="20"/>
          <w:highlight w:val="yellow"/>
        </w:rPr>
      </w:pPr>
      <w:r w:rsidRPr="00AE4356">
        <w:rPr>
          <w:rFonts w:ascii="Arial" w:hAnsi="Arial" w:cs="Arial"/>
          <w:b/>
          <w:i/>
          <w:sz w:val="20"/>
          <w:szCs w:val="20"/>
          <w:highlight w:val="yellow"/>
        </w:rPr>
        <w:t>Keywords</w:t>
      </w:r>
      <w:r w:rsidRPr="00AE4356">
        <w:rPr>
          <w:rFonts w:ascii="Arial" w:hAnsi="Arial" w:cs="Arial"/>
          <w:sz w:val="20"/>
          <w:szCs w:val="20"/>
          <w:highlight w:val="yellow"/>
        </w:rPr>
        <w:t xml:space="preserve">: Community participation, rural roads, maintenance projects, </w:t>
      </w:r>
      <w:proofErr w:type="spellStart"/>
      <w:r w:rsidRPr="00AE4356">
        <w:rPr>
          <w:rFonts w:ascii="Arial" w:hAnsi="Arial" w:cs="Arial"/>
          <w:sz w:val="20"/>
          <w:szCs w:val="20"/>
          <w:highlight w:val="yellow"/>
        </w:rPr>
        <w:t>Babati</w:t>
      </w:r>
      <w:proofErr w:type="spellEnd"/>
      <w:r w:rsidRPr="00AE4356">
        <w:rPr>
          <w:rFonts w:ascii="Arial" w:hAnsi="Arial" w:cs="Arial"/>
          <w:sz w:val="20"/>
          <w:szCs w:val="20"/>
          <w:highlight w:val="yellow"/>
        </w:rPr>
        <w:t xml:space="preserve"> District, Participation Index</w:t>
      </w:r>
    </w:p>
    <w:p w14:paraId="0EB4671A" w14:textId="77777777" w:rsidR="00392AF8" w:rsidRPr="00AE4356" w:rsidRDefault="00392AF8" w:rsidP="00392AF8">
      <w:pPr>
        <w:pStyle w:val="ListParagraph"/>
        <w:numPr>
          <w:ilvl w:val="0"/>
          <w:numId w:val="2"/>
        </w:numPr>
        <w:jc w:val="both"/>
        <w:rPr>
          <w:rFonts w:ascii="Arial" w:hAnsi="Arial" w:cs="Arial"/>
          <w:b/>
          <w:sz w:val="24"/>
          <w:szCs w:val="24"/>
          <w:highlight w:val="yellow"/>
        </w:rPr>
      </w:pPr>
      <w:r w:rsidRPr="00AE4356">
        <w:rPr>
          <w:rFonts w:ascii="Arial" w:hAnsi="Arial" w:cs="Arial"/>
          <w:b/>
          <w:sz w:val="24"/>
          <w:szCs w:val="24"/>
          <w:highlight w:val="yellow"/>
        </w:rPr>
        <w:t>INTRODUCTION</w:t>
      </w:r>
    </w:p>
    <w:p w14:paraId="39E40A4A" w14:textId="21659BCD" w:rsidR="00FF5611" w:rsidRPr="00AE4356" w:rsidRDefault="00FF5611" w:rsidP="00FF5611">
      <w:pPr>
        <w:spacing w:after="0"/>
        <w:jc w:val="both"/>
        <w:rPr>
          <w:rFonts w:ascii="Arial" w:hAnsi="Arial" w:cs="Arial"/>
          <w:sz w:val="24"/>
          <w:szCs w:val="24"/>
          <w:highlight w:val="yellow"/>
        </w:rPr>
      </w:pPr>
      <w:r w:rsidRPr="00AE4356">
        <w:rPr>
          <w:rFonts w:ascii="Arial" w:hAnsi="Arial" w:cs="Arial"/>
          <w:sz w:val="24"/>
          <w:szCs w:val="24"/>
          <w:highlight w:val="yellow"/>
        </w:rPr>
        <w:t xml:space="preserve">The sustainability of rural road networks is essential for promoting socio-economic development, particularly in developing countries. Well-maintained roads reduce transport costs, facilitate access to markets, schools, and health facilities, and enhance community well-being </w:t>
      </w:r>
      <w:r w:rsidR="00EA7877" w:rsidRPr="00AE4356">
        <w:rPr>
          <w:rFonts w:ascii="Arial" w:hAnsi="Arial" w:cs="Arial"/>
          <w:sz w:val="24"/>
          <w:szCs w:val="24"/>
          <w:highlight w:val="yellow"/>
        </w:rPr>
        <w:fldChar w:fldCharType="begin" w:fldLock="1"/>
      </w:r>
      <w:r w:rsidR="00EA7877" w:rsidRPr="00AE4356">
        <w:rPr>
          <w:rFonts w:ascii="Arial" w:hAnsi="Arial" w:cs="Arial"/>
          <w:sz w:val="24"/>
          <w:szCs w:val="24"/>
          <w:highlight w:val="yellow"/>
        </w:rPr>
        <w:instrText>ADDIN CSL_CITATION {"citationItems":[{"id":"ITEM-1","itemData":{"author":[{"dropping-particle":"","family":"Ibanga","given":"Sunday Effiong","non-dropping-particle":"","parse-names":false,"suffix":""},{"dropping-particle":"","family":"Akpan","given":"Anietie Marcus","non-dropping-particle":"","parse-names":false,"suffix":""}],"container-title":"Admiralty Journal of Multidisciplinary Research","id":"ITEM-1","issue":"2","issued":{"date-parts":[["2024"]]},"page":"351-367","title":"Road infrastructure and socio-economic development in Akwa Ibom State, Nigeria","type":"article-journal","volume":"1"},"uris":["http://www.mendeley.com/documents/?uuid=9a90cc7f-2f31-48c6-966b-61d61fee7dec"]},{"id":"ITEM-2","itemData":{"ISBN":"9789380642758","author":[{"dropping-particle":"","family":"Jain","given":"Vipin","non-dropping-particle":"","parse-names":false,"suffix":""}],"container-title":"Rural Development: Planning Strategy &amp; Policy Imperatives","id":"ITEM-2","issued":{"date-parts":[["2021"]]},"page":"120","title":"Planning Strategy &amp; Policy Imperatives","type":"chapter"},"uris":["http://www.mendeley.com/documents/?uuid=ff292db6-a963-45a2-bfe0-7a6c08348817"]}],"mendeley":{"formattedCitation":"(Ibanga &amp; Akpan, 2024; Jain, 2021)","plainTextFormattedCitation":"(Ibanga &amp; Akpan, 2024; Jain, 2021)","previouslyFormattedCitation":"(Ibanga &amp; Akpan, 2024; Jain, 2021)"},"properties":{"noteIndex":0},"schema":"https://github.com/citation-style-language/schema/raw/master/csl-citation.json"}</w:instrText>
      </w:r>
      <w:r w:rsidR="00EA7877" w:rsidRPr="00AE4356">
        <w:rPr>
          <w:rFonts w:ascii="Arial" w:hAnsi="Arial" w:cs="Arial"/>
          <w:sz w:val="24"/>
          <w:szCs w:val="24"/>
          <w:highlight w:val="yellow"/>
        </w:rPr>
        <w:fldChar w:fldCharType="separate"/>
      </w:r>
      <w:r w:rsidR="00EA7877" w:rsidRPr="00AE4356">
        <w:rPr>
          <w:rFonts w:ascii="Arial" w:hAnsi="Arial" w:cs="Arial"/>
          <w:noProof/>
          <w:sz w:val="24"/>
          <w:szCs w:val="24"/>
          <w:highlight w:val="yellow"/>
        </w:rPr>
        <w:t>(Ibanga &amp; Akpan, 2024; Jain, 2021)</w:t>
      </w:r>
      <w:r w:rsidR="00EA7877" w:rsidRPr="00AE4356">
        <w:rPr>
          <w:rFonts w:ascii="Arial" w:hAnsi="Arial" w:cs="Arial"/>
          <w:sz w:val="24"/>
          <w:szCs w:val="24"/>
          <w:highlight w:val="yellow"/>
        </w:rPr>
        <w:fldChar w:fldCharType="end"/>
      </w:r>
      <w:r w:rsidR="00EA7877" w:rsidRPr="00AE4356">
        <w:rPr>
          <w:rFonts w:ascii="Arial" w:hAnsi="Arial" w:cs="Arial"/>
          <w:sz w:val="24"/>
          <w:szCs w:val="24"/>
          <w:highlight w:val="yellow"/>
        </w:rPr>
        <w:t>.</w:t>
      </w:r>
      <w:r w:rsidRPr="00AE4356">
        <w:rPr>
          <w:rFonts w:ascii="Arial" w:hAnsi="Arial" w:cs="Arial"/>
          <w:sz w:val="24"/>
          <w:szCs w:val="24"/>
          <w:highlight w:val="yellow"/>
        </w:rPr>
        <w:t xml:space="preserve"> </w:t>
      </w:r>
      <w:r w:rsidR="00805E6F" w:rsidRPr="00AE4356">
        <w:rPr>
          <w:rFonts w:ascii="Arial" w:hAnsi="Arial" w:cs="Arial"/>
          <w:sz w:val="24"/>
          <w:szCs w:val="24"/>
          <w:highlight w:val="yellow"/>
        </w:rPr>
        <w:t xml:space="preserve">Although rural roads play a vital role, their maintenance in many low- and middle-income countries is insufficient, largely due to poor planning, inadequate funding, and a shortage of technical expertise, which contributes to the decline of infrastructure </w:t>
      </w:r>
      <w:r w:rsidR="009C5B72" w:rsidRPr="00AE4356">
        <w:rPr>
          <w:rFonts w:ascii="Arial" w:hAnsi="Arial" w:cs="Arial"/>
          <w:sz w:val="24"/>
          <w:szCs w:val="24"/>
          <w:highlight w:val="yellow"/>
        </w:rPr>
        <w:fldChar w:fldCharType="begin" w:fldLock="1"/>
      </w:r>
      <w:r w:rsidR="00EB17F3" w:rsidRPr="00AE4356">
        <w:rPr>
          <w:rFonts w:ascii="Arial" w:hAnsi="Arial" w:cs="Arial"/>
          <w:sz w:val="24"/>
          <w:szCs w:val="24"/>
          <w:highlight w:val="yellow"/>
        </w:rPr>
        <w:instrText>ADDIN CSL_CITATION {"citationItems":[{"id":"ITEM-1","itemData":{"DOI":"10.3390/su14042149","ISSN":"20711050","abstract":"The rural transport infrastructure sector is a critical force for sustainable development that is interwoven with many other sectors. Rural transportation is an underlying driver of many of the Sustainable Development Goals (SDGs) and a crucial contributor to many socioeconomic benefits for rural people around the world. This review paper expands upon, enhances, and cross-references the perspectives outlined in previous rural infrastructure-focused review papers. Firstly, this work gives a thorough look into the progress of the rural transportation sector in recent years by focusing on the thematic relationships between infrastructure and other components of sustainable development, namely, economics and agriculture, policy and governance, health, gender, education, and climate change and the environment. Secondly, several strategies, approaches, and tools employed by governments and practitioners within the rural transport sector are analyzed and discussed for their contributions to the wellbeing of rural dwellers in low-and middle-income countries (LMICs). These include rural roads, bridges, maintenance, and non-infrastructural approaches that include concepts such as advanced technological innovations, intermediate modes of transport (IMTs), and transport services. This paper concludes that enhancement, improvement, and extension of rural transportation infrastructure brings significant benefits to rural dwellers. However, this paper also calls for additional integration of the sector and increased usage of systems approaches that view rural transport as an active part of many other sectors and a key leverage point within rural development as a whole. Further, this paper notes areas for future research and investigation, including increased investigation of the relationship between rural transportation infrastructure and education, improved data collection and management in support of improved policymaking, improved prioritization of interventions and institutionalization of maintenance, and expansion of pro-poor transportation strategies and interventions.","author":[{"dropping-particle":"","family":"Kaiser","given":"Noah","non-dropping-particle":"","parse-names":false,"suffix":""},{"dropping-particle":"","family":"Barstow","given":"Christina K.","non-dropping-particle":"","parse-names":false,"suffix":""}],"container-title":"Sustainability (Switzerland)","id":"ITEM-1","issue":"4","issued":{"date-parts":[["2022"]]},"page":"1-48","title":"Rural Transportation Infrastructure in Low-and Middle-Income Countries: A Review of Impacts, Implications, and Interventions","type":"article-journal","volume":"14"},"uris":["http://www.mendeley.com/documents/?uuid=b0529b29-d810-40cb-8feb-7e3065c79552"]},{"id":"ITEM-2","itemData":{"abstract":"Most of the low volume rural roads in Sub-Saharan Africa are unpaved. They are lifelines to the socio-economic factors and well-being of rural communities. In those countries, most of rural roads are made from lateritic or gravel soils. The major challenges that rural roads face in Sub-Saharan Africa include a lack of funding and a lack of engineering input during both construction and maintenance activities. For those reasons, rural roads are generally in poor condition and become nearly impassable during the rainy season due to erosion processes which severely damage them. The poor condition of rural roads has severe consequences on the economic transport of goods and services, and on the overall mobility of people, which hinders the country’s development. This paper assesses the importance and challenges of rural roads in Sub-Saharan Africa. It then proposes an approach to mitigate erosion of those roads through the selection of good-quality and appropriate soils to use on the surface, construction with efficient drainage systems and regular road maintenance. Moreover, the impact of those roads on the sustainable development is highlighted.","author":[{"dropping-particle":"","family":"Ngezahayo","given":"Esdras","non-dropping-particle":"","parse-names":false,"suffix":""},{"dropping-particle":"","family":"Burrow","given":"Michael","non-dropping-particle":"","parse-names":false,"suffix":""},{"dropping-particle":"","family":"Ghataora","given":"Gurmel","non-dropping-particle":"","parse-names":false,"suffix":""}],"container-title":"International Journal of Latest Engineering and Management Research (IJLEMR)","id":"ITEM-2","issue":"10","issued":{"date-parts":[["2019"]]},"page":"70-79","title":"Rural Roads –roles, challenges and solutions for Sub-Saharan Africa’s sustainable development","type":"article-journal","volume":"04"},"uris":["http://www.mendeley.com/documents/?uuid=545b9717-ee29-4075-afc1-3d54e7e7acd0"]}],"mendeley":{"formattedCitation":"(Kaiser &amp; Barstow, 2022; Ngezahayo et al., 2019)","plainTextFormattedCitation":"(Kaiser &amp; Barstow, 2022; Ngezahayo et al., 2019)","previouslyFormattedCitation":"(Kaiser &amp; Barstow, 2022; Ngezahayo et al., 2019)"},"properties":{"noteIndex":0},"schema":"https://github.com/citation-style-language/schema/raw/master/csl-citation.json"}</w:instrText>
      </w:r>
      <w:r w:rsidR="009C5B72" w:rsidRPr="00AE4356">
        <w:rPr>
          <w:rFonts w:ascii="Arial" w:hAnsi="Arial" w:cs="Arial"/>
          <w:sz w:val="24"/>
          <w:szCs w:val="24"/>
          <w:highlight w:val="yellow"/>
        </w:rPr>
        <w:fldChar w:fldCharType="separate"/>
      </w:r>
      <w:r w:rsidR="009C5B72" w:rsidRPr="00AE4356">
        <w:rPr>
          <w:rFonts w:ascii="Arial" w:hAnsi="Arial" w:cs="Arial"/>
          <w:noProof/>
          <w:sz w:val="24"/>
          <w:szCs w:val="24"/>
          <w:highlight w:val="yellow"/>
        </w:rPr>
        <w:t>(Kaiser &amp; Barstow, 2022; Ngezahayo et al., 2019)</w:t>
      </w:r>
      <w:r w:rsidR="009C5B72" w:rsidRPr="00AE4356">
        <w:rPr>
          <w:rFonts w:ascii="Arial" w:hAnsi="Arial" w:cs="Arial"/>
          <w:sz w:val="24"/>
          <w:szCs w:val="24"/>
          <w:highlight w:val="yellow"/>
        </w:rPr>
        <w:fldChar w:fldCharType="end"/>
      </w:r>
      <w:r w:rsidRPr="00AE4356">
        <w:rPr>
          <w:rFonts w:ascii="Arial" w:hAnsi="Arial" w:cs="Arial"/>
          <w:sz w:val="24"/>
          <w:szCs w:val="24"/>
          <w:highlight w:val="yellow"/>
        </w:rPr>
        <w:t>. These challenges often undermine rural livelihoods by restricting access to basic services and economic opportunities.</w:t>
      </w:r>
    </w:p>
    <w:p w14:paraId="7C6B9B69" w14:textId="77777777" w:rsidR="00FF5611" w:rsidRPr="00AE4356" w:rsidRDefault="00FF5611" w:rsidP="00FF5611">
      <w:pPr>
        <w:spacing w:after="0"/>
        <w:jc w:val="both"/>
        <w:rPr>
          <w:rFonts w:ascii="Arial" w:hAnsi="Arial" w:cs="Arial"/>
          <w:sz w:val="24"/>
          <w:szCs w:val="24"/>
          <w:highlight w:val="yellow"/>
        </w:rPr>
      </w:pPr>
    </w:p>
    <w:p w14:paraId="473605E1" w14:textId="565C3224" w:rsidR="00FF5611" w:rsidRPr="009D38E4" w:rsidRDefault="00FF5611" w:rsidP="00FF5611">
      <w:pPr>
        <w:spacing w:after="0"/>
        <w:jc w:val="both"/>
        <w:rPr>
          <w:rFonts w:ascii="Arial" w:hAnsi="Arial" w:cs="Arial"/>
          <w:sz w:val="24"/>
          <w:szCs w:val="24"/>
          <w:highlight w:val="yellow"/>
        </w:rPr>
      </w:pPr>
      <w:r w:rsidRPr="00AE4356">
        <w:rPr>
          <w:rFonts w:ascii="Arial" w:hAnsi="Arial" w:cs="Arial"/>
          <w:sz w:val="24"/>
          <w:szCs w:val="24"/>
          <w:highlight w:val="yellow"/>
        </w:rPr>
        <w:t xml:space="preserve">In recent years, community participation has been advanced as an important strategy for improving road maintenance outcomes. </w:t>
      </w:r>
      <w:r w:rsidR="00EB17F3" w:rsidRPr="00AE4356">
        <w:rPr>
          <w:rFonts w:ascii="Arial" w:hAnsi="Arial" w:cs="Arial"/>
          <w:sz w:val="24"/>
          <w:szCs w:val="24"/>
          <w:highlight w:val="yellow"/>
        </w:rPr>
        <w:t xml:space="preserve">It is important to look at how much citizens participate, since this can vary from simple consultation to active roles in making decisions, carrying out activities, and monitoring </w:t>
      </w:r>
      <w:r w:rsidR="00EB17F3" w:rsidRPr="00AE4356">
        <w:rPr>
          <w:rFonts w:ascii="Arial" w:hAnsi="Arial" w:cs="Arial"/>
          <w:sz w:val="24"/>
          <w:szCs w:val="24"/>
          <w:highlight w:val="yellow"/>
        </w:rPr>
        <w:fldChar w:fldCharType="begin" w:fldLock="1"/>
      </w:r>
      <w:r w:rsidR="006909D6" w:rsidRPr="00AE4356">
        <w:rPr>
          <w:rFonts w:ascii="Arial" w:hAnsi="Arial" w:cs="Arial"/>
          <w:sz w:val="24"/>
          <w:szCs w:val="24"/>
          <w:highlight w:val="yellow"/>
        </w:rPr>
        <w:instrText>ADDIN CSL_CITATION {"citationItems":[{"id":"ITEM-1","itemData":{"author":[{"dropping-particle":"","family":"Kiss","given":"Bernadett","non-dropping-particle":"","parse-names":false,"suffix":""},{"dropping-particle":"","family":"Sekulova","given":"Filka","non-dropping-particle":"","parse-names":false,"suffix":""},{"dropping-particle":"","family":"Hörschelmann","given":"Kathrin","non-dropping-particle":"","parse-names":false,"suffix":""},{"dropping-particle":"","family":"Salk","given":"Carl F","non-dropping-particle":"","parse-names":false,"suffix":""},{"dropping-particle":"","family":"Christine","given":"Wamsler Wakana Takahashi","non-dropping-particle":"","parse-names":false,"suffix":""}],"container-title":"Environmental Policy and Governance","id":"ITEM-1","issue":"3","issued":{"date-parts":[["2021"]]},"page":"1-26","title":"Citizen participation in the governance of nature-based solutions","type":"article-journal","volume":"1"},"uris":["http://www.mendeley.com/documents/?uuid=9ebb8b07-6880-4514-a0d8-c0133aa1eabf"]},{"id":"ITEM-2","itemData":{"DOI":"10.1007/s11135-023-01658-z","ISBN":"0123456789","ISSN":"15737845","abstract":"The most effective structure in designing the participation process is local government units. It is much easier for local governments to establish closer dialogue with citizens, create negotiation environments for them and identify appropriate needs for participation. The intense feeling of centralization in terms of the duties and responsibilities of local governments in Turkey leads to the inability to transfer the negotiation processes in participation practices to realistic/realizable practices. As a result, permanent institutional practices do not carry on sustainably; they turn into structures established to fulfill legal obligations only. The transition from government to governance, with the winds of change began after 1990 in Turkey, revealed the necessity of reorganizing the duties and responsibilities of executives at both local and national levels regarding active citizenship; the necessity of activating local participation mechanisms was emphasized. For this reason, the application of the Headmen's (Headman means “Muhtar” in Turkish. Sometimes “Mukhtar” uses instead of Headman in some studies. But in this study Headman used to descripe partipatory process. In Turkey, there two types of “Headman”. One of them is village headman. Villages are legal entities, so village headmen have much more authority. The second one is neigborhood headmen. Neigborhoods are not legal entities. So that, neigborhood headman is responsible to City Mayor.). Workshop, designed by the Tekirdağ Metropolitan Municipality, was periodically subject to the research as an ongoing method, and its effectiveness for citizen participation was analyzed using the qualitative research method in the study. The reason why Tekirdağ was chosen in the study is that it has the only metropolitan municipality in the Thrace Region, periodic meetings and participatory democracy discourses on the sharing of duties and powers with new regulations increase. The practice was examined through 6 meetings held until 2020 since there were disruptions in the planned meetings of the practice on account of the fact that the study coincided with the COVID-19 pandemic process.","author":[{"dropping-particle":"","family":"Özden","given":"Miray","non-dropping-particle":"","parse-names":false,"suffix":""}],"container-title":"Quality and Quantity","id":"ITEM-2","issue":"1","issued":{"date-parts":[["2023"]]},"page":"1-22","publisher":"Springer Netherlands","title":"Active participation or legal obligation? A qualitative study of the effectiveness of participatory methods designed for local participation","type":"article-journal","volume":"58"},"uris":["http://www.mendeley.com/documents/?uuid=f8765a55-269a-4d34-a67c-f3e93d19e009"]}],"mendeley":{"formattedCitation":"(Kiss et al., 2021; Özden, 2023)","plainTextFormattedCitation":"(Kiss et al., 2021; Özden, 2023)","previouslyFormattedCitation":"(Kiss et al., 2021; Özden, 2023)"},"properties":{"noteIndex":0},"schema":"https://github.com/citation-style-language/schema/raw/master/csl-citation.json"}</w:instrText>
      </w:r>
      <w:r w:rsidR="00EB17F3" w:rsidRPr="00AE4356">
        <w:rPr>
          <w:rFonts w:ascii="Arial" w:hAnsi="Arial" w:cs="Arial"/>
          <w:sz w:val="24"/>
          <w:szCs w:val="24"/>
          <w:highlight w:val="yellow"/>
        </w:rPr>
        <w:fldChar w:fldCharType="separate"/>
      </w:r>
      <w:r w:rsidR="00EB17F3" w:rsidRPr="00AE4356">
        <w:rPr>
          <w:rFonts w:ascii="Arial" w:hAnsi="Arial" w:cs="Arial"/>
          <w:noProof/>
          <w:sz w:val="24"/>
          <w:szCs w:val="24"/>
          <w:highlight w:val="yellow"/>
        </w:rPr>
        <w:t>(Kiss et al., 2021; Özden, 2023)</w:t>
      </w:r>
      <w:r w:rsidR="00EB17F3" w:rsidRPr="00AE4356">
        <w:rPr>
          <w:rFonts w:ascii="Arial" w:hAnsi="Arial" w:cs="Arial"/>
          <w:sz w:val="24"/>
          <w:szCs w:val="24"/>
          <w:highlight w:val="yellow"/>
        </w:rPr>
        <w:fldChar w:fldCharType="end"/>
      </w:r>
      <w:r w:rsidR="00EB17F3" w:rsidRPr="00AE4356">
        <w:rPr>
          <w:rFonts w:ascii="Arial" w:hAnsi="Arial" w:cs="Arial"/>
          <w:sz w:val="24"/>
          <w:szCs w:val="24"/>
          <w:highlight w:val="yellow"/>
        </w:rPr>
        <w:t xml:space="preserve">. </w:t>
      </w:r>
      <w:r w:rsidRPr="00AE4356">
        <w:rPr>
          <w:rFonts w:ascii="Arial" w:hAnsi="Arial" w:cs="Arial"/>
          <w:sz w:val="24"/>
          <w:szCs w:val="24"/>
          <w:highlight w:val="yellow"/>
        </w:rPr>
        <w:t xml:space="preserve">Higher levels of engagement are associated with stronger accountability, better alignment of projects </w:t>
      </w:r>
      <w:r w:rsidRPr="009D38E4">
        <w:rPr>
          <w:rFonts w:ascii="Arial" w:hAnsi="Arial" w:cs="Arial"/>
          <w:sz w:val="24"/>
          <w:szCs w:val="24"/>
          <w:highlight w:val="yellow"/>
        </w:rPr>
        <w:t xml:space="preserve">with local needs, and greater sustainability of outcomes. </w:t>
      </w:r>
      <w:r w:rsidRPr="009D38E4">
        <w:rPr>
          <w:rFonts w:ascii="Arial" w:hAnsi="Arial" w:cs="Arial"/>
          <w:sz w:val="24"/>
          <w:szCs w:val="24"/>
          <w:highlight w:val="yellow"/>
        </w:rPr>
        <w:lastRenderedPageBreak/>
        <w:t>Conversely, when participation remains at lower levels, projects often suffer from weak ownership, limited effectiveness, and short-lived benefits</w:t>
      </w:r>
      <w:r w:rsidR="006909D6" w:rsidRPr="009D38E4">
        <w:rPr>
          <w:rFonts w:ascii="Arial" w:hAnsi="Arial" w:cs="Arial"/>
          <w:sz w:val="24"/>
          <w:szCs w:val="24"/>
          <w:highlight w:val="yellow"/>
        </w:rPr>
        <w:fldChar w:fldCharType="begin" w:fldLock="1"/>
      </w:r>
      <w:r w:rsidR="009B22A5" w:rsidRPr="009D38E4">
        <w:rPr>
          <w:rFonts w:ascii="Arial" w:hAnsi="Arial" w:cs="Arial"/>
          <w:sz w:val="24"/>
          <w:szCs w:val="24"/>
          <w:highlight w:val="yellow"/>
        </w:rPr>
        <w:instrText>ADDIN CSL_CITATION {"citationItems":[{"id":"ITEM-1","itemData":{"DOI":"10.1002/sres.3051","ISSN":"10991743","abstract":"Effective governance of complex social-ecological systems requires diverse stakeholders to be engaged in meaningful participatory processes. Meaningful participation must be intelligible and significant to local actors and coherent within a broader, multilevel governance system. This study explores the complexities of participatory land and water governance in South Africa's Tsitsa River Catchment. Embedded within a transdisciplinary landscape restoration project (the Tsitsa Project), this study combines a diagram-based analysis of local actor mental models with a narrative-based analysis of participant observation data. Challenges, opportunities, and general principles are identified. Limited accessibility, resource constraints, and the legacy of centralised governance impede participation. The research identifies the critical role of local actors, particularly those with deep community ties, in driving inclusive processes. Building trust through face-to-face interactions and culturally appropriate communication strategies also emerged as vital elements for success. This research can inform participatory projects and interventions in rural and developing world contexts.","author":[{"dropping-particle":"","family":"Fry","given":"Anthony","non-dropping-particle":"","parse-names":false,"suffix":""},{"dropping-particle":"","family":"Clifford-Holmes","given":"Jai","non-dropping-particle":"","parse-names":false,"suffix":""},{"dropping-particle":"","family":"Palmer","given":"Carolyn","non-dropping-particle":"","parse-names":false,"suffix":""}],"container-title":"Systems Research and Behavioral Science","id":"ITEM-1","issue":"5","issued":{"date-parts":[["2024"]]},"page":"771-787","title":"A systemic analysis of participatory land and water governance in the Tsitsa River Catchment, South Africa","type":"article-journal","volume":"41"},"uris":["http://www.mendeley.com/documents/?uuid=b0d60874-fa50-4b17-b591-ad0441470966"]}],"mendeley":{"formattedCitation":"(Fry et al., 2024)","plainTextFormattedCitation":"(Fry et al., 2024)","previouslyFormattedCitation":"(Fry et al., 2024)"},"properties":{"noteIndex":0},"schema":"https://github.com/citation-style-language/schema/raw/master/csl-citation.json"}</w:instrText>
      </w:r>
      <w:r w:rsidR="006909D6" w:rsidRPr="009D38E4">
        <w:rPr>
          <w:rFonts w:ascii="Arial" w:hAnsi="Arial" w:cs="Arial"/>
          <w:sz w:val="24"/>
          <w:szCs w:val="24"/>
          <w:highlight w:val="yellow"/>
        </w:rPr>
        <w:fldChar w:fldCharType="separate"/>
      </w:r>
      <w:r w:rsidR="006909D6" w:rsidRPr="009D38E4">
        <w:rPr>
          <w:rFonts w:ascii="Arial" w:hAnsi="Arial" w:cs="Arial"/>
          <w:noProof/>
          <w:sz w:val="24"/>
          <w:szCs w:val="24"/>
          <w:highlight w:val="yellow"/>
        </w:rPr>
        <w:t>(Fry et al., 2024)</w:t>
      </w:r>
      <w:r w:rsidR="006909D6" w:rsidRPr="009D38E4">
        <w:rPr>
          <w:rFonts w:ascii="Arial" w:hAnsi="Arial" w:cs="Arial"/>
          <w:sz w:val="24"/>
          <w:szCs w:val="24"/>
          <w:highlight w:val="yellow"/>
        </w:rPr>
        <w:fldChar w:fldCharType="end"/>
      </w:r>
      <w:r w:rsidRPr="009D38E4">
        <w:rPr>
          <w:rFonts w:ascii="Arial" w:hAnsi="Arial" w:cs="Arial"/>
          <w:sz w:val="24"/>
          <w:szCs w:val="24"/>
          <w:highlight w:val="yellow"/>
        </w:rPr>
        <w:t>.</w:t>
      </w:r>
    </w:p>
    <w:p w14:paraId="7E8C5097" w14:textId="77777777" w:rsidR="00FF5611" w:rsidRPr="009D38E4" w:rsidRDefault="00FF5611" w:rsidP="00FF5611">
      <w:pPr>
        <w:spacing w:after="0"/>
        <w:jc w:val="both"/>
        <w:rPr>
          <w:rFonts w:ascii="Arial" w:hAnsi="Arial" w:cs="Arial"/>
          <w:sz w:val="24"/>
          <w:szCs w:val="24"/>
          <w:highlight w:val="yellow"/>
        </w:rPr>
      </w:pPr>
    </w:p>
    <w:p w14:paraId="67FCB879" w14:textId="7156242A" w:rsidR="00FF5611" w:rsidRPr="009D38E4" w:rsidRDefault="00FF5611" w:rsidP="00FF5611">
      <w:pPr>
        <w:spacing w:after="0"/>
        <w:jc w:val="both"/>
        <w:rPr>
          <w:rFonts w:ascii="Arial" w:hAnsi="Arial" w:cs="Arial"/>
          <w:sz w:val="24"/>
          <w:szCs w:val="24"/>
          <w:highlight w:val="yellow"/>
        </w:rPr>
      </w:pPr>
      <w:r w:rsidRPr="009D38E4">
        <w:rPr>
          <w:rFonts w:ascii="Arial" w:hAnsi="Arial" w:cs="Arial"/>
          <w:sz w:val="24"/>
          <w:szCs w:val="24"/>
          <w:highlight w:val="yellow"/>
        </w:rPr>
        <w:t>Evidence from other regions illustrates how deeper community engagement contributes to more effective road management. For example, participatory budgeting initiatives in Latin America have empowered communities to directly influence infrastructure priorities</w:t>
      </w:r>
      <w:r w:rsidR="009B22A5" w:rsidRPr="009D38E4">
        <w:rPr>
          <w:rFonts w:ascii="Arial" w:hAnsi="Arial" w:cs="Arial"/>
          <w:sz w:val="24"/>
          <w:szCs w:val="24"/>
          <w:highlight w:val="yellow"/>
        </w:rPr>
        <w:t xml:space="preserve"> </w:t>
      </w:r>
      <w:r w:rsidR="009B22A5" w:rsidRPr="009D38E4">
        <w:rPr>
          <w:rFonts w:ascii="Arial" w:hAnsi="Arial" w:cs="Arial"/>
          <w:sz w:val="24"/>
          <w:szCs w:val="24"/>
          <w:highlight w:val="yellow"/>
        </w:rPr>
        <w:fldChar w:fldCharType="begin" w:fldLock="1"/>
      </w:r>
      <w:r w:rsidR="008A705D" w:rsidRPr="009D38E4">
        <w:rPr>
          <w:rFonts w:ascii="Arial" w:hAnsi="Arial" w:cs="Arial"/>
          <w:sz w:val="24"/>
          <w:szCs w:val="24"/>
          <w:highlight w:val="yellow"/>
        </w:rPr>
        <w:instrText>ADDIN CSL_CITATION {"citationItems":[{"id":"ITEM-1","itemData":{"DOI":"10.1177/00027642221086957","ISSN":"15523381","abstract":"Participatory budgeting (PB) is designed to leverage local knowledge about community needs and translate spending preferences into tangible community development action by giving communities control over key budgetary resources. Moreover, PB participants learn about decision-making processes in development policy and can organize to pursue their communities’ interests beyond the PB process by engaging with government and civil society. PB advocates hope that infrastructure, service delivery, and, ultimately, well-being will improve for underserved communities and groups that have been historically excluded from the perspective of representative democracy. This article presents the theoretical logic connecting PB to community development and summarizes the global evidence from studies that test the theoretical propositions above. We find evidence for PB’s impact on community development performance in several important contexts. However, we also note that many hypotheses have yet to be tested in rigorous, large-N, comparative studies. There is thus considerable room to evaluate PB’s impact in the future.","author":[{"dropping-particle":"","family":"Touchton","given":"Michael","non-dropping-particle":"","parse-names":false,"suffix":""},{"dropping-particle":"","family":"McNulty","given":"Stephanie","non-dropping-particle":"","parse-names":false,"suffix":""},{"dropping-particle":"","family":"Wampler","given":"Brian","non-dropping-particle":"","parse-names":false,"suffix":""}],"container-title":"American Behavioral Scientist","id":"ITEM-1","issue":"4","issued":{"date-parts":[["2023"]]},"page":"520-536","title":"Participatory Budgeting and Community Development: A Global Perspective","type":"article-journal","volume":"67"},"uris":["http://www.mendeley.com/documents/?uuid=d6a1fda3-a597-4ae1-a049-c43ed0648a49"]},{"id":"ITEM-2","itemData":{"DOI":"10.63125/p3p09p46","abstract":"This systematic review explores the role of participatory budgeting (PB) in enhancing public finance systems and improving policy effectiveness within local governance contexts. Drawing upon the Preferred Reporting Items for Systematic Reviews and Meta-Analyses (PRISMA) 2020 framework, this study synthesizes findings from 92 peer-reviewed articles and high-quality institutional reports published between 2000 and 2024. The review investigates how PB contributes to fiscal decentralization, budget transparency, equitable public expenditure, service delivery, social inclusion, and civic engagement. Through a rigorous analysis of empirical and theoretical contributions, the review highlights the multidimensional value of PB in realigning public spending with local needs and promoting democratic accountability. Key findings indicate that PB strengthens the alignment between public resource allocation and community-defined priorities, reduces corruption through participatory oversight mechanisms, and fosters institutional trust by enhancing transparency and inclusiveness. The evidence shows that PB not only empowers marginalized populations—such as women, youth, and ethnic minorities—but also encourages sustained civic learning, social cohesion, and citizen-state collaboration. However, successful implementation of PB is contingent upon several enabling conditions, including strong political commitment, sufficient administrative capacity, legal frameworks that institutionalize participatory practices, and the presence of an active and organized civil society. Comparative analysis across Latin America, Europe, Africa, Asia, and North America reveals that while PB principles are globally adaptable, their effectiveness varies depending on local political culture, institutional maturity, and infrastructural readiness. The review also underscores the potential of digital PB platforms in expanding access and participation, though challenges remain regarding inclusivity and the digital divide. Despite promising impacts, the review identifies notable research gaps, such as the absence of longitudinal impact assessments, limited integration of intersectional frameworks, and the underrepresentation of PB practices in fragile, post-conflict, or authoritarian contexts. Furthermore, most evaluations focus on output measures (e.g., number of projects funded) rather than long-term governance or developmental outcomes. By consolidating diverse strands of literature, this revi…","author":[{"dropping-particle":"","family":"","given":"","non-dropping-particle":"","parse-names":false,"suffix":""},{"dropping-particle":"","family":"Islam","given":"Sazzad","non-dropping-particle":"","parse-names":false,"suffix":""}],"container-title":"Journal of Sustainable Development and Policy","id":"ITEM-2","issue":"01","issued":{"date-parts":[["2025"]]},"page":"115-143","title":"Public Finance and Policy Effectiveness a Review of Participatory Budgeting in Local Governance Systems","type":"article-journal","volume":"01"},"uris":["http://www.mendeley.com/documents/?uuid=c7f49da6-e20e-43a0-ac73-7314344de029"]}],"mendeley":{"formattedCitation":"(Islam, 2025; Touchton et al., 2023)","plainTextFormattedCitation":"(Islam, 2025; Touchton et al., 2023)","previouslyFormattedCitation":"(Islam, 2025; Touchton et al., 2023)"},"properties":{"noteIndex":0},"schema":"https://github.com/citation-style-language/schema/raw/master/csl-citation.json"}</w:instrText>
      </w:r>
      <w:r w:rsidR="009B22A5" w:rsidRPr="009D38E4">
        <w:rPr>
          <w:rFonts w:ascii="Arial" w:hAnsi="Arial" w:cs="Arial"/>
          <w:sz w:val="24"/>
          <w:szCs w:val="24"/>
          <w:highlight w:val="yellow"/>
        </w:rPr>
        <w:fldChar w:fldCharType="separate"/>
      </w:r>
      <w:r w:rsidR="009B22A5" w:rsidRPr="009D38E4">
        <w:rPr>
          <w:rFonts w:ascii="Arial" w:hAnsi="Arial" w:cs="Arial"/>
          <w:noProof/>
          <w:sz w:val="24"/>
          <w:szCs w:val="24"/>
          <w:highlight w:val="yellow"/>
        </w:rPr>
        <w:t>(Islam, 2025; Touchton et al., 2023)</w:t>
      </w:r>
      <w:r w:rsidR="009B22A5" w:rsidRPr="009D38E4">
        <w:rPr>
          <w:rFonts w:ascii="Arial" w:hAnsi="Arial" w:cs="Arial"/>
          <w:sz w:val="24"/>
          <w:szCs w:val="24"/>
          <w:highlight w:val="yellow"/>
        </w:rPr>
        <w:fldChar w:fldCharType="end"/>
      </w:r>
      <w:r w:rsidRPr="009D38E4">
        <w:rPr>
          <w:rFonts w:ascii="Arial" w:hAnsi="Arial" w:cs="Arial"/>
          <w:sz w:val="24"/>
          <w:szCs w:val="24"/>
          <w:highlight w:val="yellow"/>
        </w:rPr>
        <w:t>, while in Africa, programs such as the Rural Access and Mobility Program (RAMP) have mobilized communities to take an active role in rehabilitating and maintaining rural roads</w:t>
      </w:r>
      <w:r w:rsidR="008A705D" w:rsidRPr="009D38E4">
        <w:rPr>
          <w:rFonts w:ascii="Arial" w:hAnsi="Arial" w:cs="Arial"/>
          <w:sz w:val="24"/>
          <w:szCs w:val="24"/>
          <w:highlight w:val="yellow"/>
        </w:rPr>
        <w:t xml:space="preserve"> </w:t>
      </w:r>
      <w:r w:rsidR="008A705D" w:rsidRPr="009D38E4">
        <w:rPr>
          <w:rFonts w:ascii="Arial" w:hAnsi="Arial" w:cs="Arial"/>
          <w:sz w:val="24"/>
          <w:szCs w:val="24"/>
          <w:highlight w:val="yellow"/>
        </w:rPr>
        <w:fldChar w:fldCharType="begin" w:fldLock="1"/>
      </w:r>
      <w:r w:rsidR="006D29A1" w:rsidRPr="009D38E4">
        <w:rPr>
          <w:rFonts w:ascii="Arial" w:hAnsi="Arial" w:cs="Arial"/>
          <w:sz w:val="24"/>
          <w:szCs w:val="24"/>
          <w:highlight w:val="yellow"/>
        </w:rPr>
        <w:instrText>ADDIN CSL_CITATION {"citationItems":[{"id":"ITEM-1","itemData":{"author":[{"dropping-particle":"","family":"Uche","given":"Uwaoma","non-dropping-particle":"","parse-names":false,"suffix":""},{"dropping-particle":"","family":"Anene","given":"Johnson","non-dropping-particle":"","parse-names":false,"suffix":""},{"dropping-particle":"","family":"M","given":"Chinyere","non-dropping-particle":"","parse-names":false,"suffix":""},{"dropping-particle":"","family":"Nkwam-Uwaoma","given":"Adeline","non-dropping-particle":"","parse-names":false,"suffix":""}],"container-title":"International Journal of Agriculture and Earth Science","id":"ITEM-1","issue":"2","issued":{"date-parts":[["2020"]]},"page":"14-20","title":"Rural Access and Agricultural Marketing Project ( RAAMP ) Sustainable Development for Nigerian Rural Communities of Abia State : A Media Evaluation","type":"article-journal","volume":"6"},"uris":["http://www.mendeley.com/documents/?uuid=b889a0ac-9dfc-41ad-b208-5f20dcae123c"]},{"id":"ITEM-2","itemData":{"DOI":"10.13140/RG.2.2.25118.10567","author":[{"dropping-particle":"","family":"Tahseen","given":"Fariha","non-dropping-particle":"","parse-names":false,"suffix":""}],"container-title":"Journal of Xi’an Shiyou University, Natural Science Edition","id":"ITEM-2","issue":"10","issued":{"date-parts":[["2022"]]},"page":"1-8","title":"Active Community Participation and Involvement as a Strategy to Upgrade and Maintain the Quality of Sidewalks in Pedestrian Infrastructure of Karachi, Pakistan","type":"article-journal","volume":"18"},"uris":["http://www.mendeley.com/documents/?uuid=dc07be36-9d1c-4a0d-93aa-911e181c1f69"]}],"mendeley":{"formattedCitation":"(Tahseen, 2022; Uche et al., 2020)","plainTextFormattedCitation":"(Tahseen, 2022; Uche et al., 2020)","previouslyFormattedCitation":"(Tahseen, 2022; Uche et al., 2020)"},"properties":{"noteIndex":0},"schema":"https://github.com/citation-style-language/schema/raw/master/csl-citation.json"}</w:instrText>
      </w:r>
      <w:r w:rsidR="008A705D" w:rsidRPr="009D38E4">
        <w:rPr>
          <w:rFonts w:ascii="Arial" w:hAnsi="Arial" w:cs="Arial"/>
          <w:sz w:val="24"/>
          <w:szCs w:val="24"/>
          <w:highlight w:val="yellow"/>
        </w:rPr>
        <w:fldChar w:fldCharType="separate"/>
      </w:r>
      <w:r w:rsidR="008A705D" w:rsidRPr="009D38E4">
        <w:rPr>
          <w:rFonts w:ascii="Arial" w:hAnsi="Arial" w:cs="Arial"/>
          <w:noProof/>
          <w:sz w:val="24"/>
          <w:szCs w:val="24"/>
          <w:highlight w:val="yellow"/>
        </w:rPr>
        <w:t>(Tahseen, 2022; Uche et al., 2020)</w:t>
      </w:r>
      <w:r w:rsidR="008A705D" w:rsidRPr="009D38E4">
        <w:rPr>
          <w:rFonts w:ascii="Arial" w:hAnsi="Arial" w:cs="Arial"/>
          <w:sz w:val="24"/>
          <w:szCs w:val="24"/>
          <w:highlight w:val="yellow"/>
        </w:rPr>
        <w:fldChar w:fldCharType="end"/>
      </w:r>
      <w:r w:rsidRPr="009D38E4">
        <w:rPr>
          <w:rFonts w:ascii="Arial" w:hAnsi="Arial" w:cs="Arial"/>
          <w:sz w:val="24"/>
          <w:szCs w:val="24"/>
          <w:highlight w:val="yellow"/>
        </w:rPr>
        <w:t xml:space="preserve">. Nonetheless, these experiences also highlight that the degree of participation often determines the extent of project success. Where participation remains shallow, structural barriers such as poverty, weak governance, and lack of technical capacity continue to limit project sustainability </w:t>
      </w:r>
      <w:r w:rsidR="006D29A1" w:rsidRPr="009D38E4">
        <w:rPr>
          <w:rFonts w:ascii="Arial" w:hAnsi="Arial" w:cs="Arial"/>
          <w:sz w:val="24"/>
          <w:szCs w:val="24"/>
          <w:highlight w:val="yellow"/>
        </w:rPr>
        <w:fldChar w:fldCharType="begin" w:fldLock="1"/>
      </w:r>
      <w:r w:rsidR="00876AA3" w:rsidRPr="009D38E4">
        <w:rPr>
          <w:rFonts w:ascii="Arial" w:hAnsi="Arial" w:cs="Arial"/>
          <w:sz w:val="24"/>
          <w:szCs w:val="24"/>
          <w:highlight w:val="yellow"/>
        </w:rPr>
        <w:instrText>ADDIN CSL_CITATION {"citationItems":[{"id":"ITEM-1","itemData":{"DOI":"10.5897/jasd2023.0692","abstract":"In underdeveloped countries like Africa, where socio-economic challenges persist and hinder progress, the role of projects emerges as a pivotal force in catalyzing sustainable development. Projects serve as catalysts for economic development by fostering job creation and income generation. According to a study by Johnson and Brown, successful projects not only provide immediate employment but also equip local communities with transferable skills, empowering individuals to participate in broader economic activities. Moreover, projects play a critical role in addressing social inequalities and fostering inclusivity. Smith and Brown argue that targeted projects in education, healthcare, and social welfare can mitigate disparities by improving access to basic services. For instance, educational projects can enhance literacy rates, empowering individuals to break the cycle of poverty. This aligns with the findings of Patel and Rahman who emphasize that education-centric projects have a transformative impact on communities, leading to increased social cohesion and human capital development. Infrastructure development, another crucial facet of projects, is integral to underdeveloped countries&amp;#39; progress. According to the World Bank, strategic investments in infrastructure projects, such as roads, energy, and water supply, not only enhance connectivity but also create an enabling environment for economic activities. Improved infrastructure facilitates trade, attracts investments, and enhances the overall quality of life for the population. In the context of environmental sustainability, projects can also play a pivotal role in fostering eco-friendly practices and mitigating the adverse effects of climate change. As highlighted by Green and colleagues, sustainable development projects in underdeveloped countries can strike a balance between economic growth and environmental conservation, ensuring that progress is both inclusive and environmentally responsible.\n\n\t&amp;nbsp;\n\n\tKey words: Underdeveloped countries, project implementation, economic development, social inequalities, infrastructure projects, sustainable development, environmental conservation, global development, human capital, cultural sensitivity, capacity building.","author":[{"dropping-particle":"","family":"Adams","given":"E. Ukeyima","non-dropping-particle":"","parse-names":false,"suffix":""}],"container-title":"Journal of African Studies and Development","id":"ITEM-1","issue":"1","issued":{"date-parts":[["2024"]]},"page":"10-24","title":"The importance of project in underdeveloped countries","type":"article-journal","volume":"16"},"uris":["http://www.mendeley.com/documents/?uuid=41a46111-3714-4cdb-9e47-cd49114c431d"]},{"id":"ITEM-2","itemData":{"DOI":"10.3390/w14050762","ISSN":"20734441","abstract":"Participatory approaches within development programs involving common-pool resources are intended to revive a community’s role in managing these resources. Certainly, to ensure the successful and equitable use of such resources, community participation is essential. However, in many cases, attempts at applying a participatory approach often fail to genuinely engage all subgroups within a community due to assumptions of homogeneity and a lack of understanding of the deep socio-political divisions between people. As a result, development programs can be plagued by these pre-existing power relations, potentially resulting in tokenistic community participation and the continuation of elite capture of natural resources to the same extent or worse than before a development program has begun. This in turn can negatively impact good governance and the fair distribution of a common pool resource. This paper explores the use of participatory approaches in water projects, assessing to what degree power relationships impact water management programs. Using a qualitative approach, the paper identifies key challenges of participatory water governance through case studies from Turkey, India, and Sri Lanka, exploring: lack of social trust, elite capture of participatory processes, power heterogeneity and imbalances at the micro-level, and a lack of inclusive participation in decision-making. Based on the analysis of these case studies, this paper argues that it is essential for participatory development interventions to understand socio-political power relations within a community—an inherently complex and contested space. The so-called “exit strategy” of a community project play a key role to decide the project sustainability that grants the “community ownership” of the project. Such an understanding can bring about greater success in development interventions attempting to address water-related issues.","author":[{"dropping-particle":"","family":"Shunglu","given":"Raghav","non-dropping-particle":"","parse-names":false,"suffix":""},{"dropping-particle":"","family":"Köpke","given":"Sören","non-dropping-particle":"","parse-names":false,"suffix":""},{"dropping-particle":"","family":"Kanoi","given":"Lav","non-dropping-particle":"","parse-names":false,"suffix":""},{"dropping-particle":"","family":"Nissanka","given":"Thushantha S.","non-dropping-particle":"","parse-names":false,"suffix":""},{"dropping-particle":"","family":"Withanachchi","given":"Chandana R.","non-dropping-particle":"","parse-names":false,"suffix":""},{"dropping-particle":"","family":"Gamage","given":"Deepika U.","non-dropping-particle":"","parse-names":false,"suffix":""},{"dropping-particle":"","family":"Dissanayake","given":"Hansani R.","non-dropping-particle":"","parse-names":false,"suffix":""},{"dropping-particle":"","family":"Kibaroglu","given":"Aysegul","non-dropping-particle":"","parse-names":false,"suffix":""},{"dropping-particle":"","family":"Ünver","given":"Olcay","non-dropping-particle":"","parse-names":false,"suffix":""},{"dropping-particle":"","family":"Withanachchi","given":"Sisira S.","non-dropping-particle":"","parse-names":false,"suffix":""}],"container-title":"Water (Switzerland)","id":"ITEM-2","issue":"5","issued":{"date-parts":[["2022"]]},"page":"1-24","title":"Barriers in Participative Water Governance: A Critical Analysis of Community Development Approaches","type":"article-journal","volume":"14"},"uris":["http://www.mendeley.com/documents/?uuid=b86efee4-d18e-4efc-8947-325199c24c4c"]},{"id":"ITEM-3","itemData":{"DOI":"10.63125/eeja0t77","abstract":"This paper reviews and critically analyzes project impact assessment frameworks employed by nonprofit development organizations across South Asia. Drawing upon diverse case studies from countries such as India, Bangladesh, Nepal, and Sri Lanka, the study identifies patterns, best practices, and limitations in existing evaluation methodologies. It investigates how local contexts—social, economic, and political—influence the design and effectiveness of these frameworks. These frameworks, while offering structured tools for planning and accountability, often emphasize upward reporting and quantifiable results over local ownership, contextual adaptability, and long-term social change. Drawing on 41 empirical studies published between 2000 and 2022, this review systematically examines the methodological approaches, stakeholder engagement levels, institutional capacities, and technological adaptations shaping impact assessment practices in nonprofit development across South Asia. The findings reveal several critical insights. First, the dominance of externally imposed evaluation models has reinforced hierarchical power relations, marginalizing grassroots knowledge and limiting community participation. Second, while participatory and feminist evaluation frameworks are acknowledged in theory, their actual application remains limited, often constrained by organizational capacities and donor priorities. Third, although many organizations prefer mixed-methods approaches to balance rigor and contextual sensitivity, challenges such as resource limitations, insufficient training, and reliance on external consultants hinder their consistent implementation. Additionally, the study finds that evaluations are often conducted for compliance purposes rather than to support organizational learning and adaptive programming. Institutional constraints—particularly in smaller organizations—continue to limit the sustainability and effectiveness of internal monitoring and evaluation (M&amp;E) systems.","author":[{"dropping-particle":"","family":"","given":"","non-dropping-particle":"","parse-names":false,"suffix":""},{"dropping-particle":"","family":"","given":"","non-dropping-particle":"","parse-names":false,"suffix":""},{"dropping-particle":"","family":"Islam","given":"Sazzad","non-dropping-particle":"","parse-names":false,"suffix":""},{"dropping-particle":"","family":"Khan","given":"Md Nazrul Islam","non-dropping-particle":"","parse-names":false,"suffix":""}],"container-title":"American Journal of Scholarly Research and Innovation","id":"ITEM-3","issue":"01","issued":{"date-parts":[["2022"]]},"page":"270-294","title":"Project Impact Assessment Frameworks in Nonprofit Development: a Review of Case Studies From South Asia","type":"article-journal","volume":"01"},"uris":["http://www.mendeley.com/documents/?uuid=a63c23fe-0fe9-4f2a-bfdb-a960ea1083cf"]}],"mendeley":{"formattedCitation":"(Adams, 2024; Shunglu et al., 2022;  et al., 2022)","plainTextFormattedCitation":"(Adams, 2024; Shunglu et al., 2022;  et al., 2022)","previouslyFormattedCitation":"(Adams, 2024; Shunglu et al., 2022;  et al., 2022)"},"properties":{"noteIndex":0},"schema":"https://github.com/citation-style-language/schema/raw/master/csl-citation.json"}</w:instrText>
      </w:r>
      <w:r w:rsidR="006D29A1" w:rsidRPr="009D38E4">
        <w:rPr>
          <w:rFonts w:ascii="Arial" w:hAnsi="Arial" w:cs="Arial"/>
          <w:sz w:val="24"/>
          <w:szCs w:val="24"/>
          <w:highlight w:val="yellow"/>
        </w:rPr>
        <w:fldChar w:fldCharType="separate"/>
      </w:r>
      <w:r w:rsidR="006D29A1" w:rsidRPr="009D38E4">
        <w:rPr>
          <w:rFonts w:ascii="Arial" w:hAnsi="Arial" w:cs="Arial"/>
          <w:noProof/>
          <w:sz w:val="24"/>
          <w:szCs w:val="24"/>
          <w:highlight w:val="yellow"/>
        </w:rPr>
        <w:t>(Adams, 2024; Shunglu et al., 2022;  et al., 2022)</w:t>
      </w:r>
      <w:r w:rsidR="006D29A1" w:rsidRPr="009D38E4">
        <w:rPr>
          <w:rFonts w:ascii="Arial" w:hAnsi="Arial" w:cs="Arial"/>
          <w:sz w:val="24"/>
          <w:szCs w:val="24"/>
          <w:highlight w:val="yellow"/>
        </w:rPr>
        <w:fldChar w:fldCharType="end"/>
      </w:r>
      <w:r w:rsidRPr="009D38E4">
        <w:rPr>
          <w:rFonts w:ascii="Arial" w:hAnsi="Arial" w:cs="Arial"/>
          <w:sz w:val="24"/>
          <w:szCs w:val="24"/>
          <w:highlight w:val="yellow"/>
        </w:rPr>
        <w:t>.</w:t>
      </w:r>
    </w:p>
    <w:p w14:paraId="653DF177" w14:textId="77777777" w:rsidR="00FF5611" w:rsidRPr="009D38E4" w:rsidRDefault="00FF5611" w:rsidP="00FF5611">
      <w:pPr>
        <w:spacing w:after="0"/>
        <w:jc w:val="both"/>
        <w:rPr>
          <w:rFonts w:ascii="Arial" w:hAnsi="Arial" w:cs="Arial"/>
          <w:sz w:val="24"/>
          <w:szCs w:val="24"/>
          <w:highlight w:val="yellow"/>
        </w:rPr>
      </w:pPr>
    </w:p>
    <w:p w14:paraId="14655792" w14:textId="01493802" w:rsidR="00FF5611" w:rsidRPr="007D1B3C" w:rsidRDefault="00FF5611" w:rsidP="00FF5611">
      <w:pPr>
        <w:spacing w:after="0"/>
        <w:jc w:val="both"/>
        <w:rPr>
          <w:rFonts w:ascii="Arial" w:hAnsi="Arial" w:cs="Arial"/>
          <w:sz w:val="24"/>
          <w:szCs w:val="24"/>
          <w:highlight w:val="yellow"/>
        </w:rPr>
      </w:pPr>
      <w:r w:rsidRPr="009D38E4">
        <w:rPr>
          <w:rFonts w:ascii="Arial" w:hAnsi="Arial" w:cs="Arial"/>
          <w:sz w:val="24"/>
          <w:szCs w:val="24"/>
          <w:highlight w:val="yellow"/>
        </w:rPr>
        <w:t>In Tanzania, rural road networks are vital to agricultural production, trade, and service delivery. However, maintenance challenges remain significant, particularly in rural districts where community involvement is inconsistent and often superficial</w:t>
      </w:r>
      <w:r w:rsidR="00876AA3" w:rsidRPr="009D38E4">
        <w:rPr>
          <w:rFonts w:ascii="Arial" w:hAnsi="Arial" w:cs="Arial"/>
          <w:sz w:val="24"/>
          <w:szCs w:val="24"/>
          <w:highlight w:val="yellow"/>
        </w:rPr>
        <w:t xml:space="preserve"> </w:t>
      </w:r>
      <w:r w:rsidR="00876AA3" w:rsidRPr="009D38E4">
        <w:rPr>
          <w:rFonts w:ascii="Arial" w:hAnsi="Arial" w:cs="Arial"/>
          <w:sz w:val="24"/>
          <w:szCs w:val="24"/>
          <w:highlight w:val="yellow"/>
        </w:rPr>
        <w:fldChar w:fldCharType="begin" w:fldLock="1"/>
      </w:r>
      <w:r w:rsidR="009D38E4" w:rsidRPr="009D38E4">
        <w:rPr>
          <w:rFonts w:ascii="Arial" w:hAnsi="Arial" w:cs="Arial"/>
          <w:sz w:val="24"/>
          <w:szCs w:val="24"/>
          <w:highlight w:val="yellow"/>
        </w:rPr>
        <w:instrText>ADDIN CSL_CITATION {"citationItems":[{"id":"ITEM-1","itemData":{"DOI":"10.1080/08941920.2020.1772925","ISSN":"15210723","abstract":"There is increasing interest in the potential of source water protection to address chronic challenges with small systems and rural drinking water provision. Such a planning and management approach to increasing safe drinking water access, however, will likely require leveraging multi-stakeholder collaborative governance venues to this effect. This paper investigates the prospects of doing so using the case of California’s groundwater reform process known as the Sustainable Groundwater Management Act or SGMA. Interviews with drinking water stakeholders from small low-income communities in the San Joaquin Valley show how existing power and resource disparities limit the prospects of integrating rural drinking water priorities into regional planning. Long-term, more fundamental changes will be needed to meaningfully transform water management in this direction. Short-term state intervention is needed to protect equity and public good goals, raising potential contradictions between devolved water management and improved drinking water access that need to be addressed.","author":[{"dropping-particle":"","family":"Dobbin","given":"Kristin B.","non-dropping-particle":"","parse-names":false,"suffix":""}],"container-title":"Society and Natural Resources","id":"ITEM-1","issue":"12","issued":{"date-parts":[["2020"]]},"page":"1468-1485","publisher":"Routledge","title":"“Good Luck Fixing the Problem”: Small Low-Income Community Participation in Collaborative Groundwater Governance and Implications for Drinking Water Source Protection","type":"article-journal","volume":"33"},"uris":["http://www.mendeley.com/documents/?uuid=a7cd7bb1-d985-4044-b191-36fd6cb794ed"]},{"id":"ITEM-2","itemData":{"DOI":"10.3390/su16156474","ISSN":"20711050","abstract":"This review explores the complexities of integrated rural development, education, and management, focusing on the challenges encountered and the strategies employed to address them. Integrating various sectors and disciplines in rural development initiatives presents unique obstacles, including coordination issues, resource constraints, and stakeholder engagement difficulties. By examining the existing literature and case studies, this review identifies key challenges, such as limited institutional capacity, inadequate funding, and the need for multidisciplinary collaboration. Furthermore, it analyzes strategies such as community involvement, capacity building, and innovative technology adoption to overcome these obstacles. The review emphasizes the importance of tailored approaches considering local contexts and empowering rural communities in decision-making processes. This approach is essential for the sustainability of rural areas because it ensures that interventions are context-specific, culturally appropriate, and resource-efficient, ultimately leading to more effective and sustainable outcomes. By understanding and addressing the challenges while implementing effective strategies, integrated rural development, education, and management can lead to sustainable and inclusive development outcomes in rural areas.","author":[{"dropping-particle":"","family":"Yu","given":"Yang","non-dropping-particle":"","parse-names":false,"suffix":""},{"dropping-particle":"","family":"Appiah","given":"Desmond","non-dropping-particle":"","parse-names":false,"suffix":""},{"dropping-particle":"","family":"Zulu","given":"Bernard","non-dropping-particle":"","parse-names":false,"suffix":""},{"dropping-particle":"","family":"Adu-Poku","given":"Kofi Asamoah","non-dropping-particle":"","parse-names":false,"suffix":""}],"container-title":"Sustainability (Switzerland)","id":"ITEM-2","issue":"15","issued":{"date-parts":[["2024"]]},"page":"1-22","title":"Integrating Rural Development, Education, and Management: Challenges and Strategies","type":"article-journal","volume":"16"},"uris":["http://www.mendeley.com/documents/?uuid=7ad6af62-e353-4b97-bf4e-76f397d86c57"]}],"mendeley":{"formattedCitation":"(Dobbin, 2020; Yu et al., 2024)","plainTextFormattedCitation":"(Dobbin, 2020; Yu et al., 2024)","previouslyFormattedCitation":"(Dobbin, 2020; Yu et al., 2024)"},"properties":{"noteIndex":0},"schema":"https://github.com/citation-style-language/schema/raw/master/csl-citation.json"}</w:instrText>
      </w:r>
      <w:r w:rsidR="00876AA3" w:rsidRPr="009D38E4">
        <w:rPr>
          <w:rFonts w:ascii="Arial" w:hAnsi="Arial" w:cs="Arial"/>
          <w:sz w:val="24"/>
          <w:szCs w:val="24"/>
          <w:highlight w:val="yellow"/>
        </w:rPr>
        <w:fldChar w:fldCharType="separate"/>
      </w:r>
      <w:r w:rsidR="00876AA3" w:rsidRPr="009D38E4">
        <w:rPr>
          <w:rFonts w:ascii="Arial" w:hAnsi="Arial" w:cs="Arial"/>
          <w:noProof/>
          <w:sz w:val="24"/>
          <w:szCs w:val="24"/>
          <w:highlight w:val="yellow"/>
        </w:rPr>
        <w:t>(Dobbin, 2020; Yu et al., 2024)</w:t>
      </w:r>
      <w:r w:rsidR="00876AA3" w:rsidRPr="009D38E4">
        <w:rPr>
          <w:rFonts w:ascii="Arial" w:hAnsi="Arial" w:cs="Arial"/>
          <w:sz w:val="24"/>
          <w:szCs w:val="24"/>
          <w:highlight w:val="yellow"/>
        </w:rPr>
        <w:fldChar w:fldCharType="end"/>
      </w:r>
      <w:r w:rsidRPr="009D38E4">
        <w:rPr>
          <w:rFonts w:ascii="Arial" w:hAnsi="Arial" w:cs="Arial"/>
          <w:sz w:val="24"/>
          <w:szCs w:val="24"/>
          <w:highlight w:val="yellow"/>
        </w:rPr>
        <w:t>. Th</w:t>
      </w:r>
      <w:r w:rsidRPr="007D1B3C">
        <w:rPr>
          <w:rFonts w:ascii="Arial" w:hAnsi="Arial" w:cs="Arial"/>
          <w:sz w:val="24"/>
          <w:szCs w:val="24"/>
          <w:highlight w:val="yellow"/>
        </w:rPr>
        <w:t>e government has attempted to strengthen local engagement through programs such as the Tanzania Social Action Fund (TASAF), which incorporates community participation in road maintenance projects. Yet, the effectiveness of these initiatives has varied widely, with some communities demonstrating high levels of involvement, while others remain disengaged</w:t>
      </w:r>
      <w:r w:rsidR="009D38E4" w:rsidRPr="007D1B3C">
        <w:rPr>
          <w:rFonts w:ascii="Arial" w:hAnsi="Arial" w:cs="Arial"/>
          <w:sz w:val="24"/>
          <w:szCs w:val="24"/>
          <w:highlight w:val="yellow"/>
        </w:rPr>
        <w:t xml:space="preserve"> </w:t>
      </w:r>
      <w:r w:rsidR="009D38E4" w:rsidRPr="007D1B3C">
        <w:rPr>
          <w:rFonts w:ascii="Arial" w:hAnsi="Arial" w:cs="Arial"/>
          <w:sz w:val="24"/>
          <w:szCs w:val="24"/>
          <w:highlight w:val="yellow"/>
        </w:rPr>
        <w:fldChar w:fldCharType="begin" w:fldLock="1"/>
      </w:r>
      <w:r w:rsidR="009D38E4" w:rsidRPr="007D1B3C">
        <w:rPr>
          <w:rFonts w:ascii="Arial" w:hAnsi="Arial" w:cs="Arial"/>
          <w:sz w:val="24"/>
          <w:szCs w:val="24"/>
          <w:highlight w:val="yellow"/>
        </w:rPr>
        <w:instrText>ADDIN CSL_CITATION {"citationItems":[{"id":"ITEM-1","itemData":{"DOI":"10.1007/s10639-019-09998-w","ISSN":"15737608","abstract":"With the digitalisation of education increasing, the relationship between student engagement in Technology-enhanced Learning (TEL) and digital skills has remained largely unexplored. There is a strong consensus that engagement is necessary for students to succeed in school. We hypothesised that students reporting high and low levels of general engagement display differences in terms of their engagement in TEL, and that students’ digital skills correlate with their engagement in and disengagement in TEL, which in turn is related to their learning outcomes. We used statistical tests to explore the relationship between the students’ (N = 410) general engagement and engagement in TEL, and investigated how digital skills were related to engagement and disengagement in TEL. We found significant correlations between students’ digital skills and engagement in TEL, showing that the possession of high levels of digital skill is related to engagement in TEL. Interestingly, digital skills were not related to disengagement. This suggests that students reporting both high and low levels of digital skills disengage to some extent when learning with technologies. We also identified variables reflecting both engagement and disengagement in TEL that predict student performance as measured via final grades, implying that in order to understand and support students who learn with technologies, a broader understanding of the factors influencing engagement and disengagement is key.","author":[{"dropping-particle":"","family":"Bergdahl","given":"Nina","non-dropping-particle":"","parse-names":false,"suffix":""},{"dropping-particle":"","family":"Nouri","given":"Jalal","non-dropping-particle":"","parse-names":false,"suffix":""},{"dropping-particle":"","family":"Fors","given":"Uno","non-dropping-particle":"","parse-names":false,"suffix":""}],"container-title":"Education and Information Technologies","id":"ITEM-1","issue":"2","issued":{"date-parts":[["2020"]]},"page":"957-983","publisher":"Education and Information Technologies","title":"Disengagement, engagement and digital skills in technology-enhanced learning","type":"article-journal","volume":"25"},"uris":["http://www.mendeley.com/documents/?uuid=3e8b3cc2-2096-4cff-ab0e-5f4f94edebb1"]},{"id":"ITEM-2","itemData":{"DOI":"10.31478/202202c","abstract":"n/a","author":[{"dropping-particle":"","family":"Aguilar-Gaxiola","given":"Sergio","non-dropping-particle":"","parse-names":false,"suffix":""},{"dropping-particle":"","family":"Ahmed","given":"Syed","non-dropping-particle":"","parse-names":false,"suffix":""},{"dropping-particle":"","family":"Anise","given":"Ayodola","non-dropping-particle":"","parse-names":false,"suffix":""},{"dropping-particle":"","family":"Azzahir","given":"Atum","non-dropping-particle":"","parse-names":false,"suffix":""},{"dropping-particle":"","family":"Baker","given":"Kellan","non-dropping-particle":"","parse-names":false,"suffix":""},{"dropping-particle":"","family":"Cupito","given":"Anna","non-dropping-particle":"","parse-names":false,"suffix":""},{"dropping-particle":"","family":"Eder","given":"Milton","non-dropping-particle":"","parse-names":false,"suffix":""},{"dropping-particle":"","family":"Everette","given":"Tekisha Dwan","non-dropping-particle":"","parse-names":false,"suffix":""},{"dropping-particle":"","family":"Erwin","given":"Kim","non-dropping-particle":"","parse-names":false,"suffix":""},{"dropping-particle":"","family":"Felzien","given":"Maret","non-dropping-particle":"","parse-names":false,"suffix":""},{"dropping-particle":"","family":"Freeman","given":"Elmer","non-dropping-particle":"","parse-names":false,"suffix":""},{"dropping-particle":"","family":"Gibbs","given":"David","non-dropping-particle":"","parse-names":false,"suffix":""},{"dropping-particle":"","family":"Greene-Moton","given":"Ella","non-dropping-particle":"","parse-names":false,"suffix":""},{"dropping-particle":"","family":"Hernandez-Cancio","given":"Sinsi","non-dropping-particle":"","parse-names":false,"suffix":""},{"dropping-particle":"","family":"Hwang","given":"Ann","non-dropping-particle":"","parse-names":false,"suffix":""},{"dropping-particle":"","family":"Jones","given":"Felica","non-dropping-particle":"","parse-names":false,"suffix":""},{"dropping-particle":"","family":"Jones","given":"Grant","non-dropping-particle":"","parse-names":false,"suffix":""},{"dropping-particle":"","family":"Jones","given":"Marita","non-dropping-particle":"","parse-names":false,"suffix":""},{"dropping-particle":"","family":"Khodyakov","given":"Dmitry","non-dropping-particle":"","parse-names":false,"suffix":""},{"dropping-particle":"","family":"Michener","given":"J. Lloyd","non-dropping-particle":"","parse-names":false,"suffix":""},{"dropping-particle":"","family":"Milstein","given":"Bobby","non-dropping-particle":"","parse-names":false,"suffix":""},{"dropping-particle":"","family":"Oto-Kent","given":"Debra S.","non-dropping-particle":"","parse-names":false,"suffix":""},{"dropping-particle":"","family":"Orban","given":"Michael","non-dropping-particle":"","parse-names":false,"suffix":""},{"dropping-particle":"","family":"Pusch","given":"Burt","non-dropping-particle":"","parse-names":false,"suffix":""},{"dropping-particle":"","family":"Shah","given":"Mona","non-dropping-particle":"","parse-names":false,"suffix":""},{"dropping-particle":"","family":"Shaw","given":"Monique","non-dropping-particle":"","parse-names":false,"suffix":""},{"dropping-particle":"","family":"Tarrant","given":"Julie","non-dropping-particle":"","parse-names":false,"suffix":""},{"dropping-particle":"","family":"Wallerstein","given":"Nina","non-dropping-particle":"","parse-names":false,"suffix":""},{"dropping-particle":"","family":"Westfall","given":"John M.","non-dropping-particle":"","parse-names":false,"suffix":""},{"dropping-particle":"","family":"Williams","given":"Asia","non-dropping-particle":"","parse-names":false,"suffix":""},{"dropping-particle":"","family":"Zaldivar","given":"Richard","non-dropping-particle":"","parse-names":false,"suffix":""}],"container-title":"NAM Perspectives","id":"ITEM-2","issue":"2","issued":{"date-parts":[["2022"]]},"page":"1-12","title":"Assessing Meaningful Community Engagement: A Conceptual Model to Advance Health Equity through Transformed Systems for Health","type":"article-journal","volume":"22"},"uris":["http://www.mendeley.com/documents/?uuid=15c36a42-0174-4942-947a-60fb9999d273"]}],"mendeley":{"formattedCitation":"(Aguilar-Gaxiola et al., 2022; Bergdahl et al., 2020)","plainTextFormattedCitation":"(Aguilar-Gaxiola et al., 2022; Bergdahl et al., 2020)","previouslyFormattedCitation":"(Aguilar-Gaxiola et al., 2022; Bergdahl et al., 2020)"},"properties":{"noteIndex":0},"schema":"https://github.com/citation-style-language/schema/raw/master/csl-citation.json"}</w:instrText>
      </w:r>
      <w:r w:rsidR="009D38E4" w:rsidRPr="007D1B3C">
        <w:rPr>
          <w:rFonts w:ascii="Arial" w:hAnsi="Arial" w:cs="Arial"/>
          <w:sz w:val="24"/>
          <w:szCs w:val="24"/>
          <w:highlight w:val="yellow"/>
        </w:rPr>
        <w:fldChar w:fldCharType="separate"/>
      </w:r>
      <w:r w:rsidR="009D38E4" w:rsidRPr="007D1B3C">
        <w:rPr>
          <w:rFonts w:ascii="Arial" w:hAnsi="Arial" w:cs="Arial"/>
          <w:noProof/>
          <w:sz w:val="24"/>
          <w:szCs w:val="24"/>
          <w:highlight w:val="yellow"/>
        </w:rPr>
        <w:t>(Aguilar-Gaxiola et al., 2022; Bergdahl et al., 2020)</w:t>
      </w:r>
      <w:r w:rsidR="009D38E4" w:rsidRPr="007D1B3C">
        <w:rPr>
          <w:rFonts w:ascii="Arial" w:hAnsi="Arial" w:cs="Arial"/>
          <w:sz w:val="24"/>
          <w:szCs w:val="24"/>
          <w:highlight w:val="yellow"/>
        </w:rPr>
        <w:fldChar w:fldCharType="end"/>
      </w:r>
      <w:r w:rsidRPr="007D1B3C">
        <w:rPr>
          <w:rFonts w:ascii="Arial" w:hAnsi="Arial" w:cs="Arial"/>
          <w:sz w:val="24"/>
          <w:szCs w:val="24"/>
          <w:highlight w:val="yellow"/>
        </w:rPr>
        <w:t>.</w:t>
      </w:r>
    </w:p>
    <w:p w14:paraId="0EDD40C0" w14:textId="77777777" w:rsidR="00FF5611" w:rsidRPr="007D1B3C" w:rsidRDefault="00FF5611" w:rsidP="00FF5611">
      <w:pPr>
        <w:spacing w:after="0"/>
        <w:jc w:val="both"/>
        <w:rPr>
          <w:rFonts w:ascii="Arial" w:hAnsi="Arial" w:cs="Arial"/>
          <w:sz w:val="24"/>
          <w:szCs w:val="24"/>
          <w:highlight w:val="yellow"/>
        </w:rPr>
      </w:pPr>
    </w:p>
    <w:p w14:paraId="5909CEE1" w14:textId="570337D5" w:rsidR="00FF5611" w:rsidRPr="007D1B3C" w:rsidRDefault="00FF5611" w:rsidP="00FF5611">
      <w:pPr>
        <w:spacing w:after="0"/>
        <w:jc w:val="both"/>
        <w:rPr>
          <w:rFonts w:ascii="Arial" w:hAnsi="Arial" w:cs="Arial"/>
          <w:sz w:val="24"/>
          <w:szCs w:val="24"/>
          <w:highlight w:val="yellow"/>
        </w:rPr>
      </w:pPr>
      <w:r w:rsidRPr="007D1B3C">
        <w:rPr>
          <w:rFonts w:ascii="Arial" w:hAnsi="Arial" w:cs="Arial"/>
          <w:sz w:val="24"/>
          <w:szCs w:val="24"/>
          <w:highlight w:val="yellow"/>
        </w:rPr>
        <w:t xml:space="preserve">Despite these efforts, the level and quality of community participation remain uneven across districts. Existing studies suggest that participation often remains limited to superficial roles, such as attending meetings or providing </w:t>
      </w:r>
      <w:proofErr w:type="spellStart"/>
      <w:r w:rsidRPr="007D1B3C">
        <w:rPr>
          <w:rFonts w:ascii="Arial" w:hAnsi="Arial" w:cs="Arial"/>
          <w:sz w:val="24"/>
          <w:szCs w:val="24"/>
          <w:highlight w:val="yellow"/>
        </w:rPr>
        <w:t>labor</w:t>
      </w:r>
      <w:proofErr w:type="spellEnd"/>
      <w:r w:rsidRPr="007D1B3C">
        <w:rPr>
          <w:rFonts w:ascii="Arial" w:hAnsi="Arial" w:cs="Arial"/>
          <w:sz w:val="24"/>
          <w:szCs w:val="24"/>
          <w:highlight w:val="yellow"/>
        </w:rPr>
        <w:t>, without meaningful engagement in decis</w:t>
      </w:r>
      <w:r w:rsidR="009D38E4" w:rsidRPr="007D1B3C">
        <w:rPr>
          <w:rFonts w:ascii="Arial" w:hAnsi="Arial" w:cs="Arial"/>
          <w:sz w:val="24"/>
          <w:szCs w:val="24"/>
          <w:highlight w:val="yellow"/>
        </w:rPr>
        <w:t xml:space="preserve">ion-making or monitoring processes </w:t>
      </w:r>
      <w:r w:rsidR="009D38E4" w:rsidRPr="007D1B3C">
        <w:rPr>
          <w:rFonts w:ascii="Arial" w:hAnsi="Arial" w:cs="Arial"/>
          <w:sz w:val="24"/>
          <w:szCs w:val="24"/>
          <w:highlight w:val="yellow"/>
        </w:rPr>
        <w:fldChar w:fldCharType="begin" w:fldLock="1"/>
      </w:r>
      <w:r w:rsidR="004F6969" w:rsidRPr="007D1B3C">
        <w:rPr>
          <w:rFonts w:ascii="Arial" w:hAnsi="Arial" w:cs="Arial"/>
          <w:sz w:val="24"/>
          <w:szCs w:val="24"/>
          <w:highlight w:val="yellow"/>
        </w:rPr>
        <w:instrText>ADDIN CSL_CITATION {"citationItems":[{"id":"ITEM-1","itemData":{"DOI":"10.1007/s10639-019-09998-w","ISSN":"15737608","abstract":"With the digitalisation of education increasing, the relationship between student engagement in Technology-enhanced Learning (TEL) and digital skills has remained largely unexplored. There is a strong consensus that engagement is necessary for students to succeed in school. We hypothesised that students reporting high and low levels of general engagement display differences in terms of their engagement in TEL, and that students’ digital skills correlate with their engagement in and disengagement in TEL, which in turn is related to their learning outcomes. We used statistical tests to explore the relationship between the students’ (N = 410) general engagement and engagement in TEL, and investigated how digital skills were related to engagement and disengagement in TEL. We found significant correlations between students’ digital skills and engagement in TEL, showing that the possession of high levels of digital skill is related to engagement in TEL. Interestingly, digital skills were not related to disengagement. This suggests that students reporting both high and low levels of digital skills disengage to some extent when learning with technologies. We also identified variables reflecting both engagement and disengagement in TEL that predict student performance as measured via final grades, implying that in order to understand and support students who learn with technologies, a broader understanding of the factors influencing engagement and disengagement is key.","author":[{"dropping-particle":"","family":"Bergdahl","given":"Nina","non-dropping-particle":"","parse-names":false,"suffix":""},{"dropping-particle":"","family":"Nouri","given":"Jalal","non-dropping-particle":"","parse-names":false,"suffix":""},{"dropping-particle":"","family":"Fors","given":"Uno","non-dropping-particle":"","parse-names":false,"suffix":""}],"container-title":"Education and Information Technologies","id":"ITEM-1","issue":"2","issued":{"date-parts":[["2020"]]},"page":"957-983","publisher":"Education and Information Technologies","title":"Disengagement, engagement and digital skills in technology-enhanced learning","type":"article-journal","volume":"25"},"uris":["http://www.mendeley.com/documents/?uuid=3e8b3cc2-2096-4cff-ab0e-5f4f94edebb1"]},{"id":"ITEM-2","itemData":{"DOI":"10.3390/su16156474","ISSN":"20711050","abstract":"This review explores the complexities of integrated rural development, education, and management, focusing on the challenges encountered and the strategies employed to address them. Integrating various sectors and disciplines in rural development initiatives presents unique obstacles, including coordination issues, resource constraints, and stakeholder engagement difficulties. By examining the existing literature and case studies, this review identifies key challenges, such as limited institutional capacity, inadequate funding, and the need for multidisciplinary collaboration. Furthermore, it analyzes strategies such as community involvement, capacity building, and innovative technology adoption to overcome these obstacles. The review emphasizes the importance of tailored approaches considering local contexts and empowering rural communities in decision-making processes. This approach is essential for the sustainability of rural areas because it ensures that interventions are context-specific, culturally appropriate, and resource-efficient, ultimately leading to more effective and sustainable outcomes. By understanding and addressing the challenges while implementing effective strategies, integrated rural development, education, and management can lead to sustainable and inclusive development outcomes in rural areas.","author":[{"dropping-particle":"","family":"Yu","given":"Yang","non-dropping-particle":"","parse-names":false,"suffix":""},{"dropping-particle":"","family":"Appiah","given":"Desmond","non-dropping-particle":"","parse-names":false,"suffix":""},{"dropping-particle":"","family":"Zulu","given":"Bernard","non-dropping-particle":"","parse-names":false,"suffix":""},{"dropping-particle":"","family":"Adu-Poku","given":"Kofi Asamoah","non-dropping-particle":"","parse-names":false,"suffix":""}],"container-title":"Sustainability (Switzerland)","id":"ITEM-2","issue":"15","issued":{"date-parts":[["2024"]]},"page":"1-22","title":"Integrating Rural Development, Education, and Management: Challenges and Strategies","type":"article-journal","volume":"16"},"uris":["http://www.mendeley.com/documents/?uuid=7ad6af62-e353-4b97-bf4e-76f397d86c57"]},{"id":"ITEM-3","itemData":{"DOI":"10.1080/08941920.2020.1772925","ISSN":"15210723","abstract":"There is increasing interest in the potential of source water protection to address chronic challenges with small systems and rural drinking water provision. Such a planning and management approach to increasing safe drinking water access, however, will likely require leveraging multi-stakeholder collaborative governance venues to this effect. This paper investigates the prospects of doing so using the case of California’s groundwater reform process known as the Sustainable Groundwater Management Act or SGMA. Interviews with drinking water stakeholders from small low-income communities in the San Joaquin Valley show how existing power and resource disparities limit the prospects of integrating rural drinking water priorities into regional planning. Long-term, more fundamental changes will be needed to meaningfully transform water management in this direction. Short-term state intervention is needed to protect equity and public good goals, raising potential contradictions between devolved water management and improved drinking water access that need to be addressed.","author":[{"dropping-particle":"","family":"Dobbin","given":"Kristin B.","non-dropping-particle":"","parse-names":false,"suffix":""}],"container-title":"Society and Natural Resources","id":"ITEM-3","issue":"12","issued":{"date-parts":[["2020"]]},"page":"1468-1485","publisher":"Routledge","title":"“Good Luck Fixing the Problem”: Small Low-Income Community Participation in Collaborative Groundwater Governance and Implications for Drinking Water Source Protection","type":"article-journal","volume":"33"},"uris":["http://www.mendeley.com/documents/?uuid=a7cd7bb1-d985-4044-b191-36fd6cb794ed"]}],"mendeley":{"formattedCitation":"(Bergdahl et al., 2020; Dobbin, 2020; Yu et al., 2024)","plainTextFormattedCitation":"(Bergdahl et al., 2020; Dobbin, 2020; Yu et al., 2024)","previouslyFormattedCitation":"(Bergdahl et al., 2020; Dobbin, 2020; Yu et al., 2024)"},"properties":{"noteIndex":0},"schema":"https://github.com/citation-style-language/schema/raw/master/csl-citation.json"}</w:instrText>
      </w:r>
      <w:r w:rsidR="009D38E4" w:rsidRPr="007D1B3C">
        <w:rPr>
          <w:rFonts w:ascii="Arial" w:hAnsi="Arial" w:cs="Arial"/>
          <w:sz w:val="24"/>
          <w:szCs w:val="24"/>
          <w:highlight w:val="yellow"/>
        </w:rPr>
        <w:fldChar w:fldCharType="separate"/>
      </w:r>
      <w:r w:rsidR="009D38E4" w:rsidRPr="007D1B3C">
        <w:rPr>
          <w:rFonts w:ascii="Arial" w:hAnsi="Arial" w:cs="Arial"/>
          <w:noProof/>
          <w:sz w:val="24"/>
          <w:szCs w:val="24"/>
          <w:highlight w:val="yellow"/>
        </w:rPr>
        <w:t>(Bergdahl et al., 2020; Dobbin, 2020; Yu et al., 2024)</w:t>
      </w:r>
      <w:r w:rsidR="009D38E4" w:rsidRPr="007D1B3C">
        <w:rPr>
          <w:rFonts w:ascii="Arial" w:hAnsi="Arial" w:cs="Arial"/>
          <w:sz w:val="24"/>
          <w:szCs w:val="24"/>
          <w:highlight w:val="yellow"/>
        </w:rPr>
        <w:fldChar w:fldCharType="end"/>
      </w:r>
      <w:r w:rsidRPr="007D1B3C">
        <w:rPr>
          <w:rFonts w:ascii="Arial" w:hAnsi="Arial" w:cs="Arial"/>
          <w:sz w:val="24"/>
          <w:szCs w:val="24"/>
          <w:highlight w:val="yellow"/>
        </w:rPr>
        <w:t>. This indicates that the actual l</w:t>
      </w:r>
      <w:r w:rsidR="004123D3" w:rsidRPr="007D1B3C">
        <w:rPr>
          <w:rFonts w:ascii="Arial" w:hAnsi="Arial" w:cs="Arial"/>
          <w:sz w:val="24"/>
          <w:szCs w:val="24"/>
          <w:highlight w:val="yellow"/>
        </w:rPr>
        <w:t xml:space="preserve">evel of community participation </w:t>
      </w:r>
      <w:r w:rsidRPr="007D1B3C">
        <w:rPr>
          <w:rFonts w:ascii="Arial" w:hAnsi="Arial" w:cs="Arial"/>
          <w:sz w:val="24"/>
          <w:szCs w:val="24"/>
          <w:highlight w:val="yellow"/>
        </w:rPr>
        <w:t>ranging from passive involv</w:t>
      </w:r>
      <w:r w:rsidR="004123D3" w:rsidRPr="007D1B3C">
        <w:rPr>
          <w:rFonts w:ascii="Arial" w:hAnsi="Arial" w:cs="Arial"/>
          <w:sz w:val="24"/>
          <w:szCs w:val="24"/>
          <w:highlight w:val="yellow"/>
        </w:rPr>
        <w:t xml:space="preserve">ement to active decision-making </w:t>
      </w:r>
      <w:r w:rsidRPr="007D1B3C">
        <w:rPr>
          <w:rFonts w:ascii="Arial" w:hAnsi="Arial" w:cs="Arial"/>
          <w:sz w:val="24"/>
          <w:szCs w:val="24"/>
          <w:highlight w:val="yellow"/>
        </w:rPr>
        <w:t>has not been sufficiently examined in Tanzanian rural contexts.</w:t>
      </w:r>
    </w:p>
    <w:p w14:paraId="6852725D" w14:textId="77777777" w:rsidR="00FF5611" w:rsidRPr="007D1B3C" w:rsidRDefault="00FF5611" w:rsidP="00FF5611">
      <w:pPr>
        <w:spacing w:after="0"/>
        <w:jc w:val="both"/>
        <w:rPr>
          <w:rFonts w:ascii="Arial" w:hAnsi="Arial" w:cs="Arial"/>
          <w:sz w:val="24"/>
          <w:szCs w:val="24"/>
          <w:highlight w:val="yellow"/>
        </w:rPr>
      </w:pPr>
    </w:p>
    <w:p w14:paraId="3DFA57D1" w14:textId="2689FA7C" w:rsidR="00FF5611" w:rsidRPr="007D1B3C" w:rsidRDefault="00FF5611" w:rsidP="00FF5611">
      <w:pPr>
        <w:spacing w:after="0"/>
        <w:jc w:val="both"/>
        <w:rPr>
          <w:rFonts w:ascii="Arial" w:hAnsi="Arial" w:cs="Arial"/>
          <w:sz w:val="24"/>
          <w:szCs w:val="24"/>
          <w:highlight w:val="yellow"/>
        </w:rPr>
      </w:pPr>
      <w:r w:rsidRPr="007D1B3C">
        <w:rPr>
          <w:rFonts w:ascii="Arial" w:hAnsi="Arial" w:cs="Arial"/>
          <w:sz w:val="24"/>
          <w:szCs w:val="24"/>
          <w:highlight w:val="yellow"/>
        </w:rPr>
        <w:t>Moreover, most previous research on rural road maintenance in Tanzania has focused on infrastructural challenges, funding issues, or general community participation without systematically measuring the extent, depth, or determinants of participation in specific local contexts</w:t>
      </w:r>
      <w:r w:rsidR="004F6969" w:rsidRPr="007D1B3C">
        <w:rPr>
          <w:rFonts w:ascii="Arial" w:hAnsi="Arial" w:cs="Arial"/>
          <w:sz w:val="24"/>
          <w:szCs w:val="24"/>
          <w:highlight w:val="yellow"/>
        </w:rPr>
        <w:t xml:space="preserve"> </w:t>
      </w:r>
      <w:r w:rsidR="004F6969" w:rsidRPr="007D1B3C">
        <w:rPr>
          <w:rFonts w:ascii="Arial" w:hAnsi="Arial" w:cs="Arial"/>
          <w:sz w:val="24"/>
          <w:szCs w:val="24"/>
          <w:highlight w:val="yellow"/>
        </w:rPr>
        <w:fldChar w:fldCharType="begin" w:fldLock="1"/>
      </w:r>
      <w:r w:rsidR="00870044">
        <w:rPr>
          <w:rFonts w:ascii="Arial" w:hAnsi="Arial" w:cs="Arial"/>
          <w:sz w:val="24"/>
          <w:szCs w:val="24"/>
          <w:highlight w:val="yellow"/>
        </w:rPr>
        <w:instrText>ADDIN CSL_CITATION {"citationItems":[{"id":"ITEM-1","itemData":{"DOI":"10.1080/03003930.2022.2081551","ISSN":"17439388","abstract":"Creating conditions to empower local people is an important determinant of health, and crucial in addressing health inequity. Yet, experimentation with initiatives to support public participation at a local level is threatened by enduring global economic instability. A better understanding of how different participatory approaches might address the social determinants of health would support future prioritisation of actions and investment.We reviewed recent literature and theories on initiatives to increase peoples’ influence in local decision-making and on social determinants of health. Our synthesis found little detail about the form and function of initiatives, but diverse factors deemed influential in achieving outcomes. Studies highlighted that pressure on resources undermines individual and community capacities to participate, and requires organisational leaders to think/act differently.Suggested priorities for local governance are: supporting capabilities and relationships between organisations and communities; creating safe and equitable spaces for interaction and knowledge-sharing; and changing institutional culture.","author":[{"dropping-particle":"","family":"Baxter","given":"Susan","non-dropping-particle":"","parse-names":false,"suffix":""},{"dropping-particle":"","family":"Barnes","given":"Amy","non-dropping-particle":"","parse-names":false,"suffix":""},{"dropping-particle":"","family":"Lee","given":"Caroline","non-dropping-particle":"","parse-names":false,"suffix":""},{"dropping-particle":"","family":"Mead","given":"Rebecca","non-dropping-particle":"","parse-names":false,"suffix":""},{"dropping-particle":"","family":"Clowes","given":"Mark","non-dropping-particle":"","parse-names":false,"suffix":""}],"container-title":"Local Government Studies","id":"ITEM-1","issue":"5","issued":{"date-parts":[["2023"]]},"page":"861-887","publisher":"Routledge","title":"Increasing public participation and influence in local decision-making to address social determinants of health: a systematic review examining initiatives and theories","type":"article-journal","volume":"49"},"uris":["http://www.mendeley.com/documents/?uuid=8b124623-3452-4d24-8a09-6c8eaf25985a"]},{"id":"ITEM-2","itemData":{"DOI":"10.7189/JOGH.13.04034","ISSN":"20472986","PMID":"37166063","abstract":"Background Community and stakeholder involvement in decision-making to determine publicly-funded health services and interventions is advocated to fulfil citizens’ rights and improve health outcomes. The inclusion of public actors, particularly disadvantaged populations, in priority setting for universal health coverage (UHC) is also enshrined in guidance from the World Health Organization (WHO). However, challenges remain in operationalising this policy aim and ensuring that these approaches are effective and equitable. This study aimed to synthesise published evidence on the role of community and stakeholder participation in determining health service coverage. Methods A systematic review was conducted, searching the Web of Science, Ovid Global Health, and PubMed Central databases from 2000 onwards, including all study types. A framework synthesis approach was used for charting and synthesising data on mechanisms, effectiveness (equity, depth, and stage), and barriers and facilitators for engagement. Results Twenty-seven relevant studies were identified that involve community actors and other stakeholders in priority setting and decision-making processes for defining health benefit packages and UHC, health technology assessment, and pharmaceutical coverage. Mechanisms of engagement include a wide variety of consultation approaches; participation in decision-making committees, advisory councils, and local planning meetings; and appeals mechanisms. Participation occurs primarily at Data and Dialogue stages of decision-making processes, and we found limited depth of engagement among identified cases. Limited consideration of equity was observed in planning and reporting on community involvement in priority setting. A number of challenges are identified in the literature, which we typologise as institutional, procedural, technical, and structural / normative barriers to meaningful participation. Conclusions This systematic review identifies key gaps and opportunities in the literature and practice related to effective and equitable community and stakeholder participation in determining health service coverage. It offers essential considerations for planning and executing inclusive approaches to priority setting for publicly-funded health services and interventions and defining health benefit packages for UHC.","author":[{"dropping-particle":"","family":"Arthur","given":"Megan","non-dropping-particle":"","parse-names":false,"suffix":""},{"dropping-particle":"","family":"Saha","given":"Ria","non-dropping-particle":"","parse-names":false,"suffix":""},{"dropping-particle":"","family":"Kapilashrami","given":"Anuj","non-dropping-particle":"","parse-names":false,"suffix":""}],"container-title":"Journal of Global Health","id":"ITEM-2","issue":"3","issued":{"date-parts":[["2023"]]},"page":"1-15","title":"Community participation and stakeholder engagement in determining health service coverage: A systematic review and framework synthesis to assess effectiveness","type":"article-journal","volume":"13"},"uris":["http://www.mendeley.com/documents/?uuid=167e3a74-196d-4123-a8f1-b8735858dc71"]}],"mendeley":{"formattedCitation":"(Arthur et al., 2023; Baxter et al., 2023)","plainTextFormattedCitation":"(Arthur et al., 2023; Baxter et al., 2023)","previouslyFormattedCitation":"(Arthur et al., 2023; Baxter et al., 2023)"},"properties":{"noteIndex":0},"schema":"https://github.com/citation-style-language/schema/raw/master/csl-citation.json"}</w:instrText>
      </w:r>
      <w:r w:rsidR="004F6969" w:rsidRPr="007D1B3C">
        <w:rPr>
          <w:rFonts w:ascii="Arial" w:hAnsi="Arial" w:cs="Arial"/>
          <w:sz w:val="24"/>
          <w:szCs w:val="24"/>
          <w:highlight w:val="yellow"/>
        </w:rPr>
        <w:fldChar w:fldCharType="separate"/>
      </w:r>
      <w:r w:rsidR="004F6969" w:rsidRPr="007D1B3C">
        <w:rPr>
          <w:rFonts w:ascii="Arial" w:hAnsi="Arial" w:cs="Arial"/>
          <w:noProof/>
          <w:sz w:val="24"/>
          <w:szCs w:val="24"/>
          <w:highlight w:val="yellow"/>
        </w:rPr>
        <w:t>(Arthur et al., 2023; Baxter et al., 2023)</w:t>
      </w:r>
      <w:r w:rsidR="004F6969" w:rsidRPr="007D1B3C">
        <w:rPr>
          <w:rFonts w:ascii="Arial" w:hAnsi="Arial" w:cs="Arial"/>
          <w:sz w:val="24"/>
          <w:szCs w:val="24"/>
          <w:highlight w:val="yellow"/>
        </w:rPr>
        <w:fldChar w:fldCharType="end"/>
      </w:r>
      <w:r w:rsidRPr="007D1B3C">
        <w:rPr>
          <w:rFonts w:ascii="Arial" w:hAnsi="Arial" w:cs="Arial"/>
          <w:sz w:val="24"/>
          <w:szCs w:val="24"/>
          <w:highlight w:val="yellow"/>
        </w:rPr>
        <w:t xml:space="preserve">. As a result, there is limited empirical evidence on how the level of community engagement influences the sustainability and effectiveness of rural road maintenance projects, particularly in districts like </w:t>
      </w:r>
      <w:proofErr w:type="spellStart"/>
      <w:r w:rsidRPr="007D1B3C">
        <w:rPr>
          <w:rFonts w:ascii="Arial" w:hAnsi="Arial" w:cs="Arial"/>
          <w:sz w:val="24"/>
          <w:szCs w:val="24"/>
          <w:highlight w:val="yellow"/>
        </w:rPr>
        <w:t>Babati</w:t>
      </w:r>
      <w:proofErr w:type="spellEnd"/>
      <w:r w:rsidRPr="007D1B3C">
        <w:rPr>
          <w:rFonts w:ascii="Arial" w:hAnsi="Arial" w:cs="Arial"/>
          <w:sz w:val="24"/>
          <w:szCs w:val="24"/>
          <w:highlight w:val="yellow"/>
        </w:rPr>
        <w:t xml:space="preserve"> where rural roads are vital for livelihoods.</w:t>
      </w:r>
    </w:p>
    <w:p w14:paraId="4807B455" w14:textId="77777777" w:rsidR="00FF5611" w:rsidRPr="007D1B3C" w:rsidRDefault="00FF5611" w:rsidP="00FF5611">
      <w:pPr>
        <w:spacing w:after="0"/>
        <w:jc w:val="both"/>
        <w:rPr>
          <w:rFonts w:ascii="Arial" w:hAnsi="Arial" w:cs="Arial"/>
          <w:sz w:val="24"/>
          <w:szCs w:val="24"/>
          <w:highlight w:val="yellow"/>
        </w:rPr>
      </w:pPr>
    </w:p>
    <w:p w14:paraId="6A9DFEB0" w14:textId="77777777" w:rsidR="003B6AD6" w:rsidRPr="003B6AD6" w:rsidRDefault="00FF5611" w:rsidP="00FF5611">
      <w:pPr>
        <w:spacing w:after="0"/>
        <w:jc w:val="both"/>
        <w:rPr>
          <w:rFonts w:ascii="Arial" w:hAnsi="Arial" w:cs="Arial"/>
          <w:sz w:val="24"/>
          <w:szCs w:val="24"/>
        </w:rPr>
      </w:pPr>
      <w:r w:rsidRPr="007D1B3C">
        <w:rPr>
          <w:rFonts w:ascii="Arial" w:hAnsi="Arial" w:cs="Arial"/>
          <w:sz w:val="24"/>
          <w:szCs w:val="24"/>
          <w:highlight w:val="yellow"/>
        </w:rPr>
        <w:t xml:space="preserve">This gap highlights the need for a focused investigation into the level of community participation in rural road maintenance projects. Understanding not only whether communities participate, but also the extent, quality, and influencing factors of such participation, is essential for designing interventions that strengthen local ownership, improve maintenance outcomes, and ensure sustainable rural infrastructure </w:t>
      </w:r>
      <w:r w:rsidRPr="007D1B3C">
        <w:rPr>
          <w:rFonts w:ascii="Arial" w:hAnsi="Arial" w:cs="Arial"/>
          <w:sz w:val="24"/>
          <w:szCs w:val="24"/>
          <w:highlight w:val="yellow"/>
        </w:rPr>
        <w:lastRenderedPageBreak/>
        <w:t xml:space="preserve">development. Therefore, this study seeks to assess the level of community participation in rural road maintenance projects in </w:t>
      </w:r>
      <w:proofErr w:type="spellStart"/>
      <w:r w:rsidRPr="007D1B3C">
        <w:rPr>
          <w:rFonts w:ascii="Arial" w:hAnsi="Arial" w:cs="Arial"/>
          <w:sz w:val="24"/>
          <w:szCs w:val="24"/>
          <w:highlight w:val="yellow"/>
        </w:rPr>
        <w:t>Babati</w:t>
      </w:r>
      <w:proofErr w:type="spellEnd"/>
      <w:r w:rsidRPr="007D1B3C">
        <w:rPr>
          <w:rFonts w:ascii="Arial" w:hAnsi="Arial" w:cs="Arial"/>
          <w:sz w:val="24"/>
          <w:szCs w:val="24"/>
          <w:highlight w:val="yellow"/>
        </w:rPr>
        <w:t xml:space="preserve"> District Council, providing critical insights to inform both local practices and national policy strategies.</w:t>
      </w:r>
    </w:p>
    <w:p w14:paraId="4A408FA9" w14:textId="77777777" w:rsidR="003B6AD6" w:rsidRPr="003B6AD6" w:rsidRDefault="003B6AD6" w:rsidP="003B6AD6">
      <w:pPr>
        <w:pStyle w:val="Heading2"/>
        <w:jc w:val="both"/>
        <w:rPr>
          <w:rFonts w:ascii="Arial" w:hAnsi="Arial" w:cs="Arial"/>
          <w:sz w:val="24"/>
          <w:szCs w:val="24"/>
        </w:rPr>
      </w:pPr>
    </w:p>
    <w:p w14:paraId="29D42B8D" w14:textId="77777777" w:rsidR="00392AF8" w:rsidRPr="003B6AD6" w:rsidRDefault="00392AF8" w:rsidP="003B6AD6">
      <w:pPr>
        <w:jc w:val="both"/>
        <w:rPr>
          <w:rFonts w:ascii="Arial" w:hAnsi="Arial" w:cs="Arial"/>
          <w:sz w:val="24"/>
          <w:szCs w:val="24"/>
        </w:rPr>
      </w:pPr>
    </w:p>
    <w:p w14:paraId="4B977BF1" w14:textId="77777777" w:rsidR="00392AF8" w:rsidRPr="00762D57" w:rsidRDefault="00FF5611" w:rsidP="00392AF8">
      <w:pPr>
        <w:pStyle w:val="ListParagraph"/>
        <w:numPr>
          <w:ilvl w:val="0"/>
          <w:numId w:val="2"/>
        </w:numPr>
        <w:jc w:val="both"/>
        <w:rPr>
          <w:rFonts w:ascii="Arial" w:hAnsi="Arial" w:cs="Arial"/>
          <w:b/>
          <w:sz w:val="24"/>
          <w:szCs w:val="24"/>
        </w:rPr>
      </w:pPr>
      <w:r w:rsidRPr="00762D57">
        <w:rPr>
          <w:rFonts w:ascii="Arial" w:hAnsi="Arial" w:cs="Arial"/>
          <w:b/>
          <w:sz w:val="24"/>
          <w:szCs w:val="24"/>
        </w:rPr>
        <w:t>METHODOLOGY</w:t>
      </w:r>
    </w:p>
    <w:p w14:paraId="0D7A9D7A" w14:textId="77777777" w:rsidR="00FF5611" w:rsidRPr="00762D57" w:rsidRDefault="00FF5611" w:rsidP="00FF5611">
      <w:pPr>
        <w:pStyle w:val="ListParagraph"/>
        <w:numPr>
          <w:ilvl w:val="1"/>
          <w:numId w:val="2"/>
        </w:numPr>
        <w:jc w:val="both"/>
        <w:rPr>
          <w:rFonts w:ascii="Arial" w:hAnsi="Arial" w:cs="Arial"/>
          <w:b/>
          <w:sz w:val="24"/>
          <w:szCs w:val="24"/>
        </w:rPr>
      </w:pPr>
      <w:r w:rsidRPr="00762D57">
        <w:rPr>
          <w:rFonts w:ascii="Arial" w:hAnsi="Arial" w:cs="Arial"/>
          <w:b/>
          <w:sz w:val="24"/>
          <w:szCs w:val="24"/>
        </w:rPr>
        <w:t>Description of the Study Area</w:t>
      </w:r>
    </w:p>
    <w:p w14:paraId="33F80B64" w14:textId="77777777" w:rsidR="00FF5611" w:rsidRDefault="00FF5611" w:rsidP="00FF5611">
      <w:pPr>
        <w:jc w:val="both"/>
        <w:rPr>
          <w:rFonts w:ascii="Arial" w:hAnsi="Arial" w:cs="Arial"/>
          <w:sz w:val="24"/>
          <w:szCs w:val="24"/>
        </w:rPr>
      </w:pPr>
      <w:r w:rsidRPr="00FF5611">
        <w:rPr>
          <w:rFonts w:ascii="Arial" w:hAnsi="Arial" w:cs="Arial"/>
          <w:sz w:val="24"/>
          <w:szCs w:val="24"/>
        </w:rPr>
        <w:t xml:space="preserve">The study was conducted in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District Council, </w:t>
      </w:r>
      <w:proofErr w:type="spellStart"/>
      <w:r w:rsidRPr="00FF5611">
        <w:rPr>
          <w:rFonts w:ascii="Arial" w:hAnsi="Arial" w:cs="Arial"/>
          <w:sz w:val="24"/>
          <w:szCs w:val="24"/>
        </w:rPr>
        <w:t>Manyara</w:t>
      </w:r>
      <w:proofErr w:type="spellEnd"/>
      <w:r w:rsidRPr="00FF5611">
        <w:rPr>
          <w:rFonts w:ascii="Arial" w:hAnsi="Arial" w:cs="Arial"/>
          <w:sz w:val="24"/>
          <w:szCs w:val="24"/>
        </w:rPr>
        <w:t xml:space="preserve"> Region, which encompasses both rural and semi-urban areas. The district’s road network includes about 223.5 km of trunk roads and numerous feeder roads connecting communities to markets, schools, and healthcare facilities, many of which are managed by TARURA. Despite this, a large portion of the roads remains in poor condition, posing transportation challenges and limiting local economic development. These characteristics make </w:t>
      </w:r>
      <w:proofErr w:type="spellStart"/>
      <w:r w:rsidRPr="00FF5611">
        <w:rPr>
          <w:rFonts w:ascii="Arial" w:hAnsi="Arial" w:cs="Arial"/>
          <w:sz w:val="24"/>
          <w:szCs w:val="24"/>
        </w:rPr>
        <w:t>Babati</w:t>
      </w:r>
      <w:proofErr w:type="spellEnd"/>
      <w:r w:rsidRPr="00FF5611">
        <w:rPr>
          <w:rFonts w:ascii="Arial" w:hAnsi="Arial" w:cs="Arial"/>
          <w:sz w:val="24"/>
          <w:szCs w:val="24"/>
        </w:rPr>
        <w:t xml:space="preserve"> an appropriate setting to assess the level of community participation in road maintenance projects. A sketch map of the study area is shown in Figure 1.</w:t>
      </w:r>
    </w:p>
    <w:p w14:paraId="4DD9CC66" w14:textId="77777777" w:rsidR="00FF5611" w:rsidRDefault="00FF5611" w:rsidP="00FF5611">
      <w:pPr>
        <w:jc w:val="both"/>
        <w:rPr>
          <w:rFonts w:ascii="Arial" w:hAnsi="Arial" w:cs="Arial"/>
          <w:sz w:val="24"/>
          <w:szCs w:val="24"/>
        </w:rPr>
      </w:pPr>
    </w:p>
    <w:p w14:paraId="3783536D" w14:textId="77777777" w:rsidR="00FF5611" w:rsidRPr="00FF5611" w:rsidRDefault="00FF5611" w:rsidP="00FF5611">
      <w:pPr>
        <w:jc w:val="both"/>
        <w:rPr>
          <w:rFonts w:ascii="Arial" w:hAnsi="Arial" w:cs="Arial"/>
          <w:sz w:val="24"/>
          <w:szCs w:val="24"/>
        </w:rPr>
      </w:pPr>
      <w:r w:rsidRPr="00FF5611">
        <w:rPr>
          <w:rFonts w:ascii="Aptos" w:eastAsia="Aptos" w:hAnsi="Aptos" w:cs="Times New Roman"/>
          <w:noProof/>
          <w:color w:val="FF0000"/>
          <w:sz w:val="24"/>
          <w:szCs w:val="24"/>
          <w:lang w:val="en-US"/>
        </w:rPr>
        <w:drawing>
          <wp:inline distT="0" distB="0" distL="0" distR="0" wp14:anchorId="5CBE7383" wp14:editId="11623D43">
            <wp:extent cx="4215865" cy="2362835"/>
            <wp:effectExtent l="0" t="0" r="0" b="0"/>
            <wp:docPr id="1" name="Picture 1" descr="C:\Users\Lucy\Desktop\IMG_20250621_20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esktop\IMG_20250621_2015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035" cy="2370216"/>
                    </a:xfrm>
                    <a:prstGeom prst="rect">
                      <a:avLst/>
                    </a:prstGeom>
                    <a:ln>
                      <a:noFill/>
                    </a:ln>
                    <a:effectLst>
                      <a:softEdge rad="112500"/>
                    </a:effectLst>
                  </pic:spPr>
                </pic:pic>
              </a:graphicData>
            </a:graphic>
          </wp:inline>
        </w:drawing>
      </w:r>
    </w:p>
    <w:p w14:paraId="4424456E" w14:textId="09973732" w:rsidR="00325923" w:rsidRPr="00FF5611" w:rsidRDefault="00325923" w:rsidP="00FF5611">
      <w:pPr>
        <w:jc w:val="both"/>
        <w:rPr>
          <w:rFonts w:ascii="Arial" w:hAnsi="Arial" w:cs="Arial"/>
          <w:sz w:val="24"/>
          <w:szCs w:val="24"/>
        </w:rPr>
      </w:pPr>
      <w:r w:rsidRPr="00325923">
        <w:rPr>
          <w:rFonts w:ascii="Arial" w:hAnsi="Arial" w:cs="Arial"/>
          <w:sz w:val="24"/>
          <w:szCs w:val="24"/>
        </w:rPr>
        <w:t>Figure</w:t>
      </w:r>
      <w:r w:rsidR="000A1B58">
        <w:rPr>
          <w:rFonts w:ascii="Arial" w:hAnsi="Arial" w:cs="Arial"/>
          <w:sz w:val="24"/>
          <w:szCs w:val="24"/>
        </w:rPr>
        <w:t xml:space="preserve"> </w:t>
      </w:r>
      <w:r w:rsidRPr="00325923">
        <w:rPr>
          <w:rFonts w:ascii="Arial" w:hAnsi="Arial" w:cs="Arial"/>
          <w:sz w:val="24"/>
          <w:szCs w:val="24"/>
        </w:rPr>
        <w:t>1: Sketch map showing the study area</w:t>
      </w:r>
    </w:p>
    <w:p w14:paraId="3E8855B7" w14:textId="77777777" w:rsidR="00FF5611" w:rsidRPr="00325923" w:rsidRDefault="00325923" w:rsidP="00FF5611">
      <w:pPr>
        <w:pStyle w:val="ListParagraph"/>
        <w:numPr>
          <w:ilvl w:val="1"/>
          <w:numId w:val="2"/>
        </w:numPr>
        <w:jc w:val="both"/>
        <w:rPr>
          <w:rFonts w:ascii="Arial" w:hAnsi="Arial" w:cs="Arial"/>
          <w:b/>
          <w:sz w:val="24"/>
          <w:szCs w:val="24"/>
        </w:rPr>
      </w:pPr>
      <w:r w:rsidRPr="00325923">
        <w:rPr>
          <w:rFonts w:ascii="Arial" w:hAnsi="Arial" w:cs="Arial"/>
          <w:b/>
          <w:sz w:val="24"/>
          <w:szCs w:val="24"/>
        </w:rPr>
        <w:t>Study Population</w:t>
      </w:r>
    </w:p>
    <w:p w14:paraId="0F4D35A2" w14:textId="77777777" w:rsidR="00325923" w:rsidRDefault="00325923" w:rsidP="00325923">
      <w:pPr>
        <w:jc w:val="both"/>
        <w:rPr>
          <w:rFonts w:ascii="Arial" w:hAnsi="Arial" w:cs="Arial"/>
          <w:sz w:val="24"/>
          <w:szCs w:val="24"/>
        </w:rPr>
      </w:pPr>
      <w:r w:rsidRPr="00325923">
        <w:rPr>
          <w:rFonts w:ascii="Arial" w:hAnsi="Arial" w:cs="Arial"/>
          <w:sz w:val="24"/>
          <w:szCs w:val="24"/>
        </w:rPr>
        <w:t xml:space="preserve">The study targeted community members actively involved in road maintenance projects in </w:t>
      </w:r>
      <w:proofErr w:type="spellStart"/>
      <w:r w:rsidRPr="00325923">
        <w:rPr>
          <w:rFonts w:ascii="Arial" w:hAnsi="Arial" w:cs="Arial"/>
          <w:sz w:val="24"/>
          <w:szCs w:val="24"/>
        </w:rPr>
        <w:t>Babati</w:t>
      </w:r>
      <w:proofErr w:type="spellEnd"/>
      <w:r w:rsidRPr="00325923">
        <w:rPr>
          <w:rFonts w:ascii="Arial" w:hAnsi="Arial" w:cs="Arial"/>
          <w:sz w:val="24"/>
          <w:szCs w:val="24"/>
        </w:rPr>
        <w:t xml:space="preserve"> District Council. These individuals participate in planning, implementation, and monitoring, providing critical insights into the level of community participation, the central focus of this research. With an estimated population of 129,572 (2022 National Census) and diverse socio-economic backgrounds, the district offers an opportunity to explore how participation levels and their impacts vary across different demographic groups.</w:t>
      </w:r>
    </w:p>
    <w:p w14:paraId="5C04AD83" w14:textId="77777777" w:rsidR="00870044" w:rsidRDefault="00870044" w:rsidP="00325923">
      <w:pPr>
        <w:jc w:val="both"/>
        <w:rPr>
          <w:rFonts w:ascii="Arial" w:hAnsi="Arial" w:cs="Arial"/>
          <w:sz w:val="24"/>
          <w:szCs w:val="24"/>
        </w:rPr>
      </w:pPr>
    </w:p>
    <w:p w14:paraId="200F4DC3" w14:textId="77777777" w:rsidR="00255F00" w:rsidRPr="00325923" w:rsidRDefault="00255F00" w:rsidP="00325923">
      <w:pPr>
        <w:jc w:val="both"/>
        <w:rPr>
          <w:rFonts w:ascii="Arial" w:hAnsi="Arial" w:cs="Arial"/>
          <w:sz w:val="24"/>
          <w:szCs w:val="24"/>
        </w:rPr>
      </w:pPr>
    </w:p>
    <w:p w14:paraId="0626F761" w14:textId="77777777" w:rsidR="00FF5611" w:rsidRPr="00192C7B" w:rsidRDefault="00FF5611" w:rsidP="00FF5611">
      <w:pPr>
        <w:pStyle w:val="ListParagraph"/>
        <w:numPr>
          <w:ilvl w:val="1"/>
          <w:numId w:val="2"/>
        </w:numPr>
        <w:jc w:val="both"/>
        <w:rPr>
          <w:rFonts w:ascii="Arial" w:hAnsi="Arial" w:cs="Arial"/>
          <w:b/>
          <w:sz w:val="24"/>
          <w:szCs w:val="24"/>
        </w:rPr>
      </w:pPr>
      <w:r w:rsidRPr="00192C7B">
        <w:rPr>
          <w:rFonts w:ascii="Arial" w:hAnsi="Arial" w:cs="Arial"/>
          <w:b/>
          <w:sz w:val="24"/>
          <w:szCs w:val="24"/>
        </w:rPr>
        <w:lastRenderedPageBreak/>
        <w:t>S</w:t>
      </w:r>
      <w:r w:rsidR="00192C7B" w:rsidRPr="00192C7B">
        <w:rPr>
          <w:rFonts w:ascii="Arial" w:hAnsi="Arial" w:cs="Arial"/>
          <w:b/>
          <w:sz w:val="24"/>
          <w:szCs w:val="24"/>
        </w:rPr>
        <w:t>ampling Procedure</w:t>
      </w:r>
    </w:p>
    <w:p w14:paraId="1FECE6EF" w14:textId="77777777" w:rsidR="00192C7B" w:rsidRPr="00192C7B" w:rsidRDefault="00192C7B" w:rsidP="00192C7B">
      <w:pPr>
        <w:jc w:val="both"/>
        <w:rPr>
          <w:rFonts w:ascii="Arial" w:hAnsi="Arial" w:cs="Arial"/>
          <w:sz w:val="24"/>
          <w:szCs w:val="24"/>
        </w:rPr>
      </w:pPr>
      <w:r w:rsidRPr="00192C7B">
        <w:rPr>
          <w:rFonts w:ascii="Arial" w:hAnsi="Arial" w:cs="Arial"/>
          <w:sz w:val="24"/>
          <w:szCs w:val="24"/>
        </w:rPr>
        <w:t xml:space="preserve">This study employed a simple random sampling technique to select community members engaged in road maintenance projects, ensuring that every individual in the target population had an equal opportunity to participate. This method was well-suited to the diverse population of </w:t>
      </w:r>
      <w:proofErr w:type="spellStart"/>
      <w:r w:rsidRPr="00192C7B">
        <w:rPr>
          <w:rFonts w:ascii="Arial" w:hAnsi="Arial" w:cs="Arial"/>
          <w:sz w:val="24"/>
          <w:szCs w:val="24"/>
        </w:rPr>
        <w:t>Babati</w:t>
      </w:r>
      <w:proofErr w:type="spellEnd"/>
      <w:r w:rsidRPr="00192C7B">
        <w:rPr>
          <w:rFonts w:ascii="Arial" w:hAnsi="Arial" w:cs="Arial"/>
          <w:sz w:val="24"/>
          <w:szCs w:val="24"/>
        </w:rPr>
        <w:t xml:space="preserve"> District Council, as it reduced selection bias and enhanced t</w:t>
      </w:r>
      <w:r>
        <w:rPr>
          <w:rFonts w:ascii="Arial" w:hAnsi="Arial" w:cs="Arial"/>
          <w:sz w:val="24"/>
          <w:szCs w:val="24"/>
        </w:rPr>
        <w:t>he reliability of the findings.</w:t>
      </w:r>
    </w:p>
    <w:p w14:paraId="5E64161F" w14:textId="77777777" w:rsidR="00192C7B" w:rsidRPr="00192C7B" w:rsidRDefault="00192C7B" w:rsidP="00192C7B">
      <w:pPr>
        <w:jc w:val="both"/>
        <w:rPr>
          <w:rFonts w:ascii="Arial" w:hAnsi="Arial" w:cs="Arial"/>
          <w:sz w:val="24"/>
          <w:szCs w:val="24"/>
        </w:rPr>
      </w:pPr>
      <w:r w:rsidRPr="00192C7B">
        <w:rPr>
          <w:rFonts w:ascii="Arial" w:hAnsi="Arial" w:cs="Arial"/>
          <w:sz w:val="24"/>
          <w:szCs w:val="24"/>
        </w:rPr>
        <w:t>Additionally, key informants were selected using a purposive sampling approach to capture specialized knowledge and insights relevant to the study. These informants included local leaders, the project manager, and the TARURA Regional Manager, all of whom are directly involved in road maintenance activities and policy implementation. Combining simple random sampling for community members with purposive sampling for key informants enabled the study to collect both representative data and in-depth perspectives essential for understanding the level of community participation in road maintenance projects.</w:t>
      </w:r>
    </w:p>
    <w:p w14:paraId="40B17F0D" w14:textId="77777777" w:rsidR="00FF5611" w:rsidRPr="00472004" w:rsidRDefault="00192C7B" w:rsidP="00FF5611">
      <w:pPr>
        <w:pStyle w:val="ListParagraph"/>
        <w:numPr>
          <w:ilvl w:val="1"/>
          <w:numId w:val="2"/>
        </w:numPr>
        <w:jc w:val="both"/>
        <w:rPr>
          <w:rFonts w:ascii="Arial" w:hAnsi="Arial" w:cs="Arial"/>
          <w:b/>
          <w:sz w:val="24"/>
          <w:szCs w:val="24"/>
        </w:rPr>
      </w:pPr>
      <w:r w:rsidRPr="00472004">
        <w:rPr>
          <w:rFonts w:ascii="Arial" w:hAnsi="Arial" w:cs="Arial"/>
          <w:b/>
          <w:sz w:val="24"/>
          <w:szCs w:val="24"/>
        </w:rPr>
        <w:t>Sample Size</w:t>
      </w:r>
    </w:p>
    <w:p w14:paraId="7463DCC0" w14:textId="71F7E880" w:rsidR="00192C7B" w:rsidRDefault="00472004" w:rsidP="00192C7B">
      <w:pPr>
        <w:spacing w:after="0" w:line="240" w:lineRule="auto"/>
        <w:jc w:val="both"/>
        <w:rPr>
          <w:rFonts w:ascii="Arial" w:hAnsi="Arial" w:cs="Arial"/>
          <w:sz w:val="24"/>
          <w:szCs w:val="24"/>
        </w:rPr>
      </w:pPr>
      <w:r w:rsidRPr="00472004">
        <w:rPr>
          <w:rFonts w:ascii="Arial" w:hAnsi="Arial" w:cs="Arial"/>
          <w:sz w:val="24"/>
          <w:szCs w:val="24"/>
        </w:rPr>
        <w:t>The sample size for this study was determined using the Yamane formula and practical considerations based on the target population of 129,572. According to Yamane</w:t>
      </w:r>
      <w:r w:rsidR="00870044">
        <w:rPr>
          <w:rFonts w:ascii="Arial" w:hAnsi="Arial" w:cs="Arial"/>
          <w:sz w:val="24"/>
          <w:szCs w:val="24"/>
        </w:rPr>
        <w:t xml:space="preserve"> </w:t>
      </w:r>
      <w:r w:rsidR="00870044">
        <w:rPr>
          <w:rFonts w:ascii="Arial" w:hAnsi="Arial" w:cs="Arial"/>
          <w:sz w:val="24"/>
          <w:szCs w:val="24"/>
        </w:rPr>
        <w:fldChar w:fldCharType="begin" w:fldLock="1"/>
      </w:r>
      <w:r w:rsidR="00870044">
        <w:rPr>
          <w:rFonts w:ascii="Arial" w:hAnsi="Arial" w:cs="Arial"/>
          <w:sz w:val="24"/>
          <w:szCs w:val="24"/>
        </w:rPr>
        <w:instrText>ADDIN CSL_CITATION {"citationItems":[{"id":"ITEM-1","itemData":{"DOI":"10.9734/jsrr/2020/v26i530263","abstract":"Obtaining a representative sample size remains critical to survey researchers because of its implication for cost, time and precision of the sample estimate. However, the difficulty of obtaining a good estimate of population variance coupled with insufficient skills in sampling theory impede the researchers’ ability to obtain an optimum sample in survey research. This paper proposes an adjustment to the margin of error in Yamane’s (1967) formula to make it applicable for use in determining optimum sample size for both continuous and categorical variables at all levels of confidence. A minimum sample size determination table is developed for use by researchers based on the adjusted formula developed in this paper.","author":[{"dropping-particle":"","family":"Yamane","given":"Y","non-dropping-particle":"","parse-names":false,"suffix":""}],"container-title":"Journal of Scientific Research and Reports","id":"ITEM-1","issue":"4","issued":{"date-parts":[["1967"]]},"page":"1-12","title":"Sample Size Determination Formula","type":"article-journal","volume":"3"},"suppress-author":1,"uris":["http://www.mendeley.com/documents/?uuid=6be9551c-032f-4dfe-8e1e-79d2152d649d"]}],"mendeley":{"formattedCitation":"(1967)","plainTextFormattedCitation":"(1967)","previouslyFormattedCitation":"(1967)"},"properties":{"noteIndex":0},"schema":"https://github.com/citation-style-language/schema/raw/master/csl-citation.json"}</w:instrText>
      </w:r>
      <w:r w:rsidR="00870044">
        <w:rPr>
          <w:rFonts w:ascii="Arial" w:hAnsi="Arial" w:cs="Arial"/>
          <w:sz w:val="24"/>
          <w:szCs w:val="24"/>
        </w:rPr>
        <w:fldChar w:fldCharType="separate"/>
      </w:r>
      <w:r w:rsidR="00870044" w:rsidRPr="00870044">
        <w:rPr>
          <w:rFonts w:ascii="Arial" w:hAnsi="Arial" w:cs="Arial"/>
          <w:noProof/>
          <w:sz w:val="24"/>
          <w:szCs w:val="24"/>
        </w:rPr>
        <w:t>(1967)</w:t>
      </w:r>
      <w:r w:rsidR="00870044">
        <w:rPr>
          <w:rFonts w:ascii="Arial" w:hAnsi="Arial" w:cs="Arial"/>
          <w:sz w:val="24"/>
          <w:szCs w:val="24"/>
        </w:rPr>
        <w:fldChar w:fldCharType="end"/>
      </w:r>
      <w:r w:rsidRPr="00472004">
        <w:rPr>
          <w:rFonts w:ascii="Arial" w:hAnsi="Arial" w:cs="Arial"/>
          <w:sz w:val="24"/>
          <w:szCs w:val="24"/>
        </w:rPr>
        <w:t xml:space="preserve">, the sample should be sufficiently representative to allow the findings to be generalized to the wider community. Applying a 95% confidence level and a 5% margin of error, the Yamane formula was used to calculate an appropriate sample size. Accordingly, a sample of 399 community members was selected from the population of </w:t>
      </w:r>
      <w:proofErr w:type="spellStart"/>
      <w:r w:rsidRPr="00472004">
        <w:rPr>
          <w:rFonts w:ascii="Arial" w:hAnsi="Arial" w:cs="Arial"/>
          <w:sz w:val="24"/>
          <w:szCs w:val="24"/>
        </w:rPr>
        <w:t>Babati</w:t>
      </w:r>
      <w:proofErr w:type="spellEnd"/>
      <w:r w:rsidRPr="00472004">
        <w:rPr>
          <w:rFonts w:ascii="Arial" w:hAnsi="Arial" w:cs="Arial"/>
          <w:sz w:val="24"/>
          <w:szCs w:val="24"/>
        </w:rPr>
        <w:t xml:space="preserve"> District Council for this study.</w:t>
      </w:r>
    </w:p>
    <w:p w14:paraId="3618B972" w14:textId="77777777" w:rsidR="00472004" w:rsidRPr="00192C7B" w:rsidRDefault="00472004" w:rsidP="00192C7B">
      <w:pPr>
        <w:spacing w:after="0" w:line="240" w:lineRule="auto"/>
        <w:jc w:val="both"/>
        <w:rPr>
          <w:rFonts w:ascii="Aptos" w:eastAsia="Aptos" w:hAnsi="Aptos" w:cs="Times New Roman"/>
          <w:sz w:val="24"/>
          <w:szCs w:val="24"/>
          <w:lang w:val="en-US"/>
        </w:rPr>
      </w:pPr>
    </w:p>
    <w:p w14:paraId="6D8F2274" w14:textId="77777777" w:rsidR="00192C7B" w:rsidRPr="00192C7B" w:rsidRDefault="00192C7B" w:rsidP="00192C7B">
      <w:pPr>
        <w:spacing w:after="0" w:line="240" w:lineRule="auto"/>
        <w:jc w:val="both"/>
        <w:rPr>
          <w:rFonts w:ascii="Aptos" w:eastAsia="Times New Roman" w:hAnsi="Aptos" w:cs="Times New Roman"/>
          <w:sz w:val="24"/>
          <w:szCs w:val="24"/>
          <w:lang w:val="en-US"/>
        </w:rPr>
      </w:pPr>
      <m:oMathPara>
        <m:oMathParaPr>
          <m:jc m:val="center"/>
        </m:oMathParaPr>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w:rPr>
                  <w:rFonts w:ascii="Cambria Math" w:eastAsia="Aptos" w:hAnsi="Cambria Math" w:cs="Times New Roman"/>
                  <w:sz w:val="24"/>
                  <w:szCs w:val="24"/>
                  <w:lang w:val="en-US"/>
                </w:rPr>
                <m:t>N</m:t>
              </m:r>
            </m:num>
            <m:den>
              <m:r>
                <w:rPr>
                  <w:rFonts w:ascii="Cambria Math" w:eastAsia="Aptos" w:hAnsi="Cambria Math" w:cs="Times New Roman"/>
                  <w:sz w:val="24"/>
                  <w:szCs w:val="24"/>
                  <w:lang w:val="en-US"/>
                </w:rPr>
                <m:t>1+N(</m:t>
              </m:r>
              <m:sSup>
                <m:sSupPr>
                  <m:ctrlPr>
                    <w:rPr>
                      <w:rFonts w:ascii="Cambria Math" w:eastAsia="Aptos" w:hAnsi="Cambria Math" w:cs="Times New Roman"/>
                      <w:i/>
                      <w:sz w:val="24"/>
                      <w:szCs w:val="24"/>
                      <w:lang w:val="en-US"/>
                    </w:rPr>
                  </m:ctrlPr>
                </m:sSupPr>
                <m:e>
                  <m:r>
                    <w:rPr>
                      <w:rFonts w:ascii="Cambria Math" w:eastAsia="Aptos" w:hAnsi="Cambria Math" w:cs="Times New Roman"/>
                      <w:sz w:val="24"/>
                      <w:szCs w:val="24"/>
                      <w:lang w:val="en-US"/>
                    </w:rPr>
                    <m:t>e)</m:t>
                  </m:r>
                </m:e>
                <m:sup>
                  <m:r>
                    <w:rPr>
                      <w:rFonts w:ascii="Cambria Math" w:eastAsia="Aptos" w:hAnsi="Cambria Math" w:cs="Times New Roman"/>
                      <w:sz w:val="24"/>
                      <w:szCs w:val="24"/>
                      <w:lang w:val="en-US"/>
                    </w:rPr>
                    <m:t>2</m:t>
                  </m:r>
                </m:sup>
              </m:sSup>
            </m:den>
          </m:f>
        </m:oMath>
      </m:oMathPara>
    </w:p>
    <w:p w14:paraId="2729A664"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Whereby n is the sample size, N is the population size, and e is the margin of error.</w:t>
      </w:r>
    </w:p>
    <w:p w14:paraId="03E113B0"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 xml:space="preserve">So, </w:t>
      </w:r>
    </w:p>
    <w:p w14:paraId="6CBCF3BE" w14:textId="77777777" w:rsidR="00192C7B" w:rsidRDefault="00192C7B" w:rsidP="00192C7B">
      <w:pPr>
        <w:tabs>
          <w:tab w:val="left" w:pos="1176"/>
        </w:tabs>
        <w:jc w:val="both"/>
        <w:rPr>
          <w:rFonts w:ascii="Arial" w:hAnsi="Arial" w:cs="Arial"/>
          <w:sz w:val="24"/>
          <w:szCs w:val="24"/>
        </w:rPr>
      </w:pPr>
      <w:r>
        <w:rPr>
          <w:rFonts w:ascii="Arial" w:hAnsi="Arial" w:cs="Arial"/>
          <w:sz w:val="24"/>
          <w:szCs w:val="24"/>
        </w:rPr>
        <w:tab/>
      </w:r>
    </w:p>
    <w:p w14:paraId="27DFB1B1" w14:textId="77777777" w:rsidR="00192C7B" w:rsidRPr="00192C7B" w:rsidRDefault="00192C7B" w:rsidP="00192C7B">
      <w:pPr>
        <w:spacing w:after="0" w:line="240" w:lineRule="auto"/>
        <w:jc w:val="both"/>
        <w:rPr>
          <w:rFonts w:ascii="Aptos" w:eastAsia="Aptos" w:hAnsi="Aptos" w:cs="Times New Roman"/>
          <w:sz w:val="24"/>
          <w:szCs w:val="24"/>
          <w:lang w:val="en-US"/>
        </w:rPr>
      </w:pPr>
      <w:r w:rsidRPr="00192C7B">
        <w:rPr>
          <w:rFonts w:ascii="Aptos" w:eastAsia="Aptos" w:hAnsi="Aptos" w:cs="Times New Roman"/>
          <w:sz w:val="24"/>
          <w:szCs w:val="24"/>
          <w:lang w:val="en-US"/>
        </w:rPr>
        <w:t xml:space="preserve">So, </w:t>
      </w:r>
    </w:p>
    <w:p w14:paraId="4BB09BE8" w14:textId="77777777" w:rsidR="00192C7B" w:rsidRPr="00472004" w:rsidRDefault="00192C7B" w:rsidP="00192C7B">
      <w:pPr>
        <w:spacing w:after="0" w:line="240" w:lineRule="auto"/>
        <w:jc w:val="both"/>
        <w:rPr>
          <w:rFonts w:ascii="Aptos" w:eastAsia="Aptos" w:hAnsi="Aptos" w:cs="Times New Roman"/>
          <w:sz w:val="24"/>
          <w:szCs w:val="24"/>
          <w:lang w:val="en-US"/>
        </w:rPr>
      </w:pPr>
      <m:oMathPara>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1+</m:t>
              </m:r>
              <m:r>
                <m:rPr>
                  <m:sty m:val="p"/>
                </m:rPr>
                <w:rPr>
                  <w:rFonts w:ascii="Cambria Math" w:eastAsia="Aptos" w:hAnsi="Cambria Math" w:cs="Times New Roman"/>
                  <w:sz w:val="24"/>
                  <w:szCs w:val="24"/>
                  <w:lang w:val="en-US"/>
                </w:rPr>
                <m:t>129,572×</m:t>
              </m:r>
              <m:sSup>
                <m:sSupPr>
                  <m:ctrlPr>
                    <w:rPr>
                      <w:rFonts w:ascii="Cambria Math" w:eastAsia="Aptos" w:hAnsi="Cambria Math" w:cs="Times New Roman"/>
                      <w:sz w:val="24"/>
                      <w:szCs w:val="24"/>
                      <w:lang w:val="en-US"/>
                    </w:rPr>
                  </m:ctrlPr>
                </m:sSupPr>
                <m:e>
                  <m:r>
                    <w:rPr>
                      <w:rFonts w:ascii="Cambria Math" w:eastAsia="Aptos" w:hAnsi="Cambria Math" w:cs="Times New Roman"/>
                      <w:sz w:val="24"/>
                      <w:szCs w:val="24"/>
                      <w:lang w:val="en-US"/>
                    </w:rPr>
                    <m:t>(0.05)</m:t>
                  </m:r>
                </m:e>
                <m:sup>
                  <m:r>
                    <w:rPr>
                      <w:rFonts w:ascii="Cambria Math" w:eastAsia="Aptos" w:hAnsi="Cambria Math" w:cs="Times New Roman"/>
                      <w:sz w:val="24"/>
                      <w:szCs w:val="24"/>
                      <w:lang w:val="en-US"/>
                    </w:rPr>
                    <m:t>2</m:t>
                  </m:r>
                </m:sup>
              </m:sSup>
            </m:den>
          </m:f>
          <m:r>
            <w:rPr>
              <w:rFonts w:ascii="Cambria Math" w:eastAsia="Aptos" w:hAnsi="Cambria Math" w:cs="Times New Roman"/>
              <w:sz w:val="24"/>
              <w:szCs w:val="24"/>
              <w:lang w:val="en-US"/>
            </w:rPr>
            <m:t>=</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324.93</m:t>
              </m:r>
            </m:den>
          </m:f>
          <m:r>
            <w:rPr>
              <w:rFonts w:ascii="Cambria Math" w:eastAsia="Aptos" w:hAnsi="Cambria Math" w:cs="Times New Roman"/>
              <w:sz w:val="24"/>
              <w:szCs w:val="24"/>
              <w:lang w:val="en-US"/>
            </w:rPr>
            <m:t>=398.77≈399</m:t>
          </m:r>
        </m:oMath>
      </m:oMathPara>
    </w:p>
    <w:p w14:paraId="5159ED7F" w14:textId="77777777" w:rsidR="00472004" w:rsidRPr="00192C7B" w:rsidRDefault="00472004" w:rsidP="00192C7B">
      <w:pPr>
        <w:spacing w:after="0" w:line="240" w:lineRule="auto"/>
        <w:jc w:val="both"/>
        <w:rPr>
          <w:rFonts w:ascii="Aptos" w:eastAsia="Aptos" w:hAnsi="Aptos" w:cs="Times New Roman"/>
          <w:sz w:val="24"/>
          <w:szCs w:val="24"/>
          <w:lang w:val="en-US"/>
        </w:rPr>
      </w:pPr>
    </w:p>
    <w:p w14:paraId="01F8EF4B" w14:textId="77777777" w:rsidR="00FF5611" w:rsidRPr="00294F93" w:rsidRDefault="00472004" w:rsidP="00FF5611">
      <w:pPr>
        <w:pStyle w:val="ListParagraph"/>
        <w:numPr>
          <w:ilvl w:val="1"/>
          <w:numId w:val="2"/>
        </w:numPr>
        <w:jc w:val="both"/>
        <w:rPr>
          <w:rFonts w:ascii="Arial" w:hAnsi="Arial" w:cs="Arial"/>
          <w:b/>
          <w:sz w:val="24"/>
          <w:szCs w:val="24"/>
        </w:rPr>
      </w:pPr>
      <w:r w:rsidRPr="00294F93">
        <w:rPr>
          <w:rFonts w:ascii="Arial" w:hAnsi="Arial" w:cs="Arial"/>
          <w:b/>
          <w:sz w:val="24"/>
          <w:szCs w:val="24"/>
        </w:rPr>
        <w:t>Data Collection Methods</w:t>
      </w:r>
    </w:p>
    <w:p w14:paraId="4600AEAB" w14:textId="77777777" w:rsidR="00472004" w:rsidRPr="00294F93" w:rsidRDefault="00472004" w:rsidP="00472004">
      <w:pPr>
        <w:pStyle w:val="ListParagraph"/>
        <w:numPr>
          <w:ilvl w:val="2"/>
          <w:numId w:val="2"/>
        </w:numPr>
        <w:jc w:val="both"/>
        <w:rPr>
          <w:rFonts w:ascii="Arial" w:hAnsi="Arial" w:cs="Arial"/>
          <w:b/>
          <w:sz w:val="24"/>
          <w:szCs w:val="24"/>
        </w:rPr>
      </w:pPr>
      <w:r w:rsidRPr="00294F93">
        <w:rPr>
          <w:rFonts w:ascii="Arial" w:hAnsi="Arial" w:cs="Arial"/>
          <w:b/>
          <w:sz w:val="24"/>
          <w:szCs w:val="24"/>
        </w:rPr>
        <w:t>Questionnaire</w:t>
      </w:r>
    </w:p>
    <w:p w14:paraId="2339A639" w14:textId="77777777" w:rsidR="00472004" w:rsidRDefault="00472004" w:rsidP="00472004">
      <w:pPr>
        <w:jc w:val="both"/>
        <w:rPr>
          <w:rFonts w:ascii="Arial" w:hAnsi="Arial" w:cs="Arial"/>
          <w:sz w:val="24"/>
          <w:szCs w:val="24"/>
        </w:rPr>
      </w:pPr>
      <w:r w:rsidRPr="00472004">
        <w:rPr>
          <w:rFonts w:ascii="Arial" w:hAnsi="Arial" w:cs="Arial"/>
          <w:sz w:val="24"/>
          <w:szCs w:val="24"/>
        </w:rPr>
        <w:t xml:space="preserve">Structured questionnaires were employed to collect quantitative data from community members engaged in rural road maintenance projects in </w:t>
      </w:r>
      <w:proofErr w:type="spellStart"/>
      <w:r w:rsidRPr="00472004">
        <w:rPr>
          <w:rFonts w:ascii="Arial" w:hAnsi="Arial" w:cs="Arial"/>
          <w:sz w:val="24"/>
          <w:szCs w:val="24"/>
        </w:rPr>
        <w:t>Babati</w:t>
      </w:r>
      <w:proofErr w:type="spellEnd"/>
      <w:r w:rsidRPr="00472004">
        <w:rPr>
          <w:rFonts w:ascii="Arial" w:hAnsi="Arial" w:cs="Arial"/>
          <w:sz w:val="24"/>
          <w:szCs w:val="24"/>
        </w:rPr>
        <w:t xml:space="preserve"> District Council, Tanzania. The instrument was designed to assess the level of community participation in these projects. It examined aspects such as involvement in planning, implementation, and monitoring of road maintenance activities. Comprising primarily closed-ended questions, the questionnaires ensured consistent responses and facilitated systematic statistical analysis. The data provided comprehensive insights into the </w:t>
      </w:r>
      <w:r w:rsidR="00294F93">
        <w:rPr>
          <w:rFonts w:ascii="Arial" w:hAnsi="Arial" w:cs="Arial"/>
          <w:sz w:val="24"/>
          <w:szCs w:val="24"/>
        </w:rPr>
        <w:t>level</w:t>
      </w:r>
      <w:r w:rsidRPr="00472004">
        <w:rPr>
          <w:rFonts w:ascii="Arial" w:hAnsi="Arial" w:cs="Arial"/>
          <w:sz w:val="24"/>
          <w:szCs w:val="24"/>
        </w:rPr>
        <w:t xml:space="preserve"> and nature of community participation, highlighting how community members engage in sustaining rural road infrastructure.</w:t>
      </w:r>
    </w:p>
    <w:p w14:paraId="75AAA9DA" w14:textId="77777777" w:rsidR="00255F00" w:rsidRPr="00472004" w:rsidRDefault="00255F00" w:rsidP="00472004">
      <w:pPr>
        <w:jc w:val="both"/>
        <w:rPr>
          <w:rFonts w:ascii="Arial" w:hAnsi="Arial" w:cs="Arial"/>
          <w:sz w:val="24"/>
          <w:szCs w:val="24"/>
        </w:rPr>
      </w:pPr>
    </w:p>
    <w:p w14:paraId="2F430589" w14:textId="77777777" w:rsidR="00472004" w:rsidRPr="00294F93" w:rsidRDefault="00294F93" w:rsidP="00472004">
      <w:pPr>
        <w:pStyle w:val="ListParagraph"/>
        <w:numPr>
          <w:ilvl w:val="2"/>
          <w:numId w:val="2"/>
        </w:numPr>
        <w:jc w:val="both"/>
        <w:rPr>
          <w:rFonts w:ascii="Arial" w:hAnsi="Arial" w:cs="Arial"/>
          <w:b/>
          <w:sz w:val="24"/>
          <w:szCs w:val="24"/>
        </w:rPr>
      </w:pPr>
      <w:r w:rsidRPr="00294F93">
        <w:rPr>
          <w:rFonts w:ascii="Arial" w:hAnsi="Arial" w:cs="Arial"/>
          <w:b/>
          <w:sz w:val="24"/>
          <w:szCs w:val="24"/>
        </w:rPr>
        <w:lastRenderedPageBreak/>
        <w:t>Key informants interview</w:t>
      </w:r>
    </w:p>
    <w:p w14:paraId="39381DA1" w14:textId="77777777" w:rsidR="00294F93" w:rsidRPr="00294F93" w:rsidRDefault="00294F93" w:rsidP="00294F93">
      <w:pPr>
        <w:jc w:val="both"/>
        <w:rPr>
          <w:rFonts w:ascii="Arial" w:hAnsi="Arial" w:cs="Arial"/>
          <w:sz w:val="24"/>
          <w:szCs w:val="24"/>
        </w:rPr>
      </w:pPr>
      <w:r w:rsidRPr="00294F93">
        <w:rPr>
          <w:rFonts w:ascii="Arial" w:hAnsi="Arial" w:cs="Arial"/>
          <w:sz w:val="24"/>
          <w:szCs w:val="24"/>
        </w:rPr>
        <w:t xml:space="preserve">Key informant interviews were conducted to collect qualitative data from individuals with specialized knowledge and direct involvement in rural road maintenance projects in </w:t>
      </w:r>
      <w:proofErr w:type="spellStart"/>
      <w:r w:rsidRPr="00294F93">
        <w:rPr>
          <w:rFonts w:ascii="Arial" w:hAnsi="Arial" w:cs="Arial"/>
          <w:sz w:val="24"/>
          <w:szCs w:val="24"/>
        </w:rPr>
        <w:t>Babati</w:t>
      </w:r>
      <w:proofErr w:type="spellEnd"/>
      <w:r w:rsidRPr="00294F93">
        <w:rPr>
          <w:rFonts w:ascii="Arial" w:hAnsi="Arial" w:cs="Arial"/>
          <w:sz w:val="24"/>
          <w:szCs w:val="24"/>
        </w:rPr>
        <w:t xml:space="preserve"> District Council, Tanzania. The key informants included local leaders, the project manager, and the TARURA Regional Manager. These interviews explored the extent and nature of community participation in road maintenance activities, including involvement in planning, implementation, and monitoring processes. Engaging these key stakeholders provided in-depth insights into how community members participate in sustaining rural road infrastructure, and offered perspectives that complemented the quantitative data collected from the broader community.</w:t>
      </w:r>
    </w:p>
    <w:p w14:paraId="38D5808E" w14:textId="77777777" w:rsidR="00472004" w:rsidRPr="00674627" w:rsidRDefault="00294F93" w:rsidP="00FF5611">
      <w:pPr>
        <w:pStyle w:val="ListParagraph"/>
        <w:numPr>
          <w:ilvl w:val="1"/>
          <w:numId w:val="2"/>
        </w:numPr>
        <w:jc w:val="both"/>
        <w:rPr>
          <w:rFonts w:ascii="Arial" w:hAnsi="Arial" w:cs="Arial"/>
          <w:b/>
          <w:sz w:val="24"/>
          <w:szCs w:val="24"/>
        </w:rPr>
      </w:pPr>
      <w:r w:rsidRPr="00674627">
        <w:rPr>
          <w:rFonts w:ascii="Arial" w:hAnsi="Arial" w:cs="Arial"/>
          <w:b/>
          <w:sz w:val="24"/>
          <w:szCs w:val="24"/>
        </w:rPr>
        <w:t>Data Analysis</w:t>
      </w:r>
    </w:p>
    <w:p w14:paraId="71B1A3F8" w14:textId="7D1550C7" w:rsidR="00294F93" w:rsidRPr="00294F93" w:rsidRDefault="00294F93" w:rsidP="00294F93">
      <w:pPr>
        <w:jc w:val="both"/>
        <w:rPr>
          <w:rFonts w:ascii="Arial" w:hAnsi="Arial" w:cs="Arial"/>
          <w:sz w:val="24"/>
          <w:szCs w:val="24"/>
        </w:rPr>
      </w:pPr>
      <w:r>
        <w:rPr>
          <w:rFonts w:ascii="Arial" w:hAnsi="Arial" w:cs="Arial"/>
          <w:sz w:val="24"/>
          <w:szCs w:val="24"/>
        </w:rPr>
        <w:t>In order t</w:t>
      </w:r>
      <w:r w:rsidRPr="00294F93">
        <w:rPr>
          <w:rFonts w:ascii="Arial" w:hAnsi="Arial" w:cs="Arial"/>
          <w:sz w:val="24"/>
          <w:szCs w:val="24"/>
        </w:rPr>
        <w:t>o assess the level of community participation in road maintenance projects, responses from community members were summarized using descriptive statistics, including means, standard deviations, and frequency distributions. These measures provided insights into central tendencies and variability in participation levels. Additionally, a Participation Index (PI) was calculated to synthesize responses across multiple dimensions, yielding a composite score that reflects each participant's overall engagement level. The PI is a composite measure designed to quantify the extent of individual or community involvement across different facets of participation</w:t>
      </w:r>
      <w:r w:rsidR="00870044">
        <w:rPr>
          <w:rFonts w:ascii="Arial" w:hAnsi="Arial" w:cs="Arial"/>
          <w:sz w:val="24"/>
          <w:szCs w:val="24"/>
        </w:rPr>
        <w:t xml:space="preserve"> </w:t>
      </w:r>
      <w:r w:rsidR="00870044">
        <w:rPr>
          <w:rFonts w:ascii="Arial" w:hAnsi="Arial" w:cs="Arial"/>
          <w:sz w:val="24"/>
          <w:szCs w:val="24"/>
        </w:rPr>
        <w:fldChar w:fldCharType="begin" w:fldLock="1"/>
      </w:r>
      <w:r w:rsidR="00665BFF">
        <w:rPr>
          <w:rFonts w:ascii="Arial" w:hAnsi="Arial" w:cs="Arial"/>
          <w:sz w:val="24"/>
          <w:szCs w:val="24"/>
        </w:rPr>
        <w:instrText>ADDIN CSL_CITATION {"citationItems":[{"id":"ITEM-1","itemData":{"DOI":"10.1177/1090198112459050","ISSN":"10901981","PMID":"23041704","abstract":"Active participation of community partners in research aspects of community-academic partnered projects is often assumed to have a positive impact on the outcomes of such projects. The value of community engagement in research, however, cannot be empirically determined without good measures of the level of community participation in research activities. Based on our recent evaluation of community-academic partnered projects centered around behavioral health issues, this article uses semistructured interview and survey data to outline two complementary approaches to measuring the level of community participation in research-a \"three-model\" approach that differentiates between the levels of community participation and a Community Engagement in Research Index (CERI) that offers a multidimensional view of community engagement in the research process. The primary goal of this article is to present and compare these approaches, discuss their strengths and limitations, summarize the lessons learned, and offer directions for future research. We find that whereas the three-model approach is a simple measure of the perception of community participation in research activities, CERI allows for a more nuanced understanding by capturing multiple aspects of such participation. Although additional research is needed to validate these measures, our study makes a significant contribution by illustrating the complexity of measuring community participation in research and the lack of reliability in simple scores offered by the three-model approach. © 2012 Society for Public Health Education.","author":[{"dropping-particle":"","family":"Khodyakov","given":"Dmitry","non-dropping-particle":"","parse-names":false,"suffix":""},{"dropping-particle":"","family":"Stockdale","given":"Susan","non-dropping-particle":"","parse-names":false,"suffix":""},{"dropping-particle":"","family":"Jones","given":"Andrea","non-dropping-particle":"","parse-names":false,"suffix":""},{"dropping-particle":"","family":"Mango","given":"Joseph","non-dropping-particle":"","parse-names":false,"suffix":""},{"dropping-particle":"","family":"Jones","given":"Felica","non-dropping-particle":"","parse-names":false,"suffix":""},{"dropping-particle":"","family":"Lizaola","given":"Elizabeth","non-dropping-particle":"","parse-names":false,"suffix":""}],"container-title":"Health Education and Behavior","id":"ITEM-1","issue":"3","issued":{"date-parts":[["2013"]]},"page":"346-354","title":"On Measuring Community Participation in Research","type":"article-journal","volume":"40"},"uris":["http://www.mendeley.com/documents/?uuid=192bfc3f-22d1-4ba9-9387-26a414700cce"]}],"mendeley":{"formattedCitation":"(Khodyakov et al., 2013)","plainTextFormattedCitation":"(Khodyakov et al., 2013)","previouslyFormattedCitation":"(Khodyakov et al., 2013)"},"properties":{"noteIndex":0},"schema":"https://github.com/citation-style-language/schema/raw/master/csl-citation.json"}</w:instrText>
      </w:r>
      <w:r w:rsidR="00870044">
        <w:rPr>
          <w:rFonts w:ascii="Arial" w:hAnsi="Arial" w:cs="Arial"/>
          <w:sz w:val="24"/>
          <w:szCs w:val="24"/>
        </w:rPr>
        <w:fldChar w:fldCharType="separate"/>
      </w:r>
      <w:r w:rsidR="00870044" w:rsidRPr="00870044">
        <w:rPr>
          <w:rFonts w:ascii="Arial" w:hAnsi="Arial" w:cs="Arial"/>
          <w:noProof/>
          <w:sz w:val="24"/>
          <w:szCs w:val="24"/>
        </w:rPr>
        <w:t>(Khodyakov et al., 2013)</w:t>
      </w:r>
      <w:r w:rsidR="00870044">
        <w:rPr>
          <w:rFonts w:ascii="Arial" w:hAnsi="Arial" w:cs="Arial"/>
          <w:sz w:val="24"/>
          <w:szCs w:val="24"/>
        </w:rPr>
        <w:fldChar w:fldCharType="end"/>
      </w:r>
      <w:r w:rsidRPr="00294F93">
        <w:rPr>
          <w:rFonts w:ascii="Arial" w:hAnsi="Arial" w:cs="Arial"/>
          <w:sz w:val="24"/>
          <w:szCs w:val="24"/>
        </w:rPr>
        <w:t>. Its formulation draws on methodologies that aggregate multiple indicators to evaluate complex social phenomena, often employing linear aggregation techniques with equal or differential weighting based on t</w:t>
      </w:r>
      <w:r>
        <w:rPr>
          <w:rFonts w:ascii="Arial" w:hAnsi="Arial" w:cs="Arial"/>
          <w:sz w:val="24"/>
          <w:szCs w:val="24"/>
        </w:rPr>
        <w:t>he relevance of each component.</w:t>
      </w:r>
    </w:p>
    <w:p w14:paraId="46EC5FDF" w14:textId="77777777" w:rsidR="00294F93" w:rsidRPr="00294F93" w:rsidRDefault="00294F93" w:rsidP="00294F93">
      <w:pPr>
        <w:jc w:val="both"/>
        <w:rPr>
          <w:rFonts w:ascii="Arial" w:hAnsi="Arial" w:cs="Arial"/>
          <w:sz w:val="24"/>
          <w:szCs w:val="24"/>
        </w:rPr>
      </w:pPr>
      <w:r w:rsidRPr="00294F93">
        <w:rPr>
          <w:rFonts w:ascii="Arial" w:hAnsi="Arial" w:cs="Arial"/>
          <w:sz w:val="24"/>
          <w:szCs w:val="24"/>
        </w:rPr>
        <w:t>In this study, responses to Likert-scale items across various participation dimensions were aggregated to compute the PI. This approach enabled a nuanced understanding of participation levels, capturing both the breadth and depth of engagement among community members.</w:t>
      </w:r>
    </w:p>
    <w:p w14:paraId="7526D4BC"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The Participation Index was calculated using the following formula:</w:t>
      </w:r>
      <w:r w:rsidRPr="00294F93">
        <w:rPr>
          <w:rFonts w:ascii="Arial" w:eastAsia="Calibri" w:hAnsi="Arial" w:cs="Arial"/>
          <w:sz w:val="24"/>
          <w:szCs w:val="24"/>
        </w:rPr>
        <w:tab/>
      </w:r>
    </w:p>
    <w:p w14:paraId="6DBC319F" w14:textId="77777777" w:rsidR="00294F93" w:rsidRPr="00294F93" w:rsidRDefault="00294F93" w:rsidP="00294F93">
      <w:pPr>
        <w:spacing w:line="240" w:lineRule="auto"/>
        <w:jc w:val="both"/>
        <w:rPr>
          <w:rFonts w:ascii="Arial" w:eastAsia="Calibri" w:hAnsi="Arial" w:cs="Arial"/>
          <w:sz w:val="24"/>
          <w:szCs w:val="24"/>
        </w:rPr>
      </w:pPr>
      <m:oMathPara>
        <m:oMathParaPr>
          <m:jc m:val="center"/>
        </m:oMathParaPr>
        <m:oMath>
          <m:r>
            <w:rPr>
              <w:rFonts w:ascii="Cambria Math" w:eastAsia="Calibri" w:hAnsi="Cambria Math" w:cs="Arial"/>
              <w:sz w:val="24"/>
              <w:szCs w:val="24"/>
            </w:rPr>
            <m:t>PI=</m:t>
          </m:r>
          <m:f>
            <m:fPr>
              <m:ctrlPr>
                <w:rPr>
                  <w:rFonts w:ascii="Cambria Math" w:eastAsia="Calibri" w:hAnsi="Cambria Math" w:cs="Arial"/>
                  <w:i/>
                  <w:sz w:val="24"/>
                  <w:szCs w:val="24"/>
                </w:rPr>
              </m:ctrlPr>
            </m:fPr>
            <m:num>
              <m:nary>
                <m:naryPr>
                  <m:chr m:val="∑"/>
                  <m:limLoc m:val="undOvr"/>
                  <m:ctrlPr>
                    <w:rPr>
                      <w:rFonts w:ascii="Cambria Math" w:eastAsia="Calibri" w:hAnsi="Cambria Math" w:cs="Arial"/>
                      <w:i/>
                      <w:sz w:val="24"/>
                      <w:szCs w:val="24"/>
                    </w:rPr>
                  </m:ctrlPr>
                </m:naryPr>
                <m:sub>
                  <m:r>
                    <w:rPr>
                      <w:rFonts w:ascii="Cambria Math" w:eastAsia="Calibri" w:hAnsi="Cambria Math" w:cs="Arial"/>
                      <w:sz w:val="24"/>
                      <w:szCs w:val="24"/>
                    </w:rPr>
                    <m:t>i=1</m:t>
                  </m:r>
                </m:sub>
                <m:sup>
                  <m:r>
                    <w:rPr>
                      <w:rFonts w:ascii="Cambria Math" w:eastAsia="Calibri" w:hAnsi="Cambria Math" w:cs="Arial"/>
                      <w:sz w:val="24"/>
                      <w:szCs w:val="24"/>
                    </w:rPr>
                    <m:t>n</m:t>
                  </m:r>
                </m:sup>
                <m:e>
                  <m:sSub>
                    <m:sSubPr>
                      <m:ctrlPr>
                        <w:rPr>
                          <w:rFonts w:ascii="Cambria Math" w:eastAsia="Calibri" w:hAnsi="Cambria Math" w:cs="Arial"/>
                          <w:i/>
                          <w:sz w:val="24"/>
                          <w:szCs w:val="24"/>
                        </w:rPr>
                      </m:ctrlPr>
                    </m:sSubPr>
                    <m:e>
                      <m:r>
                        <w:rPr>
                          <w:rFonts w:ascii="Cambria Math" w:eastAsia="Calibri" w:hAnsi="Cambria Math" w:cs="Arial"/>
                          <w:sz w:val="24"/>
                          <w:szCs w:val="24"/>
                        </w:rPr>
                        <m:t>X</m:t>
                      </m:r>
                    </m:e>
                    <m:sub>
                      <m:r>
                        <w:rPr>
                          <w:rFonts w:ascii="Cambria Math" w:eastAsia="Calibri" w:hAnsi="Cambria Math" w:cs="Arial"/>
                          <w:sz w:val="24"/>
                          <w:szCs w:val="24"/>
                        </w:rPr>
                        <m:t>i</m:t>
                      </m:r>
                    </m:sub>
                  </m:sSub>
                  <m:r>
                    <w:rPr>
                      <w:rFonts w:ascii="Cambria Math" w:eastAsia="Calibri" w:hAnsi="Cambria Math" w:cs="Arial"/>
                      <w:sz w:val="24"/>
                      <w:szCs w:val="24"/>
                    </w:rPr>
                    <m:t>×</m:t>
                  </m:r>
                  <m:sSub>
                    <m:sSubPr>
                      <m:ctrlPr>
                        <w:rPr>
                          <w:rFonts w:ascii="Cambria Math" w:eastAsia="Calibri" w:hAnsi="Cambria Math" w:cs="Arial"/>
                          <w:i/>
                          <w:sz w:val="24"/>
                          <w:szCs w:val="24"/>
                        </w:rPr>
                      </m:ctrlPr>
                    </m:sSubPr>
                    <m:e>
                      <m:r>
                        <w:rPr>
                          <w:rFonts w:ascii="Cambria Math" w:eastAsia="Calibri" w:hAnsi="Cambria Math" w:cs="Arial"/>
                          <w:sz w:val="24"/>
                          <w:szCs w:val="24"/>
                        </w:rPr>
                        <m:t>W</m:t>
                      </m:r>
                    </m:e>
                    <m:sub>
                      <m:r>
                        <w:rPr>
                          <w:rFonts w:ascii="Cambria Math" w:eastAsia="Calibri" w:hAnsi="Cambria Math" w:cs="Arial"/>
                          <w:sz w:val="24"/>
                          <w:szCs w:val="24"/>
                        </w:rPr>
                        <m:t>i</m:t>
                      </m:r>
                    </m:sub>
                  </m:sSub>
                </m:e>
              </m:nary>
            </m:num>
            <m:den>
              <m:r>
                <w:rPr>
                  <w:rFonts w:ascii="Cambria Math" w:eastAsia="Calibri" w:hAnsi="Cambria Math" w:cs="Arial"/>
                  <w:sz w:val="24"/>
                  <w:szCs w:val="24"/>
                </w:rPr>
                <m:t>T</m:t>
              </m:r>
            </m:den>
          </m:f>
        </m:oMath>
      </m:oMathPara>
    </w:p>
    <w:p w14:paraId="67C88E61"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Where:</w:t>
      </w:r>
    </w:p>
    <w:p w14:paraId="140B158E" w14:textId="77777777"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X</w:t>
      </w:r>
      <w:r w:rsidRPr="00294F93">
        <w:rPr>
          <w:rFonts w:ascii="Arial" w:eastAsia="Calibri" w:hAnsi="Arial" w:cs="Arial"/>
          <w:sz w:val="24"/>
          <w:szCs w:val="24"/>
          <w:vertAlign w:val="subscript"/>
        </w:rPr>
        <w:t>i</w:t>
      </w:r>
      <w:r w:rsidRPr="00294F93">
        <w:rPr>
          <w:rFonts w:ascii="Arial" w:eastAsia="Calibri" w:hAnsi="Arial" w:cs="Arial"/>
          <w:sz w:val="24"/>
          <w:szCs w:val="24"/>
        </w:rPr>
        <w:t xml:space="preserve"> ​ is the response score on the Likert scale for each item measuring community participation (a Likert scale ranging from 1 to 5, where 1 = "strongly disagree" and 5 = "strongly agree").</w:t>
      </w:r>
    </w:p>
    <w:p w14:paraId="084694CC" w14:textId="144271A4"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W</w:t>
      </w:r>
      <w:r w:rsidRPr="00294F93">
        <w:rPr>
          <w:rFonts w:ascii="Arial" w:eastAsia="Calibri" w:hAnsi="Arial" w:cs="Arial"/>
          <w:sz w:val="24"/>
          <w:szCs w:val="24"/>
          <w:vertAlign w:val="subscript"/>
        </w:rPr>
        <w:t>i</w:t>
      </w:r>
      <w:r w:rsidRPr="00294F93">
        <w:rPr>
          <w:rFonts w:ascii="Arial" w:eastAsia="Calibri" w:hAnsi="Arial" w:cs="Arial"/>
          <w:sz w:val="24"/>
          <w:szCs w:val="24"/>
        </w:rPr>
        <w:t xml:space="preserve"> ​ is the weight assigned to each item, reflecting its relative importance in measuring community participation. If all aspects are considered equally important, each dimension may receive an equal weight (e.g., Wi</w:t>
      </w:r>
      <w:r w:rsidR="00870044">
        <w:rPr>
          <w:rFonts w:ascii="Arial" w:eastAsia="Calibri" w:hAnsi="Arial" w:cs="Arial"/>
          <w:sz w:val="24"/>
          <w:szCs w:val="24"/>
        </w:rPr>
        <w:t xml:space="preserve"> </w:t>
      </w:r>
      <w:r w:rsidRPr="00294F93">
        <w:rPr>
          <w:rFonts w:ascii="Arial" w:eastAsia="Calibri" w:hAnsi="Arial" w:cs="Arial"/>
          <w:sz w:val="24"/>
          <w:szCs w:val="24"/>
        </w:rPr>
        <w:t>=1). If some aspects are considered more critical (such as participation in decision-making versus implementation), higher weights can be assigned to those items.</w:t>
      </w:r>
    </w:p>
    <w:p w14:paraId="16C71008" w14:textId="77777777" w:rsidR="00294F93" w:rsidRPr="00294F93" w:rsidRDefault="00294F93" w:rsidP="00294F93">
      <w:pPr>
        <w:spacing w:line="240" w:lineRule="auto"/>
        <w:jc w:val="both"/>
        <w:rPr>
          <w:rFonts w:ascii="Arial" w:eastAsia="Calibri" w:hAnsi="Arial" w:cs="Arial"/>
          <w:sz w:val="24"/>
          <w:szCs w:val="24"/>
        </w:rPr>
      </w:pPr>
      <w:r w:rsidRPr="00294F93">
        <w:rPr>
          <w:rFonts w:ascii="Arial" w:eastAsia="Calibri" w:hAnsi="Arial" w:cs="Arial"/>
          <w:sz w:val="24"/>
          <w:szCs w:val="24"/>
        </w:rPr>
        <w:t xml:space="preserve">T is the total score, which represents the maximum score a respondent could achieve if they answered "strongly agree" (5) to all questions. This is calculated as the sum of the weighted maximum possible scores for each participation dimension. The categorization of PI scores into levels such as "Low," "Moderate," and "High" </w:t>
      </w:r>
      <w:r w:rsidRPr="00294F93">
        <w:rPr>
          <w:rFonts w:ascii="Arial" w:eastAsia="Calibri" w:hAnsi="Arial" w:cs="Arial"/>
          <w:sz w:val="24"/>
          <w:szCs w:val="24"/>
        </w:rPr>
        <w:lastRenderedPageBreak/>
        <w:t>participation was typically based on the range of the Likert scale used in the survey instrument. For a 5-point Likert scale, the following thresholds are commonly applied:</w:t>
      </w:r>
    </w:p>
    <w:p w14:paraId="6DBEC60A"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Low Participation: PI between 1.00 and 2.49</w:t>
      </w:r>
    </w:p>
    <w:p w14:paraId="4AC0643E" w14:textId="77777777" w:rsidR="00294F93" w:rsidRP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Moderate Participation: PI between 2.50 and 3.49</w:t>
      </w:r>
    </w:p>
    <w:p w14:paraId="51D28D0B" w14:textId="77777777" w:rsidR="00294F93" w:rsidRDefault="00294F93" w:rsidP="00294F93">
      <w:pPr>
        <w:spacing w:after="0" w:line="240" w:lineRule="auto"/>
        <w:jc w:val="both"/>
        <w:rPr>
          <w:rFonts w:ascii="Arial" w:eastAsia="Calibri" w:hAnsi="Arial" w:cs="Arial"/>
          <w:sz w:val="24"/>
          <w:szCs w:val="24"/>
        </w:rPr>
      </w:pPr>
      <w:r w:rsidRPr="00294F93">
        <w:rPr>
          <w:rFonts w:ascii="Arial" w:eastAsia="Calibri" w:hAnsi="Arial" w:cs="Arial"/>
          <w:sz w:val="24"/>
          <w:szCs w:val="24"/>
        </w:rPr>
        <w:t>High Participation: PI between 3.50 and 5.00</w:t>
      </w:r>
    </w:p>
    <w:p w14:paraId="1579B5C4" w14:textId="77777777" w:rsidR="002171DD" w:rsidRPr="00294F93" w:rsidRDefault="002171DD" w:rsidP="00294F93">
      <w:pPr>
        <w:spacing w:after="0" w:line="240" w:lineRule="auto"/>
        <w:jc w:val="both"/>
        <w:rPr>
          <w:rFonts w:ascii="Arial" w:eastAsia="Calibri" w:hAnsi="Arial" w:cs="Arial"/>
          <w:sz w:val="24"/>
          <w:szCs w:val="24"/>
        </w:rPr>
      </w:pPr>
    </w:p>
    <w:p w14:paraId="793EE0B7" w14:textId="1C1F8DC6" w:rsidR="00FF5611" w:rsidRDefault="00294F93" w:rsidP="002171DD">
      <w:pPr>
        <w:spacing w:after="0" w:line="240" w:lineRule="auto"/>
        <w:jc w:val="both"/>
        <w:rPr>
          <w:rFonts w:ascii="Arial" w:eastAsia="Calibri" w:hAnsi="Arial" w:cs="Arial"/>
          <w:sz w:val="24"/>
          <w:szCs w:val="24"/>
        </w:rPr>
      </w:pPr>
      <w:r w:rsidRPr="00294F93">
        <w:rPr>
          <w:rFonts w:ascii="Arial" w:eastAsia="Calibri" w:hAnsi="Arial" w:cs="Arial"/>
          <w:sz w:val="24"/>
          <w:szCs w:val="24"/>
        </w:rPr>
        <w:t xml:space="preserve">These classification thresholds align with the approach suggested by </w:t>
      </w:r>
      <w:proofErr w:type="spellStart"/>
      <w:r w:rsidR="00665BFF">
        <w:rPr>
          <w:rFonts w:ascii="Arial" w:eastAsia="Calibri" w:hAnsi="Arial" w:cs="Arial"/>
          <w:sz w:val="24"/>
          <w:szCs w:val="24"/>
        </w:rPr>
        <w:t>Chakrabartty</w:t>
      </w:r>
      <w:proofErr w:type="spellEnd"/>
      <w:r w:rsidR="00665BFF">
        <w:rPr>
          <w:rFonts w:ascii="Arial" w:eastAsia="Calibri" w:hAnsi="Arial" w:cs="Arial"/>
          <w:sz w:val="24"/>
          <w:szCs w:val="24"/>
        </w:rPr>
        <w:t xml:space="preserve"> </w:t>
      </w:r>
      <w:r w:rsidR="00665BFF">
        <w:rPr>
          <w:rFonts w:ascii="Arial" w:eastAsia="Calibri" w:hAnsi="Arial" w:cs="Arial"/>
          <w:sz w:val="24"/>
          <w:szCs w:val="24"/>
        </w:rPr>
        <w:fldChar w:fldCharType="begin" w:fldLock="1"/>
      </w:r>
      <w:r w:rsidR="00665BFF">
        <w:rPr>
          <w:rFonts w:ascii="Arial" w:eastAsia="Calibri" w:hAnsi="Arial" w:cs="Arial"/>
          <w:sz w:val="24"/>
          <w:szCs w:val="24"/>
        </w:rPr>
        <w:instrText>ADDIN CSL_CITATION {"citationItems":[{"id":"ITEM-1","itemData":{"DOI":"10.24874/PES02.03.010","ISSN":"26834111","abstract":"Three assumption-free approaches are described to convert and combine scores of Likert items with different response categories to obtain comparable test scores for a single sample. Generated data were continuous, equidistant, normally distributed, avoiding tied scores and thus facilitate ranking the respondents and undertaking analysis under parametric set up. Empirical verification was undertaken involving 5 items in each of 3, 4, 5 and 7-point scale to 100 subjects. Correlations at the level of 0.99 between a pair of approaches were observed with marginal difference in coefficient of variation (CV). Minimum CV and maximum alpha were found when test scores were obtained as sum of standardized equidistant item scores converted to [1, 5]. Thus, the said Approach appears to have advantages. Use of such methods of combining scores of Likert items is recommended for clear theoretical advantages and easiness in calculations. Future studies are suggested.","author":[{"dropping-particle":"","family":"Chakrabartty","given":"Satyendra Nath","non-dropping-particle":"","parse-names":false,"suffix":""}],"container-title":"Proceedings on Engineering Sciences","id":"ITEM-1","issue":"3","issued":{"date-parts":[["2020"]]},"page":"311-322","title":"Combining Likert Items With Different Number of Response Categories","type":"article-journal","volume":"2"},"suppress-author":1,"uris":["http://www.mendeley.com/documents/?uuid=5f86707c-6483-475a-8273-15ae307483ba"]}],"mendeley":{"formattedCitation":"(2020)","plainTextFormattedCitation":"(2020)","previouslyFormattedCitation":"(2020)"},"properties":{"noteIndex":0},"schema":"https://github.com/citation-style-language/schema/raw/master/csl-citation.json"}</w:instrText>
      </w:r>
      <w:r w:rsidR="00665BFF">
        <w:rPr>
          <w:rFonts w:ascii="Arial" w:eastAsia="Calibri" w:hAnsi="Arial" w:cs="Arial"/>
          <w:sz w:val="24"/>
          <w:szCs w:val="24"/>
        </w:rPr>
        <w:fldChar w:fldCharType="separate"/>
      </w:r>
      <w:r w:rsidR="00665BFF" w:rsidRPr="00665BFF">
        <w:rPr>
          <w:rFonts w:ascii="Arial" w:eastAsia="Calibri" w:hAnsi="Arial" w:cs="Arial"/>
          <w:noProof/>
          <w:sz w:val="24"/>
          <w:szCs w:val="24"/>
        </w:rPr>
        <w:t>(2020)</w:t>
      </w:r>
      <w:r w:rsidR="00665BFF">
        <w:rPr>
          <w:rFonts w:ascii="Arial" w:eastAsia="Calibri" w:hAnsi="Arial" w:cs="Arial"/>
          <w:sz w:val="24"/>
          <w:szCs w:val="24"/>
        </w:rPr>
        <w:fldChar w:fldCharType="end"/>
      </w:r>
      <w:r w:rsidRPr="00294F93">
        <w:rPr>
          <w:rFonts w:ascii="Arial" w:eastAsia="Calibri" w:hAnsi="Arial" w:cs="Arial"/>
          <w:sz w:val="24"/>
          <w:szCs w:val="24"/>
        </w:rPr>
        <w:t>, who recommended dividing the Likert scale range into equal intervals to categorize response levels. This method provides a standardized framework for interpreting Likert scale data in educational and psychological research.</w:t>
      </w:r>
    </w:p>
    <w:p w14:paraId="7C3FB560" w14:textId="77777777" w:rsidR="002171DD" w:rsidRPr="002171DD" w:rsidRDefault="002171DD" w:rsidP="002171DD">
      <w:pPr>
        <w:spacing w:after="0" w:line="240" w:lineRule="auto"/>
        <w:jc w:val="both"/>
        <w:rPr>
          <w:rFonts w:ascii="Arial" w:eastAsia="Calibri" w:hAnsi="Arial" w:cs="Arial"/>
          <w:sz w:val="24"/>
          <w:szCs w:val="24"/>
        </w:rPr>
      </w:pPr>
    </w:p>
    <w:p w14:paraId="331E2F78" w14:textId="77777777" w:rsidR="00392AF8" w:rsidRPr="00270E62" w:rsidRDefault="002171DD" w:rsidP="00392AF8">
      <w:pPr>
        <w:pStyle w:val="ListParagraph"/>
        <w:numPr>
          <w:ilvl w:val="0"/>
          <w:numId w:val="2"/>
        </w:numPr>
        <w:jc w:val="both"/>
        <w:rPr>
          <w:rFonts w:ascii="Arial" w:hAnsi="Arial" w:cs="Arial"/>
          <w:b/>
          <w:sz w:val="24"/>
          <w:szCs w:val="24"/>
        </w:rPr>
      </w:pPr>
      <w:r w:rsidRPr="00270E62">
        <w:rPr>
          <w:rFonts w:ascii="Arial" w:hAnsi="Arial" w:cs="Arial"/>
          <w:b/>
          <w:sz w:val="24"/>
          <w:szCs w:val="24"/>
        </w:rPr>
        <w:t>RESULTS AND DISCUSSION</w:t>
      </w:r>
    </w:p>
    <w:p w14:paraId="280FD15B" w14:textId="77777777" w:rsidR="002171DD" w:rsidRPr="00270E62" w:rsidRDefault="002171DD" w:rsidP="002171DD">
      <w:pPr>
        <w:pStyle w:val="ListParagraph"/>
        <w:numPr>
          <w:ilvl w:val="1"/>
          <w:numId w:val="2"/>
        </w:numPr>
        <w:rPr>
          <w:rFonts w:ascii="Arial" w:hAnsi="Arial" w:cs="Arial"/>
          <w:b/>
          <w:sz w:val="24"/>
          <w:szCs w:val="24"/>
        </w:rPr>
      </w:pPr>
      <w:r w:rsidRPr="00270E62">
        <w:rPr>
          <w:rFonts w:ascii="Arial" w:hAnsi="Arial" w:cs="Arial"/>
          <w:b/>
          <w:sz w:val="24"/>
          <w:szCs w:val="24"/>
        </w:rPr>
        <w:t>Demographic Characteristics of Respondents</w:t>
      </w:r>
    </w:p>
    <w:p w14:paraId="01DF63D5"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This section presents the demographic profile of the respondents, providing context for understanding the level of community participation in rural road maintenance projects 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Key characteristics examined include age, gender, education level, employment status, income, and proximity to the road projects. These characteristics help interpret patterns of engagement in planning, implementat</w:t>
      </w:r>
      <w:r w:rsidR="00AE040C">
        <w:rPr>
          <w:rFonts w:ascii="Arial" w:hAnsi="Arial" w:cs="Arial"/>
          <w:sz w:val="24"/>
          <w:szCs w:val="24"/>
        </w:rPr>
        <w:t>ion, and monitoring activities.</w:t>
      </w:r>
    </w:p>
    <w:p w14:paraId="720598B3" w14:textId="24AAC869"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The results, summarized in Table 1, reveal important insights into community participation dynamics. The majority of participants were male (61.2%), indicating higher male involvement in road maintenance activities compared to females (38.8%). Nonetheless, the substantial female participation observed challenges traditional gender norms and aligns with </w:t>
      </w:r>
      <w:r w:rsidR="00665BFF">
        <w:rPr>
          <w:rFonts w:ascii="Arial" w:hAnsi="Arial" w:cs="Arial"/>
          <w:sz w:val="24"/>
          <w:szCs w:val="24"/>
        </w:rPr>
        <w:t xml:space="preserve">Dobbin </w:t>
      </w:r>
      <w:r w:rsidR="00665BFF">
        <w:rPr>
          <w:rFonts w:ascii="Arial" w:hAnsi="Arial" w:cs="Arial"/>
          <w:sz w:val="24"/>
          <w:szCs w:val="24"/>
        </w:rPr>
        <w:fldChar w:fldCharType="begin" w:fldLock="1"/>
      </w:r>
      <w:r w:rsidR="00665BFF">
        <w:rPr>
          <w:rFonts w:ascii="Arial" w:hAnsi="Arial" w:cs="Arial"/>
          <w:sz w:val="24"/>
          <w:szCs w:val="24"/>
        </w:rPr>
        <w:instrText>ADDIN CSL_CITATION {"citationItems":[{"id":"ITEM-1","itemData":{"DOI":"10.1080/08941920.2020.1772925","ISSN":"15210723","abstract":"There is increasing interest in the potential of source water protection to address chronic challenges with small systems and rural drinking water provision. Such a planning and management approach to increasing safe drinking water access, however, will likely require leveraging multi-stakeholder collaborative governance venues to this effect. This paper investigates the prospects of doing so using the case of California’s groundwater reform process known as the Sustainable Groundwater Management Act or SGMA. Interviews with drinking water stakeholders from small low-income communities in the San Joaquin Valley show how existing power and resource disparities limit the prospects of integrating rural drinking water priorities into regional planning. Long-term, more fundamental changes will be needed to meaningfully transform water management in this direction. Short-term state intervention is needed to protect equity and public good goals, raising potential contradictions between devolved water management and improved drinking water access that need to be addressed.","author":[{"dropping-particle":"","family":"Dobbin","given":"Kristin B.","non-dropping-particle":"","parse-names":false,"suffix":""}],"container-title":"Society and Natural Resources","id":"ITEM-1","issue":"12","issued":{"date-parts":[["2020"]]},"page":"1468-1485","publisher":"Routledge","title":"“Good Luck Fixing the Problem”: Small Low-Income Community Participation in Collaborative Groundwater Governance and Implications for Drinking Water Source Protection","type":"article-journal","volume":"33"},"suppress-author":1,"uris":["http://www.mendeley.com/documents/?uuid=a7cd7bb1-d985-4044-b191-36fd6cb794ed"]}],"mendeley":{"formattedCitation":"(2020)","plainTextFormattedCitation":"(2020)","previouslyFormattedCitation":"(2020)"},"properties":{"noteIndex":0},"schema":"https://github.com/citation-style-language/schema/raw/master/csl-citation.json"}</w:instrText>
      </w:r>
      <w:r w:rsidR="00665BFF">
        <w:rPr>
          <w:rFonts w:ascii="Arial" w:hAnsi="Arial" w:cs="Arial"/>
          <w:sz w:val="24"/>
          <w:szCs w:val="24"/>
        </w:rPr>
        <w:fldChar w:fldCharType="separate"/>
      </w:r>
      <w:r w:rsidR="00665BFF" w:rsidRPr="00665BFF">
        <w:rPr>
          <w:rFonts w:ascii="Arial" w:hAnsi="Arial" w:cs="Arial"/>
          <w:noProof/>
          <w:sz w:val="24"/>
          <w:szCs w:val="24"/>
        </w:rPr>
        <w:t>(2020)</w:t>
      </w:r>
      <w:r w:rsidR="00665BFF">
        <w:rPr>
          <w:rFonts w:ascii="Arial" w:hAnsi="Arial" w:cs="Arial"/>
          <w:sz w:val="24"/>
          <w:szCs w:val="24"/>
        </w:rPr>
        <w:fldChar w:fldCharType="end"/>
      </w:r>
      <w:r w:rsidRPr="00270E62">
        <w:rPr>
          <w:rFonts w:ascii="Arial" w:hAnsi="Arial" w:cs="Arial"/>
          <w:sz w:val="24"/>
          <w:szCs w:val="24"/>
        </w:rPr>
        <w:t>, who highlighted the increasing role of women in com</w:t>
      </w:r>
      <w:r>
        <w:rPr>
          <w:rFonts w:ascii="Arial" w:hAnsi="Arial" w:cs="Arial"/>
          <w:sz w:val="24"/>
          <w:szCs w:val="24"/>
        </w:rPr>
        <w:t>munity development initiatives.</w:t>
      </w:r>
    </w:p>
    <w:p w14:paraId="5BBFFF51" w14:textId="33ABC240" w:rsidR="00270E62" w:rsidRPr="00270E62" w:rsidRDefault="00270E62" w:rsidP="00270E62">
      <w:pPr>
        <w:jc w:val="both"/>
        <w:rPr>
          <w:rFonts w:ascii="Arial" w:hAnsi="Arial" w:cs="Arial"/>
          <w:sz w:val="24"/>
          <w:szCs w:val="24"/>
        </w:rPr>
      </w:pPr>
      <w:r w:rsidRPr="00270E62">
        <w:rPr>
          <w:rFonts w:ascii="Arial" w:hAnsi="Arial" w:cs="Arial"/>
          <w:sz w:val="24"/>
          <w:szCs w:val="24"/>
        </w:rPr>
        <w:t>Regarding age, most respondents were between 20 and 49 years, with the 30–39 age group representing the largest proportion (27.9%), followed by 20–29 (24.3%) and 40–49 (23.8%). This indicates that youths and middle-aged adults are more actively engaged in road maintenance pro</w:t>
      </w:r>
      <w:r w:rsidR="00665BFF">
        <w:rPr>
          <w:rFonts w:ascii="Arial" w:hAnsi="Arial" w:cs="Arial"/>
          <w:sz w:val="24"/>
          <w:szCs w:val="24"/>
        </w:rPr>
        <w:t>jects, consistent with Ong</w:t>
      </w:r>
      <w:r w:rsidRPr="00270E62">
        <w:rPr>
          <w:rFonts w:ascii="Arial" w:hAnsi="Arial" w:cs="Arial"/>
          <w:sz w:val="24"/>
          <w:szCs w:val="24"/>
        </w:rPr>
        <w:t xml:space="preserve"> et al.</w:t>
      </w:r>
      <w:r w:rsidR="00665BFF">
        <w:rPr>
          <w:rFonts w:ascii="Arial" w:hAnsi="Arial" w:cs="Arial"/>
          <w:sz w:val="24"/>
          <w:szCs w:val="24"/>
        </w:rPr>
        <w:fldChar w:fldCharType="begin" w:fldLock="1"/>
      </w:r>
      <w:r w:rsidR="004C0D44">
        <w:rPr>
          <w:rFonts w:ascii="Arial" w:hAnsi="Arial" w:cs="Arial"/>
          <w:sz w:val="24"/>
          <w:szCs w:val="24"/>
        </w:rPr>
        <w:instrText>ADDIN CSL_CITATION {"citationItems":[{"id":"ITEM-1","itemData":{"DOI":"10.3389/fpubh.2024.1335692","ISSN":"22962565","PMID":"38680931","abstract":"Background: Frequent social participation among older adults is associated with greater health. Although understanding how sex and gender influence social participation is important, particularly in developing sex-inclusive health promotion and preventive interventions, little is known about factors influencing engagement of older women and men in social activities. Aim: This study thus aimed to examine factors influencing social activities of older women and men. Methods: A mixed-method systematic review was conducted in nine electronic databases from inception to March 2023. The studies had to define social participation as activities with others and examine its influencing factors among community-dwelling older women and men. Data were analyzed using convergent synthesis design from a socio-ecological perspective. Results: Forty-nine studies, comprising 42 quantitative, five qualitative and two mixed method design were included. Themes identified concerned: (a) sociodemographic factors, (b) personal assets, (c) interpersonal relationships and commitments, (d) physical environment, and (e) societal norms and gender expectations. The findings identified the heterogeneous needs, preferences and inequalities faced by older women and men, considerations on sociocultural expectations and norms of each gender when engaging in social activities, and the importance of having adequate and accessible social spaces. Overall, this review identified more evidence on factors influencing social participation among women than in men. Conclusion: Special attention is needed among community care providers and healthcare professionals to co-design, implement or prescribe a combination of sex and gender-specific and neutral activities that interest both older women and men. Intersectoral collaborative actions, including public health advocates, gerontologists, policymakers, and land use planners, are needed to unify efforts to foster social inclusion by creating an age-friendly and sustainable healthy environment. More longitudinal studies are required to better understand social participation trajectories from a sex and gender perspective and identify factors influencing it. Systematic reviews registration: http://www.crd.york.ac.uk/PROSPERO, identifier [CRD42023392764].","author":[{"dropping-particle":"","family":"Ong","given":"Chuan Hong","non-dropping-particle":"","parse-names":false,"suffix":""},{"dropping-particle":"","family":"Pham","given":"Bang Linh","non-dropping-particle":"","parse-names":false,"suffix":""},{"dropping-particle":"","family":"Levasseur","given":"Mélanie","non-dropping-particle":"","parse-names":false,"suffix":""},{"dropping-particle":"","family":"Tan","given":"Guang Rong","non-dropping-particle":"","parse-names":false,"suffix":""},{"dropping-particle":"","family":"Seah","given":"Betsy","non-dropping-particle":"","parse-names":false,"suffix":""}],"container-title":"Frontiers in Public Health","id":"ITEM-1","issue":"April","issued":{"date-parts":[["2024"]]},"page":"1-18","title":"Sex and gender differences in social participation among community-dwelling older adults: a systematic review","type":"article-journal","volume":"12"},"suppress-author":1,"uris":["http://www.mendeley.com/documents/?uuid=11c86317-b88b-4d8c-8226-9bcbc33f7281"]}],"mendeley":{"formattedCitation":"(2024)","plainTextFormattedCitation":"(2024)","previouslyFormattedCitation":"(2024)"},"properties":{"noteIndex":0},"schema":"https://github.com/citation-style-language/schema/raw/master/csl-citation.json"}</w:instrText>
      </w:r>
      <w:r w:rsidR="00665BFF">
        <w:rPr>
          <w:rFonts w:ascii="Arial" w:hAnsi="Arial" w:cs="Arial"/>
          <w:sz w:val="24"/>
          <w:szCs w:val="24"/>
        </w:rPr>
        <w:fldChar w:fldCharType="separate"/>
      </w:r>
      <w:r w:rsidR="00665BFF" w:rsidRPr="00665BFF">
        <w:rPr>
          <w:rFonts w:ascii="Arial" w:hAnsi="Arial" w:cs="Arial"/>
          <w:noProof/>
          <w:sz w:val="24"/>
          <w:szCs w:val="24"/>
        </w:rPr>
        <w:t>(2024)</w:t>
      </w:r>
      <w:r w:rsidR="00665BFF">
        <w:rPr>
          <w:rFonts w:ascii="Arial" w:hAnsi="Arial" w:cs="Arial"/>
          <w:sz w:val="24"/>
          <w:szCs w:val="24"/>
        </w:rPr>
        <w:fldChar w:fldCharType="end"/>
      </w:r>
      <w:r w:rsidRPr="00270E62">
        <w:rPr>
          <w:rFonts w:ascii="Arial" w:hAnsi="Arial" w:cs="Arial"/>
          <w:sz w:val="24"/>
          <w:szCs w:val="24"/>
        </w:rPr>
        <w:t>, who reported that middle-aged individuals tend to participate more in community initiatives, while lower participation among younger and older groups reflects limited capacity</w:t>
      </w:r>
      <w:r>
        <w:rPr>
          <w:rFonts w:ascii="Arial" w:hAnsi="Arial" w:cs="Arial"/>
          <w:sz w:val="24"/>
          <w:szCs w:val="24"/>
        </w:rPr>
        <w:t xml:space="preserve"> or competing responsibilities.</w:t>
      </w:r>
    </w:p>
    <w:p w14:paraId="6FB2B3BE" w14:textId="455FA521" w:rsidR="00270E62" w:rsidRPr="00270E62" w:rsidRDefault="00270E62" w:rsidP="00270E62">
      <w:pPr>
        <w:jc w:val="both"/>
        <w:rPr>
          <w:rFonts w:ascii="Arial" w:hAnsi="Arial" w:cs="Arial"/>
          <w:sz w:val="24"/>
          <w:szCs w:val="24"/>
        </w:rPr>
      </w:pPr>
      <w:r w:rsidRPr="00270E62">
        <w:rPr>
          <w:rFonts w:ascii="Arial" w:hAnsi="Arial" w:cs="Arial"/>
          <w:sz w:val="24"/>
          <w:szCs w:val="24"/>
        </w:rPr>
        <w:t>In terms of education, the majority of respondents had completed at least secondary school, with 31.7% having secondary education, 27.9% holding tertiary qualifications, and 23.8% possessing a degree. This suggests that the community is well-positioned to engage in both technical and administrative aspects of road maintenance, contrasting with earlier findings linking rural participation to lower literac</w:t>
      </w:r>
      <w:r>
        <w:rPr>
          <w:rFonts w:ascii="Arial" w:hAnsi="Arial" w:cs="Arial"/>
          <w:sz w:val="24"/>
          <w:szCs w:val="24"/>
        </w:rPr>
        <w:t xml:space="preserve">y levels </w:t>
      </w:r>
      <w:r w:rsidR="004C0D44">
        <w:rPr>
          <w:rFonts w:ascii="Arial" w:hAnsi="Arial" w:cs="Arial"/>
          <w:sz w:val="24"/>
          <w:szCs w:val="24"/>
        </w:rPr>
        <w:fldChar w:fldCharType="begin" w:fldLock="1"/>
      </w:r>
      <w:r w:rsidR="004C0D44">
        <w:rPr>
          <w:rFonts w:ascii="Arial" w:hAnsi="Arial" w:cs="Arial"/>
          <w:sz w:val="24"/>
          <w:szCs w:val="24"/>
        </w:rPr>
        <w:instrText>ADDIN CSL_CITATION {"citationItems":[{"id":"ITEM-1","itemData":{"author":[{"dropping-particle":"","family":"Kiss","given":"Bernadett","non-dropping-particle":"","parse-names":false,"suffix":""},{"dropping-particle":"","family":"Sekulova","given":"Filka","non-dropping-particle":"","parse-names":false,"suffix":""},{"dropping-particle":"","family":"Hörschelmann","given":"Kathrin","non-dropping-particle":"","parse-names":false,"suffix":""},{"dropping-particle":"","family":"Salk","given":"Carl F","non-dropping-particle":"","parse-names":false,"suffix":""},{"dropping-particle":"","family":"Christine","given":"Wamsler Wakana Takahashi","non-dropping-particle":"","parse-names":false,"suffix":""}],"container-title":"Environmental Policy and Governance","id":"ITEM-1","issue":"3","issued":{"date-parts":[["2021"]]},"page":"1-26","title":"Citizen participation in the governance of nature-based solutions","type":"article-journal","volume":"1"},"uris":["http://www.mendeley.com/documents/?uuid=9ebb8b07-6880-4514-a0d8-c0133aa1eabf"]},{"id":"ITEM-2","itemData":{"DOI":"10.1002/sres.3051","ISSN":"10991743","abstract":"Effective governance of complex social-ecological systems requires diverse stakeholders to be engaged in meaningful participatory processes. Meaningful participation must be intelligible and significant to local actors and coherent within a broader, multilevel governance system. This study explores the complexities of participatory land and water governance in South Africa's Tsitsa River Catchment. Embedded within a transdisciplinary landscape restoration project (the Tsitsa Project), this study combines a diagram-based analysis of local actor mental models with a narrative-based analysis of participant observation data. Challenges, opportunities, and general principles are identified. Limited accessibility, resource constraints, and the legacy of centralised governance impede participation. The research identifies the critical role of local actors, particularly those with deep community ties, in driving inclusive processes. Building trust through face-to-face interactions and culturally appropriate communication strategies also emerged as vital elements for success. This research can inform participatory projects and interventions in rural and developing world contexts.","author":[{"dropping-particle":"","family":"Fry","given":"Anthony","non-dropping-particle":"","parse-names":false,"suffix":""},{"dropping-particle":"","family":"Clifford-Holmes","given":"Jai","non-dropping-particle":"","parse-names":false,"suffix":""},{"dropping-particle":"","family":"Palmer","given":"Carolyn","non-dropping-particle":"","parse-names":false,"suffix":""}],"container-title":"Systems Research and Behavioral Science","id":"ITEM-2","issue":"5","issued":{"date-parts":[["2024"]]},"page":"771-787","title":"A systemic analysis of participatory land and water governance in the Tsitsa River Catchment, South Africa","type":"article-journal","volume":"41"},"uris":["http://www.mendeley.com/documents/?uuid=b0d60874-fa50-4b17-b591-ad0441470966"]}],"mendeley":{"formattedCitation":"(Fry et al., 2024; Kiss et al., 2021)","plainTextFormattedCitation":"(Fry et al., 2024; Kiss et al., 2021)","previouslyFormattedCitation":"(Fry et al., 2024; Kiss et al., 2021)"},"properties":{"noteIndex":0},"schema":"https://github.com/citation-style-language/schema/raw/master/csl-citation.json"}</w:instrText>
      </w:r>
      <w:r w:rsidR="004C0D44">
        <w:rPr>
          <w:rFonts w:ascii="Arial" w:hAnsi="Arial" w:cs="Arial"/>
          <w:sz w:val="24"/>
          <w:szCs w:val="24"/>
        </w:rPr>
        <w:fldChar w:fldCharType="separate"/>
      </w:r>
      <w:r w:rsidR="004C0D44" w:rsidRPr="004C0D44">
        <w:rPr>
          <w:rFonts w:ascii="Arial" w:hAnsi="Arial" w:cs="Arial"/>
          <w:noProof/>
          <w:sz w:val="24"/>
          <w:szCs w:val="24"/>
        </w:rPr>
        <w:t>(Fry et al., 2024; Kiss et al., 2021)</w:t>
      </w:r>
      <w:r w:rsidR="004C0D44">
        <w:rPr>
          <w:rFonts w:ascii="Arial" w:hAnsi="Arial" w:cs="Arial"/>
          <w:sz w:val="24"/>
          <w:szCs w:val="24"/>
        </w:rPr>
        <w:fldChar w:fldCharType="end"/>
      </w:r>
      <w:r>
        <w:rPr>
          <w:rFonts w:ascii="Arial" w:hAnsi="Arial" w:cs="Arial"/>
          <w:sz w:val="24"/>
          <w:szCs w:val="24"/>
        </w:rPr>
        <w:t>.</w:t>
      </w:r>
    </w:p>
    <w:p w14:paraId="35A680C0"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Employment status data showed that most respondents were self-employed (62.8%), reflecting flexible livelihoods that facilitate involvement in communal activities, consistent with URT (2021) observations of informal employment prevalence in rural Tanzania. Unemployed respondents (19.9%) were more available but faced economic constraints, while formally employed individuals (17.2%) were limited by time despite</w:t>
      </w:r>
      <w:r>
        <w:rPr>
          <w:rFonts w:ascii="Arial" w:hAnsi="Arial" w:cs="Arial"/>
          <w:sz w:val="24"/>
          <w:szCs w:val="24"/>
        </w:rPr>
        <w:t xml:space="preserve"> potentially greater resources.</w:t>
      </w:r>
    </w:p>
    <w:p w14:paraId="4FA621FC" w14:textId="71890FE2" w:rsidR="00270E62" w:rsidRPr="00270E62" w:rsidRDefault="00270E62" w:rsidP="00270E62">
      <w:pPr>
        <w:jc w:val="both"/>
        <w:rPr>
          <w:rFonts w:ascii="Arial" w:hAnsi="Arial" w:cs="Arial"/>
          <w:sz w:val="24"/>
          <w:szCs w:val="24"/>
        </w:rPr>
      </w:pPr>
      <w:r w:rsidRPr="00270E62">
        <w:rPr>
          <w:rFonts w:ascii="Arial" w:hAnsi="Arial" w:cs="Arial"/>
          <w:sz w:val="24"/>
          <w:szCs w:val="24"/>
        </w:rPr>
        <w:lastRenderedPageBreak/>
        <w:t xml:space="preserve">Analysis of income levels revealed that 44.5% of respondents earned between TSH 500,001–1,000,000, followed by 37.4% earning TSH 100,000–300,000. This indicates a moderate-income population likely to contribute </w:t>
      </w:r>
      <w:proofErr w:type="spellStart"/>
      <w:r w:rsidRPr="00270E62">
        <w:rPr>
          <w:rFonts w:ascii="Arial" w:hAnsi="Arial" w:cs="Arial"/>
          <w:sz w:val="24"/>
          <w:szCs w:val="24"/>
        </w:rPr>
        <w:t>labor</w:t>
      </w:r>
      <w:proofErr w:type="spellEnd"/>
      <w:r w:rsidRPr="00270E62">
        <w:rPr>
          <w:rFonts w:ascii="Arial" w:hAnsi="Arial" w:cs="Arial"/>
          <w:sz w:val="24"/>
          <w:szCs w:val="24"/>
        </w:rPr>
        <w:t xml:space="preserve"> and time rather than financial resources, al</w:t>
      </w:r>
      <w:r w:rsidR="004C0D44">
        <w:rPr>
          <w:rFonts w:ascii="Arial" w:hAnsi="Arial" w:cs="Arial"/>
          <w:sz w:val="24"/>
          <w:szCs w:val="24"/>
        </w:rPr>
        <w:t xml:space="preserve">igning with Kaiser and Barstow </w:t>
      </w:r>
      <w:r w:rsidR="004C0D44">
        <w:rPr>
          <w:rFonts w:ascii="Arial" w:hAnsi="Arial" w:cs="Arial"/>
          <w:sz w:val="24"/>
          <w:szCs w:val="24"/>
        </w:rPr>
        <w:fldChar w:fldCharType="begin" w:fldLock="1"/>
      </w:r>
      <w:r w:rsidR="00EA20C8">
        <w:rPr>
          <w:rFonts w:ascii="Arial" w:hAnsi="Arial" w:cs="Arial"/>
          <w:sz w:val="24"/>
          <w:szCs w:val="24"/>
        </w:rPr>
        <w:instrText>ADDIN CSL_CITATION {"citationItems":[{"id":"ITEM-1","itemData":{"DOI":"10.3390/su14042149","ISSN":"20711050","abstract":"The rural transport infrastructure sector is a critical force for sustainable development that is interwoven with many other sectors. Rural transportation is an underlying driver of many of the Sustainable Development Goals (SDGs) and a crucial contributor to many socioeconomic benefits for rural people around the world. This review paper expands upon, enhances, and cross-references the perspectives outlined in previous rural infrastructure-focused review papers. Firstly, this work gives a thorough look into the progress of the rural transportation sector in recent years by focusing on the thematic relationships between infrastructure and other components of sustainable development, namely, economics and agriculture, policy and governance, health, gender, education, and climate change and the environment. Secondly, several strategies, approaches, and tools employed by governments and practitioners within the rural transport sector are analyzed and discussed for their contributions to the wellbeing of rural dwellers in low-and middle-income countries (LMICs). These include rural roads, bridges, maintenance, and non-infrastructural approaches that include concepts such as advanced technological innovations, intermediate modes of transport (IMTs), and transport services. This paper concludes that enhancement, improvement, and extension of rural transportation infrastructure brings significant benefits to rural dwellers. However, this paper also calls for additional integration of the sector and increased usage of systems approaches that view rural transport as an active part of many other sectors and a key leverage point within rural development as a whole. Further, this paper notes areas for future research and investigation, including increased investigation of the relationship between rural transportation infrastructure and education, improved data collection and management in support of improved policymaking, improved prioritization of interventions and institutionalization of maintenance, and expansion of pro-poor transportation strategies and interventions.","author":[{"dropping-particle":"","family":"Kaiser","given":"Noah","non-dropping-particle":"","parse-names":false,"suffix":""},{"dropping-particle":"","family":"Barstow","given":"Christina K.","non-dropping-particle":"","parse-names":false,"suffix":""}],"container-title":"Sustainability (Switzerland)","id":"ITEM-1","issue":"4","issued":{"date-parts":[["2022"]]},"page":"1-48","title":"Rural Transportation Infrastructure in Low-and Middle-Income Countries: A Review of Impacts, Implications, and Interventions","type":"article-journal","volume":"14"},"suppress-author":1,"uris":["http://www.mendeley.com/documents/?uuid=b0529b29-d810-40cb-8feb-7e3065c79552"]}],"mendeley":{"formattedCitation":"(2022)","plainTextFormattedCitation":"(2022)","previouslyFormattedCitation":"(2022)"},"properties":{"noteIndex":0},"schema":"https://github.com/citation-style-language/schema/raw/master/csl-citation.json"}</w:instrText>
      </w:r>
      <w:r w:rsidR="004C0D44">
        <w:rPr>
          <w:rFonts w:ascii="Arial" w:hAnsi="Arial" w:cs="Arial"/>
          <w:sz w:val="24"/>
          <w:szCs w:val="24"/>
        </w:rPr>
        <w:fldChar w:fldCharType="separate"/>
      </w:r>
      <w:r w:rsidR="004C0D44" w:rsidRPr="004C0D44">
        <w:rPr>
          <w:rFonts w:ascii="Arial" w:hAnsi="Arial" w:cs="Arial"/>
          <w:noProof/>
          <w:sz w:val="24"/>
          <w:szCs w:val="24"/>
        </w:rPr>
        <w:t>(2022)</w:t>
      </w:r>
      <w:r w:rsidR="004C0D44">
        <w:rPr>
          <w:rFonts w:ascii="Arial" w:hAnsi="Arial" w:cs="Arial"/>
          <w:sz w:val="24"/>
          <w:szCs w:val="24"/>
        </w:rPr>
        <w:fldChar w:fldCharType="end"/>
      </w:r>
      <w:r w:rsidRPr="00270E62">
        <w:rPr>
          <w:rFonts w:ascii="Arial" w:hAnsi="Arial" w:cs="Arial"/>
          <w:sz w:val="24"/>
          <w:szCs w:val="24"/>
        </w:rPr>
        <w:t>, who noted that wealthier individuals tend to be less i</w:t>
      </w:r>
      <w:r>
        <w:rPr>
          <w:rFonts w:ascii="Arial" w:hAnsi="Arial" w:cs="Arial"/>
          <w:sz w:val="24"/>
          <w:szCs w:val="24"/>
        </w:rPr>
        <w:t>nvolved in grassroots projects.</w:t>
      </w:r>
    </w:p>
    <w:p w14:paraId="3372B164" w14:textId="5BD20DB7" w:rsidR="00270E62" w:rsidRPr="00270E62" w:rsidRDefault="00270E62" w:rsidP="00270E62">
      <w:pPr>
        <w:jc w:val="both"/>
        <w:rPr>
          <w:rFonts w:ascii="Arial" w:hAnsi="Arial" w:cs="Arial"/>
          <w:sz w:val="24"/>
          <w:szCs w:val="24"/>
        </w:rPr>
      </w:pPr>
      <w:r w:rsidRPr="00270E62">
        <w:rPr>
          <w:rFonts w:ascii="Arial" w:hAnsi="Arial" w:cs="Arial"/>
          <w:sz w:val="24"/>
          <w:szCs w:val="24"/>
        </w:rPr>
        <w:t>Finally, proximity to the road projects was notable, with 74.3% of respondents residing within 1–3 kilometres. This supports findings by</w:t>
      </w:r>
      <w:r w:rsidR="00EA20C8">
        <w:rPr>
          <w:rFonts w:ascii="Arial" w:hAnsi="Arial" w:cs="Arial"/>
          <w:sz w:val="24"/>
          <w:szCs w:val="24"/>
        </w:rPr>
        <w:t xml:space="preserve"> </w:t>
      </w:r>
      <w:proofErr w:type="spellStart"/>
      <w:r w:rsidR="00EA20C8">
        <w:rPr>
          <w:rFonts w:ascii="Arial" w:hAnsi="Arial" w:cs="Arial"/>
          <w:sz w:val="24"/>
          <w:szCs w:val="24"/>
        </w:rPr>
        <w:t>Touchton</w:t>
      </w:r>
      <w:proofErr w:type="spellEnd"/>
      <w:r w:rsidR="00EA20C8">
        <w:rPr>
          <w:rFonts w:ascii="Arial" w:hAnsi="Arial" w:cs="Arial"/>
          <w:sz w:val="24"/>
          <w:szCs w:val="24"/>
        </w:rPr>
        <w:t xml:space="preserve"> et al.</w:t>
      </w:r>
      <w:r w:rsidR="00EA20C8">
        <w:rPr>
          <w:rFonts w:ascii="Arial" w:hAnsi="Arial" w:cs="Arial"/>
          <w:sz w:val="24"/>
          <w:szCs w:val="24"/>
        </w:rPr>
        <w:fldChar w:fldCharType="begin" w:fldLock="1"/>
      </w:r>
      <w:r w:rsidR="00EA20C8">
        <w:rPr>
          <w:rFonts w:ascii="Arial" w:hAnsi="Arial" w:cs="Arial"/>
          <w:sz w:val="24"/>
          <w:szCs w:val="24"/>
        </w:rPr>
        <w:instrText>ADDIN CSL_CITATION {"citationItems":[{"id":"ITEM-1","itemData":{"DOI":"10.1177/00027642221086957","ISSN":"15523381","abstract":"Participatory budgeting (PB) is designed to leverage local knowledge about community needs and translate spending preferences into tangible community development action by giving communities control over key budgetary resources. Moreover, PB participants learn about decision-making processes in development policy and can organize to pursue their communities’ interests beyond the PB process by engaging with government and civil society. PB advocates hope that infrastructure, service delivery, and, ultimately, well-being will improve for underserved communities and groups that have been historically excluded from the perspective of representative democracy. This article presents the theoretical logic connecting PB to community development and summarizes the global evidence from studies that test the theoretical propositions above. We find evidence for PB’s impact on community development performance in several important contexts. However, we also note that many hypotheses have yet to be tested in rigorous, large-N, comparative studies. There is thus considerable room to evaluate PB’s impact in the future.","author":[{"dropping-particle":"","family":"Touchton","given":"Michael","non-dropping-particle":"","parse-names":false,"suffix":""},{"dropping-particle":"","family":"McNulty","given":"Stephanie","non-dropping-particle":"","parse-names":false,"suffix":""},{"dropping-particle":"","family":"Wampler","given":"Brian","non-dropping-particle":"","parse-names":false,"suffix":""}],"container-title":"American Behavioral Scientist","id":"ITEM-1","issue":"4","issued":{"date-parts":[["2023"]]},"page":"520-536","title":"Participatory Budgeting and Community Development: A Global Perspective","type":"article-journal","volume":"67"},"suppress-author":1,"uris":["http://www.mendeley.com/documents/?uuid=d6a1fda3-a597-4ae1-a049-c43ed0648a49"]}],"mendeley":{"formattedCitation":"(2023)","plainTextFormattedCitation":"(2023)","previouslyFormattedCitation":"(2023)"},"properties":{"noteIndex":0},"schema":"https://github.com/citation-style-language/schema/raw/master/csl-citation.json"}</w:instrText>
      </w:r>
      <w:r w:rsidR="00EA20C8">
        <w:rPr>
          <w:rFonts w:ascii="Arial" w:hAnsi="Arial" w:cs="Arial"/>
          <w:sz w:val="24"/>
          <w:szCs w:val="24"/>
        </w:rPr>
        <w:fldChar w:fldCharType="separate"/>
      </w:r>
      <w:r w:rsidR="00EA20C8" w:rsidRPr="00EA20C8">
        <w:rPr>
          <w:rFonts w:ascii="Arial" w:hAnsi="Arial" w:cs="Arial"/>
          <w:noProof/>
          <w:sz w:val="24"/>
          <w:szCs w:val="24"/>
        </w:rPr>
        <w:t>(2023)</w:t>
      </w:r>
      <w:r w:rsidR="00EA20C8">
        <w:rPr>
          <w:rFonts w:ascii="Arial" w:hAnsi="Arial" w:cs="Arial"/>
          <w:sz w:val="24"/>
          <w:szCs w:val="24"/>
        </w:rPr>
        <w:fldChar w:fldCharType="end"/>
      </w:r>
      <w:r w:rsidRPr="00270E62">
        <w:rPr>
          <w:rFonts w:ascii="Arial" w:hAnsi="Arial" w:cs="Arial"/>
          <w:sz w:val="24"/>
          <w:szCs w:val="24"/>
        </w:rPr>
        <w:t>, suggesting that closer proximity enhances participation due to a stronger sense of ownership and direct benefits from</w:t>
      </w:r>
      <w:r>
        <w:rPr>
          <w:rFonts w:ascii="Arial" w:hAnsi="Arial" w:cs="Arial"/>
          <w:sz w:val="24"/>
          <w:szCs w:val="24"/>
        </w:rPr>
        <w:t xml:space="preserve"> the maintained infrastructure.</w:t>
      </w:r>
    </w:p>
    <w:p w14:paraId="520C11EF" w14:textId="77777777" w:rsidR="002171DD" w:rsidRDefault="00270E62" w:rsidP="00270E62">
      <w:pPr>
        <w:jc w:val="both"/>
        <w:rPr>
          <w:rFonts w:ascii="Arial" w:hAnsi="Arial" w:cs="Arial"/>
          <w:sz w:val="24"/>
          <w:szCs w:val="24"/>
        </w:rPr>
      </w:pPr>
      <w:r w:rsidRPr="00270E62">
        <w:rPr>
          <w:rFonts w:ascii="Arial" w:hAnsi="Arial" w:cs="Arial"/>
          <w:sz w:val="24"/>
          <w:szCs w:val="24"/>
        </w:rPr>
        <w:t xml:space="preserve">Overall, these demographic patterns provide a comprehensive understanding of the level and nature of community participation in rural road maintenance projects 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highlighting which groups are more actively involved and how socio-economic and spatial factors influence engagement.</w:t>
      </w:r>
    </w:p>
    <w:p w14:paraId="3418D80A" w14:textId="77777777" w:rsidR="00270E62" w:rsidRDefault="00270E62" w:rsidP="00270E62">
      <w:pPr>
        <w:jc w:val="both"/>
        <w:rPr>
          <w:rFonts w:ascii="Arial" w:hAnsi="Arial" w:cs="Arial"/>
          <w:sz w:val="24"/>
          <w:szCs w:val="24"/>
        </w:rPr>
      </w:pPr>
    </w:p>
    <w:p w14:paraId="3824C5C9" w14:textId="77777777" w:rsidR="002171DD" w:rsidRPr="002171DD" w:rsidRDefault="002171DD" w:rsidP="002171DD">
      <w:pPr>
        <w:keepNext/>
        <w:spacing w:after="200" w:line="240" w:lineRule="auto"/>
        <w:jc w:val="center"/>
        <w:rPr>
          <w:rFonts w:ascii="Times New Roman" w:eastAsia="Calibri" w:hAnsi="Times New Roman" w:cs="Times New Roman"/>
          <w:b/>
          <w:bCs/>
          <w:sz w:val="24"/>
          <w:szCs w:val="24"/>
        </w:rPr>
      </w:pPr>
      <w:bookmarkStart w:id="0" w:name="_Toc198199010"/>
      <w:r w:rsidRPr="002171DD">
        <w:rPr>
          <w:rFonts w:ascii="Times New Roman" w:eastAsia="Calibri" w:hAnsi="Times New Roman" w:cs="Times New Roman"/>
          <w:b/>
          <w:bCs/>
          <w:sz w:val="24"/>
          <w:szCs w:val="24"/>
        </w:rPr>
        <w:t xml:space="preserve">Table </w:t>
      </w:r>
      <w:r w:rsidRPr="002171DD">
        <w:rPr>
          <w:rFonts w:ascii="Times New Roman" w:eastAsia="Calibri" w:hAnsi="Times New Roman" w:cs="Times New Roman"/>
          <w:b/>
          <w:bCs/>
          <w:sz w:val="24"/>
          <w:szCs w:val="24"/>
        </w:rPr>
        <w:fldChar w:fldCharType="begin"/>
      </w:r>
      <w:r w:rsidRPr="002171DD">
        <w:rPr>
          <w:rFonts w:ascii="Times New Roman" w:eastAsia="Calibri" w:hAnsi="Times New Roman" w:cs="Times New Roman"/>
          <w:b/>
          <w:bCs/>
          <w:sz w:val="24"/>
          <w:szCs w:val="24"/>
        </w:rPr>
        <w:instrText xml:space="preserve"> SEQ Table_4 \* ARABIC </w:instrText>
      </w:r>
      <w:r w:rsidRPr="002171DD">
        <w:rPr>
          <w:rFonts w:ascii="Times New Roman" w:eastAsia="Calibri" w:hAnsi="Times New Roman" w:cs="Times New Roman"/>
          <w:b/>
          <w:bCs/>
          <w:sz w:val="24"/>
          <w:szCs w:val="24"/>
        </w:rPr>
        <w:fldChar w:fldCharType="separate"/>
      </w:r>
      <w:r w:rsidRPr="002171DD">
        <w:rPr>
          <w:rFonts w:ascii="Times New Roman" w:eastAsia="Calibri" w:hAnsi="Times New Roman" w:cs="Times New Roman"/>
          <w:b/>
          <w:bCs/>
          <w:noProof/>
          <w:sz w:val="24"/>
          <w:szCs w:val="24"/>
        </w:rPr>
        <w:t>1</w:t>
      </w:r>
      <w:r w:rsidRPr="002171DD">
        <w:rPr>
          <w:rFonts w:ascii="Times New Roman" w:eastAsia="Calibri" w:hAnsi="Times New Roman" w:cs="Times New Roman"/>
          <w:b/>
          <w:bCs/>
          <w:sz w:val="24"/>
          <w:szCs w:val="24"/>
        </w:rPr>
        <w:fldChar w:fldCharType="end"/>
      </w:r>
      <w:r w:rsidRPr="002171DD">
        <w:rPr>
          <w:rFonts w:ascii="Times New Roman" w:eastAsia="Calibri" w:hAnsi="Times New Roman" w:cs="Times New Roman"/>
          <w:b/>
          <w:bCs/>
          <w:sz w:val="24"/>
          <w:szCs w:val="24"/>
        </w:rPr>
        <w:t>: Frequency Distribution of Respondents by Demographic Characteristics</w:t>
      </w:r>
      <w:bookmarkEnd w:id="0"/>
      <w:r w:rsidRPr="002171DD">
        <w:rPr>
          <w:rFonts w:ascii="Times New Roman" w:eastAsia="Calibri" w:hAnsi="Times New Roman" w:cs="Times New Roman"/>
          <w:b/>
          <w:bCs/>
          <w:sz w:val="24"/>
          <w:szCs w:val="24"/>
        </w:rPr>
        <w:t xml:space="preserve"> (n=399)</w:t>
      </w:r>
    </w:p>
    <w:tbl>
      <w:tblPr>
        <w:tblStyle w:val="TableGrid"/>
        <w:tblW w:w="8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1629"/>
        <w:gridCol w:w="1497"/>
      </w:tblGrid>
      <w:tr w:rsidR="002171DD" w:rsidRPr="002171DD" w14:paraId="004AA3CB" w14:textId="77777777" w:rsidTr="00876AA3">
        <w:trPr>
          <w:trHeight w:val="400"/>
        </w:trPr>
        <w:tc>
          <w:tcPr>
            <w:tcW w:w="5031" w:type="dxa"/>
            <w:tcBorders>
              <w:top w:val="single" w:sz="12" w:space="0" w:color="auto"/>
              <w:bottom w:val="single" w:sz="12" w:space="0" w:color="auto"/>
            </w:tcBorders>
            <w:noWrap/>
          </w:tcPr>
          <w:p w14:paraId="75C474CD"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Demographic Characteristics</w:t>
            </w:r>
          </w:p>
        </w:tc>
        <w:tc>
          <w:tcPr>
            <w:tcW w:w="1629" w:type="dxa"/>
            <w:tcBorders>
              <w:top w:val="single" w:sz="12" w:space="0" w:color="auto"/>
              <w:bottom w:val="single" w:sz="12" w:space="0" w:color="auto"/>
            </w:tcBorders>
            <w:noWrap/>
          </w:tcPr>
          <w:p w14:paraId="0CC1D2F0"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Frequency</w:t>
            </w:r>
          </w:p>
        </w:tc>
        <w:tc>
          <w:tcPr>
            <w:tcW w:w="1497" w:type="dxa"/>
            <w:tcBorders>
              <w:top w:val="single" w:sz="12" w:space="0" w:color="auto"/>
              <w:bottom w:val="single" w:sz="12" w:space="0" w:color="auto"/>
            </w:tcBorders>
            <w:noWrap/>
          </w:tcPr>
          <w:p w14:paraId="02C5FB6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Percent (%)</w:t>
            </w:r>
          </w:p>
        </w:tc>
      </w:tr>
      <w:tr w:rsidR="002171DD" w:rsidRPr="002171DD" w14:paraId="6E0D4EAD" w14:textId="77777777" w:rsidTr="00876AA3">
        <w:trPr>
          <w:trHeight w:val="304"/>
        </w:trPr>
        <w:tc>
          <w:tcPr>
            <w:tcW w:w="5031" w:type="dxa"/>
            <w:tcBorders>
              <w:top w:val="single" w:sz="12" w:space="0" w:color="auto"/>
            </w:tcBorders>
            <w:noWrap/>
          </w:tcPr>
          <w:p w14:paraId="4A7A6283"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Gender</w:t>
            </w:r>
          </w:p>
        </w:tc>
        <w:tc>
          <w:tcPr>
            <w:tcW w:w="1629" w:type="dxa"/>
            <w:tcBorders>
              <w:top w:val="single" w:sz="12" w:space="0" w:color="auto"/>
            </w:tcBorders>
            <w:noWrap/>
          </w:tcPr>
          <w:p w14:paraId="54221C2A" w14:textId="77777777" w:rsidR="002171DD" w:rsidRPr="002171DD" w:rsidRDefault="002171DD" w:rsidP="002171DD">
            <w:pPr>
              <w:rPr>
                <w:rFonts w:ascii="Arial" w:eastAsia="Aptos" w:hAnsi="Arial" w:cs="Arial"/>
                <w:sz w:val="20"/>
                <w:szCs w:val="20"/>
              </w:rPr>
            </w:pPr>
          </w:p>
        </w:tc>
        <w:tc>
          <w:tcPr>
            <w:tcW w:w="1497" w:type="dxa"/>
            <w:tcBorders>
              <w:top w:val="single" w:sz="12" w:space="0" w:color="auto"/>
            </w:tcBorders>
            <w:noWrap/>
          </w:tcPr>
          <w:p w14:paraId="3B9F6C5F" w14:textId="77777777" w:rsidR="002171DD" w:rsidRPr="002171DD" w:rsidRDefault="002171DD" w:rsidP="002171DD">
            <w:pPr>
              <w:rPr>
                <w:rFonts w:ascii="Arial" w:eastAsia="Aptos" w:hAnsi="Arial" w:cs="Arial"/>
                <w:sz w:val="20"/>
                <w:szCs w:val="20"/>
              </w:rPr>
            </w:pPr>
          </w:p>
        </w:tc>
      </w:tr>
      <w:tr w:rsidR="002171DD" w:rsidRPr="002171DD" w14:paraId="6713F0FB" w14:textId="77777777" w:rsidTr="00876AA3">
        <w:trPr>
          <w:trHeight w:val="304"/>
        </w:trPr>
        <w:tc>
          <w:tcPr>
            <w:tcW w:w="5031" w:type="dxa"/>
            <w:noWrap/>
          </w:tcPr>
          <w:p w14:paraId="0F903EB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Male</w:t>
            </w:r>
          </w:p>
        </w:tc>
        <w:tc>
          <w:tcPr>
            <w:tcW w:w="1629" w:type="dxa"/>
            <w:noWrap/>
          </w:tcPr>
          <w:p w14:paraId="2BC262F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244</w:t>
            </w:r>
          </w:p>
        </w:tc>
        <w:tc>
          <w:tcPr>
            <w:tcW w:w="1497" w:type="dxa"/>
            <w:noWrap/>
          </w:tcPr>
          <w:p w14:paraId="5B5BAD4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61.2</w:t>
            </w:r>
          </w:p>
        </w:tc>
      </w:tr>
      <w:tr w:rsidR="002171DD" w:rsidRPr="002171DD" w14:paraId="3A7E5A17" w14:textId="77777777" w:rsidTr="00876AA3">
        <w:trPr>
          <w:trHeight w:val="304"/>
        </w:trPr>
        <w:tc>
          <w:tcPr>
            <w:tcW w:w="5031" w:type="dxa"/>
            <w:noWrap/>
          </w:tcPr>
          <w:p w14:paraId="0310CC1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Female</w:t>
            </w:r>
          </w:p>
        </w:tc>
        <w:tc>
          <w:tcPr>
            <w:tcW w:w="1629" w:type="dxa"/>
            <w:noWrap/>
          </w:tcPr>
          <w:p w14:paraId="367342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155</w:t>
            </w:r>
          </w:p>
        </w:tc>
        <w:tc>
          <w:tcPr>
            <w:tcW w:w="1497" w:type="dxa"/>
            <w:noWrap/>
          </w:tcPr>
          <w:p w14:paraId="7ED7DE7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38.8</w:t>
            </w:r>
          </w:p>
        </w:tc>
      </w:tr>
      <w:tr w:rsidR="002171DD" w:rsidRPr="002171DD" w14:paraId="53A2FE85" w14:textId="77777777" w:rsidTr="00876AA3">
        <w:trPr>
          <w:trHeight w:val="304"/>
        </w:trPr>
        <w:tc>
          <w:tcPr>
            <w:tcW w:w="5031" w:type="dxa"/>
            <w:noWrap/>
          </w:tcPr>
          <w:p w14:paraId="1C52FCB3"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Age Group</w:t>
            </w:r>
          </w:p>
        </w:tc>
        <w:tc>
          <w:tcPr>
            <w:tcW w:w="1629" w:type="dxa"/>
            <w:noWrap/>
          </w:tcPr>
          <w:p w14:paraId="36B5186C" w14:textId="77777777" w:rsidR="002171DD" w:rsidRPr="002171DD" w:rsidRDefault="002171DD" w:rsidP="002171DD">
            <w:pPr>
              <w:rPr>
                <w:rFonts w:ascii="Arial" w:eastAsia="Aptos" w:hAnsi="Arial" w:cs="Arial"/>
                <w:sz w:val="20"/>
                <w:szCs w:val="20"/>
              </w:rPr>
            </w:pPr>
          </w:p>
        </w:tc>
        <w:tc>
          <w:tcPr>
            <w:tcW w:w="1497" w:type="dxa"/>
            <w:noWrap/>
          </w:tcPr>
          <w:p w14:paraId="5C76C651" w14:textId="77777777" w:rsidR="002171DD" w:rsidRPr="002171DD" w:rsidRDefault="002171DD" w:rsidP="002171DD">
            <w:pPr>
              <w:rPr>
                <w:rFonts w:ascii="Arial" w:eastAsia="Aptos" w:hAnsi="Arial" w:cs="Arial"/>
                <w:sz w:val="20"/>
                <w:szCs w:val="20"/>
              </w:rPr>
            </w:pPr>
          </w:p>
        </w:tc>
      </w:tr>
      <w:tr w:rsidR="002171DD" w:rsidRPr="002171DD" w14:paraId="06F6F30D" w14:textId="77777777" w:rsidTr="00876AA3">
        <w:trPr>
          <w:trHeight w:val="304"/>
        </w:trPr>
        <w:tc>
          <w:tcPr>
            <w:tcW w:w="5031" w:type="dxa"/>
            <w:noWrap/>
          </w:tcPr>
          <w:p w14:paraId="2F0B202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Below 20 years</w:t>
            </w:r>
          </w:p>
        </w:tc>
        <w:tc>
          <w:tcPr>
            <w:tcW w:w="1629" w:type="dxa"/>
            <w:noWrap/>
          </w:tcPr>
          <w:p w14:paraId="58DCC72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55</w:t>
            </w:r>
          </w:p>
        </w:tc>
        <w:tc>
          <w:tcPr>
            <w:tcW w:w="1497" w:type="dxa"/>
            <w:noWrap/>
          </w:tcPr>
          <w:p w14:paraId="28D1780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13.8</w:t>
            </w:r>
          </w:p>
        </w:tc>
      </w:tr>
      <w:tr w:rsidR="002171DD" w:rsidRPr="002171DD" w14:paraId="79E8CC3B" w14:textId="77777777" w:rsidTr="00876AA3">
        <w:trPr>
          <w:trHeight w:val="304"/>
        </w:trPr>
        <w:tc>
          <w:tcPr>
            <w:tcW w:w="5031" w:type="dxa"/>
            <w:noWrap/>
          </w:tcPr>
          <w:p w14:paraId="4AD6DDE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20–29 years</w:t>
            </w:r>
          </w:p>
        </w:tc>
        <w:tc>
          <w:tcPr>
            <w:tcW w:w="1629" w:type="dxa"/>
            <w:noWrap/>
          </w:tcPr>
          <w:p w14:paraId="300C299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97</w:t>
            </w:r>
          </w:p>
        </w:tc>
        <w:tc>
          <w:tcPr>
            <w:tcW w:w="1497" w:type="dxa"/>
            <w:noWrap/>
          </w:tcPr>
          <w:p w14:paraId="5DA40F3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24.3</w:t>
            </w:r>
          </w:p>
        </w:tc>
      </w:tr>
      <w:tr w:rsidR="002171DD" w:rsidRPr="002171DD" w14:paraId="330FDD1D" w14:textId="77777777" w:rsidTr="00876AA3">
        <w:trPr>
          <w:trHeight w:val="304"/>
        </w:trPr>
        <w:tc>
          <w:tcPr>
            <w:tcW w:w="5031" w:type="dxa"/>
            <w:noWrap/>
          </w:tcPr>
          <w:p w14:paraId="72EFDB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30–39 years</w:t>
            </w:r>
          </w:p>
        </w:tc>
        <w:tc>
          <w:tcPr>
            <w:tcW w:w="1629" w:type="dxa"/>
            <w:noWrap/>
          </w:tcPr>
          <w:p w14:paraId="76B3B06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111</w:t>
            </w:r>
          </w:p>
        </w:tc>
        <w:tc>
          <w:tcPr>
            <w:tcW w:w="1497" w:type="dxa"/>
            <w:noWrap/>
          </w:tcPr>
          <w:p w14:paraId="668262A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27.8</w:t>
            </w:r>
          </w:p>
        </w:tc>
      </w:tr>
      <w:tr w:rsidR="002171DD" w:rsidRPr="002171DD" w14:paraId="5E54D96E" w14:textId="77777777" w:rsidTr="00876AA3">
        <w:trPr>
          <w:trHeight w:val="304"/>
        </w:trPr>
        <w:tc>
          <w:tcPr>
            <w:tcW w:w="5031" w:type="dxa"/>
            <w:noWrap/>
          </w:tcPr>
          <w:p w14:paraId="02A274B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40–49 years</w:t>
            </w:r>
          </w:p>
        </w:tc>
        <w:tc>
          <w:tcPr>
            <w:tcW w:w="1629" w:type="dxa"/>
            <w:noWrap/>
          </w:tcPr>
          <w:p w14:paraId="2D640F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95</w:t>
            </w:r>
          </w:p>
        </w:tc>
        <w:tc>
          <w:tcPr>
            <w:tcW w:w="1497" w:type="dxa"/>
            <w:noWrap/>
          </w:tcPr>
          <w:p w14:paraId="72A27AF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23.8</w:t>
            </w:r>
          </w:p>
        </w:tc>
      </w:tr>
      <w:tr w:rsidR="002171DD" w:rsidRPr="002171DD" w14:paraId="266474A1" w14:textId="77777777" w:rsidTr="00876AA3">
        <w:trPr>
          <w:trHeight w:val="304"/>
        </w:trPr>
        <w:tc>
          <w:tcPr>
            <w:tcW w:w="5031" w:type="dxa"/>
            <w:noWrap/>
          </w:tcPr>
          <w:p w14:paraId="782640AD"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50 and above years</w:t>
            </w:r>
          </w:p>
        </w:tc>
        <w:tc>
          <w:tcPr>
            <w:tcW w:w="1629" w:type="dxa"/>
            <w:noWrap/>
          </w:tcPr>
          <w:p w14:paraId="6E8C266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41</w:t>
            </w:r>
          </w:p>
        </w:tc>
        <w:tc>
          <w:tcPr>
            <w:tcW w:w="1497" w:type="dxa"/>
            <w:noWrap/>
          </w:tcPr>
          <w:p w14:paraId="11A949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10.3</w:t>
            </w:r>
          </w:p>
        </w:tc>
      </w:tr>
      <w:tr w:rsidR="002171DD" w:rsidRPr="002171DD" w14:paraId="6D186DD2" w14:textId="77777777" w:rsidTr="00876AA3">
        <w:trPr>
          <w:trHeight w:val="304"/>
        </w:trPr>
        <w:tc>
          <w:tcPr>
            <w:tcW w:w="5031" w:type="dxa"/>
            <w:noWrap/>
          </w:tcPr>
          <w:p w14:paraId="76DB1675"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Level of Education</w:t>
            </w:r>
          </w:p>
        </w:tc>
        <w:tc>
          <w:tcPr>
            <w:tcW w:w="1629" w:type="dxa"/>
            <w:noWrap/>
          </w:tcPr>
          <w:p w14:paraId="4DF97BC4" w14:textId="77777777" w:rsidR="002171DD" w:rsidRPr="002171DD" w:rsidRDefault="002171DD" w:rsidP="002171DD">
            <w:pPr>
              <w:rPr>
                <w:rFonts w:ascii="Arial" w:eastAsia="Aptos" w:hAnsi="Arial" w:cs="Arial"/>
                <w:sz w:val="20"/>
                <w:szCs w:val="20"/>
              </w:rPr>
            </w:pPr>
          </w:p>
        </w:tc>
        <w:tc>
          <w:tcPr>
            <w:tcW w:w="1497" w:type="dxa"/>
            <w:noWrap/>
          </w:tcPr>
          <w:p w14:paraId="770DF261" w14:textId="77777777" w:rsidR="002171DD" w:rsidRPr="002171DD" w:rsidRDefault="002171DD" w:rsidP="002171DD">
            <w:pPr>
              <w:rPr>
                <w:rFonts w:ascii="Arial" w:eastAsia="Aptos" w:hAnsi="Arial" w:cs="Arial"/>
                <w:sz w:val="20"/>
                <w:szCs w:val="20"/>
              </w:rPr>
            </w:pPr>
          </w:p>
        </w:tc>
      </w:tr>
      <w:tr w:rsidR="002171DD" w:rsidRPr="002171DD" w14:paraId="4384562B" w14:textId="77777777" w:rsidTr="00876AA3">
        <w:trPr>
          <w:trHeight w:val="304"/>
        </w:trPr>
        <w:tc>
          <w:tcPr>
            <w:tcW w:w="5031" w:type="dxa"/>
            <w:noWrap/>
          </w:tcPr>
          <w:p w14:paraId="5D39F16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No formal education</w:t>
            </w:r>
          </w:p>
        </w:tc>
        <w:tc>
          <w:tcPr>
            <w:tcW w:w="1629" w:type="dxa"/>
            <w:noWrap/>
          </w:tcPr>
          <w:p w14:paraId="12EF97E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24</w:t>
            </w:r>
          </w:p>
        </w:tc>
        <w:tc>
          <w:tcPr>
            <w:tcW w:w="1497" w:type="dxa"/>
            <w:noWrap/>
          </w:tcPr>
          <w:p w14:paraId="0CA2257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6.0</w:t>
            </w:r>
          </w:p>
        </w:tc>
      </w:tr>
      <w:tr w:rsidR="002171DD" w:rsidRPr="002171DD" w14:paraId="54F923CF" w14:textId="77777777" w:rsidTr="00876AA3">
        <w:trPr>
          <w:trHeight w:val="304"/>
        </w:trPr>
        <w:tc>
          <w:tcPr>
            <w:tcW w:w="5031" w:type="dxa"/>
            <w:noWrap/>
          </w:tcPr>
          <w:p w14:paraId="46EA86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Primary education</w:t>
            </w:r>
          </w:p>
        </w:tc>
        <w:tc>
          <w:tcPr>
            <w:tcW w:w="1629" w:type="dxa"/>
            <w:noWrap/>
          </w:tcPr>
          <w:p w14:paraId="2E43AA1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43</w:t>
            </w:r>
          </w:p>
        </w:tc>
        <w:tc>
          <w:tcPr>
            <w:tcW w:w="1497" w:type="dxa"/>
            <w:noWrap/>
          </w:tcPr>
          <w:p w14:paraId="74E01E5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10.8</w:t>
            </w:r>
          </w:p>
        </w:tc>
      </w:tr>
      <w:tr w:rsidR="002171DD" w:rsidRPr="002171DD" w14:paraId="6CC089FA" w14:textId="77777777" w:rsidTr="00876AA3">
        <w:trPr>
          <w:trHeight w:val="304"/>
        </w:trPr>
        <w:tc>
          <w:tcPr>
            <w:tcW w:w="5031" w:type="dxa"/>
            <w:noWrap/>
          </w:tcPr>
          <w:p w14:paraId="74DF903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Secondary education</w:t>
            </w:r>
          </w:p>
        </w:tc>
        <w:tc>
          <w:tcPr>
            <w:tcW w:w="1629" w:type="dxa"/>
            <w:noWrap/>
          </w:tcPr>
          <w:p w14:paraId="3FAB996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126</w:t>
            </w:r>
          </w:p>
        </w:tc>
        <w:tc>
          <w:tcPr>
            <w:tcW w:w="1497" w:type="dxa"/>
            <w:noWrap/>
          </w:tcPr>
          <w:p w14:paraId="3528794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31.6</w:t>
            </w:r>
          </w:p>
        </w:tc>
      </w:tr>
      <w:tr w:rsidR="002171DD" w:rsidRPr="002171DD" w14:paraId="1E144C1E" w14:textId="77777777" w:rsidTr="00876AA3">
        <w:trPr>
          <w:trHeight w:val="304"/>
        </w:trPr>
        <w:tc>
          <w:tcPr>
            <w:tcW w:w="5031" w:type="dxa"/>
            <w:noWrap/>
          </w:tcPr>
          <w:p w14:paraId="317A341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Tertiary education</w:t>
            </w:r>
          </w:p>
        </w:tc>
        <w:tc>
          <w:tcPr>
            <w:tcW w:w="1629" w:type="dxa"/>
            <w:noWrap/>
          </w:tcPr>
          <w:p w14:paraId="382CD1A3"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111</w:t>
            </w:r>
          </w:p>
        </w:tc>
        <w:tc>
          <w:tcPr>
            <w:tcW w:w="1497" w:type="dxa"/>
            <w:noWrap/>
          </w:tcPr>
          <w:p w14:paraId="2A73230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27.8</w:t>
            </w:r>
          </w:p>
        </w:tc>
      </w:tr>
      <w:tr w:rsidR="002171DD" w:rsidRPr="002171DD" w14:paraId="01141A35" w14:textId="77777777" w:rsidTr="00876AA3">
        <w:trPr>
          <w:trHeight w:val="304"/>
        </w:trPr>
        <w:tc>
          <w:tcPr>
            <w:tcW w:w="5031" w:type="dxa"/>
            <w:noWrap/>
          </w:tcPr>
          <w:p w14:paraId="0BB8DCB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Degree</w:t>
            </w:r>
          </w:p>
        </w:tc>
        <w:tc>
          <w:tcPr>
            <w:tcW w:w="1629" w:type="dxa"/>
            <w:noWrap/>
          </w:tcPr>
          <w:p w14:paraId="4DF711D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95</w:t>
            </w:r>
          </w:p>
        </w:tc>
        <w:tc>
          <w:tcPr>
            <w:tcW w:w="1497" w:type="dxa"/>
            <w:noWrap/>
          </w:tcPr>
          <w:p w14:paraId="1A7477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23.8</w:t>
            </w:r>
          </w:p>
        </w:tc>
      </w:tr>
      <w:tr w:rsidR="002171DD" w:rsidRPr="002171DD" w14:paraId="6A384B8C" w14:textId="77777777" w:rsidTr="00876AA3">
        <w:trPr>
          <w:trHeight w:val="304"/>
        </w:trPr>
        <w:tc>
          <w:tcPr>
            <w:tcW w:w="5031" w:type="dxa"/>
            <w:noWrap/>
          </w:tcPr>
          <w:p w14:paraId="7B3E1A8C"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Employment Status</w:t>
            </w:r>
          </w:p>
        </w:tc>
        <w:tc>
          <w:tcPr>
            <w:tcW w:w="1629" w:type="dxa"/>
            <w:noWrap/>
          </w:tcPr>
          <w:p w14:paraId="188D6F04" w14:textId="77777777" w:rsidR="002171DD" w:rsidRPr="002171DD" w:rsidRDefault="002171DD" w:rsidP="002171DD">
            <w:pPr>
              <w:rPr>
                <w:rFonts w:ascii="Arial" w:eastAsia="Aptos" w:hAnsi="Arial" w:cs="Arial"/>
                <w:sz w:val="20"/>
                <w:szCs w:val="20"/>
              </w:rPr>
            </w:pPr>
          </w:p>
        </w:tc>
        <w:tc>
          <w:tcPr>
            <w:tcW w:w="1497" w:type="dxa"/>
            <w:noWrap/>
          </w:tcPr>
          <w:p w14:paraId="04E898BD" w14:textId="77777777" w:rsidR="002171DD" w:rsidRPr="002171DD" w:rsidRDefault="002171DD" w:rsidP="002171DD">
            <w:pPr>
              <w:rPr>
                <w:rFonts w:ascii="Arial" w:eastAsia="Aptos" w:hAnsi="Arial" w:cs="Arial"/>
                <w:sz w:val="20"/>
                <w:szCs w:val="20"/>
              </w:rPr>
            </w:pPr>
          </w:p>
        </w:tc>
      </w:tr>
      <w:tr w:rsidR="002171DD" w:rsidRPr="002171DD" w14:paraId="3995B553" w14:textId="77777777" w:rsidTr="00876AA3">
        <w:trPr>
          <w:trHeight w:val="304"/>
        </w:trPr>
        <w:tc>
          <w:tcPr>
            <w:tcW w:w="5031" w:type="dxa"/>
            <w:noWrap/>
          </w:tcPr>
          <w:p w14:paraId="0CB71F3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Employed</w:t>
            </w:r>
          </w:p>
        </w:tc>
        <w:tc>
          <w:tcPr>
            <w:tcW w:w="1629" w:type="dxa"/>
            <w:noWrap/>
          </w:tcPr>
          <w:p w14:paraId="683637C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69</w:t>
            </w:r>
          </w:p>
        </w:tc>
        <w:tc>
          <w:tcPr>
            <w:tcW w:w="1497" w:type="dxa"/>
            <w:noWrap/>
          </w:tcPr>
          <w:p w14:paraId="0306DE9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17.3</w:t>
            </w:r>
          </w:p>
        </w:tc>
      </w:tr>
      <w:tr w:rsidR="002171DD" w:rsidRPr="002171DD" w14:paraId="4E680AD5" w14:textId="77777777" w:rsidTr="00876AA3">
        <w:trPr>
          <w:trHeight w:val="304"/>
        </w:trPr>
        <w:tc>
          <w:tcPr>
            <w:tcW w:w="5031" w:type="dxa"/>
            <w:noWrap/>
          </w:tcPr>
          <w:p w14:paraId="3F59F7A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Self Employed</w:t>
            </w:r>
          </w:p>
        </w:tc>
        <w:tc>
          <w:tcPr>
            <w:tcW w:w="1629" w:type="dxa"/>
            <w:noWrap/>
          </w:tcPr>
          <w:p w14:paraId="797EFC5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251</w:t>
            </w:r>
          </w:p>
        </w:tc>
        <w:tc>
          <w:tcPr>
            <w:tcW w:w="1497" w:type="dxa"/>
            <w:noWrap/>
          </w:tcPr>
          <w:p w14:paraId="17A274D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62.9</w:t>
            </w:r>
          </w:p>
        </w:tc>
      </w:tr>
      <w:tr w:rsidR="002171DD" w:rsidRPr="002171DD" w14:paraId="040F4E3E" w14:textId="77777777" w:rsidTr="00876AA3">
        <w:trPr>
          <w:trHeight w:val="304"/>
        </w:trPr>
        <w:tc>
          <w:tcPr>
            <w:tcW w:w="5031" w:type="dxa"/>
            <w:noWrap/>
          </w:tcPr>
          <w:p w14:paraId="08745AD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Unemployed</w:t>
            </w:r>
          </w:p>
        </w:tc>
        <w:tc>
          <w:tcPr>
            <w:tcW w:w="1629" w:type="dxa"/>
            <w:noWrap/>
          </w:tcPr>
          <w:p w14:paraId="72CE565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79</w:t>
            </w:r>
          </w:p>
        </w:tc>
        <w:tc>
          <w:tcPr>
            <w:tcW w:w="1497" w:type="dxa"/>
            <w:noWrap/>
          </w:tcPr>
          <w:p w14:paraId="70D3AFE1"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19.8</w:t>
            </w:r>
          </w:p>
        </w:tc>
      </w:tr>
      <w:tr w:rsidR="002171DD" w:rsidRPr="002171DD" w14:paraId="2D88C8E4" w14:textId="77777777" w:rsidTr="00876AA3">
        <w:trPr>
          <w:trHeight w:val="304"/>
        </w:trPr>
        <w:tc>
          <w:tcPr>
            <w:tcW w:w="5031" w:type="dxa"/>
            <w:noWrap/>
          </w:tcPr>
          <w:p w14:paraId="5A394B9B"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Household Income (TSH/Month)</w:t>
            </w:r>
          </w:p>
        </w:tc>
        <w:tc>
          <w:tcPr>
            <w:tcW w:w="1629" w:type="dxa"/>
            <w:noWrap/>
          </w:tcPr>
          <w:p w14:paraId="63166428" w14:textId="77777777" w:rsidR="002171DD" w:rsidRPr="002171DD" w:rsidRDefault="002171DD" w:rsidP="002171DD">
            <w:pPr>
              <w:rPr>
                <w:rFonts w:ascii="Arial" w:eastAsia="Aptos" w:hAnsi="Arial" w:cs="Arial"/>
                <w:sz w:val="20"/>
                <w:szCs w:val="20"/>
              </w:rPr>
            </w:pPr>
          </w:p>
        </w:tc>
        <w:tc>
          <w:tcPr>
            <w:tcW w:w="1497" w:type="dxa"/>
            <w:noWrap/>
          </w:tcPr>
          <w:p w14:paraId="6D0D2D1E" w14:textId="77777777" w:rsidR="002171DD" w:rsidRPr="002171DD" w:rsidRDefault="002171DD" w:rsidP="002171DD">
            <w:pPr>
              <w:rPr>
                <w:rFonts w:ascii="Arial" w:eastAsia="Aptos" w:hAnsi="Arial" w:cs="Arial"/>
                <w:sz w:val="20"/>
                <w:szCs w:val="20"/>
              </w:rPr>
            </w:pPr>
          </w:p>
        </w:tc>
      </w:tr>
      <w:tr w:rsidR="002171DD" w:rsidRPr="002171DD" w14:paraId="1ABA29C3" w14:textId="77777777" w:rsidTr="00876AA3">
        <w:trPr>
          <w:trHeight w:val="304"/>
        </w:trPr>
        <w:tc>
          <w:tcPr>
            <w:tcW w:w="5031" w:type="dxa"/>
            <w:noWrap/>
          </w:tcPr>
          <w:p w14:paraId="738FA9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Less than 100,000</w:t>
            </w:r>
          </w:p>
        </w:tc>
        <w:tc>
          <w:tcPr>
            <w:tcW w:w="1629" w:type="dxa"/>
            <w:noWrap/>
          </w:tcPr>
          <w:p w14:paraId="696173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5A982B18"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0D9CE9A2" w14:textId="77777777" w:rsidTr="00876AA3">
        <w:trPr>
          <w:trHeight w:val="304"/>
        </w:trPr>
        <w:tc>
          <w:tcPr>
            <w:tcW w:w="5031" w:type="dxa"/>
            <w:noWrap/>
          </w:tcPr>
          <w:p w14:paraId="72E0E2D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100,000–300,000</w:t>
            </w:r>
          </w:p>
        </w:tc>
        <w:tc>
          <w:tcPr>
            <w:tcW w:w="1629" w:type="dxa"/>
            <w:noWrap/>
          </w:tcPr>
          <w:p w14:paraId="386B83D6"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149</w:t>
            </w:r>
          </w:p>
        </w:tc>
        <w:tc>
          <w:tcPr>
            <w:tcW w:w="1497" w:type="dxa"/>
            <w:noWrap/>
          </w:tcPr>
          <w:p w14:paraId="0FAD7CE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37.3</w:t>
            </w:r>
          </w:p>
        </w:tc>
      </w:tr>
      <w:tr w:rsidR="002171DD" w:rsidRPr="002171DD" w14:paraId="64CD680E" w14:textId="77777777" w:rsidTr="00876AA3">
        <w:trPr>
          <w:trHeight w:val="304"/>
        </w:trPr>
        <w:tc>
          <w:tcPr>
            <w:tcW w:w="5031" w:type="dxa"/>
            <w:noWrap/>
          </w:tcPr>
          <w:p w14:paraId="57BBA52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300,001–500,000</w:t>
            </w:r>
          </w:p>
        </w:tc>
        <w:tc>
          <w:tcPr>
            <w:tcW w:w="1629" w:type="dxa"/>
            <w:noWrap/>
          </w:tcPr>
          <w:p w14:paraId="54BC611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72</w:t>
            </w:r>
          </w:p>
        </w:tc>
        <w:tc>
          <w:tcPr>
            <w:tcW w:w="1497" w:type="dxa"/>
            <w:noWrap/>
          </w:tcPr>
          <w:p w14:paraId="59E5ED4C"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18.0</w:t>
            </w:r>
          </w:p>
        </w:tc>
      </w:tr>
      <w:tr w:rsidR="002171DD" w:rsidRPr="002171DD" w14:paraId="6F45DB4C" w14:textId="77777777" w:rsidTr="00876AA3">
        <w:trPr>
          <w:trHeight w:val="304"/>
        </w:trPr>
        <w:tc>
          <w:tcPr>
            <w:tcW w:w="5031" w:type="dxa"/>
            <w:noWrap/>
          </w:tcPr>
          <w:p w14:paraId="371DCD0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500,001–1,000,000</w:t>
            </w:r>
          </w:p>
        </w:tc>
        <w:tc>
          <w:tcPr>
            <w:tcW w:w="1629" w:type="dxa"/>
            <w:noWrap/>
          </w:tcPr>
          <w:p w14:paraId="0D50887A"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178</w:t>
            </w:r>
          </w:p>
        </w:tc>
        <w:tc>
          <w:tcPr>
            <w:tcW w:w="1497" w:type="dxa"/>
            <w:noWrap/>
          </w:tcPr>
          <w:p w14:paraId="6590637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44.6</w:t>
            </w:r>
          </w:p>
        </w:tc>
      </w:tr>
      <w:tr w:rsidR="002171DD" w:rsidRPr="002171DD" w14:paraId="5AA78721" w14:textId="77777777" w:rsidTr="00876AA3">
        <w:trPr>
          <w:trHeight w:val="304"/>
        </w:trPr>
        <w:tc>
          <w:tcPr>
            <w:tcW w:w="5031" w:type="dxa"/>
            <w:noWrap/>
          </w:tcPr>
          <w:p w14:paraId="65FADC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More than 1,000,000</w:t>
            </w:r>
          </w:p>
        </w:tc>
        <w:tc>
          <w:tcPr>
            <w:tcW w:w="1629" w:type="dxa"/>
            <w:noWrap/>
          </w:tcPr>
          <w:p w14:paraId="63E94DD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085C5EA5"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7B49BD89" w14:textId="77777777" w:rsidTr="00876AA3">
        <w:trPr>
          <w:trHeight w:val="304"/>
        </w:trPr>
        <w:tc>
          <w:tcPr>
            <w:tcW w:w="5031" w:type="dxa"/>
            <w:noWrap/>
          </w:tcPr>
          <w:p w14:paraId="67F7D6C0" w14:textId="77777777" w:rsidR="002171DD" w:rsidRPr="002171DD" w:rsidRDefault="002171DD" w:rsidP="002171DD">
            <w:pPr>
              <w:rPr>
                <w:rFonts w:ascii="Arial" w:eastAsia="Aptos" w:hAnsi="Arial" w:cs="Arial"/>
                <w:b/>
                <w:sz w:val="20"/>
                <w:szCs w:val="20"/>
              </w:rPr>
            </w:pPr>
            <w:r w:rsidRPr="002171DD">
              <w:rPr>
                <w:rFonts w:ascii="Arial" w:eastAsia="Aptos" w:hAnsi="Arial" w:cs="Arial"/>
                <w:b/>
                <w:sz w:val="20"/>
                <w:szCs w:val="20"/>
              </w:rPr>
              <w:t>Proximity to the Project (in km)</w:t>
            </w:r>
          </w:p>
        </w:tc>
        <w:tc>
          <w:tcPr>
            <w:tcW w:w="1629" w:type="dxa"/>
            <w:noWrap/>
          </w:tcPr>
          <w:p w14:paraId="29F674D2" w14:textId="77777777" w:rsidR="002171DD" w:rsidRPr="002171DD" w:rsidRDefault="002171DD" w:rsidP="002171DD">
            <w:pPr>
              <w:rPr>
                <w:rFonts w:ascii="Arial" w:eastAsia="Aptos" w:hAnsi="Arial" w:cs="Arial"/>
                <w:sz w:val="20"/>
                <w:szCs w:val="20"/>
              </w:rPr>
            </w:pPr>
          </w:p>
        </w:tc>
        <w:tc>
          <w:tcPr>
            <w:tcW w:w="1497" w:type="dxa"/>
            <w:noWrap/>
          </w:tcPr>
          <w:p w14:paraId="6EEC536F" w14:textId="77777777" w:rsidR="002171DD" w:rsidRPr="002171DD" w:rsidRDefault="002171DD" w:rsidP="002171DD">
            <w:pPr>
              <w:rPr>
                <w:rFonts w:ascii="Arial" w:eastAsia="Aptos" w:hAnsi="Arial" w:cs="Arial"/>
                <w:sz w:val="20"/>
                <w:szCs w:val="20"/>
              </w:rPr>
            </w:pPr>
          </w:p>
        </w:tc>
      </w:tr>
      <w:tr w:rsidR="002171DD" w:rsidRPr="002171DD" w14:paraId="611345F7" w14:textId="77777777" w:rsidTr="00876AA3">
        <w:trPr>
          <w:trHeight w:val="304"/>
        </w:trPr>
        <w:tc>
          <w:tcPr>
            <w:tcW w:w="5031" w:type="dxa"/>
            <w:noWrap/>
          </w:tcPr>
          <w:p w14:paraId="56F9267B"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lastRenderedPageBreak/>
              <w:t>Less than 1Km</w:t>
            </w:r>
          </w:p>
        </w:tc>
        <w:tc>
          <w:tcPr>
            <w:tcW w:w="1629" w:type="dxa"/>
            <w:noWrap/>
          </w:tcPr>
          <w:p w14:paraId="2F462450"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w:t>
            </w:r>
          </w:p>
        </w:tc>
        <w:tc>
          <w:tcPr>
            <w:tcW w:w="1497" w:type="dxa"/>
            <w:noWrap/>
          </w:tcPr>
          <w:p w14:paraId="30EBCC8F"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0.0</w:t>
            </w:r>
          </w:p>
        </w:tc>
      </w:tr>
      <w:tr w:rsidR="002171DD" w:rsidRPr="002171DD" w14:paraId="2E8037C1" w14:textId="77777777" w:rsidTr="00876AA3">
        <w:trPr>
          <w:trHeight w:val="304"/>
        </w:trPr>
        <w:tc>
          <w:tcPr>
            <w:tcW w:w="5031" w:type="dxa"/>
            <w:noWrap/>
          </w:tcPr>
          <w:p w14:paraId="3B700187"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1–3 Km</w:t>
            </w:r>
          </w:p>
        </w:tc>
        <w:tc>
          <w:tcPr>
            <w:tcW w:w="1629" w:type="dxa"/>
            <w:noWrap/>
          </w:tcPr>
          <w:p w14:paraId="52F767F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296</w:t>
            </w:r>
          </w:p>
        </w:tc>
        <w:tc>
          <w:tcPr>
            <w:tcW w:w="1497" w:type="dxa"/>
            <w:noWrap/>
          </w:tcPr>
          <w:p w14:paraId="785D4DD7"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74.2</w:t>
            </w:r>
          </w:p>
        </w:tc>
      </w:tr>
      <w:tr w:rsidR="002171DD" w:rsidRPr="002171DD" w14:paraId="21880322" w14:textId="77777777" w:rsidTr="00876AA3">
        <w:trPr>
          <w:trHeight w:val="304"/>
        </w:trPr>
        <w:tc>
          <w:tcPr>
            <w:tcW w:w="5031" w:type="dxa"/>
            <w:tcBorders>
              <w:bottom w:val="single" w:sz="12" w:space="0" w:color="auto"/>
            </w:tcBorders>
            <w:noWrap/>
          </w:tcPr>
          <w:p w14:paraId="07E7AA54"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More than 3Km</w:t>
            </w:r>
          </w:p>
        </w:tc>
        <w:tc>
          <w:tcPr>
            <w:tcW w:w="1629" w:type="dxa"/>
            <w:tcBorders>
              <w:bottom w:val="single" w:sz="12" w:space="0" w:color="auto"/>
            </w:tcBorders>
            <w:noWrap/>
          </w:tcPr>
          <w:p w14:paraId="5D7E095E"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103</w:t>
            </w:r>
          </w:p>
        </w:tc>
        <w:tc>
          <w:tcPr>
            <w:tcW w:w="1497" w:type="dxa"/>
            <w:tcBorders>
              <w:bottom w:val="single" w:sz="12" w:space="0" w:color="auto"/>
            </w:tcBorders>
            <w:noWrap/>
          </w:tcPr>
          <w:p w14:paraId="473A4579" w14:textId="77777777" w:rsidR="002171DD" w:rsidRPr="002171DD" w:rsidRDefault="002171DD" w:rsidP="002171DD">
            <w:pPr>
              <w:rPr>
                <w:rFonts w:ascii="Arial" w:eastAsia="Aptos" w:hAnsi="Arial" w:cs="Arial"/>
                <w:sz w:val="20"/>
                <w:szCs w:val="20"/>
              </w:rPr>
            </w:pPr>
            <w:r w:rsidRPr="002171DD">
              <w:rPr>
                <w:rFonts w:ascii="Arial" w:eastAsia="Aptos" w:hAnsi="Arial" w:cs="Arial"/>
                <w:sz w:val="20"/>
                <w:szCs w:val="20"/>
              </w:rPr>
              <w:t>25.8</w:t>
            </w:r>
          </w:p>
        </w:tc>
      </w:tr>
    </w:tbl>
    <w:p w14:paraId="79ECF076" w14:textId="77777777" w:rsidR="002171DD" w:rsidRDefault="002171DD" w:rsidP="002171DD">
      <w:pPr>
        <w:jc w:val="both"/>
        <w:rPr>
          <w:rFonts w:ascii="Arial" w:hAnsi="Arial" w:cs="Arial"/>
          <w:sz w:val="24"/>
          <w:szCs w:val="24"/>
        </w:rPr>
      </w:pPr>
    </w:p>
    <w:p w14:paraId="11D1D927" w14:textId="77777777" w:rsidR="002171DD" w:rsidRPr="002171DD" w:rsidRDefault="002171DD" w:rsidP="002171DD">
      <w:pPr>
        <w:jc w:val="both"/>
        <w:rPr>
          <w:rFonts w:ascii="Arial" w:hAnsi="Arial" w:cs="Arial"/>
          <w:sz w:val="24"/>
          <w:szCs w:val="24"/>
        </w:rPr>
      </w:pPr>
    </w:p>
    <w:p w14:paraId="3A84716E" w14:textId="77777777" w:rsidR="002171DD" w:rsidRPr="00270E62" w:rsidRDefault="00270E62" w:rsidP="002171DD">
      <w:pPr>
        <w:pStyle w:val="ListParagraph"/>
        <w:numPr>
          <w:ilvl w:val="1"/>
          <w:numId w:val="2"/>
        </w:numPr>
        <w:jc w:val="both"/>
        <w:rPr>
          <w:rFonts w:ascii="Arial" w:hAnsi="Arial" w:cs="Arial"/>
          <w:b/>
          <w:sz w:val="24"/>
          <w:szCs w:val="24"/>
        </w:rPr>
      </w:pPr>
      <w:r w:rsidRPr="00270E62">
        <w:rPr>
          <w:rFonts w:ascii="Arial" w:hAnsi="Arial" w:cs="Arial"/>
          <w:b/>
          <w:sz w:val="24"/>
          <w:szCs w:val="24"/>
        </w:rPr>
        <w:t xml:space="preserve"> Level of Community Participation in Road Projects in </w:t>
      </w:r>
      <w:proofErr w:type="spellStart"/>
      <w:r w:rsidRPr="00270E62">
        <w:rPr>
          <w:rFonts w:ascii="Arial" w:hAnsi="Arial" w:cs="Arial"/>
          <w:b/>
          <w:sz w:val="24"/>
          <w:szCs w:val="24"/>
        </w:rPr>
        <w:t>Babati</w:t>
      </w:r>
      <w:proofErr w:type="spellEnd"/>
      <w:r w:rsidRPr="00270E62">
        <w:rPr>
          <w:rFonts w:ascii="Arial" w:hAnsi="Arial" w:cs="Arial"/>
          <w:b/>
          <w:sz w:val="24"/>
          <w:szCs w:val="24"/>
        </w:rPr>
        <w:t xml:space="preserve"> District Council</w:t>
      </w:r>
    </w:p>
    <w:p w14:paraId="06004EA6" w14:textId="77777777" w:rsidR="00270E62" w:rsidRPr="00270E62" w:rsidRDefault="00270E62" w:rsidP="00270E62">
      <w:pPr>
        <w:jc w:val="both"/>
        <w:rPr>
          <w:rFonts w:ascii="Arial" w:hAnsi="Arial" w:cs="Arial"/>
          <w:sz w:val="24"/>
          <w:szCs w:val="24"/>
        </w:rPr>
      </w:pPr>
      <w:r w:rsidRPr="00270E62">
        <w:rPr>
          <w:rFonts w:ascii="Arial" w:hAnsi="Arial" w:cs="Arial"/>
          <w:sz w:val="24"/>
          <w:szCs w:val="24"/>
        </w:rPr>
        <w:t xml:space="preserve">The study assessed the level of community participation in rural road maintenance projects within </w:t>
      </w:r>
      <w:proofErr w:type="spellStart"/>
      <w:r w:rsidRPr="00270E62">
        <w:rPr>
          <w:rFonts w:ascii="Arial" w:hAnsi="Arial" w:cs="Arial"/>
          <w:sz w:val="24"/>
          <w:szCs w:val="24"/>
        </w:rPr>
        <w:t>Babati</w:t>
      </w:r>
      <w:proofErr w:type="spellEnd"/>
      <w:r w:rsidRPr="00270E62">
        <w:rPr>
          <w:rFonts w:ascii="Arial" w:hAnsi="Arial" w:cs="Arial"/>
          <w:sz w:val="24"/>
          <w:szCs w:val="24"/>
        </w:rPr>
        <w:t xml:space="preserve"> District Council using a dual approach that combined descriptive statistical analysis with the computation of the Participation Index (PI). The analysis commenced with descriptive statistics to examine the distribution of responses, followed by the PI, which provides a composite measure of overall engagement across differe</w:t>
      </w:r>
      <w:r w:rsidR="00AE040C">
        <w:rPr>
          <w:rFonts w:ascii="Arial" w:hAnsi="Arial" w:cs="Arial"/>
          <w:sz w:val="24"/>
          <w:szCs w:val="24"/>
        </w:rPr>
        <w:t>nt dimensions of participation.</w:t>
      </w:r>
    </w:p>
    <w:p w14:paraId="54D5E6EF" w14:textId="77777777" w:rsidR="00270E62" w:rsidRDefault="00270E62" w:rsidP="00270E62">
      <w:pPr>
        <w:jc w:val="both"/>
        <w:rPr>
          <w:rFonts w:ascii="Arial" w:hAnsi="Arial" w:cs="Arial"/>
          <w:sz w:val="24"/>
          <w:szCs w:val="24"/>
        </w:rPr>
      </w:pPr>
      <w:r w:rsidRPr="00270E62">
        <w:rPr>
          <w:rFonts w:ascii="Arial" w:hAnsi="Arial" w:cs="Arial"/>
          <w:sz w:val="24"/>
          <w:szCs w:val="24"/>
        </w:rPr>
        <w:t>The descriptive analysis offered an initial understanding of participation patterns. Table 1 presents the questionnaire findings, highlighting the varying levels of involvement among community members in the road maintenance projects.</w:t>
      </w:r>
    </w:p>
    <w:p w14:paraId="2D09343E" w14:textId="77777777" w:rsidR="00270E62" w:rsidRPr="00270E62" w:rsidRDefault="005869FC" w:rsidP="00270E62">
      <w:pPr>
        <w:keepNext/>
        <w:spacing w:after="200" w:line="240" w:lineRule="auto"/>
        <w:jc w:val="center"/>
        <w:rPr>
          <w:rFonts w:ascii="Arial" w:eastAsia="Calibri" w:hAnsi="Arial" w:cs="Arial"/>
          <w:b/>
          <w:bCs/>
          <w:sz w:val="24"/>
          <w:szCs w:val="24"/>
        </w:rPr>
      </w:pPr>
      <w:bookmarkStart w:id="1" w:name="_Toc195123702"/>
      <w:bookmarkStart w:id="2" w:name="_Toc198199011"/>
      <w:r>
        <w:rPr>
          <w:rFonts w:ascii="Arial" w:eastAsia="Calibri" w:hAnsi="Arial" w:cs="Arial"/>
          <w:b/>
          <w:bCs/>
          <w:sz w:val="24"/>
          <w:szCs w:val="24"/>
        </w:rPr>
        <w:t>Table 2</w:t>
      </w:r>
      <w:r w:rsidR="00270E62" w:rsidRPr="00270E62">
        <w:rPr>
          <w:rFonts w:ascii="Arial" w:eastAsia="Calibri" w:hAnsi="Arial" w:cs="Arial"/>
          <w:b/>
          <w:bCs/>
          <w:sz w:val="24"/>
          <w:szCs w:val="24"/>
        </w:rPr>
        <w:t>: Respondents’ Perceptions toward Level of Community Participation in Road Projects</w:t>
      </w:r>
      <w:bookmarkEnd w:id="1"/>
      <w:bookmarkEnd w:id="2"/>
      <w:r w:rsidR="00270E62" w:rsidRPr="00270E62">
        <w:rPr>
          <w:rFonts w:ascii="Arial" w:eastAsia="Calibri" w:hAnsi="Arial" w:cs="Arial"/>
          <w:b/>
          <w:bCs/>
          <w:sz w:val="24"/>
          <w:szCs w:val="24"/>
        </w:rPr>
        <w:t xml:space="preserve"> (n=399)</w:t>
      </w:r>
    </w:p>
    <w:tbl>
      <w:tblPr>
        <w:tblStyle w:val="TableGrid1"/>
        <w:tblW w:w="8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672"/>
        <w:gridCol w:w="639"/>
        <w:gridCol w:w="747"/>
        <w:gridCol w:w="665"/>
        <w:gridCol w:w="605"/>
        <w:gridCol w:w="792"/>
        <w:gridCol w:w="784"/>
      </w:tblGrid>
      <w:tr w:rsidR="00270E62" w:rsidRPr="00270E62" w14:paraId="2DB61FD7" w14:textId="77777777" w:rsidTr="00876AA3">
        <w:trPr>
          <w:trHeight w:val="263"/>
        </w:trPr>
        <w:tc>
          <w:tcPr>
            <w:tcW w:w="3233" w:type="dxa"/>
            <w:vMerge w:val="restart"/>
            <w:tcBorders>
              <w:top w:val="single" w:sz="12" w:space="0" w:color="auto"/>
              <w:bottom w:val="single" w:sz="12" w:space="0" w:color="auto"/>
            </w:tcBorders>
            <w:noWrap/>
            <w:hideMark/>
          </w:tcPr>
          <w:p w14:paraId="55260B0F"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Statements</w:t>
            </w:r>
          </w:p>
        </w:tc>
        <w:tc>
          <w:tcPr>
            <w:tcW w:w="672" w:type="dxa"/>
            <w:tcBorders>
              <w:top w:val="single" w:sz="12" w:space="0" w:color="auto"/>
              <w:bottom w:val="single" w:sz="12" w:space="0" w:color="auto"/>
            </w:tcBorders>
            <w:noWrap/>
            <w:hideMark/>
          </w:tcPr>
          <w:p w14:paraId="2F8324CD"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SD</w:t>
            </w:r>
          </w:p>
        </w:tc>
        <w:tc>
          <w:tcPr>
            <w:tcW w:w="639" w:type="dxa"/>
            <w:tcBorders>
              <w:top w:val="single" w:sz="12" w:space="0" w:color="auto"/>
              <w:bottom w:val="single" w:sz="12" w:space="0" w:color="auto"/>
            </w:tcBorders>
            <w:noWrap/>
            <w:hideMark/>
          </w:tcPr>
          <w:p w14:paraId="5527AAF5"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D</w:t>
            </w:r>
          </w:p>
        </w:tc>
        <w:tc>
          <w:tcPr>
            <w:tcW w:w="747" w:type="dxa"/>
            <w:tcBorders>
              <w:top w:val="single" w:sz="12" w:space="0" w:color="auto"/>
              <w:bottom w:val="single" w:sz="12" w:space="0" w:color="auto"/>
            </w:tcBorders>
            <w:noWrap/>
            <w:hideMark/>
          </w:tcPr>
          <w:p w14:paraId="6DD654B7"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N</w:t>
            </w:r>
          </w:p>
        </w:tc>
        <w:tc>
          <w:tcPr>
            <w:tcW w:w="665" w:type="dxa"/>
            <w:tcBorders>
              <w:top w:val="single" w:sz="12" w:space="0" w:color="auto"/>
              <w:bottom w:val="single" w:sz="12" w:space="0" w:color="auto"/>
            </w:tcBorders>
            <w:noWrap/>
            <w:hideMark/>
          </w:tcPr>
          <w:p w14:paraId="527CD6E8"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A</w:t>
            </w:r>
          </w:p>
        </w:tc>
        <w:tc>
          <w:tcPr>
            <w:tcW w:w="605" w:type="dxa"/>
            <w:tcBorders>
              <w:top w:val="single" w:sz="12" w:space="0" w:color="auto"/>
              <w:bottom w:val="single" w:sz="12" w:space="0" w:color="auto"/>
            </w:tcBorders>
            <w:noWrap/>
            <w:hideMark/>
          </w:tcPr>
          <w:p w14:paraId="1A4D67D0"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SA</w:t>
            </w:r>
          </w:p>
        </w:tc>
        <w:tc>
          <w:tcPr>
            <w:tcW w:w="792" w:type="dxa"/>
            <w:vMerge w:val="restart"/>
            <w:tcBorders>
              <w:top w:val="single" w:sz="12" w:space="0" w:color="auto"/>
            </w:tcBorders>
          </w:tcPr>
          <w:p w14:paraId="26944EC3"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Mean</w:t>
            </w:r>
          </w:p>
        </w:tc>
        <w:tc>
          <w:tcPr>
            <w:tcW w:w="0" w:type="auto"/>
            <w:vMerge w:val="restart"/>
            <w:tcBorders>
              <w:top w:val="single" w:sz="12" w:space="0" w:color="auto"/>
            </w:tcBorders>
          </w:tcPr>
          <w:p w14:paraId="229E4B29"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STD</w:t>
            </w:r>
          </w:p>
        </w:tc>
      </w:tr>
      <w:tr w:rsidR="00270E62" w:rsidRPr="00270E62" w14:paraId="214267C9" w14:textId="77777777" w:rsidTr="00876AA3">
        <w:trPr>
          <w:trHeight w:val="263"/>
        </w:trPr>
        <w:tc>
          <w:tcPr>
            <w:tcW w:w="3233" w:type="dxa"/>
            <w:vMerge/>
            <w:tcBorders>
              <w:top w:val="single" w:sz="12" w:space="0" w:color="auto"/>
              <w:bottom w:val="single" w:sz="12" w:space="0" w:color="auto"/>
            </w:tcBorders>
            <w:noWrap/>
            <w:hideMark/>
          </w:tcPr>
          <w:p w14:paraId="3EF03A92" w14:textId="77777777" w:rsidR="00270E62" w:rsidRPr="00270E62" w:rsidRDefault="00270E62" w:rsidP="00270E62">
            <w:pPr>
              <w:rPr>
                <w:rFonts w:ascii="Arial" w:eastAsia="Calibri" w:hAnsi="Arial" w:cs="Arial"/>
                <w:b/>
                <w:bCs/>
                <w:sz w:val="20"/>
                <w:szCs w:val="20"/>
              </w:rPr>
            </w:pPr>
          </w:p>
        </w:tc>
        <w:tc>
          <w:tcPr>
            <w:tcW w:w="672" w:type="dxa"/>
            <w:tcBorders>
              <w:top w:val="single" w:sz="12" w:space="0" w:color="auto"/>
              <w:bottom w:val="single" w:sz="12" w:space="0" w:color="auto"/>
            </w:tcBorders>
            <w:noWrap/>
            <w:hideMark/>
          </w:tcPr>
          <w:p w14:paraId="2103C71C"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39" w:type="dxa"/>
            <w:tcBorders>
              <w:top w:val="single" w:sz="12" w:space="0" w:color="auto"/>
              <w:bottom w:val="single" w:sz="12" w:space="0" w:color="auto"/>
            </w:tcBorders>
            <w:noWrap/>
            <w:hideMark/>
          </w:tcPr>
          <w:p w14:paraId="28FA4F5F"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747" w:type="dxa"/>
            <w:tcBorders>
              <w:top w:val="single" w:sz="12" w:space="0" w:color="auto"/>
              <w:bottom w:val="single" w:sz="12" w:space="0" w:color="auto"/>
            </w:tcBorders>
            <w:noWrap/>
            <w:hideMark/>
          </w:tcPr>
          <w:p w14:paraId="25C3ACF4"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65" w:type="dxa"/>
            <w:tcBorders>
              <w:top w:val="single" w:sz="12" w:space="0" w:color="auto"/>
              <w:bottom w:val="single" w:sz="12" w:space="0" w:color="auto"/>
            </w:tcBorders>
            <w:noWrap/>
            <w:hideMark/>
          </w:tcPr>
          <w:p w14:paraId="5ECEE461"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605" w:type="dxa"/>
            <w:tcBorders>
              <w:top w:val="single" w:sz="12" w:space="0" w:color="auto"/>
              <w:bottom w:val="single" w:sz="12" w:space="0" w:color="auto"/>
            </w:tcBorders>
            <w:noWrap/>
            <w:hideMark/>
          </w:tcPr>
          <w:p w14:paraId="421C51FA" w14:textId="77777777" w:rsidR="00270E62" w:rsidRPr="00270E62" w:rsidRDefault="00270E62" w:rsidP="00270E62">
            <w:pPr>
              <w:rPr>
                <w:rFonts w:ascii="Arial" w:eastAsia="Calibri" w:hAnsi="Arial" w:cs="Arial"/>
                <w:b/>
                <w:bCs/>
                <w:sz w:val="20"/>
                <w:szCs w:val="20"/>
              </w:rPr>
            </w:pPr>
            <w:r w:rsidRPr="00270E62">
              <w:rPr>
                <w:rFonts w:ascii="Arial" w:eastAsia="Calibri" w:hAnsi="Arial" w:cs="Arial"/>
                <w:b/>
                <w:bCs/>
                <w:sz w:val="20"/>
                <w:szCs w:val="20"/>
              </w:rPr>
              <w:t>(%)</w:t>
            </w:r>
          </w:p>
        </w:tc>
        <w:tc>
          <w:tcPr>
            <w:tcW w:w="792" w:type="dxa"/>
            <w:vMerge/>
            <w:tcBorders>
              <w:bottom w:val="single" w:sz="12" w:space="0" w:color="auto"/>
            </w:tcBorders>
          </w:tcPr>
          <w:p w14:paraId="5381BD82" w14:textId="77777777" w:rsidR="00270E62" w:rsidRPr="00270E62" w:rsidRDefault="00270E62" w:rsidP="00270E62">
            <w:pPr>
              <w:rPr>
                <w:rFonts w:ascii="Arial" w:eastAsia="Calibri" w:hAnsi="Arial" w:cs="Arial"/>
                <w:b/>
                <w:bCs/>
                <w:sz w:val="20"/>
                <w:szCs w:val="20"/>
              </w:rPr>
            </w:pPr>
          </w:p>
        </w:tc>
        <w:tc>
          <w:tcPr>
            <w:tcW w:w="0" w:type="auto"/>
            <w:vMerge/>
            <w:tcBorders>
              <w:bottom w:val="single" w:sz="12" w:space="0" w:color="auto"/>
            </w:tcBorders>
          </w:tcPr>
          <w:p w14:paraId="33500E53" w14:textId="77777777" w:rsidR="00270E62" w:rsidRPr="00270E62" w:rsidRDefault="00270E62" w:rsidP="00270E62">
            <w:pPr>
              <w:rPr>
                <w:rFonts w:ascii="Arial" w:eastAsia="Calibri" w:hAnsi="Arial" w:cs="Arial"/>
                <w:b/>
                <w:bCs/>
                <w:sz w:val="20"/>
                <w:szCs w:val="20"/>
              </w:rPr>
            </w:pPr>
          </w:p>
        </w:tc>
      </w:tr>
      <w:tr w:rsidR="00270E62" w:rsidRPr="00270E62" w14:paraId="18D3B58D" w14:textId="77777777" w:rsidTr="00876AA3">
        <w:trPr>
          <w:trHeight w:val="263"/>
        </w:trPr>
        <w:tc>
          <w:tcPr>
            <w:tcW w:w="3233" w:type="dxa"/>
            <w:tcBorders>
              <w:top w:val="single" w:sz="12" w:space="0" w:color="auto"/>
            </w:tcBorders>
            <w:noWrap/>
            <w:hideMark/>
          </w:tcPr>
          <w:p w14:paraId="0B94578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was actively involved in identifying the need for road maintenance.</w:t>
            </w:r>
          </w:p>
        </w:tc>
        <w:tc>
          <w:tcPr>
            <w:tcW w:w="672" w:type="dxa"/>
            <w:tcBorders>
              <w:top w:val="single" w:sz="12" w:space="0" w:color="auto"/>
            </w:tcBorders>
            <w:noWrap/>
            <w:hideMark/>
          </w:tcPr>
          <w:p w14:paraId="54ED75E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40.0</w:t>
            </w:r>
          </w:p>
        </w:tc>
        <w:tc>
          <w:tcPr>
            <w:tcW w:w="639" w:type="dxa"/>
            <w:tcBorders>
              <w:top w:val="single" w:sz="12" w:space="0" w:color="auto"/>
            </w:tcBorders>
            <w:noWrap/>
            <w:hideMark/>
          </w:tcPr>
          <w:p w14:paraId="34D220A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31.7</w:t>
            </w:r>
          </w:p>
        </w:tc>
        <w:tc>
          <w:tcPr>
            <w:tcW w:w="747" w:type="dxa"/>
            <w:tcBorders>
              <w:top w:val="single" w:sz="12" w:space="0" w:color="auto"/>
            </w:tcBorders>
            <w:noWrap/>
            <w:hideMark/>
          </w:tcPr>
          <w:p w14:paraId="7C3B5D7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65" w:type="dxa"/>
            <w:tcBorders>
              <w:top w:val="single" w:sz="12" w:space="0" w:color="auto"/>
            </w:tcBorders>
            <w:noWrap/>
            <w:hideMark/>
          </w:tcPr>
          <w:p w14:paraId="0C7C896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tcBorders>
              <w:top w:val="single" w:sz="12" w:space="0" w:color="auto"/>
            </w:tcBorders>
            <w:noWrap/>
            <w:hideMark/>
          </w:tcPr>
          <w:p w14:paraId="20B0D84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w:t>
            </w:r>
          </w:p>
        </w:tc>
        <w:tc>
          <w:tcPr>
            <w:tcW w:w="792" w:type="dxa"/>
            <w:tcBorders>
              <w:top w:val="single" w:sz="12" w:space="0" w:color="auto"/>
            </w:tcBorders>
          </w:tcPr>
          <w:p w14:paraId="3B656EF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2.08</w:t>
            </w:r>
          </w:p>
        </w:tc>
        <w:tc>
          <w:tcPr>
            <w:tcW w:w="0" w:type="auto"/>
            <w:tcBorders>
              <w:top w:val="single" w:sz="12" w:space="0" w:color="auto"/>
            </w:tcBorders>
          </w:tcPr>
          <w:p w14:paraId="3D5FA1E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1.153</w:t>
            </w:r>
          </w:p>
        </w:tc>
      </w:tr>
      <w:tr w:rsidR="00270E62" w:rsidRPr="00270E62" w14:paraId="3E6F2AA2" w14:textId="77777777" w:rsidTr="00876AA3">
        <w:trPr>
          <w:trHeight w:val="263"/>
        </w:trPr>
        <w:tc>
          <w:tcPr>
            <w:tcW w:w="3233" w:type="dxa"/>
            <w:noWrap/>
            <w:hideMark/>
          </w:tcPr>
          <w:p w14:paraId="0CE89B6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participated in planning how the road maintenance would be conducted.</w:t>
            </w:r>
          </w:p>
        </w:tc>
        <w:tc>
          <w:tcPr>
            <w:tcW w:w="672" w:type="dxa"/>
            <w:noWrap/>
            <w:hideMark/>
          </w:tcPr>
          <w:p w14:paraId="529E3BD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44.2</w:t>
            </w:r>
          </w:p>
        </w:tc>
        <w:tc>
          <w:tcPr>
            <w:tcW w:w="639" w:type="dxa"/>
            <w:noWrap/>
            <w:hideMark/>
          </w:tcPr>
          <w:p w14:paraId="1B6BAD1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28.3</w:t>
            </w:r>
          </w:p>
        </w:tc>
        <w:tc>
          <w:tcPr>
            <w:tcW w:w="747" w:type="dxa"/>
            <w:noWrap/>
            <w:hideMark/>
          </w:tcPr>
          <w:p w14:paraId="0CDCCF8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65" w:type="dxa"/>
            <w:noWrap/>
            <w:hideMark/>
          </w:tcPr>
          <w:p w14:paraId="0E117AE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noWrap/>
            <w:hideMark/>
          </w:tcPr>
          <w:p w14:paraId="4FA3DC9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5C53227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2.01</w:t>
            </w:r>
          </w:p>
        </w:tc>
        <w:tc>
          <w:tcPr>
            <w:tcW w:w="0" w:type="auto"/>
          </w:tcPr>
          <w:p w14:paraId="7C5E083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1.141</w:t>
            </w:r>
          </w:p>
        </w:tc>
      </w:tr>
      <w:tr w:rsidR="00270E62" w:rsidRPr="00270E62" w14:paraId="4BA92BF3" w14:textId="77777777" w:rsidTr="00876AA3">
        <w:trPr>
          <w:trHeight w:val="263"/>
        </w:trPr>
        <w:tc>
          <w:tcPr>
            <w:tcW w:w="3233" w:type="dxa"/>
            <w:noWrap/>
            <w:hideMark/>
          </w:tcPr>
          <w:p w14:paraId="49C3694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My suggestions were considered during decision-making.</w:t>
            </w:r>
          </w:p>
        </w:tc>
        <w:tc>
          <w:tcPr>
            <w:tcW w:w="672" w:type="dxa"/>
            <w:noWrap/>
            <w:hideMark/>
          </w:tcPr>
          <w:p w14:paraId="68AAE69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44.2</w:t>
            </w:r>
          </w:p>
        </w:tc>
        <w:tc>
          <w:tcPr>
            <w:tcW w:w="639" w:type="dxa"/>
            <w:noWrap/>
            <w:hideMark/>
          </w:tcPr>
          <w:p w14:paraId="7F5D1D3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26.7</w:t>
            </w:r>
          </w:p>
        </w:tc>
        <w:tc>
          <w:tcPr>
            <w:tcW w:w="747" w:type="dxa"/>
            <w:noWrap/>
            <w:hideMark/>
          </w:tcPr>
          <w:p w14:paraId="323702E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037720A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10.0</w:t>
            </w:r>
          </w:p>
        </w:tc>
        <w:tc>
          <w:tcPr>
            <w:tcW w:w="605" w:type="dxa"/>
            <w:noWrap/>
            <w:hideMark/>
          </w:tcPr>
          <w:p w14:paraId="0C2D4EA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4.2</w:t>
            </w:r>
          </w:p>
        </w:tc>
        <w:tc>
          <w:tcPr>
            <w:tcW w:w="792" w:type="dxa"/>
          </w:tcPr>
          <w:p w14:paraId="412E892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2.03</w:t>
            </w:r>
          </w:p>
        </w:tc>
        <w:tc>
          <w:tcPr>
            <w:tcW w:w="0" w:type="auto"/>
          </w:tcPr>
          <w:p w14:paraId="314F562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1.173</w:t>
            </w:r>
          </w:p>
        </w:tc>
      </w:tr>
      <w:tr w:rsidR="00270E62" w:rsidRPr="00270E62" w14:paraId="4091B1FB" w14:textId="77777777" w:rsidTr="00876AA3">
        <w:trPr>
          <w:trHeight w:val="263"/>
        </w:trPr>
        <w:tc>
          <w:tcPr>
            <w:tcW w:w="3233" w:type="dxa"/>
            <w:noWrap/>
            <w:hideMark/>
          </w:tcPr>
          <w:p w14:paraId="3407E6F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was informed about the project before its implementation.</w:t>
            </w:r>
          </w:p>
        </w:tc>
        <w:tc>
          <w:tcPr>
            <w:tcW w:w="672" w:type="dxa"/>
            <w:noWrap/>
            <w:hideMark/>
          </w:tcPr>
          <w:p w14:paraId="2E3360F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33.3</w:t>
            </w:r>
          </w:p>
        </w:tc>
        <w:tc>
          <w:tcPr>
            <w:tcW w:w="639" w:type="dxa"/>
            <w:noWrap/>
            <w:hideMark/>
          </w:tcPr>
          <w:p w14:paraId="041C1DD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747" w:type="dxa"/>
            <w:noWrap/>
            <w:hideMark/>
          </w:tcPr>
          <w:p w14:paraId="45B2158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8.3</w:t>
            </w:r>
          </w:p>
        </w:tc>
        <w:tc>
          <w:tcPr>
            <w:tcW w:w="665" w:type="dxa"/>
            <w:noWrap/>
            <w:hideMark/>
          </w:tcPr>
          <w:p w14:paraId="5BF0B40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16.7</w:t>
            </w:r>
          </w:p>
        </w:tc>
        <w:tc>
          <w:tcPr>
            <w:tcW w:w="605" w:type="dxa"/>
            <w:noWrap/>
            <w:hideMark/>
          </w:tcPr>
          <w:p w14:paraId="3C36940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14D8DE0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2.16</w:t>
            </w:r>
          </w:p>
        </w:tc>
        <w:tc>
          <w:tcPr>
            <w:tcW w:w="0" w:type="auto"/>
          </w:tcPr>
          <w:p w14:paraId="5ECB83F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1.138</w:t>
            </w:r>
          </w:p>
        </w:tc>
      </w:tr>
      <w:tr w:rsidR="00270E62" w:rsidRPr="00270E62" w14:paraId="651E500F" w14:textId="77777777" w:rsidTr="00876AA3">
        <w:trPr>
          <w:trHeight w:val="263"/>
        </w:trPr>
        <w:tc>
          <w:tcPr>
            <w:tcW w:w="3233" w:type="dxa"/>
            <w:noWrap/>
            <w:hideMark/>
          </w:tcPr>
          <w:p w14:paraId="3065C69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participated in discussions about the project’s goals and methods.</w:t>
            </w:r>
          </w:p>
        </w:tc>
        <w:tc>
          <w:tcPr>
            <w:tcW w:w="672" w:type="dxa"/>
            <w:noWrap/>
            <w:hideMark/>
          </w:tcPr>
          <w:p w14:paraId="4B7FA77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639" w:type="dxa"/>
            <w:noWrap/>
            <w:hideMark/>
          </w:tcPr>
          <w:p w14:paraId="7B47F3D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34.2</w:t>
            </w:r>
          </w:p>
        </w:tc>
        <w:tc>
          <w:tcPr>
            <w:tcW w:w="747" w:type="dxa"/>
            <w:noWrap/>
            <w:hideMark/>
          </w:tcPr>
          <w:p w14:paraId="1263669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13.3</w:t>
            </w:r>
          </w:p>
        </w:tc>
        <w:tc>
          <w:tcPr>
            <w:tcW w:w="665" w:type="dxa"/>
            <w:noWrap/>
            <w:hideMark/>
          </w:tcPr>
          <w:p w14:paraId="0A645C4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473579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697465D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2.03</w:t>
            </w:r>
          </w:p>
        </w:tc>
        <w:tc>
          <w:tcPr>
            <w:tcW w:w="0" w:type="auto"/>
          </w:tcPr>
          <w:p w14:paraId="3174B3B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1.073</w:t>
            </w:r>
          </w:p>
        </w:tc>
      </w:tr>
      <w:tr w:rsidR="00270E62" w:rsidRPr="00270E62" w14:paraId="32975897" w14:textId="77777777" w:rsidTr="00876AA3">
        <w:trPr>
          <w:trHeight w:val="263"/>
        </w:trPr>
        <w:tc>
          <w:tcPr>
            <w:tcW w:w="3233" w:type="dxa"/>
            <w:noWrap/>
            <w:hideMark/>
          </w:tcPr>
          <w:p w14:paraId="56F2499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My input was considered during project planning.</w:t>
            </w:r>
          </w:p>
        </w:tc>
        <w:tc>
          <w:tcPr>
            <w:tcW w:w="672" w:type="dxa"/>
            <w:noWrap/>
            <w:hideMark/>
          </w:tcPr>
          <w:p w14:paraId="27FDB5D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36.7</w:t>
            </w:r>
          </w:p>
        </w:tc>
        <w:tc>
          <w:tcPr>
            <w:tcW w:w="639" w:type="dxa"/>
            <w:noWrap/>
            <w:hideMark/>
          </w:tcPr>
          <w:p w14:paraId="4B34E0D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35.0</w:t>
            </w:r>
          </w:p>
        </w:tc>
        <w:tc>
          <w:tcPr>
            <w:tcW w:w="747" w:type="dxa"/>
            <w:noWrap/>
            <w:hideMark/>
          </w:tcPr>
          <w:p w14:paraId="46A2E17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19.2</w:t>
            </w:r>
          </w:p>
        </w:tc>
        <w:tc>
          <w:tcPr>
            <w:tcW w:w="665" w:type="dxa"/>
            <w:noWrap/>
            <w:hideMark/>
          </w:tcPr>
          <w:p w14:paraId="71AF622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7.5</w:t>
            </w:r>
          </w:p>
        </w:tc>
        <w:tc>
          <w:tcPr>
            <w:tcW w:w="605" w:type="dxa"/>
            <w:noWrap/>
            <w:hideMark/>
          </w:tcPr>
          <w:p w14:paraId="70552B3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E66B3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2.02</w:t>
            </w:r>
          </w:p>
        </w:tc>
        <w:tc>
          <w:tcPr>
            <w:tcW w:w="0" w:type="auto"/>
          </w:tcPr>
          <w:p w14:paraId="14F2684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1.008</w:t>
            </w:r>
          </w:p>
        </w:tc>
      </w:tr>
      <w:tr w:rsidR="00270E62" w:rsidRPr="00270E62" w14:paraId="632EF93C" w14:textId="77777777" w:rsidTr="00876AA3">
        <w:trPr>
          <w:trHeight w:val="263"/>
        </w:trPr>
        <w:tc>
          <w:tcPr>
            <w:tcW w:w="3233" w:type="dxa"/>
            <w:noWrap/>
            <w:hideMark/>
          </w:tcPr>
          <w:p w14:paraId="732E68C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 xml:space="preserve">I contributed </w:t>
            </w:r>
            <w:proofErr w:type="spellStart"/>
            <w:r w:rsidRPr="00270E62">
              <w:rPr>
                <w:rFonts w:ascii="Arial" w:eastAsia="Calibri" w:hAnsi="Arial" w:cs="Arial"/>
                <w:sz w:val="20"/>
                <w:szCs w:val="20"/>
              </w:rPr>
              <w:t>labour</w:t>
            </w:r>
            <w:proofErr w:type="spellEnd"/>
            <w:r w:rsidRPr="00270E62">
              <w:rPr>
                <w:rFonts w:ascii="Arial" w:eastAsia="Calibri" w:hAnsi="Arial" w:cs="Arial"/>
                <w:sz w:val="20"/>
                <w:szCs w:val="20"/>
              </w:rPr>
              <w:t xml:space="preserve"> to the road maintenance project.</w:t>
            </w:r>
          </w:p>
        </w:tc>
        <w:tc>
          <w:tcPr>
            <w:tcW w:w="672" w:type="dxa"/>
            <w:noWrap/>
            <w:hideMark/>
          </w:tcPr>
          <w:p w14:paraId="5677796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639" w:type="dxa"/>
            <w:noWrap/>
            <w:hideMark/>
          </w:tcPr>
          <w:p w14:paraId="40796B3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39.2</w:t>
            </w:r>
          </w:p>
        </w:tc>
        <w:tc>
          <w:tcPr>
            <w:tcW w:w="747" w:type="dxa"/>
            <w:noWrap/>
            <w:hideMark/>
          </w:tcPr>
          <w:p w14:paraId="0D12EE0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w:t>
            </w:r>
          </w:p>
        </w:tc>
        <w:tc>
          <w:tcPr>
            <w:tcW w:w="665" w:type="dxa"/>
            <w:noWrap/>
            <w:hideMark/>
          </w:tcPr>
          <w:p w14:paraId="2A43571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7470FC8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2D9575F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2.06</w:t>
            </w:r>
          </w:p>
        </w:tc>
        <w:tc>
          <w:tcPr>
            <w:tcW w:w="0" w:type="auto"/>
          </w:tcPr>
          <w:p w14:paraId="59DBE00B"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1.079</w:t>
            </w:r>
          </w:p>
        </w:tc>
      </w:tr>
      <w:tr w:rsidR="00270E62" w:rsidRPr="00270E62" w14:paraId="11AA7556" w14:textId="77777777" w:rsidTr="00876AA3">
        <w:trPr>
          <w:trHeight w:val="263"/>
        </w:trPr>
        <w:tc>
          <w:tcPr>
            <w:tcW w:w="3233" w:type="dxa"/>
            <w:noWrap/>
            <w:hideMark/>
          </w:tcPr>
          <w:p w14:paraId="1C1C5A9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contributed materials (e.g., tools or raw materials) to the project.</w:t>
            </w:r>
          </w:p>
        </w:tc>
        <w:tc>
          <w:tcPr>
            <w:tcW w:w="672" w:type="dxa"/>
            <w:noWrap/>
            <w:hideMark/>
          </w:tcPr>
          <w:p w14:paraId="06CB82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4866FF8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31.7</w:t>
            </w:r>
          </w:p>
        </w:tc>
        <w:tc>
          <w:tcPr>
            <w:tcW w:w="747" w:type="dxa"/>
            <w:noWrap/>
            <w:hideMark/>
          </w:tcPr>
          <w:p w14:paraId="3265588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7500EF6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5.8</w:t>
            </w:r>
          </w:p>
        </w:tc>
        <w:tc>
          <w:tcPr>
            <w:tcW w:w="605" w:type="dxa"/>
            <w:noWrap/>
            <w:hideMark/>
          </w:tcPr>
          <w:p w14:paraId="3FED38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A9D90E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1.86</w:t>
            </w:r>
          </w:p>
        </w:tc>
        <w:tc>
          <w:tcPr>
            <w:tcW w:w="0" w:type="auto"/>
          </w:tcPr>
          <w:p w14:paraId="59CC677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0.99</w:t>
            </w:r>
          </w:p>
        </w:tc>
      </w:tr>
      <w:tr w:rsidR="00270E62" w:rsidRPr="00270E62" w14:paraId="7FC5E3C8" w14:textId="77777777" w:rsidTr="00876AA3">
        <w:trPr>
          <w:trHeight w:val="263"/>
        </w:trPr>
        <w:tc>
          <w:tcPr>
            <w:tcW w:w="3233" w:type="dxa"/>
            <w:noWrap/>
            <w:hideMark/>
          </w:tcPr>
          <w:p w14:paraId="536418B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assisted in monitoring and supervising the road maintenance activities.</w:t>
            </w:r>
          </w:p>
        </w:tc>
        <w:tc>
          <w:tcPr>
            <w:tcW w:w="672" w:type="dxa"/>
            <w:noWrap/>
            <w:hideMark/>
          </w:tcPr>
          <w:p w14:paraId="42141D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18C964E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747" w:type="dxa"/>
            <w:noWrap/>
            <w:hideMark/>
          </w:tcPr>
          <w:p w14:paraId="013184D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w:t>
            </w:r>
          </w:p>
        </w:tc>
        <w:tc>
          <w:tcPr>
            <w:tcW w:w="665" w:type="dxa"/>
            <w:noWrap/>
            <w:hideMark/>
          </w:tcPr>
          <w:p w14:paraId="63C1A3B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5.0</w:t>
            </w:r>
          </w:p>
        </w:tc>
        <w:tc>
          <w:tcPr>
            <w:tcW w:w="605" w:type="dxa"/>
            <w:noWrap/>
            <w:hideMark/>
          </w:tcPr>
          <w:p w14:paraId="16B2702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5684A6A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1.83</w:t>
            </w:r>
          </w:p>
        </w:tc>
        <w:tc>
          <w:tcPr>
            <w:tcW w:w="0" w:type="auto"/>
          </w:tcPr>
          <w:p w14:paraId="39FB7BB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0.984</w:t>
            </w:r>
          </w:p>
        </w:tc>
      </w:tr>
      <w:tr w:rsidR="00270E62" w:rsidRPr="00270E62" w14:paraId="1E8CE679" w14:textId="77777777" w:rsidTr="00876AA3">
        <w:trPr>
          <w:trHeight w:val="263"/>
        </w:trPr>
        <w:tc>
          <w:tcPr>
            <w:tcW w:w="3233" w:type="dxa"/>
            <w:noWrap/>
            <w:hideMark/>
          </w:tcPr>
          <w:p w14:paraId="65C07AB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participate in periodic maintenance activities for the road.</w:t>
            </w:r>
          </w:p>
        </w:tc>
        <w:tc>
          <w:tcPr>
            <w:tcW w:w="672" w:type="dxa"/>
            <w:noWrap/>
            <w:hideMark/>
          </w:tcPr>
          <w:p w14:paraId="2430E9D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35.0</w:t>
            </w:r>
          </w:p>
        </w:tc>
        <w:tc>
          <w:tcPr>
            <w:tcW w:w="639" w:type="dxa"/>
            <w:noWrap/>
            <w:hideMark/>
          </w:tcPr>
          <w:p w14:paraId="0387C6C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36.7</w:t>
            </w:r>
          </w:p>
        </w:tc>
        <w:tc>
          <w:tcPr>
            <w:tcW w:w="747" w:type="dxa"/>
            <w:noWrap/>
            <w:hideMark/>
          </w:tcPr>
          <w:p w14:paraId="0AE0B84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13.3</w:t>
            </w:r>
          </w:p>
        </w:tc>
        <w:tc>
          <w:tcPr>
            <w:tcW w:w="665" w:type="dxa"/>
            <w:noWrap/>
            <w:hideMark/>
          </w:tcPr>
          <w:p w14:paraId="6A0B21C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12.5</w:t>
            </w:r>
          </w:p>
        </w:tc>
        <w:tc>
          <w:tcPr>
            <w:tcW w:w="605" w:type="dxa"/>
            <w:noWrap/>
            <w:hideMark/>
          </w:tcPr>
          <w:p w14:paraId="481CF91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1A8D8B2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2.11</w:t>
            </w:r>
          </w:p>
        </w:tc>
        <w:tc>
          <w:tcPr>
            <w:tcW w:w="0" w:type="auto"/>
          </w:tcPr>
          <w:p w14:paraId="431F304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1.098</w:t>
            </w:r>
          </w:p>
        </w:tc>
      </w:tr>
      <w:tr w:rsidR="00270E62" w:rsidRPr="00270E62" w14:paraId="5D5F239D" w14:textId="77777777" w:rsidTr="00876AA3">
        <w:trPr>
          <w:trHeight w:val="263"/>
        </w:trPr>
        <w:tc>
          <w:tcPr>
            <w:tcW w:w="3233" w:type="dxa"/>
            <w:noWrap/>
            <w:hideMark/>
          </w:tcPr>
          <w:p w14:paraId="1E72640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contribute funds or materials for continued road maintenance.</w:t>
            </w:r>
          </w:p>
        </w:tc>
        <w:tc>
          <w:tcPr>
            <w:tcW w:w="672" w:type="dxa"/>
            <w:noWrap/>
            <w:hideMark/>
          </w:tcPr>
          <w:p w14:paraId="257469F7"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49.2</w:t>
            </w:r>
          </w:p>
        </w:tc>
        <w:tc>
          <w:tcPr>
            <w:tcW w:w="639" w:type="dxa"/>
            <w:noWrap/>
            <w:hideMark/>
          </w:tcPr>
          <w:p w14:paraId="7E11E12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26.7</w:t>
            </w:r>
          </w:p>
        </w:tc>
        <w:tc>
          <w:tcPr>
            <w:tcW w:w="747" w:type="dxa"/>
            <w:noWrap/>
            <w:hideMark/>
          </w:tcPr>
          <w:p w14:paraId="0EF7666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15.8</w:t>
            </w:r>
          </w:p>
        </w:tc>
        <w:tc>
          <w:tcPr>
            <w:tcW w:w="665" w:type="dxa"/>
            <w:noWrap/>
            <w:hideMark/>
          </w:tcPr>
          <w:p w14:paraId="441FE04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6.7</w:t>
            </w:r>
          </w:p>
        </w:tc>
        <w:tc>
          <w:tcPr>
            <w:tcW w:w="605" w:type="dxa"/>
            <w:noWrap/>
            <w:hideMark/>
          </w:tcPr>
          <w:p w14:paraId="15EB9E0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0B19EF5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1.85</w:t>
            </w:r>
          </w:p>
        </w:tc>
        <w:tc>
          <w:tcPr>
            <w:tcW w:w="0" w:type="auto"/>
          </w:tcPr>
          <w:p w14:paraId="7CFEFDE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1.026</w:t>
            </w:r>
          </w:p>
        </w:tc>
      </w:tr>
      <w:tr w:rsidR="00270E62" w:rsidRPr="00270E62" w14:paraId="1EBAE545" w14:textId="77777777" w:rsidTr="00876AA3">
        <w:trPr>
          <w:trHeight w:val="263"/>
        </w:trPr>
        <w:tc>
          <w:tcPr>
            <w:tcW w:w="3233" w:type="dxa"/>
            <w:noWrap/>
            <w:hideMark/>
          </w:tcPr>
          <w:p w14:paraId="25E62DC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help in mobilizing others to contribute to road maintenance activities.</w:t>
            </w:r>
          </w:p>
        </w:tc>
        <w:tc>
          <w:tcPr>
            <w:tcW w:w="672" w:type="dxa"/>
            <w:noWrap/>
            <w:hideMark/>
          </w:tcPr>
          <w:p w14:paraId="0A76184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40.0</w:t>
            </w:r>
          </w:p>
        </w:tc>
        <w:tc>
          <w:tcPr>
            <w:tcW w:w="639" w:type="dxa"/>
            <w:noWrap/>
            <w:hideMark/>
          </w:tcPr>
          <w:p w14:paraId="6F8E73D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30.8</w:t>
            </w:r>
          </w:p>
        </w:tc>
        <w:tc>
          <w:tcPr>
            <w:tcW w:w="747" w:type="dxa"/>
            <w:noWrap/>
            <w:hideMark/>
          </w:tcPr>
          <w:p w14:paraId="46FE2E2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15.8</w:t>
            </w:r>
          </w:p>
        </w:tc>
        <w:tc>
          <w:tcPr>
            <w:tcW w:w="665" w:type="dxa"/>
            <w:noWrap/>
            <w:hideMark/>
          </w:tcPr>
          <w:p w14:paraId="203E945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11.7</w:t>
            </w:r>
          </w:p>
        </w:tc>
        <w:tc>
          <w:tcPr>
            <w:tcW w:w="605" w:type="dxa"/>
            <w:noWrap/>
            <w:hideMark/>
          </w:tcPr>
          <w:p w14:paraId="1BCCE01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1.7</w:t>
            </w:r>
          </w:p>
        </w:tc>
        <w:tc>
          <w:tcPr>
            <w:tcW w:w="792" w:type="dxa"/>
          </w:tcPr>
          <w:p w14:paraId="1DBC8A3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2.04</w:t>
            </w:r>
          </w:p>
        </w:tc>
        <w:tc>
          <w:tcPr>
            <w:tcW w:w="0" w:type="auto"/>
          </w:tcPr>
          <w:p w14:paraId="650F805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1.088</w:t>
            </w:r>
          </w:p>
        </w:tc>
      </w:tr>
      <w:tr w:rsidR="00270E62" w:rsidRPr="00270E62" w14:paraId="2E166DC4" w14:textId="77777777" w:rsidTr="00876AA3">
        <w:trPr>
          <w:trHeight w:val="263"/>
        </w:trPr>
        <w:tc>
          <w:tcPr>
            <w:tcW w:w="3233" w:type="dxa"/>
            <w:noWrap/>
            <w:hideMark/>
          </w:tcPr>
          <w:p w14:paraId="02FA37E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lastRenderedPageBreak/>
              <w:t>I feel my participation has significantly impacted the project's success.</w:t>
            </w:r>
          </w:p>
        </w:tc>
        <w:tc>
          <w:tcPr>
            <w:tcW w:w="672" w:type="dxa"/>
            <w:noWrap/>
            <w:hideMark/>
          </w:tcPr>
          <w:p w14:paraId="543E3B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45.8</w:t>
            </w:r>
          </w:p>
        </w:tc>
        <w:tc>
          <w:tcPr>
            <w:tcW w:w="639" w:type="dxa"/>
            <w:noWrap/>
            <w:hideMark/>
          </w:tcPr>
          <w:p w14:paraId="727DA75E"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22.5</w:t>
            </w:r>
          </w:p>
        </w:tc>
        <w:tc>
          <w:tcPr>
            <w:tcW w:w="747" w:type="dxa"/>
            <w:noWrap/>
            <w:hideMark/>
          </w:tcPr>
          <w:p w14:paraId="598ABA62"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noWrap/>
            <w:hideMark/>
          </w:tcPr>
          <w:p w14:paraId="3A1D178C"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14.2</w:t>
            </w:r>
          </w:p>
        </w:tc>
        <w:tc>
          <w:tcPr>
            <w:tcW w:w="605" w:type="dxa"/>
            <w:noWrap/>
            <w:hideMark/>
          </w:tcPr>
          <w:p w14:paraId="091D1674"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2.5</w:t>
            </w:r>
          </w:p>
        </w:tc>
        <w:tc>
          <w:tcPr>
            <w:tcW w:w="792" w:type="dxa"/>
          </w:tcPr>
          <w:p w14:paraId="3BF3034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2.05</w:t>
            </w:r>
          </w:p>
        </w:tc>
        <w:tc>
          <w:tcPr>
            <w:tcW w:w="0" w:type="auto"/>
          </w:tcPr>
          <w:p w14:paraId="74D1C243"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1.187</w:t>
            </w:r>
          </w:p>
        </w:tc>
      </w:tr>
      <w:tr w:rsidR="00270E62" w:rsidRPr="00270E62" w14:paraId="208A90FE" w14:textId="77777777" w:rsidTr="00876AA3">
        <w:trPr>
          <w:trHeight w:val="263"/>
        </w:trPr>
        <w:tc>
          <w:tcPr>
            <w:tcW w:w="3233" w:type="dxa"/>
            <w:noWrap/>
            <w:hideMark/>
          </w:tcPr>
          <w:p w14:paraId="2D7DC18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am satisfied with the level of involvement the community had in this project.</w:t>
            </w:r>
          </w:p>
        </w:tc>
        <w:tc>
          <w:tcPr>
            <w:tcW w:w="672" w:type="dxa"/>
            <w:noWrap/>
            <w:hideMark/>
          </w:tcPr>
          <w:p w14:paraId="4C775E1F"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41.7</w:t>
            </w:r>
          </w:p>
        </w:tc>
        <w:tc>
          <w:tcPr>
            <w:tcW w:w="639" w:type="dxa"/>
            <w:noWrap/>
            <w:hideMark/>
          </w:tcPr>
          <w:p w14:paraId="1A62969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29.2</w:t>
            </w:r>
          </w:p>
        </w:tc>
        <w:tc>
          <w:tcPr>
            <w:tcW w:w="747" w:type="dxa"/>
            <w:noWrap/>
            <w:hideMark/>
          </w:tcPr>
          <w:p w14:paraId="5337013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20.0</w:t>
            </w:r>
          </w:p>
        </w:tc>
        <w:tc>
          <w:tcPr>
            <w:tcW w:w="665" w:type="dxa"/>
            <w:noWrap/>
            <w:hideMark/>
          </w:tcPr>
          <w:p w14:paraId="0036218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9.2</w:t>
            </w:r>
          </w:p>
        </w:tc>
        <w:tc>
          <w:tcPr>
            <w:tcW w:w="605" w:type="dxa"/>
            <w:noWrap/>
            <w:hideMark/>
          </w:tcPr>
          <w:p w14:paraId="37AFFDC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0.0</w:t>
            </w:r>
          </w:p>
        </w:tc>
        <w:tc>
          <w:tcPr>
            <w:tcW w:w="792" w:type="dxa"/>
          </w:tcPr>
          <w:p w14:paraId="75A7595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1.97</w:t>
            </w:r>
          </w:p>
        </w:tc>
        <w:tc>
          <w:tcPr>
            <w:tcW w:w="0" w:type="auto"/>
          </w:tcPr>
          <w:p w14:paraId="301B409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0.995</w:t>
            </w:r>
          </w:p>
        </w:tc>
      </w:tr>
      <w:tr w:rsidR="00270E62" w:rsidRPr="00270E62" w14:paraId="78902159" w14:textId="77777777" w:rsidTr="00876AA3">
        <w:trPr>
          <w:trHeight w:val="263"/>
        </w:trPr>
        <w:tc>
          <w:tcPr>
            <w:tcW w:w="3233" w:type="dxa"/>
            <w:tcBorders>
              <w:bottom w:val="single" w:sz="12" w:space="0" w:color="auto"/>
            </w:tcBorders>
            <w:noWrap/>
            <w:hideMark/>
          </w:tcPr>
          <w:p w14:paraId="7EE91E76"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I would participate in similar road maintenance projects in the future</w:t>
            </w:r>
          </w:p>
        </w:tc>
        <w:tc>
          <w:tcPr>
            <w:tcW w:w="672" w:type="dxa"/>
            <w:tcBorders>
              <w:bottom w:val="single" w:sz="12" w:space="0" w:color="auto"/>
            </w:tcBorders>
            <w:noWrap/>
            <w:hideMark/>
          </w:tcPr>
          <w:p w14:paraId="50428BED"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35.8</w:t>
            </w:r>
          </w:p>
        </w:tc>
        <w:tc>
          <w:tcPr>
            <w:tcW w:w="639" w:type="dxa"/>
            <w:tcBorders>
              <w:bottom w:val="single" w:sz="12" w:space="0" w:color="auto"/>
            </w:tcBorders>
            <w:noWrap/>
            <w:hideMark/>
          </w:tcPr>
          <w:p w14:paraId="23FEF511"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23.3</w:t>
            </w:r>
          </w:p>
        </w:tc>
        <w:tc>
          <w:tcPr>
            <w:tcW w:w="747" w:type="dxa"/>
            <w:tcBorders>
              <w:bottom w:val="single" w:sz="12" w:space="0" w:color="auto"/>
            </w:tcBorders>
            <w:noWrap/>
            <w:hideMark/>
          </w:tcPr>
          <w:p w14:paraId="070C4B38"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15.0</w:t>
            </w:r>
          </w:p>
        </w:tc>
        <w:tc>
          <w:tcPr>
            <w:tcW w:w="665" w:type="dxa"/>
            <w:tcBorders>
              <w:bottom w:val="single" w:sz="12" w:space="0" w:color="auto"/>
            </w:tcBorders>
            <w:noWrap/>
            <w:hideMark/>
          </w:tcPr>
          <w:p w14:paraId="7DAE661A"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22.5</w:t>
            </w:r>
          </w:p>
        </w:tc>
        <w:tc>
          <w:tcPr>
            <w:tcW w:w="605" w:type="dxa"/>
            <w:tcBorders>
              <w:bottom w:val="single" w:sz="12" w:space="0" w:color="auto"/>
            </w:tcBorders>
            <w:noWrap/>
            <w:hideMark/>
          </w:tcPr>
          <w:p w14:paraId="268FED95"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3.3</w:t>
            </w:r>
          </w:p>
        </w:tc>
        <w:tc>
          <w:tcPr>
            <w:tcW w:w="792" w:type="dxa"/>
            <w:tcBorders>
              <w:bottom w:val="single" w:sz="12" w:space="0" w:color="auto"/>
            </w:tcBorders>
          </w:tcPr>
          <w:p w14:paraId="7A9A2399"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2.34</w:t>
            </w:r>
          </w:p>
        </w:tc>
        <w:tc>
          <w:tcPr>
            <w:tcW w:w="0" w:type="auto"/>
            <w:tcBorders>
              <w:bottom w:val="single" w:sz="12" w:space="0" w:color="auto"/>
            </w:tcBorders>
          </w:tcPr>
          <w:p w14:paraId="0654A6D0" w14:textId="77777777" w:rsidR="00270E62" w:rsidRPr="00270E62" w:rsidRDefault="00270E62" w:rsidP="00270E62">
            <w:pPr>
              <w:rPr>
                <w:rFonts w:ascii="Arial" w:eastAsia="Calibri" w:hAnsi="Arial" w:cs="Arial"/>
                <w:sz w:val="20"/>
                <w:szCs w:val="20"/>
              </w:rPr>
            </w:pPr>
            <w:r w:rsidRPr="00270E62">
              <w:rPr>
                <w:rFonts w:ascii="Arial" w:eastAsia="Calibri" w:hAnsi="Arial" w:cs="Arial"/>
                <w:sz w:val="20"/>
                <w:szCs w:val="20"/>
              </w:rPr>
              <w:t>1.267</w:t>
            </w:r>
          </w:p>
        </w:tc>
      </w:tr>
    </w:tbl>
    <w:p w14:paraId="4C5C3E7B" w14:textId="77777777" w:rsidR="00270E62" w:rsidRPr="00270E62" w:rsidRDefault="00270E62" w:rsidP="00270E62">
      <w:pPr>
        <w:spacing w:after="0" w:line="360" w:lineRule="auto"/>
        <w:rPr>
          <w:rFonts w:ascii="Arial" w:eastAsia="Calibri" w:hAnsi="Arial" w:cs="Arial"/>
          <w:i/>
          <w:iCs/>
          <w:sz w:val="20"/>
          <w:szCs w:val="20"/>
        </w:rPr>
      </w:pPr>
      <w:r w:rsidRPr="00270E62">
        <w:rPr>
          <w:rFonts w:ascii="Arial" w:eastAsia="Calibri" w:hAnsi="Arial" w:cs="Arial"/>
          <w:b/>
          <w:bCs/>
          <w:i/>
          <w:iCs/>
          <w:sz w:val="20"/>
          <w:szCs w:val="20"/>
        </w:rPr>
        <w:t>Key:</w:t>
      </w:r>
      <w:r w:rsidRPr="00270E62">
        <w:rPr>
          <w:rFonts w:ascii="Arial" w:eastAsia="Calibri" w:hAnsi="Arial" w:cs="Arial"/>
          <w:i/>
          <w:iCs/>
          <w:sz w:val="20"/>
          <w:szCs w:val="20"/>
        </w:rPr>
        <w:t xml:space="preserve"> SD = Strongly Disagree (1), D = Disagree (2), N = Neutral (3), A = Agree (4), SA = Strongly Agree (5)</w:t>
      </w:r>
    </w:p>
    <w:p w14:paraId="09D5C4EF" w14:textId="0AF5968B" w:rsidR="005869FC" w:rsidRPr="005869FC" w:rsidRDefault="005869FC" w:rsidP="005869FC">
      <w:pPr>
        <w:jc w:val="both"/>
        <w:rPr>
          <w:rFonts w:ascii="Arial" w:hAnsi="Arial" w:cs="Arial"/>
          <w:sz w:val="24"/>
          <w:szCs w:val="24"/>
        </w:rPr>
      </w:pPr>
      <w:r>
        <w:rPr>
          <w:rFonts w:ascii="Arial" w:hAnsi="Arial" w:cs="Arial"/>
          <w:sz w:val="24"/>
          <w:szCs w:val="24"/>
        </w:rPr>
        <w:t>The findings from Table 2</w:t>
      </w:r>
      <w:r w:rsidRPr="005869FC">
        <w:rPr>
          <w:rFonts w:ascii="Arial" w:hAnsi="Arial" w:cs="Arial"/>
          <w:sz w:val="24"/>
          <w:szCs w:val="24"/>
        </w:rPr>
        <w:t xml:space="preserve"> reveal that community involvement in the initial identification of road maintenance needs was markedly low. Specifically, 40.0% of respondents strongly disagreed, and 31.7% disagreed, that they were involved in identifying road maintenance needs. The mean score of 2.08 (SD = 1.153) indicates a generally low level of perceived involvement, with responses clustered around disagreement but showing moderate variability. This suggests that most road maintenance initiatives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 Council were initiated without systematic consultation with local residents, who are the primary users of these roads. In a rural context like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where community members rely heavily on unpaved feeder roads to access markets, schools, and health </w:t>
      </w:r>
      <w:proofErr w:type="spellStart"/>
      <w:r w:rsidRPr="005869FC">
        <w:rPr>
          <w:rFonts w:ascii="Arial" w:hAnsi="Arial" w:cs="Arial"/>
          <w:sz w:val="24"/>
          <w:szCs w:val="24"/>
        </w:rPr>
        <w:t>centers</w:t>
      </w:r>
      <w:proofErr w:type="spellEnd"/>
      <w:r w:rsidRPr="005869FC">
        <w:rPr>
          <w:rFonts w:ascii="Arial" w:hAnsi="Arial" w:cs="Arial"/>
          <w:sz w:val="24"/>
          <w:szCs w:val="24"/>
        </w:rPr>
        <w:t>, excluding them from identifying maintenance needs can result in a mismatch between actual needs and project priorities. These findings ar</w:t>
      </w:r>
      <w:r w:rsidR="00EA20C8">
        <w:rPr>
          <w:rFonts w:ascii="Arial" w:hAnsi="Arial" w:cs="Arial"/>
          <w:sz w:val="24"/>
          <w:szCs w:val="24"/>
        </w:rPr>
        <w:t>e consistent with  Baxter et al.</w:t>
      </w:r>
      <w:r w:rsidR="00EA20C8">
        <w:rPr>
          <w:rFonts w:ascii="Arial" w:hAnsi="Arial" w:cs="Arial"/>
          <w:sz w:val="24"/>
          <w:szCs w:val="24"/>
        </w:rPr>
        <w:fldChar w:fldCharType="begin" w:fldLock="1"/>
      </w:r>
      <w:r w:rsidR="00EA20C8">
        <w:rPr>
          <w:rFonts w:ascii="Arial" w:hAnsi="Arial" w:cs="Arial"/>
          <w:sz w:val="24"/>
          <w:szCs w:val="24"/>
        </w:rPr>
        <w:instrText>ADDIN CSL_CITATION {"citationItems":[{"id":"ITEM-1","itemData":{"DOI":"10.1080/03003930.2022.2081551","ISSN":"17439388","abstract":"Creating conditions to empower local people is an important determinant of health, and crucial in addressing health inequity. Yet, experimentation with initiatives to support public participation at a local level is threatened by enduring global economic instability. A better understanding of how different participatory approaches might address the social determinants of health would support future prioritisation of actions and investment.We reviewed recent literature and theories on initiatives to increase peoples’ influence in local decision-making and on social determinants of health. Our synthesis found little detail about the form and function of initiatives, but diverse factors deemed influential in achieving outcomes. Studies highlighted that pressure on resources undermines individual and community capacities to participate, and requires organisational leaders to think/act differently.Suggested priorities for local governance are: supporting capabilities and relationships between organisations and communities; creating safe and equitable spaces for interaction and knowledge-sharing; and changing institutional culture.","author":[{"dropping-particle":"","family":"Baxter","given":"Susan","non-dropping-particle":"","parse-names":false,"suffix":""},{"dropping-particle":"","family":"Barnes","given":"Amy","non-dropping-particle":"","parse-names":false,"suffix":""},{"dropping-particle":"","family":"Lee","given":"Caroline","non-dropping-particle":"","parse-names":false,"suffix":""},{"dropping-particle":"","family":"Mead","given":"Rebecca","non-dropping-particle":"","parse-names":false,"suffix":""},{"dropping-particle":"","family":"Clowes","given":"Mark","non-dropping-particle":"","parse-names":false,"suffix":""}],"container-title":"Local Government Studies","id":"ITEM-1","issue":"5","issued":{"date-parts":[["2023"]]},"page":"861-887","publisher":"Routledge","title":"Increasing public participation and influence in local decision-making to address social determinants of health: a systematic review examining initiatives and theories","type":"article-journal","volume":"49"},"suppress-author":1,"uris":["http://www.mendeley.com/documents/?uuid=8b124623-3452-4d24-8a09-6c8eaf25985a"]}],"mendeley":{"formattedCitation":"(2023)","plainTextFormattedCitation":"(2023)","previouslyFormattedCitation":"(2023)"},"properties":{"noteIndex":0},"schema":"https://github.com/citation-style-language/schema/raw/master/csl-citation.json"}</w:instrText>
      </w:r>
      <w:r w:rsidR="00EA20C8">
        <w:rPr>
          <w:rFonts w:ascii="Arial" w:hAnsi="Arial" w:cs="Arial"/>
          <w:sz w:val="24"/>
          <w:szCs w:val="24"/>
        </w:rPr>
        <w:fldChar w:fldCharType="separate"/>
      </w:r>
      <w:r w:rsidR="00EA20C8" w:rsidRPr="00EA20C8">
        <w:rPr>
          <w:rFonts w:ascii="Arial" w:hAnsi="Arial" w:cs="Arial"/>
          <w:noProof/>
          <w:sz w:val="24"/>
          <w:szCs w:val="24"/>
        </w:rPr>
        <w:t>(2023)</w:t>
      </w:r>
      <w:r w:rsidR="00EA20C8">
        <w:rPr>
          <w:rFonts w:ascii="Arial" w:hAnsi="Arial" w:cs="Arial"/>
          <w:sz w:val="24"/>
          <w:szCs w:val="24"/>
        </w:rPr>
        <w:fldChar w:fldCharType="end"/>
      </w:r>
      <w:r w:rsidRPr="005869FC">
        <w:rPr>
          <w:rFonts w:ascii="Arial" w:hAnsi="Arial" w:cs="Arial"/>
          <w:sz w:val="24"/>
          <w:szCs w:val="24"/>
        </w:rPr>
        <w:t xml:space="preserve">, who reported similarly low levels of community involvement in rural road maintenance projects in Iringa District, where most projects were designed and executed by District Engineers without local input, limiting community ownership and project </w:t>
      </w:r>
      <w:r>
        <w:rPr>
          <w:rFonts w:ascii="Arial" w:hAnsi="Arial" w:cs="Arial"/>
          <w:sz w:val="24"/>
          <w:szCs w:val="24"/>
        </w:rPr>
        <w:t>effectiveness.</w:t>
      </w:r>
    </w:p>
    <w:p w14:paraId="68F0CCE7" w14:textId="073A542C" w:rsidR="005869FC" w:rsidRPr="009C65B1" w:rsidRDefault="005869FC" w:rsidP="006E796E">
      <w:pPr>
        <w:rPr>
          <w:rFonts w:ascii="Arial" w:hAnsi="Arial" w:cs="Arial"/>
          <w:sz w:val="24"/>
          <w:szCs w:val="24"/>
        </w:rPr>
      </w:pPr>
      <w:r w:rsidRPr="009C65B1">
        <w:rPr>
          <w:rFonts w:ascii="Arial" w:hAnsi="Arial" w:cs="Arial"/>
          <w:sz w:val="24"/>
          <w:szCs w:val="24"/>
        </w:rPr>
        <w:t xml:space="preserve">The trend of minimal engagement continued into the planning phase. The majority of respondents (44.2% strongly disagreed and 28.3% disagreed) indicated they were not involved in determining how road maintenance would be conducted. The mean score of 2.01 (SD = 1.141) reinforces the perception that community members were largely excluded from planning. This is concerning given the participatory planning frameworks promoted under Tanzania’s Local Government Reform Programme, which expects engagement through Ward Development Committees (WDCs) and Village General Assemblies. The findings suggest that these mechanisms either are not functioning effectively or that participation remains largely symbolic, aligning with </w:t>
      </w:r>
      <w:proofErr w:type="spellStart"/>
      <w:r w:rsidR="009C65B1" w:rsidRPr="009C65B1">
        <w:rPr>
          <w:rFonts w:ascii="Arial" w:hAnsi="Arial" w:cs="Arial"/>
          <w:sz w:val="24"/>
          <w:szCs w:val="24"/>
        </w:rPr>
        <w:t>Muluk</w:t>
      </w:r>
      <w:proofErr w:type="spellEnd"/>
      <w:r w:rsidR="009C65B1" w:rsidRPr="009C65B1">
        <w:rPr>
          <w:rFonts w:ascii="Arial" w:hAnsi="Arial" w:cs="Arial"/>
          <w:sz w:val="24"/>
          <w:szCs w:val="24"/>
        </w:rPr>
        <w:t xml:space="preserve"> </w:t>
      </w:r>
      <w:r w:rsidRPr="009C65B1">
        <w:rPr>
          <w:rFonts w:ascii="Arial" w:hAnsi="Arial" w:cs="Arial"/>
          <w:sz w:val="24"/>
          <w:szCs w:val="24"/>
        </w:rPr>
        <w:t xml:space="preserve">et al. </w:t>
      </w:r>
      <w:r w:rsidR="00EA20C8">
        <w:rPr>
          <w:rFonts w:ascii="Arial" w:hAnsi="Arial" w:cs="Arial"/>
          <w:sz w:val="24"/>
          <w:szCs w:val="24"/>
        </w:rPr>
        <w:fldChar w:fldCharType="begin" w:fldLock="1"/>
      </w:r>
      <w:r w:rsidR="00EA20C8">
        <w:rPr>
          <w:rFonts w:ascii="Arial" w:hAnsi="Arial" w:cs="Arial"/>
          <w:sz w:val="24"/>
          <w:szCs w:val="24"/>
        </w:rPr>
        <w:instrText>ADDIN CSL_CITATION {"citationItems":[{"id":"ITEM-1","itemData":{"DOI":"10.20476/jbb.v26i3.11145","ISSN":"0854-3844","abstract":"The aim of this study is to assess the community participation process in the formulation of City Development Planning. This study develop participatory planning model to improve the effectiveness of community participation in formulation of the planning by using Soft System Methodology. Data was collected through observation, focus group discussions, and semi- structured interviews at Batu City in 2018. This study show that City Government need to improve the effectiveness of public consultation forum and development planning deliberation as an instrument for community participation. This study propose a new participatory planning model to enhance the community participation quality in the formulation of City Development Planning. The quality of planning results in an effective and representative plan.","author":[{"dropping-particle":"","family":"Muluk","given":"Mujibur Rahman Kharirul","non-dropping-particle":"","parse-names":false,"suffix":""},{"dropping-particle":"","family":"Danar","given":"Oscar R","non-dropping-particle":"","parse-names":false,"suffix":""},{"dropping-particle":"","family":"Rahmawati","given":"Lia","non-dropping-particle":"","parse-names":false,"suffix":""}],"container-title":"Bisnis &amp; Birokrasi Journal","id":"ITEM-1","issue":"3","issued":{"date-parts":[["2020"]]},"page":"1-9","title":"Community Participation and Development Planning in Local Government Level: A Study on the Formulation of Batu City Medium-Term Development Plan","type":"article-journal","volume":"26"},"suppress-author":1,"uris":["http://www.mendeley.com/documents/?uuid=861e934f-cd20-4e3a-8332-56f02d686cd5"]}],"mendeley":{"formattedCitation":"(2020)","plainTextFormattedCitation":"(2020)","previouslyFormattedCitation":"(2020)"},"properties":{"noteIndex":0},"schema":"https://github.com/citation-style-language/schema/raw/master/csl-citation.json"}</w:instrText>
      </w:r>
      <w:r w:rsidR="00EA20C8">
        <w:rPr>
          <w:rFonts w:ascii="Arial" w:hAnsi="Arial" w:cs="Arial"/>
          <w:sz w:val="24"/>
          <w:szCs w:val="24"/>
        </w:rPr>
        <w:fldChar w:fldCharType="separate"/>
      </w:r>
      <w:r w:rsidR="00EA20C8" w:rsidRPr="00EA20C8">
        <w:rPr>
          <w:rFonts w:ascii="Arial" w:hAnsi="Arial" w:cs="Arial"/>
          <w:noProof/>
          <w:sz w:val="24"/>
          <w:szCs w:val="24"/>
        </w:rPr>
        <w:t>(2020)</w:t>
      </w:r>
      <w:r w:rsidR="00EA20C8">
        <w:rPr>
          <w:rFonts w:ascii="Arial" w:hAnsi="Arial" w:cs="Arial"/>
          <w:sz w:val="24"/>
          <w:szCs w:val="24"/>
        </w:rPr>
        <w:fldChar w:fldCharType="end"/>
      </w:r>
      <w:r w:rsidRPr="009C65B1">
        <w:rPr>
          <w:rFonts w:ascii="Arial" w:hAnsi="Arial" w:cs="Arial"/>
          <w:sz w:val="24"/>
          <w:szCs w:val="24"/>
        </w:rPr>
        <w:t>, who critiqued tokenistic participation where communities have limited influence over substantive decisions.</w:t>
      </w:r>
    </w:p>
    <w:p w14:paraId="78F1B014" w14:textId="463C6A0E"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Similarly, a considerable proportion of respondents (44.2% strongly disagreed and 26.7% disagreed) felt that their suggestions were not considered during decision-making. The mean of 2.03 (SD = 1.173) indicates that most respondents felt marginalized in this critical process. This highlights a lack of participatory governance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District’s road maintenance initiatives. Community involvement in decision-making is essential for fostering ownership, transparency, and accountability; when citizens perceive their voices are ignored, they are less likely to support or contribut</w:t>
      </w:r>
      <w:r w:rsidR="00E67D24">
        <w:rPr>
          <w:rFonts w:ascii="Arial" w:hAnsi="Arial" w:cs="Arial"/>
          <w:sz w:val="24"/>
          <w:szCs w:val="24"/>
        </w:rPr>
        <w:t xml:space="preserve">e to projects. Bell and Reed </w:t>
      </w:r>
      <w:r w:rsidR="00E67D24">
        <w:rPr>
          <w:rFonts w:ascii="Arial" w:hAnsi="Arial" w:cs="Arial"/>
          <w:sz w:val="24"/>
          <w:szCs w:val="24"/>
        </w:rPr>
        <w:fldChar w:fldCharType="begin" w:fldLock="1"/>
      </w:r>
      <w:r w:rsidR="00E67D24">
        <w:rPr>
          <w:rFonts w:ascii="Arial" w:hAnsi="Arial" w:cs="Arial"/>
          <w:sz w:val="24"/>
          <w:szCs w:val="24"/>
        </w:rPr>
        <w:instrText>ADDIN CSL_CITATION {"citationItems":[{"id":"ITEM-1","itemData":{"DOI":"10.1093/cdj/bsab018","ISSN":"0010-3802","abstract":"Community development often involves organizing participatory decision-making processes. The challenge is for this to be meaningful. Participatory decision-making has the potential to increase the transparency, accountability, equity and efficiency with which public administration serves the least privileged in society. However, in practice, it often fails to bring about these outcomes. A number of academics and practitioners have, therefore, theorized how participatory decision-making processes can better empower marginalized groups. By critically reviewing this body of work and empirically grounding the debate in recent practice, we aimed to develop a theoretically rigorous, easily applicable and holistic model of an inclusive participatory decision-making process that can work across a range of contexts. The empirical strand included surveying public engagement practitioners and participants about the participatory events they had organized or attended. These empirical findings were combined with insights from the theoretical literature to devise a new conceptual model of emancipatory, inclusive and empowering participatory decision-making – the ‘Tree of Participation’. The model can be useful to both organizers of participatory processes, as a check for empowering and inclusive practice, and to disadvantaged groups, as a set of expectations and demands when engaging in public decision-making.","author":[{"dropping-particle":"","family":"Bell","given":"Karen","non-dropping-particle":"","parse-names":false,"suffix":""},{"dropping-particle":"","family":"Reed","given":"Mark","non-dropping-particle":"","parse-names":false,"suffix":""}],"container-title":"Community Development Journal","id":"ITEM-1","issue":"4","issued":{"date-parts":[["2021"]]},"page":"595-614","title":"The tree of participation: a new model for inclusive decision-making","type":"article-journal","volume":"57"},"suppress-author":1,"uris":["http://www.mendeley.com/documents/?uuid=1b32cbc8-2482-4d55-b431-21ca13e0b2b0"]}],"mendeley":{"formattedCitation":"(2021)","plainTextFormattedCitation":"(2021)","previouslyFormattedCitation":"(2021)"},"properties":{"noteIndex":0},"schema":"https://github.com/citation-style-language/schema/raw/master/csl-citation.json"}</w:instrText>
      </w:r>
      <w:r w:rsidR="00E67D24">
        <w:rPr>
          <w:rFonts w:ascii="Arial" w:hAnsi="Arial" w:cs="Arial"/>
          <w:sz w:val="24"/>
          <w:szCs w:val="24"/>
        </w:rPr>
        <w:fldChar w:fldCharType="separate"/>
      </w:r>
      <w:r w:rsidR="00E67D24" w:rsidRPr="00E67D24">
        <w:rPr>
          <w:rFonts w:ascii="Arial" w:hAnsi="Arial" w:cs="Arial"/>
          <w:noProof/>
          <w:sz w:val="24"/>
          <w:szCs w:val="24"/>
        </w:rPr>
        <w:t>(2021)</w:t>
      </w:r>
      <w:r w:rsidR="00E67D24">
        <w:rPr>
          <w:rFonts w:ascii="Arial" w:hAnsi="Arial" w:cs="Arial"/>
          <w:sz w:val="24"/>
          <w:szCs w:val="24"/>
        </w:rPr>
        <w:fldChar w:fldCharType="end"/>
      </w:r>
      <w:r w:rsidR="00E67D24">
        <w:rPr>
          <w:rFonts w:ascii="Arial" w:hAnsi="Arial" w:cs="Arial"/>
          <w:sz w:val="24"/>
          <w:szCs w:val="24"/>
        </w:rPr>
        <w:t xml:space="preserve"> </w:t>
      </w:r>
      <w:r w:rsidRPr="005869FC">
        <w:rPr>
          <w:rFonts w:ascii="Arial" w:hAnsi="Arial" w:cs="Arial"/>
          <w:sz w:val="24"/>
          <w:szCs w:val="24"/>
        </w:rPr>
        <w:t>similarly observed that limited inclusion in decision-making undermined project susta</w:t>
      </w:r>
      <w:r>
        <w:rPr>
          <w:rFonts w:ascii="Arial" w:hAnsi="Arial" w:cs="Arial"/>
          <w:sz w:val="24"/>
          <w:szCs w:val="24"/>
        </w:rPr>
        <w:t>inability and community morale.</w:t>
      </w:r>
    </w:p>
    <w:p w14:paraId="6AFCDA43" w14:textId="3779C01B" w:rsidR="005869FC" w:rsidRPr="005869FC" w:rsidRDefault="005869FC" w:rsidP="005869FC">
      <w:pPr>
        <w:jc w:val="both"/>
        <w:rPr>
          <w:rFonts w:ascii="Arial" w:hAnsi="Arial" w:cs="Arial"/>
          <w:sz w:val="24"/>
          <w:szCs w:val="24"/>
        </w:rPr>
      </w:pPr>
      <w:r w:rsidRPr="005869FC">
        <w:rPr>
          <w:rFonts w:ascii="Arial" w:hAnsi="Arial" w:cs="Arial"/>
          <w:sz w:val="24"/>
          <w:szCs w:val="24"/>
        </w:rPr>
        <w:lastRenderedPageBreak/>
        <w:t>Communication gaps were also evident. Only 16.7% of respondents reported being informed about the project before implementation, whereas 72.5% indicated otherwise. With a mean of 2.16 (SD = 1.138), these findings reflect a breakdown in information flow from project implementers to the community. Traditional communication channels, such as village meetings, notice boards, and announcements via local leaders, appear underutilized or restricted to limited groups. This sup</w:t>
      </w:r>
      <w:r w:rsidR="00E67D24">
        <w:rPr>
          <w:rFonts w:ascii="Arial" w:hAnsi="Arial" w:cs="Arial"/>
          <w:sz w:val="24"/>
          <w:szCs w:val="24"/>
        </w:rPr>
        <w:t xml:space="preserve">ports </w:t>
      </w:r>
      <w:proofErr w:type="spellStart"/>
      <w:r w:rsidR="00E67D24">
        <w:rPr>
          <w:rFonts w:ascii="Arial" w:hAnsi="Arial" w:cs="Arial"/>
          <w:sz w:val="24"/>
          <w:szCs w:val="24"/>
        </w:rPr>
        <w:t>Mesok</w:t>
      </w:r>
      <w:proofErr w:type="spellEnd"/>
      <w:r w:rsidR="00E67D24">
        <w:rPr>
          <w:rFonts w:ascii="Arial" w:hAnsi="Arial" w:cs="Arial"/>
          <w:sz w:val="24"/>
          <w:szCs w:val="24"/>
        </w:rPr>
        <w:t xml:space="preserve"> </w:t>
      </w:r>
      <w:r w:rsidR="00E67D24">
        <w:rPr>
          <w:rFonts w:ascii="Arial" w:hAnsi="Arial" w:cs="Arial"/>
          <w:sz w:val="24"/>
          <w:szCs w:val="24"/>
        </w:rPr>
        <w:fldChar w:fldCharType="begin" w:fldLock="1"/>
      </w:r>
      <w:r w:rsidR="00F05DD2">
        <w:rPr>
          <w:rFonts w:ascii="Arial" w:hAnsi="Arial" w:cs="Arial"/>
          <w:sz w:val="24"/>
          <w:szCs w:val="24"/>
        </w:rPr>
        <w:instrText>ADDIN CSL_CITATION {"citationItems":[{"id":"ITEM-1","itemData":{"DOI":"10.1080/09592318.2022.2037908","ISSN":"17439558","abstract":"Over the last six years, the P/CVE agenda has emphasized the need of preventative measures to augment kinetic counterterrorism security approaches. Based on field research in Kenya in 2019, this article analyzes the ‘police power’ of P/CVE, which compels populations to participate in their own security and ensure their own governability, otherwise marking them for elimination. P/CVE is read as a mode of civil counterinsurgency that operates to pacify populations seen as threats to a liberal international order through peacebuilding and development initiatives, curtailing the autonomy of civic space and securitizing the work of community organizations.","author":[{"dropping-particle":"","family":"Mesok","given":"Elizabeth","non-dropping-particle":"","parse-names":false,"suffix":""}],"container-title":"Small Wars and Insurgencies","id":"ITEM-1","issue":"4-5","issued":{"date-parts":[["2022"]]},"page":"720-741","publisher":"Routledge","title":"Counterinsurgency, community participation, and the preventing and countering violent extremism agenda in Kenya","type":"article-journal","volume":"33"},"suppress-author":1,"uris":["http://www.mendeley.com/documents/?uuid=031c4944-87e2-4897-9b2e-d78ac160486d"]}],"mendeley":{"formattedCitation":"(2022)","plainTextFormattedCitation":"(2022)","previouslyFormattedCitation":"(2022)"},"properties":{"noteIndex":0},"schema":"https://github.com/citation-style-language/schema/raw/master/csl-citation.json"}</w:instrText>
      </w:r>
      <w:r w:rsidR="00E67D24">
        <w:rPr>
          <w:rFonts w:ascii="Arial" w:hAnsi="Arial" w:cs="Arial"/>
          <w:sz w:val="24"/>
          <w:szCs w:val="24"/>
        </w:rPr>
        <w:fldChar w:fldCharType="separate"/>
      </w:r>
      <w:r w:rsidR="00E67D24" w:rsidRPr="00E67D24">
        <w:rPr>
          <w:rFonts w:ascii="Arial" w:hAnsi="Arial" w:cs="Arial"/>
          <w:noProof/>
          <w:sz w:val="24"/>
          <w:szCs w:val="24"/>
        </w:rPr>
        <w:t>(2022)</w:t>
      </w:r>
      <w:r w:rsidR="00E67D24">
        <w:rPr>
          <w:rFonts w:ascii="Arial" w:hAnsi="Arial" w:cs="Arial"/>
          <w:sz w:val="24"/>
          <w:szCs w:val="24"/>
        </w:rPr>
        <w:fldChar w:fldCharType="end"/>
      </w:r>
      <w:r w:rsidRPr="005869FC">
        <w:rPr>
          <w:rFonts w:ascii="Arial" w:hAnsi="Arial" w:cs="Arial"/>
          <w:sz w:val="24"/>
          <w:szCs w:val="24"/>
        </w:rPr>
        <w:t>, who described a “myth of community participation” in technical and donor-driven projects that often bypass the intended beneficiaries. Without adequate communication, project objectives may be misunderstood, participation reduced, and misinformation may spread, undermining both trust in local institutions and the</w:t>
      </w:r>
      <w:r>
        <w:rPr>
          <w:rFonts w:ascii="Arial" w:hAnsi="Arial" w:cs="Arial"/>
          <w:sz w:val="24"/>
          <w:szCs w:val="24"/>
        </w:rPr>
        <w:t xml:space="preserve"> success of future initiatives.</w:t>
      </w:r>
    </w:p>
    <w:p w14:paraId="014E24DE" w14:textId="08D614FF"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Exclusion from project discussions was also prevalent. The majority of respondents (39.2% strongly disagreed and 34.2% disagreed) reported not participating in discussions regarding project goals and methods. The mean of 2.03 (SD = 1.073) highlights low consensus and moderate variation. In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rural communities, where local customs support participatory dialogue through public forums (</w:t>
      </w:r>
      <w:proofErr w:type="spellStart"/>
      <w:r w:rsidRPr="005869FC">
        <w:rPr>
          <w:rFonts w:ascii="Arial" w:hAnsi="Arial" w:cs="Arial"/>
          <w:sz w:val="24"/>
          <w:szCs w:val="24"/>
        </w:rPr>
        <w:t>Baraza</w:t>
      </w:r>
      <w:proofErr w:type="spellEnd"/>
      <w:r w:rsidRPr="005869FC">
        <w:rPr>
          <w:rFonts w:ascii="Arial" w:hAnsi="Arial" w:cs="Arial"/>
          <w:sz w:val="24"/>
          <w:szCs w:val="24"/>
        </w:rPr>
        <w:t>) and village assemblies, this exclusion raises concerns about pr</w:t>
      </w:r>
      <w:r w:rsidR="00F05DD2">
        <w:rPr>
          <w:rFonts w:ascii="Arial" w:hAnsi="Arial" w:cs="Arial"/>
          <w:sz w:val="24"/>
          <w:szCs w:val="24"/>
        </w:rPr>
        <w:t xml:space="preserve">ocedural inclusiveness. </w:t>
      </w:r>
      <w:r w:rsidRPr="005869FC">
        <w:rPr>
          <w:rFonts w:ascii="Arial" w:hAnsi="Arial" w:cs="Arial"/>
          <w:sz w:val="24"/>
          <w:szCs w:val="24"/>
        </w:rPr>
        <w:t xml:space="preserve"> </w:t>
      </w:r>
      <w:r w:rsidR="00F05DD2">
        <w:rPr>
          <w:rFonts w:ascii="Arial" w:hAnsi="Arial" w:cs="Arial"/>
          <w:sz w:val="24"/>
          <w:szCs w:val="24"/>
        </w:rPr>
        <w:t xml:space="preserve">Thorpe </w:t>
      </w:r>
      <w:r w:rsidR="00F05DD2">
        <w:rPr>
          <w:rFonts w:ascii="Arial" w:hAnsi="Arial" w:cs="Arial"/>
          <w:sz w:val="24"/>
          <w:szCs w:val="24"/>
        </w:rPr>
        <w:fldChar w:fldCharType="begin" w:fldLock="1"/>
      </w:r>
      <w:r w:rsidR="00E148C2">
        <w:rPr>
          <w:rFonts w:ascii="Arial" w:hAnsi="Arial" w:cs="Arial"/>
          <w:sz w:val="24"/>
          <w:szCs w:val="24"/>
        </w:rPr>
        <w:instrText>ADDIN CSL_CITATION {"citationItems":[{"id":"ITEM-1","itemData":{"ISBN":"9781781186206","abstract":"… used to strengthen participation in economic areas. These include (a) strategies for greater awareness and economic literacy; (b) movements and campaigns to open closed spaces by challenging particular policies from the outside; (c) efforts to hold economic institutions more …","author":[{"dropping-particle":"","family":"Thorpe","given":"J","non-dropping-particle":"","parse-names":false,"suffix":""},{"dropping-particle":"","family":"Gaventa","given":"J","non-dropping-particle":"","parse-names":false,"suffix":""}],"id":"ITEM-1","issue":"535","issued":{"date-parts":[["2020"]]},"number-of-pages":"50pp","title":"Democratising Economic Power: The Potential for Meaningful Participation in Economic Governance and Decision-Making","type":"report","volume":"2020"},"suppress-author":1,"uris":["http://www.mendeley.com/documents/?uuid=5058b94d-6379-44a9-9df6-c8340ad37780"]}],"mendeley":{"formattedCitation":"(2020)","plainTextFormattedCitation":"(2020)","previouslyFormattedCitation":"(2020)"},"properties":{"noteIndex":0},"schema":"https://github.com/citation-style-language/schema/raw/master/csl-citation.json"}</w:instrText>
      </w:r>
      <w:r w:rsidR="00F05DD2">
        <w:rPr>
          <w:rFonts w:ascii="Arial" w:hAnsi="Arial" w:cs="Arial"/>
          <w:sz w:val="24"/>
          <w:szCs w:val="24"/>
        </w:rPr>
        <w:fldChar w:fldCharType="separate"/>
      </w:r>
      <w:r w:rsidR="00F05DD2" w:rsidRPr="00F05DD2">
        <w:rPr>
          <w:rFonts w:ascii="Arial" w:hAnsi="Arial" w:cs="Arial"/>
          <w:noProof/>
          <w:sz w:val="24"/>
          <w:szCs w:val="24"/>
        </w:rPr>
        <w:t>(2020)</w:t>
      </w:r>
      <w:r w:rsidR="00F05DD2">
        <w:rPr>
          <w:rFonts w:ascii="Arial" w:hAnsi="Arial" w:cs="Arial"/>
          <w:sz w:val="24"/>
          <w:szCs w:val="24"/>
        </w:rPr>
        <w:fldChar w:fldCharType="end"/>
      </w:r>
      <w:r w:rsidR="00F05DD2">
        <w:rPr>
          <w:rFonts w:ascii="Arial" w:hAnsi="Arial" w:cs="Arial"/>
          <w:sz w:val="24"/>
          <w:szCs w:val="24"/>
        </w:rPr>
        <w:t xml:space="preserve"> </w:t>
      </w:r>
      <w:r w:rsidRPr="005869FC">
        <w:rPr>
          <w:rFonts w:ascii="Arial" w:hAnsi="Arial" w:cs="Arial"/>
          <w:sz w:val="24"/>
          <w:szCs w:val="24"/>
        </w:rPr>
        <w:t xml:space="preserve">emphasized that meaningful participation requires not only the presence of participatory spaces but also the redistribution of decision-making power, which appears lacking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Limited inclusion constrains the integration of local knowledge on road use, terrain, and seasonality, which is crucial for effective </w:t>
      </w:r>
      <w:r>
        <w:rPr>
          <w:rFonts w:ascii="Arial" w:hAnsi="Arial" w:cs="Arial"/>
          <w:sz w:val="24"/>
          <w:szCs w:val="24"/>
        </w:rPr>
        <w:t>project planning and execution.</w:t>
      </w:r>
    </w:p>
    <w:p w14:paraId="2DE91B1C" w14:textId="4B874B7B"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Participation during project planning showed a similar pattern. Most respondents (36.7% strongly disagreed and 35.0% disagreed) felt that their contributions were not considered. The mean of 2.02 (SD = 1.008) underscores low perceived inclusion and relatively low variability in responses. This suggests a top-down approach inconsistent with participatory rural appraisal principles emphasized in Tanzania’s development frameworks. Ignoring community input in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diverse topography may lead to infrastructure that fails to address practical challenges, such as drainage, bottlenecks, or the need </w:t>
      </w:r>
      <w:r w:rsidRPr="00E148C2">
        <w:rPr>
          <w:rFonts w:ascii="Arial" w:hAnsi="Arial" w:cs="Arial"/>
          <w:sz w:val="24"/>
          <w:szCs w:val="24"/>
          <w:highlight w:val="yellow"/>
        </w:rPr>
        <w:t xml:space="preserve">for culverts. </w:t>
      </w:r>
      <w:proofErr w:type="spellStart"/>
      <w:r w:rsidR="00E148C2" w:rsidRPr="00E148C2">
        <w:rPr>
          <w:rFonts w:ascii="Arial" w:hAnsi="Arial" w:cs="Arial"/>
          <w:sz w:val="24"/>
          <w:szCs w:val="24"/>
          <w:highlight w:val="yellow"/>
        </w:rPr>
        <w:t>Lamhamed</w:t>
      </w:r>
      <w:proofErr w:type="spellEnd"/>
      <w:r w:rsidR="00E148C2" w:rsidRPr="00E148C2">
        <w:rPr>
          <w:rFonts w:ascii="Arial" w:hAnsi="Arial" w:cs="Arial"/>
          <w:sz w:val="24"/>
          <w:szCs w:val="24"/>
          <w:highlight w:val="yellow"/>
        </w:rPr>
        <w:t xml:space="preserve"> and de Vries </w:t>
      </w:r>
      <w:r w:rsidR="00E148C2" w:rsidRPr="00E148C2">
        <w:rPr>
          <w:rFonts w:ascii="Arial" w:hAnsi="Arial" w:cs="Arial"/>
          <w:sz w:val="24"/>
          <w:szCs w:val="24"/>
          <w:highlight w:val="yellow"/>
        </w:rPr>
        <w:fldChar w:fldCharType="begin" w:fldLock="1"/>
      </w:r>
      <w:r w:rsidR="004C2FA6">
        <w:rPr>
          <w:rFonts w:ascii="Arial" w:hAnsi="Arial" w:cs="Arial"/>
          <w:sz w:val="24"/>
          <w:szCs w:val="24"/>
          <w:highlight w:val="yellow"/>
        </w:rPr>
        <w:instrText>ADDIN CSL_CITATION {"citationItems":[{"id":"ITEM-1","itemData":{"DOI":"10.1007/s43621-024-00637-0","ISBN":"0123456789","ISSN":"26629984","abstract":"In Kenya's dynamic renewable energy landscape, characterized by complex policy frameworks, complex land tenure regimes, and diverse community dynamics, this qualitative research investigates the mechanisms and motivations guiding community decision-making when trading land for electricity access within the context of renewable energy projects. Through the lens of the Institutional Analysis and Development (IAD) framework, particularly the rules in use, this study unravels the complexities of rural communities’ trade-offs inherent in both large-scale and small-scale renewable energy projects. Data was collected through in-depth interviews, focus group discussions, and participant observations in rural communities engaged in these projects. The findings offer new insights into communities’ decision-making processes and institutional dynamics in shaping outcomes, with a focus on land rights and land use implications. The analysis highlights the relational nature of the trade-offs, influenced by factors such as land tenure systems, project scale, electricity access, traditional knowledge, and local context, supporting the importance of understanding communities’ diverse roles and positions, power dynamics, and governance structures. Overall, this study contributes to a deeper understanding of the complexities surrounding land-electricity trade-offs in renewable energy projects in rural areas, emphasizing the need for adaptable strategies to address evolving community needs and challenges.","author":[{"dropping-particle":"","family":"Lamhamedi","given":"Bouchra El Houda","non-dropping-particle":"","parse-names":false,"suffix":""},{"dropping-particle":"","family":"Vries","given":"Walter Timo","non-dropping-particle":"de","parse-names":false,"suffix":""}],"container-title":"Discover Sustainability","id":"ITEM-1","issue":"1","issued":{"date-parts":[["2024"]]},"page":"1-18","publisher":"Springer International Publishing","title":"Comparative analysis of rural communities’ tradeoffs in large-scale and small-scale renewable energy projects in Kenya","type":"article-journal","volume":"5"},"suppress-author":1,"uris":["http://www.mendeley.com/documents/?uuid=9b568e4a-9a1a-4e97-9cc7-d04d860fc7ed"]}],"mendeley":{"formattedCitation":"(2024)","plainTextFormattedCitation":"(2024)","previouslyFormattedCitation":"(2024)"},"properties":{"noteIndex":0},"schema":"https://github.com/citation-style-language/schema/raw/master/csl-citation.json"}</w:instrText>
      </w:r>
      <w:r w:rsidR="00E148C2" w:rsidRPr="00E148C2">
        <w:rPr>
          <w:rFonts w:ascii="Arial" w:hAnsi="Arial" w:cs="Arial"/>
          <w:sz w:val="24"/>
          <w:szCs w:val="24"/>
          <w:highlight w:val="yellow"/>
        </w:rPr>
        <w:fldChar w:fldCharType="separate"/>
      </w:r>
      <w:r w:rsidR="00E148C2" w:rsidRPr="00E148C2">
        <w:rPr>
          <w:rFonts w:ascii="Arial" w:hAnsi="Arial" w:cs="Arial"/>
          <w:noProof/>
          <w:sz w:val="24"/>
          <w:szCs w:val="24"/>
          <w:highlight w:val="yellow"/>
        </w:rPr>
        <w:t>(2024)</w:t>
      </w:r>
      <w:r w:rsidR="00E148C2" w:rsidRPr="00E148C2">
        <w:rPr>
          <w:rFonts w:ascii="Arial" w:hAnsi="Arial" w:cs="Arial"/>
          <w:sz w:val="24"/>
          <w:szCs w:val="24"/>
          <w:highlight w:val="yellow"/>
        </w:rPr>
        <w:fldChar w:fldCharType="end"/>
      </w:r>
      <w:r w:rsidR="00E148C2" w:rsidRPr="00E148C2">
        <w:rPr>
          <w:rFonts w:ascii="Arial" w:hAnsi="Arial" w:cs="Arial"/>
          <w:sz w:val="24"/>
          <w:szCs w:val="24"/>
          <w:highlight w:val="yellow"/>
        </w:rPr>
        <w:t xml:space="preserve"> </w:t>
      </w:r>
      <w:r w:rsidRPr="00E148C2">
        <w:rPr>
          <w:rFonts w:ascii="Arial" w:hAnsi="Arial" w:cs="Arial"/>
          <w:sz w:val="24"/>
          <w:szCs w:val="24"/>
          <w:highlight w:val="yellow"/>
        </w:rPr>
        <w:t>similarly noted that infrastructure planned without local input tends to be</w:t>
      </w:r>
      <w:r w:rsidRPr="005869FC">
        <w:rPr>
          <w:rFonts w:ascii="Arial" w:hAnsi="Arial" w:cs="Arial"/>
          <w:sz w:val="24"/>
          <w:szCs w:val="24"/>
        </w:rPr>
        <w:t xml:space="preserve"> unsustainable and poorly adapt</w:t>
      </w:r>
      <w:r>
        <w:rPr>
          <w:rFonts w:ascii="Arial" w:hAnsi="Arial" w:cs="Arial"/>
          <w:sz w:val="24"/>
          <w:szCs w:val="24"/>
        </w:rPr>
        <w:t>ed to community-specific needs.</w:t>
      </w:r>
    </w:p>
    <w:p w14:paraId="62C1DF6E" w14:textId="728F9075"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Implementation phase participation, particularly in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contribution, was minimal. A high proportion of respondents (35.8% strongly disagreed and 39.2% disagreed) reported not contributing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to road maintenance activities, despite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District Council’s tradition of community-driven public works under initiatives like TASAF. The mean of 2.06 (SD = 1.079) suggests general disagreement with moderate dispersion. This low engagement may stem from poor mobilization, lack of incentives, or negative past experiences, corr</w:t>
      </w:r>
      <w:r w:rsidR="004C2FA6">
        <w:rPr>
          <w:rFonts w:ascii="Arial" w:hAnsi="Arial" w:cs="Arial"/>
          <w:sz w:val="24"/>
          <w:szCs w:val="24"/>
        </w:rPr>
        <w:t xml:space="preserve">oborating </w:t>
      </w:r>
      <w:proofErr w:type="spellStart"/>
      <w:r w:rsidR="004C2FA6">
        <w:rPr>
          <w:rFonts w:ascii="Arial" w:hAnsi="Arial" w:cs="Arial"/>
          <w:sz w:val="24"/>
          <w:szCs w:val="24"/>
        </w:rPr>
        <w:t>Sainz</w:t>
      </w:r>
      <w:proofErr w:type="spellEnd"/>
      <w:r w:rsidR="004C2FA6">
        <w:rPr>
          <w:rFonts w:ascii="Arial" w:hAnsi="Arial" w:cs="Arial"/>
          <w:sz w:val="24"/>
          <w:szCs w:val="24"/>
        </w:rPr>
        <w:t xml:space="preserve"> et al. </w:t>
      </w:r>
      <w:r w:rsidR="004C2FA6">
        <w:rPr>
          <w:rFonts w:ascii="Arial" w:hAnsi="Arial" w:cs="Arial"/>
          <w:sz w:val="24"/>
          <w:szCs w:val="24"/>
        </w:rPr>
        <w:fldChar w:fldCharType="begin" w:fldLock="1"/>
      </w:r>
      <w:r w:rsidR="00985CAE">
        <w:rPr>
          <w:rFonts w:ascii="Arial" w:hAnsi="Arial" w:cs="Arial"/>
          <w:sz w:val="24"/>
          <w:szCs w:val="24"/>
        </w:rPr>
        <w:instrText>ADDIN CSL_CITATION {"citationItems":[{"id":"ITEM-1","itemData":{"author":[{"dropping-particle":"","family":"Sainz","given":"Mario","non-dropping-particle":"","parse-names":false,"suffix":""},{"dropping-particle":"","family":"Loughnan","given":"Steve","non-dropping-particle":"","parse-names":false,"suffix":""},{"dropping-particle":"","family":"Martínez","given":"Rocío","non-dropping-particle":"","parse-names":false,"suffix":""},{"dropping-particle":"","family":"Moya","given":"Miguel","non-dropping-particle":"","parse-names":false,"suffix":""},{"dropping-particle":"","family":"Rodríguez-bailón","given":"Rosa","non-dropping-particle":"","parse-names":false,"suffix":""}],"container-title":"International Review of Social Psychology","id":"ITEM-1","issue":"5","issued":{"date-parts":[["2020"]]},"page":"1-13","title":"Dehumanization of Socioeconomically Disadvantaged Groups Decreases Support for Welfare Policies via Perceived Wastefulness","type":"article-journal","volume":"33"},"suppress-author":1,"uris":["http://www.mendeley.com/documents/?uuid=ae5813a0-cd4f-40d0-8e50-e482663479d7"]}],"mendeley":{"formattedCitation":"(2020)","plainTextFormattedCitation":"(2020)","previouslyFormattedCitation":"(2020)"},"properties":{"noteIndex":0},"schema":"https://github.com/citation-style-language/schema/raw/master/csl-citation.json"}</w:instrText>
      </w:r>
      <w:r w:rsidR="004C2FA6">
        <w:rPr>
          <w:rFonts w:ascii="Arial" w:hAnsi="Arial" w:cs="Arial"/>
          <w:sz w:val="24"/>
          <w:szCs w:val="24"/>
        </w:rPr>
        <w:fldChar w:fldCharType="separate"/>
      </w:r>
      <w:r w:rsidR="004C2FA6" w:rsidRPr="004C2FA6">
        <w:rPr>
          <w:rFonts w:ascii="Arial" w:hAnsi="Arial" w:cs="Arial"/>
          <w:noProof/>
          <w:sz w:val="24"/>
          <w:szCs w:val="24"/>
        </w:rPr>
        <w:t>(2020)</w:t>
      </w:r>
      <w:r w:rsidR="004C2FA6">
        <w:rPr>
          <w:rFonts w:ascii="Arial" w:hAnsi="Arial" w:cs="Arial"/>
          <w:sz w:val="24"/>
          <w:szCs w:val="24"/>
        </w:rPr>
        <w:fldChar w:fldCharType="end"/>
      </w:r>
      <w:r w:rsidRPr="005869FC">
        <w:rPr>
          <w:rFonts w:ascii="Arial" w:hAnsi="Arial" w:cs="Arial"/>
          <w:sz w:val="24"/>
          <w:szCs w:val="24"/>
        </w:rPr>
        <w:t xml:space="preserve">, who observed that voluntary </w:t>
      </w:r>
      <w:proofErr w:type="spellStart"/>
      <w:r w:rsidRPr="005869FC">
        <w:rPr>
          <w:rFonts w:ascii="Arial" w:hAnsi="Arial" w:cs="Arial"/>
          <w:sz w:val="24"/>
          <w:szCs w:val="24"/>
        </w:rPr>
        <w:t>labor</w:t>
      </w:r>
      <w:proofErr w:type="spellEnd"/>
      <w:r w:rsidRPr="005869FC">
        <w:rPr>
          <w:rFonts w:ascii="Arial" w:hAnsi="Arial" w:cs="Arial"/>
          <w:sz w:val="24"/>
          <w:szCs w:val="24"/>
        </w:rPr>
        <w:t xml:space="preserve"> declines when perceived benefits are limited, especially among </w:t>
      </w:r>
      <w:r>
        <w:rPr>
          <w:rFonts w:ascii="Arial" w:hAnsi="Arial" w:cs="Arial"/>
          <w:sz w:val="24"/>
          <w:szCs w:val="24"/>
        </w:rPr>
        <w:t>economically vulnerable groups.</w:t>
      </w:r>
    </w:p>
    <w:p w14:paraId="42A577A2" w14:textId="2474C51E"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Material contribution was even lower, with 45.8% strongly disagreeing and 31.7% disagreeing that they provided tools or raw materials. The mean of 1.86 (SD = 0.99) indicates strong disagreement with low variability.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where economic </w:t>
      </w:r>
      <w:r w:rsidRPr="005869FC">
        <w:rPr>
          <w:rFonts w:ascii="Arial" w:hAnsi="Arial" w:cs="Arial"/>
          <w:sz w:val="24"/>
          <w:szCs w:val="24"/>
        </w:rPr>
        <w:lastRenderedPageBreak/>
        <w:t xml:space="preserve">resources are scarce and most households engage in subsistence farming, community members are often unable or unwilling to provide materials unless there is a strong </w:t>
      </w:r>
      <w:r w:rsidRPr="004C2FA6">
        <w:rPr>
          <w:rFonts w:ascii="Arial" w:hAnsi="Arial" w:cs="Arial"/>
          <w:sz w:val="24"/>
          <w:szCs w:val="24"/>
          <w:highlight w:val="yellow"/>
        </w:rPr>
        <w:t>sense</w:t>
      </w:r>
      <w:r w:rsidRPr="005869FC">
        <w:rPr>
          <w:rFonts w:ascii="Arial" w:hAnsi="Arial" w:cs="Arial"/>
          <w:sz w:val="24"/>
          <w:szCs w:val="24"/>
        </w:rPr>
        <w:t xml:space="preserve"> of ownership or visible benefits. These findings contrast with </w:t>
      </w:r>
      <w:proofErr w:type="spellStart"/>
      <w:r w:rsidR="00985CAE">
        <w:rPr>
          <w:rFonts w:ascii="Arial" w:hAnsi="Arial" w:cs="Arial"/>
          <w:sz w:val="24"/>
          <w:szCs w:val="24"/>
        </w:rPr>
        <w:t>Djomkam</w:t>
      </w:r>
      <w:proofErr w:type="spellEnd"/>
      <w:r w:rsidR="00985CAE">
        <w:rPr>
          <w:rFonts w:ascii="Arial" w:hAnsi="Arial" w:cs="Arial"/>
          <w:sz w:val="24"/>
          <w:szCs w:val="24"/>
        </w:rPr>
        <w:t xml:space="preserve"> and </w:t>
      </w:r>
      <w:proofErr w:type="spellStart"/>
      <w:r w:rsidR="00985CAE">
        <w:rPr>
          <w:rFonts w:ascii="Arial" w:hAnsi="Arial" w:cs="Arial"/>
          <w:sz w:val="24"/>
          <w:szCs w:val="24"/>
        </w:rPr>
        <w:t>Ehoda</w:t>
      </w:r>
      <w:proofErr w:type="spellEnd"/>
      <w:r w:rsidR="00985CAE">
        <w:rPr>
          <w:rFonts w:ascii="Arial" w:hAnsi="Arial" w:cs="Arial"/>
          <w:sz w:val="24"/>
          <w:szCs w:val="24"/>
        </w:rPr>
        <w:t xml:space="preserve"> </w:t>
      </w:r>
      <w:r w:rsidR="00985CAE">
        <w:rPr>
          <w:rFonts w:ascii="Arial" w:hAnsi="Arial" w:cs="Arial"/>
          <w:sz w:val="24"/>
          <w:szCs w:val="24"/>
        </w:rPr>
        <w:fldChar w:fldCharType="begin" w:fldLock="1"/>
      </w:r>
      <w:r w:rsidR="00985CAE">
        <w:rPr>
          <w:rFonts w:ascii="Arial" w:hAnsi="Arial" w:cs="Arial"/>
          <w:sz w:val="24"/>
          <w:szCs w:val="24"/>
        </w:rPr>
        <w:instrText>ADDIN CSL_CITATION {"citationItems":[{"id":"ITEM-1","itemData":{"author":[{"dropping-particle":"","family":"Djomkam","given":"Joseph Benjamin Chamtcheu","non-dropping-particle":"","parse-names":false,"suffix":""},{"dropping-particle":"","family":"Ehowa","given":"Hermann Brice Fouda","non-dropping-particle":"","parse-names":false,"suffix":""}],"container-title":"L’Afrique face à ses défis géopolitiques","id":"ITEM-1","issue":"5","issued":{"date-parts":[["2023"]]},"page":"157-178","title":"Road network and development: Assessing the significance of road infrastructures in the economic and social development of Melong","type":"article-journal","volume":"4"},"suppress-author":1,"uris":["http://www.mendeley.com/documents/?uuid=58783f0b-1418-4170-9e5a-01f81362664b"]}],"mendeley":{"formattedCitation":"(2023)","plainTextFormattedCitation":"(2023)","previouslyFormattedCitation":"(2023)"},"properties":{"noteIndex":0},"schema":"https://github.com/citation-style-language/schema/raw/master/csl-citation.json"}</w:instrText>
      </w:r>
      <w:r w:rsidR="00985CAE">
        <w:rPr>
          <w:rFonts w:ascii="Arial" w:hAnsi="Arial" w:cs="Arial"/>
          <w:sz w:val="24"/>
          <w:szCs w:val="24"/>
        </w:rPr>
        <w:fldChar w:fldCharType="separate"/>
      </w:r>
      <w:r w:rsidR="00985CAE" w:rsidRPr="00985CAE">
        <w:rPr>
          <w:rFonts w:ascii="Arial" w:hAnsi="Arial" w:cs="Arial"/>
          <w:noProof/>
          <w:sz w:val="24"/>
          <w:szCs w:val="24"/>
        </w:rPr>
        <w:t>(2023)</w:t>
      </w:r>
      <w:r w:rsidR="00985CAE">
        <w:rPr>
          <w:rFonts w:ascii="Arial" w:hAnsi="Arial" w:cs="Arial"/>
          <w:sz w:val="24"/>
          <w:szCs w:val="24"/>
        </w:rPr>
        <w:fldChar w:fldCharType="end"/>
      </w:r>
      <w:r w:rsidRPr="005869FC">
        <w:rPr>
          <w:rFonts w:ascii="Arial" w:hAnsi="Arial" w:cs="Arial"/>
          <w:sz w:val="24"/>
          <w:szCs w:val="24"/>
        </w:rPr>
        <w:t>, who reported higher community material invol</w:t>
      </w:r>
      <w:r>
        <w:rPr>
          <w:rFonts w:ascii="Arial" w:hAnsi="Arial" w:cs="Arial"/>
          <w:sz w:val="24"/>
          <w:szCs w:val="24"/>
        </w:rPr>
        <w:t>vement in other rural contexts.</w:t>
      </w:r>
    </w:p>
    <w:p w14:paraId="60EB5CF6" w14:textId="40FC7A6C"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Monitoring and supervision participation was also low. Most respondents (45.8% strongly disagreed and 35.8% disagreed) did not assist in overseeing project activities, with a mean of 1.83 (SD = 0.984), reflecting minimal variation. Community monitoring is essential for accountability and feedback, particularly where formal oversight is weak. The limited engagement suggests a missed opportunity to foster transparency and responsiveness, as highlighted by </w:t>
      </w:r>
      <w:proofErr w:type="spellStart"/>
      <w:r w:rsidR="00985CAE">
        <w:rPr>
          <w:rFonts w:ascii="Arial" w:hAnsi="Arial" w:cs="Arial"/>
          <w:sz w:val="24"/>
          <w:szCs w:val="24"/>
        </w:rPr>
        <w:t>Ozden</w:t>
      </w:r>
      <w:proofErr w:type="spellEnd"/>
      <w:r w:rsidR="00985CAE">
        <w:rPr>
          <w:rFonts w:ascii="Arial" w:hAnsi="Arial" w:cs="Arial"/>
          <w:sz w:val="24"/>
          <w:szCs w:val="24"/>
        </w:rPr>
        <w:t xml:space="preserve"> </w:t>
      </w:r>
      <w:r w:rsidR="00985CAE">
        <w:rPr>
          <w:rFonts w:ascii="Arial" w:hAnsi="Arial" w:cs="Arial"/>
          <w:sz w:val="24"/>
          <w:szCs w:val="24"/>
        </w:rPr>
        <w:fldChar w:fldCharType="begin" w:fldLock="1"/>
      </w:r>
      <w:r w:rsidR="00985CAE">
        <w:rPr>
          <w:rFonts w:ascii="Arial" w:hAnsi="Arial" w:cs="Arial"/>
          <w:sz w:val="24"/>
          <w:szCs w:val="24"/>
        </w:rPr>
        <w:instrText>ADDIN CSL_CITATION {"citationItems":[{"id":"ITEM-1","itemData":{"DOI":"10.1007/s11135-023-01658-z","ISBN":"0123456789","ISSN":"15737845","abstract":"The most effective structure in designing the participation process is local government units. It is much easier for local governments to establish closer dialogue with citizens, create negotiation environments for them and identify appropriate needs for participation. The intense feeling of centralization in terms of the duties and responsibilities of local governments in Turkey leads to the inability to transfer the negotiation processes in participation practices to realistic/realizable practices. As a result, permanent institutional practices do not carry on sustainably; they turn into structures established to fulfill legal obligations only. The transition from government to governance, with the winds of change began after 1990 in Turkey, revealed the necessity of reorganizing the duties and responsibilities of executives at both local and national levels regarding active citizenship; the necessity of activating local participation mechanisms was emphasized. For this reason, the application of the Headmen's (Headman means “Muhtar” in Turkish. Sometimes “Mukhtar” uses instead of Headman in some studies. But in this study Headman used to descripe partipatory process. In Turkey, there two types of “Headman”. One of them is village headman. Villages are legal entities, so village headmen have much more authority. The second one is neigborhood headmen. Neigborhoods are not legal entities. So that, neigborhood headman is responsible to City Mayor.). Workshop, designed by the Tekirdağ Metropolitan Municipality, was periodically subject to the research as an ongoing method, and its effectiveness for citizen participation was analyzed using the qualitative research method in the study. The reason why Tekirdağ was chosen in the study is that it has the only metropolitan municipality in the Thrace Region, periodic meetings and participatory democracy discourses on the sharing of duties and powers with new regulations increase. The practice was examined through 6 meetings held until 2020 since there were disruptions in the planned meetings of the practice on account of the fact that the study coincided with the COVID-19 pandemic process.","author":[{"dropping-particle":"","family":"Özden","given":"Miray","non-dropping-particle":"","parse-names":false,"suffix":""}],"container-title":"Quality and Quantity","id":"ITEM-1","issue":"1","issued":{"date-parts":[["2023"]]},"page":"1-22","publisher":"Springer Netherlands","title":"Active participation or legal obligation? A qualitative study of the effectiveness of participatory methods designed for local participation","type":"article-journal","volume":"58"},"suppress-author":1,"uris":["http://www.mendeley.com/documents/?uuid=f8765a55-269a-4d34-a67c-f3e93d19e009"]}],"mendeley":{"formattedCitation":"(2023)","plainTextFormattedCitation":"(2023)","previouslyFormattedCitation":"(2023)"},"properties":{"noteIndex":0},"schema":"https://github.com/citation-style-language/schema/raw/master/csl-citation.json"}</w:instrText>
      </w:r>
      <w:r w:rsidR="00985CAE">
        <w:rPr>
          <w:rFonts w:ascii="Arial" w:hAnsi="Arial" w:cs="Arial"/>
          <w:sz w:val="24"/>
          <w:szCs w:val="24"/>
        </w:rPr>
        <w:fldChar w:fldCharType="separate"/>
      </w:r>
      <w:r w:rsidR="00985CAE" w:rsidRPr="00985CAE">
        <w:rPr>
          <w:rFonts w:ascii="Arial" w:hAnsi="Arial" w:cs="Arial"/>
          <w:noProof/>
          <w:sz w:val="24"/>
          <w:szCs w:val="24"/>
        </w:rPr>
        <w:t>(2023)</w:t>
      </w:r>
      <w:r w:rsidR="00985CAE">
        <w:rPr>
          <w:rFonts w:ascii="Arial" w:hAnsi="Arial" w:cs="Arial"/>
          <w:sz w:val="24"/>
          <w:szCs w:val="24"/>
        </w:rPr>
        <w:fldChar w:fldCharType="end"/>
      </w:r>
      <w:r w:rsidRPr="005869FC">
        <w:rPr>
          <w:rFonts w:ascii="Arial" w:hAnsi="Arial" w:cs="Arial"/>
          <w:sz w:val="24"/>
          <w:szCs w:val="24"/>
        </w:rPr>
        <w:t>, who emphasized that community monitoring is a corner</w:t>
      </w:r>
      <w:r>
        <w:rPr>
          <w:rFonts w:ascii="Arial" w:hAnsi="Arial" w:cs="Arial"/>
          <w:sz w:val="24"/>
          <w:szCs w:val="24"/>
        </w:rPr>
        <w:t>stone of social accountability.</w:t>
      </w:r>
    </w:p>
    <w:p w14:paraId="405A44C6" w14:textId="467668C6" w:rsidR="005869FC" w:rsidRPr="005869FC" w:rsidRDefault="005869FC" w:rsidP="005869FC">
      <w:pPr>
        <w:jc w:val="both"/>
        <w:rPr>
          <w:rFonts w:ascii="Arial" w:hAnsi="Arial" w:cs="Arial"/>
          <w:sz w:val="24"/>
          <w:szCs w:val="24"/>
        </w:rPr>
      </w:pPr>
      <w:r w:rsidRPr="005869FC">
        <w:rPr>
          <w:rFonts w:ascii="Arial" w:hAnsi="Arial" w:cs="Arial"/>
          <w:sz w:val="24"/>
          <w:szCs w:val="24"/>
        </w:rPr>
        <w:t>Engagement in periodic maintenance remained low. A majority (35.0% strongly disagreed and 36.7% disagreed) reported not participating in ongoing upkeep, with a mean of 2.11 (SD = 1.098). Only 15% of respondents participated, likely those living close to the roads. These findings differ from</w:t>
      </w:r>
      <w:r w:rsidR="00985CAE">
        <w:rPr>
          <w:rFonts w:ascii="Arial" w:hAnsi="Arial" w:cs="Arial"/>
          <w:sz w:val="24"/>
          <w:szCs w:val="24"/>
        </w:rPr>
        <w:t xml:space="preserve"> </w:t>
      </w:r>
      <w:proofErr w:type="spellStart"/>
      <w:r w:rsidR="00985CAE">
        <w:rPr>
          <w:rFonts w:ascii="Arial" w:hAnsi="Arial" w:cs="Arial"/>
          <w:sz w:val="24"/>
          <w:szCs w:val="24"/>
        </w:rPr>
        <w:t>Moreri</w:t>
      </w:r>
      <w:proofErr w:type="spellEnd"/>
      <w:r w:rsidR="00985CAE">
        <w:rPr>
          <w:rFonts w:ascii="Arial" w:hAnsi="Arial" w:cs="Arial"/>
          <w:sz w:val="24"/>
          <w:szCs w:val="24"/>
        </w:rPr>
        <w:t xml:space="preserve"> </w:t>
      </w:r>
      <w:r w:rsidR="00985CAE">
        <w:rPr>
          <w:rFonts w:ascii="Arial" w:hAnsi="Arial" w:cs="Arial"/>
          <w:sz w:val="24"/>
          <w:szCs w:val="24"/>
        </w:rPr>
        <w:fldChar w:fldCharType="begin" w:fldLock="1"/>
      </w:r>
      <w:r w:rsidR="00985CAE">
        <w:rPr>
          <w:rFonts w:ascii="Arial" w:hAnsi="Arial" w:cs="Arial"/>
          <w:sz w:val="24"/>
          <w:szCs w:val="24"/>
        </w:rPr>
        <w:instrText>ADDIN CSL_CITATION {"citationItems":[{"id":"ITEM-1","itemData":{"author":[{"dropping-particle":"","family":"Moreri","given":"Kealeboga Kaizer","non-dropping-particle":"","parse-names":false,"suffix":""}],"container-title":"African Journal on Land Policy and Geospatial Sciences","id":"ITEM-1","issue":"2","issued":{"date-parts":[["2020"]]},"page":"18","title":"Documenting informal and customary land rights in Africa Challenges of using participatory means","type":"article-journal","volume":"3"},"suppress-author":1,"uris":["http://www.mendeley.com/documents/?uuid=fd331374-f5c5-4a1a-a61a-bf393ab40d80"]}],"mendeley":{"formattedCitation":"(2020)","plainTextFormattedCitation":"(2020)","previouslyFormattedCitation":"(2020)"},"properties":{"noteIndex":0},"schema":"https://github.com/citation-style-language/schema/raw/master/csl-citation.json"}</w:instrText>
      </w:r>
      <w:r w:rsidR="00985CAE">
        <w:rPr>
          <w:rFonts w:ascii="Arial" w:hAnsi="Arial" w:cs="Arial"/>
          <w:sz w:val="24"/>
          <w:szCs w:val="24"/>
        </w:rPr>
        <w:fldChar w:fldCharType="separate"/>
      </w:r>
      <w:r w:rsidR="00985CAE" w:rsidRPr="00985CAE">
        <w:rPr>
          <w:rFonts w:ascii="Arial" w:hAnsi="Arial" w:cs="Arial"/>
          <w:noProof/>
          <w:sz w:val="24"/>
          <w:szCs w:val="24"/>
        </w:rPr>
        <w:t>(2020)</w:t>
      </w:r>
      <w:r w:rsidR="00985CAE">
        <w:rPr>
          <w:rFonts w:ascii="Arial" w:hAnsi="Arial" w:cs="Arial"/>
          <w:sz w:val="24"/>
          <w:szCs w:val="24"/>
        </w:rPr>
        <w:fldChar w:fldCharType="end"/>
      </w:r>
      <w:r w:rsidRPr="005869FC">
        <w:rPr>
          <w:rFonts w:ascii="Arial" w:hAnsi="Arial" w:cs="Arial"/>
          <w:sz w:val="24"/>
          <w:szCs w:val="24"/>
        </w:rPr>
        <w:t>, who reported notable community involvement in routine maintenance supported by structured schedules, enforcement of bylaws, and strong local leadership, highlighting the need for locally own</w:t>
      </w:r>
      <w:r>
        <w:rPr>
          <w:rFonts w:ascii="Arial" w:hAnsi="Arial" w:cs="Arial"/>
          <w:sz w:val="24"/>
          <w:szCs w:val="24"/>
        </w:rPr>
        <w:t xml:space="preserve">ed maintenance plans in </w:t>
      </w:r>
      <w:proofErr w:type="spellStart"/>
      <w:r>
        <w:rPr>
          <w:rFonts w:ascii="Arial" w:hAnsi="Arial" w:cs="Arial"/>
          <w:sz w:val="24"/>
          <w:szCs w:val="24"/>
        </w:rPr>
        <w:t>Babati</w:t>
      </w:r>
      <w:proofErr w:type="spellEnd"/>
      <w:r>
        <w:rPr>
          <w:rFonts w:ascii="Arial" w:hAnsi="Arial" w:cs="Arial"/>
          <w:sz w:val="24"/>
          <w:szCs w:val="24"/>
        </w:rPr>
        <w:t>.</w:t>
      </w:r>
    </w:p>
    <w:p w14:paraId="620D3FFC" w14:textId="7F8C3B7B"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Financial and material contributions were similarly limited. Nearly half of the respondents (49.2% strongly disagreed and 26.7% disagreed) reported not providing any support, with a mean of 1.85 (SD = 1.026). Only 8.4% contributed funds or materials, suggesting that financial participation is largely confined to better-off households or those with higher awareness or direct stakes in road access. This limitation is largely attributable to </w:t>
      </w:r>
      <w:proofErr w:type="spellStart"/>
      <w:r w:rsidRPr="005869FC">
        <w:rPr>
          <w:rFonts w:ascii="Arial" w:hAnsi="Arial" w:cs="Arial"/>
          <w:sz w:val="24"/>
          <w:szCs w:val="24"/>
        </w:rPr>
        <w:t>Babati’s</w:t>
      </w:r>
      <w:proofErr w:type="spellEnd"/>
      <w:r w:rsidRPr="005869FC">
        <w:rPr>
          <w:rFonts w:ascii="Arial" w:hAnsi="Arial" w:cs="Arial"/>
          <w:sz w:val="24"/>
          <w:szCs w:val="24"/>
        </w:rPr>
        <w:t xml:space="preserve"> agrarian economy, where most residents depend on subsistence farming a</w:t>
      </w:r>
      <w:r w:rsidR="00985CAE">
        <w:rPr>
          <w:rFonts w:ascii="Arial" w:hAnsi="Arial" w:cs="Arial"/>
          <w:sz w:val="24"/>
          <w:szCs w:val="24"/>
        </w:rPr>
        <w:t xml:space="preserve">nd informal trade. </w:t>
      </w:r>
      <w:proofErr w:type="spellStart"/>
      <w:r w:rsidR="00985CAE">
        <w:rPr>
          <w:rFonts w:ascii="Arial" w:hAnsi="Arial" w:cs="Arial"/>
          <w:sz w:val="24"/>
          <w:szCs w:val="24"/>
        </w:rPr>
        <w:t>Ngezahayo</w:t>
      </w:r>
      <w:proofErr w:type="spellEnd"/>
      <w:r w:rsidR="00985CAE">
        <w:rPr>
          <w:rFonts w:ascii="Arial" w:hAnsi="Arial" w:cs="Arial"/>
          <w:sz w:val="24"/>
          <w:szCs w:val="24"/>
        </w:rPr>
        <w:t xml:space="preserve"> </w:t>
      </w:r>
      <w:r w:rsidR="00985CAE">
        <w:rPr>
          <w:rFonts w:ascii="Arial" w:hAnsi="Arial" w:cs="Arial"/>
          <w:sz w:val="24"/>
          <w:szCs w:val="24"/>
        </w:rPr>
        <w:fldChar w:fldCharType="begin" w:fldLock="1"/>
      </w:r>
      <w:r w:rsidR="00092C6D">
        <w:rPr>
          <w:rFonts w:ascii="Arial" w:hAnsi="Arial" w:cs="Arial"/>
          <w:sz w:val="24"/>
          <w:szCs w:val="24"/>
        </w:rPr>
        <w:instrText>ADDIN CSL_CITATION {"citationItems":[{"id":"ITEM-1","itemData":{"abstract":"Most of the low volume rural roads in Sub-Saharan Africa are unpaved. They are lifelines to the socio-economic factors and well-being of rural communities. In those countries, most of rural roads are made from lateritic or gravel soils. The major challenges that rural roads face in Sub-Saharan Africa include a lack of funding and a lack of engineering input during both construction and maintenance activities. For those reasons, rural roads are generally in poor condition and become nearly impassable during the rainy season due to erosion processes which severely damage them. The poor condition of rural roads has severe consequences on the economic transport of goods and services, and on the overall mobility of people, which hinders the country’s development. This paper assesses the importance and challenges of rural roads in Sub-Saharan Africa. It then proposes an approach to mitigate erosion of those roads through the selection of good-quality and appropriate soils to use on the surface, construction with efficient drainage systems and regular road maintenance. Moreover, the impact of those roads on the sustainable development is highlighted.","author":[{"dropping-particle":"","family":"Ngezahayo","given":"Esdras","non-dropping-particle":"","parse-names":false,"suffix":""},{"dropping-particle":"","family":"Burrow","given":"Michael","non-dropping-particle":"","parse-names":false,"suffix":""},{"dropping-particle":"","family":"Ghataora","given":"Gurmel","non-dropping-particle":"","parse-names":false,"suffix":""}],"container-title":"International Journal of Latest Engineering and Management Research (IJLEMR)","id":"ITEM-1","issue":"10","issued":{"date-parts":[["2019"]]},"page":"70-79","title":"Rural Roads –roles, challenges and solutions for Sub-Saharan Africa’s sustainable development","type":"article-journal","volume":"04"},"suppress-author":1,"uris":["http://www.mendeley.com/documents/?uuid=545b9717-ee29-4075-afc1-3d54e7e7acd0"]}],"mendeley":{"formattedCitation":"(2019)","plainTextFormattedCitation":"(2019)","previouslyFormattedCitation":"(2019)"},"properties":{"noteIndex":0},"schema":"https://github.com/citation-style-language/schema/raw/master/csl-citation.json"}</w:instrText>
      </w:r>
      <w:r w:rsidR="00985CAE">
        <w:rPr>
          <w:rFonts w:ascii="Arial" w:hAnsi="Arial" w:cs="Arial"/>
          <w:sz w:val="24"/>
          <w:szCs w:val="24"/>
        </w:rPr>
        <w:fldChar w:fldCharType="separate"/>
      </w:r>
      <w:r w:rsidR="00985CAE" w:rsidRPr="00985CAE">
        <w:rPr>
          <w:rFonts w:ascii="Arial" w:hAnsi="Arial" w:cs="Arial"/>
          <w:noProof/>
          <w:sz w:val="24"/>
          <w:szCs w:val="24"/>
        </w:rPr>
        <w:t>(2019)</w:t>
      </w:r>
      <w:r w:rsidR="00985CAE">
        <w:rPr>
          <w:rFonts w:ascii="Arial" w:hAnsi="Arial" w:cs="Arial"/>
          <w:sz w:val="24"/>
          <w:szCs w:val="24"/>
        </w:rPr>
        <w:fldChar w:fldCharType="end"/>
      </w:r>
      <w:r w:rsidRPr="005869FC">
        <w:rPr>
          <w:rFonts w:ascii="Arial" w:hAnsi="Arial" w:cs="Arial"/>
          <w:sz w:val="24"/>
          <w:szCs w:val="24"/>
        </w:rPr>
        <w:t xml:space="preserve"> reported higher contributions in other districts, underscoring the influenc</w:t>
      </w:r>
      <w:r>
        <w:rPr>
          <w:rFonts w:ascii="Arial" w:hAnsi="Arial" w:cs="Arial"/>
          <w:sz w:val="24"/>
          <w:szCs w:val="24"/>
        </w:rPr>
        <w:t>e of local economic conditions.</w:t>
      </w:r>
    </w:p>
    <w:p w14:paraId="315CA181" w14:textId="285DBCD6"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Community mobilization efforts were also weak. Most respondents (70.8%; 40.0% strongly disagreed and 30.8% disagreed) reported not encouraging others to participate, with a mean of 2.04 (SD = 1.088). Traditionally, mobilization in </w:t>
      </w:r>
      <w:proofErr w:type="spellStart"/>
      <w:r w:rsidRPr="005869FC">
        <w:rPr>
          <w:rFonts w:ascii="Arial" w:hAnsi="Arial" w:cs="Arial"/>
          <w:sz w:val="24"/>
          <w:szCs w:val="24"/>
        </w:rPr>
        <w:t>Babati</w:t>
      </w:r>
      <w:proofErr w:type="spellEnd"/>
      <w:r w:rsidRPr="005869FC">
        <w:rPr>
          <w:rFonts w:ascii="Arial" w:hAnsi="Arial" w:cs="Arial"/>
          <w:sz w:val="24"/>
          <w:szCs w:val="24"/>
        </w:rPr>
        <w:t xml:space="preserve"> occurs through influential local figures such as village elders and ward officials. The low initiative observed suggests either a breakdown in leadership structures or unclear mobilization strategies, consistent with </w:t>
      </w:r>
      <w:proofErr w:type="spellStart"/>
      <w:r w:rsidR="00092C6D">
        <w:rPr>
          <w:rFonts w:ascii="Arial" w:hAnsi="Arial" w:cs="Arial"/>
          <w:sz w:val="24"/>
          <w:szCs w:val="24"/>
        </w:rPr>
        <w:t>Reenaa</w:t>
      </w:r>
      <w:proofErr w:type="spellEnd"/>
      <w:r w:rsidR="00092C6D">
        <w:rPr>
          <w:rFonts w:ascii="Arial" w:hAnsi="Arial" w:cs="Arial"/>
          <w:sz w:val="24"/>
          <w:szCs w:val="24"/>
        </w:rPr>
        <w:t xml:space="preserve"> and </w:t>
      </w:r>
      <w:proofErr w:type="spellStart"/>
      <w:r w:rsidR="00092C6D">
        <w:rPr>
          <w:rFonts w:ascii="Arial" w:hAnsi="Arial" w:cs="Arial"/>
          <w:sz w:val="24"/>
          <w:szCs w:val="24"/>
        </w:rPr>
        <w:t>Kalaiselvan</w:t>
      </w:r>
      <w:proofErr w:type="spellEnd"/>
      <w:r w:rsidR="00092C6D">
        <w:rPr>
          <w:rFonts w:ascii="Arial" w:hAnsi="Arial" w:cs="Arial"/>
          <w:sz w:val="24"/>
          <w:szCs w:val="24"/>
        </w:rPr>
        <w:t xml:space="preserve"> </w:t>
      </w:r>
      <w:r w:rsidR="00092C6D">
        <w:rPr>
          <w:rFonts w:ascii="Arial" w:hAnsi="Arial" w:cs="Arial"/>
          <w:sz w:val="24"/>
          <w:szCs w:val="24"/>
        </w:rPr>
        <w:fldChar w:fldCharType="begin" w:fldLock="1"/>
      </w:r>
      <w:r w:rsidR="00092C6D">
        <w:rPr>
          <w:rFonts w:ascii="Arial" w:hAnsi="Arial" w:cs="Arial"/>
          <w:sz w:val="24"/>
          <w:szCs w:val="24"/>
        </w:rPr>
        <w:instrText>ADDIN CSL_CITATION {"citationItems":[{"id":"ITEM-1","itemData":{"DOI":"10.4103/jfmpc.jfmpc","ISBN":"2249-4863 (Print) 2249-4863 (Linking)","ISSN":"2249-4863","PMID":"29026777","abstract":"Adolescent idiopathic scoliosis (AIS) remains the most common and potentially severe form of scoliosis during the rapid growth period. It is generally accepted that AIS is a multifactorial disease controlled by genetic, hormonal, neuromuscular, and environmental factors. Herein, we describe a case of 12</w:instrText>
      </w:r>
      <w:r w:rsidR="00092C6D">
        <w:rPr>
          <w:rFonts w:ascii="Cambria Math" w:hAnsi="Cambria Math" w:cs="Cambria Math"/>
          <w:sz w:val="24"/>
          <w:szCs w:val="24"/>
        </w:rPr>
        <w:instrText>‑</w:instrText>
      </w:r>
      <w:r w:rsidR="00092C6D">
        <w:rPr>
          <w:rFonts w:ascii="Arial" w:hAnsi="Arial" w:cs="Arial"/>
          <w:sz w:val="24"/>
          <w:szCs w:val="24"/>
        </w:rPr>
        <w:instrText>year</w:instrText>
      </w:r>
      <w:r w:rsidR="00092C6D">
        <w:rPr>
          <w:rFonts w:ascii="Cambria Math" w:hAnsi="Cambria Math" w:cs="Cambria Math"/>
          <w:sz w:val="24"/>
          <w:szCs w:val="24"/>
        </w:rPr>
        <w:instrText>‑</w:instrText>
      </w:r>
      <w:r w:rsidR="00092C6D">
        <w:rPr>
          <w:rFonts w:ascii="Arial" w:hAnsi="Arial" w:cs="Arial"/>
          <w:sz w:val="24"/>
          <w:szCs w:val="24"/>
        </w:rPr>
        <w:instrText>old scoliotic girl with a double curve of initially 26° thoracic and 23° lumbar, seeking chiropractic care. The therapy was provided three times/twice a week for 6 months. Adjustments of the spine through chiropractic, both soreness and mobility, were shown to improve. A total correction in Cobb angle of 6° (23%) in the thoracic curve and 7° (30%) in the lumbar curve was illustrated on consequent radiographs. This case highlights the advantage of chiropractic adjustment of early scoliosis primarily because the medical community does not offer any treatment for such a mild scoliosis. Further, randomized trial is warranted to support this viability for AIS. Keywords:","author":[{"dropping-particle":"","family":"Reenaa Mohan","given":"Ganapathy Kalaiselvan","non-dropping-particle":"","parse-names":false,"suffix":""}],"container-title":"Journal of Family Medicine and Primary Care","id":"ITEM-1","issue":"2","issued":{"date-parts":[["2017"]]},"page":"169-170","title":"Community</w:instrText>
      </w:r>
      <w:r w:rsidR="00092C6D">
        <w:rPr>
          <w:rFonts w:ascii="Cambria Math" w:hAnsi="Cambria Math" w:cs="Cambria Math"/>
          <w:sz w:val="24"/>
          <w:szCs w:val="24"/>
        </w:rPr>
        <w:instrText>‑</w:instrText>
      </w:r>
      <w:r w:rsidR="00092C6D">
        <w:rPr>
          <w:rFonts w:ascii="Arial" w:hAnsi="Arial" w:cs="Arial"/>
          <w:sz w:val="24"/>
          <w:szCs w:val="24"/>
        </w:rPr>
        <w:instrText>based Advocacy Communication Social Mobilization (ACSM) intervention by empowering key community leaders: Evaluation using the RE</w:instrText>
      </w:r>
      <w:r w:rsidR="00092C6D">
        <w:rPr>
          <w:rFonts w:ascii="Cambria Math" w:hAnsi="Cambria Math" w:cs="Cambria Math"/>
          <w:sz w:val="24"/>
          <w:szCs w:val="24"/>
        </w:rPr>
        <w:instrText>‑</w:instrText>
      </w:r>
      <w:r w:rsidR="00092C6D">
        <w:rPr>
          <w:rFonts w:ascii="Arial" w:hAnsi="Arial" w:cs="Arial"/>
          <w:sz w:val="24"/>
          <w:szCs w:val="24"/>
        </w:rPr>
        <w:instrText>AIM framework","type":"article-journal","volume":"6"},"suppress-author":1,"uris":["http://www.mendeley.com/documents/?uuid=4cdd8f66-3f2a-44ab-af99-3fe7c5c70824"]}],"mendeley":{"formattedCitation":"(2017)","plainTextFormattedCitation":"(2017)","previouslyFormattedCitation":"(2017)"},"properties":{"noteIndex":0},"schema":"https://github.com/citation-style-language/schema/raw/master/csl-citation.json"}</w:instrText>
      </w:r>
      <w:r w:rsidR="00092C6D">
        <w:rPr>
          <w:rFonts w:ascii="Arial" w:hAnsi="Arial" w:cs="Arial"/>
          <w:sz w:val="24"/>
          <w:szCs w:val="24"/>
        </w:rPr>
        <w:fldChar w:fldCharType="separate"/>
      </w:r>
      <w:r w:rsidR="00092C6D" w:rsidRPr="00092C6D">
        <w:rPr>
          <w:rFonts w:ascii="Arial" w:hAnsi="Arial" w:cs="Arial"/>
          <w:noProof/>
          <w:sz w:val="24"/>
          <w:szCs w:val="24"/>
        </w:rPr>
        <w:t>(2017)</w:t>
      </w:r>
      <w:r w:rsidR="00092C6D">
        <w:rPr>
          <w:rFonts w:ascii="Arial" w:hAnsi="Arial" w:cs="Arial"/>
          <w:sz w:val="24"/>
          <w:szCs w:val="24"/>
        </w:rPr>
        <w:fldChar w:fldCharType="end"/>
      </w:r>
      <w:r w:rsidRPr="005869FC">
        <w:rPr>
          <w:rFonts w:ascii="Arial" w:hAnsi="Arial" w:cs="Arial"/>
          <w:sz w:val="24"/>
          <w:szCs w:val="24"/>
        </w:rPr>
        <w:t>, who found that empowering local influencers significantly increased community-led mobi</w:t>
      </w:r>
      <w:r>
        <w:rPr>
          <w:rFonts w:ascii="Arial" w:hAnsi="Arial" w:cs="Arial"/>
          <w:sz w:val="24"/>
          <w:szCs w:val="24"/>
        </w:rPr>
        <w:t>lization.</w:t>
      </w:r>
    </w:p>
    <w:p w14:paraId="49ACAE79" w14:textId="55C75567"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When asked whether their participation significantly impacted project success, 68.3% (45.8% strongly disagreed and 22.5% disagreed) felt it did not. The mean of 2.05 (SD = 1.187) reflects the </w:t>
      </w:r>
      <w:r w:rsidRPr="00092C6D">
        <w:rPr>
          <w:rFonts w:ascii="Arial" w:hAnsi="Arial" w:cs="Arial"/>
          <w:sz w:val="24"/>
          <w:szCs w:val="24"/>
          <w:highlight w:val="yellow"/>
        </w:rPr>
        <w:t xml:space="preserve">widest variability, indicating differing individual experiences. This perception can discourage future engagement and highlights the absence of feedback mechanisms to recognize community contributions, consistent with </w:t>
      </w:r>
      <w:r w:rsidR="00092C6D" w:rsidRPr="00092C6D">
        <w:rPr>
          <w:rFonts w:ascii="Arial" w:hAnsi="Arial" w:cs="Arial"/>
          <w:sz w:val="24"/>
          <w:szCs w:val="24"/>
          <w:highlight w:val="yellow"/>
        </w:rPr>
        <w:t xml:space="preserve">Yu et al. </w:t>
      </w:r>
      <w:r w:rsidR="00092C6D" w:rsidRPr="00092C6D">
        <w:rPr>
          <w:rFonts w:ascii="Arial" w:hAnsi="Arial" w:cs="Arial"/>
          <w:sz w:val="24"/>
          <w:szCs w:val="24"/>
          <w:highlight w:val="yellow"/>
        </w:rPr>
        <w:fldChar w:fldCharType="begin" w:fldLock="1"/>
      </w:r>
      <w:r w:rsidR="00471A0C">
        <w:rPr>
          <w:rFonts w:ascii="Arial" w:hAnsi="Arial" w:cs="Arial"/>
          <w:sz w:val="24"/>
          <w:szCs w:val="24"/>
          <w:highlight w:val="yellow"/>
        </w:rPr>
        <w:instrText>ADDIN CSL_CITATION {"citationItems":[{"id":"ITEM-1","itemData":{"DOI":"10.3390/su16156474","ISSN":"20711050","abstract":"This review explores the complexities of integrated rural development, education, and management, focusing on the challenges encountered and the strategies employed to address them. Integrating various sectors and disciplines in rural development initiatives presents unique obstacles, including coordination issues, resource constraints, and stakeholder engagement difficulties. By examining the existing literature and case studies, this review identifies key challenges, such as limited institutional capacity, inadequate funding, and the need for multidisciplinary collaboration. Furthermore, it analyzes strategies such as community involvement, capacity building, and innovative technology adoption to overcome these obstacles. The review emphasizes the importance of tailored approaches considering local contexts and empowering rural communities in decision-making processes. This approach is essential for the sustainability of rural areas because it ensures that interventions are context-specific, culturally appropriate, and resource-efficient, ultimately leading to more effective and sustainable outcomes. By understanding and addressing the challenges while implementing effective strategies, integrated rural development, education, and management can lead to sustainable and inclusive development outcomes in rural areas.","author":[{"dropping-particle":"","family":"Yu","given":"Yang","non-dropping-particle":"","parse-names":false,"suffix":""},{"dropping-particle":"","family":"Appiah","given":"Desmond","non-dropping-particle":"","parse-names":false,"suffix":""},{"dropping-particle":"","family":"Zulu","given":"Bernard","non-dropping-particle":"","parse-names":false,"suffix":""},{"dropping-particle":"","family":"Adu-Poku","given":"Kofi Asamoah","non-dropping-particle":"","parse-names":false,"suffix":""}],"container-title":"Sustainability (Switzerland)","id":"ITEM-1","issue":"15","issued":{"date-parts":[["2024"]]},"page":"1-22","title":"Integrating Rural Development, Education, and Management: Challenges and Strategies","type":"article-journal","volume":"16"},"suppress-author":1,"uris":["http://www.mendeley.com/documents/?uuid=7ad6af62-e353-4b97-bf4e-76f397d86c57"]}],"mendeley":{"formattedCitation":"(2024)","plainTextFormattedCitation":"(2024)","previouslyFormattedCitation":"(2024)"},"properties":{"noteIndex":0},"schema":"https://github.com/citation-style-language/schema/raw/master/csl-citation.json"}</w:instrText>
      </w:r>
      <w:r w:rsidR="00092C6D" w:rsidRPr="00092C6D">
        <w:rPr>
          <w:rFonts w:ascii="Arial" w:hAnsi="Arial" w:cs="Arial"/>
          <w:sz w:val="24"/>
          <w:szCs w:val="24"/>
          <w:highlight w:val="yellow"/>
        </w:rPr>
        <w:fldChar w:fldCharType="separate"/>
      </w:r>
      <w:r w:rsidR="00092C6D" w:rsidRPr="00092C6D">
        <w:rPr>
          <w:rFonts w:ascii="Arial" w:hAnsi="Arial" w:cs="Arial"/>
          <w:noProof/>
          <w:sz w:val="24"/>
          <w:szCs w:val="24"/>
          <w:highlight w:val="yellow"/>
        </w:rPr>
        <w:t>(2024)</w:t>
      </w:r>
      <w:r w:rsidR="00092C6D" w:rsidRPr="00092C6D">
        <w:rPr>
          <w:rFonts w:ascii="Arial" w:hAnsi="Arial" w:cs="Arial"/>
          <w:sz w:val="24"/>
          <w:szCs w:val="24"/>
          <w:highlight w:val="yellow"/>
        </w:rPr>
        <w:fldChar w:fldCharType="end"/>
      </w:r>
      <w:r w:rsidRPr="00092C6D">
        <w:rPr>
          <w:rFonts w:ascii="Arial" w:hAnsi="Arial" w:cs="Arial"/>
          <w:sz w:val="24"/>
          <w:szCs w:val="24"/>
          <w:highlight w:val="yellow"/>
        </w:rPr>
        <w:t>, who emphasized linking participation to tangible influence to sustain motivation.</w:t>
      </w:r>
    </w:p>
    <w:p w14:paraId="00AE4548" w14:textId="1F9210D2" w:rsidR="005869FC" w:rsidRPr="005869FC" w:rsidRDefault="005869FC" w:rsidP="005869FC">
      <w:pPr>
        <w:jc w:val="both"/>
        <w:rPr>
          <w:rFonts w:ascii="Arial" w:hAnsi="Arial" w:cs="Arial"/>
          <w:sz w:val="24"/>
          <w:szCs w:val="24"/>
        </w:rPr>
      </w:pPr>
      <w:r w:rsidRPr="005869FC">
        <w:rPr>
          <w:rFonts w:ascii="Arial" w:hAnsi="Arial" w:cs="Arial"/>
          <w:sz w:val="24"/>
          <w:szCs w:val="24"/>
        </w:rPr>
        <w:t xml:space="preserve">Regarding satisfaction with participation, most respondents (41.7% strongly disagreed and 29.2% disagreed) expressed dissatisfaction, with a mean of 1.97 (SD = 0.995). Only 9.2% expressed mild satisfaction, while none strongly agreed. This discontent </w:t>
      </w:r>
      <w:r w:rsidRPr="005869FC">
        <w:rPr>
          <w:rFonts w:ascii="Arial" w:hAnsi="Arial" w:cs="Arial"/>
          <w:sz w:val="24"/>
          <w:szCs w:val="24"/>
        </w:rPr>
        <w:lastRenderedPageBreak/>
        <w:t>reflects systemic gaps in participatory practic</w:t>
      </w:r>
      <w:r w:rsidR="00471A0C">
        <w:rPr>
          <w:rFonts w:ascii="Arial" w:hAnsi="Arial" w:cs="Arial"/>
          <w:sz w:val="24"/>
          <w:szCs w:val="24"/>
        </w:rPr>
        <w:t xml:space="preserve">es, aligned with Koomson </w:t>
      </w:r>
      <w:r w:rsidR="00471A0C">
        <w:rPr>
          <w:rFonts w:ascii="Arial" w:hAnsi="Arial" w:cs="Arial"/>
          <w:sz w:val="24"/>
          <w:szCs w:val="24"/>
        </w:rPr>
        <w:fldChar w:fldCharType="begin" w:fldLock="1"/>
      </w:r>
      <w:r w:rsidR="00471A0C">
        <w:rPr>
          <w:rFonts w:ascii="Arial" w:hAnsi="Arial" w:cs="Arial"/>
          <w:sz w:val="24"/>
          <w:szCs w:val="24"/>
        </w:rPr>
        <w:instrText>ADDIN CSL_CITATION {"citationItems":[{"id":"ITEM-1","itemData":{"DOI":"10.1080/09614524.2024.2354473","ISSN":"13649213","abstract":"Empirical evidence supports local participation in improving the attainment of development and social change goals for communities. Nevertheless, debates about whether participation should aim to create access and interaction among participants or redistribute power through local empowerment remain unsettled. The current disciplinary and context-informed typologies of participation, with varying conceptions of participation, create a possible theoretical confusion. Hence, this paper labels desirable participation as involvement. Involvement reflects a two-way endeavour of (i) project initiators’ willingness to make space for local participants, and (ii) local participants’ efforts to gain control and leverage their influence as equal decision-making partners. Partial involvement and pseudo-involvement represent less desirable forms of participation. These uniform labels reflect a conception of the forms of participation as a continuum in which local influence improves progressively. Thus, the involvement continuum model is offered as an organising framework that synthesises and harmonises the diverse but complementary conceptions of participatory development.","author":[{"dropping-particle":"","family":"Koomson","given":"Paul","non-dropping-particle":"","parse-names":false,"suffix":""}],"container-title":"Development in Practice","id":"ITEM-1","issue":"8","issued":{"date-parts":[["2024"]]},"page":"1058-1070","title":"Involvement: A bidirectional perspective on participatory approaches for development and social change","type":"article-journal","volume":"34"},"suppress-author":1,"uris":["http://www.mendeley.com/documents/?uuid=04ac0d30-5902-44ef-8d06-8560e55a481d"]}],"mendeley":{"formattedCitation":"(2024)","plainTextFormattedCitation":"(2024)","previouslyFormattedCitation":"(2024)"},"properties":{"noteIndex":0},"schema":"https://github.com/citation-style-language/schema/raw/master/csl-citation.json"}</w:instrText>
      </w:r>
      <w:r w:rsidR="00471A0C">
        <w:rPr>
          <w:rFonts w:ascii="Arial" w:hAnsi="Arial" w:cs="Arial"/>
          <w:sz w:val="24"/>
          <w:szCs w:val="24"/>
        </w:rPr>
        <w:fldChar w:fldCharType="separate"/>
      </w:r>
      <w:r w:rsidR="00471A0C" w:rsidRPr="00471A0C">
        <w:rPr>
          <w:rFonts w:ascii="Arial" w:hAnsi="Arial" w:cs="Arial"/>
          <w:noProof/>
          <w:sz w:val="24"/>
          <w:szCs w:val="24"/>
        </w:rPr>
        <w:t>(2024)</w:t>
      </w:r>
      <w:r w:rsidR="00471A0C">
        <w:rPr>
          <w:rFonts w:ascii="Arial" w:hAnsi="Arial" w:cs="Arial"/>
          <w:sz w:val="24"/>
          <w:szCs w:val="24"/>
        </w:rPr>
        <w:fldChar w:fldCharType="end"/>
      </w:r>
      <w:r w:rsidRPr="005869FC">
        <w:rPr>
          <w:rFonts w:ascii="Arial" w:hAnsi="Arial" w:cs="Arial"/>
          <w:sz w:val="24"/>
          <w:szCs w:val="24"/>
        </w:rPr>
        <w:t>, who warned against tokenistic</w:t>
      </w:r>
      <w:r>
        <w:rPr>
          <w:rFonts w:ascii="Arial" w:hAnsi="Arial" w:cs="Arial"/>
          <w:sz w:val="24"/>
          <w:szCs w:val="24"/>
        </w:rPr>
        <w:t xml:space="preserve"> forms of pseudo-participation.</w:t>
      </w:r>
    </w:p>
    <w:p w14:paraId="38A48F28" w14:textId="05791511" w:rsidR="00270E62" w:rsidRPr="00270E62" w:rsidRDefault="005869FC" w:rsidP="005869FC">
      <w:pPr>
        <w:jc w:val="both"/>
        <w:rPr>
          <w:rFonts w:ascii="Arial" w:hAnsi="Arial" w:cs="Arial"/>
          <w:sz w:val="24"/>
          <w:szCs w:val="24"/>
        </w:rPr>
      </w:pPr>
      <w:r w:rsidRPr="005869FC">
        <w:rPr>
          <w:rFonts w:ascii="Arial" w:hAnsi="Arial" w:cs="Arial"/>
          <w:sz w:val="24"/>
          <w:szCs w:val="24"/>
        </w:rPr>
        <w:t xml:space="preserve">Despite these limitations, a notable portion of respondents (3.3% strongly agreed and 22.5% agreed) expressed willingness to participate in future projects, indicating a foundation of goodwill. This suggests opportunities for local government and development partners to rebuild trust and enhance participatory frameworks through awareness campaigns, training, and inclusion in monitoring and planning, as supported by </w:t>
      </w:r>
      <w:proofErr w:type="spellStart"/>
      <w:r w:rsidR="00471A0C">
        <w:rPr>
          <w:rFonts w:ascii="Arial" w:hAnsi="Arial" w:cs="Arial"/>
          <w:sz w:val="24"/>
          <w:szCs w:val="24"/>
        </w:rPr>
        <w:t>Awoonor</w:t>
      </w:r>
      <w:proofErr w:type="spellEnd"/>
      <w:r w:rsidR="00471A0C">
        <w:rPr>
          <w:rFonts w:ascii="Arial" w:hAnsi="Arial" w:cs="Arial"/>
          <w:sz w:val="24"/>
          <w:szCs w:val="24"/>
        </w:rPr>
        <w:t xml:space="preserve"> </w:t>
      </w:r>
      <w:r w:rsidR="00471A0C">
        <w:rPr>
          <w:rFonts w:ascii="Arial" w:hAnsi="Arial" w:cs="Arial"/>
          <w:sz w:val="24"/>
          <w:szCs w:val="24"/>
        </w:rPr>
        <w:fldChar w:fldCharType="begin" w:fldLock="1"/>
      </w:r>
      <w:r w:rsidR="008C18C0">
        <w:rPr>
          <w:rFonts w:ascii="Arial" w:hAnsi="Arial" w:cs="Arial"/>
          <w:sz w:val="24"/>
          <w:szCs w:val="24"/>
        </w:rPr>
        <w:instrText>ADDIN CSL_CITATION {"citationItems":[{"id":"ITEM-1","itemData":{"author":[{"dropping-particle":"","family":"Awoonor","given":"Mathew Dogbatsey","non-dropping-particle":"","parse-names":false,"suffix":""}],"container-title":"AJIESS","id":"ITEM-1","issue":"3","issued":{"date-parts":[["2025"]]},"page":"1-8","title":"Enhancing Local Governance through Community Participation in Rural Development Projects in Nigeria: Literature Review","type":"article-journal","volume":"2"},"suppress-author":1,"uris":["http://www.mendeley.com/documents/?uuid=0f3897bf-b7f2-47a8-8623-031b8e551ca2"]}],"mendeley":{"formattedCitation":"(2025)","plainTextFormattedCitation":"(2025)","previouslyFormattedCitation":"(2025)"},"properties":{"noteIndex":0},"schema":"https://github.com/citation-style-language/schema/raw/master/csl-citation.json"}</w:instrText>
      </w:r>
      <w:r w:rsidR="00471A0C">
        <w:rPr>
          <w:rFonts w:ascii="Arial" w:hAnsi="Arial" w:cs="Arial"/>
          <w:sz w:val="24"/>
          <w:szCs w:val="24"/>
        </w:rPr>
        <w:fldChar w:fldCharType="separate"/>
      </w:r>
      <w:r w:rsidR="00471A0C" w:rsidRPr="00471A0C">
        <w:rPr>
          <w:rFonts w:ascii="Arial" w:hAnsi="Arial" w:cs="Arial"/>
          <w:noProof/>
          <w:sz w:val="24"/>
          <w:szCs w:val="24"/>
        </w:rPr>
        <w:t>(2025)</w:t>
      </w:r>
      <w:r w:rsidR="00471A0C">
        <w:rPr>
          <w:rFonts w:ascii="Arial" w:hAnsi="Arial" w:cs="Arial"/>
          <w:sz w:val="24"/>
          <w:szCs w:val="24"/>
        </w:rPr>
        <w:fldChar w:fldCharType="end"/>
      </w:r>
      <w:r w:rsidRPr="005869FC">
        <w:rPr>
          <w:rFonts w:ascii="Arial" w:hAnsi="Arial" w:cs="Arial"/>
          <w:sz w:val="24"/>
          <w:szCs w:val="24"/>
        </w:rPr>
        <w:t>.</w:t>
      </w:r>
    </w:p>
    <w:p w14:paraId="1C14CD9F" w14:textId="77777777" w:rsidR="002171DD" w:rsidRPr="00E1487E" w:rsidRDefault="005869FC" w:rsidP="005869FC">
      <w:pPr>
        <w:pStyle w:val="ListParagraph"/>
        <w:numPr>
          <w:ilvl w:val="1"/>
          <w:numId w:val="2"/>
        </w:numPr>
        <w:jc w:val="both"/>
        <w:rPr>
          <w:rFonts w:ascii="Arial" w:hAnsi="Arial" w:cs="Arial"/>
          <w:b/>
          <w:sz w:val="24"/>
          <w:szCs w:val="24"/>
        </w:rPr>
      </w:pPr>
      <w:r w:rsidRPr="00E1487E">
        <w:rPr>
          <w:rFonts w:ascii="Arial" w:hAnsi="Arial" w:cs="Arial"/>
          <w:b/>
          <w:sz w:val="24"/>
          <w:szCs w:val="24"/>
        </w:rPr>
        <w:t>Participation Index to Measure Levels of Community Participation</w:t>
      </w:r>
    </w:p>
    <w:p w14:paraId="652114C4" w14:textId="77777777" w:rsidR="005869FC" w:rsidRDefault="00E1487E" w:rsidP="005869FC">
      <w:pPr>
        <w:jc w:val="both"/>
        <w:rPr>
          <w:rFonts w:ascii="Arial" w:hAnsi="Arial" w:cs="Arial"/>
          <w:sz w:val="24"/>
          <w:szCs w:val="24"/>
        </w:rPr>
      </w:pPr>
      <w:r w:rsidRPr="00E1487E">
        <w:rPr>
          <w:rFonts w:ascii="Arial" w:hAnsi="Arial" w:cs="Arial"/>
          <w:sz w:val="24"/>
          <w:szCs w:val="24"/>
        </w:rPr>
        <w:t>While descriptive statistics provide valuable insights into respondents’ perceptions of their involvement in various stages of rural road maintenance projects, these individual response items offer a fragmented view of participation. To move beyond item-by-item interpretation and achieve a more consolidated and analytically robust understanding, this study employed a Participation Index (PI). The rationale for developing this index was to transform qualitative perceptions into a quantifiable and comparable metric. By aggregating scores across multiple participation indicators, the PI enabled the assessment of the overall degree of engagement for each respondent. These engagement levels were then categorized as low, moderate, or high, as presented in Table 3.</w:t>
      </w:r>
    </w:p>
    <w:p w14:paraId="41269266" w14:textId="77777777" w:rsidR="00E1487E" w:rsidRPr="00E1487E" w:rsidRDefault="00E1487E" w:rsidP="00E1487E">
      <w:pPr>
        <w:keepNext/>
        <w:spacing w:after="120" w:line="240" w:lineRule="auto"/>
        <w:jc w:val="both"/>
        <w:rPr>
          <w:rFonts w:ascii="Arial" w:eastAsia="Calibri" w:hAnsi="Arial" w:cs="Arial"/>
          <w:b/>
          <w:bCs/>
          <w:sz w:val="24"/>
          <w:szCs w:val="24"/>
        </w:rPr>
      </w:pPr>
      <w:bookmarkStart w:id="3" w:name="_Toc195103350"/>
      <w:bookmarkStart w:id="4" w:name="_Toc195119343"/>
      <w:bookmarkStart w:id="5" w:name="_Toc195123703"/>
      <w:bookmarkStart w:id="6" w:name="_Toc198199012"/>
      <w:r w:rsidRPr="00E1487E">
        <w:rPr>
          <w:rFonts w:ascii="Arial" w:eastAsia="Calibri" w:hAnsi="Arial" w:cs="Arial"/>
          <w:b/>
          <w:bCs/>
          <w:sz w:val="24"/>
          <w:szCs w:val="24"/>
        </w:rPr>
        <w:t xml:space="preserve">Table </w:t>
      </w:r>
      <w:r w:rsidRPr="00E1487E">
        <w:rPr>
          <w:rFonts w:ascii="Arial" w:eastAsia="Calibri" w:hAnsi="Arial" w:cs="Arial"/>
          <w:b/>
          <w:bCs/>
          <w:sz w:val="24"/>
          <w:szCs w:val="24"/>
        </w:rPr>
        <w:fldChar w:fldCharType="begin"/>
      </w:r>
      <w:r w:rsidRPr="00E1487E">
        <w:rPr>
          <w:rFonts w:ascii="Arial" w:eastAsia="Calibri" w:hAnsi="Arial" w:cs="Arial"/>
          <w:b/>
          <w:bCs/>
          <w:sz w:val="24"/>
          <w:szCs w:val="24"/>
        </w:rPr>
        <w:instrText xml:space="preserve"> SEQ Table_4 \* ARABIC </w:instrText>
      </w:r>
      <w:r w:rsidRPr="00E1487E">
        <w:rPr>
          <w:rFonts w:ascii="Arial" w:eastAsia="Calibri" w:hAnsi="Arial" w:cs="Arial"/>
          <w:b/>
          <w:bCs/>
          <w:sz w:val="24"/>
          <w:szCs w:val="24"/>
        </w:rPr>
        <w:fldChar w:fldCharType="separate"/>
      </w:r>
      <w:r w:rsidRPr="00E1487E">
        <w:rPr>
          <w:rFonts w:ascii="Arial" w:eastAsia="Calibri" w:hAnsi="Arial" w:cs="Arial"/>
          <w:b/>
          <w:bCs/>
          <w:noProof/>
          <w:sz w:val="24"/>
          <w:szCs w:val="24"/>
        </w:rPr>
        <w:t>3</w:t>
      </w:r>
      <w:r w:rsidRPr="00E1487E">
        <w:rPr>
          <w:rFonts w:ascii="Arial" w:eastAsia="Calibri" w:hAnsi="Arial" w:cs="Arial"/>
          <w:b/>
          <w:bCs/>
          <w:sz w:val="24"/>
          <w:szCs w:val="24"/>
        </w:rPr>
        <w:fldChar w:fldCharType="end"/>
      </w:r>
      <w:r w:rsidRPr="00E1487E">
        <w:rPr>
          <w:rFonts w:ascii="Arial" w:eastAsia="Calibri" w:hAnsi="Arial" w:cs="Arial"/>
          <w:b/>
          <w:bCs/>
          <w:sz w:val="24"/>
          <w:szCs w:val="24"/>
        </w:rPr>
        <w:t>: Categories of Participation Index</w:t>
      </w:r>
      <w:bookmarkEnd w:id="3"/>
      <w:bookmarkEnd w:id="4"/>
      <w:bookmarkEnd w:id="5"/>
      <w:bookmarkEnd w:id="6"/>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8"/>
        <w:gridCol w:w="2360"/>
      </w:tblGrid>
      <w:tr w:rsidR="00E1487E" w:rsidRPr="00E1487E" w14:paraId="5D055595" w14:textId="77777777" w:rsidTr="00876AA3">
        <w:trPr>
          <w:trHeight w:val="406"/>
        </w:trPr>
        <w:tc>
          <w:tcPr>
            <w:tcW w:w="3397" w:type="dxa"/>
            <w:tcBorders>
              <w:top w:val="single" w:sz="12" w:space="0" w:color="auto"/>
              <w:bottom w:val="single" w:sz="12" w:space="0" w:color="auto"/>
            </w:tcBorders>
            <w:noWrap/>
            <w:hideMark/>
          </w:tcPr>
          <w:p w14:paraId="7FCB1BCE"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Participation Index Category</w:t>
            </w:r>
          </w:p>
        </w:tc>
        <w:tc>
          <w:tcPr>
            <w:tcW w:w="2418" w:type="dxa"/>
            <w:tcBorders>
              <w:top w:val="single" w:sz="12" w:space="0" w:color="auto"/>
              <w:bottom w:val="single" w:sz="12" w:space="0" w:color="auto"/>
            </w:tcBorders>
            <w:noWrap/>
            <w:hideMark/>
          </w:tcPr>
          <w:p w14:paraId="2DF6BC5A"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Frequency</w:t>
            </w:r>
          </w:p>
        </w:tc>
        <w:tc>
          <w:tcPr>
            <w:tcW w:w="2360" w:type="dxa"/>
            <w:tcBorders>
              <w:top w:val="single" w:sz="12" w:space="0" w:color="auto"/>
              <w:bottom w:val="single" w:sz="12" w:space="0" w:color="auto"/>
            </w:tcBorders>
            <w:noWrap/>
            <w:hideMark/>
          </w:tcPr>
          <w:p w14:paraId="6DA48EC0" w14:textId="77777777" w:rsidR="00E1487E" w:rsidRPr="00E1487E" w:rsidRDefault="00E1487E" w:rsidP="00E1487E">
            <w:pPr>
              <w:jc w:val="center"/>
              <w:rPr>
                <w:rFonts w:ascii="Arial" w:eastAsia="Calibri" w:hAnsi="Arial" w:cs="Arial"/>
                <w:b/>
                <w:bCs/>
                <w:sz w:val="24"/>
                <w:szCs w:val="24"/>
              </w:rPr>
            </w:pPr>
            <w:r w:rsidRPr="00E1487E">
              <w:rPr>
                <w:rFonts w:ascii="Arial" w:eastAsia="Calibri" w:hAnsi="Arial" w:cs="Arial"/>
                <w:b/>
                <w:bCs/>
                <w:sz w:val="24"/>
                <w:szCs w:val="24"/>
              </w:rPr>
              <w:t>Percent (%)</w:t>
            </w:r>
          </w:p>
        </w:tc>
      </w:tr>
      <w:tr w:rsidR="00E1487E" w:rsidRPr="00E1487E" w14:paraId="6564AAF1" w14:textId="77777777" w:rsidTr="00876AA3">
        <w:trPr>
          <w:trHeight w:val="406"/>
        </w:trPr>
        <w:tc>
          <w:tcPr>
            <w:tcW w:w="3397" w:type="dxa"/>
            <w:tcBorders>
              <w:top w:val="single" w:sz="12" w:space="0" w:color="auto"/>
            </w:tcBorders>
            <w:noWrap/>
            <w:hideMark/>
          </w:tcPr>
          <w:p w14:paraId="30B11C75"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Low</w:t>
            </w:r>
          </w:p>
        </w:tc>
        <w:tc>
          <w:tcPr>
            <w:tcW w:w="2418" w:type="dxa"/>
            <w:tcBorders>
              <w:top w:val="single" w:sz="12" w:space="0" w:color="auto"/>
            </w:tcBorders>
            <w:noWrap/>
            <w:hideMark/>
          </w:tcPr>
          <w:p w14:paraId="159D7A7D"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262</w:t>
            </w:r>
          </w:p>
        </w:tc>
        <w:tc>
          <w:tcPr>
            <w:tcW w:w="2360" w:type="dxa"/>
            <w:tcBorders>
              <w:top w:val="single" w:sz="12" w:space="0" w:color="auto"/>
            </w:tcBorders>
            <w:noWrap/>
            <w:hideMark/>
          </w:tcPr>
          <w:p w14:paraId="5570D9E9"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71.7</w:t>
            </w:r>
          </w:p>
        </w:tc>
      </w:tr>
      <w:tr w:rsidR="00E1487E" w:rsidRPr="00E1487E" w14:paraId="771A85E8" w14:textId="77777777" w:rsidTr="00876AA3">
        <w:trPr>
          <w:trHeight w:val="406"/>
        </w:trPr>
        <w:tc>
          <w:tcPr>
            <w:tcW w:w="3397" w:type="dxa"/>
            <w:noWrap/>
            <w:hideMark/>
          </w:tcPr>
          <w:p w14:paraId="61FEBD96"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Moderate</w:t>
            </w:r>
          </w:p>
        </w:tc>
        <w:tc>
          <w:tcPr>
            <w:tcW w:w="2418" w:type="dxa"/>
            <w:noWrap/>
            <w:hideMark/>
          </w:tcPr>
          <w:p w14:paraId="04BBFBC3"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61</w:t>
            </w:r>
          </w:p>
        </w:tc>
        <w:tc>
          <w:tcPr>
            <w:tcW w:w="2360" w:type="dxa"/>
            <w:noWrap/>
            <w:hideMark/>
          </w:tcPr>
          <w:p w14:paraId="3AB61A44"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16.7</w:t>
            </w:r>
          </w:p>
        </w:tc>
      </w:tr>
      <w:tr w:rsidR="00E1487E" w:rsidRPr="00E1487E" w14:paraId="0EBF7C32" w14:textId="77777777" w:rsidTr="00876AA3">
        <w:trPr>
          <w:trHeight w:val="406"/>
        </w:trPr>
        <w:tc>
          <w:tcPr>
            <w:tcW w:w="3397" w:type="dxa"/>
            <w:tcBorders>
              <w:bottom w:val="single" w:sz="12" w:space="0" w:color="auto"/>
            </w:tcBorders>
            <w:noWrap/>
            <w:hideMark/>
          </w:tcPr>
          <w:p w14:paraId="4F900200" w14:textId="77777777" w:rsidR="00E1487E" w:rsidRPr="00E1487E" w:rsidRDefault="00E1487E" w:rsidP="00E1487E">
            <w:pPr>
              <w:rPr>
                <w:rFonts w:ascii="Arial" w:eastAsia="Calibri" w:hAnsi="Arial" w:cs="Arial"/>
                <w:sz w:val="24"/>
                <w:szCs w:val="24"/>
              </w:rPr>
            </w:pPr>
            <w:r w:rsidRPr="00E1487E">
              <w:rPr>
                <w:rFonts w:ascii="Arial" w:eastAsia="Calibri" w:hAnsi="Arial" w:cs="Arial"/>
                <w:sz w:val="24"/>
                <w:szCs w:val="24"/>
              </w:rPr>
              <w:t>High</w:t>
            </w:r>
          </w:p>
        </w:tc>
        <w:tc>
          <w:tcPr>
            <w:tcW w:w="2418" w:type="dxa"/>
            <w:tcBorders>
              <w:bottom w:val="single" w:sz="12" w:space="0" w:color="auto"/>
            </w:tcBorders>
            <w:noWrap/>
            <w:hideMark/>
          </w:tcPr>
          <w:p w14:paraId="62A9A96B"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rPr>
              <w:t>43</w:t>
            </w:r>
          </w:p>
        </w:tc>
        <w:tc>
          <w:tcPr>
            <w:tcW w:w="2360" w:type="dxa"/>
            <w:tcBorders>
              <w:bottom w:val="single" w:sz="12" w:space="0" w:color="auto"/>
            </w:tcBorders>
            <w:noWrap/>
            <w:hideMark/>
          </w:tcPr>
          <w:p w14:paraId="21D54B89" w14:textId="77777777" w:rsidR="00E1487E" w:rsidRPr="00E1487E" w:rsidRDefault="00E1487E" w:rsidP="00E1487E">
            <w:pPr>
              <w:jc w:val="center"/>
              <w:rPr>
                <w:rFonts w:ascii="Arial" w:eastAsia="Calibri" w:hAnsi="Arial" w:cs="Arial"/>
                <w:sz w:val="24"/>
                <w:szCs w:val="24"/>
              </w:rPr>
            </w:pPr>
            <w:r w:rsidRPr="00E1487E">
              <w:rPr>
                <w:rFonts w:ascii="Arial" w:eastAsia="Calibri" w:hAnsi="Arial" w:cs="Arial"/>
                <w:sz w:val="24"/>
                <w:szCs w:val="24"/>
              </w:rPr>
              <w:t>11.6</w:t>
            </w:r>
          </w:p>
        </w:tc>
      </w:tr>
    </w:tbl>
    <w:p w14:paraId="630C5132" w14:textId="77777777" w:rsidR="00E1487E" w:rsidRDefault="00E1487E" w:rsidP="005869FC">
      <w:pPr>
        <w:jc w:val="both"/>
        <w:rPr>
          <w:rFonts w:ascii="Arial" w:hAnsi="Arial" w:cs="Arial"/>
          <w:sz w:val="24"/>
          <w:szCs w:val="24"/>
        </w:rPr>
      </w:pPr>
    </w:p>
    <w:p w14:paraId="6A93CC7E" w14:textId="3C654688" w:rsidR="00E1487E" w:rsidRPr="00E1487E" w:rsidRDefault="00E1487E" w:rsidP="00E1487E">
      <w:pPr>
        <w:jc w:val="both"/>
        <w:rPr>
          <w:rFonts w:ascii="Arial" w:hAnsi="Arial" w:cs="Arial"/>
          <w:sz w:val="24"/>
          <w:szCs w:val="24"/>
        </w:rPr>
      </w:pPr>
      <w:r w:rsidRPr="00E1487E">
        <w:rPr>
          <w:rFonts w:ascii="Arial" w:hAnsi="Arial" w:cs="Arial"/>
          <w:sz w:val="24"/>
          <w:szCs w:val="24"/>
        </w:rPr>
        <w:t xml:space="preserve">The results (Table 3) reveal that a substantial 71.7% of respondents in </w:t>
      </w:r>
      <w:proofErr w:type="spellStart"/>
      <w:r w:rsidRPr="00E1487E">
        <w:rPr>
          <w:rFonts w:ascii="Arial" w:hAnsi="Arial" w:cs="Arial"/>
          <w:sz w:val="24"/>
          <w:szCs w:val="24"/>
        </w:rPr>
        <w:t>Babati</w:t>
      </w:r>
      <w:proofErr w:type="spellEnd"/>
      <w:r w:rsidRPr="00E1487E">
        <w:rPr>
          <w:rFonts w:ascii="Arial" w:hAnsi="Arial" w:cs="Arial"/>
          <w:sz w:val="24"/>
          <w:szCs w:val="24"/>
        </w:rPr>
        <w:t xml:space="preserve"> District Council fall within the low participation category, indicating minimal or no engagement in the planning, implementation, or monitoring of rural road maintenance projects. This finding is significant as it reflects not only a general apathy or detachment from development initiatives but also suggests potential shortcomings in the participatory framework applied in the district. In rural settings like </w:t>
      </w:r>
      <w:proofErr w:type="spellStart"/>
      <w:r w:rsidRPr="00E1487E">
        <w:rPr>
          <w:rFonts w:ascii="Arial" w:hAnsi="Arial" w:cs="Arial"/>
          <w:sz w:val="24"/>
          <w:szCs w:val="24"/>
        </w:rPr>
        <w:t>Babati</w:t>
      </w:r>
      <w:proofErr w:type="spellEnd"/>
      <w:r w:rsidRPr="00E1487E">
        <w:rPr>
          <w:rFonts w:ascii="Arial" w:hAnsi="Arial" w:cs="Arial"/>
          <w:sz w:val="24"/>
          <w:szCs w:val="24"/>
        </w:rPr>
        <w:t>, where infrastructural development directly impacts lo</w:t>
      </w:r>
      <w:r>
        <w:rPr>
          <w:rFonts w:ascii="Arial" w:hAnsi="Arial" w:cs="Arial"/>
          <w:sz w:val="24"/>
          <w:szCs w:val="24"/>
        </w:rPr>
        <w:t xml:space="preserve">cal livelihoods </w:t>
      </w:r>
      <w:r w:rsidRPr="00E1487E">
        <w:rPr>
          <w:rFonts w:ascii="Arial" w:hAnsi="Arial" w:cs="Arial"/>
          <w:sz w:val="24"/>
          <w:szCs w:val="24"/>
        </w:rPr>
        <w:t>particularly for small-scale far</w:t>
      </w:r>
      <w:r>
        <w:rPr>
          <w:rFonts w:ascii="Arial" w:hAnsi="Arial" w:cs="Arial"/>
          <w:sz w:val="24"/>
          <w:szCs w:val="24"/>
        </w:rPr>
        <w:t xml:space="preserve">mers, traders, and transporters </w:t>
      </w:r>
      <w:r w:rsidRPr="00E1487E">
        <w:rPr>
          <w:rFonts w:ascii="Arial" w:hAnsi="Arial" w:cs="Arial"/>
          <w:sz w:val="24"/>
          <w:szCs w:val="24"/>
        </w:rPr>
        <w:t xml:space="preserve">the low engagement rate is concerning. It implies that most residents are not adequately informed, involved, or empowered to participate in activities that directly affect their daily lives and economic productivity. This observation aligns with </w:t>
      </w:r>
      <w:r w:rsidR="008C18C0">
        <w:rPr>
          <w:rFonts w:ascii="Arial" w:hAnsi="Arial" w:cs="Arial"/>
          <w:sz w:val="24"/>
          <w:szCs w:val="24"/>
        </w:rPr>
        <w:t xml:space="preserve">Kiss </w:t>
      </w:r>
      <w:r w:rsidR="008C18C0">
        <w:rPr>
          <w:rFonts w:ascii="Arial" w:hAnsi="Arial" w:cs="Arial"/>
          <w:sz w:val="24"/>
          <w:szCs w:val="24"/>
        </w:rPr>
        <w:fldChar w:fldCharType="begin" w:fldLock="1"/>
      </w:r>
      <w:r w:rsidR="008C18C0">
        <w:rPr>
          <w:rFonts w:ascii="Arial" w:hAnsi="Arial" w:cs="Arial"/>
          <w:sz w:val="24"/>
          <w:szCs w:val="24"/>
        </w:rPr>
        <w:instrText>ADDIN CSL_CITATION {"citationItems":[{"id":"ITEM-1","itemData":{"author":[{"dropping-particle":"","family":"Kiss","given":"Bernadett","non-dropping-particle":"","parse-names":false,"suffix":""},{"dropping-particle":"","family":"Sekulova","given":"Filka","non-dropping-particle":"","parse-names":false,"suffix":""},{"dropping-particle":"","family":"Hörschelmann","given":"Kathrin","non-dropping-particle":"","parse-names":false,"suffix":""},{"dropping-particle":"","family":"Salk","given":"Carl F","non-dropping-particle":"","parse-names":false,"suffix":""},{"dropping-particle":"","family":"Christine","given":"Wamsler Wakana Takahashi","non-dropping-particle":"","parse-names":false,"suffix":""}],"container-title":"Environmental Policy and Governance","id":"ITEM-1","issue":"3","issued":{"date-parts":[["2021"]]},"page":"1-26","title":"Citizen participation in the governance of nature-based solutions","type":"article-journal","volume":"1"},"suppress-author":1,"uris":["http://www.mendeley.com/documents/?uuid=9ebb8b07-6880-4514-a0d8-c0133aa1eabf"]}],"mendeley":{"formattedCitation":"(2021)","plainTextFormattedCitation":"(2021)","previouslyFormattedCitation":"(2021)"},"properties":{"noteIndex":0},"schema":"https://github.com/citation-style-language/schema/raw/master/csl-citation.json"}</w:instrText>
      </w:r>
      <w:r w:rsidR="008C18C0">
        <w:rPr>
          <w:rFonts w:ascii="Arial" w:hAnsi="Arial" w:cs="Arial"/>
          <w:sz w:val="24"/>
          <w:szCs w:val="24"/>
        </w:rPr>
        <w:fldChar w:fldCharType="separate"/>
      </w:r>
      <w:r w:rsidR="008C18C0" w:rsidRPr="008C18C0">
        <w:rPr>
          <w:rFonts w:ascii="Arial" w:hAnsi="Arial" w:cs="Arial"/>
          <w:noProof/>
          <w:sz w:val="24"/>
          <w:szCs w:val="24"/>
        </w:rPr>
        <w:t>(2021)</w:t>
      </w:r>
      <w:r w:rsidR="008C18C0">
        <w:rPr>
          <w:rFonts w:ascii="Arial" w:hAnsi="Arial" w:cs="Arial"/>
          <w:sz w:val="24"/>
          <w:szCs w:val="24"/>
        </w:rPr>
        <w:fldChar w:fldCharType="end"/>
      </w:r>
      <w:r w:rsidRPr="00E1487E">
        <w:rPr>
          <w:rFonts w:ascii="Arial" w:hAnsi="Arial" w:cs="Arial"/>
          <w:sz w:val="24"/>
          <w:szCs w:val="24"/>
        </w:rPr>
        <w:t>, who argue that participatory development often fails when processes are neither sufficiently inclusive nor contextually adapted. The reasons for limited engagement are likely multifaceted, including inadequate access to information, lack of transparency in project planning, limited awareness of the importance of participation, and the prevalence of top-down decision-making approaches that marginali</w:t>
      </w:r>
      <w:r>
        <w:rPr>
          <w:rFonts w:ascii="Arial" w:hAnsi="Arial" w:cs="Arial"/>
          <w:sz w:val="24"/>
          <w:szCs w:val="24"/>
        </w:rPr>
        <w:t>ze ordinary citizens.</w:t>
      </w:r>
    </w:p>
    <w:p w14:paraId="4318FC1A" w14:textId="21292C4D" w:rsidR="00E1487E" w:rsidRPr="00E1487E" w:rsidRDefault="00E1487E" w:rsidP="00E1487E">
      <w:pPr>
        <w:jc w:val="both"/>
        <w:rPr>
          <w:rFonts w:ascii="Arial" w:hAnsi="Arial" w:cs="Arial"/>
          <w:sz w:val="24"/>
          <w:szCs w:val="24"/>
        </w:rPr>
      </w:pPr>
      <w:r w:rsidRPr="00E1487E">
        <w:rPr>
          <w:rFonts w:ascii="Arial" w:hAnsi="Arial" w:cs="Arial"/>
          <w:sz w:val="24"/>
          <w:szCs w:val="24"/>
        </w:rPr>
        <w:lastRenderedPageBreak/>
        <w:t xml:space="preserve">In contrast, 16.7% of respondents were classified under the moderate participation category, representing individuals who had some involvement in road maintenance activities, though inconsistently or limited to certain phases of the project cycle. These participants might have attended a few village meetings, contributed </w:t>
      </w:r>
      <w:proofErr w:type="spellStart"/>
      <w:r w:rsidRPr="00E1487E">
        <w:rPr>
          <w:rFonts w:ascii="Arial" w:hAnsi="Arial" w:cs="Arial"/>
          <w:sz w:val="24"/>
          <w:szCs w:val="24"/>
        </w:rPr>
        <w:t>labor</w:t>
      </w:r>
      <w:proofErr w:type="spellEnd"/>
      <w:r w:rsidRPr="00E1487E">
        <w:rPr>
          <w:rFonts w:ascii="Arial" w:hAnsi="Arial" w:cs="Arial"/>
          <w:sz w:val="24"/>
          <w:szCs w:val="24"/>
        </w:rPr>
        <w:t xml:space="preserve"> or materials sporadically, or been consulted during implementation rather than planning. This group is important because it constitutes a transitional demographic: community members who are neither fully excluded nor fully engaged.</w:t>
      </w:r>
      <w:r w:rsidR="008C18C0">
        <w:rPr>
          <w:rFonts w:ascii="Arial" w:hAnsi="Arial" w:cs="Arial"/>
          <w:sz w:val="24"/>
          <w:szCs w:val="24"/>
        </w:rPr>
        <w:t xml:space="preserve"> Tahseen </w:t>
      </w:r>
      <w:r w:rsidR="008C18C0">
        <w:rPr>
          <w:rFonts w:ascii="Arial" w:hAnsi="Arial" w:cs="Arial"/>
          <w:sz w:val="24"/>
          <w:szCs w:val="24"/>
        </w:rPr>
        <w:fldChar w:fldCharType="begin" w:fldLock="1"/>
      </w:r>
      <w:r w:rsidR="00FF08F0">
        <w:rPr>
          <w:rFonts w:ascii="Arial" w:hAnsi="Arial" w:cs="Arial"/>
          <w:sz w:val="24"/>
          <w:szCs w:val="24"/>
        </w:rPr>
        <w:instrText>ADDIN CSL_CITATION {"citationItems":[{"id":"ITEM-1","itemData":{"DOI":"10.13140/RG.2.2.25118.10567","author":[{"dropping-particle":"","family":"Tahseen","given":"Fariha","non-dropping-particle":"","parse-names":false,"suffix":""}],"container-title":"Journal of Xi’an Shiyou University, Natural Science Edition","id":"ITEM-1","issue":"10","issued":{"date-parts":[["2022"]]},"page":"1-8","title":"Active Community Participation and Involvement as a Strategy to Upgrade and Maintain the Quality of Sidewalks in Pedestrian Infrastructure of Karachi, Pakistan","type":"article-journal","volume":"18"},"suppress-author":1,"uris":["http://www.mendeley.com/documents/?uuid=dc07be36-9d1c-4a0d-93aa-911e181c1f69"]}],"mendeley":{"formattedCitation":"(2022)","plainTextFormattedCitation":"(2022)","previouslyFormattedCitation":"(2022)"},"properties":{"noteIndex":0},"schema":"https://github.com/citation-style-language/schema/raw/master/csl-citation.json"}</w:instrText>
      </w:r>
      <w:r w:rsidR="008C18C0">
        <w:rPr>
          <w:rFonts w:ascii="Arial" w:hAnsi="Arial" w:cs="Arial"/>
          <w:sz w:val="24"/>
          <w:szCs w:val="24"/>
        </w:rPr>
        <w:fldChar w:fldCharType="separate"/>
      </w:r>
      <w:r w:rsidR="008C18C0" w:rsidRPr="008C18C0">
        <w:rPr>
          <w:rFonts w:ascii="Arial" w:hAnsi="Arial" w:cs="Arial"/>
          <w:noProof/>
          <w:sz w:val="24"/>
          <w:szCs w:val="24"/>
        </w:rPr>
        <w:t>(2022)</w:t>
      </w:r>
      <w:r w:rsidR="008C18C0">
        <w:rPr>
          <w:rFonts w:ascii="Arial" w:hAnsi="Arial" w:cs="Arial"/>
          <w:sz w:val="24"/>
          <w:szCs w:val="24"/>
        </w:rPr>
        <w:fldChar w:fldCharType="end"/>
      </w:r>
      <w:r w:rsidR="00FF08F0">
        <w:rPr>
          <w:rFonts w:ascii="Arial" w:hAnsi="Arial" w:cs="Arial"/>
          <w:sz w:val="24"/>
          <w:szCs w:val="24"/>
        </w:rPr>
        <w:t xml:space="preserve"> </w:t>
      </w:r>
      <w:r w:rsidRPr="00E1487E">
        <w:rPr>
          <w:rFonts w:ascii="Arial" w:hAnsi="Arial" w:cs="Arial"/>
          <w:sz w:val="24"/>
          <w:szCs w:val="24"/>
        </w:rPr>
        <w:t>emphasize the potential of such participants, noting that with proper mobilization and support, they can become active contributors to sustainable, community-led development. In</w:t>
      </w:r>
      <w:r w:rsidR="004123D3">
        <w:rPr>
          <w:rFonts w:ascii="Arial" w:hAnsi="Arial" w:cs="Arial"/>
          <w:sz w:val="24"/>
          <w:szCs w:val="24"/>
        </w:rPr>
        <w:t xml:space="preserve"> </w:t>
      </w:r>
      <w:proofErr w:type="spellStart"/>
      <w:r w:rsidR="004123D3">
        <w:rPr>
          <w:rFonts w:ascii="Arial" w:hAnsi="Arial" w:cs="Arial"/>
          <w:sz w:val="24"/>
          <w:szCs w:val="24"/>
        </w:rPr>
        <w:t>Babati</w:t>
      </w:r>
      <w:proofErr w:type="spellEnd"/>
      <w:r w:rsidR="004123D3">
        <w:rPr>
          <w:rFonts w:ascii="Arial" w:hAnsi="Arial" w:cs="Arial"/>
          <w:sz w:val="24"/>
          <w:szCs w:val="24"/>
        </w:rPr>
        <w:t xml:space="preserve">, targeted interventions </w:t>
      </w:r>
      <w:r w:rsidRPr="00E1487E">
        <w:rPr>
          <w:rFonts w:ascii="Arial" w:hAnsi="Arial" w:cs="Arial"/>
          <w:sz w:val="24"/>
          <w:szCs w:val="24"/>
        </w:rPr>
        <w:t>such as improved communication through local government channels, participatory budgeting, and inclusive d</w:t>
      </w:r>
      <w:r w:rsidR="004123D3">
        <w:rPr>
          <w:rFonts w:ascii="Arial" w:hAnsi="Arial" w:cs="Arial"/>
          <w:sz w:val="24"/>
          <w:szCs w:val="24"/>
        </w:rPr>
        <w:t xml:space="preserve">ialogues via village assemblies </w:t>
      </w:r>
      <w:r w:rsidRPr="00E1487E">
        <w:rPr>
          <w:rFonts w:ascii="Arial" w:hAnsi="Arial" w:cs="Arial"/>
          <w:sz w:val="24"/>
          <w:szCs w:val="24"/>
        </w:rPr>
        <w:t>could gradually transform moderate participants into consistent and engaged stakeholders in r</w:t>
      </w:r>
      <w:r w:rsidR="004123D3">
        <w:rPr>
          <w:rFonts w:ascii="Arial" w:hAnsi="Arial" w:cs="Arial"/>
          <w:sz w:val="24"/>
          <w:szCs w:val="24"/>
        </w:rPr>
        <w:t>ural infrastructure management.</w:t>
      </w:r>
    </w:p>
    <w:p w14:paraId="308C54BA" w14:textId="2D85CA52" w:rsidR="00E1487E" w:rsidRPr="00E1487E" w:rsidRDefault="00E1487E" w:rsidP="00E1487E">
      <w:pPr>
        <w:jc w:val="both"/>
        <w:rPr>
          <w:rFonts w:ascii="Arial" w:hAnsi="Arial" w:cs="Arial"/>
          <w:sz w:val="24"/>
          <w:szCs w:val="24"/>
        </w:rPr>
      </w:pPr>
      <w:r w:rsidRPr="00E1487E">
        <w:rPr>
          <w:rFonts w:ascii="Arial" w:hAnsi="Arial" w:cs="Arial"/>
          <w:sz w:val="24"/>
          <w:szCs w:val="24"/>
        </w:rPr>
        <w:t xml:space="preserve">At the higher end of the spectrum, only 11.6% of respondents reported high participation, reflecting consistent and meaningful involvement in various stages of rural road maintenance projects. This group likely includes local leaders, educated residents, and members of village committees, and economically stable individuals who understand the importance of community-driven infrastructure and can navigate local governance systems to influence decision-making. In </w:t>
      </w:r>
      <w:proofErr w:type="spellStart"/>
      <w:r w:rsidRPr="00E1487E">
        <w:rPr>
          <w:rFonts w:ascii="Arial" w:hAnsi="Arial" w:cs="Arial"/>
          <w:sz w:val="24"/>
          <w:szCs w:val="24"/>
        </w:rPr>
        <w:t>Babati</w:t>
      </w:r>
      <w:proofErr w:type="spellEnd"/>
      <w:r w:rsidRPr="00E1487E">
        <w:rPr>
          <w:rFonts w:ascii="Arial" w:hAnsi="Arial" w:cs="Arial"/>
          <w:sz w:val="24"/>
          <w:szCs w:val="24"/>
        </w:rPr>
        <w:t xml:space="preserve"> District Council, these participants may reside closer to administrative </w:t>
      </w:r>
      <w:proofErr w:type="spellStart"/>
      <w:r w:rsidRPr="00E1487E">
        <w:rPr>
          <w:rFonts w:ascii="Arial" w:hAnsi="Arial" w:cs="Arial"/>
          <w:sz w:val="24"/>
          <w:szCs w:val="24"/>
        </w:rPr>
        <w:t>centers</w:t>
      </w:r>
      <w:proofErr w:type="spellEnd"/>
      <w:r w:rsidRPr="00E1487E">
        <w:rPr>
          <w:rFonts w:ascii="Arial" w:hAnsi="Arial" w:cs="Arial"/>
          <w:sz w:val="24"/>
          <w:szCs w:val="24"/>
        </w:rPr>
        <w:t xml:space="preserve"> or near critical road sections, where the benefits of maintenance are most visible. Their engagement demonstrates a foundational base upon which stronger participatory practices can be built. Similar patterns were observed by </w:t>
      </w:r>
      <w:proofErr w:type="spellStart"/>
      <w:r w:rsidR="00FF08F0">
        <w:rPr>
          <w:rFonts w:ascii="Arial" w:hAnsi="Arial" w:cs="Arial"/>
          <w:sz w:val="24"/>
          <w:szCs w:val="24"/>
        </w:rPr>
        <w:t>Shunglu</w:t>
      </w:r>
      <w:proofErr w:type="spellEnd"/>
      <w:r w:rsidR="00FF08F0">
        <w:rPr>
          <w:rFonts w:ascii="Arial" w:hAnsi="Arial" w:cs="Arial"/>
          <w:sz w:val="24"/>
          <w:szCs w:val="24"/>
        </w:rPr>
        <w:t xml:space="preserve"> et al. </w:t>
      </w:r>
      <w:r w:rsidR="00FF08F0">
        <w:rPr>
          <w:rFonts w:ascii="Arial" w:hAnsi="Arial" w:cs="Arial"/>
          <w:sz w:val="24"/>
          <w:szCs w:val="24"/>
        </w:rPr>
        <w:fldChar w:fldCharType="begin" w:fldLock="1"/>
      </w:r>
      <w:r w:rsidR="00FF08F0">
        <w:rPr>
          <w:rFonts w:ascii="Arial" w:hAnsi="Arial" w:cs="Arial"/>
          <w:sz w:val="24"/>
          <w:szCs w:val="24"/>
        </w:rPr>
        <w:instrText>ADDIN CSL_CITATION {"citationItems":[{"id":"ITEM-1","itemData":{"DOI":"10.3390/w14050762","ISSN":"20734441","abstract":"Participatory approaches within development programs involving common-pool resources are intended to revive a community’s role in managing these resources. Certainly, to ensure the successful and equitable use of such resources, community participation is essential. However, in many cases, attempts at applying a participatory approach often fail to genuinely engage all subgroups within a community due to assumptions of homogeneity and a lack of understanding of the deep socio-political divisions between people. As a result, development programs can be plagued by these pre-existing power relations, potentially resulting in tokenistic community participation and the continuation of elite capture of natural resources to the same extent or worse than before a development program has begun. This in turn can negatively impact good governance and the fair distribution of a common pool resource. This paper explores the use of participatory approaches in water projects, assessing to what degree power relationships impact water management programs. Using a qualitative approach, the paper identifies key challenges of participatory water governance through case studies from Turkey, India, and Sri Lanka, exploring: lack of social trust, elite capture of participatory processes, power heterogeneity and imbalances at the micro-level, and a lack of inclusive participation in decision-making. Based on the analysis of these case studies, this paper argues that it is essential for participatory development interventions to understand socio-political power relations within a community—an inherently complex and contested space. The so-called “exit strategy” of a community project play a key role to decide the project sustainability that grants the “community ownership” of the project. Such an understanding can bring about greater success in development interventions attempting to address water-related issues.","author":[{"dropping-particle":"","family":"Shunglu","given":"Raghav","non-dropping-particle":"","parse-names":false,"suffix":""},{"dropping-particle":"","family":"Köpke","given":"Sören","non-dropping-particle":"","parse-names":false,"suffix":""},{"dropping-particle":"","family":"Kanoi","given":"Lav","non-dropping-particle":"","parse-names":false,"suffix":""},{"dropping-particle":"","family":"Nissanka","given":"Thushantha S.","non-dropping-particle":"","parse-names":false,"suffix":""},{"dropping-particle":"","family":"Withanachchi","given":"Chandana R.","non-dropping-particle":"","parse-names":false,"suffix":""},{"dropping-particle":"","family":"Gamage","given":"Deepika U.","non-dropping-particle":"","parse-names":false,"suffix":""},{"dropping-particle":"","family":"Dissanayake","given":"Hansani R.","non-dropping-particle":"","parse-names":false,"suffix":""},{"dropping-particle":"","family":"Kibaroglu","given":"Aysegul","non-dropping-particle":"","parse-names":false,"suffix":""},{"dropping-particle":"","family":"Ünver","given":"Olcay","non-dropping-particle":"","parse-names":false,"suffix":""},{"dropping-particle":"","family":"Withanachchi","given":"Sisira S.","non-dropping-particle":"","parse-names":false,"suffix":""}],"container-title":"Water (Switzerland)","id":"ITEM-1","issue":"5","issued":{"date-parts":[["2022"]]},"page":"1-24","title":"Barriers in Participative Water Governance: A Critical Analysis of Community Development Approaches","type":"article-journal","volume":"14"},"suppress-author":1,"uris":["http://www.mendeley.com/documents/?uuid=b86efee4-d18e-4efc-8947-325199c24c4c"]}],"mendeley":{"formattedCitation":"(2022)","plainTextFormattedCitation":"(2022)"},"properties":{"noteIndex":0},"schema":"https://github.com/citation-style-language/schema/raw/master/csl-citation.json"}</w:instrText>
      </w:r>
      <w:r w:rsidR="00FF08F0">
        <w:rPr>
          <w:rFonts w:ascii="Arial" w:hAnsi="Arial" w:cs="Arial"/>
          <w:sz w:val="24"/>
          <w:szCs w:val="24"/>
        </w:rPr>
        <w:fldChar w:fldCharType="separate"/>
      </w:r>
      <w:r w:rsidR="00FF08F0" w:rsidRPr="00FF08F0">
        <w:rPr>
          <w:rFonts w:ascii="Arial" w:hAnsi="Arial" w:cs="Arial"/>
          <w:noProof/>
          <w:sz w:val="24"/>
          <w:szCs w:val="24"/>
        </w:rPr>
        <w:t>(2022)</w:t>
      </w:r>
      <w:r w:rsidR="00FF08F0">
        <w:rPr>
          <w:rFonts w:ascii="Arial" w:hAnsi="Arial" w:cs="Arial"/>
          <w:sz w:val="24"/>
          <w:szCs w:val="24"/>
        </w:rPr>
        <w:fldChar w:fldCharType="end"/>
      </w:r>
      <w:r w:rsidRPr="00E1487E">
        <w:rPr>
          <w:rFonts w:ascii="Arial" w:hAnsi="Arial" w:cs="Arial"/>
          <w:sz w:val="24"/>
          <w:szCs w:val="24"/>
        </w:rPr>
        <w:t>, where a minority of well-informed and socio-economically advantaged residents played key roles in sustaining rural road projects, while the majority</w:t>
      </w:r>
      <w:r>
        <w:rPr>
          <w:rFonts w:ascii="Arial" w:hAnsi="Arial" w:cs="Arial"/>
          <w:sz w:val="24"/>
          <w:szCs w:val="24"/>
        </w:rPr>
        <w:t xml:space="preserve"> remained passive.</w:t>
      </w:r>
    </w:p>
    <w:p w14:paraId="129B30E6" w14:textId="77777777" w:rsidR="002171DD" w:rsidRDefault="00E1487E" w:rsidP="00E1487E">
      <w:pPr>
        <w:jc w:val="both"/>
        <w:rPr>
          <w:rFonts w:ascii="Arial" w:hAnsi="Arial" w:cs="Arial"/>
          <w:sz w:val="24"/>
          <w:szCs w:val="24"/>
        </w:rPr>
      </w:pPr>
      <w:r w:rsidRPr="00E1487E">
        <w:rPr>
          <w:rFonts w:ascii="Arial" w:hAnsi="Arial" w:cs="Arial"/>
          <w:sz w:val="24"/>
          <w:szCs w:val="24"/>
        </w:rPr>
        <w:t>However, the small size of this highly engaged group highlights inequalities in participation, indicating that opportunities are not equally accessible to all community members. This situation underscores the need for deliberate policies to democratize participation, removing barriers that p</w:t>
      </w:r>
      <w:r>
        <w:rPr>
          <w:rFonts w:ascii="Arial" w:hAnsi="Arial" w:cs="Arial"/>
          <w:sz w:val="24"/>
          <w:szCs w:val="24"/>
        </w:rPr>
        <w:t xml:space="preserve">revent marginalized populations </w:t>
      </w:r>
      <w:r w:rsidRPr="00E1487E">
        <w:rPr>
          <w:rFonts w:ascii="Arial" w:hAnsi="Arial" w:cs="Arial"/>
          <w:sz w:val="24"/>
          <w:szCs w:val="24"/>
        </w:rPr>
        <w:t xml:space="preserve">such as women, youth, the elderly, </w:t>
      </w:r>
      <w:r>
        <w:rPr>
          <w:rFonts w:ascii="Arial" w:hAnsi="Arial" w:cs="Arial"/>
          <w:sz w:val="24"/>
          <w:szCs w:val="24"/>
        </w:rPr>
        <w:t xml:space="preserve">and residents of remote hamlets </w:t>
      </w:r>
      <w:r w:rsidRPr="00E1487E">
        <w:rPr>
          <w:rFonts w:ascii="Arial" w:hAnsi="Arial" w:cs="Arial"/>
          <w:sz w:val="24"/>
          <w:szCs w:val="24"/>
        </w:rPr>
        <w:t>from fully engaging in decision-making and implementation processes.</w:t>
      </w:r>
    </w:p>
    <w:p w14:paraId="66AFAC69" w14:textId="77777777" w:rsidR="00AE040C" w:rsidRDefault="00AE040C" w:rsidP="00E1487E">
      <w:pPr>
        <w:jc w:val="both"/>
        <w:rPr>
          <w:rFonts w:ascii="Arial" w:hAnsi="Arial" w:cs="Arial"/>
          <w:b/>
          <w:sz w:val="24"/>
          <w:szCs w:val="24"/>
        </w:rPr>
      </w:pPr>
      <w:r w:rsidRPr="00AE040C">
        <w:rPr>
          <w:rFonts w:ascii="Arial" w:hAnsi="Arial" w:cs="Arial"/>
          <w:b/>
          <w:sz w:val="24"/>
          <w:szCs w:val="24"/>
        </w:rPr>
        <w:t>3.4 Key Informant Perspectives on Community Participation</w:t>
      </w:r>
    </w:p>
    <w:p w14:paraId="7C763592" w14:textId="77777777" w:rsidR="00AE040C" w:rsidRPr="00AE040C" w:rsidRDefault="00AE040C" w:rsidP="00AE040C">
      <w:pPr>
        <w:pStyle w:val="NormalWeb"/>
        <w:jc w:val="both"/>
        <w:rPr>
          <w:rFonts w:ascii="Arial" w:hAnsi="Arial" w:cs="Arial"/>
        </w:rPr>
      </w:pPr>
      <w:r w:rsidRPr="00AE040C">
        <w:rPr>
          <w:rFonts w:ascii="Arial" w:hAnsi="Arial" w:cs="Arial"/>
        </w:rPr>
        <w:t xml:space="preserve">Insights from key informants provided a nuanced understanding of community participation in rural road maintenance projects in </w:t>
      </w:r>
      <w:proofErr w:type="spellStart"/>
      <w:r w:rsidRPr="00AE040C">
        <w:rPr>
          <w:rFonts w:ascii="Arial" w:hAnsi="Arial" w:cs="Arial"/>
        </w:rPr>
        <w:t>Babati</w:t>
      </w:r>
      <w:proofErr w:type="spellEnd"/>
      <w:r w:rsidRPr="00AE040C">
        <w:rPr>
          <w:rFonts w:ascii="Arial" w:hAnsi="Arial" w:cs="Arial"/>
        </w:rPr>
        <w:t xml:space="preserve"> District Council. The TARURA Regional Manager (TRM) observed:</w:t>
      </w:r>
    </w:p>
    <w:p w14:paraId="5DF224CA" w14:textId="77777777" w:rsidR="00AE040C" w:rsidRPr="00AE040C" w:rsidRDefault="00AE040C" w:rsidP="00AE040C">
      <w:pPr>
        <w:pStyle w:val="NormalWeb"/>
        <w:jc w:val="both"/>
        <w:rPr>
          <w:rFonts w:ascii="Arial" w:hAnsi="Arial" w:cs="Arial"/>
        </w:rPr>
      </w:pPr>
      <w:r w:rsidRPr="00AE040C">
        <w:rPr>
          <w:rStyle w:val="Emphasis"/>
          <w:rFonts w:ascii="Arial" w:hAnsi="Arial" w:cs="Arial"/>
        </w:rPr>
        <w:t xml:space="preserve">"In most cases, community members are only called to provide </w:t>
      </w:r>
      <w:proofErr w:type="spellStart"/>
      <w:r w:rsidRPr="00AE040C">
        <w:rPr>
          <w:rStyle w:val="Emphasis"/>
          <w:rFonts w:ascii="Arial" w:hAnsi="Arial" w:cs="Arial"/>
        </w:rPr>
        <w:t>labor</w:t>
      </w:r>
      <w:proofErr w:type="spellEnd"/>
      <w:r w:rsidRPr="00AE040C">
        <w:rPr>
          <w:rStyle w:val="Emphasis"/>
          <w:rFonts w:ascii="Arial" w:hAnsi="Arial" w:cs="Arial"/>
        </w:rPr>
        <w:t>; they rarely influence planning or monitoring, which aligns with what our surveys indicate."</w:t>
      </w:r>
    </w:p>
    <w:p w14:paraId="2D7A31E0" w14:textId="77777777" w:rsidR="00AE040C" w:rsidRPr="00AE040C" w:rsidRDefault="00AE040C" w:rsidP="00AE040C">
      <w:pPr>
        <w:pStyle w:val="NormalWeb"/>
        <w:jc w:val="both"/>
        <w:rPr>
          <w:rFonts w:ascii="Arial" w:hAnsi="Arial" w:cs="Arial"/>
        </w:rPr>
      </w:pPr>
      <w:r w:rsidRPr="00AE040C">
        <w:rPr>
          <w:rFonts w:ascii="Arial" w:hAnsi="Arial" w:cs="Arial"/>
        </w:rPr>
        <w:t xml:space="preserve">This statement confirms the quantitative findings showing that 71.7% of respondents had low participation, highlighting that engagement is largely limited to </w:t>
      </w:r>
      <w:proofErr w:type="spellStart"/>
      <w:r w:rsidRPr="00AE040C">
        <w:rPr>
          <w:rFonts w:ascii="Arial" w:hAnsi="Arial" w:cs="Arial"/>
        </w:rPr>
        <w:t>labor</w:t>
      </w:r>
      <w:proofErr w:type="spellEnd"/>
      <w:r w:rsidRPr="00AE040C">
        <w:rPr>
          <w:rFonts w:ascii="Arial" w:hAnsi="Arial" w:cs="Arial"/>
        </w:rPr>
        <w:t xml:space="preserve"> contributions while decision-making and monitoring remain dominated by project implementers.</w:t>
      </w:r>
    </w:p>
    <w:p w14:paraId="43D825B5" w14:textId="77777777" w:rsidR="00AE040C" w:rsidRPr="00AE040C" w:rsidRDefault="00AE040C" w:rsidP="00AE040C">
      <w:pPr>
        <w:pStyle w:val="NormalWeb"/>
        <w:jc w:val="both"/>
        <w:rPr>
          <w:rFonts w:ascii="Arial" w:hAnsi="Arial" w:cs="Arial"/>
        </w:rPr>
      </w:pPr>
      <w:r w:rsidRPr="00AE040C">
        <w:rPr>
          <w:rFonts w:ascii="Arial" w:hAnsi="Arial" w:cs="Arial"/>
        </w:rPr>
        <w:t>The Project Manager (PR) added:</w:t>
      </w:r>
    </w:p>
    <w:p w14:paraId="562B6798" w14:textId="77777777" w:rsidR="00AE040C" w:rsidRPr="00AE040C" w:rsidRDefault="00AE040C" w:rsidP="00AE040C">
      <w:pPr>
        <w:pStyle w:val="NormalWeb"/>
        <w:jc w:val="both"/>
        <w:rPr>
          <w:rFonts w:ascii="Arial" w:hAnsi="Arial" w:cs="Arial"/>
        </w:rPr>
      </w:pPr>
      <w:r w:rsidRPr="00AE040C">
        <w:rPr>
          <w:rStyle w:val="Emphasis"/>
          <w:rFonts w:ascii="Arial" w:hAnsi="Arial" w:cs="Arial"/>
        </w:rPr>
        <w:lastRenderedPageBreak/>
        <w:t>"Actually, some communities contribute regularly to maintenance, especially those living near key roads, even if our data shows low engagement overall."</w:t>
      </w:r>
    </w:p>
    <w:p w14:paraId="5A322010" w14:textId="77777777" w:rsidR="00AE040C" w:rsidRPr="00AE040C" w:rsidRDefault="00AE040C" w:rsidP="00AE040C">
      <w:pPr>
        <w:pStyle w:val="NormalWeb"/>
        <w:jc w:val="both"/>
        <w:rPr>
          <w:rFonts w:ascii="Arial" w:hAnsi="Arial" w:cs="Arial"/>
        </w:rPr>
      </w:pPr>
      <w:r w:rsidRPr="00AE040C">
        <w:rPr>
          <w:rFonts w:ascii="Arial" w:hAnsi="Arial" w:cs="Arial"/>
        </w:rPr>
        <w:t>This adds nuance, suggesting that proximity to vital road sections motivates certain residents to engage consistently, even when overall participation is minimal. It emphasizes the role of local context and visible benefits in influencing engagement levels.</w:t>
      </w:r>
    </w:p>
    <w:p w14:paraId="5004EA97" w14:textId="77777777" w:rsidR="00AE040C" w:rsidRPr="00AE040C" w:rsidRDefault="00AE040C" w:rsidP="00AE040C">
      <w:pPr>
        <w:pStyle w:val="NormalWeb"/>
        <w:jc w:val="both"/>
        <w:rPr>
          <w:rFonts w:ascii="Arial" w:hAnsi="Arial" w:cs="Arial"/>
        </w:rPr>
      </w:pPr>
      <w:r w:rsidRPr="00AE040C">
        <w:rPr>
          <w:rFonts w:ascii="Arial" w:hAnsi="Arial" w:cs="Arial"/>
        </w:rPr>
        <w:t>Local leaders (LL) shared:</w:t>
      </w:r>
    </w:p>
    <w:p w14:paraId="67A88875" w14:textId="77777777" w:rsidR="00AE040C" w:rsidRPr="00AE040C" w:rsidRDefault="00AE040C" w:rsidP="00AE040C">
      <w:pPr>
        <w:pStyle w:val="NormalWeb"/>
        <w:jc w:val="both"/>
        <w:rPr>
          <w:rFonts w:ascii="Arial" w:hAnsi="Arial" w:cs="Arial"/>
        </w:rPr>
      </w:pPr>
      <w:r w:rsidRPr="00AE040C">
        <w:rPr>
          <w:rStyle w:val="Emphasis"/>
          <w:rFonts w:ascii="Arial" w:hAnsi="Arial" w:cs="Arial"/>
        </w:rPr>
        <w:t>"We organize meetings and inform villagers about road projects, but attendance is often poor due to competing economic activities."</w:t>
      </w:r>
    </w:p>
    <w:p w14:paraId="4787D608" w14:textId="77777777" w:rsidR="00AE040C" w:rsidRPr="00AE040C" w:rsidRDefault="00AE040C" w:rsidP="00AE040C">
      <w:pPr>
        <w:pStyle w:val="NormalWeb"/>
        <w:jc w:val="both"/>
        <w:rPr>
          <w:rFonts w:ascii="Arial" w:hAnsi="Arial" w:cs="Arial"/>
        </w:rPr>
      </w:pPr>
      <w:r w:rsidRPr="00AE040C">
        <w:rPr>
          <w:rFonts w:ascii="Arial" w:hAnsi="Arial" w:cs="Arial"/>
        </w:rPr>
        <w:t>This aligns with survey findings of low involvement and communication gaps, demonstrating</w:t>
      </w:r>
      <w:r w:rsidR="004123D3">
        <w:rPr>
          <w:rFonts w:ascii="Arial" w:hAnsi="Arial" w:cs="Arial"/>
        </w:rPr>
        <w:t xml:space="preserve"> that socioeconomic constraints </w:t>
      </w:r>
      <w:r w:rsidRPr="00AE040C">
        <w:rPr>
          <w:rFonts w:ascii="Arial" w:hAnsi="Arial" w:cs="Arial"/>
        </w:rPr>
        <w:t>like subsist</w:t>
      </w:r>
      <w:r w:rsidR="004123D3">
        <w:rPr>
          <w:rFonts w:ascii="Arial" w:hAnsi="Arial" w:cs="Arial"/>
        </w:rPr>
        <w:t xml:space="preserve">ence farming and informal trade </w:t>
      </w:r>
      <w:r w:rsidRPr="00AE040C">
        <w:rPr>
          <w:rFonts w:ascii="Arial" w:hAnsi="Arial" w:cs="Arial"/>
        </w:rPr>
        <w:t>limit residents’ ability to attend meetings or participate actively.</w:t>
      </w:r>
    </w:p>
    <w:p w14:paraId="412ACF77" w14:textId="77777777" w:rsidR="00AE040C" w:rsidRPr="00AE040C" w:rsidRDefault="00AE040C" w:rsidP="00AE040C">
      <w:pPr>
        <w:pStyle w:val="NormalWeb"/>
        <w:jc w:val="both"/>
        <w:rPr>
          <w:rFonts w:ascii="Arial" w:hAnsi="Arial" w:cs="Arial"/>
        </w:rPr>
      </w:pPr>
      <w:r w:rsidRPr="00AE040C">
        <w:rPr>
          <w:rFonts w:ascii="Arial" w:hAnsi="Arial" w:cs="Arial"/>
        </w:rPr>
        <w:t>The TRM also noted:</w:t>
      </w:r>
    </w:p>
    <w:p w14:paraId="2265EAEA" w14:textId="77777777" w:rsidR="00AE040C" w:rsidRPr="00AE040C" w:rsidRDefault="00AE040C" w:rsidP="00AE040C">
      <w:pPr>
        <w:pStyle w:val="NormalWeb"/>
        <w:jc w:val="both"/>
        <w:rPr>
          <w:rFonts w:ascii="Arial" w:hAnsi="Arial" w:cs="Arial"/>
        </w:rPr>
      </w:pPr>
      <w:r w:rsidRPr="00AE040C">
        <w:rPr>
          <w:rStyle w:val="Emphasis"/>
          <w:rFonts w:ascii="Arial" w:hAnsi="Arial" w:cs="Arial"/>
        </w:rPr>
        <w:t>"Some women and youth actively participate when mobilized, but their efforts are often overshadowed by more vocal men or local elites."</w:t>
      </w:r>
    </w:p>
    <w:p w14:paraId="3AF1CEF3" w14:textId="77777777" w:rsidR="00AE040C" w:rsidRPr="00AE040C" w:rsidRDefault="00AE040C" w:rsidP="00AE040C">
      <w:pPr>
        <w:pStyle w:val="NormalWeb"/>
        <w:jc w:val="both"/>
        <w:rPr>
          <w:rFonts w:ascii="Arial" w:hAnsi="Arial" w:cs="Arial"/>
        </w:rPr>
      </w:pPr>
      <w:r w:rsidRPr="00AE040C">
        <w:rPr>
          <w:rFonts w:ascii="Arial" w:hAnsi="Arial" w:cs="Arial"/>
        </w:rPr>
        <w:t>This complements the demographic data showing higher male participation and underscores structural barriers preventing equitable involvement of marginalized groups, such as women and youth, in decision-making processes.</w:t>
      </w:r>
    </w:p>
    <w:p w14:paraId="699D261A" w14:textId="77777777" w:rsidR="00AE040C" w:rsidRPr="00AE040C" w:rsidRDefault="00AE040C" w:rsidP="00AE040C">
      <w:pPr>
        <w:pStyle w:val="NormalWeb"/>
        <w:jc w:val="both"/>
        <w:rPr>
          <w:rFonts w:ascii="Arial" w:hAnsi="Arial" w:cs="Arial"/>
        </w:rPr>
      </w:pPr>
      <w:r w:rsidRPr="00AE040C">
        <w:rPr>
          <w:rFonts w:ascii="Arial" w:hAnsi="Arial" w:cs="Arial"/>
        </w:rPr>
        <w:t>Finally, the PR reflected:</w:t>
      </w:r>
    </w:p>
    <w:p w14:paraId="4CCBADE1" w14:textId="77777777" w:rsidR="00AE040C" w:rsidRPr="00AE040C" w:rsidRDefault="00AE040C" w:rsidP="00AE040C">
      <w:pPr>
        <w:pStyle w:val="NormalWeb"/>
        <w:jc w:val="both"/>
        <w:rPr>
          <w:rFonts w:ascii="Arial" w:hAnsi="Arial" w:cs="Arial"/>
        </w:rPr>
      </w:pPr>
      <w:r w:rsidRPr="00AE040C">
        <w:rPr>
          <w:rStyle w:val="Emphasis"/>
          <w:rFonts w:ascii="Arial" w:hAnsi="Arial" w:cs="Arial"/>
        </w:rPr>
        <w:t>"We sometimes fail to incorporate community suggestions due to technical or budgetary constraints, which may frustrate residents."</w:t>
      </w:r>
    </w:p>
    <w:p w14:paraId="3CDA62EF" w14:textId="77777777" w:rsidR="00AE040C" w:rsidRPr="00AE040C" w:rsidRDefault="00AE040C" w:rsidP="00AE040C">
      <w:pPr>
        <w:pStyle w:val="NormalWeb"/>
        <w:jc w:val="both"/>
        <w:rPr>
          <w:rFonts w:ascii="Arial" w:hAnsi="Arial" w:cs="Arial"/>
        </w:rPr>
      </w:pPr>
      <w:r w:rsidRPr="00AE040C">
        <w:rPr>
          <w:rFonts w:ascii="Arial" w:hAnsi="Arial" w:cs="Arial"/>
        </w:rPr>
        <w:t>This explains why respondents felt their input was ignored, reflecting low mean scores for engagement in planning, and highlights that low participation is influenced not only by social and procedural factors but also by practical project limitations.</w:t>
      </w:r>
    </w:p>
    <w:p w14:paraId="21124EA2" w14:textId="77777777" w:rsidR="00AE040C" w:rsidRPr="00AE040C" w:rsidRDefault="00AE040C" w:rsidP="00AE040C">
      <w:pPr>
        <w:pStyle w:val="NormalWeb"/>
        <w:jc w:val="both"/>
        <w:rPr>
          <w:rFonts w:ascii="Arial" w:hAnsi="Arial" w:cs="Arial"/>
        </w:rPr>
      </w:pPr>
      <w:r w:rsidRPr="00AE040C">
        <w:rPr>
          <w:rFonts w:ascii="Arial" w:hAnsi="Arial" w:cs="Arial"/>
        </w:rPr>
        <w:t xml:space="preserve">Overall, these qualitative insights illustrate that low participation in </w:t>
      </w:r>
      <w:proofErr w:type="spellStart"/>
      <w:r w:rsidRPr="00AE040C">
        <w:rPr>
          <w:rFonts w:ascii="Arial" w:hAnsi="Arial" w:cs="Arial"/>
        </w:rPr>
        <w:t>Babati’s</w:t>
      </w:r>
      <w:proofErr w:type="spellEnd"/>
      <w:r w:rsidRPr="00AE040C">
        <w:rPr>
          <w:rFonts w:ascii="Arial" w:hAnsi="Arial" w:cs="Arial"/>
        </w:rPr>
        <w:t xml:space="preserve"> rural road projects is shaped by a combination of structural, socioeconomic, and operational factors, providing depth to the quantitative findings and emphasizing the need for context-sensitive strategies to enhance community engagement.</w:t>
      </w:r>
    </w:p>
    <w:p w14:paraId="565F4E3A" w14:textId="77777777" w:rsidR="00392AF8" w:rsidRPr="00703D21" w:rsidRDefault="00E1487E" w:rsidP="00392AF8">
      <w:pPr>
        <w:pStyle w:val="ListParagraph"/>
        <w:numPr>
          <w:ilvl w:val="0"/>
          <w:numId w:val="2"/>
        </w:numPr>
        <w:jc w:val="both"/>
        <w:rPr>
          <w:rFonts w:ascii="Arial" w:hAnsi="Arial" w:cs="Arial"/>
          <w:b/>
          <w:sz w:val="24"/>
          <w:szCs w:val="24"/>
        </w:rPr>
      </w:pPr>
      <w:r w:rsidRPr="00703D21">
        <w:rPr>
          <w:rFonts w:ascii="Arial" w:hAnsi="Arial" w:cs="Arial"/>
          <w:b/>
          <w:sz w:val="24"/>
          <w:szCs w:val="24"/>
        </w:rPr>
        <w:t>CONCLUSION</w:t>
      </w:r>
    </w:p>
    <w:p w14:paraId="2148FBD0" w14:textId="77777777" w:rsidR="00703D21" w:rsidRPr="00703D21" w:rsidRDefault="00703D21" w:rsidP="00703D21">
      <w:pPr>
        <w:jc w:val="both"/>
        <w:rPr>
          <w:rFonts w:ascii="Arial" w:hAnsi="Arial" w:cs="Arial"/>
          <w:sz w:val="24"/>
          <w:szCs w:val="24"/>
        </w:rPr>
      </w:pPr>
      <w:r w:rsidRPr="00703D21">
        <w:rPr>
          <w:rFonts w:ascii="Arial" w:hAnsi="Arial" w:cs="Arial"/>
          <w:sz w:val="24"/>
          <w:szCs w:val="24"/>
        </w:rPr>
        <w:t xml:space="preserve">This study has examined the level of community participation in rural road maintenance projects in </w:t>
      </w:r>
      <w:proofErr w:type="spellStart"/>
      <w:r w:rsidRPr="00703D21">
        <w:rPr>
          <w:rFonts w:ascii="Arial" w:hAnsi="Arial" w:cs="Arial"/>
          <w:sz w:val="24"/>
          <w:szCs w:val="24"/>
        </w:rPr>
        <w:t>Babati</w:t>
      </w:r>
      <w:proofErr w:type="spellEnd"/>
      <w:r w:rsidRPr="00703D21">
        <w:rPr>
          <w:rFonts w:ascii="Arial" w:hAnsi="Arial" w:cs="Arial"/>
          <w:sz w:val="24"/>
          <w:szCs w:val="24"/>
        </w:rPr>
        <w:t xml:space="preserve"> District Council, highlighting significant variations in engagement across planning, implementation, and monitoring phases. The findings reveal that a majority of community members (71.7%) fall within the low participation category, indicating minimal involvement and limited influence over decision-making processes. Such low engagement reflects both systemic shortcomings in participatory frameworks and broader socio-economic constraints that hinder meaningful community involvement. Conversely, a smaller segment of the population </w:t>
      </w:r>
      <w:r w:rsidRPr="00703D21">
        <w:rPr>
          <w:rFonts w:ascii="Arial" w:hAnsi="Arial" w:cs="Arial"/>
          <w:sz w:val="24"/>
          <w:szCs w:val="24"/>
        </w:rPr>
        <w:lastRenderedPageBreak/>
        <w:t>demonstrates moderate (16.7%) or high (11.6%) participation, representing transitional and highly engaged individuals who could serve as catalysts for strengthening participatory pra</w:t>
      </w:r>
      <w:r>
        <w:rPr>
          <w:rFonts w:ascii="Arial" w:hAnsi="Arial" w:cs="Arial"/>
          <w:sz w:val="24"/>
          <w:szCs w:val="24"/>
        </w:rPr>
        <w:t>ctices if adequately supported.</w:t>
      </w:r>
    </w:p>
    <w:p w14:paraId="07F10DE4" w14:textId="77777777" w:rsidR="00703D21" w:rsidRPr="00703D21" w:rsidRDefault="00703D21" w:rsidP="00703D21">
      <w:pPr>
        <w:jc w:val="both"/>
        <w:rPr>
          <w:rFonts w:ascii="Arial" w:hAnsi="Arial" w:cs="Arial"/>
          <w:sz w:val="24"/>
          <w:szCs w:val="24"/>
        </w:rPr>
      </w:pPr>
      <w:r w:rsidRPr="00703D21">
        <w:rPr>
          <w:rFonts w:ascii="Arial" w:hAnsi="Arial" w:cs="Arial"/>
          <w:sz w:val="24"/>
          <w:szCs w:val="24"/>
        </w:rPr>
        <w:t>The study further emphasizes that low participation is influenced by multiple factors, including inadequate communication, limited transparency in project planning, top-down decision-making, and socio-economic limitations among community members. These challenges restrict opportun</w:t>
      </w:r>
      <w:r>
        <w:rPr>
          <w:rFonts w:ascii="Arial" w:hAnsi="Arial" w:cs="Arial"/>
          <w:sz w:val="24"/>
          <w:szCs w:val="24"/>
        </w:rPr>
        <w:t xml:space="preserve">ities for marginalized groups </w:t>
      </w:r>
      <w:r w:rsidRPr="00703D21">
        <w:rPr>
          <w:rFonts w:ascii="Arial" w:hAnsi="Arial" w:cs="Arial"/>
          <w:sz w:val="24"/>
          <w:szCs w:val="24"/>
        </w:rPr>
        <w:t>including women, youth, the elderly</w:t>
      </w:r>
      <w:r>
        <w:rPr>
          <w:rFonts w:ascii="Arial" w:hAnsi="Arial" w:cs="Arial"/>
          <w:sz w:val="24"/>
          <w:szCs w:val="24"/>
        </w:rPr>
        <w:t xml:space="preserve">, and residents of remote areas </w:t>
      </w:r>
      <w:r w:rsidRPr="00703D21">
        <w:rPr>
          <w:rFonts w:ascii="Arial" w:hAnsi="Arial" w:cs="Arial"/>
          <w:sz w:val="24"/>
          <w:szCs w:val="24"/>
        </w:rPr>
        <w:t xml:space="preserve">to contribute effectively, thereby undermining the sustainability and effectiveness of rural road maintenance initiatives. Importantly, even where participation exists, it is often fragmented, inconsistent, and confined to sporadic contributions of </w:t>
      </w:r>
      <w:proofErr w:type="spellStart"/>
      <w:r w:rsidRPr="00703D21">
        <w:rPr>
          <w:rFonts w:ascii="Arial" w:hAnsi="Arial" w:cs="Arial"/>
          <w:sz w:val="24"/>
          <w:szCs w:val="24"/>
        </w:rPr>
        <w:t>labor</w:t>
      </w:r>
      <w:proofErr w:type="spellEnd"/>
      <w:r w:rsidRPr="00703D21">
        <w:rPr>
          <w:rFonts w:ascii="Arial" w:hAnsi="Arial" w:cs="Arial"/>
          <w:sz w:val="24"/>
          <w:szCs w:val="24"/>
        </w:rPr>
        <w:t xml:space="preserve"> or materials, rather than encompassing meaningful input in decisio</w:t>
      </w:r>
      <w:r>
        <w:rPr>
          <w:rFonts w:ascii="Arial" w:hAnsi="Arial" w:cs="Arial"/>
          <w:sz w:val="24"/>
          <w:szCs w:val="24"/>
        </w:rPr>
        <w:t>n-making or project monitoring.</w:t>
      </w:r>
    </w:p>
    <w:p w14:paraId="45AEA790" w14:textId="50D0FB24" w:rsidR="00E1487E" w:rsidRDefault="00703D21" w:rsidP="00703D21">
      <w:pPr>
        <w:jc w:val="both"/>
        <w:rPr>
          <w:rFonts w:ascii="Arial" w:hAnsi="Arial" w:cs="Arial"/>
          <w:sz w:val="24"/>
          <w:szCs w:val="24"/>
        </w:rPr>
      </w:pPr>
      <w:r w:rsidRPr="00703D21">
        <w:rPr>
          <w:rFonts w:ascii="Arial" w:hAnsi="Arial" w:cs="Arial"/>
          <w:sz w:val="24"/>
          <w:szCs w:val="24"/>
        </w:rPr>
        <w:t xml:space="preserve">Given these insights, the study underscores the urgent need for interventions that promote inclusive and structured participation. Strategies such as improved communication through local governance channels, participatory budgeting, community awareness campaigns, and mechanisms to recognize and reward contributions can enhance engagement. By addressing barriers to involvement and fostering equitable participation, local authorities and development partners can build stronger community ownership, improve maintenance outcomes, and ensure the long-term sustainability of rural road infrastructure in </w:t>
      </w:r>
      <w:proofErr w:type="spellStart"/>
      <w:r w:rsidRPr="00703D21">
        <w:rPr>
          <w:rFonts w:ascii="Arial" w:hAnsi="Arial" w:cs="Arial"/>
          <w:sz w:val="24"/>
          <w:szCs w:val="24"/>
        </w:rPr>
        <w:t>Babati</w:t>
      </w:r>
      <w:proofErr w:type="spellEnd"/>
      <w:r w:rsidRPr="00703D21">
        <w:rPr>
          <w:rFonts w:ascii="Arial" w:hAnsi="Arial" w:cs="Arial"/>
          <w:sz w:val="24"/>
          <w:szCs w:val="24"/>
        </w:rPr>
        <w:t xml:space="preserve"> District. The findings provide critical guidance for policymakers, practitioners, and researchers seeking to enhance community-driven approaches to rural infrastructure development in Tanzania and similar contexts.</w:t>
      </w:r>
    </w:p>
    <w:p w14:paraId="66859AAA" w14:textId="7BA5040B" w:rsidR="00E12F31" w:rsidRPr="003E47EE" w:rsidRDefault="00E12F31" w:rsidP="00E12F31">
      <w:pPr>
        <w:rPr>
          <w:rFonts w:ascii="Arial" w:eastAsia="Calibri" w:hAnsi="Arial" w:cs="Arial"/>
          <w:b/>
          <w:kern w:val="2"/>
          <w:sz w:val="24"/>
          <w:szCs w:val="24"/>
          <w:highlight w:val="yellow"/>
          <w:lang w:val="en-US"/>
        </w:rPr>
      </w:pPr>
      <w:bookmarkStart w:id="7" w:name="_Hlk197682619"/>
      <w:bookmarkStart w:id="8" w:name="_Hlk180402183"/>
      <w:bookmarkStart w:id="9" w:name="_Hlk183680988"/>
      <w:r w:rsidRPr="003E47EE">
        <w:rPr>
          <w:rFonts w:ascii="Arial" w:eastAsia="Calibri" w:hAnsi="Arial" w:cs="Arial"/>
          <w:b/>
          <w:kern w:val="2"/>
          <w:sz w:val="24"/>
          <w:szCs w:val="24"/>
          <w:highlight w:val="yellow"/>
          <w:lang w:val="en-US"/>
        </w:rPr>
        <w:t>Disclaimer (Artificial intelligence)</w:t>
      </w:r>
    </w:p>
    <w:p w14:paraId="2E8B5482" w14:textId="77777777" w:rsidR="00E12F31" w:rsidRPr="003E47EE" w:rsidRDefault="00E12F31" w:rsidP="003E47EE">
      <w:pPr>
        <w:jc w:val="both"/>
        <w:rPr>
          <w:rFonts w:ascii="Arial" w:eastAsia="Calibri" w:hAnsi="Arial" w:cs="Arial"/>
          <w:kern w:val="2"/>
          <w:sz w:val="24"/>
          <w:szCs w:val="24"/>
          <w:highlight w:val="yellow"/>
          <w:lang w:val="en-US"/>
        </w:rPr>
      </w:pPr>
      <w:r w:rsidRPr="003E47EE">
        <w:rPr>
          <w:rFonts w:ascii="Arial" w:eastAsia="Calibri" w:hAnsi="Arial" w:cs="Arial"/>
          <w:kern w:val="2"/>
          <w:sz w:val="24"/>
          <w:szCs w:val="24"/>
          <w:highlight w:val="yellow"/>
          <w:lang w:val="en-US"/>
        </w:rPr>
        <w:t>Author(s) hereby declare that NO generative AI technologies such as Large Language Models (</w:t>
      </w:r>
      <w:proofErr w:type="spellStart"/>
      <w:r w:rsidRPr="003E47EE">
        <w:rPr>
          <w:rFonts w:ascii="Arial" w:eastAsia="Calibri" w:hAnsi="Arial" w:cs="Arial"/>
          <w:kern w:val="2"/>
          <w:sz w:val="24"/>
          <w:szCs w:val="24"/>
          <w:highlight w:val="yellow"/>
          <w:lang w:val="en-US"/>
        </w:rPr>
        <w:t>ChatGPT</w:t>
      </w:r>
      <w:proofErr w:type="spellEnd"/>
      <w:r w:rsidRPr="003E47EE">
        <w:rPr>
          <w:rFonts w:ascii="Arial" w:eastAsia="Calibri" w:hAnsi="Arial" w:cs="Arial"/>
          <w:kern w:val="2"/>
          <w:sz w:val="24"/>
          <w:szCs w:val="24"/>
          <w:highlight w:val="yellow"/>
          <w:lang w:val="en-US"/>
        </w:rPr>
        <w:t xml:space="preserve">, COPILOT, etc.) and text-to-image generators have been used during the writing or editing of this manuscript. </w:t>
      </w:r>
    </w:p>
    <w:bookmarkEnd w:id="7"/>
    <w:bookmarkEnd w:id="8"/>
    <w:bookmarkEnd w:id="9"/>
    <w:p w14:paraId="7C3F781B" w14:textId="77777777" w:rsidR="00E12F31" w:rsidRPr="00E1487E" w:rsidRDefault="00E12F31" w:rsidP="00703D21">
      <w:pPr>
        <w:jc w:val="both"/>
        <w:rPr>
          <w:rFonts w:ascii="Arial" w:hAnsi="Arial" w:cs="Arial"/>
          <w:sz w:val="24"/>
          <w:szCs w:val="24"/>
        </w:rPr>
      </w:pPr>
    </w:p>
    <w:p w14:paraId="585F20F1" w14:textId="77777777" w:rsidR="00BE562E" w:rsidRPr="00E1487E" w:rsidRDefault="00BE562E" w:rsidP="00E1487E">
      <w:pPr>
        <w:jc w:val="both"/>
        <w:rPr>
          <w:rFonts w:ascii="Arial" w:hAnsi="Arial" w:cs="Arial"/>
          <w:sz w:val="24"/>
          <w:szCs w:val="24"/>
        </w:rPr>
      </w:pPr>
    </w:p>
    <w:p w14:paraId="547FB164" w14:textId="77777777" w:rsidR="00BE562E" w:rsidRDefault="00BE562E">
      <w:pPr>
        <w:rPr>
          <w:rFonts w:ascii="Arial" w:hAnsi="Arial" w:cs="Arial"/>
          <w:sz w:val="24"/>
          <w:szCs w:val="24"/>
        </w:rPr>
      </w:pPr>
      <w:r>
        <w:rPr>
          <w:rFonts w:ascii="Arial" w:hAnsi="Arial" w:cs="Arial"/>
          <w:sz w:val="24"/>
          <w:szCs w:val="24"/>
        </w:rPr>
        <w:br w:type="page"/>
      </w:r>
    </w:p>
    <w:p w14:paraId="41C51C20" w14:textId="77777777" w:rsidR="002171DD" w:rsidRPr="00AE040C" w:rsidRDefault="00BE562E" w:rsidP="00AE040C">
      <w:pPr>
        <w:jc w:val="both"/>
        <w:rPr>
          <w:rFonts w:ascii="Arial" w:hAnsi="Arial" w:cs="Arial"/>
          <w:b/>
          <w:sz w:val="24"/>
          <w:szCs w:val="24"/>
        </w:rPr>
      </w:pPr>
      <w:r w:rsidRPr="00BE562E">
        <w:rPr>
          <w:rFonts w:ascii="Arial" w:hAnsi="Arial" w:cs="Arial"/>
          <w:b/>
          <w:sz w:val="24"/>
          <w:szCs w:val="24"/>
        </w:rPr>
        <w:lastRenderedPageBreak/>
        <w:t>REFERENCE</w:t>
      </w:r>
    </w:p>
    <w:p w14:paraId="2E698625" w14:textId="39A4161E" w:rsidR="00FF08F0" w:rsidRPr="00FF08F0" w:rsidRDefault="00EA7877" w:rsidP="00FF08F0">
      <w:pPr>
        <w:widowControl w:val="0"/>
        <w:autoSpaceDE w:val="0"/>
        <w:autoSpaceDN w:val="0"/>
        <w:adjustRightInd w:val="0"/>
        <w:spacing w:after="0" w:line="240" w:lineRule="auto"/>
        <w:ind w:left="480" w:hanging="480"/>
        <w:rPr>
          <w:rFonts w:ascii="Arial" w:hAnsi="Arial" w:cs="Arial"/>
          <w:noProof/>
          <w:sz w:val="24"/>
          <w:szCs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00FF08F0" w:rsidRPr="00FF08F0">
        <w:rPr>
          <w:rFonts w:ascii="Arial" w:hAnsi="Arial" w:cs="Arial"/>
          <w:noProof/>
          <w:sz w:val="24"/>
          <w:szCs w:val="24"/>
        </w:rPr>
        <w:t xml:space="preserve">Adams, E. U. (2024). The importance of project in underdeveloped countries. </w:t>
      </w:r>
      <w:r w:rsidR="00FF08F0" w:rsidRPr="00FF08F0">
        <w:rPr>
          <w:rFonts w:ascii="Arial" w:hAnsi="Arial" w:cs="Arial"/>
          <w:i/>
          <w:iCs/>
          <w:noProof/>
          <w:sz w:val="24"/>
          <w:szCs w:val="24"/>
        </w:rPr>
        <w:t>Journal of African Studies and Development</w:t>
      </w:r>
      <w:r w:rsidR="00FF08F0" w:rsidRPr="00FF08F0">
        <w:rPr>
          <w:rFonts w:ascii="Arial" w:hAnsi="Arial" w:cs="Arial"/>
          <w:noProof/>
          <w:sz w:val="24"/>
          <w:szCs w:val="24"/>
        </w:rPr>
        <w:t xml:space="preserve">, </w:t>
      </w:r>
      <w:r w:rsidR="00FF08F0" w:rsidRPr="00FF08F0">
        <w:rPr>
          <w:rFonts w:ascii="Arial" w:hAnsi="Arial" w:cs="Arial"/>
          <w:i/>
          <w:iCs/>
          <w:noProof/>
          <w:sz w:val="24"/>
          <w:szCs w:val="24"/>
        </w:rPr>
        <w:t>16</w:t>
      </w:r>
      <w:r w:rsidR="00FF08F0" w:rsidRPr="00FF08F0">
        <w:rPr>
          <w:rFonts w:ascii="Arial" w:hAnsi="Arial" w:cs="Arial"/>
          <w:noProof/>
          <w:sz w:val="24"/>
          <w:szCs w:val="24"/>
        </w:rPr>
        <w:t>(1), 10–24. https://doi.org/10.5897/jasd2023.0692</w:t>
      </w:r>
    </w:p>
    <w:p w14:paraId="214C0173" w14:textId="300400B3"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Aguilar-Gaxiola, S., Ahmed, S., Anise, A., Azzahir, A., Baker, K., Cupito, A., Eder, M., Everette, T. D., Erwin, K., Felzien, M., Freeman, E., Gibbs, D., Greene-Moton, E., Hernandez-Cancio, S., Hwang, A., Jones, F., Jones, G., Jones, M., Khodyakov, D., … Zaldivar, R. (2022). Assessing Meaningful Community Engagement: A Conceptual Model to Advance Health Equity through Transformed Systems for Health. </w:t>
      </w:r>
      <w:r w:rsidRPr="00FF08F0">
        <w:rPr>
          <w:rFonts w:ascii="Arial" w:hAnsi="Arial" w:cs="Arial"/>
          <w:i/>
          <w:iCs/>
          <w:noProof/>
          <w:sz w:val="24"/>
          <w:szCs w:val="24"/>
        </w:rPr>
        <w:t>NAM Perspectives</w:t>
      </w:r>
      <w:r w:rsidRPr="00FF08F0">
        <w:rPr>
          <w:rFonts w:ascii="Arial" w:hAnsi="Arial" w:cs="Arial"/>
          <w:noProof/>
          <w:sz w:val="24"/>
          <w:szCs w:val="24"/>
        </w:rPr>
        <w:t xml:space="preserve">, </w:t>
      </w:r>
      <w:r w:rsidRPr="00FF08F0">
        <w:rPr>
          <w:rFonts w:ascii="Arial" w:hAnsi="Arial" w:cs="Arial"/>
          <w:i/>
          <w:iCs/>
          <w:noProof/>
          <w:sz w:val="24"/>
          <w:szCs w:val="24"/>
        </w:rPr>
        <w:t>22</w:t>
      </w:r>
      <w:r w:rsidRPr="00FF08F0">
        <w:rPr>
          <w:rFonts w:ascii="Arial" w:hAnsi="Arial" w:cs="Arial"/>
          <w:noProof/>
          <w:sz w:val="24"/>
          <w:szCs w:val="24"/>
        </w:rPr>
        <w:t>(2), 1–12. https://doi.org/10.31478/202202c</w:t>
      </w:r>
    </w:p>
    <w:p w14:paraId="7BE0619B"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Arthur, M., Saha, R., &amp; Kapilashrami, A. (2023). Community participation and stakeholder engagement in determining health service coverage: A systematic review and framework synthesis to assess effectiveness. </w:t>
      </w:r>
      <w:r w:rsidRPr="00FF08F0">
        <w:rPr>
          <w:rFonts w:ascii="Arial" w:hAnsi="Arial" w:cs="Arial"/>
          <w:i/>
          <w:iCs/>
          <w:noProof/>
          <w:sz w:val="24"/>
          <w:szCs w:val="24"/>
        </w:rPr>
        <w:t>Journal of Global Health</w:t>
      </w:r>
      <w:r w:rsidRPr="00FF08F0">
        <w:rPr>
          <w:rFonts w:ascii="Arial" w:hAnsi="Arial" w:cs="Arial"/>
          <w:noProof/>
          <w:sz w:val="24"/>
          <w:szCs w:val="24"/>
        </w:rPr>
        <w:t xml:space="preserve">, </w:t>
      </w:r>
      <w:r w:rsidRPr="00FF08F0">
        <w:rPr>
          <w:rFonts w:ascii="Arial" w:hAnsi="Arial" w:cs="Arial"/>
          <w:i/>
          <w:iCs/>
          <w:noProof/>
          <w:sz w:val="24"/>
          <w:szCs w:val="24"/>
        </w:rPr>
        <w:t>13</w:t>
      </w:r>
      <w:r w:rsidRPr="00FF08F0">
        <w:rPr>
          <w:rFonts w:ascii="Arial" w:hAnsi="Arial" w:cs="Arial"/>
          <w:noProof/>
          <w:sz w:val="24"/>
          <w:szCs w:val="24"/>
        </w:rPr>
        <w:t>(3), 1–15. https://doi.org/10.7189/JOGH.13.04034</w:t>
      </w:r>
    </w:p>
    <w:p w14:paraId="6A0D666D"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Awoonor, M. D. (2025). Enhancing Local Governance through Community Participation in Rural Development Projects in Nigeria: Literature Review. </w:t>
      </w:r>
      <w:r w:rsidRPr="00FF08F0">
        <w:rPr>
          <w:rFonts w:ascii="Arial" w:hAnsi="Arial" w:cs="Arial"/>
          <w:i/>
          <w:iCs/>
          <w:noProof/>
          <w:sz w:val="24"/>
          <w:szCs w:val="24"/>
        </w:rPr>
        <w:t>AJIESS</w:t>
      </w:r>
      <w:r w:rsidRPr="00FF08F0">
        <w:rPr>
          <w:rFonts w:ascii="Arial" w:hAnsi="Arial" w:cs="Arial"/>
          <w:noProof/>
          <w:sz w:val="24"/>
          <w:szCs w:val="24"/>
        </w:rPr>
        <w:t xml:space="preserve">, </w:t>
      </w:r>
      <w:r w:rsidRPr="00FF08F0">
        <w:rPr>
          <w:rFonts w:ascii="Arial" w:hAnsi="Arial" w:cs="Arial"/>
          <w:i/>
          <w:iCs/>
          <w:noProof/>
          <w:sz w:val="24"/>
          <w:szCs w:val="24"/>
        </w:rPr>
        <w:t>2</w:t>
      </w:r>
      <w:r w:rsidRPr="00FF08F0">
        <w:rPr>
          <w:rFonts w:ascii="Arial" w:hAnsi="Arial" w:cs="Arial"/>
          <w:noProof/>
          <w:sz w:val="24"/>
          <w:szCs w:val="24"/>
        </w:rPr>
        <w:t>(3), 1–8.</w:t>
      </w:r>
    </w:p>
    <w:p w14:paraId="1F1F4BD3"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Baxter, S., Barnes, A., Lee, C., Mead, R., &amp; Clowes, M. (2023). Increasing public participation and influence in local decision-making to address social determinants of health: a systematic review examining initiatives and theories. </w:t>
      </w:r>
      <w:r w:rsidRPr="00FF08F0">
        <w:rPr>
          <w:rFonts w:ascii="Arial" w:hAnsi="Arial" w:cs="Arial"/>
          <w:i/>
          <w:iCs/>
          <w:noProof/>
          <w:sz w:val="24"/>
          <w:szCs w:val="24"/>
        </w:rPr>
        <w:t>Local Government Studies</w:t>
      </w:r>
      <w:r w:rsidRPr="00FF08F0">
        <w:rPr>
          <w:rFonts w:ascii="Arial" w:hAnsi="Arial" w:cs="Arial"/>
          <w:noProof/>
          <w:sz w:val="24"/>
          <w:szCs w:val="24"/>
        </w:rPr>
        <w:t xml:space="preserve">, </w:t>
      </w:r>
      <w:r w:rsidRPr="00FF08F0">
        <w:rPr>
          <w:rFonts w:ascii="Arial" w:hAnsi="Arial" w:cs="Arial"/>
          <w:i/>
          <w:iCs/>
          <w:noProof/>
          <w:sz w:val="24"/>
          <w:szCs w:val="24"/>
        </w:rPr>
        <w:t>49</w:t>
      </w:r>
      <w:r w:rsidRPr="00FF08F0">
        <w:rPr>
          <w:rFonts w:ascii="Arial" w:hAnsi="Arial" w:cs="Arial"/>
          <w:noProof/>
          <w:sz w:val="24"/>
          <w:szCs w:val="24"/>
        </w:rPr>
        <w:t>(5), 861–887. https://doi.org/10.1080/03003930.2022.2081551</w:t>
      </w:r>
    </w:p>
    <w:p w14:paraId="0EACAA88"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Bell, K., &amp; Reed, M. (2021). The tree of participation: a new model for inclusive decision-making. </w:t>
      </w:r>
      <w:r w:rsidRPr="00FF08F0">
        <w:rPr>
          <w:rFonts w:ascii="Arial" w:hAnsi="Arial" w:cs="Arial"/>
          <w:i/>
          <w:iCs/>
          <w:noProof/>
          <w:sz w:val="24"/>
          <w:szCs w:val="24"/>
        </w:rPr>
        <w:t>Community Development Journal</w:t>
      </w:r>
      <w:r w:rsidRPr="00FF08F0">
        <w:rPr>
          <w:rFonts w:ascii="Arial" w:hAnsi="Arial" w:cs="Arial"/>
          <w:noProof/>
          <w:sz w:val="24"/>
          <w:szCs w:val="24"/>
        </w:rPr>
        <w:t xml:space="preserve">, </w:t>
      </w:r>
      <w:r w:rsidRPr="00FF08F0">
        <w:rPr>
          <w:rFonts w:ascii="Arial" w:hAnsi="Arial" w:cs="Arial"/>
          <w:i/>
          <w:iCs/>
          <w:noProof/>
          <w:sz w:val="24"/>
          <w:szCs w:val="24"/>
        </w:rPr>
        <w:t>57</w:t>
      </w:r>
      <w:r w:rsidRPr="00FF08F0">
        <w:rPr>
          <w:rFonts w:ascii="Arial" w:hAnsi="Arial" w:cs="Arial"/>
          <w:noProof/>
          <w:sz w:val="24"/>
          <w:szCs w:val="24"/>
        </w:rPr>
        <w:t>(4), 595–614. https://doi.org/10.1093/cdj/bsab018</w:t>
      </w:r>
    </w:p>
    <w:p w14:paraId="1116E4D2"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Bergdahl, N., Nouri, J., &amp; Fors, U. (2020). Disengagement, engagement and digital skills in technology-enhanced learning. </w:t>
      </w:r>
      <w:r w:rsidRPr="00FF08F0">
        <w:rPr>
          <w:rFonts w:ascii="Arial" w:hAnsi="Arial" w:cs="Arial"/>
          <w:i/>
          <w:iCs/>
          <w:noProof/>
          <w:sz w:val="24"/>
          <w:szCs w:val="24"/>
        </w:rPr>
        <w:t>Education and Information Technologies</w:t>
      </w:r>
      <w:r w:rsidRPr="00FF08F0">
        <w:rPr>
          <w:rFonts w:ascii="Arial" w:hAnsi="Arial" w:cs="Arial"/>
          <w:noProof/>
          <w:sz w:val="24"/>
          <w:szCs w:val="24"/>
        </w:rPr>
        <w:t xml:space="preserve">, </w:t>
      </w:r>
      <w:r w:rsidRPr="00FF08F0">
        <w:rPr>
          <w:rFonts w:ascii="Arial" w:hAnsi="Arial" w:cs="Arial"/>
          <w:i/>
          <w:iCs/>
          <w:noProof/>
          <w:sz w:val="24"/>
          <w:szCs w:val="24"/>
        </w:rPr>
        <w:t>25</w:t>
      </w:r>
      <w:r w:rsidRPr="00FF08F0">
        <w:rPr>
          <w:rFonts w:ascii="Arial" w:hAnsi="Arial" w:cs="Arial"/>
          <w:noProof/>
          <w:sz w:val="24"/>
          <w:szCs w:val="24"/>
        </w:rPr>
        <w:t>(2), 957–983. https://doi.org/10.1007/s10639-019-09998-w</w:t>
      </w:r>
    </w:p>
    <w:p w14:paraId="365515B8"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Chakrabartty, S. N. (2020). Combining Likert Items With Different Number of Response Categories. </w:t>
      </w:r>
      <w:r w:rsidRPr="00FF08F0">
        <w:rPr>
          <w:rFonts w:ascii="Arial" w:hAnsi="Arial" w:cs="Arial"/>
          <w:i/>
          <w:iCs/>
          <w:noProof/>
          <w:sz w:val="24"/>
          <w:szCs w:val="24"/>
        </w:rPr>
        <w:t>Proceedings on Engineering Sciences</w:t>
      </w:r>
      <w:r w:rsidRPr="00FF08F0">
        <w:rPr>
          <w:rFonts w:ascii="Arial" w:hAnsi="Arial" w:cs="Arial"/>
          <w:noProof/>
          <w:sz w:val="24"/>
          <w:szCs w:val="24"/>
        </w:rPr>
        <w:t xml:space="preserve">, </w:t>
      </w:r>
      <w:r w:rsidRPr="00FF08F0">
        <w:rPr>
          <w:rFonts w:ascii="Arial" w:hAnsi="Arial" w:cs="Arial"/>
          <w:i/>
          <w:iCs/>
          <w:noProof/>
          <w:sz w:val="24"/>
          <w:szCs w:val="24"/>
        </w:rPr>
        <w:t>2</w:t>
      </w:r>
      <w:r w:rsidRPr="00FF08F0">
        <w:rPr>
          <w:rFonts w:ascii="Arial" w:hAnsi="Arial" w:cs="Arial"/>
          <w:noProof/>
          <w:sz w:val="24"/>
          <w:szCs w:val="24"/>
        </w:rPr>
        <w:t>(3), 311–322. https://doi.org/10.24874/PES02.03.010</w:t>
      </w:r>
    </w:p>
    <w:p w14:paraId="792F0DFB"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Djomkam, J. B. C., &amp; Ehowa, H. B. F. (2023). Road network and development: Assessing the significance of road infrastructures in the economic and social development of Melong. </w:t>
      </w:r>
      <w:r w:rsidRPr="00FF08F0">
        <w:rPr>
          <w:rFonts w:ascii="Arial" w:hAnsi="Arial" w:cs="Arial"/>
          <w:i/>
          <w:iCs/>
          <w:noProof/>
          <w:sz w:val="24"/>
          <w:szCs w:val="24"/>
        </w:rPr>
        <w:t>L’Afrique Face à Ses Défis Géopolitiques</w:t>
      </w:r>
      <w:r w:rsidRPr="00FF08F0">
        <w:rPr>
          <w:rFonts w:ascii="Arial" w:hAnsi="Arial" w:cs="Arial"/>
          <w:noProof/>
          <w:sz w:val="24"/>
          <w:szCs w:val="24"/>
        </w:rPr>
        <w:t xml:space="preserve">, </w:t>
      </w:r>
      <w:r w:rsidRPr="00FF08F0">
        <w:rPr>
          <w:rFonts w:ascii="Arial" w:hAnsi="Arial" w:cs="Arial"/>
          <w:i/>
          <w:iCs/>
          <w:noProof/>
          <w:sz w:val="24"/>
          <w:szCs w:val="24"/>
        </w:rPr>
        <w:t>4</w:t>
      </w:r>
      <w:r w:rsidRPr="00FF08F0">
        <w:rPr>
          <w:rFonts w:ascii="Arial" w:hAnsi="Arial" w:cs="Arial"/>
          <w:noProof/>
          <w:sz w:val="24"/>
          <w:szCs w:val="24"/>
        </w:rPr>
        <w:t>(5), 157–178.</w:t>
      </w:r>
    </w:p>
    <w:p w14:paraId="1D3843BB"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Dobbin, K. B. (2020). “Good Luck Fixing the Problem”: Small Low-Income Community Participation in Collaborative Groundwater Governance and Implications for Drinking Water Source Protection. </w:t>
      </w:r>
      <w:r w:rsidRPr="00FF08F0">
        <w:rPr>
          <w:rFonts w:ascii="Arial" w:hAnsi="Arial" w:cs="Arial"/>
          <w:i/>
          <w:iCs/>
          <w:noProof/>
          <w:sz w:val="24"/>
          <w:szCs w:val="24"/>
        </w:rPr>
        <w:t>Society and Natural Resources</w:t>
      </w:r>
      <w:r w:rsidRPr="00FF08F0">
        <w:rPr>
          <w:rFonts w:ascii="Arial" w:hAnsi="Arial" w:cs="Arial"/>
          <w:noProof/>
          <w:sz w:val="24"/>
          <w:szCs w:val="24"/>
        </w:rPr>
        <w:t xml:space="preserve">, </w:t>
      </w:r>
      <w:r w:rsidRPr="00FF08F0">
        <w:rPr>
          <w:rFonts w:ascii="Arial" w:hAnsi="Arial" w:cs="Arial"/>
          <w:i/>
          <w:iCs/>
          <w:noProof/>
          <w:sz w:val="24"/>
          <w:szCs w:val="24"/>
        </w:rPr>
        <w:t>33</w:t>
      </w:r>
      <w:r w:rsidRPr="00FF08F0">
        <w:rPr>
          <w:rFonts w:ascii="Arial" w:hAnsi="Arial" w:cs="Arial"/>
          <w:noProof/>
          <w:sz w:val="24"/>
          <w:szCs w:val="24"/>
        </w:rPr>
        <w:t>(12), 1468–1485. https://doi.org/10.1080/08941920.2020.1772925</w:t>
      </w:r>
    </w:p>
    <w:p w14:paraId="128B25FE"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Fry, A., Clifford-Holmes, J., &amp; Palmer, C. (2024). A systemic analysis of participatory land and water governance in the Tsitsa River Catchment, South Africa. </w:t>
      </w:r>
      <w:r w:rsidRPr="00FF08F0">
        <w:rPr>
          <w:rFonts w:ascii="Arial" w:hAnsi="Arial" w:cs="Arial"/>
          <w:i/>
          <w:iCs/>
          <w:noProof/>
          <w:sz w:val="24"/>
          <w:szCs w:val="24"/>
        </w:rPr>
        <w:t>Systems Research and Behavioral Science</w:t>
      </w:r>
      <w:r w:rsidRPr="00FF08F0">
        <w:rPr>
          <w:rFonts w:ascii="Arial" w:hAnsi="Arial" w:cs="Arial"/>
          <w:noProof/>
          <w:sz w:val="24"/>
          <w:szCs w:val="24"/>
        </w:rPr>
        <w:t xml:space="preserve">, </w:t>
      </w:r>
      <w:r w:rsidRPr="00FF08F0">
        <w:rPr>
          <w:rFonts w:ascii="Arial" w:hAnsi="Arial" w:cs="Arial"/>
          <w:i/>
          <w:iCs/>
          <w:noProof/>
          <w:sz w:val="24"/>
          <w:szCs w:val="24"/>
        </w:rPr>
        <w:t>41</w:t>
      </w:r>
      <w:r w:rsidRPr="00FF08F0">
        <w:rPr>
          <w:rFonts w:ascii="Arial" w:hAnsi="Arial" w:cs="Arial"/>
          <w:noProof/>
          <w:sz w:val="24"/>
          <w:szCs w:val="24"/>
        </w:rPr>
        <w:t>(5), 771–787. https://doi.org/10.1002/sres.3051</w:t>
      </w:r>
    </w:p>
    <w:p w14:paraId="7F3D3891"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Ibanga, S. E., &amp; Akpan, A. M. (2024). Road infrastructure and socio-economic development in Akwa Ibom State, Nigeria. </w:t>
      </w:r>
      <w:r w:rsidRPr="00FF08F0">
        <w:rPr>
          <w:rFonts w:ascii="Arial" w:hAnsi="Arial" w:cs="Arial"/>
          <w:i/>
          <w:iCs/>
          <w:noProof/>
          <w:sz w:val="24"/>
          <w:szCs w:val="24"/>
        </w:rPr>
        <w:t>Admiralty Journal of Multidisciplinary Research</w:t>
      </w:r>
      <w:r w:rsidRPr="00FF08F0">
        <w:rPr>
          <w:rFonts w:ascii="Arial" w:hAnsi="Arial" w:cs="Arial"/>
          <w:noProof/>
          <w:sz w:val="24"/>
          <w:szCs w:val="24"/>
        </w:rPr>
        <w:t xml:space="preserve">, </w:t>
      </w:r>
      <w:r w:rsidRPr="00FF08F0">
        <w:rPr>
          <w:rFonts w:ascii="Arial" w:hAnsi="Arial" w:cs="Arial"/>
          <w:i/>
          <w:iCs/>
          <w:noProof/>
          <w:sz w:val="24"/>
          <w:szCs w:val="24"/>
        </w:rPr>
        <w:t>1</w:t>
      </w:r>
      <w:r w:rsidRPr="00FF08F0">
        <w:rPr>
          <w:rFonts w:ascii="Arial" w:hAnsi="Arial" w:cs="Arial"/>
          <w:noProof/>
          <w:sz w:val="24"/>
          <w:szCs w:val="24"/>
        </w:rPr>
        <w:t>(2), 351–367.</w:t>
      </w:r>
    </w:p>
    <w:p w14:paraId="6AB014D3"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Islam, S. (2025). Public Finance and Policy Effectiveness a Review of Participatory </w:t>
      </w:r>
      <w:r w:rsidRPr="00FF08F0">
        <w:rPr>
          <w:rFonts w:ascii="Arial" w:hAnsi="Arial" w:cs="Arial"/>
          <w:noProof/>
          <w:sz w:val="24"/>
          <w:szCs w:val="24"/>
        </w:rPr>
        <w:lastRenderedPageBreak/>
        <w:t xml:space="preserve">Budgeting in Local Governance Systems. </w:t>
      </w:r>
      <w:r w:rsidRPr="00FF08F0">
        <w:rPr>
          <w:rFonts w:ascii="Arial" w:hAnsi="Arial" w:cs="Arial"/>
          <w:i/>
          <w:iCs/>
          <w:noProof/>
          <w:sz w:val="24"/>
          <w:szCs w:val="24"/>
        </w:rPr>
        <w:t>Journal of Sustainable Development and Policy</w:t>
      </w:r>
      <w:r w:rsidRPr="00FF08F0">
        <w:rPr>
          <w:rFonts w:ascii="Arial" w:hAnsi="Arial" w:cs="Arial"/>
          <w:noProof/>
          <w:sz w:val="24"/>
          <w:szCs w:val="24"/>
        </w:rPr>
        <w:t xml:space="preserve">, </w:t>
      </w:r>
      <w:r w:rsidRPr="00FF08F0">
        <w:rPr>
          <w:rFonts w:ascii="Arial" w:hAnsi="Arial" w:cs="Arial"/>
          <w:i/>
          <w:iCs/>
          <w:noProof/>
          <w:sz w:val="24"/>
          <w:szCs w:val="24"/>
        </w:rPr>
        <w:t>01</w:t>
      </w:r>
      <w:r w:rsidRPr="00FF08F0">
        <w:rPr>
          <w:rFonts w:ascii="Arial" w:hAnsi="Arial" w:cs="Arial"/>
          <w:noProof/>
          <w:sz w:val="24"/>
          <w:szCs w:val="24"/>
        </w:rPr>
        <w:t>(01), 115–143. https://doi.org/10.63125/p3p09p46</w:t>
      </w:r>
    </w:p>
    <w:p w14:paraId="001BD020"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Islam, S., &amp; Khan, M. N. I. (2022). Project Impact Assessment Frameworks in Nonprofit Development: a Review of Case Studies From South Asia. </w:t>
      </w:r>
      <w:r w:rsidRPr="00FF08F0">
        <w:rPr>
          <w:rFonts w:ascii="Arial" w:hAnsi="Arial" w:cs="Arial"/>
          <w:i/>
          <w:iCs/>
          <w:noProof/>
          <w:sz w:val="24"/>
          <w:szCs w:val="24"/>
        </w:rPr>
        <w:t>American Journal of Scholarly Research and Innovation</w:t>
      </w:r>
      <w:r w:rsidRPr="00FF08F0">
        <w:rPr>
          <w:rFonts w:ascii="Arial" w:hAnsi="Arial" w:cs="Arial"/>
          <w:noProof/>
          <w:sz w:val="24"/>
          <w:szCs w:val="24"/>
        </w:rPr>
        <w:t xml:space="preserve">, </w:t>
      </w:r>
      <w:r w:rsidRPr="00FF08F0">
        <w:rPr>
          <w:rFonts w:ascii="Arial" w:hAnsi="Arial" w:cs="Arial"/>
          <w:i/>
          <w:iCs/>
          <w:noProof/>
          <w:sz w:val="24"/>
          <w:szCs w:val="24"/>
        </w:rPr>
        <w:t>01</w:t>
      </w:r>
      <w:r w:rsidRPr="00FF08F0">
        <w:rPr>
          <w:rFonts w:ascii="Arial" w:hAnsi="Arial" w:cs="Arial"/>
          <w:noProof/>
          <w:sz w:val="24"/>
          <w:szCs w:val="24"/>
        </w:rPr>
        <w:t>(01), 270–294. https://doi.org/10.63125/eeja0t77</w:t>
      </w:r>
    </w:p>
    <w:p w14:paraId="460C1D90"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Jain, V. (2021). Planning Strategy &amp; Policy Imperatives. In </w:t>
      </w:r>
      <w:r w:rsidRPr="00FF08F0">
        <w:rPr>
          <w:rFonts w:ascii="Arial" w:hAnsi="Arial" w:cs="Arial"/>
          <w:i/>
          <w:iCs/>
          <w:noProof/>
          <w:sz w:val="24"/>
          <w:szCs w:val="24"/>
        </w:rPr>
        <w:t>Rural Development: Planning Strategy &amp; Policy Imperatives</w:t>
      </w:r>
      <w:r w:rsidRPr="00FF08F0">
        <w:rPr>
          <w:rFonts w:ascii="Arial" w:hAnsi="Arial" w:cs="Arial"/>
          <w:noProof/>
          <w:sz w:val="24"/>
          <w:szCs w:val="24"/>
        </w:rPr>
        <w:t xml:space="preserve"> (p. 120).</w:t>
      </w:r>
    </w:p>
    <w:p w14:paraId="59D6F128"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Kaiser, N., &amp; Barstow, C. K. (2022). Rural Transportation Infrastructure in Low-and Middle-Income Countries: A Review of Impacts, Implications, and Interventions. </w:t>
      </w:r>
      <w:r w:rsidRPr="00FF08F0">
        <w:rPr>
          <w:rFonts w:ascii="Arial" w:hAnsi="Arial" w:cs="Arial"/>
          <w:i/>
          <w:iCs/>
          <w:noProof/>
          <w:sz w:val="24"/>
          <w:szCs w:val="24"/>
        </w:rPr>
        <w:t>Sustainability (Switzerland)</w:t>
      </w:r>
      <w:r w:rsidRPr="00FF08F0">
        <w:rPr>
          <w:rFonts w:ascii="Arial" w:hAnsi="Arial" w:cs="Arial"/>
          <w:noProof/>
          <w:sz w:val="24"/>
          <w:szCs w:val="24"/>
        </w:rPr>
        <w:t xml:space="preserve">, </w:t>
      </w:r>
      <w:r w:rsidRPr="00FF08F0">
        <w:rPr>
          <w:rFonts w:ascii="Arial" w:hAnsi="Arial" w:cs="Arial"/>
          <w:i/>
          <w:iCs/>
          <w:noProof/>
          <w:sz w:val="24"/>
          <w:szCs w:val="24"/>
        </w:rPr>
        <w:t>14</w:t>
      </w:r>
      <w:r w:rsidRPr="00FF08F0">
        <w:rPr>
          <w:rFonts w:ascii="Arial" w:hAnsi="Arial" w:cs="Arial"/>
          <w:noProof/>
          <w:sz w:val="24"/>
          <w:szCs w:val="24"/>
        </w:rPr>
        <w:t>(4), 1–48. https://doi.org/10.3390/su14042149</w:t>
      </w:r>
    </w:p>
    <w:p w14:paraId="25EE7D93"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Khodyakov, D., Stockdale, S., Jones, A., Mango, J., Jones, F., &amp; Lizaola, E. (2013). On Measuring Community Participation in Research. </w:t>
      </w:r>
      <w:r w:rsidRPr="00FF08F0">
        <w:rPr>
          <w:rFonts w:ascii="Arial" w:hAnsi="Arial" w:cs="Arial"/>
          <w:i/>
          <w:iCs/>
          <w:noProof/>
          <w:sz w:val="24"/>
          <w:szCs w:val="24"/>
        </w:rPr>
        <w:t>Health Education and Behavior</w:t>
      </w:r>
      <w:r w:rsidRPr="00FF08F0">
        <w:rPr>
          <w:rFonts w:ascii="Arial" w:hAnsi="Arial" w:cs="Arial"/>
          <w:noProof/>
          <w:sz w:val="24"/>
          <w:szCs w:val="24"/>
        </w:rPr>
        <w:t xml:space="preserve">, </w:t>
      </w:r>
      <w:r w:rsidRPr="00FF08F0">
        <w:rPr>
          <w:rFonts w:ascii="Arial" w:hAnsi="Arial" w:cs="Arial"/>
          <w:i/>
          <w:iCs/>
          <w:noProof/>
          <w:sz w:val="24"/>
          <w:szCs w:val="24"/>
        </w:rPr>
        <w:t>40</w:t>
      </w:r>
      <w:r w:rsidRPr="00FF08F0">
        <w:rPr>
          <w:rFonts w:ascii="Arial" w:hAnsi="Arial" w:cs="Arial"/>
          <w:noProof/>
          <w:sz w:val="24"/>
          <w:szCs w:val="24"/>
        </w:rPr>
        <w:t>(3), 346–354. https://doi.org/10.1177/1090198112459050</w:t>
      </w:r>
    </w:p>
    <w:p w14:paraId="49543569"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Kiss, B., Sekulova, F., Hörschelmann, K., Salk, C. F., &amp; Christine, W. W. T. (2021). Citizen participation in the governance of nature-based solutions. </w:t>
      </w:r>
      <w:r w:rsidRPr="00FF08F0">
        <w:rPr>
          <w:rFonts w:ascii="Arial" w:hAnsi="Arial" w:cs="Arial"/>
          <w:i/>
          <w:iCs/>
          <w:noProof/>
          <w:sz w:val="24"/>
          <w:szCs w:val="24"/>
        </w:rPr>
        <w:t>Environmental Policy and Governance</w:t>
      </w:r>
      <w:r w:rsidRPr="00FF08F0">
        <w:rPr>
          <w:rFonts w:ascii="Arial" w:hAnsi="Arial" w:cs="Arial"/>
          <w:noProof/>
          <w:sz w:val="24"/>
          <w:szCs w:val="24"/>
        </w:rPr>
        <w:t xml:space="preserve">, </w:t>
      </w:r>
      <w:r w:rsidRPr="00FF08F0">
        <w:rPr>
          <w:rFonts w:ascii="Arial" w:hAnsi="Arial" w:cs="Arial"/>
          <w:i/>
          <w:iCs/>
          <w:noProof/>
          <w:sz w:val="24"/>
          <w:szCs w:val="24"/>
        </w:rPr>
        <w:t>1</w:t>
      </w:r>
      <w:r w:rsidRPr="00FF08F0">
        <w:rPr>
          <w:rFonts w:ascii="Arial" w:hAnsi="Arial" w:cs="Arial"/>
          <w:noProof/>
          <w:sz w:val="24"/>
          <w:szCs w:val="24"/>
        </w:rPr>
        <w:t>(3), 1–26.</w:t>
      </w:r>
    </w:p>
    <w:p w14:paraId="3E91E226"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Koomson, P. (2024). Involvement: A bidirectional perspective on participatory approaches for development and social change. </w:t>
      </w:r>
      <w:r w:rsidRPr="00FF08F0">
        <w:rPr>
          <w:rFonts w:ascii="Arial" w:hAnsi="Arial" w:cs="Arial"/>
          <w:i/>
          <w:iCs/>
          <w:noProof/>
          <w:sz w:val="24"/>
          <w:szCs w:val="24"/>
        </w:rPr>
        <w:t>Development in Practice</w:t>
      </w:r>
      <w:r w:rsidRPr="00FF08F0">
        <w:rPr>
          <w:rFonts w:ascii="Arial" w:hAnsi="Arial" w:cs="Arial"/>
          <w:noProof/>
          <w:sz w:val="24"/>
          <w:szCs w:val="24"/>
        </w:rPr>
        <w:t xml:space="preserve">, </w:t>
      </w:r>
      <w:r w:rsidRPr="00FF08F0">
        <w:rPr>
          <w:rFonts w:ascii="Arial" w:hAnsi="Arial" w:cs="Arial"/>
          <w:i/>
          <w:iCs/>
          <w:noProof/>
          <w:sz w:val="24"/>
          <w:szCs w:val="24"/>
        </w:rPr>
        <w:t>34</w:t>
      </w:r>
      <w:r w:rsidRPr="00FF08F0">
        <w:rPr>
          <w:rFonts w:ascii="Arial" w:hAnsi="Arial" w:cs="Arial"/>
          <w:noProof/>
          <w:sz w:val="24"/>
          <w:szCs w:val="24"/>
        </w:rPr>
        <w:t>(8), 1058–1070. https://doi.org/10.1080/09614524.2024.2354473</w:t>
      </w:r>
    </w:p>
    <w:p w14:paraId="7D9D9FF2"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Lamhamedi, B. E. H., &amp; de Vries, W. T. (2024). Comparative analysis of rural communities’ tradeoffs in large-scale and small-scale renewable energy projects in Kenya. </w:t>
      </w:r>
      <w:r w:rsidRPr="00FF08F0">
        <w:rPr>
          <w:rFonts w:ascii="Arial" w:hAnsi="Arial" w:cs="Arial"/>
          <w:i/>
          <w:iCs/>
          <w:noProof/>
          <w:sz w:val="24"/>
          <w:szCs w:val="24"/>
        </w:rPr>
        <w:t>Discover Sustainability</w:t>
      </w:r>
      <w:r w:rsidRPr="00FF08F0">
        <w:rPr>
          <w:rFonts w:ascii="Arial" w:hAnsi="Arial" w:cs="Arial"/>
          <w:noProof/>
          <w:sz w:val="24"/>
          <w:szCs w:val="24"/>
        </w:rPr>
        <w:t xml:space="preserve">, </w:t>
      </w:r>
      <w:r w:rsidRPr="00FF08F0">
        <w:rPr>
          <w:rFonts w:ascii="Arial" w:hAnsi="Arial" w:cs="Arial"/>
          <w:i/>
          <w:iCs/>
          <w:noProof/>
          <w:sz w:val="24"/>
          <w:szCs w:val="24"/>
        </w:rPr>
        <w:t>5</w:t>
      </w:r>
      <w:r w:rsidRPr="00FF08F0">
        <w:rPr>
          <w:rFonts w:ascii="Arial" w:hAnsi="Arial" w:cs="Arial"/>
          <w:noProof/>
          <w:sz w:val="24"/>
          <w:szCs w:val="24"/>
        </w:rPr>
        <w:t>(1), 1–18. https://doi.org/10.1007/s43621-024-00637-0</w:t>
      </w:r>
    </w:p>
    <w:p w14:paraId="230E0672"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Mesok, E. (2022). Counterinsurgency, community participation, and the preventing and countering violent extremism agenda in Kenya. </w:t>
      </w:r>
      <w:r w:rsidRPr="00FF08F0">
        <w:rPr>
          <w:rFonts w:ascii="Arial" w:hAnsi="Arial" w:cs="Arial"/>
          <w:i/>
          <w:iCs/>
          <w:noProof/>
          <w:sz w:val="24"/>
          <w:szCs w:val="24"/>
        </w:rPr>
        <w:t>Small Wars and Insurgencies</w:t>
      </w:r>
      <w:r w:rsidRPr="00FF08F0">
        <w:rPr>
          <w:rFonts w:ascii="Arial" w:hAnsi="Arial" w:cs="Arial"/>
          <w:noProof/>
          <w:sz w:val="24"/>
          <w:szCs w:val="24"/>
        </w:rPr>
        <w:t xml:space="preserve">, </w:t>
      </w:r>
      <w:r w:rsidRPr="00FF08F0">
        <w:rPr>
          <w:rFonts w:ascii="Arial" w:hAnsi="Arial" w:cs="Arial"/>
          <w:i/>
          <w:iCs/>
          <w:noProof/>
          <w:sz w:val="24"/>
          <w:szCs w:val="24"/>
        </w:rPr>
        <w:t>33</w:t>
      </w:r>
      <w:r w:rsidRPr="00FF08F0">
        <w:rPr>
          <w:rFonts w:ascii="Arial" w:hAnsi="Arial" w:cs="Arial"/>
          <w:noProof/>
          <w:sz w:val="24"/>
          <w:szCs w:val="24"/>
        </w:rPr>
        <w:t>(4–5), 720–741. https://doi.org/10.1080/09592318.2022.2037908</w:t>
      </w:r>
    </w:p>
    <w:p w14:paraId="6C19FCE2"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Moreri, K. K. (2020). Documenting informal and customary land rights in Africa Challenges of using participatory means. </w:t>
      </w:r>
      <w:r w:rsidRPr="00FF08F0">
        <w:rPr>
          <w:rFonts w:ascii="Arial" w:hAnsi="Arial" w:cs="Arial"/>
          <w:i/>
          <w:iCs/>
          <w:noProof/>
          <w:sz w:val="24"/>
          <w:szCs w:val="24"/>
        </w:rPr>
        <w:t>African Journal on Land Policy and Geospatial Sciences</w:t>
      </w:r>
      <w:r w:rsidRPr="00FF08F0">
        <w:rPr>
          <w:rFonts w:ascii="Arial" w:hAnsi="Arial" w:cs="Arial"/>
          <w:noProof/>
          <w:sz w:val="24"/>
          <w:szCs w:val="24"/>
        </w:rPr>
        <w:t xml:space="preserve">, </w:t>
      </w:r>
      <w:r w:rsidRPr="00FF08F0">
        <w:rPr>
          <w:rFonts w:ascii="Arial" w:hAnsi="Arial" w:cs="Arial"/>
          <w:i/>
          <w:iCs/>
          <w:noProof/>
          <w:sz w:val="24"/>
          <w:szCs w:val="24"/>
        </w:rPr>
        <w:t>3</w:t>
      </w:r>
      <w:r w:rsidRPr="00FF08F0">
        <w:rPr>
          <w:rFonts w:ascii="Arial" w:hAnsi="Arial" w:cs="Arial"/>
          <w:noProof/>
          <w:sz w:val="24"/>
          <w:szCs w:val="24"/>
        </w:rPr>
        <w:t>(2), 18. file:///F:/Spec 2/Traffic Delay Model.pdf</w:t>
      </w:r>
    </w:p>
    <w:p w14:paraId="3C075028"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Muluk, M. R. K., Danar, O. R., &amp; Rahmawati, L. (2020). Community Participation and Development Planning in Local Government Level: A Study on the Formulation of Batu City Medium-Term Development Plan. </w:t>
      </w:r>
      <w:r w:rsidRPr="00FF08F0">
        <w:rPr>
          <w:rFonts w:ascii="Arial" w:hAnsi="Arial" w:cs="Arial"/>
          <w:i/>
          <w:iCs/>
          <w:noProof/>
          <w:sz w:val="24"/>
          <w:szCs w:val="24"/>
        </w:rPr>
        <w:t>Bisnis &amp; Birokrasi Journal</w:t>
      </w:r>
      <w:r w:rsidRPr="00FF08F0">
        <w:rPr>
          <w:rFonts w:ascii="Arial" w:hAnsi="Arial" w:cs="Arial"/>
          <w:noProof/>
          <w:sz w:val="24"/>
          <w:szCs w:val="24"/>
        </w:rPr>
        <w:t xml:space="preserve">, </w:t>
      </w:r>
      <w:r w:rsidRPr="00FF08F0">
        <w:rPr>
          <w:rFonts w:ascii="Arial" w:hAnsi="Arial" w:cs="Arial"/>
          <w:i/>
          <w:iCs/>
          <w:noProof/>
          <w:sz w:val="24"/>
          <w:szCs w:val="24"/>
        </w:rPr>
        <w:t>26</w:t>
      </w:r>
      <w:r w:rsidRPr="00FF08F0">
        <w:rPr>
          <w:rFonts w:ascii="Arial" w:hAnsi="Arial" w:cs="Arial"/>
          <w:noProof/>
          <w:sz w:val="24"/>
          <w:szCs w:val="24"/>
        </w:rPr>
        <w:t>(3), 1–9. https://doi.org/10.20476/jbb.v26i3.11145</w:t>
      </w:r>
    </w:p>
    <w:p w14:paraId="7F9AD14A"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Ngezahayo, E., Burrow, M., &amp; Ghataora, G. (2019). Rural Roads –roles, challenges and solutions for Sub-Saharan Africa’s sustainable development. </w:t>
      </w:r>
      <w:r w:rsidRPr="00FF08F0">
        <w:rPr>
          <w:rFonts w:ascii="Arial" w:hAnsi="Arial" w:cs="Arial"/>
          <w:i/>
          <w:iCs/>
          <w:noProof/>
          <w:sz w:val="24"/>
          <w:szCs w:val="24"/>
        </w:rPr>
        <w:t>International Journal of Latest Engineering and Management Research (IJLEMR)</w:t>
      </w:r>
      <w:r w:rsidRPr="00FF08F0">
        <w:rPr>
          <w:rFonts w:ascii="Arial" w:hAnsi="Arial" w:cs="Arial"/>
          <w:noProof/>
          <w:sz w:val="24"/>
          <w:szCs w:val="24"/>
        </w:rPr>
        <w:t xml:space="preserve">, </w:t>
      </w:r>
      <w:r w:rsidRPr="00FF08F0">
        <w:rPr>
          <w:rFonts w:ascii="Arial" w:hAnsi="Arial" w:cs="Arial"/>
          <w:i/>
          <w:iCs/>
          <w:noProof/>
          <w:sz w:val="24"/>
          <w:szCs w:val="24"/>
        </w:rPr>
        <w:t>04</w:t>
      </w:r>
      <w:r w:rsidRPr="00FF08F0">
        <w:rPr>
          <w:rFonts w:ascii="Arial" w:hAnsi="Arial" w:cs="Arial"/>
          <w:noProof/>
          <w:sz w:val="24"/>
          <w:szCs w:val="24"/>
        </w:rPr>
        <w:t>(10), 70–79. https://www.researchgate.net/publication/338209974_Rural_Roads_-roles_challenges_and_solutions_for_Sub-Saharan_Africa%27s_sustainable_development</w:t>
      </w:r>
    </w:p>
    <w:p w14:paraId="715BFE03"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Ong, C. H., Pham, B. L., Levasseur, M., Tan, G. R., &amp; Seah, B. (2024). Sex and gender differences in social participation among community-dwelling older adults: a systematic review. </w:t>
      </w:r>
      <w:r w:rsidRPr="00FF08F0">
        <w:rPr>
          <w:rFonts w:ascii="Arial" w:hAnsi="Arial" w:cs="Arial"/>
          <w:i/>
          <w:iCs/>
          <w:noProof/>
          <w:sz w:val="24"/>
          <w:szCs w:val="24"/>
        </w:rPr>
        <w:t>Frontiers in Public Health</w:t>
      </w:r>
      <w:r w:rsidRPr="00FF08F0">
        <w:rPr>
          <w:rFonts w:ascii="Arial" w:hAnsi="Arial" w:cs="Arial"/>
          <w:noProof/>
          <w:sz w:val="24"/>
          <w:szCs w:val="24"/>
        </w:rPr>
        <w:t xml:space="preserve">, </w:t>
      </w:r>
      <w:r w:rsidRPr="00FF08F0">
        <w:rPr>
          <w:rFonts w:ascii="Arial" w:hAnsi="Arial" w:cs="Arial"/>
          <w:i/>
          <w:iCs/>
          <w:noProof/>
          <w:sz w:val="24"/>
          <w:szCs w:val="24"/>
        </w:rPr>
        <w:t>12</w:t>
      </w:r>
      <w:r w:rsidRPr="00FF08F0">
        <w:rPr>
          <w:rFonts w:ascii="Arial" w:hAnsi="Arial" w:cs="Arial"/>
          <w:noProof/>
          <w:sz w:val="24"/>
          <w:szCs w:val="24"/>
        </w:rPr>
        <w:t>(April), 1–18. https://doi.org/10.3389/fpubh.2024.1335692</w:t>
      </w:r>
    </w:p>
    <w:p w14:paraId="712CBC49"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Özden, M. (2023). Active participation or legal obligation? A qualitative study of the effectiveness of participatory methods designed for local participation. </w:t>
      </w:r>
      <w:r w:rsidRPr="00FF08F0">
        <w:rPr>
          <w:rFonts w:ascii="Arial" w:hAnsi="Arial" w:cs="Arial"/>
          <w:i/>
          <w:iCs/>
          <w:noProof/>
          <w:sz w:val="24"/>
          <w:szCs w:val="24"/>
        </w:rPr>
        <w:t>Quality and Quantity</w:t>
      </w:r>
      <w:r w:rsidRPr="00FF08F0">
        <w:rPr>
          <w:rFonts w:ascii="Arial" w:hAnsi="Arial" w:cs="Arial"/>
          <w:noProof/>
          <w:sz w:val="24"/>
          <w:szCs w:val="24"/>
        </w:rPr>
        <w:t xml:space="preserve">, </w:t>
      </w:r>
      <w:r w:rsidRPr="00FF08F0">
        <w:rPr>
          <w:rFonts w:ascii="Arial" w:hAnsi="Arial" w:cs="Arial"/>
          <w:i/>
          <w:iCs/>
          <w:noProof/>
          <w:sz w:val="24"/>
          <w:szCs w:val="24"/>
        </w:rPr>
        <w:t>58</w:t>
      </w:r>
      <w:r w:rsidRPr="00FF08F0">
        <w:rPr>
          <w:rFonts w:ascii="Arial" w:hAnsi="Arial" w:cs="Arial"/>
          <w:noProof/>
          <w:sz w:val="24"/>
          <w:szCs w:val="24"/>
        </w:rPr>
        <w:t>(1), 1–22. https://doi.org/10.1007/s11135-023-01658-z</w:t>
      </w:r>
    </w:p>
    <w:p w14:paraId="5C403ED2"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Reenaa Mohan, G. K. (2017). Community</w:t>
      </w:r>
      <w:r w:rsidRPr="00FF08F0">
        <w:rPr>
          <w:rFonts w:ascii="Cambria Math" w:hAnsi="Cambria Math" w:cs="Cambria Math"/>
          <w:noProof/>
          <w:sz w:val="24"/>
          <w:szCs w:val="24"/>
        </w:rPr>
        <w:t>‑</w:t>
      </w:r>
      <w:r w:rsidRPr="00FF08F0">
        <w:rPr>
          <w:rFonts w:ascii="Arial" w:hAnsi="Arial" w:cs="Arial"/>
          <w:noProof/>
          <w:sz w:val="24"/>
          <w:szCs w:val="24"/>
        </w:rPr>
        <w:t xml:space="preserve">based Advocacy Communication Social Mobilization (ACSM) intervention by empowering key community leaders: </w:t>
      </w:r>
      <w:r w:rsidRPr="00FF08F0">
        <w:rPr>
          <w:rFonts w:ascii="Arial" w:hAnsi="Arial" w:cs="Arial"/>
          <w:noProof/>
          <w:sz w:val="24"/>
          <w:szCs w:val="24"/>
        </w:rPr>
        <w:lastRenderedPageBreak/>
        <w:t>Evaluation using the RE</w:t>
      </w:r>
      <w:r w:rsidRPr="00FF08F0">
        <w:rPr>
          <w:rFonts w:ascii="Cambria Math" w:hAnsi="Cambria Math" w:cs="Cambria Math"/>
          <w:noProof/>
          <w:sz w:val="24"/>
          <w:szCs w:val="24"/>
        </w:rPr>
        <w:t>‑</w:t>
      </w:r>
      <w:r w:rsidRPr="00FF08F0">
        <w:rPr>
          <w:rFonts w:ascii="Arial" w:hAnsi="Arial" w:cs="Arial"/>
          <w:noProof/>
          <w:sz w:val="24"/>
          <w:szCs w:val="24"/>
        </w:rPr>
        <w:t xml:space="preserve">AIM framework. </w:t>
      </w:r>
      <w:r w:rsidRPr="00FF08F0">
        <w:rPr>
          <w:rFonts w:ascii="Arial" w:hAnsi="Arial" w:cs="Arial"/>
          <w:i/>
          <w:iCs/>
          <w:noProof/>
          <w:sz w:val="24"/>
          <w:szCs w:val="24"/>
        </w:rPr>
        <w:t>Journal of Family Medicine and Primary Care</w:t>
      </w:r>
      <w:r w:rsidRPr="00FF08F0">
        <w:rPr>
          <w:rFonts w:ascii="Arial" w:hAnsi="Arial" w:cs="Arial"/>
          <w:noProof/>
          <w:sz w:val="24"/>
          <w:szCs w:val="24"/>
        </w:rPr>
        <w:t xml:space="preserve">, </w:t>
      </w:r>
      <w:r w:rsidRPr="00FF08F0">
        <w:rPr>
          <w:rFonts w:ascii="Arial" w:hAnsi="Arial" w:cs="Arial"/>
          <w:i/>
          <w:iCs/>
          <w:noProof/>
          <w:sz w:val="24"/>
          <w:szCs w:val="24"/>
        </w:rPr>
        <w:t>6</w:t>
      </w:r>
      <w:r w:rsidRPr="00FF08F0">
        <w:rPr>
          <w:rFonts w:ascii="Arial" w:hAnsi="Arial" w:cs="Arial"/>
          <w:noProof/>
          <w:sz w:val="24"/>
          <w:szCs w:val="24"/>
        </w:rPr>
        <w:t>(2), 169–170. https://doi.org/10.4103/jfmpc.jfmpc</w:t>
      </w:r>
    </w:p>
    <w:p w14:paraId="27B6D356"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Sainz, M., Loughnan, S., Martínez, R., Moya, M., &amp; Rodríguez-bailón, R. (2020). Dehumanization of Socioeconomically Disadvantaged Groups Decreases Support for Welfare Policies via Perceived Wastefulness. </w:t>
      </w:r>
      <w:r w:rsidRPr="00FF08F0">
        <w:rPr>
          <w:rFonts w:ascii="Arial" w:hAnsi="Arial" w:cs="Arial"/>
          <w:i/>
          <w:iCs/>
          <w:noProof/>
          <w:sz w:val="24"/>
          <w:szCs w:val="24"/>
        </w:rPr>
        <w:t>International Review of Social Psychology</w:t>
      </w:r>
      <w:r w:rsidRPr="00FF08F0">
        <w:rPr>
          <w:rFonts w:ascii="Arial" w:hAnsi="Arial" w:cs="Arial"/>
          <w:noProof/>
          <w:sz w:val="24"/>
          <w:szCs w:val="24"/>
        </w:rPr>
        <w:t xml:space="preserve">, </w:t>
      </w:r>
      <w:r w:rsidRPr="00FF08F0">
        <w:rPr>
          <w:rFonts w:ascii="Arial" w:hAnsi="Arial" w:cs="Arial"/>
          <w:i/>
          <w:iCs/>
          <w:noProof/>
          <w:sz w:val="24"/>
          <w:szCs w:val="24"/>
        </w:rPr>
        <w:t>33</w:t>
      </w:r>
      <w:r w:rsidRPr="00FF08F0">
        <w:rPr>
          <w:rFonts w:ascii="Arial" w:hAnsi="Arial" w:cs="Arial"/>
          <w:noProof/>
          <w:sz w:val="24"/>
          <w:szCs w:val="24"/>
        </w:rPr>
        <w:t>(5), 1–13.</w:t>
      </w:r>
    </w:p>
    <w:p w14:paraId="2BD643F0"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Shunglu, R., Köpke, S., Kanoi, L., Nissanka, T. S., Withanachchi, C. R., Gamage, D. U., Dissanayake, H. R., Kibaroglu, A., Ünver, O., &amp; Withanachchi, S. S. (2022). Barriers in Participative Water Governance: A Critical Analysis of Community Development Approaches. </w:t>
      </w:r>
      <w:r w:rsidRPr="00FF08F0">
        <w:rPr>
          <w:rFonts w:ascii="Arial" w:hAnsi="Arial" w:cs="Arial"/>
          <w:i/>
          <w:iCs/>
          <w:noProof/>
          <w:sz w:val="24"/>
          <w:szCs w:val="24"/>
        </w:rPr>
        <w:t>Water (Switzerland)</w:t>
      </w:r>
      <w:r w:rsidRPr="00FF08F0">
        <w:rPr>
          <w:rFonts w:ascii="Arial" w:hAnsi="Arial" w:cs="Arial"/>
          <w:noProof/>
          <w:sz w:val="24"/>
          <w:szCs w:val="24"/>
        </w:rPr>
        <w:t xml:space="preserve">, </w:t>
      </w:r>
      <w:r w:rsidRPr="00FF08F0">
        <w:rPr>
          <w:rFonts w:ascii="Arial" w:hAnsi="Arial" w:cs="Arial"/>
          <w:i/>
          <w:iCs/>
          <w:noProof/>
          <w:sz w:val="24"/>
          <w:szCs w:val="24"/>
        </w:rPr>
        <w:t>14</w:t>
      </w:r>
      <w:r w:rsidRPr="00FF08F0">
        <w:rPr>
          <w:rFonts w:ascii="Arial" w:hAnsi="Arial" w:cs="Arial"/>
          <w:noProof/>
          <w:sz w:val="24"/>
          <w:szCs w:val="24"/>
        </w:rPr>
        <w:t>(5), 1–24. https://doi.org/10.3390/w14050762</w:t>
      </w:r>
    </w:p>
    <w:p w14:paraId="55F922C8"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Tahseen, F. (2022). Active Community Participation and Involvement as a Strategy to Upgrade and Maintain the Quality of Sidewalks in Pedestrian Infrastructure of Karachi, Pakistan. </w:t>
      </w:r>
      <w:r w:rsidRPr="00FF08F0">
        <w:rPr>
          <w:rFonts w:ascii="Arial" w:hAnsi="Arial" w:cs="Arial"/>
          <w:i/>
          <w:iCs/>
          <w:noProof/>
          <w:sz w:val="24"/>
          <w:szCs w:val="24"/>
        </w:rPr>
        <w:t>Journal of Xi’an Shiyou University, Natural Science Edition</w:t>
      </w:r>
      <w:r w:rsidRPr="00FF08F0">
        <w:rPr>
          <w:rFonts w:ascii="Arial" w:hAnsi="Arial" w:cs="Arial"/>
          <w:noProof/>
          <w:sz w:val="24"/>
          <w:szCs w:val="24"/>
        </w:rPr>
        <w:t xml:space="preserve">, </w:t>
      </w:r>
      <w:r w:rsidRPr="00FF08F0">
        <w:rPr>
          <w:rFonts w:ascii="Arial" w:hAnsi="Arial" w:cs="Arial"/>
          <w:i/>
          <w:iCs/>
          <w:noProof/>
          <w:sz w:val="24"/>
          <w:szCs w:val="24"/>
        </w:rPr>
        <w:t>18</w:t>
      </w:r>
      <w:r w:rsidRPr="00FF08F0">
        <w:rPr>
          <w:rFonts w:ascii="Arial" w:hAnsi="Arial" w:cs="Arial"/>
          <w:noProof/>
          <w:sz w:val="24"/>
          <w:szCs w:val="24"/>
        </w:rPr>
        <w:t>(10), 1–8. https://doi.org/10.13140/RG.2.2.25118.10567</w:t>
      </w:r>
    </w:p>
    <w:p w14:paraId="51B82F44"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Thorpe, J., &amp; Gaventa, J. (2020). </w:t>
      </w:r>
      <w:r w:rsidRPr="00FF08F0">
        <w:rPr>
          <w:rFonts w:ascii="Arial" w:hAnsi="Arial" w:cs="Arial"/>
          <w:i/>
          <w:iCs/>
          <w:noProof/>
          <w:sz w:val="24"/>
          <w:szCs w:val="24"/>
        </w:rPr>
        <w:t>Democratising Economic Power: The Potential for Meaningful Participation in Economic Governance and Decision-Making</w:t>
      </w:r>
      <w:r w:rsidRPr="00FF08F0">
        <w:rPr>
          <w:rFonts w:ascii="Arial" w:hAnsi="Arial" w:cs="Arial"/>
          <w:noProof/>
          <w:sz w:val="24"/>
          <w:szCs w:val="24"/>
        </w:rPr>
        <w:t xml:space="preserve"> (Vol. 2020, Issue 535). https://opendocs.ids.ac.uk/opendocs/handle/20.500.12413/15193%0Ahttps://opendocs.ids.ac.uk/opendocs/bitstream/handle/20.500.12413/15193/Wp535_online.pdf?sequence=1</w:t>
      </w:r>
    </w:p>
    <w:p w14:paraId="21FA3107"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Touchton, M., McNulty, S., &amp; Wampler, B. (2023). Participatory Budgeting and Community Development: A Global Perspective. </w:t>
      </w:r>
      <w:r w:rsidRPr="00FF08F0">
        <w:rPr>
          <w:rFonts w:ascii="Arial" w:hAnsi="Arial" w:cs="Arial"/>
          <w:i/>
          <w:iCs/>
          <w:noProof/>
          <w:sz w:val="24"/>
          <w:szCs w:val="24"/>
        </w:rPr>
        <w:t>American Behavioral Scientist</w:t>
      </w:r>
      <w:r w:rsidRPr="00FF08F0">
        <w:rPr>
          <w:rFonts w:ascii="Arial" w:hAnsi="Arial" w:cs="Arial"/>
          <w:noProof/>
          <w:sz w:val="24"/>
          <w:szCs w:val="24"/>
        </w:rPr>
        <w:t xml:space="preserve">, </w:t>
      </w:r>
      <w:r w:rsidRPr="00FF08F0">
        <w:rPr>
          <w:rFonts w:ascii="Arial" w:hAnsi="Arial" w:cs="Arial"/>
          <w:i/>
          <w:iCs/>
          <w:noProof/>
          <w:sz w:val="24"/>
          <w:szCs w:val="24"/>
        </w:rPr>
        <w:t>67</w:t>
      </w:r>
      <w:r w:rsidRPr="00FF08F0">
        <w:rPr>
          <w:rFonts w:ascii="Arial" w:hAnsi="Arial" w:cs="Arial"/>
          <w:noProof/>
          <w:sz w:val="24"/>
          <w:szCs w:val="24"/>
        </w:rPr>
        <w:t>(4), 520–536. https://doi.org/10.1177/00027642221086957</w:t>
      </w:r>
    </w:p>
    <w:p w14:paraId="16378D8C"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Uche, U., Anene, J., M, C., &amp; Nkwam-Uwaoma, A. (2020). Rural Access and Agricultural Marketing Project ( RAAMP ) Sustainable Development for Nigerian Rural Communities of Abia State : A Media Evaluation. </w:t>
      </w:r>
      <w:r w:rsidRPr="00FF08F0">
        <w:rPr>
          <w:rFonts w:ascii="Arial" w:hAnsi="Arial" w:cs="Arial"/>
          <w:i/>
          <w:iCs/>
          <w:noProof/>
          <w:sz w:val="24"/>
          <w:szCs w:val="24"/>
        </w:rPr>
        <w:t>International Journal of Agriculture and Earth Science</w:t>
      </w:r>
      <w:r w:rsidRPr="00FF08F0">
        <w:rPr>
          <w:rFonts w:ascii="Arial" w:hAnsi="Arial" w:cs="Arial"/>
          <w:noProof/>
          <w:sz w:val="24"/>
          <w:szCs w:val="24"/>
        </w:rPr>
        <w:t xml:space="preserve">, </w:t>
      </w:r>
      <w:r w:rsidRPr="00FF08F0">
        <w:rPr>
          <w:rFonts w:ascii="Arial" w:hAnsi="Arial" w:cs="Arial"/>
          <w:i/>
          <w:iCs/>
          <w:noProof/>
          <w:sz w:val="24"/>
          <w:szCs w:val="24"/>
        </w:rPr>
        <w:t>6</w:t>
      </w:r>
      <w:r w:rsidRPr="00FF08F0">
        <w:rPr>
          <w:rFonts w:ascii="Arial" w:hAnsi="Arial" w:cs="Arial"/>
          <w:noProof/>
          <w:sz w:val="24"/>
          <w:szCs w:val="24"/>
        </w:rPr>
        <w:t>(2), 14–20.</w:t>
      </w:r>
    </w:p>
    <w:p w14:paraId="6C3DE995"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szCs w:val="24"/>
        </w:rPr>
      </w:pPr>
      <w:r w:rsidRPr="00FF08F0">
        <w:rPr>
          <w:rFonts w:ascii="Arial" w:hAnsi="Arial" w:cs="Arial"/>
          <w:noProof/>
          <w:sz w:val="24"/>
          <w:szCs w:val="24"/>
        </w:rPr>
        <w:t xml:space="preserve">Yamane, Y. (1967). Sample Size Determination Formula. </w:t>
      </w:r>
      <w:r w:rsidRPr="00FF08F0">
        <w:rPr>
          <w:rFonts w:ascii="Arial" w:hAnsi="Arial" w:cs="Arial"/>
          <w:i/>
          <w:iCs/>
          <w:noProof/>
          <w:sz w:val="24"/>
          <w:szCs w:val="24"/>
        </w:rPr>
        <w:t>Journal of Scientific Research and Reports</w:t>
      </w:r>
      <w:r w:rsidRPr="00FF08F0">
        <w:rPr>
          <w:rFonts w:ascii="Arial" w:hAnsi="Arial" w:cs="Arial"/>
          <w:noProof/>
          <w:sz w:val="24"/>
          <w:szCs w:val="24"/>
        </w:rPr>
        <w:t xml:space="preserve">, </w:t>
      </w:r>
      <w:r w:rsidRPr="00FF08F0">
        <w:rPr>
          <w:rFonts w:ascii="Arial" w:hAnsi="Arial" w:cs="Arial"/>
          <w:i/>
          <w:iCs/>
          <w:noProof/>
          <w:sz w:val="24"/>
          <w:szCs w:val="24"/>
        </w:rPr>
        <w:t>3</w:t>
      </w:r>
      <w:r w:rsidRPr="00FF08F0">
        <w:rPr>
          <w:rFonts w:ascii="Arial" w:hAnsi="Arial" w:cs="Arial"/>
          <w:noProof/>
          <w:sz w:val="24"/>
          <w:szCs w:val="24"/>
        </w:rPr>
        <w:t>(4), 1–12. https://doi.org/10.9734/jsrr/2020/v26i530263</w:t>
      </w:r>
    </w:p>
    <w:p w14:paraId="1E36DC09" w14:textId="77777777" w:rsidR="00FF08F0" w:rsidRPr="00FF08F0" w:rsidRDefault="00FF08F0" w:rsidP="00FF08F0">
      <w:pPr>
        <w:widowControl w:val="0"/>
        <w:autoSpaceDE w:val="0"/>
        <w:autoSpaceDN w:val="0"/>
        <w:adjustRightInd w:val="0"/>
        <w:spacing w:after="0" w:line="240" w:lineRule="auto"/>
        <w:ind w:left="480" w:hanging="480"/>
        <w:rPr>
          <w:rFonts w:ascii="Arial" w:hAnsi="Arial" w:cs="Arial"/>
          <w:noProof/>
          <w:sz w:val="24"/>
        </w:rPr>
      </w:pPr>
      <w:r w:rsidRPr="00FF08F0">
        <w:rPr>
          <w:rFonts w:ascii="Arial" w:hAnsi="Arial" w:cs="Arial"/>
          <w:noProof/>
          <w:sz w:val="24"/>
          <w:szCs w:val="24"/>
        </w:rPr>
        <w:t xml:space="preserve">Yu, Y., Appiah, D., Zulu, B., &amp; Adu-Poku, K. A. (2024). Integrating Rural Development, Education, and Management: Challenges and Strategies. </w:t>
      </w:r>
      <w:r w:rsidRPr="00FF08F0">
        <w:rPr>
          <w:rFonts w:ascii="Arial" w:hAnsi="Arial" w:cs="Arial"/>
          <w:i/>
          <w:iCs/>
          <w:noProof/>
          <w:sz w:val="24"/>
          <w:szCs w:val="24"/>
        </w:rPr>
        <w:t>Sustainability (Switzerland)</w:t>
      </w:r>
      <w:r w:rsidRPr="00FF08F0">
        <w:rPr>
          <w:rFonts w:ascii="Arial" w:hAnsi="Arial" w:cs="Arial"/>
          <w:noProof/>
          <w:sz w:val="24"/>
          <w:szCs w:val="24"/>
        </w:rPr>
        <w:t xml:space="preserve">, </w:t>
      </w:r>
      <w:r w:rsidRPr="00FF08F0">
        <w:rPr>
          <w:rFonts w:ascii="Arial" w:hAnsi="Arial" w:cs="Arial"/>
          <w:i/>
          <w:iCs/>
          <w:noProof/>
          <w:sz w:val="24"/>
          <w:szCs w:val="24"/>
        </w:rPr>
        <w:t>16</w:t>
      </w:r>
      <w:r w:rsidRPr="00FF08F0">
        <w:rPr>
          <w:rFonts w:ascii="Arial" w:hAnsi="Arial" w:cs="Arial"/>
          <w:noProof/>
          <w:sz w:val="24"/>
          <w:szCs w:val="24"/>
        </w:rPr>
        <w:t>(15), 1–22. https://doi.org/10.3390/su16156474</w:t>
      </w:r>
    </w:p>
    <w:p w14:paraId="43B32DA8" w14:textId="32F6A4A9" w:rsidR="00EA7877" w:rsidRDefault="00EA7877" w:rsidP="007A4AFA">
      <w:pPr>
        <w:spacing w:after="0" w:line="240" w:lineRule="auto"/>
        <w:ind w:left="720" w:hanging="720"/>
        <w:jc w:val="both"/>
        <w:rPr>
          <w:rFonts w:ascii="Arial" w:hAnsi="Arial" w:cs="Arial"/>
          <w:sz w:val="24"/>
          <w:szCs w:val="24"/>
        </w:rPr>
      </w:pPr>
      <w:r>
        <w:rPr>
          <w:rFonts w:ascii="Arial" w:hAnsi="Arial" w:cs="Arial"/>
          <w:sz w:val="24"/>
          <w:szCs w:val="24"/>
        </w:rPr>
        <w:fldChar w:fldCharType="end"/>
      </w:r>
    </w:p>
    <w:p w14:paraId="44CC96C3" w14:textId="13172FBC" w:rsidR="007229C6" w:rsidRDefault="007229C6" w:rsidP="007229C6">
      <w:pPr>
        <w:spacing w:after="0" w:line="240" w:lineRule="auto"/>
        <w:ind w:left="720" w:hanging="720"/>
        <w:jc w:val="both"/>
        <w:rPr>
          <w:rFonts w:ascii="Arial" w:hAnsi="Arial" w:cs="Arial"/>
          <w:sz w:val="24"/>
          <w:szCs w:val="24"/>
        </w:rPr>
      </w:pPr>
      <w:proofErr w:type="spellStart"/>
      <w:r w:rsidRPr="007229C6">
        <w:rPr>
          <w:rFonts w:ascii="Arial" w:hAnsi="Arial" w:cs="Arial"/>
          <w:sz w:val="24"/>
          <w:szCs w:val="24"/>
        </w:rPr>
        <w:t>Chamtcheu</w:t>
      </w:r>
      <w:proofErr w:type="spellEnd"/>
      <w:r w:rsidRPr="007229C6">
        <w:rPr>
          <w:rFonts w:ascii="Arial" w:hAnsi="Arial" w:cs="Arial"/>
          <w:sz w:val="24"/>
          <w:szCs w:val="24"/>
        </w:rPr>
        <w:t xml:space="preserve"> </w:t>
      </w:r>
      <w:proofErr w:type="spellStart"/>
      <w:r w:rsidRPr="007229C6">
        <w:rPr>
          <w:rFonts w:ascii="Arial" w:hAnsi="Arial" w:cs="Arial"/>
          <w:sz w:val="24"/>
          <w:szCs w:val="24"/>
        </w:rPr>
        <w:t>Djomkam</w:t>
      </w:r>
      <w:proofErr w:type="spellEnd"/>
      <w:r w:rsidRPr="007229C6">
        <w:rPr>
          <w:rFonts w:ascii="Arial" w:hAnsi="Arial" w:cs="Arial"/>
          <w:sz w:val="24"/>
          <w:szCs w:val="24"/>
        </w:rPr>
        <w:t xml:space="preserve">, J. B. &amp; </w:t>
      </w:r>
      <w:proofErr w:type="spellStart"/>
      <w:r w:rsidRPr="007229C6">
        <w:rPr>
          <w:rFonts w:ascii="Arial" w:hAnsi="Arial" w:cs="Arial"/>
          <w:sz w:val="24"/>
          <w:szCs w:val="24"/>
        </w:rPr>
        <w:t>Fouda</w:t>
      </w:r>
      <w:proofErr w:type="spellEnd"/>
      <w:r w:rsidRPr="007229C6">
        <w:rPr>
          <w:rFonts w:ascii="Arial" w:hAnsi="Arial" w:cs="Arial"/>
          <w:sz w:val="24"/>
          <w:szCs w:val="24"/>
        </w:rPr>
        <w:t xml:space="preserve"> </w:t>
      </w:r>
      <w:proofErr w:type="spellStart"/>
      <w:r w:rsidRPr="007229C6">
        <w:rPr>
          <w:rFonts w:ascii="Arial" w:hAnsi="Arial" w:cs="Arial"/>
          <w:sz w:val="24"/>
          <w:szCs w:val="24"/>
        </w:rPr>
        <w:t>Ehowa</w:t>
      </w:r>
      <w:proofErr w:type="spellEnd"/>
      <w:r w:rsidRPr="007229C6">
        <w:rPr>
          <w:rFonts w:ascii="Arial" w:hAnsi="Arial" w:cs="Arial"/>
          <w:sz w:val="24"/>
          <w:szCs w:val="24"/>
        </w:rPr>
        <w:t xml:space="preserve"> H. (2023). « Road network and development: Assessing the significance of road infrastructure in the economic and social development of </w:t>
      </w:r>
      <w:proofErr w:type="spellStart"/>
      <w:r w:rsidRPr="007229C6">
        <w:rPr>
          <w:rFonts w:ascii="Arial" w:hAnsi="Arial" w:cs="Arial"/>
          <w:sz w:val="24"/>
          <w:szCs w:val="24"/>
        </w:rPr>
        <w:t>Melong</w:t>
      </w:r>
      <w:proofErr w:type="spellEnd"/>
      <w:r w:rsidRPr="007229C6">
        <w:rPr>
          <w:rFonts w:ascii="Arial" w:hAnsi="Arial" w:cs="Arial"/>
          <w:sz w:val="24"/>
          <w:szCs w:val="24"/>
        </w:rPr>
        <w:t xml:space="preserve"> », Ivorian Review of Governance and Strategic Studies, ISSN: 2520-4114, 21(4), 160–177.</w:t>
      </w:r>
    </w:p>
    <w:p w14:paraId="6BFB400D" w14:textId="77777777" w:rsidR="000C6CA6" w:rsidRPr="003B6AD6" w:rsidRDefault="000C6CA6" w:rsidP="000C6CA6">
      <w:pPr>
        <w:spacing w:after="0" w:line="240" w:lineRule="auto"/>
        <w:ind w:left="720" w:hanging="720"/>
        <w:jc w:val="both"/>
        <w:rPr>
          <w:rFonts w:ascii="Arial" w:hAnsi="Arial" w:cs="Arial"/>
          <w:sz w:val="24"/>
          <w:szCs w:val="24"/>
        </w:rPr>
      </w:pPr>
      <w:bookmarkStart w:id="10" w:name="_GoBack"/>
      <w:bookmarkEnd w:id="10"/>
      <w:proofErr w:type="spellStart"/>
      <w:r w:rsidRPr="000C6CA6">
        <w:rPr>
          <w:rFonts w:ascii="Arial" w:hAnsi="Arial" w:cs="Arial"/>
          <w:sz w:val="24"/>
          <w:szCs w:val="24"/>
        </w:rPr>
        <w:t>Khodyakov</w:t>
      </w:r>
      <w:proofErr w:type="spellEnd"/>
      <w:r w:rsidRPr="000C6CA6">
        <w:rPr>
          <w:rFonts w:ascii="Arial" w:hAnsi="Arial" w:cs="Arial"/>
          <w:sz w:val="24"/>
          <w:szCs w:val="24"/>
        </w:rPr>
        <w:t xml:space="preserve">, D., Stockdale, S., Jones, A., Mango, J., Jones, F., &amp; </w:t>
      </w:r>
      <w:proofErr w:type="spellStart"/>
      <w:r w:rsidRPr="000C6CA6">
        <w:rPr>
          <w:rFonts w:ascii="Arial" w:hAnsi="Arial" w:cs="Arial"/>
          <w:sz w:val="24"/>
          <w:szCs w:val="24"/>
        </w:rPr>
        <w:t>Lizaola</w:t>
      </w:r>
      <w:proofErr w:type="spellEnd"/>
      <w:r w:rsidRPr="000C6CA6">
        <w:rPr>
          <w:rFonts w:ascii="Arial" w:hAnsi="Arial" w:cs="Arial"/>
          <w:sz w:val="24"/>
          <w:szCs w:val="24"/>
        </w:rPr>
        <w:t xml:space="preserve">, E. (2013). On Measuring Community Participation in Research. Health Education and </w:t>
      </w:r>
      <w:proofErr w:type="spellStart"/>
      <w:r w:rsidRPr="000C6CA6">
        <w:rPr>
          <w:rFonts w:ascii="Arial" w:hAnsi="Arial" w:cs="Arial"/>
          <w:sz w:val="24"/>
          <w:szCs w:val="24"/>
        </w:rPr>
        <w:t>Behavior</w:t>
      </w:r>
      <w:proofErr w:type="spellEnd"/>
      <w:r w:rsidRPr="000C6CA6">
        <w:rPr>
          <w:rFonts w:ascii="Arial" w:hAnsi="Arial" w:cs="Arial"/>
          <w:sz w:val="24"/>
          <w:szCs w:val="24"/>
        </w:rPr>
        <w:t>, 40(3), 346–354</w:t>
      </w:r>
    </w:p>
    <w:p w14:paraId="248EA1AE" w14:textId="77777777" w:rsidR="009C65B1" w:rsidRPr="003B6AD6" w:rsidRDefault="009C65B1" w:rsidP="000C6CA6">
      <w:pPr>
        <w:spacing w:after="0" w:line="240" w:lineRule="auto"/>
        <w:ind w:left="720" w:hanging="720"/>
        <w:jc w:val="both"/>
        <w:rPr>
          <w:rFonts w:ascii="Arial" w:hAnsi="Arial" w:cs="Arial"/>
          <w:sz w:val="24"/>
          <w:szCs w:val="24"/>
        </w:rPr>
      </w:pPr>
      <w:proofErr w:type="spellStart"/>
      <w:r w:rsidRPr="009C65B1">
        <w:rPr>
          <w:rFonts w:ascii="Arial" w:hAnsi="Arial" w:cs="Arial"/>
          <w:sz w:val="24"/>
          <w:szCs w:val="24"/>
        </w:rPr>
        <w:t>Muluk</w:t>
      </w:r>
      <w:proofErr w:type="spellEnd"/>
      <w:r w:rsidRPr="009C65B1">
        <w:rPr>
          <w:rFonts w:ascii="Arial" w:hAnsi="Arial" w:cs="Arial"/>
          <w:sz w:val="24"/>
          <w:szCs w:val="24"/>
        </w:rPr>
        <w:t xml:space="preserve">, M. R. K., </w:t>
      </w:r>
      <w:proofErr w:type="spellStart"/>
      <w:r w:rsidRPr="009C65B1">
        <w:rPr>
          <w:rFonts w:ascii="Arial" w:hAnsi="Arial" w:cs="Arial"/>
          <w:sz w:val="24"/>
          <w:szCs w:val="24"/>
        </w:rPr>
        <w:t>Danar</w:t>
      </w:r>
      <w:proofErr w:type="spellEnd"/>
      <w:r w:rsidRPr="009C65B1">
        <w:rPr>
          <w:rFonts w:ascii="Arial" w:hAnsi="Arial" w:cs="Arial"/>
          <w:sz w:val="24"/>
          <w:szCs w:val="24"/>
        </w:rPr>
        <w:t xml:space="preserve">, O. R., &amp; </w:t>
      </w:r>
      <w:proofErr w:type="spellStart"/>
      <w:r w:rsidRPr="009C65B1">
        <w:rPr>
          <w:rFonts w:ascii="Arial" w:hAnsi="Arial" w:cs="Arial"/>
          <w:sz w:val="24"/>
          <w:szCs w:val="24"/>
        </w:rPr>
        <w:t>Rahmawati</w:t>
      </w:r>
      <w:proofErr w:type="spellEnd"/>
      <w:r w:rsidRPr="009C65B1">
        <w:rPr>
          <w:rFonts w:ascii="Arial" w:hAnsi="Arial" w:cs="Arial"/>
          <w:sz w:val="24"/>
          <w:szCs w:val="24"/>
        </w:rPr>
        <w:t xml:space="preserve">, L. (2020). Community Participation and Development Planning in Local Government Level: A Study on the Formulation of </w:t>
      </w:r>
      <w:proofErr w:type="spellStart"/>
      <w:r w:rsidRPr="009C65B1">
        <w:rPr>
          <w:rFonts w:ascii="Arial" w:hAnsi="Arial" w:cs="Arial"/>
          <w:sz w:val="24"/>
          <w:szCs w:val="24"/>
        </w:rPr>
        <w:t>Batu</w:t>
      </w:r>
      <w:proofErr w:type="spellEnd"/>
      <w:r w:rsidRPr="009C65B1">
        <w:rPr>
          <w:rFonts w:ascii="Arial" w:hAnsi="Arial" w:cs="Arial"/>
          <w:sz w:val="24"/>
          <w:szCs w:val="24"/>
        </w:rPr>
        <w:t xml:space="preserve"> City Medium-Term Development Plan. </w:t>
      </w:r>
      <w:proofErr w:type="spellStart"/>
      <w:r w:rsidRPr="009C65B1">
        <w:rPr>
          <w:rFonts w:ascii="Arial" w:hAnsi="Arial" w:cs="Arial"/>
          <w:sz w:val="24"/>
          <w:szCs w:val="24"/>
        </w:rPr>
        <w:t>Bisnis</w:t>
      </w:r>
      <w:proofErr w:type="spellEnd"/>
      <w:r w:rsidRPr="009C65B1">
        <w:rPr>
          <w:rFonts w:ascii="Arial" w:hAnsi="Arial" w:cs="Arial"/>
          <w:sz w:val="24"/>
          <w:szCs w:val="24"/>
        </w:rPr>
        <w:t xml:space="preserve"> &amp; </w:t>
      </w:r>
      <w:proofErr w:type="spellStart"/>
      <w:r w:rsidRPr="009C65B1">
        <w:rPr>
          <w:rFonts w:ascii="Arial" w:hAnsi="Arial" w:cs="Arial"/>
          <w:sz w:val="24"/>
          <w:szCs w:val="24"/>
        </w:rPr>
        <w:t>Birokrasi</w:t>
      </w:r>
      <w:proofErr w:type="spellEnd"/>
      <w:r w:rsidRPr="009C65B1">
        <w:rPr>
          <w:rFonts w:ascii="Arial" w:hAnsi="Arial" w:cs="Arial"/>
          <w:sz w:val="24"/>
          <w:szCs w:val="24"/>
        </w:rPr>
        <w:t xml:space="preserve"> Journal, 26(3), 1–9.</w:t>
      </w:r>
    </w:p>
    <w:p w14:paraId="382BCCC3" w14:textId="5DDE1292" w:rsidR="00BE562E" w:rsidRPr="003B6AD6" w:rsidRDefault="00BE562E" w:rsidP="000C6CA6">
      <w:pPr>
        <w:spacing w:after="0" w:line="240" w:lineRule="auto"/>
        <w:ind w:left="720" w:hanging="720"/>
        <w:jc w:val="both"/>
        <w:rPr>
          <w:rFonts w:ascii="Arial" w:hAnsi="Arial" w:cs="Arial"/>
          <w:sz w:val="24"/>
          <w:szCs w:val="24"/>
        </w:rPr>
      </w:pPr>
      <w:r w:rsidRPr="00A41018">
        <w:rPr>
          <w:rFonts w:ascii="Arial" w:hAnsi="Arial" w:cs="Arial"/>
          <w:sz w:val="24"/>
          <w:szCs w:val="24"/>
        </w:rPr>
        <w:t>World Bank. (2022). The economic impact of poor road conditions in developing countries. World Bank Publications.</w:t>
      </w:r>
    </w:p>
    <w:p w14:paraId="035B32F4" w14:textId="7582A054" w:rsidR="00BE562E" w:rsidRPr="00BE562E" w:rsidRDefault="00BE562E" w:rsidP="000C6CA6">
      <w:pPr>
        <w:spacing w:after="0" w:line="240" w:lineRule="auto"/>
        <w:ind w:left="851" w:hanging="851"/>
        <w:jc w:val="both"/>
        <w:rPr>
          <w:rFonts w:ascii="Arial" w:hAnsi="Arial" w:cs="Arial"/>
          <w:sz w:val="24"/>
          <w:szCs w:val="24"/>
        </w:rPr>
      </w:pPr>
    </w:p>
    <w:sectPr w:rsidR="00BE562E" w:rsidRPr="00BE562E">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8691" w14:textId="77777777" w:rsidR="00396865" w:rsidRDefault="00396865" w:rsidP="006E796E">
      <w:pPr>
        <w:spacing w:after="0" w:line="240" w:lineRule="auto"/>
      </w:pPr>
      <w:r>
        <w:separator/>
      </w:r>
    </w:p>
  </w:endnote>
  <w:endnote w:type="continuationSeparator" w:id="0">
    <w:p w14:paraId="7533AF9D" w14:textId="77777777" w:rsidR="00396865" w:rsidRDefault="00396865" w:rsidP="006E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6954874"/>
      <w:docPartObj>
        <w:docPartGallery w:val="Page Numbers (Bottom of Page)"/>
        <w:docPartUnique/>
      </w:docPartObj>
    </w:sdtPr>
    <w:sdtEndPr>
      <w:rPr>
        <w:noProof/>
      </w:rPr>
    </w:sdtEndPr>
    <w:sdtContent>
      <w:p w14:paraId="1157D737" w14:textId="2AA4406C" w:rsidR="00A41018" w:rsidRDefault="00A4101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71E81D2A" w14:textId="77777777" w:rsidR="00A41018" w:rsidRDefault="00A4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06CAB" w14:textId="77777777" w:rsidR="00396865" w:rsidRDefault="00396865" w:rsidP="006E796E">
      <w:pPr>
        <w:spacing w:after="0" w:line="240" w:lineRule="auto"/>
      </w:pPr>
      <w:r>
        <w:separator/>
      </w:r>
    </w:p>
  </w:footnote>
  <w:footnote w:type="continuationSeparator" w:id="0">
    <w:p w14:paraId="6CCD17DE" w14:textId="77777777" w:rsidR="00396865" w:rsidRDefault="00396865" w:rsidP="006E7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629D" w14:textId="76F46C7E" w:rsidR="00A41018" w:rsidRDefault="00A41018">
    <w:pPr>
      <w:pStyle w:val="Header"/>
    </w:pPr>
    <w:r>
      <w:rPr>
        <w:noProof/>
      </w:rPr>
      <w:pict w14:anchorId="7F68E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D6F8" w14:textId="03687E45" w:rsidR="00A41018" w:rsidRDefault="00A41018">
    <w:pPr>
      <w:pStyle w:val="Header"/>
    </w:pPr>
    <w:r>
      <w:rPr>
        <w:noProof/>
      </w:rPr>
      <w:pict w14:anchorId="7913B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D966A" w14:textId="56AFF393" w:rsidR="00A41018" w:rsidRDefault="00A41018">
    <w:pPr>
      <w:pStyle w:val="Header"/>
    </w:pPr>
    <w:r>
      <w:rPr>
        <w:noProof/>
      </w:rPr>
      <w:pict w14:anchorId="46B2D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17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B1E81"/>
    <w:multiLevelType w:val="hybridMultilevel"/>
    <w:tmpl w:val="42F8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D2E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D9"/>
    <w:rsid w:val="00092C6D"/>
    <w:rsid w:val="00094132"/>
    <w:rsid w:val="000A1B58"/>
    <w:rsid w:val="000C4CE2"/>
    <w:rsid w:val="000C6CA6"/>
    <w:rsid w:val="001638A6"/>
    <w:rsid w:val="00192C7B"/>
    <w:rsid w:val="002171DD"/>
    <w:rsid w:val="00255F00"/>
    <w:rsid w:val="00270E62"/>
    <w:rsid w:val="00294F93"/>
    <w:rsid w:val="002A16D9"/>
    <w:rsid w:val="002E0DA8"/>
    <w:rsid w:val="00325923"/>
    <w:rsid w:val="0037514D"/>
    <w:rsid w:val="00392AF8"/>
    <w:rsid w:val="00396865"/>
    <w:rsid w:val="0039769F"/>
    <w:rsid w:val="003B6AD6"/>
    <w:rsid w:val="003C2C0D"/>
    <w:rsid w:val="003E47EE"/>
    <w:rsid w:val="004123D3"/>
    <w:rsid w:val="00471A0C"/>
    <w:rsid w:val="00472004"/>
    <w:rsid w:val="004A3D09"/>
    <w:rsid w:val="004A4AA6"/>
    <w:rsid w:val="004B7D50"/>
    <w:rsid w:val="004C0D44"/>
    <w:rsid w:val="004C2FA6"/>
    <w:rsid w:val="004C60E9"/>
    <w:rsid w:val="004F6969"/>
    <w:rsid w:val="00545765"/>
    <w:rsid w:val="005869FC"/>
    <w:rsid w:val="006210C7"/>
    <w:rsid w:val="00632866"/>
    <w:rsid w:val="00665BFF"/>
    <w:rsid w:val="00674627"/>
    <w:rsid w:val="006909D6"/>
    <w:rsid w:val="00693967"/>
    <w:rsid w:val="006D29A1"/>
    <w:rsid w:val="006E796E"/>
    <w:rsid w:val="00703D21"/>
    <w:rsid w:val="00712D9E"/>
    <w:rsid w:val="007229C6"/>
    <w:rsid w:val="00762D57"/>
    <w:rsid w:val="00785A03"/>
    <w:rsid w:val="007A4AFA"/>
    <w:rsid w:val="007D1B3C"/>
    <w:rsid w:val="00805E6F"/>
    <w:rsid w:val="00817664"/>
    <w:rsid w:val="00870044"/>
    <w:rsid w:val="00876AA3"/>
    <w:rsid w:val="00896D14"/>
    <w:rsid w:val="008A705D"/>
    <w:rsid w:val="008C18C0"/>
    <w:rsid w:val="00985CAE"/>
    <w:rsid w:val="009A4E12"/>
    <w:rsid w:val="009B22A5"/>
    <w:rsid w:val="009C5B72"/>
    <w:rsid w:val="009C65B1"/>
    <w:rsid w:val="009D38E4"/>
    <w:rsid w:val="00A41018"/>
    <w:rsid w:val="00A81AD9"/>
    <w:rsid w:val="00AE040C"/>
    <w:rsid w:val="00AE4356"/>
    <w:rsid w:val="00B9114C"/>
    <w:rsid w:val="00BD397D"/>
    <w:rsid w:val="00BE4101"/>
    <w:rsid w:val="00BE562E"/>
    <w:rsid w:val="00D30027"/>
    <w:rsid w:val="00DC5A4D"/>
    <w:rsid w:val="00E12F31"/>
    <w:rsid w:val="00E1487E"/>
    <w:rsid w:val="00E148C2"/>
    <w:rsid w:val="00E67D24"/>
    <w:rsid w:val="00EA20C8"/>
    <w:rsid w:val="00EA7877"/>
    <w:rsid w:val="00EB17F3"/>
    <w:rsid w:val="00EC4BC3"/>
    <w:rsid w:val="00F05DD2"/>
    <w:rsid w:val="00F7778D"/>
    <w:rsid w:val="00FB680A"/>
    <w:rsid w:val="00FF08F0"/>
    <w:rsid w:val="00FF5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4E7243"/>
  <w15:chartTrackingRefBased/>
  <w15:docId w15:val="{8FADFC63-714A-47F2-A610-52111FCC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AD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2AF8"/>
    <w:rPr>
      <w:color w:val="0563C1" w:themeColor="hyperlink"/>
      <w:u w:val="single"/>
    </w:rPr>
  </w:style>
  <w:style w:type="paragraph" w:styleId="ListParagraph">
    <w:name w:val="List Paragraph"/>
    <w:basedOn w:val="Normal"/>
    <w:uiPriority w:val="34"/>
    <w:qFormat/>
    <w:rsid w:val="00392AF8"/>
    <w:pPr>
      <w:ind w:left="720"/>
      <w:contextualSpacing/>
    </w:pPr>
  </w:style>
  <w:style w:type="character" w:customStyle="1" w:styleId="Heading2Char">
    <w:name w:val="Heading 2 Char"/>
    <w:basedOn w:val="DefaultParagraphFont"/>
    <w:link w:val="Heading2"/>
    <w:uiPriority w:val="9"/>
    <w:rsid w:val="003B6AD6"/>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2171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70E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48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0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E040C"/>
    <w:rPr>
      <w:i/>
      <w:iCs/>
    </w:rPr>
  </w:style>
  <w:style w:type="paragraph" w:styleId="Header">
    <w:name w:val="header"/>
    <w:basedOn w:val="Normal"/>
    <w:link w:val="HeaderChar"/>
    <w:uiPriority w:val="99"/>
    <w:unhideWhenUsed/>
    <w:rsid w:val="006E7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96E"/>
  </w:style>
  <w:style w:type="paragraph" w:styleId="Footer">
    <w:name w:val="footer"/>
    <w:basedOn w:val="Normal"/>
    <w:link w:val="FooterChar"/>
    <w:uiPriority w:val="99"/>
    <w:unhideWhenUsed/>
    <w:rsid w:val="006E7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7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D8A6E-E024-4495-9E7B-C297F759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Pages>
  <Words>24048</Words>
  <Characters>137076</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17</cp:revision>
  <dcterms:created xsi:type="dcterms:W3CDTF">2025-09-02T06:02:00Z</dcterms:created>
  <dcterms:modified xsi:type="dcterms:W3CDTF">2025-09-03T10:36:00Z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967eb3ef-4606-322f-8169-ecdd75f61d15</vt:lpwstr>
  </property>
  <property fmtid="{D5CDD505-2E9C-101B-9397-08002B2CF9AE}" pid="24" name="Mendeley Citation Style_1">
    <vt:lpwstr>http://www.zotero.org/styles/apa</vt:lpwstr>
  </property>
</Properties>
</file>