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85EB1" w14:textId="57BC66FB" w:rsidR="00BF6B67" w:rsidRDefault="00BF6B67" w:rsidP="00206963">
      <w:pPr>
        <w:spacing w:after="0" w:line="240" w:lineRule="auto"/>
        <w:jc w:val="center"/>
        <w:rPr>
          <w:rFonts w:ascii="Times New Roman" w:hAnsi="Times New Roman" w:cs="Times New Roman"/>
          <w:color w:val="000000" w:themeColor="text1"/>
          <w:sz w:val="24"/>
          <w:szCs w:val="24"/>
        </w:rPr>
      </w:pPr>
      <w:r w:rsidRPr="00BF6B67">
        <w:rPr>
          <w:rFonts w:ascii="Times New Roman" w:hAnsi="Times New Roman" w:cs="Times New Roman"/>
          <w:color w:val="000000" w:themeColor="text1"/>
          <w:sz w:val="24"/>
          <w:szCs w:val="24"/>
        </w:rPr>
        <w:t xml:space="preserve">Cultural Beliefs and Practices </w:t>
      </w:r>
      <w:r w:rsidR="00C77675">
        <w:rPr>
          <w:rFonts w:ascii="Times New Roman" w:hAnsi="Times New Roman" w:cs="Times New Roman"/>
          <w:color w:val="000000" w:themeColor="text1"/>
          <w:sz w:val="24"/>
          <w:szCs w:val="24"/>
        </w:rPr>
        <w:t>Influencing</w:t>
      </w:r>
      <w:r w:rsidRPr="00BF6B67">
        <w:rPr>
          <w:rFonts w:ascii="Times New Roman" w:hAnsi="Times New Roman" w:cs="Times New Roman"/>
          <w:color w:val="000000" w:themeColor="text1"/>
          <w:sz w:val="24"/>
          <w:szCs w:val="24"/>
        </w:rPr>
        <w:t xml:space="preserve"> in Girls’ Transition from Lower to Upper Primary in Balambala Sub-County, Garissa County, Kenya</w:t>
      </w:r>
    </w:p>
    <w:p w14:paraId="6247F794" w14:textId="77777777" w:rsidR="00104F9D" w:rsidRDefault="00104F9D" w:rsidP="00206963">
      <w:pPr>
        <w:spacing w:after="0" w:line="240" w:lineRule="auto"/>
        <w:jc w:val="center"/>
        <w:rPr>
          <w:rFonts w:ascii="Times New Roman" w:hAnsi="Times New Roman" w:cs="Times New Roman"/>
          <w:color w:val="000000" w:themeColor="text1"/>
          <w:sz w:val="24"/>
          <w:szCs w:val="24"/>
        </w:rPr>
      </w:pPr>
    </w:p>
    <w:p w14:paraId="78C2198C" w14:textId="3CE619E2" w:rsidR="009C7BB3" w:rsidRDefault="009C7BB3" w:rsidP="00206963">
      <w:pPr>
        <w:spacing w:after="0" w:line="240" w:lineRule="auto"/>
        <w:jc w:val="center"/>
        <w:rPr>
          <w:rFonts w:ascii="Times New Roman" w:eastAsia="Times New Roman" w:hAnsi="Times New Roman" w:cs="Times New Roman"/>
          <w:b/>
          <w:bCs/>
          <w:color w:val="000000" w:themeColor="text1"/>
          <w:sz w:val="24"/>
          <w:szCs w:val="24"/>
        </w:rPr>
      </w:pPr>
    </w:p>
    <w:p w14:paraId="627BC96B" w14:textId="77777777" w:rsidR="00166044" w:rsidRPr="003B151A" w:rsidRDefault="00166044" w:rsidP="00206963">
      <w:pPr>
        <w:spacing w:after="0" w:line="240" w:lineRule="auto"/>
        <w:jc w:val="center"/>
        <w:rPr>
          <w:rFonts w:ascii="Times New Roman" w:eastAsia="Times New Roman" w:hAnsi="Times New Roman" w:cs="Times New Roman"/>
          <w:b/>
          <w:bCs/>
          <w:color w:val="000000" w:themeColor="text1"/>
          <w:sz w:val="24"/>
          <w:szCs w:val="24"/>
        </w:rPr>
      </w:pPr>
    </w:p>
    <w:p w14:paraId="35197E4F" w14:textId="77777777" w:rsidR="004329F5" w:rsidRPr="003B151A" w:rsidRDefault="004329F5" w:rsidP="00206963">
      <w:pPr>
        <w:pStyle w:val="Heading1"/>
        <w:ind w:left="0" w:firstLine="0"/>
        <w:jc w:val="center"/>
        <w:rPr>
          <w:color w:val="000000" w:themeColor="text1"/>
        </w:rPr>
      </w:pPr>
      <w:bookmarkStart w:id="0" w:name="_Toc187848944"/>
      <w:bookmarkStart w:id="1" w:name="_Toc204267220"/>
      <w:r w:rsidRPr="003B151A">
        <w:rPr>
          <w:color w:val="000000" w:themeColor="text1"/>
        </w:rPr>
        <w:t>ABSTRACT</w:t>
      </w:r>
      <w:bookmarkEnd w:id="0"/>
      <w:bookmarkEnd w:id="1"/>
    </w:p>
    <w:p w14:paraId="2E0F775D" w14:textId="6EBA3098" w:rsidR="004329F5" w:rsidRDefault="004118C3" w:rsidP="00206963">
      <w:pPr>
        <w:spacing w:after="0" w:line="240" w:lineRule="auto"/>
        <w:jc w:val="both"/>
        <w:rPr>
          <w:rFonts w:ascii="Times New Roman" w:hAnsi="Times New Roman" w:cs="Times New Roman"/>
          <w:color w:val="000000" w:themeColor="text1"/>
          <w:sz w:val="24"/>
          <w:szCs w:val="24"/>
        </w:rPr>
      </w:pPr>
      <w:r w:rsidRPr="004118C3">
        <w:rPr>
          <w:rFonts w:ascii="Times New Roman" w:hAnsi="Times New Roman" w:cs="Times New Roman"/>
          <w:color w:val="000000" w:themeColor="text1"/>
          <w:sz w:val="24"/>
          <w:szCs w:val="24"/>
        </w:rPr>
        <w:t>Despite the vital importance of girls' education to sustainable and inclusive development, significant number of primary school girls rarely advance to the next level of education,</w:t>
      </w:r>
      <w:r>
        <w:rPr>
          <w:rFonts w:ascii="Times New Roman" w:hAnsi="Times New Roman" w:cs="Times New Roman"/>
          <w:color w:val="000000" w:themeColor="text1"/>
          <w:sz w:val="24"/>
          <w:szCs w:val="24"/>
        </w:rPr>
        <w:t xml:space="preserve"> </w:t>
      </w:r>
      <w:r w:rsidR="004329F5" w:rsidRPr="003B151A">
        <w:rPr>
          <w:rFonts w:ascii="Times New Roman" w:hAnsi="Times New Roman" w:cs="Times New Roman"/>
          <w:color w:val="000000" w:themeColor="text1"/>
          <w:sz w:val="24"/>
          <w:szCs w:val="24"/>
        </w:rPr>
        <w:t>Transition challenges have been linked to a number of factors</w:t>
      </w:r>
      <w:r>
        <w:rPr>
          <w:rFonts w:ascii="Times New Roman" w:hAnsi="Times New Roman" w:cs="Times New Roman"/>
          <w:color w:val="000000" w:themeColor="text1"/>
          <w:sz w:val="24"/>
          <w:szCs w:val="24"/>
        </w:rPr>
        <w:t>, with cultural values featuring prominently.</w:t>
      </w:r>
      <w:r w:rsidR="004329F5" w:rsidRPr="003B151A">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refore, the</w:t>
      </w:r>
      <w:r w:rsidR="004329F5" w:rsidRPr="003B151A">
        <w:rPr>
          <w:rFonts w:ascii="Times New Roman" w:hAnsi="Times New Roman" w:cs="Times New Roman"/>
          <w:color w:val="000000" w:themeColor="text1"/>
          <w:sz w:val="24"/>
          <w:szCs w:val="24"/>
        </w:rPr>
        <w:t xml:space="preserve"> purpose of this study </w:t>
      </w:r>
      <w:r w:rsidR="00E2417C" w:rsidRPr="003B151A">
        <w:rPr>
          <w:rFonts w:ascii="Times New Roman" w:hAnsi="Times New Roman" w:cs="Times New Roman"/>
          <w:color w:val="000000" w:themeColor="text1"/>
          <w:sz w:val="24"/>
          <w:szCs w:val="24"/>
        </w:rPr>
        <w:t>was</w:t>
      </w:r>
      <w:r w:rsidR="004329F5" w:rsidRPr="003B151A">
        <w:rPr>
          <w:rFonts w:ascii="Times New Roman" w:hAnsi="Times New Roman" w:cs="Times New Roman"/>
          <w:color w:val="000000" w:themeColor="text1"/>
          <w:sz w:val="24"/>
          <w:szCs w:val="24"/>
        </w:rPr>
        <w:t xml:space="preserve"> to </w:t>
      </w:r>
      <w:r w:rsidR="00763C65">
        <w:rPr>
          <w:rFonts w:ascii="Times New Roman" w:hAnsi="Times New Roman" w:cs="Times New Roman"/>
          <w:color w:val="000000" w:themeColor="text1"/>
          <w:sz w:val="24"/>
          <w:szCs w:val="24"/>
        </w:rPr>
        <w:t xml:space="preserve">assess effect of </w:t>
      </w:r>
      <w:r w:rsidR="00763C65" w:rsidRPr="003B151A">
        <w:rPr>
          <w:rFonts w:ascii="Times New Roman" w:hAnsi="Times New Roman" w:cs="Times New Roman"/>
          <w:color w:val="000000" w:themeColor="text1"/>
          <w:sz w:val="24"/>
          <w:szCs w:val="24"/>
        </w:rPr>
        <w:t>cultural beliefs and practices</w:t>
      </w:r>
      <w:r w:rsidR="00763C65">
        <w:rPr>
          <w:rFonts w:ascii="Times New Roman" w:hAnsi="Times New Roman" w:cs="Times New Roman"/>
          <w:color w:val="000000" w:themeColor="text1"/>
          <w:sz w:val="24"/>
          <w:szCs w:val="24"/>
        </w:rPr>
        <w:t xml:space="preserve"> on</w:t>
      </w:r>
      <w:r w:rsidR="004329F5" w:rsidRPr="003B151A">
        <w:rPr>
          <w:rFonts w:ascii="Times New Roman" w:hAnsi="Times New Roman" w:cs="Times New Roman"/>
          <w:color w:val="000000" w:themeColor="text1"/>
          <w:sz w:val="24"/>
          <w:szCs w:val="24"/>
        </w:rPr>
        <w:t xml:space="preserve"> transition of girls from lower to upper primary in Balambala </w:t>
      </w:r>
      <w:r w:rsidR="00763C65" w:rsidRPr="003B151A">
        <w:rPr>
          <w:rFonts w:ascii="Times New Roman" w:hAnsi="Times New Roman" w:cs="Times New Roman"/>
          <w:color w:val="000000" w:themeColor="text1"/>
          <w:sz w:val="24"/>
          <w:szCs w:val="24"/>
        </w:rPr>
        <w:t>Sub- County</w:t>
      </w:r>
      <w:r w:rsidR="004329F5" w:rsidRPr="003B151A">
        <w:rPr>
          <w:rFonts w:ascii="Times New Roman" w:hAnsi="Times New Roman" w:cs="Times New Roman"/>
          <w:color w:val="000000" w:themeColor="text1"/>
          <w:sz w:val="24"/>
          <w:szCs w:val="24"/>
        </w:rPr>
        <w:t>, Garissa County, Kenya</w:t>
      </w:r>
      <w:r w:rsidR="00763C65">
        <w:rPr>
          <w:rFonts w:ascii="Times New Roman" w:hAnsi="Times New Roman" w:cs="Times New Roman"/>
          <w:color w:val="000000" w:themeColor="text1"/>
          <w:sz w:val="24"/>
          <w:szCs w:val="24"/>
        </w:rPr>
        <w:t>.</w:t>
      </w:r>
      <w:r w:rsidR="004329F5" w:rsidRPr="003B151A">
        <w:rPr>
          <w:rFonts w:ascii="Times New Roman" w:hAnsi="Times New Roman" w:cs="Times New Roman"/>
          <w:color w:val="000000" w:themeColor="text1"/>
          <w:sz w:val="24"/>
          <w:szCs w:val="24"/>
        </w:rPr>
        <w:t xml:space="preserve"> The study </w:t>
      </w:r>
      <w:r w:rsidR="00E2417C" w:rsidRPr="003B151A">
        <w:rPr>
          <w:rFonts w:ascii="Times New Roman" w:hAnsi="Times New Roman" w:cs="Times New Roman"/>
          <w:color w:val="000000" w:themeColor="text1"/>
          <w:sz w:val="24"/>
          <w:szCs w:val="24"/>
        </w:rPr>
        <w:t>was</w:t>
      </w:r>
      <w:r w:rsidR="004329F5" w:rsidRPr="003B151A">
        <w:rPr>
          <w:rFonts w:ascii="Times New Roman" w:hAnsi="Times New Roman" w:cs="Times New Roman"/>
          <w:color w:val="000000" w:themeColor="text1"/>
          <w:sz w:val="24"/>
          <w:szCs w:val="24"/>
        </w:rPr>
        <w:t xml:space="preserve"> </w:t>
      </w:r>
      <w:r w:rsidR="00763C65">
        <w:rPr>
          <w:rFonts w:ascii="Times New Roman" w:hAnsi="Times New Roman" w:cs="Times New Roman"/>
          <w:color w:val="000000" w:themeColor="text1"/>
          <w:sz w:val="24"/>
          <w:szCs w:val="24"/>
        </w:rPr>
        <w:t>anchored</w:t>
      </w:r>
      <w:r w:rsidR="004329F5" w:rsidRPr="003B151A">
        <w:rPr>
          <w:rFonts w:ascii="Times New Roman" w:hAnsi="Times New Roman" w:cs="Times New Roman"/>
          <w:color w:val="000000" w:themeColor="text1"/>
          <w:sz w:val="24"/>
          <w:szCs w:val="24"/>
        </w:rPr>
        <w:t xml:space="preserve"> on the liberal feminism theory. </w:t>
      </w:r>
      <w:r w:rsidR="00763C65">
        <w:rPr>
          <w:rFonts w:ascii="Times New Roman" w:hAnsi="Times New Roman" w:cs="Times New Roman"/>
          <w:color w:val="000000" w:themeColor="text1"/>
          <w:sz w:val="24"/>
          <w:szCs w:val="24"/>
        </w:rPr>
        <w:t>It</w:t>
      </w:r>
      <w:r w:rsidR="004329F5" w:rsidRPr="003B151A">
        <w:rPr>
          <w:rFonts w:ascii="Times New Roman" w:hAnsi="Times New Roman" w:cs="Times New Roman"/>
          <w:color w:val="000000" w:themeColor="text1"/>
          <w:sz w:val="24"/>
          <w:szCs w:val="24"/>
        </w:rPr>
        <w:t xml:space="preserve"> employ</w:t>
      </w:r>
      <w:r w:rsidR="00E2417C" w:rsidRPr="003B151A">
        <w:rPr>
          <w:rFonts w:ascii="Times New Roman" w:hAnsi="Times New Roman" w:cs="Times New Roman"/>
          <w:color w:val="000000" w:themeColor="text1"/>
          <w:sz w:val="24"/>
          <w:szCs w:val="24"/>
        </w:rPr>
        <w:t>ed</w:t>
      </w:r>
      <w:r w:rsidR="004329F5" w:rsidRPr="003B151A">
        <w:rPr>
          <w:rFonts w:ascii="Times New Roman" w:hAnsi="Times New Roman" w:cs="Times New Roman"/>
          <w:color w:val="000000" w:themeColor="text1"/>
          <w:sz w:val="24"/>
          <w:szCs w:val="24"/>
        </w:rPr>
        <w:t xml:space="preserve"> positivist research paradigm</w:t>
      </w:r>
      <w:r w:rsidR="00763C65">
        <w:rPr>
          <w:rFonts w:ascii="Times New Roman" w:hAnsi="Times New Roman" w:cs="Times New Roman"/>
          <w:color w:val="000000" w:themeColor="text1"/>
          <w:sz w:val="24"/>
          <w:szCs w:val="24"/>
        </w:rPr>
        <w:t xml:space="preserve"> and adopted</w:t>
      </w:r>
      <w:r w:rsidR="004329F5" w:rsidRPr="003B151A">
        <w:rPr>
          <w:rFonts w:ascii="Times New Roman" w:hAnsi="Times New Roman" w:cs="Times New Roman"/>
          <w:color w:val="000000" w:themeColor="text1"/>
          <w:sz w:val="24"/>
          <w:szCs w:val="24"/>
        </w:rPr>
        <w:t xml:space="preserve"> correlational research design. The </w:t>
      </w:r>
      <w:r>
        <w:rPr>
          <w:rFonts w:ascii="Times New Roman" w:hAnsi="Times New Roman" w:cs="Times New Roman"/>
          <w:color w:val="000000" w:themeColor="text1"/>
          <w:sz w:val="24"/>
          <w:szCs w:val="24"/>
        </w:rPr>
        <w:t xml:space="preserve">study </w:t>
      </w:r>
      <w:r w:rsidR="004329F5" w:rsidRPr="003B151A">
        <w:rPr>
          <w:rFonts w:ascii="Times New Roman" w:hAnsi="Times New Roman" w:cs="Times New Roman"/>
          <w:color w:val="000000" w:themeColor="text1"/>
          <w:sz w:val="24"/>
          <w:szCs w:val="24"/>
        </w:rPr>
        <w:t>target</w:t>
      </w:r>
      <w:r>
        <w:rPr>
          <w:rFonts w:ascii="Times New Roman" w:hAnsi="Times New Roman" w:cs="Times New Roman"/>
          <w:color w:val="000000" w:themeColor="text1"/>
          <w:sz w:val="24"/>
          <w:szCs w:val="24"/>
        </w:rPr>
        <w:t>ed</w:t>
      </w:r>
      <w:r w:rsidR="004329F5" w:rsidRPr="003B151A">
        <w:rPr>
          <w:rFonts w:ascii="Times New Roman" w:hAnsi="Times New Roman" w:cs="Times New Roman"/>
          <w:color w:val="000000" w:themeColor="text1"/>
          <w:sz w:val="24"/>
          <w:szCs w:val="24"/>
        </w:rPr>
        <w:t xml:space="preserve"> </w:t>
      </w:r>
      <w:r w:rsidR="00763C65">
        <w:rPr>
          <w:rFonts w:ascii="Times New Roman" w:hAnsi="Times New Roman" w:cs="Times New Roman"/>
          <w:color w:val="000000" w:themeColor="text1"/>
          <w:sz w:val="24"/>
          <w:szCs w:val="24"/>
        </w:rPr>
        <w:t xml:space="preserve">223 </w:t>
      </w:r>
      <w:r w:rsidR="004329F5" w:rsidRPr="003B151A">
        <w:rPr>
          <w:rFonts w:ascii="Times New Roman" w:hAnsi="Times New Roman" w:cs="Times New Roman"/>
          <w:color w:val="000000" w:themeColor="text1"/>
          <w:sz w:val="24"/>
          <w:szCs w:val="24"/>
        </w:rPr>
        <w:t>school management boards, teachers</w:t>
      </w:r>
      <w:r w:rsidR="00E2417C" w:rsidRPr="003B151A">
        <w:rPr>
          <w:rFonts w:ascii="Times New Roman" w:hAnsi="Times New Roman" w:cs="Times New Roman"/>
          <w:color w:val="000000" w:themeColor="text1"/>
          <w:sz w:val="24"/>
          <w:szCs w:val="24"/>
        </w:rPr>
        <w:t xml:space="preserve"> and</w:t>
      </w:r>
      <w:r w:rsidR="004329F5"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parent</w:t>
      </w:r>
      <w:r>
        <w:rPr>
          <w:rFonts w:ascii="Times New Roman" w:hAnsi="Times New Roman" w:cs="Times New Roman"/>
          <w:color w:val="000000" w:themeColor="text1"/>
          <w:sz w:val="24"/>
          <w:szCs w:val="24"/>
        </w:rPr>
        <w:t xml:space="preserve"> teacher </w:t>
      </w:r>
      <w:r w:rsidRPr="003B151A">
        <w:rPr>
          <w:rFonts w:ascii="Times New Roman" w:hAnsi="Times New Roman" w:cs="Times New Roman"/>
          <w:color w:val="000000" w:themeColor="text1"/>
          <w:sz w:val="24"/>
          <w:szCs w:val="24"/>
        </w:rPr>
        <w:t xml:space="preserve">association </w:t>
      </w:r>
      <w:r w:rsidR="004329F5" w:rsidRPr="003B151A">
        <w:rPr>
          <w:rFonts w:ascii="Times New Roman" w:hAnsi="Times New Roman" w:cs="Times New Roman"/>
          <w:color w:val="000000" w:themeColor="text1"/>
          <w:sz w:val="24"/>
          <w:szCs w:val="24"/>
        </w:rPr>
        <w:t xml:space="preserve">chairpersons </w:t>
      </w:r>
      <w:r>
        <w:rPr>
          <w:rFonts w:ascii="Times New Roman" w:hAnsi="Times New Roman" w:cs="Times New Roman"/>
          <w:color w:val="000000" w:themeColor="text1"/>
          <w:sz w:val="24"/>
          <w:szCs w:val="24"/>
        </w:rPr>
        <w:t xml:space="preserve">of schools </w:t>
      </w:r>
      <w:r w:rsidR="004329F5" w:rsidRPr="003B151A">
        <w:rPr>
          <w:rFonts w:ascii="Times New Roman" w:hAnsi="Times New Roman" w:cs="Times New Roman"/>
          <w:color w:val="000000" w:themeColor="text1"/>
          <w:sz w:val="24"/>
          <w:szCs w:val="24"/>
        </w:rPr>
        <w:t xml:space="preserve">in Balambala </w:t>
      </w:r>
      <w:r w:rsidR="00763C65" w:rsidRPr="003B151A">
        <w:rPr>
          <w:rFonts w:ascii="Times New Roman" w:hAnsi="Times New Roman" w:cs="Times New Roman"/>
          <w:color w:val="000000" w:themeColor="text1"/>
          <w:sz w:val="24"/>
          <w:szCs w:val="24"/>
        </w:rPr>
        <w:t>Sub</w:t>
      </w:r>
      <w:r w:rsidR="00763C65">
        <w:rPr>
          <w:rFonts w:ascii="Times New Roman" w:hAnsi="Times New Roman" w:cs="Times New Roman"/>
          <w:color w:val="000000" w:themeColor="text1"/>
          <w:sz w:val="24"/>
          <w:szCs w:val="24"/>
        </w:rPr>
        <w:t>county</w:t>
      </w:r>
      <w:r w:rsidR="004329F5" w:rsidRPr="003B151A">
        <w:rPr>
          <w:rFonts w:ascii="Times New Roman" w:hAnsi="Times New Roman" w:cs="Times New Roman"/>
          <w:color w:val="000000" w:themeColor="text1"/>
          <w:sz w:val="24"/>
          <w:szCs w:val="24"/>
        </w:rPr>
        <w:t xml:space="preserve">-. </w:t>
      </w:r>
      <w:r w:rsidR="00763C65">
        <w:rPr>
          <w:rFonts w:ascii="Times New Roman" w:hAnsi="Times New Roman" w:cs="Times New Roman"/>
          <w:color w:val="000000" w:themeColor="text1"/>
          <w:sz w:val="24"/>
          <w:szCs w:val="24"/>
        </w:rPr>
        <w:t>A</w:t>
      </w:r>
      <w:r w:rsidR="004329F5" w:rsidRPr="003B151A">
        <w:rPr>
          <w:rFonts w:ascii="Times New Roman" w:hAnsi="Times New Roman" w:cs="Times New Roman"/>
          <w:color w:val="000000" w:themeColor="text1"/>
          <w:sz w:val="24"/>
          <w:szCs w:val="24"/>
        </w:rPr>
        <w:t xml:space="preserve"> sample size </w:t>
      </w:r>
      <w:r>
        <w:rPr>
          <w:rFonts w:ascii="Times New Roman" w:hAnsi="Times New Roman" w:cs="Times New Roman"/>
          <w:color w:val="000000" w:themeColor="text1"/>
          <w:sz w:val="24"/>
          <w:szCs w:val="24"/>
        </w:rPr>
        <w:t xml:space="preserve">of </w:t>
      </w:r>
      <w:r w:rsidR="004329F5" w:rsidRPr="003B151A">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was chosen, </w:t>
      </w:r>
      <w:r w:rsidR="00763C65">
        <w:rPr>
          <w:rFonts w:ascii="Times New Roman" w:hAnsi="Times New Roman" w:cs="Times New Roman"/>
          <w:color w:val="000000" w:themeColor="text1"/>
          <w:sz w:val="24"/>
          <w:szCs w:val="24"/>
        </w:rPr>
        <w:t xml:space="preserve">translating to </w:t>
      </w:r>
      <w:r w:rsidR="00D85737" w:rsidRPr="003B151A">
        <w:rPr>
          <w:rFonts w:ascii="Times New Roman" w:hAnsi="Times New Roman" w:cs="Times New Roman"/>
          <w:color w:val="000000" w:themeColor="text1"/>
          <w:sz w:val="24"/>
          <w:szCs w:val="24"/>
        </w:rPr>
        <w:t xml:space="preserve">67 </w:t>
      </w:r>
      <w:r w:rsidR="004329F5" w:rsidRPr="003B151A">
        <w:rPr>
          <w:rFonts w:ascii="Times New Roman" w:hAnsi="Times New Roman" w:cs="Times New Roman"/>
          <w:color w:val="000000" w:themeColor="text1"/>
          <w:sz w:val="24"/>
          <w:szCs w:val="24"/>
        </w:rPr>
        <w:t xml:space="preserve">respondents. </w:t>
      </w:r>
      <w:r w:rsidR="00763C65">
        <w:rPr>
          <w:rFonts w:ascii="Times New Roman" w:hAnsi="Times New Roman" w:cs="Times New Roman"/>
          <w:color w:val="000000" w:themeColor="text1"/>
          <w:sz w:val="24"/>
          <w:szCs w:val="24"/>
        </w:rPr>
        <w:t>D</w:t>
      </w:r>
      <w:r w:rsidR="004329F5" w:rsidRPr="003B151A">
        <w:rPr>
          <w:rFonts w:ascii="Times New Roman" w:hAnsi="Times New Roman" w:cs="Times New Roman"/>
          <w:color w:val="000000" w:themeColor="text1"/>
          <w:sz w:val="24"/>
          <w:szCs w:val="24"/>
        </w:rPr>
        <w:t xml:space="preserve">ata </w:t>
      </w:r>
      <w:r w:rsidR="00763C65">
        <w:rPr>
          <w:rFonts w:ascii="Times New Roman" w:hAnsi="Times New Roman" w:cs="Times New Roman"/>
          <w:color w:val="000000" w:themeColor="text1"/>
          <w:sz w:val="24"/>
          <w:szCs w:val="24"/>
        </w:rPr>
        <w:t xml:space="preserve">was </w:t>
      </w:r>
      <w:r w:rsidR="004329F5" w:rsidRPr="003B151A">
        <w:rPr>
          <w:rFonts w:ascii="Times New Roman" w:hAnsi="Times New Roman" w:cs="Times New Roman"/>
          <w:color w:val="000000" w:themeColor="text1"/>
          <w:sz w:val="24"/>
          <w:szCs w:val="24"/>
        </w:rPr>
        <w:t>collect</w:t>
      </w:r>
      <w:r w:rsidR="00763C65">
        <w:rPr>
          <w:rFonts w:ascii="Times New Roman" w:hAnsi="Times New Roman" w:cs="Times New Roman"/>
          <w:color w:val="000000" w:themeColor="text1"/>
          <w:sz w:val="24"/>
          <w:szCs w:val="24"/>
        </w:rPr>
        <w:t xml:space="preserve">ed using </w:t>
      </w:r>
      <w:r w:rsidR="004329F5" w:rsidRPr="003B151A">
        <w:rPr>
          <w:rFonts w:ascii="Times New Roman" w:hAnsi="Times New Roman" w:cs="Times New Roman"/>
          <w:color w:val="000000" w:themeColor="text1"/>
          <w:sz w:val="24"/>
          <w:szCs w:val="24"/>
        </w:rPr>
        <w:t>both questionnaire and the interview guide. The study utilize</w:t>
      </w:r>
      <w:r w:rsidR="00D85737" w:rsidRPr="003B151A">
        <w:rPr>
          <w:rFonts w:ascii="Times New Roman" w:hAnsi="Times New Roman" w:cs="Times New Roman"/>
          <w:color w:val="000000" w:themeColor="text1"/>
          <w:sz w:val="24"/>
          <w:szCs w:val="24"/>
        </w:rPr>
        <w:t>d</w:t>
      </w:r>
      <w:r w:rsidR="004329F5" w:rsidRPr="003B151A">
        <w:rPr>
          <w:rFonts w:ascii="Times New Roman" w:hAnsi="Times New Roman" w:cs="Times New Roman"/>
          <w:color w:val="000000" w:themeColor="text1"/>
          <w:sz w:val="24"/>
          <w:szCs w:val="24"/>
        </w:rPr>
        <w:t xml:space="preserve"> the quantitative techniques mainly Pearson correlation coefficient to </w:t>
      </w:r>
      <w:r w:rsidR="00763C65">
        <w:rPr>
          <w:rFonts w:ascii="Times New Roman" w:hAnsi="Times New Roman" w:cs="Times New Roman"/>
          <w:color w:val="000000" w:themeColor="text1"/>
          <w:sz w:val="24"/>
          <w:szCs w:val="24"/>
        </w:rPr>
        <w:t xml:space="preserve">tests </w:t>
      </w:r>
      <w:r w:rsidR="004329F5" w:rsidRPr="003B151A">
        <w:rPr>
          <w:rFonts w:ascii="Times New Roman" w:hAnsi="Times New Roman" w:cs="Times New Roman"/>
          <w:color w:val="000000" w:themeColor="text1"/>
          <w:sz w:val="24"/>
          <w:szCs w:val="24"/>
        </w:rPr>
        <w:t>significance of relationships between variables.</w:t>
      </w:r>
      <w:r w:rsidR="00763C65">
        <w:rPr>
          <w:rFonts w:ascii="Times New Roman" w:hAnsi="Times New Roman" w:cs="Times New Roman"/>
          <w:color w:val="000000" w:themeColor="text1"/>
          <w:sz w:val="24"/>
          <w:szCs w:val="24"/>
        </w:rPr>
        <w:t xml:space="preserve"> The study revealed </w:t>
      </w:r>
      <w:r w:rsidR="004329F5" w:rsidRPr="003B151A">
        <w:rPr>
          <w:rFonts w:ascii="Times New Roman" w:hAnsi="Times New Roman" w:cs="Times New Roman"/>
          <w:color w:val="000000" w:themeColor="text1"/>
          <w:sz w:val="24"/>
          <w:szCs w:val="24"/>
        </w:rPr>
        <w:t xml:space="preserve">a significant positive relationship between culture and transition (r = .654, p = .000; β = 0.234, p = 0.011). </w:t>
      </w:r>
      <w:r w:rsidR="00763C65">
        <w:rPr>
          <w:rFonts w:ascii="Times New Roman" w:hAnsi="Times New Roman" w:cs="Times New Roman"/>
          <w:color w:val="000000" w:themeColor="text1"/>
          <w:sz w:val="24"/>
          <w:szCs w:val="24"/>
        </w:rPr>
        <w:t xml:space="preserve">The study concludes that </w:t>
      </w:r>
      <w:r w:rsidR="00763C65" w:rsidRPr="003B151A">
        <w:rPr>
          <w:rFonts w:ascii="Times New Roman" w:hAnsi="Times New Roman" w:cs="Times New Roman"/>
          <w:color w:val="000000" w:themeColor="text1"/>
          <w:sz w:val="24"/>
          <w:szCs w:val="24"/>
        </w:rPr>
        <w:t xml:space="preserve">cultural beliefs </w:t>
      </w:r>
      <w:r w:rsidR="00763C65">
        <w:rPr>
          <w:rFonts w:ascii="Times New Roman" w:hAnsi="Times New Roman" w:cs="Times New Roman"/>
          <w:color w:val="000000" w:themeColor="text1"/>
          <w:sz w:val="24"/>
          <w:szCs w:val="24"/>
        </w:rPr>
        <w:t xml:space="preserve">and </w:t>
      </w:r>
      <w:r w:rsidR="00763C65" w:rsidRPr="003B151A">
        <w:rPr>
          <w:rFonts w:ascii="Times New Roman" w:hAnsi="Times New Roman" w:cs="Times New Roman"/>
          <w:color w:val="000000" w:themeColor="text1"/>
          <w:sz w:val="24"/>
          <w:szCs w:val="24"/>
        </w:rPr>
        <w:t>practices</w:t>
      </w:r>
      <w:r w:rsidR="00763C65">
        <w:rPr>
          <w:rFonts w:ascii="Times New Roman" w:hAnsi="Times New Roman" w:cs="Times New Roman"/>
          <w:color w:val="000000" w:themeColor="text1"/>
          <w:sz w:val="24"/>
          <w:szCs w:val="24"/>
        </w:rPr>
        <w:t xml:space="preserve"> have strong </w:t>
      </w:r>
      <w:r w:rsidR="00763C65" w:rsidRPr="003B151A">
        <w:rPr>
          <w:rFonts w:ascii="Times New Roman" w:hAnsi="Times New Roman" w:cs="Times New Roman"/>
          <w:color w:val="000000" w:themeColor="text1"/>
          <w:sz w:val="24"/>
          <w:szCs w:val="24"/>
        </w:rPr>
        <w:t xml:space="preserve">significant positive </w:t>
      </w:r>
      <w:r w:rsidR="00763C65">
        <w:rPr>
          <w:rFonts w:ascii="Times New Roman" w:hAnsi="Times New Roman" w:cs="Times New Roman"/>
          <w:color w:val="000000" w:themeColor="text1"/>
          <w:sz w:val="24"/>
          <w:szCs w:val="24"/>
        </w:rPr>
        <w:t>on</w:t>
      </w:r>
      <w:r w:rsidR="00763C65" w:rsidRPr="003B151A">
        <w:rPr>
          <w:rFonts w:ascii="Times New Roman" w:hAnsi="Times New Roman" w:cs="Times New Roman"/>
          <w:color w:val="000000" w:themeColor="text1"/>
          <w:sz w:val="24"/>
          <w:szCs w:val="24"/>
        </w:rPr>
        <w:t xml:space="preserve"> transition of girls from lower to upper primary in Balambala Sub- County, Garissa County, Kenya</w:t>
      </w:r>
      <w:r w:rsidR="004329F5" w:rsidRPr="003B151A">
        <w:rPr>
          <w:rFonts w:ascii="Times New Roman" w:hAnsi="Times New Roman" w:cs="Times New Roman"/>
          <w:color w:val="000000" w:themeColor="text1"/>
          <w:sz w:val="24"/>
          <w:szCs w:val="24"/>
        </w:rPr>
        <w:t>.</w:t>
      </w:r>
      <w:r w:rsidR="005C0E2F" w:rsidRPr="005C0E2F">
        <w:t xml:space="preserve"> </w:t>
      </w:r>
      <w:r w:rsidR="005C0E2F" w:rsidRPr="005C0E2F">
        <w:rPr>
          <w:rFonts w:ascii="Times New Roman" w:hAnsi="Times New Roman" w:cs="Times New Roman"/>
          <w:color w:val="000000" w:themeColor="text1"/>
          <w:sz w:val="24"/>
          <w:szCs w:val="24"/>
        </w:rPr>
        <w:t>The study recommends that Government and education should implement context specific interventions, such as adult literacy initiatives to help improve awareness on the importance of girls’ education.  Engagements should target traditional leaders, religious figures, and male community members to challenge retrogressive practices like early marriage and gendered domestic roles.</w:t>
      </w:r>
      <w:r w:rsidR="00C77675" w:rsidRPr="00C77675">
        <w:t xml:space="preserve"> </w:t>
      </w:r>
      <w:r w:rsidR="00C77675" w:rsidRPr="00C77675">
        <w:rPr>
          <w:rFonts w:ascii="Times New Roman" w:hAnsi="Times New Roman" w:cs="Times New Roman"/>
          <w:color w:val="000000" w:themeColor="text1"/>
          <w:sz w:val="24"/>
          <w:szCs w:val="24"/>
        </w:rPr>
        <w:t>The findings highlight education policies that challenge harmful cultural norms, promote gender-responsive school practices, provide economic incentives, and implement child protection laws, while scaling up gender equality through education, community mobilization, and positive female role models. Strengthening girls' transition to upper primary education requires education policies that engage communities to combat harmful cultural norms, support schools in adopting gender-sensitive practices, and provide monetary incentives to reduce economic barriers. Reliable, gender-disaggregated data systems are necessary for targeted interventions. In encouraging gender equity, the enforcement of early marriage laws, empowering girls through education, and showcasing successful female models can have a great impact on societal attitudes and encourage girls to continue with their education.</w:t>
      </w:r>
    </w:p>
    <w:p w14:paraId="68F4A72B" w14:textId="259BFCC0" w:rsidR="00763C65" w:rsidRDefault="00763C65" w:rsidP="002069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Keywords: </w:t>
      </w:r>
      <w:r w:rsidRPr="003B151A">
        <w:rPr>
          <w:rFonts w:ascii="Times New Roman" w:hAnsi="Times New Roman" w:cs="Times New Roman"/>
          <w:color w:val="000000" w:themeColor="text1"/>
          <w:sz w:val="24"/>
          <w:szCs w:val="24"/>
        </w:rPr>
        <w:t xml:space="preserve">Cultural Beliefs </w:t>
      </w:r>
      <w:r>
        <w:rPr>
          <w:rFonts w:ascii="Times New Roman" w:hAnsi="Times New Roman" w:cs="Times New Roman"/>
          <w:color w:val="000000" w:themeColor="text1"/>
          <w:sz w:val="24"/>
          <w:szCs w:val="24"/>
        </w:rPr>
        <w:t xml:space="preserve">and </w:t>
      </w:r>
      <w:r w:rsidRPr="003B151A">
        <w:rPr>
          <w:rFonts w:ascii="Times New Roman" w:hAnsi="Times New Roman" w:cs="Times New Roman"/>
          <w:color w:val="000000" w:themeColor="text1"/>
          <w:sz w:val="24"/>
          <w:szCs w:val="24"/>
        </w:rPr>
        <w:t>Practices</w:t>
      </w:r>
      <w:r>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Girl’s Education</w:t>
      </w:r>
      <w:r>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Primary </w:t>
      </w:r>
      <w:r>
        <w:rPr>
          <w:rFonts w:ascii="Times New Roman" w:hAnsi="Times New Roman" w:cs="Times New Roman"/>
          <w:color w:val="000000" w:themeColor="text1"/>
          <w:sz w:val="24"/>
          <w:szCs w:val="24"/>
        </w:rPr>
        <w:t xml:space="preserve">School, </w:t>
      </w:r>
      <w:r w:rsidRPr="003B151A">
        <w:rPr>
          <w:rFonts w:ascii="Times New Roman" w:hAnsi="Times New Roman" w:cs="Times New Roman"/>
          <w:color w:val="000000" w:themeColor="text1"/>
          <w:sz w:val="24"/>
          <w:szCs w:val="24"/>
        </w:rPr>
        <w:t>Transition</w:t>
      </w:r>
    </w:p>
    <w:p w14:paraId="6C3C0A2B" w14:textId="565F0B35" w:rsidR="00987887" w:rsidRDefault="00987887" w:rsidP="00206963">
      <w:pPr>
        <w:spacing w:after="0" w:line="240" w:lineRule="auto"/>
        <w:jc w:val="both"/>
        <w:rPr>
          <w:rFonts w:ascii="Times New Roman" w:hAnsi="Times New Roman" w:cs="Times New Roman"/>
          <w:color w:val="000000" w:themeColor="text1"/>
          <w:sz w:val="24"/>
          <w:szCs w:val="24"/>
        </w:rPr>
      </w:pPr>
    </w:p>
    <w:p w14:paraId="173DC633" w14:textId="77777777" w:rsidR="00987887" w:rsidRPr="003B151A" w:rsidRDefault="00987887" w:rsidP="00206963">
      <w:pPr>
        <w:spacing w:after="0" w:line="240" w:lineRule="auto"/>
        <w:jc w:val="both"/>
        <w:rPr>
          <w:rFonts w:ascii="Times New Roman" w:hAnsi="Times New Roman" w:cs="Times New Roman"/>
          <w:color w:val="000000" w:themeColor="text1"/>
          <w:sz w:val="24"/>
          <w:szCs w:val="24"/>
        </w:rPr>
      </w:pPr>
    </w:p>
    <w:p w14:paraId="5FEA1C9C" w14:textId="77777777" w:rsidR="00C43C7F" w:rsidRPr="003B151A" w:rsidRDefault="00C43C7F" w:rsidP="00206963">
      <w:pPr>
        <w:pStyle w:val="Heading1"/>
        <w:ind w:left="0" w:firstLine="0"/>
        <w:jc w:val="center"/>
        <w:rPr>
          <w:color w:val="000000" w:themeColor="text1"/>
        </w:rPr>
      </w:pPr>
      <w:bookmarkStart w:id="2" w:name="_Toc187848946"/>
      <w:bookmarkStart w:id="3" w:name="_Toc204267225"/>
      <w:r w:rsidRPr="003B151A">
        <w:rPr>
          <w:color w:val="000000" w:themeColor="text1"/>
        </w:rPr>
        <w:t>INTRODUCTION</w:t>
      </w:r>
      <w:bookmarkEnd w:id="2"/>
      <w:bookmarkEnd w:id="3"/>
    </w:p>
    <w:p w14:paraId="64444006" w14:textId="2E3E470B"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4" w:name="_Toc187848948"/>
      <w:bookmarkStart w:id="5" w:name="_Toc204267227"/>
      <w:r w:rsidRPr="003B151A">
        <w:rPr>
          <w:rFonts w:ascii="Times New Roman" w:hAnsi="Times New Roman" w:cs="Times New Roman"/>
          <w:b/>
          <w:color w:val="000000" w:themeColor="text1"/>
          <w:sz w:val="24"/>
          <w:szCs w:val="24"/>
        </w:rPr>
        <w:t>Background to the Study</w:t>
      </w:r>
      <w:bookmarkEnd w:id="4"/>
      <w:bookmarkEnd w:id="5"/>
    </w:p>
    <w:p w14:paraId="5F111E53" w14:textId="18D2CBA3" w:rsidR="00B73349" w:rsidRDefault="002604CC"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Globally, basic primary education is acknowledged as a fundamental human right</w:t>
      </w:r>
      <w:r w:rsidR="00763C65">
        <w:rPr>
          <w:rFonts w:ascii="Times New Roman" w:hAnsi="Times New Roman" w:cs="Times New Roman"/>
          <w:color w:val="000000" w:themeColor="text1"/>
          <w:sz w:val="24"/>
          <w:szCs w:val="24"/>
        </w:rPr>
        <w:t xml:space="preserve"> which</w:t>
      </w:r>
      <w:r w:rsidR="004E7C57" w:rsidRPr="003B151A">
        <w:rPr>
          <w:rFonts w:ascii="Times New Roman" w:hAnsi="Times New Roman" w:cs="Times New Roman"/>
          <w:color w:val="000000" w:themeColor="text1"/>
          <w:sz w:val="24"/>
          <w:szCs w:val="24"/>
        </w:rPr>
        <w:t xml:space="preserve"> foster</w:t>
      </w:r>
      <w:r w:rsidR="00763C65">
        <w:rPr>
          <w:rFonts w:ascii="Times New Roman" w:hAnsi="Times New Roman" w:cs="Times New Roman"/>
          <w:color w:val="000000" w:themeColor="text1"/>
          <w:sz w:val="24"/>
          <w:szCs w:val="24"/>
        </w:rPr>
        <w:t>s</w:t>
      </w:r>
      <w:r w:rsidR="004E7C57" w:rsidRPr="003B151A">
        <w:rPr>
          <w:rFonts w:ascii="Times New Roman" w:hAnsi="Times New Roman" w:cs="Times New Roman"/>
          <w:color w:val="000000" w:themeColor="text1"/>
          <w:sz w:val="24"/>
          <w:szCs w:val="24"/>
        </w:rPr>
        <w:t xml:space="preserve"> the full </w:t>
      </w:r>
      <w:r w:rsidR="004E7C57" w:rsidRPr="004B51C7">
        <w:rPr>
          <w:rFonts w:ascii="Times New Roman" w:hAnsi="Times New Roman" w:cs="Times New Roman"/>
          <w:color w:val="000000" w:themeColor="text1"/>
          <w:sz w:val="24"/>
          <w:szCs w:val="24"/>
        </w:rPr>
        <w:t>development of human personality, dignity</w:t>
      </w:r>
      <w:r w:rsidR="00C7417D" w:rsidRPr="004B51C7">
        <w:rPr>
          <w:rFonts w:ascii="Times New Roman" w:hAnsi="Times New Roman" w:cs="Times New Roman"/>
          <w:color w:val="000000" w:themeColor="text1"/>
          <w:sz w:val="24"/>
          <w:szCs w:val="24"/>
        </w:rPr>
        <w:t xml:space="preserve"> </w:t>
      </w:r>
      <w:r w:rsidR="004E7C57" w:rsidRPr="004B51C7">
        <w:rPr>
          <w:rFonts w:ascii="Times New Roman" w:hAnsi="Times New Roman" w:cs="Times New Roman"/>
          <w:color w:val="000000" w:themeColor="text1"/>
          <w:sz w:val="24"/>
          <w:szCs w:val="24"/>
        </w:rPr>
        <w:t>and respect for human rights and fundamental freedoms</w:t>
      </w:r>
      <w:r w:rsidR="00C7417D" w:rsidRPr="004B51C7">
        <w:rPr>
          <w:rFonts w:ascii="Times New Roman" w:hAnsi="Times New Roman" w:cs="Times New Roman"/>
          <w:color w:val="000000" w:themeColor="text1"/>
          <w:sz w:val="24"/>
          <w:szCs w:val="24"/>
        </w:rPr>
        <w:t xml:space="preserve"> (</w:t>
      </w:r>
      <w:proofErr w:type="spellStart"/>
      <w:r w:rsidR="004B51C7" w:rsidRPr="004B51C7">
        <w:rPr>
          <w:rFonts w:ascii="Times New Roman" w:hAnsi="Times New Roman" w:cs="Times New Roman"/>
          <w:color w:val="000000" w:themeColor="text1"/>
          <w:sz w:val="24"/>
          <w:szCs w:val="24"/>
        </w:rPr>
        <w:t>Kefallinou</w:t>
      </w:r>
      <w:proofErr w:type="spellEnd"/>
      <w:r w:rsidR="004B51C7" w:rsidRPr="004B51C7">
        <w:rPr>
          <w:rFonts w:ascii="Times New Roman" w:hAnsi="Times New Roman" w:cs="Times New Roman"/>
          <w:color w:val="000000" w:themeColor="text1"/>
          <w:sz w:val="24"/>
          <w:szCs w:val="24"/>
        </w:rPr>
        <w:t xml:space="preserve">, </w:t>
      </w:r>
      <w:proofErr w:type="spellStart"/>
      <w:r w:rsidR="004B51C7" w:rsidRPr="004B51C7">
        <w:rPr>
          <w:rFonts w:ascii="Times New Roman" w:hAnsi="Times New Roman" w:cs="Times New Roman"/>
          <w:color w:val="000000" w:themeColor="text1"/>
          <w:sz w:val="24"/>
          <w:szCs w:val="24"/>
        </w:rPr>
        <w:t>Symeonidou</w:t>
      </w:r>
      <w:proofErr w:type="spellEnd"/>
      <w:r w:rsidR="004B51C7" w:rsidRPr="004B51C7">
        <w:rPr>
          <w:rFonts w:ascii="Times New Roman" w:hAnsi="Times New Roman" w:cs="Times New Roman"/>
          <w:color w:val="000000" w:themeColor="text1"/>
          <w:sz w:val="24"/>
          <w:szCs w:val="24"/>
        </w:rPr>
        <w:t xml:space="preserve"> &amp; Meijer</w:t>
      </w:r>
      <w:r w:rsidR="008F07CB" w:rsidRPr="004B51C7">
        <w:rPr>
          <w:rFonts w:ascii="Times New Roman" w:hAnsi="Times New Roman" w:cs="Times New Roman"/>
          <w:color w:val="000000" w:themeColor="text1"/>
          <w:sz w:val="24"/>
          <w:szCs w:val="24"/>
        </w:rPr>
        <w:t>, 20</w:t>
      </w:r>
      <w:r w:rsidR="004B51C7" w:rsidRPr="004B51C7">
        <w:rPr>
          <w:rFonts w:ascii="Times New Roman" w:hAnsi="Times New Roman" w:cs="Times New Roman"/>
          <w:color w:val="000000" w:themeColor="text1"/>
          <w:sz w:val="24"/>
          <w:szCs w:val="24"/>
        </w:rPr>
        <w:t>20</w:t>
      </w:r>
      <w:r w:rsidR="008F07CB" w:rsidRPr="004B51C7">
        <w:rPr>
          <w:rFonts w:ascii="Times New Roman" w:hAnsi="Times New Roman" w:cs="Times New Roman"/>
          <w:color w:val="000000" w:themeColor="text1"/>
          <w:sz w:val="24"/>
          <w:szCs w:val="24"/>
        </w:rPr>
        <w:t>).</w:t>
      </w:r>
      <w:r w:rsidR="00C7417D" w:rsidRPr="004B51C7">
        <w:rPr>
          <w:rFonts w:ascii="Times New Roman" w:hAnsi="Times New Roman" w:cs="Times New Roman"/>
          <w:color w:val="000000" w:themeColor="text1"/>
          <w:sz w:val="24"/>
          <w:szCs w:val="24"/>
        </w:rPr>
        <w:t xml:space="preserve"> Thus, the right to education is a fundamental human right universally affirmed in numerous 20</w:t>
      </w:r>
      <w:r w:rsidR="00C7417D" w:rsidRPr="004B51C7">
        <w:rPr>
          <w:rFonts w:ascii="Times New Roman" w:hAnsi="Times New Roman" w:cs="Times New Roman"/>
          <w:color w:val="000000" w:themeColor="text1"/>
          <w:sz w:val="24"/>
          <w:szCs w:val="24"/>
          <w:vertAlign w:val="superscript"/>
        </w:rPr>
        <w:t>th</w:t>
      </w:r>
      <w:r w:rsidR="00C7417D" w:rsidRPr="003B151A">
        <w:rPr>
          <w:rFonts w:ascii="Times New Roman" w:hAnsi="Times New Roman" w:cs="Times New Roman"/>
          <w:color w:val="000000" w:themeColor="text1"/>
          <w:sz w:val="24"/>
          <w:szCs w:val="24"/>
        </w:rPr>
        <w:t xml:space="preserve"> century international documents that guarantee its protection for all individuals regardless of race, color, religion, gender or social status.</w:t>
      </w:r>
      <w:r w:rsidR="00785917" w:rsidRPr="003B151A">
        <w:rPr>
          <w:rFonts w:ascii="Times New Roman" w:hAnsi="Times New Roman" w:cs="Times New Roman"/>
          <w:color w:val="000000" w:themeColor="text1"/>
          <w:sz w:val="24"/>
          <w:szCs w:val="24"/>
        </w:rPr>
        <w:t xml:space="preserve"> </w:t>
      </w:r>
      <w:r w:rsidR="005C0E2F">
        <w:rPr>
          <w:rFonts w:ascii="Times New Roman" w:hAnsi="Times New Roman" w:cs="Times New Roman"/>
          <w:color w:val="000000" w:themeColor="text1"/>
          <w:sz w:val="24"/>
          <w:szCs w:val="24"/>
        </w:rPr>
        <w:t xml:space="preserve"> This is particularly emphasised in the Sustainable</w:t>
      </w:r>
      <w:r w:rsidR="00302F5D" w:rsidRPr="003B151A">
        <w:rPr>
          <w:rFonts w:ascii="Times New Roman" w:hAnsi="Times New Roman" w:cs="Times New Roman"/>
          <w:color w:val="000000" w:themeColor="text1"/>
          <w:sz w:val="24"/>
          <w:szCs w:val="24"/>
        </w:rPr>
        <w:t xml:space="preserve"> Development Goals (</w:t>
      </w:r>
      <w:r w:rsidR="005C0E2F">
        <w:rPr>
          <w:rFonts w:ascii="Times New Roman" w:hAnsi="Times New Roman" w:cs="Times New Roman"/>
          <w:color w:val="000000" w:themeColor="text1"/>
          <w:sz w:val="24"/>
          <w:szCs w:val="24"/>
        </w:rPr>
        <w:t>S</w:t>
      </w:r>
      <w:r w:rsidR="00302F5D" w:rsidRPr="003B151A">
        <w:rPr>
          <w:rFonts w:ascii="Times New Roman" w:hAnsi="Times New Roman" w:cs="Times New Roman"/>
          <w:color w:val="000000" w:themeColor="text1"/>
          <w:sz w:val="24"/>
          <w:szCs w:val="24"/>
        </w:rPr>
        <w:t xml:space="preserve">DGs) </w:t>
      </w:r>
      <w:r w:rsidR="008C0945" w:rsidRPr="003B151A">
        <w:rPr>
          <w:rFonts w:ascii="Times New Roman" w:hAnsi="Times New Roman" w:cs="Times New Roman"/>
          <w:color w:val="000000" w:themeColor="text1"/>
          <w:sz w:val="24"/>
          <w:szCs w:val="24"/>
        </w:rPr>
        <w:t>SDG</w:t>
      </w:r>
      <w:r w:rsidR="00FD554A" w:rsidRPr="003B151A">
        <w:rPr>
          <w:rFonts w:ascii="Times New Roman" w:hAnsi="Times New Roman" w:cs="Times New Roman"/>
          <w:color w:val="000000" w:themeColor="text1"/>
          <w:sz w:val="24"/>
          <w:szCs w:val="24"/>
        </w:rPr>
        <w:t xml:space="preserve"> 4</w:t>
      </w:r>
      <w:r w:rsidR="008C0945" w:rsidRPr="003B151A">
        <w:rPr>
          <w:rFonts w:ascii="Times New Roman" w:hAnsi="Times New Roman" w:cs="Times New Roman"/>
          <w:color w:val="000000" w:themeColor="text1"/>
          <w:sz w:val="24"/>
          <w:szCs w:val="24"/>
        </w:rPr>
        <w:t xml:space="preserve"> </w:t>
      </w:r>
      <w:r w:rsidR="005C0E2F">
        <w:rPr>
          <w:rFonts w:ascii="Times New Roman" w:hAnsi="Times New Roman" w:cs="Times New Roman"/>
          <w:color w:val="000000" w:themeColor="text1"/>
          <w:sz w:val="24"/>
          <w:szCs w:val="24"/>
        </w:rPr>
        <w:t xml:space="preserve">which focuses on </w:t>
      </w:r>
      <w:r w:rsidR="008C0945" w:rsidRPr="003B151A">
        <w:rPr>
          <w:rFonts w:ascii="Times New Roman" w:hAnsi="Times New Roman" w:cs="Times New Roman"/>
          <w:color w:val="000000" w:themeColor="text1"/>
          <w:sz w:val="24"/>
          <w:szCs w:val="24"/>
        </w:rPr>
        <w:t>ensur</w:t>
      </w:r>
      <w:r w:rsidR="005C0E2F">
        <w:rPr>
          <w:rFonts w:ascii="Times New Roman" w:hAnsi="Times New Roman" w:cs="Times New Roman"/>
          <w:color w:val="000000" w:themeColor="text1"/>
          <w:sz w:val="24"/>
          <w:szCs w:val="24"/>
        </w:rPr>
        <w:t>ing</w:t>
      </w:r>
      <w:r w:rsidR="008C0945" w:rsidRPr="003B151A">
        <w:rPr>
          <w:rFonts w:ascii="Times New Roman" w:hAnsi="Times New Roman" w:cs="Times New Roman"/>
          <w:color w:val="000000" w:themeColor="text1"/>
          <w:sz w:val="24"/>
          <w:szCs w:val="24"/>
        </w:rPr>
        <w:t xml:space="preserve"> inclusive and equitable quality education and promote lifelong learning opportunities for all (United Nations, 2015).</w:t>
      </w:r>
      <w:r w:rsidR="005C0E2F">
        <w:rPr>
          <w:rFonts w:ascii="Times New Roman" w:hAnsi="Times New Roman" w:cs="Times New Roman"/>
          <w:color w:val="000000" w:themeColor="text1"/>
          <w:sz w:val="24"/>
          <w:szCs w:val="24"/>
        </w:rPr>
        <w:t xml:space="preserve"> </w:t>
      </w:r>
      <w:r w:rsidR="00044085" w:rsidRPr="003B151A">
        <w:rPr>
          <w:rFonts w:ascii="Times New Roman" w:hAnsi="Times New Roman" w:cs="Times New Roman"/>
          <w:color w:val="000000" w:themeColor="text1"/>
          <w:sz w:val="24"/>
          <w:szCs w:val="24"/>
        </w:rPr>
        <w:t>Despite global efforts to improve access to basic education and transit to next levels, challenges in achieving high transition rates persist hitherto especially in the case of the girls.</w:t>
      </w:r>
      <w:r w:rsidR="003A7475" w:rsidRPr="003B151A">
        <w:rPr>
          <w:rFonts w:ascii="Times New Roman" w:hAnsi="Times New Roman" w:cs="Times New Roman"/>
          <w:color w:val="000000" w:themeColor="text1"/>
          <w:sz w:val="24"/>
          <w:szCs w:val="24"/>
        </w:rPr>
        <w:t xml:space="preserve"> </w:t>
      </w:r>
      <w:r w:rsidR="00853104" w:rsidRPr="003B151A">
        <w:rPr>
          <w:rFonts w:ascii="Times New Roman" w:hAnsi="Times New Roman" w:cs="Times New Roman"/>
          <w:color w:val="000000" w:themeColor="text1"/>
          <w:sz w:val="24"/>
          <w:szCs w:val="24"/>
        </w:rPr>
        <w:t xml:space="preserve">While global gender gaps in enrollment and attendance have been narrowing, sub-Saharan </w:t>
      </w:r>
      <w:r w:rsidR="00853104" w:rsidRPr="003B151A">
        <w:rPr>
          <w:rFonts w:ascii="Times New Roman" w:hAnsi="Times New Roman" w:cs="Times New Roman"/>
          <w:color w:val="000000" w:themeColor="text1"/>
          <w:sz w:val="24"/>
          <w:szCs w:val="24"/>
        </w:rPr>
        <w:lastRenderedPageBreak/>
        <w:t>Africa remains the region furthest from achieving parity, with girls facing significant challenges in transitioning between educational levels (UNESCO, 2022)</w:t>
      </w:r>
      <w:r w:rsidR="00B73349">
        <w:rPr>
          <w:rFonts w:ascii="Times New Roman" w:hAnsi="Times New Roman" w:cs="Times New Roman"/>
          <w:color w:val="000000" w:themeColor="text1"/>
          <w:sz w:val="24"/>
          <w:szCs w:val="24"/>
        </w:rPr>
        <w:t xml:space="preserve"> </w:t>
      </w:r>
    </w:p>
    <w:p w14:paraId="3FC0FD65" w14:textId="62F7FF7C" w:rsidR="000D0CCA" w:rsidRPr="003B151A" w:rsidRDefault="005A3CAF"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In Africa, although efforts toward universal primary education have led to increased enrollment of girls in many countries, the transition rates to higher levels of education have not kept pace with this growth</w:t>
      </w:r>
      <w:r w:rsidR="00944D4C" w:rsidRPr="003B151A">
        <w:rPr>
          <w:rFonts w:ascii="Times New Roman" w:hAnsi="Times New Roman" w:cs="Times New Roman"/>
          <w:color w:val="000000" w:themeColor="text1"/>
          <w:sz w:val="24"/>
          <w:szCs w:val="24"/>
        </w:rPr>
        <w:t xml:space="preserve"> (</w:t>
      </w:r>
      <w:proofErr w:type="spellStart"/>
      <w:r w:rsidR="00944D4C" w:rsidRPr="003B151A">
        <w:rPr>
          <w:rFonts w:ascii="Times New Roman" w:hAnsi="Times New Roman" w:cs="Times New Roman"/>
          <w:color w:val="000000" w:themeColor="text1"/>
          <w:sz w:val="24"/>
          <w:szCs w:val="24"/>
        </w:rPr>
        <w:t>Waruru</w:t>
      </w:r>
      <w:proofErr w:type="spellEnd"/>
      <w:r w:rsidR="00944D4C" w:rsidRPr="003B151A">
        <w:rPr>
          <w:rFonts w:ascii="Times New Roman" w:hAnsi="Times New Roman" w:cs="Times New Roman"/>
          <w:color w:val="000000" w:themeColor="text1"/>
          <w:sz w:val="24"/>
          <w:szCs w:val="24"/>
        </w:rPr>
        <w:t>, 2024)</w:t>
      </w:r>
      <w:r w:rsidRPr="003B151A">
        <w:rPr>
          <w:rFonts w:ascii="Times New Roman" w:hAnsi="Times New Roman" w:cs="Times New Roman"/>
          <w:color w:val="000000" w:themeColor="text1"/>
          <w:sz w:val="24"/>
          <w:szCs w:val="24"/>
        </w:rPr>
        <w:t xml:space="preserve">. </w:t>
      </w:r>
      <w:r w:rsidR="000D0CCA" w:rsidRPr="003B151A">
        <w:rPr>
          <w:rFonts w:ascii="Times New Roman" w:hAnsi="Times New Roman" w:cs="Times New Roman"/>
          <w:color w:val="000000" w:themeColor="text1"/>
          <w:sz w:val="24"/>
          <w:szCs w:val="24"/>
        </w:rPr>
        <w:t xml:space="preserve">In addition, the gender disparities have been evident where the female gender remains vulnerable in the countries for instance Somalia, Mali, Ethiopia and Liberia thus to great extent </w:t>
      </w:r>
      <w:r w:rsidR="00944D4C" w:rsidRPr="003B151A">
        <w:rPr>
          <w:rFonts w:ascii="Times New Roman" w:hAnsi="Times New Roman" w:cs="Times New Roman"/>
          <w:color w:val="000000" w:themeColor="text1"/>
          <w:sz w:val="24"/>
          <w:szCs w:val="24"/>
        </w:rPr>
        <w:t>agreeable</w:t>
      </w:r>
      <w:r w:rsidR="000D0CCA" w:rsidRPr="003B151A">
        <w:rPr>
          <w:rFonts w:ascii="Times New Roman" w:hAnsi="Times New Roman" w:cs="Times New Roman"/>
          <w:color w:val="000000" w:themeColor="text1"/>
          <w:sz w:val="24"/>
          <w:szCs w:val="24"/>
        </w:rPr>
        <w:t xml:space="preserve"> that in most developing countries, the boys are more educated than girls despite high enrollment of the girls than boys at the beginning of various educational levels. </w:t>
      </w:r>
      <w:r w:rsidR="00EC1CFF" w:rsidRPr="003B151A">
        <w:rPr>
          <w:rFonts w:ascii="Times New Roman" w:hAnsi="Times New Roman" w:cs="Times New Roman"/>
          <w:color w:val="000000" w:themeColor="text1"/>
          <w:sz w:val="24"/>
          <w:szCs w:val="24"/>
        </w:rPr>
        <w:t>In Malawi, girls face educational disadvantages due to concerns about safety, long distances to school, and vulnerability to pregnancy, which often leads to early withdrawal (UNESCO, 2014; Waswa, 2015). Early marriage, driven by poverty and the need to reduce household constraints, further compounds the issue (Krop, 2017). These factors result in higher dropout rates for girls, particularly in senior primary school, limiting their transition to secondary education (UN, 2013). Generally, i</w:t>
      </w:r>
      <w:r w:rsidR="005D5685" w:rsidRPr="003B151A">
        <w:rPr>
          <w:rFonts w:ascii="Times New Roman" w:hAnsi="Times New Roman" w:cs="Times New Roman"/>
          <w:color w:val="000000" w:themeColor="text1"/>
          <w:sz w:val="24"/>
          <w:szCs w:val="24"/>
        </w:rPr>
        <w:t xml:space="preserve">n Sub-Saharan Africa, girls are 20% less likely to enroll in school compared to boys. Which is also the case in the consideration of the transitions to next levels in the education process (UN, 2013). </w:t>
      </w:r>
      <w:r w:rsidR="000D0CCA" w:rsidRPr="003B151A">
        <w:rPr>
          <w:rFonts w:ascii="Times New Roman" w:hAnsi="Times New Roman" w:cs="Times New Roman"/>
          <w:color w:val="000000" w:themeColor="text1"/>
          <w:sz w:val="24"/>
          <w:szCs w:val="24"/>
        </w:rPr>
        <w:t>This is evident that there has been transition challenges hitting girls heavier than the boys.</w:t>
      </w:r>
    </w:p>
    <w:p w14:paraId="7B1235E7" w14:textId="398C618C" w:rsidR="007D32E7" w:rsidRPr="003B151A" w:rsidRDefault="00A16D31"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Kenya </w:t>
      </w:r>
      <w:r w:rsidR="00B73349">
        <w:rPr>
          <w:rFonts w:ascii="Times New Roman" w:hAnsi="Times New Roman" w:cs="Times New Roman"/>
          <w:color w:val="000000" w:themeColor="text1"/>
          <w:sz w:val="24"/>
          <w:szCs w:val="24"/>
        </w:rPr>
        <w:t xml:space="preserve">s no exception since in </w:t>
      </w:r>
      <w:r w:rsidR="000C7874" w:rsidRPr="003B151A">
        <w:rPr>
          <w:rFonts w:ascii="Times New Roman" w:hAnsi="Times New Roman" w:cs="Times New Roman"/>
          <w:color w:val="000000" w:themeColor="text1"/>
          <w:sz w:val="24"/>
          <w:szCs w:val="24"/>
        </w:rPr>
        <w:t>Kaji</w:t>
      </w:r>
      <w:r w:rsidR="00E158ED" w:rsidRPr="003B151A">
        <w:rPr>
          <w:rFonts w:ascii="Times New Roman" w:hAnsi="Times New Roman" w:cs="Times New Roman"/>
          <w:color w:val="000000" w:themeColor="text1"/>
          <w:sz w:val="24"/>
          <w:szCs w:val="24"/>
        </w:rPr>
        <w:t>a</w:t>
      </w:r>
      <w:r w:rsidR="000C7874" w:rsidRPr="003B151A">
        <w:rPr>
          <w:rFonts w:ascii="Times New Roman" w:hAnsi="Times New Roman" w:cs="Times New Roman"/>
          <w:color w:val="000000" w:themeColor="text1"/>
          <w:sz w:val="24"/>
          <w:szCs w:val="24"/>
        </w:rPr>
        <w:t>do county</w:t>
      </w:r>
      <w:r w:rsidR="00B73349">
        <w:rPr>
          <w:rFonts w:ascii="Times New Roman" w:hAnsi="Times New Roman" w:cs="Times New Roman"/>
          <w:color w:val="000000" w:themeColor="text1"/>
          <w:sz w:val="24"/>
          <w:szCs w:val="24"/>
        </w:rPr>
        <w:t>,</w:t>
      </w:r>
      <w:r w:rsidR="00491870" w:rsidRPr="003B151A">
        <w:rPr>
          <w:rFonts w:ascii="Times New Roman" w:hAnsi="Times New Roman" w:cs="Times New Roman"/>
          <w:color w:val="000000" w:themeColor="text1"/>
          <w:sz w:val="24"/>
          <w:szCs w:val="24"/>
        </w:rPr>
        <w:t xml:space="preserve"> early teenage pregnancies</w:t>
      </w:r>
      <w:r w:rsidR="00B73349">
        <w:rPr>
          <w:rFonts w:ascii="Times New Roman" w:hAnsi="Times New Roman" w:cs="Times New Roman"/>
          <w:color w:val="000000" w:themeColor="text1"/>
          <w:sz w:val="24"/>
          <w:szCs w:val="24"/>
        </w:rPr>
        <w:t xml:space="preserve">, </w:t>
      </w:r>
      <w:r w:rsidR="00B73349" w:rsidRPr="003B151A">
        <w:rPr>
          <w:rFonts w:ascii="Times New Roman" w:hAnsi="Times New Roman" w:cs="Times New Roman"/>
          <w:color w:val="000000" w:themeColor="text1"/>
          <w:sz w:val="24"/>
          <w:szCs w:val="24"/>
        </w:rPr>
        <w:t>early marriages, female genital mutilation (FGM)</w:t>
      </w:r>
      <w:r w:rsidR="00B73349">
        <w:rPr>
          <w:rFonts w:ascii="Times New Roman" w:hAnsi="Times New Roman" w:cs="Times New Roman"/>
          <w:color w:val="000000" w:themeColor="text1"/>
          <w:sz w:val="24"/>
          <w:szCs w:val="24"/>
        </w:rPr>
        <w:t xml:space="preserve"> have hindered many </w:t>
      </w:r>
      <w:r w:rsidR="00491870" w:rsidRPr="003B151A">
        <w:rPr>
          <w:rFonts w:ascii="Times New Roman" w:hAnsi="Times New Roman" w:cs="Times New Roman"/>
          <w:color w:val="000000" w:themeColor="text1"/>
          <w:sz w:val="24"/>
          <w:szCs w:val="24"/>
        </w:rPr>
        <w:t xml:space="preserve">girls </w:t>
      </w:r>
      <w:r w:rsidR="00B73349">
        <w:rPr>
          <w:rFonts w:ascii="Times New Roman" w:hAnsi="Times New Roman" w:cs="Times New Roman"/>
          <w:color w:val="000000" w:themeColor="text1"/>
          <w:sz w:val="24"/>
          <w:szCs w:val="24"/>
        </w:rPr>
        <w:t>from transiting</w:t>
      </w:r>
      <w:r w:rsidR="00491870" w:rsidRPr="003B151A">
        <w:rPr>
          <w:rFonts w:ascii="Times New Roman" w:hAnsi="Times New Roman" w:cs="Times New Roman"/>
          <w:color w:val="000000" w:themeColor="text1"/>
          <w:sz w:val="24"/>
          <w:szCs w:val="24"/>
        </w:rPr>
        <w:t xml:space="preserve"> from lower to higher level</w:t>
      </w:r>
      <w:r w:rsidR="00045478" w:rsidRPr="003B151A">
        <w:rPr>
          <w:rFonts w:ascii="Times New Roman" w:hAnsi="Times New Roman" w:cs="Times New Roman"/>
          <w:color w:val="000000" w:themeColor="text1"/>
          <w:sz w:val="24"/>
          <w:szCs w:val="24"/>
        </w:rPr>
        <w:t>s</w:t>
      </w:r>
      <w:r w:rsidR="00B73349">
        <w:rPr>
          <w:rFonts w:ascii="Times New Roman" w:hAnsi="Times New Roman" w:cs="Times New Roman"/>
          <w:color w:val="000000" w:themeColor="text1"/>
          <w:sz w:val="24"/>
          <w:szCs w:val="24"/>
        </w:rPr>
        <w:t xml:space="preserve"> of education</w:t>
      </w:r>
      <w:r w:rsidR="00542AB9" w:rsidRPr="003B151A">
        <w:rPr>
          <w:rFonts w:ascii="Times New Roman" w:hAnsi="Times New Roman" w:cs="Times New Roman"/>
          <w:color w:val="000000" w:themeColor="text1"/>
          <w:sz w:val="24"/>
          <w:szCs w:val="24"/>
        </w:rPr>
        <w:t>.</w:t>
      </w:r>
      <w:r w:rsidR="00F140BA" w:rsidRPr="003B151A">
        <w:rPr>
          <w:rFonts w:ascii="Times New Roman" w:hAnsi="Times New Roman" w:cs="Times New Roman"/>
          <w:color w:val="000000" w:themeColor="text1"/>
          <w:sz w:val="24"/>
          <w:szCs w:val="24"/>
        </w:rPr>
        <w:t xml:space="preserve"> Additionally, lack of the female teachers in the </w:t>
      </w:r>
      <w:r w:rsidR="00944D4C" w:rsidRPr="003B151A">
        <w:rPr>
          <w:rFonts w:ascii="Times New Roman" w:hAnsi="Times New Roman" w:cs="Times New Roman"/>
          <w:color w:val="000000" w:themeColor="text1"/>
          <w:sz w:val="24"/>
          <w:szCs w:val="24"/>
        </w:rPr>
        <w:t>schools</w:t>
      </w:r>
      <w:r w:rsidR="00F140BA" w:rsidRPr="003B151A">
        <w:rPr>
          <w:rFonts w:ascii="Times New Roman" w:hAnsi="Times New Roman" w:cs="Times New Roman"/>
          <w:color w:val="000000" w:themeColor="text1"/>
          <w:sz w:val="24"/>
          <w:szCs w:val="24"/>
        </w:rPr>
        <w:t xml:space="preserve"> who could act as role models for the girls to continue pursuing education hence limite</w:t>
      </w:r>
      <w:r w:rsidR="00B33657" w:rsidRPr="003B151A">
        <w:rPr>
          <w:rFonts w:ascii="Times New Roman" w:hAnsi="Times New Roman" w:cs="Times New Roman"/>
          <w:color w:val="000000" w:themeColor="text1"/>
          <w:sz w:val="24"/>
          <w:szCs w:val="24"/>
        </w:rPr>
        <w:t>d numbers of transition (</w:t>
      </w:r>
      <w:proofErr w:type="spellStart"/>
      <w:r w:rsidR="00B33657" w:rsidRPr="003B151A">
        <w:rPr>
          <w:rFonts w:ascii="Times New Roman" w:hAnsi="Times New Roman" w:cs="Times New Roman"/>
          <w:color w:val="000000" w:themeColor="text1"/>
          <w:sz w:val="24"/>
          <w:szCs w:val="24"/>
        </w:rPr>
        <w:t>Nyagah</w:t>
      </w:r>
      <w:proofErr w:type="spellEnd"/>
      <w:r w:rsidR="00F140BA" w:rsidRPr="003B151A">
        <w:rPr>
          <w:rFonts w:ascii="Times New Roman" w:hAnsi="Times New Roman" w:cs="Times New Roman"/>
          <w:color w:val="000000" w:themeColor="text1"/>
          <w:sz w:val="24"/>
          <w:szCs w:val="24"/>
        </w:rPr>
        <w:t xml:space="preserve"> </w:t>
      </w:r>
      <w:r w:rsidR="00B33657" w:rsidRPr="003B151A">
        <w:rPr>
          <w:rFonts w:ascii="Times New Roman" w:hAnsi="Times New Roman" w:cs="Times New Roman"/>
          <w:color w:val="000000" w:themeColor="text1"/>
          <w:sz w:val="24"/>
          <w:szCs w:val="24"/>
        </w:rPr>
        <w:t>and</w:t>
      </w:r>
      <w:r w:rsidR="00F140BA" w:rsidRPr="003B151A">
        <w:rPr>
          <w:rFonts w:ascii="Times New Roman" w:hAnsi="Times New Roman" w:cs="Times New Roman"/>
          <w:color w:val="000000" w:themeColor="text1"/>
          <w:sz w:val="24"/>
          <w:szCs w:val="24"/>
        </w:rPr>
        <w:t xml:space="preserve"> </w:t>
      </w:r>
      <w:proofErr w:type="spellStart"/>
      <w:r w:rsidR="00F140BA" w:rsidRPr="003B151A">
        <w:rPr>
          <w:rFonts w:ascii="Times New Roman" w:hAnsi="Times New Roman" w:cs="Times New Roman"/>
          <w:color w:val="000000" w:themeColor="text1"/>
          <w:sz w:val="24"/>
          <w:szCs w:val="24"/>
        </w:rPr>
        <w:t>Wanyonyi</w:t>
      </w:r>
      <w:proofErr w:type="spellEnd"/>
      <w:r w:rsidR="00F140BA" w:rsidRPr="003B151A">
        <w:rPr>
          <w:rFonts w:ascii="Times New Roman" w:hAnsi="Times New Roman" w:cs="Times New Roman"/>
          <w:color w:val="000000" w:themeColor="text1"/>
          <w:sz w:val="24"/>
          <w:szCs w:val="24"/>
        </w:rPr>
        <w:t>, 2016).</w:t>
      </w:r>
      <w:r w:rsidR="00E158ED" w:rsidRPr="003B151A">
        <w:rPr>
          <w:rFonts w:ascii="Times New Roman" w:hAnsi="Times New Roman" w:cs="Times New Roman"/>
          <w:color w:val="000000" w:themeColor="text1"/>
          <w:sz w:val="24"/>
          <w:szCs w:val="24"/>
        </w:rPr>
        <w:t xml:space="preserve"> </w:t>
      </w:r>
      <w:r w:rsidR="007A1E22" w:rsidRPr="003B151A">
        <w:rPr>
          <w:rFonts w:ascii="Times New Roman" w:hAnsi="Times New Roman" w:cs="Times New Roman"/>
          <w:color w:val="000000" w:themeColor="text1"/>
          <w:sz w:val="24"/>
          <w:szCs w:val="24"/>
        </w:rPr>
        <w:t>In Taita-Taveta District</w:t>
      </w:r>
      <w:r w:rsidR="0037004B"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 xml:space="preserve">where </w:t>
      </w:r>
      <w:r w:rsidR="0037004B" w:rsidRPr="003B151A">
        <w:rPr>
          <w:rFonts w:ascii="Times New Roman" w:hAnsi="Times New Roman" w:cs="Times New Roman"/>
          <w:color w:val="000000" w:themeColor="text1"/>
          <w:sz w:val="24"/>
          <w:szCs w:val="24"/>
        </w:rPr>
        <w:t>40% of the pupils fail to transit from one educational level to another</w:t>
      </w:r>
      <w:r w:rsidR="00B73349">
        <w:rPr>
          <w:rFonts w:ascii="Times New Roman" w:hAnsi="Times New Roman" w:cs="Times New Roman"/>
          <w:color w:val="000000" w:themeColor="text1"/>
          <w:sz w:val="24"/>
          <w:szCs w:val="24"/>
        </w:rPr>
        <w:t>,</w:t>
      </w:r>
      <w:r w:rsidR="0037004B" w:rsidRPr="003B151A">
        <w:rPr>
          <w:rFonts w:ascii="Times New Roman" w:hAnsi="Times New Roman" w:cs="Times New Roman"/>
          <w:color w:val="000000" w:themeColor="text1"/>
          <w:sz w:val="24"/>
          <w:szCs w:val="24"/>
        </w:rPr>
        <w:t xml:space="preserve"> girls </w:t>
      </w:r>
      <w:r w:rsidR="00B73349">
        <w:rPr>
          <w:rFonts w:ascii="Times New Roman" w:hAnsi="Times New Roman" w:cs="Times New Roman"/>
          <w:color w:val="000000" w:themeColor="text1"/>
          <w:sz w:val="24"/>
          <w:szCs w:val="24"/>
        </w:rPr>
        <w:t xml:space="preserve">are </w:t>
      </w:r>
      <w:r w:rsidR="0037004B" w:rsidRPr="003B151A">
        <w:rPr>
          <w:rFonts w:ascii="Times New Roman" w:hAnsi="Times New Roman" w:cs="Times New Roman"/>
          <w:color w:val="000000" w:themeColor="text1"/>
          <w:sz w:val="24"/>
          <w:szCs w:val="24"/>
        </w:rPr>
        <w:t xml:space="preserve">mostly affected. </w:t>
      </w:r>
      <w:r w:rsidR="00223922" w:rsidRPr="003B151A">
        <w:rPr>
          <w:rFonts w:ascii="Times New Roman" w:hAnsi="Times New Roman" w:cs="Times New Roman"/>
          <w:color w:val="000000" w:themeColor="text1"/>
          <w:sz w:val="24"/>
          <w:szCs w:val="24"/>
        </w:rPr>
        <w:t xml:space="preserve">The </w:t>
      </w:r>
      <w:proofErr w:type="spellStart"/>
      <w:r w:rsidR="00B73349">
        <w:rPr>
          <w:rFonts w:ascii="Times New Roman" w:hAnsi="Times New Roman" w:cs="Times New Roman"/>
          <w:color w:val="000000" w:themeColor="text1"/>
          <w:sz w:val="24"/>
          <w:szCs w:val="24"/>
        </w:rPr>
        <w:t>is</w:t>
      </w:r>
      <w:proofErr w:type="spellEnd"/>
      <w:r w:rsidR="00B73349">
        <w:rPr>
          <w:rFonts w:ascii="Times New Roman" w:hAnsi="Times New Roman" w:cs="Times New Roman"/>
          <w:color w:val="000000" w:themeColor="text1"/>
          <w:sz w:val="24"/>
          <w:szCs w:val="24"/>
        </w:rPr>
        <w:t xml:space="preserve"> </w:t>
      </w:r>
      <w:proofErr w:type="spellStart"/>
      <w:r w:rsidR="00B73349">
        <w:rPr>
          <w:rFonts w:ascii="Times New Roman" w:hAnsi="Times New Roman" w:cs="Times New Roman"/>
          <w:color w:val="000000" w:themeColor="text1"/>
          <w:sz w:val="24"/>
          <w:szCs w:val="24"/>
        </w:rPr>
        <w:t>is</w:t>
      </w:r>
      <w:proofErr w:type="spellEnd"/>
      <w:r w:rsidR="00B73349">
        <w:rPr>
          <w:rFonts w:ascii="Times New Roman" w:hAnsi="Times New Roman" w:cs="Times New Roman"/>
          <w:color w:val="000000" w:themeColor="text1"/>
          <w:sz w:val="24"/>
          <w:szCs w:val="24"/>
        </w:rPr>
        <w:t xml:space="preserve"> attributed to </w:t>
      </w:r>
      <w:r w:rsidR="00223922" w:rsidRPr="003B151A">
        <w:rPr>
          <w:rFonts w:ascii="Times New Roman" w:hAnsi="Times New Roman" w:cs="Times New Roman"/>
          <w:color w:val="000000" w:themeColor="text1"/>
          <w:sz w:val="24"/>
          <w:szCs w:val="24"/>
        </w:rPr>
        <w:t>early marriages, long distances to school</w:t>
      </w:r>
      <w:r w:rsidR="003A260D" w:rsidRPr="003B151A">
        <w:rPr>
          <w:rFonts w:ascii="Times New Roman" w:hAnsi="Times New Roman" w:cs="Times New Roman"/>
          <w:color w:val="000000" w:themeColor="text1"/>
          <w:sz w:val="24"/>
          <w:szCs w:val="24"/>
        </w:rPr>
        <w:t xml:space="preserve"> and lack of interest in schooling</w:t>
      </w:r>
      <w:r w:rsidR="00BF4795" w:rsidRPr="003B151A">
        <w:rPr>
          <w:rFonts w:ascii="Times New Roman" w:hAnsi="Times New Roman" w:cs="Times New Roman"/>
          <w:color w:val="000000" w:themeColor="text1"/>
          <w:sz w:val="24"/>
          <w:szCs w:val="24"/>
        </w:rPr>
        <w:t xml:space="preserve"> (</w:t>
      </w:r>
      <w:r w:rsidR="00412607" w:rsidRPr="00412607">
        <w:rPr>
          <w:color w:val="000000" w:themeColor="text1"/>
        </w:rPr>
        <w:t>López-Lalinde</w:t>
      </w:r>
      <w:r w:rsidR="00412607" w:rsidRPr="003B151A">
        <w:rPr>
          <w:rFonts w:ascii="Times New Roman" w:hAnsi="Times New Roman" w:cs="Times New Roman"/>
          <w:color w:val="000000" w:themeColor="text1"/>
          <w:sz w:val="24"/>
          <w:szCs w:val="24"/>
        </w:rPr>
        <w:t xml:space="preserve"> </w:t>
      </w:r>
      <w:r w:rsidR="00BF4795" w:rsidRPr="003B151A">
        <w:rPr>
          <w:rFonts w:ascii="Times New Roman" w:hAnsi="Times New Roman" w:cs="Times New Roman"/>
          <w:color w:val="000000" w:themeColor="text1"/>
          <w:sz w:val="24"/>
          <w:szCs w:val="24"/>
        </w:rPr>
        <w:t>et al., 20</w:t>
      </w:r>
      <w:r w:rsidR="00412607">
        <w:rPr>
          <w:rFonts w:ascii="Times New Roman" w:hAnsi="Times New Roman" w:cs="Times New Roman"/>
          <w:color w:val="000000" w:themeColor="text1"/>
          <w:sz w:val="24"/>
          <w:szCs w:val="24"/>
        </w:rPr>
        <w:t>24</w:t>
      </w:r>
      <w:r w:rsidR="00BF4795" w:rsidRPr="003B151A">
        <w:rPr>
          <w:rFonts w:ascii="Times New Roman" w:hAnsi="Times New Roman" w:cs="Times New Roman"/>
          <w:color w:val="000000" w:themeColor="text1"/>
          <w:sz w:val="24"/>
          <w:szCs w:val="24"/>
        </w:rPr>
        <w:t>).</w:t>
      </w:r>
      <w:r w:rsidR="00E158ED" w:rsidRPr="003B151A">
        <w:rPr>
          <w:rFonts w:ascii="Times New Roman" w:hAnsi="Times New Roman" w:cs="Times New Roman"/>
          <w:color w:val="000000" w:themeColor="text1"/>
          <w:sz w:val="24"/>
          <w:szCs w:val="24"/>
        </w:rPr>
        <w:t xml:space="preserve"> </w:t>
      </w:r>
      <w:r w:rsidR="00944D4C" w:rsidRPr="003B151A">
        <w:rPr>
          <w:rFonts w:ascii="Times New Roman" w:hAnsi="Times New Roman" w:cs="Times New Roman"/>
          <w:color w:val="000000" w:themeColor="text1"/>
          <w:sz w:val="24"/>
          <w:szCs w:val="24"/>
        </w:rPr>
        <w:t xml:space="preserve"> </w:t>
      </w:r>
      <w:r w:rsidR="007D32E7" w:rsidRPr="003B151A">
        <w:rPr>
          <w:rFonts w:ascii="Times New Roman" w:hAnsi="Times New Roman" w:cs="Times New Roman"/>
          <w:color w:val="000000" w:themeColor="text1"/>
          <w:sz w:val="24"/>
          <w:szCs w:val="24"/>
        </w:rPr>
        <w:t xml:space="preserve">In </w:t>
      </w:r>
      <w:proofErr w:type="spellStart"/>
      <w:r w:rsidR="007D32E7" w:rsidRPr="003B151A">
        <w:rPr>
          <w:rFonts w:ascii="Times New Roman" w:hAnsi="Times New Roman" w:cs="Times New Roman"/>
          <w:color w:val="000000" w:themeColor="text1"/>
          <w:sz w:val="24"/>
          <w:szCs w:val="24"/>
        </w:rPr>
        <w:t>Bugoma</w:t>
      </w:r>
      <w:proofErr w:type="spellEnd"/>
      <w:r w:rsidR="007D32E7" w:rsidRPr="003B151A">
        <w:rPr>
          <w:rFonts w:ascii="Times New Roman" w:hAnsi="Times New Roman" w:cs="Times New Roman"/>
          <w:color w:val="000000" w:themeColor="text1"/>
          <w:sz w:val="24"/>
          <w:szCs w:val="24"/>
        </w:rPr>
        <w:t xml:space="preserve"> </w:t>
      </w:r>
      <w:r w:rsidR="00B36B65" w:rsidRPr="003B151A">
        <w:rPr>
          <w:rFonts w:ascii="Times New Roman" w:hAnsi="Times New Roman" w:cs="Times New Roman"/>
          <w:color w:val="000000" w:themeColor="text1"/>
          <w:sz w:val="24"/>
          <w:szCs w:val="24"/>
        </w:rPr>
        <w:t>County</w:t>
      </w:r>
      <w:r w:rsidR="007D32E7"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th</w:t>
      </w:r>
      <w:r w:rsidR="007D32E7" w:rsidRPr="003B151A">
        <w:rPr>
          <w:rFonts w:ascii="Times New Roman" w:hAnsi="Times New Roman" w:cs="Times New Roman"/>
          <w:color w:val="000000" w:themeColor="text1"/>
          <w:sz w:val="24"/>
          <w:szCs w:val="24"/>
        </w:rPr>
        <w:t>e transition rates trends of the girls in comparison to the boys counterpart has been worrisome</w:t>
      </w:r>
      <w:r w:rsidR="00B73349">
        <w:rPr>
          <w:rFonts w:ascii="Times New Roman" w:hAnsi="Times New Roman" w:cs="Times New Roman"/>
          <w:color w:val="000000" w:themeColor="text1"/>
          <w:sz w:val="24"/>
          <w:szCs w:val="24"/>
        </w:rPr>
        <w:t xml:space="preserve"> (</w:t>
      </w:r>
      <w:r w:rsidR="00B73349" w:rsidRPr="003B151A">
        <w:rPr>
          <w:rFonts w:ascii="Times New Roman" w:hAnsi="Times New Roman" w:cs="Times New Roman"/>
          <w:color w:val="000000" w:themeColor="text1"/>
          <w:sz w:val="24"/>
          <w:szCs w:val="24"/>
        </w:rPr>
        <w:t>Ezine &amp; Elizabeth</w:t>
      </w:r>
      <w:r w:rsidR="00B73349">
        <w:rPr>
          <w:rFonts w:ascii="Times New Roman" w:hAnsi="Times New Roman" w:cs="Times New Roman"/>
          <w:color w:val="000000" w:themeColor="text1"/>
          <w:sz w:val="24"/>
          <w:szCs w:val="24"/>
        </w:rPr>
        <w:t xml:space="preserve">, </w:t>
      </w:r>
      <w:r w:rsidR="00B73349" w:rsidRPr="003B151A">
        <w:rPr>
          <w:rFonts w:ascii="Times New Roman" w:hAnsi="Times New Roman" w:cs="Times New Roman"/>
          <w:color w:val="000000" w:themeColor="text1"/>
          <w:sz w:val="24"/>
          <w:szCs w:val="24"/>
        </w:rPr>
        <w:t>2018</w:t>
      </w:r>
      <w:proofErr w:type="gramStart"/>
      <w:r w:rsidR="00B73349" w:rsidRPr="003B151A">
        <w:rPr>
          <w:rFonts w:ascii="Times New Roman" w:hAnsi="Times New Roman" w:cs="Times New Roman"/>
          <w:color w:val="000000" w:themeColor="text1"/>
          <w:sz w:val="24"/>
          <w:szCs w:val="24"/>
        </w:rPr>
        <w:t>)</w:t>
      </w:r>
      <w:r w:rsidR="00B73349">
        <w:rPr>
          <w:rFonts w:ascii="Times New Roman" w:hAnsi="Times New Roman" w:cs="Times New Roman"/>
          <w:color w:val="000000" w:themeColor="text1"/>
          <w:sz w:val="24"/>
          <w:szCs w:val="24"/>
        </w:rPr>
        <w:t>,</w:t>
      </w:r>
      <w:r w:rsidR="007D32E7" w:rsidRPr="003B151A">
        <w:rPr>
          <w:rFonts w:ascii="Times New Roman" w:hAnsi="Times New Roman" w:cs="Times New Roman"/>
          <w:color w:val="000000" w:themeColor="text1"/>
          <w:sz w:val="24"/>
          <w:szCs w:val="24"/>
        </w:rPr>
        <w:t>.</w:t>
      </w:r>
      <w:proofErr w:type="gramEnd"/>
      <w:r w:rsidR="007D32E7"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T</w:t>
      </w:r>
      <w:r w:rsidR="00A7690F" w:rsidRPr="003B151A">
        <w:rPr>
          <w:rFonts w:ascii="Times New Roman" w:hAnsi="Times New Roman" w:cs="Times New Roman"/>
          <w:color w:val="000000" w:themeColor="text1"/>
          <w:sz w:val="24"/>
          <w:szCs w:val="24"/>
        </w:rPr>
        <w:t xml:space="preserve">he factors relating to low transition </w:t>
      </w:r>
      <w:r w:rsidR="00B73349">
        <w:rPr>
          <w:rFonts w:ascii="Times New Roman" w:hAnsi="Times New Roman" w:cs="Times New Roman"/>
          <w:color w:val="000000" w:themeColor="text1"/>
          <w:sz w:val="24"/>
          <w:szCs w:val="24"/>
        </w:rPr>
        <w:t>of</w:t>
      </w:r>
      <w:r w:rsidR="003B7CAF" w:rsidRPr="003B151A">
        <w:rPr>
          <w:rFonts w:ascii="Times New Roman" w:hAnsi="Times New Roman" w:cs="Times New Roman"/>
          <w:color w:val="000000" w:themeColor="text1"/>
          <w:sz w:val="24"/>
          <w:szCs w:val="24"/>
        </w:rPr>
        <w:t xml:space="preserve"> </w:t>
      </w:r>
      <w:r w:rsidR="008252DE" w:rsidRPr="003B151A">
        <w:rPr>
          <w:rFonts w:ascii="Times New Roman" w:hAnsi="Times New Roman" w:cs="Times New Roman"/>
          <w:color w:val="000000" w:themeColor="text1"/>
          <w:sz w:val="24"/>
          <w:szCs w:val="24"/>
        </w:rPr>
        <w:t>girls</w:t>
      </w:r>
      <w:r w:rsidR="00B73349">
        <w:rPr>
          <w:rFonts w:ascii="Times New Roman" w:hAnsi="Times New Roman" w:cs="Times New Roman"/>
          <w:color w:val="000000" w:themeColor="text1"/>
          <w:sz w:val="24"/>
          <w:szCs w:val="24"/>
        </w:rPr>
        <w:t xml:space="preserve"> include;</w:t>
      </w:r>
      <w:r w:rsidR="008252DE" w:rsidRPr="003B151A">
        <w:rPr>
          <w:rFonts w:ascii="Times New Roman" w:hAnsi="Times New Roman" w:cs="Times New Roman"/>
          <w:color w:val="000000" w:themeColor="text1"/>
          <w:sz w:val="24"/>
          <w:szCs w:val="24"/>
        </w:rPr>
        <w:t xml:space="preserve"> pregnancy</w:t>
      </w:r>
      <w:r w:rsidR="003B7CAF" w:rsidRPr="003B151A">
        <w:rPr>
          <w:rFonts w:ascii="Times New Roman" w:hAnsi="Times New Roman" w:cs="Times New Roman"/>
          <w:color w:val="000000" w:themeColor="text1"/>
          <w:sz w:val="24"/>
          <w:szCs w:val="24"/>
        </w:rPr>
        <w:t>, customs not valuing girls, illiteracy of the parents and low parental guidance.</w:t>
      </w:r>
      <w:r w:rsidR="008252DE" w:rsidRPr="003B151A">
        <w:rPr>
          <w:rFonts w:ascii="Times New Roman" w:hAnsi="Times New Roman" w:cs="Times New Roman"/>
          <w:color w:val="000000" w:themeColor="text1"/>
          <w:sz w:val="24"/>
          <w:szCs w:val="24"/>
        </w:rPr>
        <w:t xml:space="preserve"> </w:t>
      </w:r>
      <w:r w:rsidR="00944D4C" w:rsidRPr="003B151A">
        <w:rPr>
          <w:rFonts w:ascii="Times New Roman" w:hAnsi="Times New Roman" w:cs="Times New Roman"/>
          <w:color w:val="000000" w:themeColor="text1"/>
          <w:sz w:val="24"/>
          <w:szCs w:val="24"/>
        </w:rPr>
        <w:t xml:space="preserve">Given these conditions, </w:t>
      </w:r>
      <w:r w:rsidR="006A7C92" w:rsidRPr="003B151A">
        <w:rPr>
          <w:rFonts w:ascii="Times New Roman" w:hAnsi="Times New Roman" w:cs="Times New Roman"/>
          <w:color w:val="000000" w:themeColor="text1"/>
          <w:sz w:val="24"/>
          <w:szCs w:val="24"/>
        </w:rPr>
        <w:t>current study examine</w:t>
      </w:r>
      <w:r w:rsidR="00DD6903" w:rsidRPr="003B151A">
        <w:rPr>
          <w:rFonts w:ascii="Times New Roman" w:hAnsi="Times New Roman" w:cs="Times New Roman"/>
          <w:color w:val="000000" w:themeColor="text1"/>
          <w:sz w:val="24"/>
          <w:szCs w:val="24"/>
        </w:rPr>
        <w:t>d</w:t>
      </w:r>
      <w:r w:rsidR="006A7C92"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 xml:space="preserve">cultural </w:t>
      </w:r>
      <w:r w:rsidR="006A7C92" w:rsidRPr="003B151A">
        <w:rPr>
          <w:rFonts w:ascii="Times New Roman" w:hAnsi="Times New Roman" w:cs="Times New Roman"/>
          <w:color w:val="000000" w:themeColor="text1"/>
          <w:sz w:val="24"/>
          <w:szCs w:val="24"/>
        </w:rPr>
        <w:t xml:space="preserve">factors </w:t>
      </w:r>
      <w:r w:rsidR="00944D4C" w:rsidRPr="003B151A">
        <w:rPr>
          <w:rFonts w:ascii="Times New Roman" w:hAnsi="Times New Roman" w:cs="Times New Roman"/>
          <w:color w:val="000000" w:themeColor="text1"/>
          <w:sz w:val="24"/>
          <w:szCs w:val="24"/>
        </w:rPr>
        <w:t>influencing</w:t>
      </w:r>
      <w:r w:rsidR="006A7C92" w:rsidRPr="003B151A">
        <w:rPr>
          <w:rFonts w:ascii="Times New Roman" w:hAnsi="Times New Roman" w:cs="Times New Roman"/>
          <w:color w:val="000000" w:themeColor="text1"/>
          <w:sz w:val="24"/>
          <w:szCs w:val="24"/>
        </w:rPr>
        <w:t xml:space="preserve"> transition of girls from lower to upper primary in Balambala </w:t>
      </w:r>
      <w:r w:rsidR="005F4844" w:rsidRPr="003B151A">
        <w:rPr>
          <w:rFonts w:ascii="Times New Roman" w:hAnsi="Times New Roman" w:cs="Times New Roman"/>
          <w:color w:val="000000" w:themeColor="text1"/>
          <w:sz w:val="24"/>
          <w:szCs w:val="24"/>
        </w:rPr>
        <w:t>Sub-county</w:t>
      </w:r>
      <w:r w:rsidR="00944D4C" w:rsidRPr="003B151A">
        <w:rPr>
          <w:rFonts w:ascii="Times New Roman" w:hAnsi="Times New Roman" w:cs="Times New Roman"/>
          <w:color w:val="000000" w:themeColor="text1"/>
          <w:sz w:val="24"/>
          <w:szCs w:val="24"/>
        </w:rPr>
        <w:t>; Garissa County, Kenya</w:t>
      </w:r>
      <w:r w:rsidR="006A7C92" w:rsidRPr="003B151A">
        <w:rPr>
          <w:rFonts w:ascii="Times New Roman" w:hAnsi="Times New Roman" w:cs="Times New Roman"/>
          <w:color w:val="000000" w:themeColor="text1"/>
          <w:sz w:val="24"/>
          <w:szCs w:val="24"/>
        </w:rPr>
        <w:t>.</w:t>
      </w:r>
    </w:p>
    <w:p w14:paraId="29590EA2" w14:textId="2E5AD1A9"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6" w:name="_Toc187848949"/>
      <w:bookmarkStart w:id="7" w:name="_Toc204267228"/>
      <w:r w:rsidRPr="003B151A">
        <w:rPr>
          <w:rFonts w:ascii="Times New Roman" w:hAnsi="Times New Roman" w:cs="Times New Roman"/>
          <w:b/>
          <w:color w:val="000000" w:themeColor="text1"/>
          <w:sz w:val="24"/>
          <w:szCs w:val="24"/>
        </w:rPr>
        <w:t>Statement of the Problem</w:t>
      </w:r>
      <w:bookmarkEnd w:id="6"/>
      <w:bookmarkEnd w:id="7"/>
    </w:p>
    <w:p w14:paraId="07210227" w14:textId="15A1D30E" w:rsidR="00C77A04" w:rsidRPr="003B151A" w:rsidRDefault="00AB6D9B" w:rsidP="00206963">
      <w:pPr>
        <w:spacing w:after="0" w:line="240" w:lineRule="auto"/>
        <w:jc w:val="both"/>
        <w:rPr>
          <w:rFonts w:ascii="Times New Roman" w:hAnsi="Times New Roman" w:cs="Times New Roman"/>
          <w:color w:val="000000" w:themeColor="text1"/>
          <w:sz w:val="24"/>
          <w:szCs w:val="24"/>
        </w:rPr>
      </w:pPr>
      <w:r w:rsidRPr="006D0ED1">
        <w:rPr>
          <w:rFonts w:ascii="Times New Roman" w:hAnsi="Times New Roman" w:cs="Times New Roman"/>
          <w:color w:val="000000" w:themeColor="text1"/>
          <w:sz w:val="24"/>
          <w:szCs w:val="24"/>
        </w:rPr>
        <w:t xml:space="preserve">Education is the right of every child as recognized by the constitution and various international declarations. As noted by the </w:t>
      </w:r>
      <w:r w:rsidR="006D0ED1" w:rsidRPr="006D0ED1">
        <w:rPr>
          <w:rFonts w:ascii="Times New Roman" w:hAnsi="Times New Roman" w:cs="Times New Roman"/>
          <w:color w:val="000000" w:themeColor="text1"/>
          <w:sz w:val="24"/>
          <w:szCs w:val="24"/>
        </w:rPr>
        <w:t xml:space="preserve">Carvalho and Evans </w:t>
      </w:r>
      <w:r w:rsidRPr="006D0ED1">
        <w:rPr>
          <w:rFonts w:ascii="Times New Roman" w:hAnsi="Times New Roman" w:cs="Times New Roman"/>
          <w:color w:val="000000" w:themeColor="text1"/>
          <w:sz w:val="24"/>
          <w:szCs w:val="24"/>
        </w:rPr>
        <w:t>(20</w:t>
      </w:r>
      <w:r w:rsidR="006D0ED1" w:rsidRPr="006D0ED1">
        <w:rPr>
          <w:rFonts w:ascii="Times New Roman" w:hAnsi="Times New Roman" w:cs="Times New Roman"/>
          <w:color w:val="000000" w:themeColor="text1"/>
          <w:sz w:val="24"/>
          <w:szCs w:val="24"/>
        </w:rPr>
        <w:t>20</w:t>
      </w:r>
      <w:r w:rsidRPr="006D0ED1">
        <w:rPr>
          <w:rFonts w:ascii="Times New Roman" w:hAnsi="Times New Roman" w:cs="Times New Roman"/>
          <w:color w:val="000000" w:themeColor="text1"/>
          <w:sz w:val="24"/>
          <w:szCs w:val="24"/>
        </w:rPr>
        <w:t xml:space="preserve">), </w:t>
      </w:r>
      <w:r w:rsidR="002A2AB9" w:rsidRPr="006D0ED1">
        <w:rPr>
          <w:rFonts w:ascii="Times New Roman" w:hAnsi="Times New Roman" w:cs="Times New Roman"/>
          <w:color w:val="000000" w:themeColor="text1"/>
          <w:sz w:val="24"/>
          <w:szCs w:val="24"/>
        </w:rPr>
        <w:t xml:space="preserve">education of girls is one of the best social development </w:t>
      </w:r>
      <w:r w:rsidR="00525B80" w:rsidRPr="006D0ED1">
        <w:rPr>
          <w:rFonts w:ascii="Times New Roman" w:hAnsi="Times New Roman" w:cs="Times New Roman"/>
          <w:color w:val="000000" w:themeColor="text1"/>
          <w:sz w:val="24"/>
          <w:szCs w:val="24"/>
        </w:rPr>
        <w:t>investments</w:t>
      </w:r>
      <w:r w:rsidR="002A2AB9" w:rsidRPr="006D0ED1">
        <w:rPr>
          <w:rFonts w:ascii="Times New Roman" w:hAnsi="Times New Roman" w:cs="Times New Roman"/>
          <w:color w:val="000000" w:themeColor="text1"/>
          <w:sz w:val="24"/>
          <w:szCs w:val="24"/>
        </w:rPr>
        <w:t xml:space="preserve"> in that any country can make. </w:t>
      </w:r>
      <w:r w:rsidR="0079291B" w:rsidRPr="006D0ED1">
        <w:rPr>
          <w:rFonts w:ascii="Times New Roman" w:hAnsi="Times New Roman" w:cs="Times New Roman"/>
          <w:color w:val="000000" w:themeColor="text1"/>
          <w:sz w:val="24"/>
          <w:szCs w:val="24"/>
        </w:rPr>
        <w:t>F</w:t>
      </w:r>
      <w:r w:rsidR="00E45627" w:rsidRPr="006D0ED1">
        <w:rPr>
          <w:rFonts w:ascii="Times New Roman" w:hAnsi="Times New Roman" w:cs="Times New Roman"/>
          <w:color w:val="000000" w:themeColor="text1"/>
          <w:sz w:val="24"/>
          <w:szCs w:val="24"/>
        </w:rPr>
        <w:t xml:space="preserve">emale literacy leads to better health, education, reduced </w:t>
      </w:r>
      <w:r w:rsidR="00C64637" w:rsidRPr="006D0ED1">
        <w:rPr>
          <w:rFonts w:ascii="Times New Roman" w:hAnsi="Times New Roman" w:cs="Times New Roman"/>
          <w:color w:val="000000" w:themeColor="text1"/>
          <w:sz w:val="24"/>
          <w:szCs w:val="24"/>
        </w:rPr>
        <w:t>infant</w:t>
      </w:r>
      <w:r w:rsidR="00E45627" w:rsidRPr="006D0ED1">
        <w:rPr>
          <w:rFonts w:ascii="Times New Roman" w:hAnsi="Times New Roman" w:cs="Times New Roman"/>
          <w:color w:val="000000" w:themeColor="text1"/>
          <w:sz w:val="24"/>
          <w:szCs w:val="24"/>
        </w:rPr>
        <w:t xml:space="preserve"> mortality, higher </w:t>
      </w:r>
      <w:r w:rsidR="00C64637" w:rsidRPr="006D0ED1">
        <w:rPr>
          <w:rFonts w:ascii="Times New Roman" w:hAnsi="Times New Roman" w:cs="Times New Roman"/>
          <w:color w:val="000000" w:themeColor="text1"/>
          <w:sz w:val="24"/>
          <w:szCs w:val="24"/>
        </w:rPr>
        <w:t>earnings</w:t>
      </w:r>
      <w:r w:rsidR="00E45627" w:rsidRPr="003B151A">
        <w:rPr>
          <w:rFonts w:ascii="Times New Roman" w:hAnsi="Times New Roman" w:cs="Times New Roman"/>
          <w:color w:val="000000" w:themeColor="text1"/>
          <w:sz w:val="24"/>
          <w:szCs w:val="24"/>
        </w:rPr>
        <w:t xml:space="preserve">, reduced </w:t>
      </w:r>
      <w:r w:rsidR="00C64637" w:rsidRPr="003B151A">
        <w:rPr>
          <w:rFonts w:ascii="Times New Roman" w:hAnsi="Times New Roman" w:cs="Times New Roman"/>
          <w:color w:val="000000" w:themeColor="text1"/>
          <w:sz w:val="24"/>
          <w:szCs w:val="24"/>
        </w:rPr>
        <w:t>fertility</w:t>
      </w:r>
      <w:r w:rsidR="00E45627" w:rsidRPr="003B151A">
        <w:rPr>
          <w:rFonts w:ascii="Times New Roman" w:hAnsi="Times New Roman" w:cs="Times New Roman"/>
          <w:color w:val="000000" w:themeColor="text1"/>
          <w:sz w:val="24"/>
          <w:szCs w:val="24"/>
        </w:rPr>
        <w:t xml:space="preserve"> rates and improved life for all nations.</w:t>
      </w:r>
      <w:r w:rsidR="006A5C29" w:rsidRPr="003B151A">
        <w:rPr>
          <w:rFonts w:ascii="Times New Roman" w:hAnsi="Times New Roman" w:cs="Times New Roman"/>
          <w:color w:val="000000" w:themeColor="text1"/>
          <w:sz w:val="24"/>
          <w:szCs w:val="24"/>
        </w:rPr>
        <w:t xml:space="preserve"> </w:t>
      </w:r>
      <w:r w:rsidR="000D0521" w:rsidRPr="003B151A">
        <w:rPr>
          <w:rFonts w:ascii="Times New Roman" w:hAnsi="Times New Roman" w:cs="Times New Roman"/>
          <w:color w:val="000000" w:themeColor="text1"/>
          <w:sz w:val="24"/>
          <w:szCs w:val="24"/>
        </w:rPr>
        <w:t xml:space="preserve">While countries have made the said </w:t>
      </w:r>
      <w:r w:rsidR="00525B80" w:rsidRPr="003B151A">
        <w:rPr>
          <w:rFonts w:ascii="Times New Roman" w:hAnsi="Times New Roman" w:cs="Times New Roman"/>
          <w:color w:val="000000" w:themeColor="text1"/>
          <w:sz w:val="24"/>
          <w:szCs w:val="24"/>
        </w:rPr>
        <w:t>efforts</w:t>
      </w:r>
      <w:r w:rsidR="000D0521" w:rsidRPr="003B151A">
        <w:rPr>
          <w:rFonts w:ascii="Times New Roman" w:hAnsi="Times New Roman" w:cs="Times New Roman"/>
          <w:color w:val="000000" w:themeColor="text1"/>
          <w:sz w:val="24"/>
          <w:szCs w:val="24"/>
        </w:rPr>
        <w:t xml:space="preserve"> in t</w:t>
      </w:r>
      <w:r w:rsidR="00525B80" w:rsidRPr="003B151A">
        <w:rPr>
          <w:rFonts w:ascii="Times New Roman" w:hAnsi="Times New Roman" w:cs="Times New Roman"/>
          <w:color w:val="000000" w:themeColor="text1"/>
          <w:sz w:val="24"/>
          <w:szCs w:val="24"/>
        </w:rPr>
        <w:t>h</w:t>
      </w:r>
      <w:r w:rsidR="000D0521" w:rsidRPr="003B151A">
        <w:rPr>
          <w:rFonts w:ascii="Times New Roman" w:hAnsi="Times New Roman" w:cs="Times New Roman"/>
          <w:color w:val="000000" w:themeColor="text1"/>
          <w:sz w:val="24"/>
          <w:szCs w:val="24"/>
        </w:rPr>
        <w:t xml:space="preserve">e attainment of the </w:t>
      </w:r>
      <w:r w:rsidR="00525B80" w:rsidRPr="003B151A">
        <w:rPr>
          <w:rFonts w:ascii="Times New Roman" w:hAnsi="Times New Roman" w:cs="Times New Roman"/>
          <w:color w:val="000000" w:themeColor="text1"/>
          <w:sz w:val="24"/>
          <w:szCs w:val="24"/>
        </w:rPr>
        <w:t>equality</w:t>
      </w:r>
      <w:r w:rsidR="000D0521" w:rsidRPr="003B151A">
        <w:rPr>
          <w:rFonts w:ascii="Times New Roman" w:hAnsi="Times New Roman" w:cs="Times New Roman"/>
          <w:color w:val="000000" w:themeColor="text1"/>
          <w:sz w:val="24"/>
          <w:szCs w:val="24"/>
        </w:rPr>
        <w:t xml:space="preserve"> of education for both boys and girls, the female gender </w:t>
      </w:r>
      <w:r w:rsidR="00525B80" w:rsidRPr="003B151A">
        <w:rPr>
          <w:rFonts w:ascii="Times New Roman" w:hAnsi="Times New Roman" w:cs="Times New Roman"/>
          <w:color w:val="000000" w:themeColor="text1"/>
          <w:sz w:val="24"/>
          <w:szCs w:val="24"/>
        </w:rPr>
        <w:t>continues</w:t>
      </w:r>
      <w:r w:rsidR="000D0521" w:rsidRPr="003B151A">
        <w:rPr>
          <w:rFonts w:ascii="Times New Roman" w:hAnsi="Times New Roman" w:cs="Times New Roman"/>
          <w:color w:val="000000" w:themeColor="text1"/>
          <w:sz w:val="24"/>
          <w:szCs w:val="24"/>
        </w:rPr>
        <w:t xml:space="preserve"> to face </w:t>
      </w:r>
      <w:r w:rsidR="00525B80" w:rsidRPr="003B151A">
        <w:rPr>
          <w:rFonts w:ascii="Times New Roman" w:hAnsi="Times New Roman" w:cs="Times New Roman"/>
          <w:color w:val="000000" w:themeColor="text1"/>
          <w:sz w:val="24"/>
          <w:szCs w:val="24"/>
        </w:rPr>
        <w:t>impediments</w:t>
      </w:r>
      <w:r w:rsidR="000D0521" w:rsidRPr="003B151A">
        <w:rPr>
          <w:rFonts w:ascii="Times New Roman" w:hAnsi="Times New Roman" w:cs="Times New Roman"/>
          <w:color w:val="000000" w:themeColor="text1"/>
          <w:sz w:val="24"/>
          <w:szCs w:val="24"/>
        </w:rPr>
        <w:t xml:space="preserve"> in the</w:t>
      </w:r>
      <w:r w:rsidR="009C5807" w:rsidRPr="003B151A">
        <w:rPr>
          <w:rFonts w:ascii="Times New Roman" w:hAnsi="Times New Roman" w:cs="Times New Roman"/>
          <w:color w:val="000000" w:themeColor="text1"/>
          <w:sz w:val="24"/>
          <w:szCs w:val="24"/>
        </w:rPr>
        <w:t>i</w:t>
      </w:r>
      <w:r w:rsidR="000D0521" w:rsidRPr="003B151A">
        <w:rPr>
          <w:rFonts w:ascii="Times New Roman" w:hAnsi="Times New Roman" w:cs="Times New Roman"/>
          <w:color w:val="000000" w:themeColor="text1"/>
          <w:sz w:val="24"/>
          <w:szCs w:val="24"/>
        </w:rPr>
        <w:t>r learning path that adversely affects the transition rate of the girls from lower to upper levels</w:t>
      </w:r>
      <w:r w:rsidR="007F21B2" w:rsidRPr="003B151A">
        <w:rPr>
          <w:rFonts w:ascii="Times New Roman" w:hAnsi="Times New Roman" w:cs="Times New Roman"/>
          <w:color w:val="000000" w:themeColor="text1"/>
          <w:sz w:val="24"/>
          <w:szCs w:val="24"/>
        </w:rPr>
        <w:t xml:space="preserve">. </w:t>
      </w:r>
      <w:r w:rsidR="00FF5657" w:rsidRPr="003B151A">
        <w:rPr>
          <w:rFonts w:ascii="Times New Roman" w:hAnsi="Times New Roman" w:cs="Times New Roman"/>
          <w:color w:val="000000" w:themeColor="text1"/>
          <w:sz w:val="24"/>
          <w:szCs w:val="24"/>
        </w:rPr>
        <w:t xml:space="preserve">Despite the </w:t>
      </w:r>
      <w:r w:rsidR="00B73349">
        <w:rPr>
          <w:rFonts w:ascii="Times New Roman" w:hAnsi="Times New Roman" w:cs="Times New Roman"/>
          <w:color w:val="000000" w:themeColor="text1"/>
          <w:sz w:val="24"/>
          <w:szCs w:val="24"/>
        </w:rPr>
        <w:t>presence of supportive initiatives</w:t>
      </w:r>
      <w:r w:rsidR="00370D37">
        <w:rPr>
          <w:rFonts w:ascii="Times New Roman" w:hAnsi="Times New Roman" w:cs="Times New Roman"/>
          <w:color w:val="000000" w:themeColor="text1"/>
          <w:sz w:val="24"/>
          <w:szCs w:val="24"/>
        </w:rPr>
        <w:t xml:space="preserve"> to drive access to </w:t>
      </w:r>
      <w:r w:rsidR="00370D37" w:rsidRPr="003B151A">
        <w:rPr>
          <w:rFonts w:ascii="Times New Roman" w:hAnsi="Times New Roman" w:cs="Times New Roman"/>
          <w:color w:val="000000" w:themeColor="text1"/>
          <w:sz w:val="24"/>
          <w:szCs w:val="24"/>
        </w:rPr>
        <w:t xml:space="preserve">education </w:t>
      </w:r>
      <w:r w:rsidR="00370D37">
        <w:rPr>
          <w:rFonts w:ascii="Times New Roman" w:hAnsi="Times New Roman" w:cs="Times New Roman"/>
          <w:color w:val="000000" w:themeColor="text1"/>
          <w:sz w:val="24"/>
          <w:szCs w:val="24"/>
        </w:rPr>
        <w:t>for both</w:t>
      </w:r>
      <w:r w:rsidR="00370D37" w:rsidRPr="003B151A">
        <w:rPr>
          <w:rFonts w:ascii="Times New Roman" w:hAnsi="Times New Roman" w:cs="Times New Roman"/>
          <w:color w:val="000000" w:themeColor="text1"/>
          <w:sz w:val="24"/>
          <w:szCs w:val="24"/>
        </w:rPr>
        <w:t xml:space="preserve"> boys and girls</w:t>
      </w:r>
      <w:r w:rsidR="00370D37">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 xml:space="preserve">such as </w:t>
      </w:r>
      <w:r w:rsidR="00FF5657" w:rsidRPr="003B151A">
        <w:rPr>
          <w:rFonts w:ascii="Times New Roman" w:hAnsi="Times New Roman" w:cs="Times New Roman"/>
          <w:color w:val="000000" w:themeColor="text1"/>
          <w:sz w:val="24"/>
          <w:szCs w:val="24"/>
        </w:rPr>
        <w:t xml:space="preserve">Education for All (EFA), Millennium Development Goals (MDGs), Sustainable Development Goals (SDGs) and the Constitution of Kenya, the girls' drop-out rates </w:t>
      </w:r>
      <w:r w:rsidR="00370D37" w:rsidRPr="003B151A">
        <w:rPr>
          <w:rFonts w:ascii="Times New Roman" w:hAnsi="Times New Roman" w:cs="Times New Roman"/>
          <w:color w:val="000000" w:themeColor="text1"/>
          <w:sz w:val="24"/>
          <w:szCs w:val="24"/>
        </w:rPr>
        <w:t>continue</w:t>
      </w:r>
      <w:r w:rsidR="00FF5657" w:rsidRPr="003B151A">
        <w:rPr>
          <w:rFonts w:ascii="Times New Roman" w:hAnsi="Times New Roman" w:cs="Times New Roman"/>
          <w:color w:val="000000" w:themeColor="text1"/>
          <w:sz w:val="24"/>
          <w:szCs w:val="24"/>
        </w:rPr>
        <w:t xml:space="preserve"> to escalate (</w:t>
      </w:r>
      <w:proofErr w:type="spellStart"/>
      <w:r w:rsidR="00FF5657" w:rsidRPr="003B151A">
        <w:rPr>
          <w:rFonts w:ascii="Times New Roman" w:hAnsi="Times New Roman" w:cs="Times New Roman"/>
          <w:color w:val="000000" w:themeColor="text1"/>
          <w:sz w:val="24"/>
          <w:szCs w:val="24"/>
        </w:rPr>
        <w:t>Mackatiani</w:t>
      </w:r>
      <w:proofErr w:type="spellEnd"/>
      <w:r w:rsidR="00FF5657" w:rsidRPr="003B151A">
        <w:rPr>
          <w:rFonts w:ascii="Times New Roman" w:hAnsi="Times New Roman" w:cs="Times New Roman"/>
          <w:color w:val="000000" w:themeColor="text1"/>
          <w:sz w:val="24"/>
          <w:szCs w:val="24"/>
        </w:rPr>
        <w:t xml:space="preserve">, 2022). </w:t>
      </w:r>
      <w:r w:rsidR="0079291B" w:rsidRPr="003B151A">
        <w:rPr>
          <w:rFonts w:ascii="Times New Roman" w:hAnsi="Times New Roman" w:cs="Times New Roman"/>
          <w:color w:val="000000" w:themeColor="text1"/>
          <w:sz w:val="24"/>
          <w:szCs w:val="24"/>
        </w:rPr>
        <w:t xml:space="preserve">According to </w:t>
      </w:r>
      <w:r w:rsidR="007F21B2" w:rsidRPr="003B151A">
        <w:rPr>
          <w:rFonts w:ascii="Times New Roman" w:hAnsi="Times New Roman" w:cs="Times New Roman"/>
          <w:color w:val="000000" w:themeColor="text1"/>
          <w:sz w:val="24"/>
          <w:szCs w:val="24"/>
        </w:rPr>
        <w:t xml:space="preserve">Forum </w:t>
      </w:r>
      <w:proofErr w:type="gramStart"/>
      <w:r w:rsidR="007F21B2" w:rsidRPr="003B151A">
        <w:rPr>
          <w:rFonts w:ascii="Times New Roman" w:hAnsi="Times New Roman" w:cs="Times New Roman"/>
          <w:color w:val="000000" w:themeColor="text1"/>
          <w:sz w:val="24"/>
          <w:szCs w:val="24"/>
        </w:rPr>
        <w:t>For</w:t>
      </w:r>
      <w:proofErr w:type="gramEnd"/>
      <w:r w:rsidR="007F21B2" w:rsidRPr="003B151A">
        <w:rPr>
          <w:rFonts w:ascii="Times New Roman" w:hAnsi="Times New Roman" w:cs="Times New Roman"/>
          <w:color w:val="000000" w:themeColor="text1"/>
          <w:sz w:val="24"/>
          <w:szCs w:val="24"/>
        </w:rPr>
        <w:t xml:space="preserve"> Afric</w:t>
      </w:r>
      <w:r w:rsidR="0079291B" w:rsidRPr="003B151A">
        <w:rPr>
          <w:rFonts w:ascii="Times New Roman" w:hAnsi="Times New Roman" w:cs="Times New Roman"/>
          <w:color w:val="000000" w:themeColor="text1"/>
          <w:sz w:val="24"/>
          <w:szCs w:val="24"/>
        </w:rPr>
        <w:t xml:space="preserve">an Women Educationalists (FAWE), </w:t>
      </w:r>
      <w:r w:rsidR="007F21B2" w:rsidRPr="003B151A">
        <w:rPr>
          <w:rFonts w:ascii="Times New Roman" w:hAnsi="Times New Roman" w:cs="Times New Roman"/>
          <w:color w:val="000000" w:themeColor="text1"/>
          <w:sz w:val="24"/>
          <w:szCs w:val="24"/>
        </w:rPr>
        <w:t xml:space="preserve">out of all girls enrolled in a particular level of education, its only 34% who usually transits to the next level in comparison to boys whose transition rate is 70%.  </w:t>
      </w:r>
      <w:r w:rsidR="00FF5657" w:rsidRPr="003B151A">
        <w:rPr>
          <w:rFonts w:ascii="Times New Roman" w:hAnsi="Times New Roman" w:cs="Times New Roman"/>
          <w:color w:val="000000" w:themeColor="text1"/>
          <w:sz w:val="24"/>
          <w:szCs w:val="24"/>
        </w:rPr>
        <w:t xml:space="preserve">Additionally, </w:t>
      </w:r>
      <w:r w:rsidR="0079291B" w:rsidRPr="003B151A">
        <w:rPr>
          <w:rStyle w:val="relative"/>
          <w:rFonts w:ascii="Times New Roman" w:hAnsi="Times New Roman" w:cs="Times New Roman"/>
          <w:color w:val="000000" w:themeColor="text1"/>
          <w:sz w:val="24"/>
          <w:szCs w:val="24"/>
        </w:rPr>
        <w:t>the Forum for African Women Educationalists Kenya (FAWEK), as of 2022, only 11% of girls in Garissa County were enrolled in learning institutions and merely 20% were considered educated</w:t>
      </w:r>
      <w:r w:rsidR="00FF5657" w:rsidRPr="003B151A">
        <w:rPr>
          <w:rStyle w:val="relative"/>
          <w:rFonts w:ascii="Times New Roman" w:hAnsi="Times New Roman" w:cs="Times New Roman"/>
          <w:color w:val="000000" w:themeColor="text1"/>
          <w:sz w:val="24"/>
          <w:szCs w:val="24"/>
        </w:rPr>
        <w:t xml:space="preserve"> (</w:t>
      </w:r>
      <w:proofErr w:type="spellStart"/>
      <w:r w:rsidR="00FF5657" w:rsidRPr="003B151A">
        <w:rPr>
          <w:rFonts w:ascii="Times New Roman" w:hAnsi="Times New Roman" w:cs="Times New Roman"/>
          <w:color w:val="000000" w:themeColor="text1"/>
          <w:sz w:val="24"/>
          <w:szCs w:val="24"/>
        </w:rPr>
        <w:t>Astariko</w:t>
      </w:r>
      <w:proofErr w:type="spellEnd"/>
      <w:r w:rsidR="00FF5657" w:rsidRPr="003B151A">
        <w:rPr>
          <w:rFonts w:ascii="Times New Roman" w:hAnsi="Times New Roman" w:cs="Times New Roman"/>
          <w:color w:val="000000" w:themeColor="text1"/>
          <w:sz w:val="24"/>
          <w:szCs w:val="24"/>
        </w:rPr>
        <w:t>, 2024)</w:t>
      </w:r>
      <w:r w:rsidR="0079291B" w:rsidRPr="003B151A">
        <w:rPr>
          <w:rStyle w:val="relative"/>
          <w:rFonts w:ascii="Times New Roman" w:hAnsi="Times New Roman" w:cs="Times New Roman"/>
          <w:color w:val="000000" w:themeColor="text1"/>
          <w:sz w:val="24"/>
          <w:szCs w:val="24"/>
        </w:rPr>
        <w:t>.</w:t>
      </w:r>
      <w:r w:rsidR="00370D37">
        <w:rPr>
          <w:rStyle w:val="relative"/>
          <w:rFonts w:ascii="Times New Roman" w:hAnsi="Times New Roman" w:cs="Times New Roman"/>
          <w:color w:val="000000" w:themeColor="text1"/>
          <w:sz w:val="24"/>
          <w:szCs w:val="24"/>
        </w:rPr>
        <w:t xml:space="preserve"> </w:t>
      </w:r>
      <w:r w:rsidR="00370D37" w:rsidRPr="003B151A">
        <w:rPr>
          <w:rFonts w:ascii="Times New Roman" w:hAnsi="Times New Roman" w:cs="Times New Roman"/>
          <w:color w:val="000000" w:themeColor="text1"/>
          <w:sz w:val="24"/>
          <w:szCs w:val="24"/>
        </w:rPr>
        <w:t xml:space="preserve">In Balambala Sub-county in Garissa County, the trend in transition of girls has been worrying where for instance in the year 2023/2024, there was a deviation of 9.74 between the transition of boys and girls. </w:t>
      </w:r>
      <w:r w:rsidR="0079291B" w:rsidRPr="003B151A">
        <w:rPr>
          <w:rFonts w:ascii="Times New Roman" w:hAnsi="Times New Roman" w:cs="Times New Roman"/>
          <w:color w:val="000000" w:themeColor="text1"/>
          <w:sz w:val="24"/>
          <w:szCs w:val="24"/>
        </w:rPr>
        <w:t xml:space="preserve"> </w:t>
      </w:r>
      <w:r w:rsidR="00FF5657" w:rsidRPr="003B151A">
        <w:rPr>
          <w:rFonts w:ascii="Times New Roman" w:hAnsi="Times New Roman" w:cs="Times New Roman"/>
          <w:color w:val="000000" w:themeColor="text1"/>
          <w:sz w:val="24"/>
          <w:szCs w:val="24"/>
        </w:rPr>
        <w:t>The challenges contributing to these disparities include cultural practices such as early marriages, teenage pregnancies and female genital mutilation (FGM), which significantly hinder girls' access to and continuation in education (</w:t>
      </w:r>
      <w:r w:rsidR="005B3D2E">
        <w:rPr>
          <w:rFonts w:ascii="Times New Roman" w:hAnsi="Times New Roman" w:cs="Times New Roman"/>
          <w:color w:val="000000" w:themeColor="text1"/>
          <w:sz w:val="24"/>
          <w:szCs w:val="24"/>
        </w:rPr>
        <w:t>Kyalo</w:t>
      </w:r>
      <w:r w:rsidR="00FF5657" w:rsidRPr="003B151A">
        <w:rPr>
          <w:rFonts w:ascii="Times New Roman" w:hAnsi="Times New Roman" w:cs="Times New Roman"/>
          <w:color w:val="000000" w:themeColor="text1"/>
          <w:sz w:val="24"/>
          <w:szCs w:val="24"/>
        </w:rPr>
        <w:t>, 2024).</w:t>
      </w:r>
      <w:r w:rsidR="00370D37">
        <w:rPr>
          <w:rFonts w:ascii="Times New Roman" w:hAnsi="Times New Roman" w:cs="Times New Roman"/>
          <w:color w:val="000000" w:themeColor="text1"/>
          <w:sz w:val="24"/>
          <w:szCs w:val="24"/>
        </w:rPr>
        <w:t xml:space="preserve"> On this premise</w:t>
      </w:r>
      <w:r w:rsidR="00F957A8" w:rsidRPr="003B151A">
        <w:rPr>
          <w:rFonts w:ascii="Times New Roman" w:hAnsi="Times New Roman" w:cs="Times New Roman"/>
          <w:color w:val="000000" w:themeColor="text1"/>
          <w:sz w:val="24"/>
          <w:szCs w:val="24"/>
        </w:rPr>
        <w:t xml:space="preserve">, there is limited information emanating from scanty </w:t>
      </w:r>
      <w:r w:rsidR="00F957A8" w:rsidRPr="003B151A">
        <w:rPr>
          <w:rFonts w:ascii="Times New Roman" w:hAnsi="Times New Roman" w:cs="Times New Roman"/>
          <w:color w:val="000000" w:themeColor="text1"/>
          <w:sz w:val="24"/>
          <w:szCs w:val="24"/>
        </w:rPr>
        <w:lastRenderedPageBreak/>
        <w:t>studies on factors contributing to this situation.</w:t>
      </w:r>
      <w:r w:rsidR="0079291B" w:rsidRPr="003B151A">
        <w:rPr>
          <w:rFonts w:ascii="Times New Roman" w:hAnsi="Times New Roman" w:cs="Times New Roman"/>
          <w:color w:val="000000" w:themeColor="text1"/>
          <w:sz w:val="24"/>
          <w:szCs w:val="24"/>
        </w:rPr>
        <w:t xml:space="preserve"> Given the situation, </w:t>
      </w:r>
      <w:r w:rsidR="003F261B" w:rsidRPr="003B151A">
        <w:rPr>
          <w:rFonts w:ascii="Times New Roman" w:hAnsi="Times New Roman" w:cs="Times New Roman"/>
          <w:color w:val="000000" w:themeColor="text1"/>
          <w:sz w:val="24"/>
          <w:szCs w:val="24"/>
        </w:rPr>
        <w:t xml:space="preserve">it </w:t>
      </w:r>
      <w:r w:rsidR="00C44AA6" w:rsidRPr="003B151A">
        <w:rPr>
          <w:rFonts w:ascii="Times New Roman" w:hAnsi="Times New Roman" w:cs="Times New Roman"/>
          <w:color w:val="000000" w:themeColor="text1"/>
          <w:sz w:val="24"/>
          <w:szCs w:val="24"/>
        </w:rPr>
        <w:t xml:space="preserve">was </w:t>
      </w:r>
      <w:r w:rsidR="003F261B" w:rsidRPr="003B151A">
        <w:rPr>
          <w:rFonts w:ascii="Times New Roman" w:hAnsi="Times New Roman" w:cs="Times New Roman"/>
          <w:color w:val="000000" w:themeColor="text1"/>
          <w:sz w:val="24"/>
          <w:szCs w:val="24"/>
        </w:rPr>
        <w:t xml:space="preserve">imperative for a study to be conducted on the subject to </w:t>
      </w:r>
      <w:r w:rsidR="00C95542" w:rsidRPr="003B151A">
        <w:rPr>
          <w:rFonts w:ascii="Times New Roman" w:hAnsi="Times New Roman" w:cs="Times New Roman"/>
          <w:color w:val="000000" w:themeColor="text1"/>
          <w:sz w:val="24"/>
          <w:szCs w:val="24"/>
        </w:rPr>
        <w:t>unveil</w:t>
      </w:r>
      <w:r w:rsidR="003F261B" w:rsidRPr="003B151A">
        <w:rPr>
          <w:rFonts w:ascii="Times New Roman" w:hAnsi="Times New Roman" w:cs="Times New Roman"/>
          <w:color w:val="000000" w:themeColor="text1"/>
          <w:sz w:val="24"/>
          <w:szCs w:val="24"/>
        </w:rPr>
        <w:t xml:space="preserve"> the factors contributing to the trend.</w:t>
      </w:r>
      <w:r w:rsidR="00A6298B" w:rsidRPr="003B151A">
        <w:rPr>
          <w:rFonts w:ascii="Times New Roman" w:hAnsi="Times New Roman" w:cs="Times New Roman"/>
          <w:color w:val="000000" w:themeColor="text1"/>
          <w:sz w:val="24"/>
          <w:szCs w:val="24"/>
        </w:rPr>
        <w:t xml:space="preserve"> This </w:t>
      </w:r>
      <w:r w:rsidR="00DD6903" w:rsidRPr="003B151A">
        <w:rPr>
          <w:rFonts w:ascii="Times New Roman" w:hAnsi="Times New Roman" w:cs="Times New Roman"/>
          <w:color w:val="000000" w:themeColor="text1"/>
          <w:sz w:val="24"/>
          <w:szCs w:val="24"/>
        </w:rPr>
        <w:t>could</w:t>
      </w:r>
      <w:r w:rsidR="00A6298B" w:rsidRPr="003B151A">
        <w:rPr>
          <w:rFonts w:ascii="Times New Roman" w:hAnsi="Times New Roman" w:cs="Times New Roman"/>
          <w:color w:val="000000" w:themeColor="text1"/>
          <w:sz w:val="24"/>
          <w:szCs w:val="24"/>
        </w:rPr>
        <w:t xml:space="preserve"> help to inform various stakeholders on measures and strategies to implement to promote equality in provision of education and sustainability in </w:t>
      </w:r>
      <w:r w:rsidR="00C95542" w:rsidRPr="003B151A">
        <w:rPr>
          <w:rFonts w:ascii="Times New Roman" w:hAnsi="Times New Roman" w:cs="Times New Roman"/>
          <w:color w:val="000000" w:themeColor="text1"/>
          <w:sz w:val="24"/>
          <w:szCs w:val="24"/>
        </w:rPr>
        <w:t>transition</w:t>
      </w:r>
      <w:r w:rsidR="00A6298B" w:rsidRPr="003B151A">
        <w:rPr>
          <w:rFonts w:ascii="Times New Roman" w:hAnsi="Times New Roman" w:cs="Times New Roman"/>
          <w:color w:val="000000" w:themeColor="text1"/>
          <w:sz w:val="24"/>
          <w:szCs w:val="24"/>
        </w:rPr>
        <w:t xml:space="preserve"> of girls from lower level to upper level in their education attainment.</w:t>
      </w:r>
    </w:p>
    <w:p w14:paraId="1E16EA7B" w14:textId="05D7B2BC"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8" w:name="_Toc187848951"/>
      <w:bookmarkStart w:id="9" w:name="_Toc204267230"/>
      <w:bookmarkStart w:id="10" w:name="_Hlk198571335"/>
      <w:r w:rsidRPr="003B151A">
        <w:rPr>
          <w:rFonts w:ascii="Times New Roman" w:hAnsi="Times New Roman" w:cs="Times New Roman"/>
          <w:b/>
          <w:color w:val="000000" w:themeColor="text1"/>
          <w:sz w:val="24"/>
          <w:szCs w:val="24"/>
        </w:rPr>
        <w:t>Objectives of the Study</w:t>
      </w:r>
      <w:bookmarkEnd w:id="8"/>
      <w:bookmarkEnd w:id="9"/>
    </w:p>
    <w:p w14:paraId="369BC6BC" w14:textId="4AE74D52" w:rsidR="00EA03E1" w:rsidRPr="003B151A" w:rsidRDefault="00EA03E1" w:rsidP="00206963">
      <w:pPr>
        <w:pStyle w:val="ListParagraph"/>
        <w:numPr>
          <w:ilvl w:val="0"/>
          <w:numId w:val="2"/>
        </w:numPr>
        <w:spacing w:after="0" w:line="240" w:lineRule="auto"/>
        <w:contextualSpacing w:val="0"/>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To assess the role of cultural beliefs and practices in transition of girls from lower primary to upper primary in Balambala Sub-county, Garissa County, Kenya.</w:t>
      </w:r>
    </w:p>
    <w:p w14:paraId="38A362BC" w14:textId="3EF09397"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11" w:name="_Toc187848953"/>
      <w:bookmarkStart w:id="12" w:name="_Toc204267232"/>
      <w:bookmarkEnd w:id="10"/>
      <w:r w:rsidRPr="003B151A">
        <w:rPr>
          <w:rFonts w:ascii="Times New Roman" w:hAnsi="Times New Roman" w:cs="Times New Roman"/>
          <w:b/>
          <w:color w:val="000000" w:themeColor="text1"/>
          <w:sz w:val="24"/>
          <w:szCs w:val="24"/>
        </w:rPr>
        <w:t>Hypothes</w:t>
      </w:r>
      <w:r w:rsidR="00525791">
        <w:rPr>
          <w:rFonts w:ascii="Times New Roman" w:hAnsi="Times New Roman" w:cs="Times New Roman"/>
          <w:b/>
          <w:color w:val="000000" w:themeColor="text1"/>
          <w:sz w:val="24"/>
          <w:szCs w:val="24"/>
        </w:rPr>
        <w:t>i</w:t>
      </w:r>
      <w:r w:rsidRPr="003B151A">
        <w:rPr>
          <w:rFonts w:ascii="Times New Roman" w:hAnsi="Times New Roman" w:cs="Times New Roman"/>
          <w:b/>
          <w:color w:val="000000" w:themeColor="text1"/>
          <w:sz w:val="24"/>
          <w:szCs w:val="24"/>
        </w:rPr>
        <w:t>s</w:t>
      </w:r>
      <w:bookmarkEnd w:id="11"/>
      <w:bookmarkEnd w:id="12"/>
    </w:p>
    <w:p w14:paraId="66E9E653" w14:textId="39BD53E7" w:rsidR="00E4549E" w:rsidRPr="009E5D8D" w:rsidRDefault="00204827" w:rsidP="00206963">
      <w:pPr>
        <w:pStyle w:val="ListParagraph"/>
        <w:spacing w:after="0" w:line="240" w:lineRule="auto"/>
        <w:ind w:left="360"/>
        <w:contextualSpacing w:val="0"/>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H</w:t>
      </w:r>
      <w:r w:rsidRPr="003B151A">
        <w:rPr>
          <w:rFonts w:ascii="Times New Roman" w:eastAsia="Times New Roman" w:hAnsi="Times New Roman" w:cs="Times New Roman"/>
          <w:color w:val="000000" w:themeColor="text1"/>
          <w:sz w:val="24"/>
          <w:szCs w:val="24"/>
          <w:vertAlign w:val="subscript"/>
        </w:rPr>
        <w:t>0</w:t>
      </w:r>
      <w:r w:rsidRPr="003B151A">
        <w:rPr>
          <w:rFonts w:ascii="Times New Roman" w:eastAsia="Times New Roman" w:hAnsi="Times New Roman" w:cs="Times New Roman"/>
          <w:color w:val="000000" w:themeColor="text1"/>
          <w:sz w:val="24"/>
          <w:szCs w:val="24"/>
        </w:rPr>
        <w:t xml:space="preserve">: There is no statistically significant </w:t>
      </w:r>
      <w:r w:rsidR="001A0E69" w:rsidRPr="003B151A">
        <w:rPr>
          <w:rFonts w:ascii="Times New Roman" w:eastAsia="Times New Roman" w:hAnsi="Times New Roman" w:cs="Times New Roman"/>
          <w:color w:val="000000" w:themeColor="text1"/>
          <w:sz w:val="24"/>
          <w:szCs w:val="24"/>
        </w:rPr>
        <w:t xml:space="preserve">relationship between </w:t>
      </w:r>
      <w:r w:rsidR="00861FC5" w:rsidRPr="003B151A">
        <w:rPr>
          <w:rFonts w:ascii="Times New Roman" w:hAnsi="Times New Roman" w:cs="Times New Roman"/>
          <w:color w:val="000000" w:themeColor="text1"/>
          <w:sz w:val="24"/>
          <w:szCs w:val="24"/>
        </w:rPr>
        <w:t>cultural beliefs and practices and transition of girls from lower primary to upper primary in Balambala Sub-county, Garissa County, Kenya.</w:t>
      </w:r>
    </w:p>
    <w:p w14:paraId="537E50DE" w14:textId="77777777" w:rsidR="00C43C7F" w:rsidRPr="003B151A" w:rsidRDefault="00C43C7F" w:rsidP="00206963">
      <w:pPr>
        <w:pStyle w:val="Heading1"/>
        <w:ind w:left="0" w:firstLine="0"/>
        <w:jc w:val="center"/>
        <w:rPr>
          <w:color w:val="000000" w:themeColor="text1"/>
        </w:rPr>
      </w:pPr>
      <w:bookmarkStart w:id="13" w:name="_Toc187848962"/>
      <w:bookmarkStart w:id="14" w:name="_Toc204267242"/>
      <w:r w:rsidRPr="003B151A">
        <w:rPr>
          <w:color w:val="000000" w:themeColor="text1"/>
        </w:rPr>
        <w:t>LITERATURE REVIEW</w:t>
      </w:r>
      <w:bookmarkEnd w:id="13"/>
      <w:bookmarkEnd w:id="14"/>
    </w:p>
    <w:p w14:paraId="02326E8B" w14:textId="5FDC9173" w:rsidR="00525791" w:rsidRPr="003B151A" w:rsidRDefault="00525791" w:rsidP="00206963">
      <w:pPr>
        <w:pStyle w:val="Heading2"/>
        <w:spacing w:before="0" w:line="240" w:lineRule="auto"/>
        <w:jc w:val="both"/>
        <w:rPr>
          <w:rFonts w:ascii="Times New Roman" w:hAnsi="Times New Roman" w:cs="Times New Roman"/>
          <w:b/>
          <w:color w:val="000000" w:themeColor="text1"/>
          <w:sz w:val="24"/>
          <w:szCs w:val="24"/>
        </w:rPr>
      </w:pPr>
      <w:bookmarkStart w:id="15" w:name="_Toc187848955"/>
      <w:bookmarkStart w:id="16" w:name="_Toc204267234"/>
      <w:r w:rsidRPr="003B151A">
        <w:rPr>
          <w:rFonts w:ascii="Times New Roman" w:hAnsi="Times New Roman" w:cs="Times New Roman"/>
          <w:b/>
          <w:color w:val="000000" w:themeColor="text1"/>
          <w:sz w:val="24"/>
          <w:szCs w:val="24"/>
        </w:rPr>
        <w:t>Theoretical Framework</w:t>
      </w:r>
      <w:bookmarkEnd w:id="15"/>
      <w:bookmarkEnd w:id="16"/>
    </w:p>
    <w:p w14:paraId="63C77A60" w14:textId="05062F0C" w:rsidR="00525791" w:rsidRPr="003B151A" w:rsidRDefault="00525791"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Liberal feminism theory was originally proposed by Mary Wollstonecraft in the 18</w:t>
      </w:r>
      <w:r w:rsidRPr="003B151A">
        <w:rPr>
          <w:rFonts w:ascii="Times New Roman" w:hAnsi="Times New Roman" w:cs="Times New Roman"/>
          <w:color w:val="000000" w:themeColor="text1"/>
          <w:sz w:val="24"/>
          <w:szCs w:val="24"/>
          <w:vertAlign w:val="superscript"/>
        </w:rPr>
        <w:t>th</w:t>
      </w:r>
      <w:r w:rsidRPr="003B151A">
        <w:rPr>
          <w:rFonts w:ascii="Times New Roman" w:hAnsi="Times New Roman" w:cs="Times New Roman"/>
          <w:color w:val="000000" w:themeColor="text1"/>
          <w:sz w:val="24"/>
          <w:szCs w:val="24"/>
        </w:rPr>
        <w:t xml:space="preserve"> century (Wollstonecraft, 1792). </w:t>
      </w:r>
      <w:r w:rsidRPr="003B151A">
        <w:rPr>
          <w:rFonts w:ascii="Times New Roman" w:eastAsia="Times New Roman" w:hAnsi="Times New Roman" w:cs="Times New Roman"/>
          <w:color w:val="000000" w:themeColor="text1"/>
          <w:sz w:val="24"/>
          <w:szCs w:val="24"/>
        </w:rPr>
        <w:t xml:space="preserve">The key tenets of liberal feminism theory include the belief in equal rights and opportunities for all genders within existing social and political frameworks. Liberal feminists maintain that women possess the same capacity for rational thought and moral reasoning as men, and therefore deserve the same freedoms and opportunities (Tong, 2018). The theory emphasizes individual autonomy and choice, advocating for women's right to self-determination in all aspects of life. </w:t>
      </w:r>
      <w:r w:rsidR="00370D37">
        <w:rPr>
          <w:rFonts w:ascii="Times New Roman" w:eastAsia="Times New Roman" w:hAnsi="Times New Roman" w:cs="Times New Roman"/>
          <w:color w:val="000000" w:themeColor="text1"/>
          <w:sz w:val="24"/>
          <w:szCs w:val="24"/>
        </w:rPr>
        <w:t>It</w:t>
      </w:r>
      <w:r w:rsidRPr="003B151A">
        <w:rPr>
          <w:rFonts w:ascii="Times New Roman" w:hAnsi="Times New Roman" w:cs="Times New Roman"/>
          <w:color w:val="000000" w:themeColor="text1"/>
          <w:sz w:val="24"/>
          <w:szCs w:val="24"/>
        </w:rPr>
        <w:t xml:space="preserve"> emphasizes reforms like equal access to education, fair pay and the removal of limiting stereotypes to achieve gender equality within existing societal structures.  A critique of liberal feminism lies in its assumption that equality can be achieved within existing structures, which may themselves be inherently patriarchal. It tends to overlook intersecting forms of oppression such as race, class and culture, making it less inclusive of marginalized women. Moreover, its focus on legal and political reforms may inadequately address deep-rooted societal norms and institutional barriers that hinder gender equality.</w:t>
      </w:r>
    </w:p>
    <w:p w14:paraId="07D4BEE6" w14:textId="1585ADFD" w:rsidR="00525791" w:rsidRPr="003B151A" w:rsidRDefault="00525791"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Applied to girls' transition from lower to upper primary education, liberal feminism highlights the need to address unequal access to resources, societal attitudes and school conditions (</w:t>
      </w:r>
      <w:r w:rsidR="00C328DB" w:rsidRPr="00EF1E9B">
        <w:rPr>
          <w:rFonts w:ascii="Times New Roman" w:hAnsi="Times New Roman" w:cs="Times New Roman"/>
        </w:rPr>
        <w:t>Bangura</w:t>
      </w:r>
      <w:r w:rsidR="00C328DB">
        <w:rPr>
          <w:rFonts w:ascii="Times New Roman" w:hAnsi="Times New Roman" w:cs="Times New Roman"/>
        </w:rPr>
        <w:t xml:space="preserve"> </w:t>
      </w:r>
      <w:r w:rsidR="00C328DB" w:rsidRPr="00EF1E9B">
        <w:rPr>
          <w:rFonts w:ascii="Times New Roman" w:hAnsi="Times New Roman" w:cs="Times New Roman"/>
        </w:rPr>
        <w:t>&amp; Mambo, 2023</w:t>
      </w:r>
      <w:r w:rsidRPr="003B151A">
        <w:rPr>
          <w:rFonts w:ascii="Times New Roman" w:hAnsi="Times New Roman" w:cs="Times New Roman"/>
          <w:color w:val="000000" w:themeColor="text1"/>
          <w:sz w:val="24"/>
          <w:szCs w:val="24"/>
        </w:rPr>
        <w:t xml:space="preserve">).  </w:t>
      </w:r>
      <w:r w:rsidRPr="003B151A">
        <w:rPr>
          <w:rFonts w:ascii="Times New Roman" w:eastAsia="Times New Roman" w:hAnsi="Times New Roman" w:cs="Times New Roman"/>
          <w:color w:val="000000" w:themeColor="text1"/>
          <w:sz w:val="24"/>
          <w:szCs w:val="24"/>
        </w:rPr>
        <w:t xml:space="preserve">The theory's emphasis on equal educational opportunity aligns perfectly with investigating factors affecting girls' educational transitions in marginalized areas (Stromquist, 2006). Liberal feminism's focus on practical reforms enables the research to propose implementable solutions within existing educational structures, making it particularly valuable for developing actionable recommendations for school administrators and policymakers (Arnot &amp; Dillabough, 1999). </w:t>
      </w:r>
      <w:r w:rsidRPr="003B151A">
        <w:rPr>
          <w:rFonts w:ascii="Times New Roman" w:hAnsi="Times New Roman" w:cs="Times New Roman"/>
          <w:color w:val="000000" w:themeColor="text1"/>
          <w:sz w:val="24"/>
          <w:szCs w:val="24"/>
        </w:rPr>
        <w:t xml:space="preserve">These efforts promote equitable access to education and empower girls, facilitating smooth transitions and addressing the unique challenges faced in marginalized areas like </w:t>
      </w:r>
      <w:proofErr w:type="spellStart"/>
      <w:r w:rsidRPr="003B151A">
        <w:rPr>
          <w:rFonts w:ascii="Times New Roman" w:hAnsi="Times New Roman" w:cs="Times New Roman"/>
          <w:color w:val="000000" w:themeColor="text1"/>
          <w:sz w:val="24"/>
          <w:szCs w:val="24"/>
        </w:rPr>
        <w:t>Balambala</w:t>
      </w:r>
      <w:proofErr w:type="spellEnd"/>
      <w:r w:rsidRPr="003B151A">
        <w:rPr>
          <w:rFonts w:ascii="Times New Roman" w:hAnsi="Times New Roman" w:cs="Times New Roman"/>
          <w:color w:val="000000" w:themeColor="text1"/>
          <w:sz w:val="24"/>
          <w:szCs w:val="24"/>
        </w:rPr>
        <w:t xml:space="preserve"> Sub-county (</w:t>
      </w:r>
      <w:proofErr w:type="spellStart"/>
      <w:r w:rsidRPr="003B151A">
        <w:rPr>
          <w:rFonts w:ascii="Times New Roman" w:hAnsi="Times New Roman" w:cs="Times New Roman"/>
          <w:color w:val="000000" w:themeColor="text1"/>
          <w:sz w:val="24"/>
          <w:szCs w:val="24"/>
        </w:rPr>
        <w:t>Unterhalter</w:t>
      </w:r>
      <w:proofErr w:type="spellEnd"/>
      <w:r w:rsidRPr="003B151A">
        <w:rPr>
          <w:rFonts w:ascii="Times New Roman" w:hAnsi="Times New Roman" w:cs="Times New Roman"/>
          <w:color w:val="000000" w:themeColor="text1"/>
          <w:sz w:val="24"/>
          <w:szCs w:val="24"/>
        </w:rPr>
        <w:t>, 2007).</w:t>
      </w:r>
    </w:p>
    <w:p w14:paraId="67952B61" w14:textId="2BC4E370" w:rsidR="00BD6E3C" w:rsidRPr="003B151A" w:rsidRDefault="00196353" w:rsidP="00206963">
      <w:pPr>
        <w:pStyle w:val="Heading2"/>
        <w:spacing w:before="0" w:line="240" w:lineRule="auto"/>
        <w:jc w:val="both"/>
        <w:rPr>
          <w:rFonts w:ascii="Times New Roman" w:hAnsi="Times New Roman" w:cs="Times New Roman"/>
          <w:b/>
          <w:color w:val="000000" w:themeColor="text1"/>
          <w:sz w:val="24"/>
          <w:szCs w:val="24"/>
        </w:rPr>
      </w:pPr>
      <w:bookmarkStart w:id="17" w:name="_Toc187848964"/>
      <w:bookmarkStart w:id="18" w:name="_Toc204267244"/>
      <w:r w:rsidRPr="003B151A">
        <w:rPr>
          <w:rFonts w:ascii="Times New Roman" w:hAnsi="Times New Roman" w:cs="Times New Roman"/>
          <w:b/>
          <w:color w:val="000000" w:themeColor="text1"/>
          <w:sz w:val="24"/>
          <w:szCs w:val="24"/>
        </w:rPr>
        <w:t>Transition from Lower to Upper Primary</w:t>
      </w:r>
      <w:bookmarkEnd w:id="17"/>
      <w:bookmarkEnd w:id="18"/>
    </w:p>
    <w:p w14:paraId="1157771B" w14:textId="0705D185" w:rsidR="001B64CC" w:rsidRPr="003B151A" w:rsidRDefault="00E36300"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Research indicates </w:t>
      </w:r>
      <w:r w:rsidRPr="00164F54">
        <w:rPr>
          <w:rFonts w:ascii="Times New Roman" w:hAnsi="Times New Roman" w:cs="Times New Roman"/>
          <w:color w:val="000000" w:themeColor="text1"/>
          <w:sz w:val="24"/>
          <w:szCs w:val="24"/>
        </w:rPr>
        <w:t>that the shift from primary to secondary school is a significant and challenging event in a child's life (</w:t>
      </w:r>
      <w:r w:rsidR="00164F54" w:rsidRPr="00164F54">
        <w:rPr>
          <w:rFonts w:ascii="Times New Roman" w:hAnsi="Times New Roman" w:cs="Times New Roman"/>
          <w:color w:val="000000" w:themeColor="text1"/>
          <w:sz w:val="24"/>
          <w:szCs w:val="24"/>
        </w:rPr>
        <w:t xml:space="preserve">Gruber &amp; </w:t>
      </w:r>
      <w:proofErr w:type="spellStart"/>
      <w:r w:rsidR="00164F54" w:rsidRPr="00164F54">
        <w:rPr>
          <w:rFonts w:ascii="Times New Roman" w:hAnsi="Times New Roman" w:cs="Times New Roman"/>
          <w:color w:val="000000" w:themeColor="text1"/>
          <w:sz w:val="24"/>
          <w:szCs w:val="24"/>
        </w:rPr>
        <w:t>Kletzenbauer</w:t>
      </w:r>
      <w:proofErr w:type="spellEnd"/>
      <w:r w:rsidRPr="00164F54">
        <w:rPr>
          <w:rFonts w:ascii="Times New Roman" w:hAnsi="Times New Roman" w:cs="Times New Roman"/>
          <w:color w:val="000000" w:themeColor="text1"/>
          <w:sz w:val="24"/>
          <w:szCs w:val="24"/>
        </w:rPr>
        <w:t>., 20</w:t>
      </w:r>
      <w:r w:rsidR="00164F54" w:rsidRPr="00164F54">
        <w:rPr>
          <w:rFonts w:ascii="Times New Roman" w:hAnsi="Times New Roman" w:cs="Times New Roman"/>
          <w:color w:val="000000" w:themeColor="text1"/>
          <w:sz w:val="24"/>
          <w:szCs w:val="24"/>
        </w:rPr>
        <w:t>25</w:t>
      </w:r>
      <w:r w:rsidRPr="00164F54">
        <w:rPr>
          <w:rFonts w:ascii="Times New Roman" w:hAnsi="Times New Roman" w:cs="Times New Roman"/>
          <w:color w:val="000000" w:themeColor="text1"/>
          <w:sz w:val="24"/>
          <w:szCs w:val="24"/>
        </w:rPr>
        <w:t>). This transition is particularly challenging as it coincides with early adolescence, a time when students move from childhood into adolescence, often experiencing puberty a period marked by physical, intellectual</w:t>
      </w:r>
      <w:r w:rsidRPr="003B151A">
        <w:rPr>
          <w:rFonts w:ascii="Times New Roman" w:hAnsi="Times New Roman" w:cs="Times New Roman"/>
          <w:color w:val="000000" w:themeColor="text1"/>
          <w:sz w:val="24"/>
          <w:szCs w:val="24"/>
        </w:rPr>
        <w:t xml:space="preserve">, emotional, and social changes (Richards, 2011a, 2011b). </w:t>
      </w:r>
      <w:r w:rsidR="00370D37">
        <w:rPr>
          <w:rFonts w:ascii="Times New Roman" w:hAnsi="Times New Roman" w:cs="Times New Roman"/>
          <w:color w:val="000000" w:themeColor="text1"/>
          <w:sz w:val="24"/>
          <w:szCs w:val="24"/>
        </w:rPr>
        <w:t xml:space="preserve">  </w:t>
      </w:r>
      <w:r w:rsidR="001B64CC" w:rsidRPr="003B151A">
        <w:rPr>
          <w:rFonts w:ascii="Times New Roman" w:hAnsi="Times New Roman" w:cs="Times New Roman"/>
          <w:color w:val="000000" w:themeColor="text1"/>
          <w:sz w:val="24"/>
          <w:szCs w:val="24"/>
        </w:rPr>
        <w:t xml:space="preserve">According to </w:t>
      </w:r>
      <w:proofErr w:type="spellStart"/>
      <w:r w:rsidR="001B64CC" w:rsidRPr="003B151A">
        <w:rPr>
          <w:rFonts w:ascii="Times New Roman" w:hAnsi="Times New Roman" w:cs="Times New Roman"/>
          <w:color w:val="000000" w:themeColor="text1"/>
          <w:sz w:val="24"/>
          <w:szCs w:val="24"/>
        </w:rPr>
        <w:t>Chepkangor</w:t>
      </w:r>
      <w:proofErr w:type="spellEnd"/>
      <w:r w:rsidR="001B64CC" w:rsidRPr="003B151A">
        <w:rPr>
          <w:rFonts w:ascii="Times New Roman" w:hAnsi="Times New Roman" w:cs="Times New Roman"/>
          <w:color w:val="000000" w:themeColor="text1"/>
          <w:sz w:val="24"/>
          <w:szCs w:val="24"/>
        </w:rPr>
        <w:t xml:space="preserve"> (2023), the study on factors influencing dropout rates in primary schools in </w:t>
      </w:r>
      <w:proofErr w:type="spellStart"/>
      <w:r w:rsidR="001B64CC" w:rsidRPr="003B151A">
        <w:rPr>
          <w:rFonts w:ascii="Times New Roman" w:hAnsi="Times New Roman" w:cs="Times New Roman"/>
          <w:color w:val="000000" w:themeColor="text1"/>
          <w:sz w:val="24"/>
          <w:szCs w:val="24"/>
        </w:rPr>
        <w:t>Mogotio</w:t>
      </w:r>
      <w:proofErr w:type="spellEnd"/>
      <w:r w:rsidR="001B64CC" w:rsidRPr="003B151A">
        <w:rPr>
          <w:rFonts w:ascii="Times New Roman" w:hAnsi="Times New Roman" w:cs="Times New Roman"/>
          <w:color w:val="000000" w:themeColor="text1"/>
          <w:sz w:val="24"/>
          <w:szCs w:val="24"/>
        </w:rPr>
        <w:t xml:space="preserve"> Sub-County, Baringo County, identified several key factors, including inadequate school resources, poverty, child labor, poor parental care, pregnancy, peer </w:t>
      </w:r>
      <w:r w:rsidR="001B64CC" w:rsidRPr="00155E24">
        <w:rPr>
          <w:rFonts w:ascii="Times New Roman" w:hAnsi="Times New Roman" w:cs="Times New Roman"/>
          <w:color w:val="000000" w:themeColor="text1"/>
          <w:sz w:val="24"/>
          <w:szCs w:val="24"/>
        </w:rPr>
        <w:t>influence, and indiscipline. These findings align with previous studies</w:t>
      </w:r>
      <w:r w:rsidR="00E919F1" w:rsidRPr="00155E24">
        <w:rPr>
          <w:rFonts w:ascii="Times New Roman" w:hAnsi="Times New Roman" w:cs="Times New Roman"/>
          <w:color w:val="000000" w:themeColor="text1"/>
          <w:sz w:val="24"/>
          <w:szCs w:val="24"/>
        </w:rPr>
        <w:t xml:space="preserve"> by</w:t>
      </w:r>
      <w:r w:rsidR="001B64CC" w:rsidRPr="00155E24">
        <w:rPr>
          <w:rFonts w:ascii="Times New Roman" w:hAnsi="Times New Roman" w:cs="Times New Roman"/>
          <w:color w:val="000000" w:themeColor="text1"/>
          <w:sz w:val="24"/>
          <w:szCs w:val="24"/>
        </w:rPr>
        <w:t xml:space="preserve"> </w:t>
      </w:r>
      <w:r w:rsidR="00155E24" w:rsidRPr="00155E24">
        <w:rPr>
          <w:rFonts w:ascii="Times New Roman" w:hAnsi="Times New Roman" w:cs="Times New Roman"/>
          <w:color w:val="000000" w:themeColor="text1"/>
          <w:sz w:val="24"/>
          <w:szCs w:val="24"/>
        </w:rPr>
        <w:t xml:space="preserve">Roble., Maalim </w:t>
      </w:r>
      <w:proofErr w:type="gramStart"/>
      <w:r w:rsidR="00155E24" w:rsidRPr="00155E24">
        <w:rPr>
          <w:rFonts w:ascii="Times New Roman" w:hAnsi="Times New Roman" w:cs="Times New Roman"/>
          <w:color w:val="000000" w:themeColor="text1"/>
          <w:sz w:val="24"/>
          <w:szCs w:val="24"/>
        </w:rPr>
        <w:t>and  Muriithi</w:t>
      </w:r>
      <w:proofErr w:type="gramEnd"/>
      <w:r w:rsidR="00155E24" w:rsidRPr="00155E24">
        <w:rPr>
          <w:rFonts w:ascii="Times New Roman" w:hAnsi="Times New Roman" w:cs="Times New Roman"/>
          <w:color w:val="000000" w:themeColor="text1"/>
          <w:sz w:val="24"/>
          <w:szCs w:val="24"/>
        </w:rPr>
        <w:t xml:space="preserve"> </w:t>
      </w:r>
      <w:r w:rsidR="001B64CC" w:rsidRPr="00155E24">
        <w:rPr>
          <w:rFonts w:ascii="Times New Roman" w:hAnsi="Times New Roman" w:cs="Times New Roman"/>
          <w:color w:val="000000" w:themeColor="text1"/>
          <w:sz w:val="24"/>
          <w:szCs w:val="24"/>
        </w:rPr>
        <w:t>(20</w:t>
      </w:r>
      <w:r w:rsidR="00155E24" w:rsidRPr="00155E24">
        <w:rPr>
          <w:rFonts w:ascii="Times New Roman" w:hAnsi="Times New Roman" w:cs="Times New Roman"/>
          <w:color w:val="000000" w:themeColor="text1"/>
          <w:sz w:val="24"/>
          <w:szCs w:val="24"/>
        </w:rPr>
        <w:t>23</w:t>
      </w:r>
      <w:r w:rsidR="001B64CC" w:rsidRPr="00155E24">
        <w:rPr>
          <w:rFonts w:ascii="Times New Roman" w:hAnsi="Times New Roman" w:cs="Times New Roman"/>
          <w:color w:val="000000" w:themeColor="text1"/>
          <w:sz w:val="24"/>
          <w:szCs w:val="24"/>
        </w:rPr>
        <w:t>) and Wolf et al. (2016), who emphasized the role of socio-economic challenges, including limited access to educational resources and financial constraints, in contributing to school absenteeism and dropout. The study</w:t>
      </w:r>
      <w:r w:rsidR="001B64CC" w:rsidRPr="003B151A">
        <w:rPr>
          <w:rFonts w:ascii="Times New Roman" w:hAnsi="Times New Roman" w:cs="Times New Roman"/>
          <w:color w:val="000000" w:themeColor="text1"/>
          <w:sz w:val="24"/>
          <w:szCs w:val="24"/>
        </w:rPr>
        <w:t xml:space="preserve"> concluded that both dropout and repetition were influenced by </w:t>
      </w:r>
      <w:r w:rsidR="001B64CC" w:rsidRPr="003B151A">
        <w:rPr>
          <w:rFonts w:ascii="Times New Roman" w:hAnsi="Times New Roman" w:cs="Times New Roman"/>
          <w:color w:val="000000" w:themeColor="text1"/>
          <w:sz w:val="24"/>
          <w:szCs w:val="24"/>
        </w:rPr>
        <w:lastRenderedPageBreak/>
        <w:t>these factors, with the recommendation for affirmative action, such as feeding programs and scholarships, to improve school retention</w:t>
      </w:r>
      <w:r w:rsidR="00E919F1" w:rsidRPr="003B151A">
        <w:rPr>
          <w:rFonts w:ascii="Times New Roman" w:hAnsi="Times New Roman" w:cs="Times New Roman"/>
          <w:color w:val="000000" w:themeColor="text1"/>
          <w:sz w:val="24"/>
          <w:szCs w:val="24"/>
        </w:rPr>
        <w:t>.</w:t>
      </w:r>
    </w:p>
    <w:p w14:paraId="0A9DBF7E" w14:textId="464E011C" w:rsidR="00CF2C69" w:rsidRPr="003B151A" w:rsidRDefault="00CF2C69" w:rsidP="00206963">
      <w:pPr>
        <w:pStyle w:val="Heading2"/>
        <w:spacing w:before="0" w:line="240" w:lineRule="auto"/>
        <w:jc w:val="both"/>
        <w:rPr>
          <w:rFonts w:ascii="Times New Roman" w:hAnsi="Times New Roman" w:cs="Times New Roman"/>
          <w:b/>
          <w:color w:val="000000" w:themeColor="text1"/>
          <w:sz w:val="24"/>
          <w:szCs w:val="24"/>
        </w:rPr>
      </w:pPr>
      <w:bookmarkStart w:id="19" w:name="_Toc204267246"/>
      <w:r w:rsidRPr="003B151A">
        <w:rPr>
          <w:rFonts w:ascii="Times New Roman" w:hAnsi="Times New Roman" w:cs="Times New Roman"/>
          <w:b/>
          <w:color w:val="000000" w:themeColor="text1"/>
          <w:sz w:val="24"/>
          <w:szCs w:val="24"/>
        </w:rPr>
        <w:t>Cultural Beliefs and Practices Influencing Transition of Girls</w:t>
      </w:r>
      <w:bookmarkEnd w:id="19"/>
    </w:p>
    <w:p w14:paraId="34E7C8AC" w14:textId="751E532C" w:rsidR="00B33657"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The need for drastic cultural change is evident, and education emerges as a key tool for breaking these stereotypes and fostering a more equitable society. As the </w:t>
      </w:r>
      <w:r w:rsidR="004B51C7" w:rsidRPr="006D0ED1">
        <w:rPr>
          <w:rFonts w:ascii="Times New Roman" w:hAnsi="Times New Roman" w:cs="Times New Roman"/>
          <w:color w:val="000000" w:themeColor="text1"/>
          <w:sz w:val="24"/>
          <w:szCs w:val="24"/>
        </w:rPr>
        <w:t>Carvalho and Evans (2020</w:t>
      </w:r>
      <w:r w:rsidRPr="003B151A">
        <w:rPr>
          <w:rFonts w:ascii="Times New Roman" w:hAnsi="Times New Roman" w:cs="Times New Roman"/>
          <w:color w:val="000000" w:themeColor="text1"/>
          <w:sz w:val="24"/>
          <w:szCs w:val="24"/>
        </w:rPr>
        <w:t>) emphasizes, education for all regardless of gender is essential for addressing these outdated cultural practices and creating a more inclusive and progressive society. Changing these socio-cultural norms through education can empower both girls and boys, ensuring equal opportunities for all members of the community (</w:t>
      </w:r>
      <w:proofErr w:type="spellStart"/>
      <w:r w:rsidRPr="003B151A">
        <w:rPr>
          <w:rFonts w:ascii="Times New Roman" w:hAnsi="Times New Roman" w:cs="Times New Roman"/>
          <w:color w:val="000000" w:themeColor="text1"/>
          <w:sz w:val="24"/>
          <w:szCs w:val="24"/>
        </w:rPr>
        <w:t>Nyagah</w:t>
      </w:r>
      <w:proofErr w:type="spellEnd"/>
      <w:r w:rsidRPr="003B151A">
        <w:rPr>
          <w:rFonts w:ascii="Times New Roman" w:hAnsi="Times New Roman" w:cs="Times New Roman"/>
          <w:color w:val="000000" w:themeColor="text1"/>
          <w:sz w:val="24"/>
          <w:szCs w:val="24"/>
        </w:rPr>
        <w:t xml:space="preserve"> &amp; </w:t>
      </w:r>
      <w:proofErr w:type="spellStart"/>
      <w:r w:rsidRPr="003B151A">
        <w:rPr>
          <w:rFonts w:ascii="Times New Roman" w:hAnsi="Times New Roman" w:cs="Times New Roman"/>
          <w:color w:val="000000" w:themeColor="text1"/>
          <w:sz w:val="24"/>
          <w:szCs w:val="24"/>
        </w:rPr>
        <w:t>Luketero</w:t>
      </w:r>
      <w:proofErr w:type="spellEnd"/>
      <w:r w:rsidRPr="003B151A">
        <w:rPr>
          <w:rFonts w:ascii="Times New Roman" w:hAnsi="Times New Roman" w:cs="Times New Roman"/>
          <w:color w:val="000000" w:themeColor="text1"/>
          <w:sz w:val="24"/>
          <w:szCs w:val="24"/>
        </w:rPr>
        <w:t xml:space="preserve">, 2016). </w:t>
      </w:r>
    </w:p>
    <w:p w14:paraId="207D9FBF" w14:textId="1CE6E0A5" w:rsidR="00CF2C69"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As Shariff (2008) notes, early marriages disrupt educational opportunities for young girls, limiting their life skills, independence, and overall socio-economic advancement.</w:t>
      </w:r>
      <w:r w:rsidR="00370D37">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In Pakistan, Ghazi, Riasat, and Shahzad (2019) examined social factors influencing primary school dropout rates, identifying key issues such as parental illiteracy, financial hardships and the perception that education is unproductive. Their study, based on interviews with dropouts and their parents, highlighted how socio-cultural factors like traditional gender roles, children’s involvement in labor and parental attitudes toward education contribute significantly to dropout behaviors. </w:t>
      </w:r>
    </w:p>
    <w:p w14:paraId="0E6623E1" w14:textId="2D02FE7B" w:rsidR="00CF2C69"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A study by UNESCO (2009) highlighted significant gender disparities in transition rates to next levels across African countries. The transition rate for boys stands at 9% higher than for girls. These disparities are rooted in socio-cultural perceptions regarding the future returns of education for female children compared to their male counterparts. In many African societies, girls are often viewed as future members of their </w:t>
      </w:r>
      <w:r w:rsidRPr="00A12753">
        <w:rPr>
          <w:rFonts w:ascii="Times New Roman" w:hAnsi="Times New Roman" w:cs="Times New Roman"/>
          <w:color w:val="000000" w:themeColor="text1"/>
          <w:sz w:val="24"/>
          <w:szCs w:val="24"/>
        </w:rPr>
        <w:t xml:space="preserve">marital households, leading parents to prioritize boys' education over that of girls. This was in concurrence with </w:t>
      </w:r>
      <w:r w:rsidR="00A12753" w:rsidRPr="00E41E04">
        <w:rPr>
          <w:rFonts w:ascii="Times New Roman" w:hAnsi="Times New Roman" w:cs="Times New Roman"/>
          <w:sz w:val="24"/>
          <w:szCs w:val="24"/>
          <w:lang/>
        </w:rPr>
        <w:t>Muasya</w:t>
      </w:r>
      <w:r w:rsidRPr="00A12753">
        <w:rPr>
          <w:rFonts w:ascii="Times New Roman" w:hAnsi="Times New Roman" w:cs="Times New Roman"/>
          <w:color w:val="000000" w:themeColor="text1"/>
          <w:sz w:val="24"/>
          <w:szCs w:val="24"/>
        </w:rPr>
        <w:t xml:space="preserve"> (20</w:t>
      </w:r>
      <w:r w:rsidR="00A12753" w:rsidRPr="00A12753">
        <w:rPr>
          <w:rFonts w:ascii="Times New Roman" w:hAnsi="Times New Roman" w:cs="Times New Roman"/>
          <w:color w:val="000000" w:themeColor="text1"/>
          <w:sz w:val="24"/>
          <w:szCs w:val="24"/>
        </w:rPr>
        <w:t>25</w:t>
      </w:r>
      <w:r w:rsidRPr="00A12753">
        <w:rPr>
          <w:rFonts w:ascii="Times New Roman" w:hAnsi="Times New Roman" w:cs="Times New Roman"/>
          <w:color w:val="000000" w:themeColor="text1"/>
          <w:sz w:val="24"/>
          <w:szCs w:val="24"/>
        </w:rPr>
        <w:t>) who noted that families often allocate higher educational priority to boys, leaving girls at a disadvantage in accessing secondary education. These socio-cultural norms and expectations, coupled with the</w:t>
      </w:r>
      <w:r w:rsidRPr="003B151A">
        <w:rPr>
          <w:rFonts w:ascii="Times New Roman" w:hAnsi="Times New Roman" w:cs="Times New Roman"/>
          <w:color w:val="000000" w:themeColor="text1"/>
          <w:sz w:val="24"/>
          <w:szCs w:val="24"/>
        </w:rPr>
        <w:t xml:space="preserve"> perception that investing in girls' education yields lower long-term benefits, significantly hinder girls’ transition in schools. </w:t>
      </w:r>
    </w:p>
    <w:p w14:paraId="2925E6D6" w14:textId="0B82412F" w:rsidR="00CF2C69" w:rsidRPr="003B151A" w:rsidRDefault="00603BB9" w:rsidP="00206963">
      <w:pPr>
        <w:spacing w:after="0" w:line="240" w:lineRule="auto"/>
        <w:jc w:val="both"/>
        <w:rPr>
          <w:rFonts w:ascii="Times New Roman" w:hAnsi="Times New Roman" w:cs="Times New Roman"/>
          <w:color w:val="000000" w:themeColor="text1"/>
          <w:sz w:val="24"/>
          <w:szCs w:val="24"/>
        </w:rPr>
      </w:pPr>
      <w:r w:rsidRPr="00603BB9">
        <w:rPr>
          <w:rFonts w:ascii="Times New Roman" w:hAnsi="Times New Roman" w:cs="Times New Roman"/>
          <w:color w:val="000000" w:themeColor="text1"/>
          <w:sz w:val="24"/>
          <w:szCs w:val="24"/>
        </w:rPr>
        <w:t>Nungo</w:t>
      </w:r>
      <w:r w:rsidR="00CF2C69" w:rsidRPr="00603BB9">
        <w:rPr>
          <w:rFonts w:ascii="Times New Roman" w:hAnsi="Times New Roman" w:cs="Times New Roman"/>
          <w:color w:val="000000" w:themeColor="text1"/>
          <w:sz w:val="24"/>
          <w:szCs w:val="24"/>
        </w:rPr>
        <w:t xml:space="preserve"> et al. (20</w:t>
      </w:r>
      <w:r w:rsidRPr="00603BB9">
        <w:rPr>
          <w:rFonts w:ascii="Times New Roman" w:hAnsi="Times New Roman" w:cs="Times New Roman"/>
          <w:color w:val="000000" w:themeColor="text1"/>
          <w:sz w:val="24"/>
          <w:szCs w:val="24"/>
        </w:rPr>
        <w:t>25</w:t>
      </w:r>
      <w:r w:rsidR="00CF2C69" w:rsidRPr="00603BB9">
        <w:rPr>
          <w:rFonts w:ascii="Times New Roman" w:hAnsi="Times New Roman" w:cs="Times New Roman"/>
          <w:color w:val="000000" w:themeColor="text1"/>
          <w:sz w:val="24"/>
          <w:szCs w:val="24"/>
        </w:rPr>
        <w:t>) found that early marriages and teenage pregnancies significantly hinder girls' transition from primary</w:t>
      </w:r>
      <w:r w:rsidR="00CF2C69" w:rsidRPr="003B151A">
        <w:rPr>
          <w:rFonts w:ascii="Times New Roman" w:hAnsi="Times New Roman" w:cs="Times New Roman"/>
          <w:color w:val="000000" w:themeColor="text1"/>
          <w:sz w:val="24"/>
          <w:szCs w:val="24"/>
        </w:rPr>
        <w:t xml:space="preserve"> to secondary education among the fishing communities. The study noted that many girls drop out of school due to early pregnancies or being married off at a young age. In Ghana, Wolf, McCoy &amp; Godfrey (2016) investigated how child-related factors impacted school attendance in Ghana. They found that girls were more likely to miss school due to family responsibilities, such as caring for sick family members, while boys were more likely to miss school because of work-related reasons. In Tanzania, Issa, Juma &amp; Suleiman (2022) noted that despite notable successes in primary school enrollment, dropout rates remain a significant barrier to achieving Universal Primary Education (UPE) with girls being the most affected. Tanzania records one of the lowest transition rates globally, with only 36 percent of the transition rate. The findings from the study revealed that the dropout has been associated with the socio-cultural circumstances facing the families.</w:t>
      </w:r>
    </w:p>
    <w:p w14:paraId="05D55E1C" w14:textId="23957993" w:rsidR="00CF2C69" w:rsidRPr="003B151A" w:rsidRDefault="00CF2C69" w:rsidP="00206963">
      <w:pPr>
        <w:spacing w:after="0" w:line="240" w:lineRule="auto"/>
        <w:jc w:val="both"/>
        <w:rPr>
          <w:rFonts w:ascii="Times New Roman" w:hAnsi="Times New Roman" w:cs="Times New Roman"/>
          <w:color w:val="000000" w:themeColor="text1"/>
          <w:sz w:val="24"/>
          <w:szCs w:val="24"/>
        </w:rPr>
      </w:pPr>
      <w:proofErr w:type="spellStart"/>
      <w:r w:rsidRPr="003B151A">
        <w:rPr>
          <w:rFonts w:ascii="Times New Roman" w:hAnsi="Times New Roman" w:cs="Times New Roman"/>
          <w:color w:val="000000" w:themeColor="text1"/>
          <w:sz w:val="24"/>
          <w:szCs w:val="24"/>
        </w:rPr>
        <w:t>Omuse</w:t>
      </w:r>
      <w:proofErr w:type="spellEnd"/>
      <w:r w:rsidRPr="003B151A">
        <w:rPr>
          <w:rFonts w:ascii="Times New Roman" w:hAnsi="Times New Roman" w:cs="Times New Roman"/>
          <w:color w:val="000000" w:themeColor="text1"/>
          <w:sz w:val="24"/>
          <w:szCs w:val="24"/>
        </w:rPr>
        <w:t xml:space="preserve"> (2017) conducted a study on factors affecting the transition rates of girls from primary to secondary school in Teso South Sub-County. The study employed a descriptive design and purposive stratified sampling, gathering data through questionnaires. It identified </w:t>
      </w:r>
      <w:proofErr w:type="spellStart"/>
      <w:r w:rsidRPr="003B151A">
        <w:rPr>
          <w:rFonts w:ascii="Times New Roman" w:hAnsi="Times New Roman" w:cs="Times New Roman"/>
          <w:color w:val="000000" w:themeColor="text1"/>
          <w:sz w:val="24"/>
          <w:szCs w:val="24"/>
        </w:rPr>
        <w:t>ke</w:t>
      </w:r>
      <w:proofErr w:type="spellEnd"/>
      <w:r w:rsidR="00370D37">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y factors influencing girls' transition rates</w:t>
      </w:r>
      <w:r w:rsidR="00370D37">
        <w:rPr>
          <w:rFonts w:ascii="Times New Roman" w:hAnsi="Times New Roman" w:cs="Times New Roman"/>
          <w:color w:val="000000" w:themeColor="text1"/>
          <w:sz w:val="24"/>
          <w:szCs w:val="24"/>
        </w:rPr>
        <w:t xml:space="preserve"> as </w:t>
      </w:r>
      <w:r w:rsidR="009E5D8D">
        <w:rPr>
          <w:rFonts w:ascii="Times New Roman" w:hAnsi="Times New Roman" w:cs="Times New Roman"/>
          <w:color w:val="000000" w:themeColor="text1"/>
          <w:sz w:val="24"/>
          <w:szCs w:val="24"/>
        </w:rPr>
        <w:t>being</w:t>
      </w:r>
      <w:r w:rsidR="009E5D8D" w:rsidRPr="003B151A">
        <w:rPr>
          <w:rFonts w:ascii="Times New Roman" w:hAnsi="Times New Roman" w:cs="Times New Roman"/>
          <w:color w:val="000000" w:themeColor="text1"/>
          <w:sz w:val="24"/>
          <w:szCs w:val="24"/>
        </w:rPr>
        <w:t xml:space="preserve"> social</w:t>
      </w:r>
      <w:r w:rsidRPr="003B151A">
        <w:rPr>
          <w:rFonts w:ascii="Times New Roman" w:hAnsi="Times New Roman" w:cs="Times New Roman"/>
          <w:color w:val="000000" w:themeColor="text1"/>
          <w:sz w:val="24"/>
          <w:szCs w:val="24"/>
        </w:rPr>
        <w:t>-cultural factors (such as early marriages and teenage pregnancies),</w:t>
      </w:r>
      <w:r w:rsidR="00370D37">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In Laikipia </w:t>
      </w:r>
      <w:r w:rsidR="00DD38C9" w:rsidRPr="003B151A">
        <w:rPr>
          <w:rFonts w:ascii="Times New Roman" w:hAnsi="Times New Roman" w:cs="Times New Roman"/>
          <w:color w:val="000000" w:themeColor="text1"/>
          <w:sz w:val="24"/>
          <w:szCs w:val="24"/>
        </w:rPr>
        <w:t>County</w:t>
      </w:r>
      <w:r w:rsidRPr="003B151A">
        <w:rPr>
          <w:rFonts w:ascii="Times New Roman" w:hAnsi="Times New Roman" w:cs="Times New Roman"/>
          <w:color w:val="000000" w:themeColor="text1"/>
          <w:sz w:val="24"/>
          <w:szCs w:val="24"/>
        </w:rPr>
        <w:t xml:space="preserve">, Mwangi, </w:t>
      </w:r>
      <w:proofErr w:type="spellStart"/>
      <w:r w:rsidRPr="003B151A">
        <w:rPr>
          <w:rFonts w:ascii="Times New Roman" w:hAnsi="Times New Roman" w:cs="Times New Roman"/>
          <w:color w:val="000000" w:themeColor="text1"/>
          <w:sz w:val="24"/>
          <w:szCs w:val="24"/>
        </w:rPr>
        <w:t>Kiumi</w:t>
      </w:r>
      <w:proofErr w:type="spellEnd"/>
      <w:r w:rsidRPr="003B151A">
        <w:rPr>
          <w:rFonts w:ascii="Times New Roman" w:hAnsi="Times New Roman" w:cs="Times New Roman"/>
          <w:color w:val="000000" w:themeColor="text1"/>
          <w:sz w:val="24"/>
          <w:szCs w:val="24"/>
        </w:rPr>
        <w:t xml:space="preserve"> &amp; </w:t>
      </w:r>
      <w:proofErr w:type="spellStart"/>
      <w:r w:rsidRPr="003B151A">
        <w:rPr>
          <w:rFonts w:ascii="Times New Roman" w:hAnsi="Times New Roman" w:cs="Times New Roman"/>
          <w:color w:val="000000" w:themeColor="text1"/>
          <w:sz w:val="24"/>
          <w:szCs w:val="24"/>
        </w:rPr>
        <w:t>Ngunjiri</w:t>
      </w:r>
      <w:proofErr w:type="spellEnd"/>
      <w:r w:rsidRPr="003B151A">
        <w:rPr>
          <w:rFonts w:ascii="Times New Roman" w:hAnsi="Times New Roman" w:cs="Times New Roman"/>
          <w:color w:val="000000" w:themeColor="text1"/>
          <w:sz w:val="24"/>
          <w:szCs w:val="24"/>
        </w:rPr>
        <w:t xml:space="preserve"> (2018) found that cultural factors significantly affected transition rates, with an average of 54.9% from 2008 to 2015 where it was revealed that cultural influences had a negative impact on transitions. The study utilized ex-post facto research design and the data was collected using self-delivered questionnaire from a target population of 1064 respondents.</w:t>
      </w:r>
    </w:p>
    <w:p w14:paraId="5FD36C9D" w14:textId="11D94CF6" w:rsidR="00DB17BA" w:rsidRPr="003B151A" w:rsidRDefault="00DB17BA"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Cultural beliefs reinforce gender biases, where boys are valued as future providers while girls are </w:t>
      </w:r>
      <w:r w:rsidRPr="009D29DF">
        <w:rPr>
          <w:rFonts w:ascii="Times New Roman" w:hAnsi="Times New Roman" w:cs="Times New Roman"/>
          <w:color w:val="000000" w:themeColor="text1"/>
          <w:sz w:val="24"/>
          <w:szCs w:val="24"/>
        </w:rPr>
        <w:t xml:space="preserve">seen as caregivers and homemakers, leading to early involvement in domestic chores, limited aspirations, and eventual </w:t>
      </w:r>
      <w:r w:rsidRPr="00C11D49">
        <w:rPr>
          <w:rFonts w:ascii="Times New Roman" w:hAnsi="Times New Roman" w:cs="Times New Roman"/>
          <w:color w:val="000000" w:themeColor="text1"/>
          <w:sz w:val="24"/>
          <w:szCs w:val="24"/>
        </w:rPr>
        <w:t>dropout (</w:t>
      </w:r>
      <w:proofErr w:type="spellStart"/>
      <w:r w:rsidR="009D29DF" w:rsidRPr="00C11D49">
        <w:rPr>
          <w:rFonts w:ascii="Times New Roman" w:hAnsi="Times New Roman" w:cs="Times New Roman"/>
          <w:color w:val="000000" w:themeColor="text1"/>
          <w:sz w:val="24"/>
          <w:szCs w:val="24"/>
        </w:rPr>
        <w:t>Oduya</w:t>
      </w:r>
      <w:proofErr w:type="spellEnd"/>
      <w:r w:rsidR="009D29DF" w:rsidRPr="00C11D49">
        <w:rPr>
          <w:rFonts w:ascii="Times New Roman" w:hAnsi="Times New Roman" w:cs="Times New Roman"/>
          <w:color w:val="000000" w:themeColor="text1"/>
          <w:sz w:val="24"/>
          <w:szCs w:val="24"/>
        </w:rPr>
        <w:t>, 2020</w:t>
      </w:r>
      <w:r w:rsidRPr="00C11D49">
        <w:rPr>
          <w:rFonts w:ascii="Times New Roman" w:hAnsi="Times New Roman" w:cs="Times New Roman"/>
          <w:color w:val="000000" w:themeColor="text1"/>
          <w:sz w:val="24"/>
          <w:szCs w:val="24"/>
        </w:rPr>
        <w:t xml:space="preserve">; </w:t>
      </w:r>
      <w:proofErr w:type="spellStart"/>
      <w:r w:rsidR="009D29DF" w:rsidRPr="00C11D49">
        <w:rPr>
          <w:rFonts w:ascii="Times New Roman" w:hAnsi="Times New Roman" w:cs="Times New Roman"/>
          <w:color w:val="000000" w:themeColor="text1"/>
          <w:sz w:val="24"/>
          <w:szCs w:val="24"/>
        </w:rPr>
        <w:t>Andiema</w:t>
      </w:r>
      <w:proofErr w:type="spellEnd"/>
      <w:r w:rsidR="009D29DF" w:rsidRPr="00C11D49">
        <w:rPr>
          <w:rFonts w:ascii="Times New Roman" w:hAnsi="Times New Roman" w:cs="Times New Roman"/>
          <w:color w:val="000000" w:themeColor="text1"/>
          <w:sz w:val="24"/>
          <w:szCs w:val="24"/>
        </w:rPr>
        <w:t>, N., &amp; Manasi, 2022).</w:t>
      </w:r>
      <w:r w:rsidRPr="00C11D49">
        <w:rPr>
          <w:rFonts w:ascii="Times New Roman" w:hAnsi="Times New Roman" w:cs="Times New Roman"/>
          <w:color w:val="000000" w:themeColor="text1"/>
          <w:sz w:val="24"/>
          <w:szCs w:val="24"/>
        </w:rPr>
        <w:t xml:space="preserve">). Practices such </w:t>
      </w:r>
      <w:r w:rsidRPr="00C11D49">
        <w:rPr>
          <w:rFonts w:ascii="Times New Roman" w:hAnsi="Times New Roman" w:cs="Times New Roman"/>
          <w:color w:val="000000" w:themeColor="text1"/>
          <w:sz w:val="24"/>
          <w:szCs w:val="24"/>
        </w:rPr>
        <w:lastRenderedPageBreak/>
        <w:t>as female genital mutilation, early marriage, and betrothal further cement girls' inferior status and curtail their schooling (</w:t>
      </w:r>
      <w:proofErr w:type="spellStart"/>
      <w:r w:rsidR="00C11D49" w:rsidRPr="00C11D49">
        <w:rPr>
          <w:rFonts w:ascii="Times New Roman" w:hAnsi="Times New Roman" w:cs="Times New Roman"/>
          <w:color w:val="000000" w:themeColor="text1"/>
          <w:sz w:val="24"/>
          <w:szCs w:val="24"/>
        </w:rPr>
        <w:t>Onipede</w:t>
      </w:r>
      <w:proofErr w:type="spellEnd"/>
      <w:r w:rsidR="00C11D49" w:rsidRPr="00C11D49">
        <w:rPr>
          <w:rFonts w:ascii="Times New Roman" w:hAnsi="Times New Roman" w:cs="Times New Roman"/>
          <w:color w:val="000000" w:themeColor="text1"/>
          <w:sz w:val="24"/>
          <w:szCs w:val="24"/>
        </w:rPr>
        <w:t xml:space="preserve"> AA and </w:t>
      </w:r>
      <w:proofErr w:type="spellStart"/>
      <w:r w:rsidR="00C11D49" w:rsidRPr="00C11D49">
        <w:rPr>
          <w:rFonts w:ascii="Times New Roman" w:hAnsi="Times New Roman" w:cs="Times New Roman"/>
          <w:color w:val="000000" w:themeColor="text1"/>
          <w:sz w:val="24"/>
          <w:szCs w:val="24"/>
        </w:rPr>
        <w:t>Akilade</w:t>
      </w:r>
      <w:proofErr w:type="spellEnd"/>
      <w:r w:rsidR="00C11D49" w:rsidRPr="00C11D49">
        <w:rPr>
          <w:rFonts w:ascii="Times New Roman" w:hAnsi="Times New Roman" w:cs="Times New Roman"/>
          <w:color w:val="000000" w:themeColor="text1"/>
          <w:sz w:val="24"/>
          <w:szCs w:val="24"/>
        </w:rPr>
        <w:t>, 2023</w:t>
      </w:r>
      <w:r w:rsidRPr="00C11D49">
        <w:rPr>
          <w:rFonts w:ascii="Times New Roman" w:hAnsi="Times New Roman" w:cs="Times New Roman"/>
          <w:color w:val="000000" w:themeColor="text1"/>
          <w:sz w:val="24"/>
          <w:szCs w:val="24"/>
        </w:rPr>
        <w:t xml:space="preserve">; </w:t>
      </w:r>
      <w:proofErr w:type="spellStart"/>
      <w:proofErr w:type="gramStart"/>
      <w:r w:rsidR="00635E24" w:rsidRPr="00C11D49">
        <w:rPr>
          <w:rFonts w:ascii="Times New Roman" w:hAnsi="Times New Roman" w:cs="Times New Roman"/>
          <w:color w:val="000000" w:themeColor="text1"/>
          <w:sz w:val="24"/>
          <w:szCs w:val="24"/>
        </w:rPr>
        <w:t>Dagane</w:t>
      </w:r>
      <w:proofErr w:type="spellEnd"/>
      <w:r w:rsidR="00635E24" w:rsidRPr="00C11D49">
        <w:rPr>
          <w:rFonts w:ascii="Times New Roman" w:hAnsi="Times New Roman" w:cs="Times New Roman"/>
          <w:color w:val="000000" w:themeColor="text1"/>
          <w:sz w:val="24"/>
          <w:szCs w:val="24"/>
        </w:rPr>
        <w:t xml:space="preserve">  &amp;</w:t>
      </w:r>
      <w:proofErr w:type="gramEnd"/>
      <w:r w:rsidR="00635E24" w:rsidRPr="00C11D49">
        <w:rPr>
          <w:rFonts w:ascii="Times New Roman" w:hAnsi="Times New Roman" w:cs="Times New Roman"/>
          <w:color w:val="000000" w:themeColor="text1"/>
          <w:sz w:val="24"/>
          <w:szCs w:val="24"/>
        </w:rPr>
        <w:t xml:space="preserve"> Rotich, 2023</w:t>
      </w:r>
      <w:r w:rsidRPr="00C11D49">
        <w:rPr>
          <w:rFonts w:ascii="Times New Roman" w:hAnsi="Times New Roman" w:cs="Times New Roman"/>
          <w:color w:val="000000" w:themeColor="text1"/>
          <w:sz w:val="24"/>
          <w:szCs w:val="24"/>
        </w:rPr>
        <w:t xml:space="preserve">). Additionally, religious practices in Somali and other Muslim communities restrict girls from engaging in co-educational settings or adopting dress codes perceived as western, fueling fears of moral decay and resulting in parental reluctance to enroll daughters in school (Chege &amp; Sifuna, 2005; </w:t>
      </w:r>
      <w:proofErr w:type="gramStart"/>
      <w:r w:rsidR="00635E24" w:rsidRPr="00C11D49">
        <w:rPr>
          <w:rFonts w:ascii="Times New Roman" w:hAnsi="Times New Roman" w:cs="Times New Roman"/>
          <w:color w:val="000000" w:themeColor="text1"/>
          <w:sz w:val="24"/>
          <w:szCs w:val="24"/>
        </w:rPr>
        <w:t>Dagane  &amp;</w:t>
      </w:r>
      <w:proofErr w:type="gramEnd"/>
      <w:r w:rsidR="00635E24" w:rsidRPr="00C11D49">
        <w:rPr>
          <w:rFonts w:ascii="Times New Roman" w:hAnsi="Times New Roman" w:cs="Times New Roman"/>
          <w:color w:val="000000" w:themeColor="text1"/>
          <w:sz w:val="24"/>
          <w:szCs w:val="24"/>
        </w:rPr>
        <w:t xml:space="preserve"> Rotich, 2023</w:t>
      </w:r>
      <w:r w:rsidRPr="00C11D49">
        <w:rPr>
          <w:rFonts w:ascii="Times New Roman" w:hAnsi="Times New Roman" w:cs="Times New Roman"/>
          <w:color w:val="000000" w:themeColor="text1"/>
          <w:sz w:val="24"/>
          <w:szCs w:val="24"/>
        </w:rPr>
        <w:t>). The nomadic lifestyle also demands children’s participation in herding and household</w:t>
      </w:r>
      <w:r w:rsidRPr="009D29DF">
        <w:rPr>
          <w:rFonts w:ascii="Times New Roman" w:hAnsi="Times New Roman" w:cs="Times New Roman"/>
          <w:color w:val="000000" w:themeColor="text1"/>
          <w:sz w:val="24"/>
          <w:szCs w:val="24"/>
        </w:rPr>
        <w:t xml:space="preserve"> duties,</w:t>
      </w:r>
      <w:r w:rsidRPr="003B151A">
        <w:rPr>
          <w:rFonts w:ascii="Times New Roman" w:hAnsi="Times New Roman" w:cs="Times New Roman"/>
          <w:color w:val="000000" w:themeColor="text1"/>
          <w:sz w:val="24"/>
          <w:szCs w:val="24"/>
        </w:rPr>
        <w:t xml:space="preserve"> with schooling perceived as a threat to cultural continuity and survival, particularly when not adapted to their mobile way of life (MOE, 2010). These intersecting factors contribute to poor enrollment, high dropout rates, and limited transition opportunities for girls, underscoring the urgent need for education models that align with cultural, religious, and livelihood realities of nomadic societies.</w:t>
      </w:r>
    </w:p>
    <w:p w14:paraId="72FBC1CF" w14:textId="087FB195" w:rsidR="00C43C7F" w:rsidRPr="003B151A" w:rsidRDefault="00C43C7F" w:rsidP="00206963">
      <w:pPr>
        <w:pStyle w:val="Heading1"/>
        <w:jc w:val="center"/>
        <w:rPr>
          <w:color w:val="000000" w:themeColor="text1"/>
        </w:rPr>
      </w:pPr>
      <w:bookmarkStart w:id="20" w:name="_Toc187848970"/>
      <w:bookmarkStart w:id="21" w:name="_Toc204267250"/>
      <w:r w:rsidRPr="003B151A">
        <w:rPr>
          <w:color w:val="000000" w:themeColor="text1"/>
        </w:rPr>
        <w:t>RESEARCH METHODOLOGY</w:t>
      </w:r>
      <w:bookmarkEnd w:id="20"/>
      <w:bookmarkEnd w:id="21"/>
    </w:p>
    <w:p w14:paraId="08AACE56" w14:textId="5212ECA9" w:rsidR="00C43C7F" w:rsidRPr="003B151A" w:rsidRDefault="004A2B6F"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color w:val="000000" w:themeColor="text1"/>
          <w:sz w:val="24"/>
          <w:szCs w:val="24"/>
        </w:rPr>
        <w:t xml:space="preserve">This study </w:t>
      </w:r>
      <w:r w:rsidR="004222FD" w:rsidRPr="003B151A">
        <w:rPr>
          <w:rFonts w:ascii="Times New Roman" w:hAnsi="Times New Roman" w:cs="Times New Roman"/>
          <w:color w:val="000000" w:themeColor="text1"/>
          <w:sz w:val="24"/>
          <w:szCs w:val="24"/>
        </w:rPr>
        <w:t>was</w:t>
      </w:r>
      <w:r w:rsidRPr="003B151A">
        <w:rPr>
          <w:rFonts w:ascii="Times New Roman" w:hAnsi="Times New Roman" w:cs="Times New Roman"/>
          <w:color w:val="000000" w:themeColor="text1"/>
          <w:sz w:val="24"/>
          <w:szCs w:val="24"/>
        </w:rPr>
        <w:t xml:space="preserve"> guided by the positivist research paradigm, which </w:t>
      </w:r>
      <w:r w:rsidR="004222FD" w:rsidRPr="003B151A">
        <w:rPr>
          <w:rFonts w:ascii="Times New Roman" w:hAnsi="Times New Roman" w:cs="Times New Roman"/>
          <w:color w:val="000000" w:themeColor="text1"/>
          <w:sz w:val="24"/>
          <w:szCs w:val="24"/>
        </w:rPr>
        <w:t>was</w:t>
      </w:r>
      <w:r w:rsidRPr="003B151A">
        <w:rPr>
          <w:rFonts w:ascii="Times New Roman" w:hAnsi="Times New Roman" w:cs="Times New Roman"/>
          <w:color w:val="000000" w:themeColor="text1"/>
          <w:sz w:val="24"/>
          <w:szCs w:val="24"/>
        </w:rPr>
        <w:t xml:space="preserve"> grounded in the belief that reality is objective and can be observed, measured, and quantified (Creswell, 2014). </w:t>
      </w:r>
    </w:p>
    <w:p w14:paraId="3AED31F5" w14:textId="11769526" w:rsidR="00F430CF" w:rsidRDefault="0013366E"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study employ</w:t>
      </w:r>
      <w:r w:rsidR="00571BC4" w:rsidRPr="003B151A">
        <w:rPr>
          <w:rFonts w:ascii="Times New Roman" w:hAnsi="Times New Roman" w:cs="Times New Roman"/>
          <w:color w:val="000000" w:themeColor="text1"/>
          <w:sz w:val="24"/>
          <w:szCs w:val="24"/>
        </w:rPr>
        <w:t>ed</w:t>
      </w:r>
      <w:r w:rsidRPr="003B151A">
        <w:rPr>
          <w:rFonts w:ascii="Times New Roman" w:hAnsi="Times New Roman" w:cs="Times New Roman"/>
          <w:color w:val="000000" w:themeColor="text1"/>
          <w:sz w:val="24"/>
          <w:szCs w:val="24"/>
        </w:rPr>
        <w:t xml:space="preserve"> correlational research design. </w:t>
      </w:r>
      <w:r w:rsidR="00CB05EC" w:rsidRPr="003B151A">
        <w:rPr>
          <w:rFonts w:ascii="Times New Roman" w:hAnsi="Times New Roman" w:cs="Times New Roman"/>
          <w:color w:val="000000" w:themeColor="text1"/>
          <w:sz w:val="24"/>
          <w:szCs w:val="24"/>
        </w:rPr>
        <w:t xml:space="preserve">The aim of adopting a correlational research design </w:t>
      </w:r>
      <w:r w:rsidR="00571BC4" w:rsidRPr="003B151A">
        <w:rPr>
          <w:rFonts w:ascii="Times New Roman" w:hAnsi="Times New Roman" w:cs="Times New Roman"/>
          <w:color w:val="000000" w:themeColor="text1"/>
          <w:sz w:val="24"/>
          <w:szCs w:val="24"/>
        </w:rPr>
        <w:t>was</w:t>
      </w:r>
      <w:r w:rsidR="00CB05EC" w:rsidRPr="003B151A">
        <w:rPr>
          <w:rFonts w:ascii="Times New Roman" w:hAnsi="Times New Roman" w:cs="Times New Roman"/>
          <w:color w:val="000000" w:themeColor="text1"/>
          <w:sz w:val="24"/>
          <w:szCs w:val="24"/>
        </w:rPr>
        <w:t xml:space="preserve"> to investigate the statistical relationships between selected independent variables socio-economic factors, cultural beliefs and practices and school infrastructure and resources and the dependent variable, which </w:t>
      </w:r>
      <w:r w:rsidR="00501581" w:rsidRPr="003B151A">
        <w:rPr>
          <w:rFonts w:ascii="Times New Roman" w:hAnsi="Times New Roman" w:cs="Times New Roman"/>
          <w:color w:val="000000" w:themeColor="text1"/>
          <w:sz w:val="24"/>
          <w:szCs w:val="24"/>
        </w:rPr>
        <w:t>was</w:t>
      </w:r>
      <w:r w:rsidR="00CB05EC" w:rsidRPr="003B151A">
        <w:rPr>
          <w:rFonts w:ascii="Times New Roman" w:hAnsi="Times New Roman" w:cs="Times New Roman"/>
          <w:color w:val="000000" w:themeColor="text1"/>
          <w:sz w:val="24"/>
          <w:szCs w:val="24"/>
        </w:rPr>
        <w:t xml:space="preserve"> the transition of girls from lower to upper primary education in Balambala Sub-county, Garissa County. </w:t>
      </w:r>
    </w:p>
    <w:p w14:paraId="45A93D78" w14:textId="77777777" w:rsidR="00F430CF" w:rsidRDefault="00F430CF" w:rsidP="00206963">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3B151A">
        <w:rPr>
          <w:rFonts w:ascii="Times New Roman" w:hAnsi="Times New Roman" w:cs="Times New Roman"/>
          <w:color w:val="000000" w:themeColor="text1"/>
          <w:sz w:val="24"/>
          <w:szCs w:val="24"/>
        </w:rPr>
        <w:t xml:space="preserve"> sample size </w:t>
      </w:r>
      <w:r>
        <w:rPr>
          <w:rFonts w:ascii="Times New Roman" w:hAnsi="Times New Roman" w:cs="Times New Roman"/>
          <w:color w:val="000000" w:themeColor="text1"/>
          <w:sz w:val="24"/>
          <w:szCs w:val="24"/>
        </w:rPr>
        <w:t xml:space="preserve">of </w:t>
      </w:r>
      <w:r w:rsidRPr="003B151A">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was chosen, translating to </w:t>
      </w:r>
      <w:r w:rsidRPr="003B151A">
        <w:rPr>
          <w:rFonts w:ascii="Times New Roman" w:hAnsi="Times New Roman" w:cs="Times New Roman"/>
          <w:color w:val="000000" w:themeColor="text1"/>
          <w:sz w:val="24"/>
          <w:szCs w:val="24"/>
        </w:rPr>
        <w:t>67 respondents</w:t>
      </w:r>
      <w:r>
        <w:rPr>
          <w:rFonts w:ascii="Times New Roman" w:hAnsi="Times New Roman" w:cs="Times New Roman"/>
          <w:color w:val="000000" w:themeColor="text1"/>
          <w:sz w:val="24"/>
          <w:szCs w:val="24"/>
        </w:rPr>
        <w:t xml:space="preserve"> which included, 36 school management board members, 6 PTA chairpersons and 25 teachers. During data collection, b</w:t>
      </w:r>
      <w:r w:rsidR="00FF71DE" w:rsidRPr="003B151A">
        <w:rPr>
          <w:rFonts w:ascii="Times New Roman" w:hAnsi="Times New Roman" w:cs="Times New Roman"/>
          <w:color w:val="000000" w:themeColor="text1"/>
          <w:sz w:val="24"/>
          <w:szCs w:val="24"/>
        </w:rPr>
        <w:t>oth questionnaire and interview</w:t>
      </w:r>
      <w:r w:rsidR="00B365DE" w:rsidRPr="003B151A">
        <w:rPr>
          <w:rFonts w:ascii="Times New Roman" w:hAnsi="Times New Roman" w:cs="Times New Roman"/>
          <w:color w:val="000000" w:themeColor="text1"/>
          <w:sz w:val="24"/>
          <w:szCs w:val="24"/>
        </w:rPr>
        <w:t xml:space="preserve"> schedule guide</w:t>
      </w:r>
      <w:r w:rsidR="00FF71DE" w:rsidRPr="003B15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were utilised </w:t>
      </w:r>
    </w:p>
    <w:p w14:paraId="4A5C8400" w14:textId="134C4922" w:rsidR="002C58FE" w:rsidRPr="0088487B" w:rsidRDefault="00F430CF" w:rsidP="00206963">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00746D97" w:rsidRPr="003B151A">
        <w:rPr>
          <w:rFonts w:ascii="Times New Roman" w:eastAsia="Times New Roman" w:hAnsi="Times New Roman" w:cs="Times New Roman"/>
          <w:color w:val="000000" w:themeColor="text1"/>
          <w:sz w:val="24"/>
          <w:szCs w:val="24"/>
        </w:rPr>
        <w:t xml:space="preserve">structured questionnaire </w:t>
      </w:r>
      <w:r w:rsidR="0028557A" w:rsidRPr="003B151A">
        <w:rPr>
          <w:rFonts w:ascii="Times New Roman" w:eastAsia="Times New Roman" w:hAnsi="Times New Roman" w:cs="Times New Roman"/>
          <w:color w:val="000000" w:themeColor="text1"/>
          <w:sz w:val="24"/>
          <w:szCs w:val="24"/>
        </w:rPr>
        <w:t>was</w:t>
      </w:r>
      <w:r w:rsidR="00746D97" w:rsidRPr="003B151A">
        <w:rPr>
          <w:rFonts w:ascii="Times New Roman" w:eastAsia="Times New Roman" w:hAnsi="Times New Roman" w:cs="Times New Roman"/>
          <w:color w:val="000000" w:themeColor="text1"/>
          <w:sz w:val="24"/>
          <w:szCs w:val="24"/>
        </w:rPr>
        <w:t xml:space="preserve"> administered to </w:t>
      </w:r>
      <w:r w:rsidR="0028557A" w:rsidRPr="003B151A">
        <w:rPr>
          <w:rFonts w:ascii="Times New Roman" w:hAnsi="Times New Roman" w:cs="Times New Roman"/>
          <w:color w:val="000000" w:themeColor="text1"/>
          <w:sz w:val="24"/>
          <w:szCs w:val="24"/>
        </w:rPr>
        <w:t>Parent Association (PA) chairpersons</w:t>
      </w:r>
      <w:r w:rsidR="00746D97" w:rsidRPr="003B151A">
        <w:rPr>
          <w:rFonts w:ascii="Times New Roman" w:eastAsia="Times New Roman" w:hAnsi="Times New Roman" w:cs="Times New Roman"/>
          <w:color w:val="000000" w:themeColor="text1"/>
          <w:sz w:val="24"/>
          <w:szCs w:val="24"/>
        </w:rPr>
        <w:t xml:space="preserve">. It </w:t>
      </w:r>
      <w:r w:rsidR="0028557A" w:rsidRPr="003B151A">
        <w:rPr>
          <w:rFonts w:ascii="Times New Roman" w:eastAsia="Times New Roman" w:hAnsi="Times New Roman" w:cs="Times New Roman"/>
          <w:color w:val="000000" w:themeColor="text1"/>
          <w:sz w:val="24"/>
          <w:szCs w:val="24"/>
        </w:rPr>
        <w:t>was</w:t>
      </w:r>
      <w:r w:rsidR="00746D97" w:rsidRPr="003B151A">
        <w:rPr>
          <w:rFonts w:ascii="Times New Roman" w:eastAsia="Times New Roman" w:hAnsi="Times New Roman" w:cs="Times New Roman"/>
          <w:color w:val="000000" w:themeColor="text1"/>
          <w:sz w:val="24"/>
          <w:szCs w:val="24"/>
        </w:rPr>
        <w:t xml:space="preserve"> appropriate for collecting standardized responses that allow</w:t>
      </w:r>
      <w:r w:rsidR="0028557A" w:rsidRPr="003B151A">
        <w:rPr>
          <w:rFonts w:ascii="Times New Roman" w:eastAsia="Times New Roman" w:hAnsi="Times New Roman" w:cs="Times New Roman"/>
          <w:color w:val="000000" w:themeColor="text1"/>
          <w:sz w:val="24"/>
          <w:szCs w:val="24"/>
        </w:rPr>
        <w:t>ed</w:t>
      </w:r>
      <w:r w:rsidR="00746D97" w:rsidRPr="003B151A">
        <w:rPr>
          <w:rFonts w:ascii="Times New Roman" w:eastAsia="Times New Roman" w:hAnsi="Times New Roman" w:cs="Times New Roman"/>
          <w:color w:val="000000" w:themeColor="text1"/>
          <w:sz w:val="24"/>
          <w:szCs w:val="24"/>
        </w:rPr>
        <w:t xml:space="preserve"> for statistical analysis and comparison across respondents. The interview guide </w:t>
      </w:r>
      <w:r w:rsidR="001C35C0">
        <w:rPr>
          <w:rFonts w:ascii="Times New Roman" w:eastAsia="Times New Roman" w:hAnsi="Times New Roman" w:cs="Times New Roman"/>
          <w:color w:val="000000" w:themeColor="text1"/>
          <w:sz w:val="24"/>
          <w:szCs w:val="24"/>
        </w:rPr>
        <w:t>was used to gather data form</w:t>
      </w:r>
      <w:r w:rsidR="00746D97" w:rsidRPr="003B151A">
        <w:rPr>
          <w:rFonts w:ascii="Times New Roman" w:eastAsia="Times New Roman" w:hAnsi="Times New Roman" w:cs="Times New Roman"/>
          <w:color w:val="000000" w:themeColor="text1"/>
          <w:sz w:val="24"/>
          <w:szCs w:val="24"/>
        </w:rPr>
        <w:t xml:space="preserve"> teachers and members of the School Management Boards (SMBs). </w:t>
      </w:r>
      <w:r w:rsidR="002C58FE" w:rsidRPr="003B151A">
        <w:rPr>
          <w:rFonts w:ascii="Times New Roman" w:hAnsi="Times New Roman" w:cs="Times New Roman"/>
          <w:color w:val="000000" w:themeColor="text1"/>
          <w:sz w:val="24"/>
          <w:szCs w:val="24"/>
        </w:rPr>
        <w:t>Sundeep (2008)</w:t>
      </w:r>
      <w:r w:rsidR="009E483D" w:rsidRPr="003B151A">
        <w:rPr>
          <w:rFonts w:ascii="Times New Roman" w:hAnsi="Times New Roman" w:cs="Times New Roman"/>
          <w:color w:val="000000" w:themeColor="text1"/>
          <w:sz w:val="24"/>
          <w:szCs w:val="24"/>
        </w:rPr>
        <w:t xml:space="preserve"> noted that </w:t>
      </w:r>
      <w:r w:rsidR="002C58FE" w:rsidRPr="003B151A">
        <w:rPr>
          <w:rFonts w:ascii="Times New Roman" w:hAnsi="Times New Roman" w:cs="Times New Roman"/>
          <w:color w:val="000000" w:themeColor="text1"/>
          <w:sz w:val="24"/>
          <w:szCs w:val="24"/>
        </w:rPr>
        <w:t>a combination of quantitative and qualitative data collection methods is suitable for addressing educational issues with both measurable and contextual dimensions</w:t>
      </w:r>
      <w:r w:rsidR="002C58FE" w:rsidRPr="003B151A">
        <w:rPr>
          <w:rFonts w:ascii="Times New Roman" w:eastAsia="Times New Roman" w:hAnsi="Times New Roman" w:cs="Times New Roman"/>
          <w:color w:val="000000" w:themeColor="text1"/>
          <w:sz w:val="24"/>
          <w:szCs w:val="24"/>
        </w:rPr>
        <w:t>.</w:t>
      </w:r>
      <w:r w:rsidR="0088487B">
        <w:rPr>
          <w:rFonts w:ascii="Times New Roman" w:eastAsia="Times New Roman" w:hAnsi="Times New Roman" w:cs="Times New Roman"/>
          <w:color w:val="000000" w:themeColor="text1"/>
          <w:sz w:val="24"/>
          <w:szCs w:val="24"/>
        </w:rPr>
        <w:t xml:space="preserve"> </w:t>
      </w:r>
      <w:r w:rsidR="0088487B">
        <w:rPr>
          <w:rFonts w:ascii="Times New Roman" w:hAnsi="Times New Roman" w:cs="Times New Roman"/>
          <w:color w:val="000000" w:themeColor="text1"/>
          <w:sz w:val="24"/>
          <w:szCs w:val="24"/>
        </w:rPr>
        <w:t>T</w:t>
      </w:r>
      <w:r w:rsidR="0088487B" w:rsidRPr="003B151A">
        <w:rPr>
          <w:rFonts w:ascii="Times New Roman" w:hAnsi="Times New Roman" w:cs="Times New Roman"/>
          <w:color w:val="000000" w:themeColor="text1"/>
          <w:sz w:val="24"/>
          <w:szCs w:val="24"/>
        </w:rPr>
        <w:t xml:space="preserve">he questionnaire </w:t>
      </w:r>
      <w:r w:rsidR="0088487B">
        <w:rPr>
          <w:rFonts w:ascii="Times New Roman" w:hAnsi="Times New Roman" w:cs="Times New Roman"/>
          <w:color w:val="000000" w:themeColor="text1"/>
          <w:sz w:val="24"/>
          <w:szCs w:val="24"/>
        </w:rPr>
        <w:t>was</w:t>
      </w:r>
      <w:r w:rsidR="0088487B" w:rsidRPr="003B151A">
        <w:rPr>
          <w:rFonts w:ascii="Times New Roman" w:hAnsi="Times New Roman" w:cs="Times New Roman"/>
          <w:color w:val="000000" w:themeColor="text1"/>
          <w:sz w:val="24"/>
          <w:szCs w:val="24"/>
        </w:rPr>
        <w:t xml:space="preserve"> administered </w:t>
      </w:r>
      <w:r w:rsidR="0088487B">
        <w:rPr>
          <w:rFonts w:ascii="Times New Roman" w:hAnsi="Times New Roman" w:cs="Times New Roman"/>
          <w:color w:val="000000" w:themeColor="text1"/>
          <w:sz w:val="24"/>
          <w:szCs w:val="24"/>
        </w:rPr>
        <w:t>using dop and pick method</w:t>
      </w:r>
    </w:p>
    <w:p w14:paraId="0084FB1C" w14:textId="3C32FBF6" w:rsidR="003D4018" w:rsidRPr="0088487B" w:rsidRDefault="00F430CF" w:rsidP="0020696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V</w:t>
      </w:r>
      <w:r w:rsidR="006B4076" w:rsidRPr="003B151A">
        <w:rPr>
          <w:rFonts w:ascii="Times New Roman" w:hAnsi="Times New Roman" w:cs="Times New Roman"/>
          <w:color w:val="000000" w:themeColor="text1"/>
          <w:sz w:val="24"/>
          <w:szCs w:val="24"/>
        </w:rPr>
        <w:t>alidity</w:t>
      </w:r>
      <w:r w:rsidR="006B4076" w:rsidRPr="003B151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was</w:t>
      </w:r>
      <w:r w:rsidR="000727A5" w:rsidRPr="003B151A">
        <w:rPr>
          <w:rFonts w:ascii="Times New Roman" w:eastAsia="Times New Roman" w:hAnsi="Times New Roman" w:cs="Times New Roman"/>
          <w:color w:val="000000" w:themeColor="text1"/>
          <w:sz w:val="24"/>
          <w:szCs w:val="24"/>
        </w:rPr>
        <w:t xml:space="preserve"> </w:t>
      </w:r>
      <w:r w:rsidR="006B4076" w:rsidRPr="003B151A">
        <w:rPr>
          <w:rFonts w:ascii="Times New Roman" w:eastAsia="Times New Roman" w:hAnsi="Times New Roman" w:cs="Times New Roman"/>
          <w:color w:val="000000" w:themeColor="text1"/>
          <w:sz w:val="24"/>
          <w:szCs w:val="24"/>
        </w:rPr>
        <w:t>assessed through consultation with experts in the field</w:t>
      </w:r>
      <w:r w:rsidR="000727A5" w:rsidRPr="003B151A">
        <w:rPr>
          <w:rFonts w:ascii="Times New Roman" w:eastAsia="Times New Roman" w:hAnsi="Times New Roman" w:cs="Times New Roman"/>
          <w:color w:val="000000" w:themeColor="text1"/>
          <w:sz w:val="24"/>
          <w:szCs w:val="24"/>
        </w:rPr>
        <w:t xml:space="preserve"> related to this study</w:t>
      </w:r>
      <w:r w:rsidR="006B4076" w:rsidRPr="003B151A">
        <w:rPr>
          <w:rFonts w:ascii="Times New Roman" w:eastAsia="Times New Roman" w:hAnsi="Times New Roman" w:cs="Times New Roman"/>
          <w:color w:val="000000" w:themeColor="text1"/>
          <w:sz w:val="24"/>
          <w:szCs w:val="24"/>
        </w:rPr>
        <w:t>. The experts assess</w:t>
      </w:r>
      <w:r w:rsidR="00614EE6" w:rsidRPr="003B151A">
        <w:rPr>
          <w:rFonts w:ascii="Times New Roman" w:eastAsia="Times New Roman" w:hAnsi="Times New Roman" w:cs="Times New Roman"/>
          <w:color w:val="000000" w:themeColor="text1"/>
          <w:sz w:val="24"/>
          <w:szCs w:val="24"/>
        </w:rPr>
        <w:t>ed</w:t>
      </w:r>
      <w:r w:rsidR="00BE16ED" w:rsidRPr="003B151A">
        <w:rPr>
          <w:rFonts w:ascii="Times New Roman" w:eastAsia="Times New Roman" w:hAnsi="Times New Roman" w:cs="Times New Roman"/>
          <w:color w:val="000000" w:themeColor="text1"/>
          <w:sz w:val="24"/>
          <w:szCs w:val="24"/>
        </w:rPr>
        <w:t xml:space="preserve"> </w:t>
      </w:r>
      <w:r w:rsidR="006B4076" w:rsidRPr="003B151A">
        <w:rPr>
          <w:rFonts w:ascii="Times New Roman" w:eastAsia="Times New Roman" w:hAnsi="Times New Roman" w:cs="Times New Roman"/>
          <w:color w:val="000000" w:themeColor="text1"/>
          <w:sz w:val="24"/>
          <w:szCs w:val="24"/>
        </w:rPr>
        <w:t xml:space="preserve">whether the instrument's sections and items effectively </w:t>
      </w:r>
      <w:r w:rsidR="003963E3" w:rsidRPr="003B151A">
        <w:rPr>
          <w:rFonts w:ascii="Times New Roman" w:eastAsia="Times New Roman" w:hAnsi="Times New Roman" w:cs="Times New Roman"/>
          <w:color w:val="000000" w:themeColor="text1"/>
          <w:sz w:val="24"/>
          <w:szCs w:val="24"/>
        </w:rPr>
        <w:t>capture</w:t>
      </w:r>
      <w:r w:rsidR="006B4076" w:rsidRPr="003B151A">
        <w:rPr>
          <w:rFonts w:ascii="Times New Roman" w:eastAsia="Times New Roman" w:hAnsi="Times New Roman" w:cs="Times New Roman"/>
          <w:color w:val="000000" w:themeColor="text1"/>
          <w:sz w:val="24"/>
          <w:szCs w:val="24"/>
        </w:rPr>
        <w:t xml:space="preserve"> the variables under investigation. </w:t>
      </w:r>
      <w:bookmarkStart w:id="22" w:name="_Hlk182983597"/>
      <w:r w:rsidR="00755F74" w:rsidRPr="003B151A">
        <w:rPr>
          <w:rFonts w:ascii="Times New Roman" w:eastAsia="Times New Roman" w:hAnsi="Times New Roman" w:cs="Times New Roman"/>
          <w:color w:val="000000" w:themeColor="text1"/>
          <w:sz w:val="24"/>
          <w:szCs w:val="24"/>
        </w:rPr>
        <w:t xml:space="preserve">Reliability </w:t>
      </w:r>
      <w:r w:rsidR="0088487B">
        <w:rPr>
          <w:rFonts w:ascii="Times New Roman" w:eastAsia="Times New Roman" w:hAnsi="Times New Roman" w:cs="Times New Roman"/>
          <w:color w:val="000000" w:themeColor="text1"/>
          <w:sz w:val="24"/>
          <w:szCs w:val="24"/>
        </w:rPr>
        <w:t xml:space="preserve">was </w:t>
      </w:r>
      <w:r w:rsidR="00755F74" w:rsidRPr="003B151A">
        <w:rPr>
          <w:rFonts w:ascii="Times New Roman" w:eastAsia="Times New Roman" w:hAnsi="Times New Roman" w:cs="Times New Roman"/>
          <w:color w:val="000000" w:themeColor="text1"/>
          <w:sz w:val="24"/>
          <w:szCs w:val="24"/>
        </w:rPr>
        <w:t>measure</w:t>
      </w:r>
      <w:r w:rsidR="0088487B">
        <w:rPr>
          <w:rFonts w:ascii="Times New Roman" w:eastAsia="Times New Roman" w:hAnsi="Times New Roman" w:cs="Times New Roman"/>
          <w:color w:val="000000" w:themeColor="text1"/>
          <w:sz w:val="24"/>
          <w:szCs w:val="24"/>
        </w:rPr>
        <w:t>d</w:t>
      </w:r>
      <w:r w:rsidR="00755F74" w:rsidRPr="003B151A">
        <w:rPr>
          <w:rFonts w:ascii="Times New Roman" w:eastAsia="Times New Roman" w:hAnsi="Times New Roman" w:cs="Times New Roman"/>
          <w:color w:val="000000" w:themeColor="text1"/>
          <w:sz w:val="24"/>
          <w:szCs w:val="24"/>
        </w:rPr>
        <w:t xml:space="preserve"> internal consistency</w:t>
      </w:r>
      <w:r w:rsidR="0088487B">
        <w:rPr>
          <w:rFonts w:ascii="Times New Roman" w:eastAsia="Times New Roman" w:hAnsi="Times New Roman" w:cs="Times New Roman"/>
          <w:color w:val="000000" w:themeColor="text1"/>
          <w:sz w:val="24"/>
          <w:szCs w:val="24"/>
        </w:rPr>
        <w:t xml:space="preserve"> to produce used</w:t>
      </w:r>
      <w:r w:rsidR="0088487B" w:rsidRPr="003B151A">
        <w:rPr>
          <w:rFonts w:ascii="Times New Roman" w:eastAsia="Times New Roman" w:hAnsi="Times New Roman" w:cs="Times New Roman"/>
          <w:color w:val="000000" w:themeColor="text1"/>
          <w:sz w:val="24"/>
          <w:szCs w:val="24"/>
        </w:rPr>
        <w:t xml:space="preserve"> Cronbach’s alpha</w:t>
      </w:r>
      <w:r w:rsidR="00755F74" w:rsidRPr="003B151A">
        <w:rPr>
          <w:rFonts w:ascii="Times New Roman" w:eastAsia="Times New Roman" w:hAnsi="Times New Roman" w:cs="Times New Roman"/>
          <w:color w:val="000000" w:themeColor="text1"/>
          <w:sz w:val="24"/>
          <w:szCs w:val="24"/>
        </w:rPr>
        <w:t>, where a value closer to 1 indicates high reliability (Creswell, 2014). Values of Cronbach’s alpha above 0.7 are considered acceptable, though values above 0.6 may also be used depending on the study context (</w:t>
      </w:r>
      <w:proofErr w:type="spellStart"/>
      <w:r w:rsidR="00755F74" w:rsidRPr="003B151A">
        <w:rPr>
          <w:rFonts w:ascii="Times New Roman" w:eastAsia="Times New Roman" w:hAnsi="Times New Roman" w:cs="Times New Roman"/>
          <w:color w:val="000000" w:themeColor="text1"/>
          <w:sz w:val="24"/>
          <w:szCs w:val="24"/>
        </w:rPr>
        <w:t>Griethuijsen</w:t>
      </w:r>
      <w:proofErr w:type="spellEnd"/>
      <w:r w:rsidR="00755F74" w:rsidRPr="003B151A">
        <w:rPr>
          <w:rFonts w:ascii="Times New Roman" w:eastAsia="Times New Roman" w:hAnsi="Times New Roman" w:cs="Times New Roman"/>
          <w:color w:val="000000" w:themeColor="text1"/>
          <w:sz w:val="24"/>
          <w:szCs w:val="24"/>
        </w:rPr>
        <w:t xml:space="preserve">, </w:t>
      </w:r>
      <w:proofErr w:type="spellStart"/>
      <w:r w:rsidR="00755F74" w:rsidRPr="003B151A">
        <w:rPr>
          <w:rFonts w:ascii="Times New Roman" w:eastAsia="Times New Roman" w:hAnsi="Times New Roman" w:cs="Times New Roman"/>
          <w:color w:val="000000" w:themeColor="text1"/>
          <w:sz w:val="24"/>
          <w:szCs w:val="24"/>
        </w:rPr>
        <w:t>Eijck</w:t>
      </w:r>
      <w:proofErr w:type="spellEnd"/>
      <w:r w:rsidR="00755F74" w:rsidRPr="003B151A">
        <w:rPr>
          <w:rFonts w:ascii="Times New Roman" w:eastAsia="Times New Roman" w:hAnsi="Times New Roman" w:cs="Times New Roman"/>
          <w:color w:val="000000" w:themeColor="text1"/>
          <w:sz w:val="24"/>
          <w:szCs w:val="24"/>
        </w:rPr>
        <w:t xml:space="preserve"> &amp; Haste, 2015; Taber, 2018</w:t>
      </w:r>
      <w:proofErr w:type="gramStart"/>
      <w:r w:rsidR="00755F74" w:rsidRPr="003B151A">
        <w:rPr>
          <w:rFonts w:ascii="Times New Roman" w:eastAsia="Times New Roman" w:hAnsi="Times New Roman" w:cs="Times New Roman"/>
          <w:color w:val="000000" w:themeColor="text1"/>
          <w:sz w:val="24"/>
          <w:szCs w:val="24"/>
        </w:rPr>
        <w:t>)..</w:t>
      </w:r>
      <w:proofErr w:type="gramEnd"/>
      <w:r w:rsidR="00755F74" w:rsidRPr="003B151A">
        <w:rPr>
          <w:rFonts w:ascii="Times New Roman" w:eastAsia="Times New Roman" w:hAnsi="Times New Roman" w:cs="Times New Roman"/>
          <w:color w:val="000000" w:themeColor="text1"/>
          <w:sz w:val="24"/>
          <w:szCs w:val="24"/>
        </w:rPr>
        <w:t xml:space="preserve"> </w:t>
      </w:r>
      <w:r w:rsidR="002221D6" w:rsidRPr="003B151A">
        <w:rPr>
          <w:rFonts w:ascii="Times New Roman" w:hAnsi="Times New Roman" w:cs="Times New Roman"/>
          <w:color w:val="000000" w:themeColor="text1"/>
          <w:sz w:val="24"/>
          <w:szCs w:val="24"/>
        </w:rPr>
        <w:t>The reliability analysis confirmed that all variables in the study were highly reliable with aggregate alpha value of 0.87.</w:t>
      </w:r>
      <w:r w:rsidR="00C05CE6" w:rsidRPr="003B151A">
        <w:rPr>
          <w:rFonts w:ascii="Times New Roman" w:hAnsi="Times New Roman" w:cs="Times New Roman"/>
          <w:color w:val="000000" w:themeColor="text1"/>
          <w:sz w:val="24"/>
          <w:szCs w:val="24"/>
        </w:rPr>
        <w:t xml:space="preserve"> </w:t>
      </w:r>
      <w:r w:rsidR="003D6CA8" w:rsidRPr="003B151A">
        <w:rPr>
          <w:rFonts w:ascii="Times New Roman" w:eastAsia="Times New Roman" w:hAnsi="Times New Roman" w:cs="Times New Roman"/>
          <w:color w:val="000000" w:themeColor="text1"/>
          <w:sz w:val="24"/>
          <w:szCs w:val="24"/>
        </w:rPr>
        <w:t>Reliable instruments ensure that the findings will be consistent and credible, thereby enhancing the study's overall rigor.</w:t>
      </w:r>
      <w:bookmarkEnd w:id="22"/>
      <w:r w:rsidR="0088487B">
        <w:rPr>
          <w:rFonts w:ascii="Times New Roman" w:hAnsi="Times New Roman" w:cs="Times New Roman"/>
          <w:color w:val="000000" w:themeColor="text1"/>
          <w:sz w:val="24"/>
          <w:szCs w:val="24"/>
        </w:rPr>
        <w:t xml:space="preserve"> </w:t>
      </w:r>
    </w:p>
    <w:p w14:paraId="4598B89F" w14:textId="3EA25EF8" w:rsidR="0088487B" w:rsidRPr="003B151A" w:rsidRDefault="0088487B" w:rsidP="00206963">
      <w:pPr>
        <w:spacing w:after="0" w:line="240" w:lineRule="auto"/>
        <w:jc w:val="both"/>
        <w:rPr>
          <w:color w:val="000000" w:themeColor="text1"/>
        </w:rPr>
      </w:pPr>
      <w:r>
        <w:rPr>
          <w:rFonts w:ascii="Times New Roman" w:hAnsi="Times New Roman" w:cs="Times New Roman"/>
          <w:color w:val="000000" w:themeColor="text1"/>
          <w:sz w:val="24"/>
          <w:szCs w:val="24"/>
        </w:rPr>
        <w:t xml:space="preserve">Data was analysed to yield </w:t>
      </w:r>
      <w:r w:rsidR="00D035B3" w:rsidRPr="003B151A">
        <w:rPr>
          <w:rFonts w:ascii="Times New Roman" w:hAnsi="Times New Roman" w:cs="Times New Roman"/>
          <w:color w:val="000000" w:themeColor="text1"/>
          <w:sz w:val="24"/>
          <w:szCs w:val="24"/>
        </w:rPr>
        <w:t>descriptive statistics</w:t>
      </w:r>
      <w:r>
        <w:rPr>
          <w:rFonts w:ascii="Times New Roman" w:hAnsi="Times New Roman" w:cs="Times New Roman"/>
          <w:color w:val="000000" w:themeColor="text1"/>
          <w:sz w:val="24"/>
          <w:szCs w:val="24"/>
        </w:rPr>
        <w:t>, which were</w:t>
      </w:r>
      <w:r w:rsidR="00D035B3" w:rsidRPr="003B151A">
        <w:rPr>
          <w:rFonts w:ascii="Times New Roman" w:hAnsi="Times New Roman" w:cs="Times New Roman"/>
          <w:color w:val="000000" w:themeColor="text1"/>
          <w:sz w:val="24"/>
          <w:szCs w:val="24"/>
        </w:rPr>
        <w:t xml:space="preserve"> appropriate </w:t>
      </w:r>
      <w:r w:rsidR="00E70995" w:rsidRPr="003B151A">
        <w:rPr>
          <w:rFonts w:ascii="Times New Roman" w:hAnsi="Times New Roman" w:cs="Times New Roman"/>
          <w:color w:val="000000" w:themeColor="text1"/>
          <w:sz w:val="24"/>
          <w:szCs w:val="24"/>
        </w:rPr>
        <w:t>for describing the results</w:t>
      </w:r>
      <w:r w:rsidR="00D035B3" w:rsidRPr="003B151A">
        <w:rPr>
          <w:rFonts w:ascii="Times New Roman" w:hAnsi="Times New Roman" w:cs="Times New Roman"/>
          <w:color w:val="000000" w:themeColor="text1"/>
          <w:sz w:val="24"/>
          <w:szCs w:val="24"/>
        </w:rPr>
        <w:t xml:space="preserve">. </w:t>
      </w:r>
      <w:r w:rsidR="00C7203A" w:rsidRPr="003B151A">
        <w:rPr>
          <w:rFonts w:ascii="Times New Roman" w:hAnsi="Times New Roman" w:cs="Times New Roman"/>
          <w:color w:val="000000" w:themeColor="text1"/>
          <w:sz w:val="24"/>
          <w:szCs w:val="24"/>
        </w:rPr>
        <w:t>Hypotheses testing involve</w:t>
      </w:r>
      <w:r w:rsidR="00DD7BC4" w:rsidRPr="003B151A">
        <w:rPr>
          <w:rFonts w:ascii="Times New Roman" w:hAnsi="Times New Roman" w:cs="Times New Roman"/>
          <w:color w:val="000000" w:themeColor="text1"/>
          <w:sz w:val="24"/>
          <w:szCs w:val="24"/>
        </w:rPr>
        <w:t>d</w:t>
      </w:r>
      <w:r w:rsidR="00C7203A" w:rsidRPr="003B151A">
        <w:rPr>
          <w:rFonts w:ascii="Times New Roman" w:hAnsi="Times New Roman" w:cs="Times New Roman"/>
          <w:color w:val="000000" w:themeColor="text1"/>
          <w:sz w:val="24"/>
          <w:szCs w:val="24"/>
        </w:rPr>
        <w:t xml:space="preserve"> testing whether there is significant relationship between the independent variables mainly</w:t>
      </w:r>
      <w:r w:rsidR="00411116" w:rsidRPr="003B151A">
        <w:rPr>
          <w:rFonts w:ascii="Times New Roman" w:hAnsi="Times New Roman" w:cs="Times New Roman"/>
          <w:color w:val="000000" w:themeColor="text1"/>
          <w:sz w:val="24"/>
          <w:szCs w:val="24"/>
        </w:rPr>
        <w:t xml:space="preserve"> socio-economic factors, cultural beliefs and practices </w:t>
      </w:r>
      <w:r w:rsidR="00BE461B" w:rsidRPr="003B151A">
        <w:rPr>
          <w:rFonts w:ascii="Times New Roman" w:hAnsi="Times New Roman" w:cs="Times New Roman"/>
          <w:color w:val="000000" w:themeColor="text1"/>
          <w:sz w:val="24"/>
          <w:szCs w:val="24"/>
        </w:rPr>
        <w:t>and</w:t>
      </w:r>
      <w:r w:rsidR="00411116" w:rsidRPr="003B151A">
        <w:rPr>
          <w:rFonts w:ascii="Times New Roman" w:hAnsi="Times New Roman" w:cs="Times New Roman"/>
          <w:color w:val="000000" w:themeColor="text1"/>
          <w:sz w:val="24"/>
          <w:szCs w:val="24"/>
        </w:rPr>
        <w:t xml:space="preserve"> school infrastructure and resources </w:t>
      </w:r>
      <w:r w:rsidR="00C7203A" w:rsidRPr="003B151A">
        <w:rPr>
          <w:rFonts w:ascii="Times New Roman" w:hAnsi="Times New Roman" w:cs="Times New Roman"/>
          <w:color w:val="000000" w:themeColor="text1"/>
          <w:sz w:val="24"/>
          <w:szCs w:val="24"/>
        </w:rPr>
        <w:t xml:space="preserve">and the dependent variable which is </w:t>
      </w:r>
      <w:r w:rsidR="00C7203A" w:rsidRPr="003B151A">
        <w:rPr>
          <w:rFonts w:ascii="Times New Roman" w:eastAsia="Times New Roman" w:hAnsi="Times New Roman" w:cs="Times New Roman"/>
          <w:color w:val="000000" w:themeColor="text1"/>
          <w:sz w:val="24"/>
          <w:szCs w:val="24"/>
        </w:rPr>
        <w:t>transition of girls</w:t>
      </w:r>
      <w:r w:rsidR="00C7203A" w:rsidRPr="003B151A">
        <w:rPr>
          <w:rFonts w:ascii="Times New Roman" w:hAnsi="Times New Roman" w:cs="Times New Roman"/>
          <w:color w:val="000000" w:themeColor="text1"/>
          <w:sz w:val="24"/>
          <w:szCs w:val="24"/>
        </w:rPr>
        <w:t>.</w:t>
      </w:r>
      <w:r w:rsidR="00B256F7" w:rsidRPr="003B151A">
        <w:rPr>
          <w:rFonts w:ascii="Times New Roman" w:hAnsi="Times New Roman" w:cs="Times New Roman"/>
          <w:color w:val="000000" w:themeColor="text1"/>
          <w:sz w:val="24"/>
          <w:szCs w:val="24"/>
        </w:rPr>
        <w:t xml:space="preserve"> </w:t>
      </w:r>
      <w:r w:rsidR="001C1A88">
        <w:rPr>
          <w:rFonts w:ascii="Times New Roman" w:eastAsia="Times New Roman" w:hAnsi="Times New Roman" w:cs="Times New Roman"/>
          <w:color w:val="000000" w:themeColor="text1"/>
          <w:sz w:val="24"/>
          <w:szCs w:val="24"/>
        </w:rPr>
        <w:t>Using mean of means, the study obtained composite index of each variable. This composite index was used for inferential analysis.</w:t>
      </w:r>
      <w:r w:rsidR="001C1A88" w:rsidRPr="003B151A">
        <w:rPr>
          <w:rFonts w:ascii="Times New Roman" w:hAnsi="Times New Roman" w:cs="Times New Roman"/>
          <w:color w:val="000000" w:themeColor="text1"/>
          <w:sz w:val="24"/>
          <w:szCs w:val="24"/>
        </w:rPr>
        <w:t xml:space="preserve"> To</w:t>
      </w:r>
      <w:r w:rsidR="00B256F7" w:rsidRPr="003B151A">
        <w:rPr>
          <w:rFonts w:ascii="Times New Roman" w:hAnsi="Times New Roman" w:cs="Times New Roman"/>
          <w:color w:val="000000" w:themeColor="text1"/>
          <w:sz w:val="24"/>
          <w:szCs w:val="24"/>
        </w:rPr>
        <w:t xml:space="preserve"> </w:t>
      </w:r>
      <w:r w:rsidR="008578F6" w:rsidRPr="003B151A">
        <w:rPr>
          <w:rFonts w:ascii="Times New Roman" w:hAnsi="Times New Roman" w:cs="Times New Roman"/>
          <w:color w:val="000000" w:themeColor="text1"/>
          <w:sz w:val="24"/>
          <w:szCs w:val="24"/>
        </w:rPr>
        <w:t>establish</w:t>
      </w:r>
      <w:r w:rsidR="00B256F7" w:rsidRPr="003B151A">
        <w:rPr>
          <w:rFonts w:ascii="Times New Roman" w:hAnsi="Times New Roman" w:cs="Times New Roman"/>
          <w:color w:val="000000" w:themeColor="text1"/>
          <w:sz w:val="24"/>
          <w:szCs w:val="24"/>
        </w:rPr>
        <w:t xml:space="preserve"> this relationship, a Pearson product-moment correlation coefficient analysis </w:t>
      </w:r>
      <w:r w:rsidR="00DD7BC4" w:rsidRPr="003B151A">
        <w:rPr>
          <w:rFonts w:ascii="Times New Roman" w:hAnsi="Times New Roman" w:cs="Times New Roman"/>
          <w:color w:val="000000" w:themeColor="text1"/>
          <w:sz w:val="24"/>
          <w:szCs w:val="24"/>
        </w:rPr>
        <w:t>was</w:t>
      </w:r>
      <w:r w:rsidR="008578F6" w:rsidRPr="003B151A">
        <w:rPr>
          <w:rFonts w:ascii="Times New Roman" w:hAnsi="Times New Roman" w:cs="Times New Roman"/>
          <w:color w:val="000000" w:themeColor="text1"/>
          <w:sz w:val="24"/>
          <w:szCs w:val="24"/>
        </w:rPr>
        <w:t xml:space="preserve"> conducted.</w:t>
      </w:r>
      <w:r w:rsidR="00EE3D50" w:rsidRPr="003B151A">
        <w:rPr>
          <w:rFonts w:ascii="Times New Roman" w:eastAsia="Times New Roman" w:hAnsi="Times New Roman" w:cs="Times New Roman"/>
          <w:color w:val="000000" w:themeColor="text1"/>
          <w:sz w:val="24"/>
          <w:szCs w:val="24"/>
        </w:rPr>
        <w:t xml:space="preserve"> </w:t>
      </w:r>
      <w:r w:rsidR="001C1A88">
        <w:rPr>
          <w:rFonts w:ascii="Times New Roman" w:eastAsia="Times New Roman" w:hAnsi="Times New Roman" w:cs="Times New Roman"/>
          <w:color w:val="000000" w:themeColor="text1"/>
          <w:sz w:val="24"/>
          <w:szCs w:val="24"/>
        </w:rPr>
        <w:t xml:space="preserve">Multiple regression was further carried out to estimate a model for </w:t>
      </w:r>
      <w:r w:rsidR="001C1A88" w:rsidRPr="006E7980">
        <w:rPr>
          <w:rFonts w:ascii="Times New Roman" w:eastAsia="Times New Roman" w:hAnsi="Times New Roman" w:cs="Times New Roman"/>
          <w:color w:val="000000" w:themeColor="text1"/>
          <w:sz w:val="24"/>
          <w:szCs w:val="24"/>
        </w:rPr>
        <w:t xml:space="preserve">predicting the </w:t>
      </w:r>
      <w:r w:rsidR="006E7980" w:rsidRPr="006E7980">
        <w:rPr>
          <w:rFonts w:ascii="Times New Roman" w:hAnsi="Times New Roman" w:cs="Times New Roman"/>
          <w:color w:val="000000" w:themeColor="text1"/>
          <w:sz w:val="24"/>
          <w:szCs w:val="24"/>
        </w:rPr>
        <w:t>transition of girls in terms of cultural beliefs and practices.</w:t>
      </w:r>
      <w:r w:rsidR="006E7980" w:rsidRPr="00B672D4">
        <w:rPr>
          <w:rFonts w:ascii="Times New Roman" w:hAnsi="Times New Roman" w:cs="Times New Roman"/>
          <w:i/>
          <w:iCs/>
          <w:color w:val="000000" w:themeColor="text1"/>
          <w:sz w:val="24"/>
          <w:szCs w:val="24"/>
        </w:rPr>
        <w:t xml:space="preserve"> </w:t>
      </w:r>
      <w:r w:rsidR="00EE3D50" w:rsidRPr="003B151A">
        <w:rPr>
          <w:rFonts w:ascii="Times New Roman" w:eastAsia="Times New Roman" w:hAnsi="Times New Roman" w:cs="Times New Roman"/>
          <w:color w:val="000000" w:themeColor="text1"/>
          <w:sz w:val="24"/>
          <w:szCs w:val="24"/>
        </w:rPr>
        <w:t xml:space="preserve">The analysis </w:t>
      </w:r>
      <w:r w:rsidR="00DD7BC4" w:rsidRPr="003B151A">
        <w:rPr>
          <w:rFonts w:ascii="Times New Roman" w:eastAsia="Times New Roman" w:hAnsi="Times New Roman" w:cs="Times New Roman"/>
          <w:color w:val="000000" w:themeColor="text1"/>
          <w:sz w:val="24"/>
          <w:szCs w:val="24"/>
        </w:rPr>
        <w:t>was</w:t>
      </w:r>
      <w:r w:rsidR="00EE3D50" w:rsidRPr="003B151A">
        <w:rPr>
          <w:rFonts w:ascii="Times New Roman" w:hAnsi="Times New Roman" w:cs="Times New Roman"/>
          <w:color w:val="000000" w:themeColor="text1"/>
          <w:sz w:val="24"/>
          <w:szCs w:val="24"/>
        </w:rPr>
        <w:t xml:space="preserve"> carried </w:t>
      </w:r>
      <w:r>
        <w:rPr>
          <w:rFonts w:ascii="Times New Roman" w:hAnsi="Times New Roman" w:cs="Times New Roman"/>
          <w:color w:val="000000" w:themeColor="text1"/>
          <w:sz w:val="24"/>
          <w:szCs w:val="24"/>
        </w:rPr>
        <w:t>with help</w:t>
      </w:r>
      <w:r w:rsidR="00EE3D50" w:rsidRPr="003B151A">
        <w:rPr>
          <w:rFonts w:ascii="Times New Roman" w:hAnsi="Times New Roman" w:cs="Times New Roman"/>
          <w:color w:val="000000" w:themeColor="text1"/>
          <w:sz w:val="24"/>
          <w:szCs w:val="24"/>
        </w:rPr>
        <w:t xml:space="preserve"> of Statistical Package for Social Science (SPSS) version 23</w:t>
      </w:r>
      <w:r w:rsidR="001C1A88">
        <w:rPr>
          <w:rFonts w:ascii="Times New Roman" w:hAnsi="Times New Roman" w:cs="Times New Roman"/>
          <w:color w:val="000000" w:themeColor="text1"/>
          <w:sz w:val="24"/>
          <w:szCs w:val="24"/>
        </w:rPr>
        <w:t xml:space="preserve">. </w:t>
      </w:r>
    </w:p>
    <w:p w14:paraId="16A33F6E" w14:textId="08E240E5" w:rsidR="00E51D5F" w:rsidRPr="003B151A" w:rsidRDefault="003B749F" w:rsidP="00206963">
      <w:pPr>
        <w:pStyle w:val="Heading1"/>
        <w:ind w:left="0" w:firstLine="0"/>
        <w:jc w:val="center"/>
        <w:rPr>
          <w:color w:val="000000" w:themeColor="text1"/>
        </w:rPr>
      </w:pPr>
      <w:bookmarkStart w:id="23" w:name="_Toc204267266"/>
      <w:r>
        <w:rPr>
          <w:color w:val="000000" w:themeColor="text1"/>
        </w:rPr>
        <w:t>RESULT</w:t>
      </w:r>
      <w:bookmarkStart w:id="24" w:name="_GoBack"/>
      <w:bookmarkEnd w:id="24"/>
      <w:r w:rsidR="00D9560E" w:rsidRPr="003B151A">
        <w:rPr>
          <w:color w:val="000000" w:themeColor="text1"/>
        </w:rPr>
        <w:t xml:space="preserve"> AND DISCUSSIONS</w:t>
      </w:r>
      <w:bookmarkEnd w:id="23"/>
    </w:p>
    <w:p w14:paraId="5153F6A2" w14:textId="68794EF9" w:rsidR="0088487B" w:rsidRPr="003B151A" w:rsidRDefault="00522C14"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color w:val="000000" w:themeColor="text1"/>
          <w:sz w:val="24"/>
          <w:szCs w:val="24"/>
        </w:rPr>
        <w:lastRenderedPageBreak/>
        <w:t xml:space="preserve">The study targeted a total of </w:t>
      </w:r>
      <w:r w:rsidR="00BE77F0" w:rsidRPr="003B151A">
        <w:rPr>
          <w:rFonts w:ascii="Times New Roman" w:hAnsi="Times New Roman" w:cs="Times New Roman"/>
          <w:color w:val="000000" w:themeColor="text1"/>
          <w:sz w:val="24"/>
          <w:szCs w:val="24"/>
        </w:rPr>
        <w:t>67</w:t>
      </w:r>
      <w:r w:rsidRPr="003B151A">
        <w:rPr>
          <w:rFonts w:ascii="Times New Roman" w:hAnsi="Times New Roman" w:cs="Times New Roman"/>
          <w:color w:val="000000" w:themeColor="text1"/>
          <w:sz w:val="24"/>
          <w:szCs w:val="24"/>
        </w:rPr>
        <w:t xml:space="preserve"> respondents</w:t>
      </w:r>
      <w:r w:rsidR="0088487B">
        <w:rPr>
          <w:rFonts w:ascii="Times New Roman" w:hAnsi="Times New Roman" w:cs="Times New Roman"/>
          <w:color w:val="000000" w:themeColor="text1"/>
          <w:sz w:val="24"/>
          <w:szCs w:val="24"/>
        </w:rPr>
        <w:t xml:space="preserve"> to whom the </w:t>
      </w:r>
      <w:r w:rsidR="00D34389" w:rsidRPr="003B151A">
        <w:rPr>
          <w:rFonts w:ascii="Times New Roman" w:hAnsi="Times New Roman" w:cs="Times New Roman"/>
          <w:color w:val="000000" w:themeColor="text1"/>
          <w:sz w:val="24"/>
          <w:szCs w:val="24"/>
        </w:rPr>
        <w:t>research instrument</w:t>
      </w:r>
      <w:r w:rsidRPr="003B151A">
        <w:rPr>
          <w:rFonts w:ascii="Times New Roman" w:hAnsi="Times New Roman" w:cs="Times New Roman"/>
          <w:color w:val="000000" w:themeColor="text1"/>
          <w:sz w:val="24"/>
          <w:szCs w:val="24"/>
        </w:rPr>
        <w:t xml:space="preserve"> </w:t>
      </w:r>
      <w:r w:rsidR="00D34389" w:rsidRPr="003B151A">
        <w:rPr>
          <w:rFonts w:ascii="Times New Roman" w:hAnsi="Times New Roman" w:cs="Times New Roman"/>
          <w:color w:val="000000" w:themeColor="text1"/>
          <w:sz w:val="24"/>
          <w:szCs w:val="24"/>
        </w:rPr>
        <w:t>administered</w:t>
      </w:r>
      <w:r w:rsidR="0088487B">
        <w:rPr>
          <w:rFonts w:ascii="Times New Roman" w:hAnsi="Times New Roman" w:cs="Times New Roman"/>
          <w:color w:val="000000" w:themeColor="text1"/>
          <w:sz w:val="24"/>
          <w:szCs w:val="24"/>
        </w:rPr>
        <w:t xml:space="preserve"> out of which </w:t>
      </w:r>
      <w:r w:rsidR="005D310B" w:rsidRPr="003B151A">
        <w:rPr>
          <w:rFonts w:ascii="Times New Roman" w:hAnsi="Times New Roman" w:cs="Times New Roman"/>
          <w:color w:val="000000" w:themeColor="text1"/>
          <w:sz w:val="24"/>
          <w:szCs w:val="24"/>
        </w:rPr>
        <w:t>57</w:t>
      </w:r>
      <w:r w:rsidRPr="003B151A">
        <w:rPr>
          <w:rFonts w:ascii="Times New Roman" w:hAnsi="Times New Roman" w:cs="Times New Roman"/>
          <w:color w:val="000000" w:themeColor="text1"/>
          <w:sz w:val="24"/>
          <w:szCs w:val="24"/>
        </w:rPr>
        <w:t xml:space="preserve"> were successfully filled and returned</w:t>
      </w:r>
      <w:r w:rsidR="0088487B">
        <w:rPr>
          <w:rFonts w:ascii="Times New Roman" w:hAnsi="Times New Roman" w:cs="Times New Roman"/>
          <w:color w:val="000000" w:themeColor="text1"/>
          <w:sz w:val="24"/>
          <w:szCs w:val="24"/>
        </w:rPr>
        <w:t>, r</w:t>
      </w:r>
      <w:r w:rsidRPr="003B151A">
        <w:rPr>
          <w:rFonts w:ascii="Times New Roman" w:hAnsi="Times New Roman" w:cs="Times New Roman"/>
          <w:color w:val="000000" w:themeColor="text1"/>
          <w:sz w:val="24"/>
          <w:szCs w:val="24"/>
        </w:rPr>
        <w:t>epresenting an overall response rate of 86.1%.</w:t>
      </w:r>
      <w:r w:rsidR="0088487B">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According to Babbie and Earl (2009), a response rate above 50% is considered adequate for analysis, while rates exceeding 70% are considered very good. Therefore, the 86.1% response rate obtained in this study was highly satisfactory and provided a reliable basis for data analysis and interpretation.</w:t>
      </w:r>
      <w:bookmarkStart w:id="25" w:name="_Toc204267270"/>
    </w:p>
    <w:p w14:paraId="0CFAB7CE" w14:textId="27F7A967" w:rsidR="00172377" w:rsidRPr="003B151A" w:rsidRDefault="00007C3C" w:rsidP="00206963">
      <w:pPr>
        <w:pStyle w:val="Heading2"/>
        <w:spacing w:before="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b/>
          <w:color w:val="000000" w:themeColor="text1"/>
          <w:sz w:val="24"/>
          <w:szCs w:val="24"/>
        </w:rPr>
        <w:t xml:space="preserve"> </w:t>
      </w:r>
      <w:r w:rsidR="00172377" w:rsidRPr="003B151A">
        <w:rPr>
          <w:rFonts w:ascii="Times New Roman" w:hAnsi="Times New Roman" w:cs="Times New Roman"/>
          <w:b/>
          <w:color w:val="000000" w:themeColor="text1"/>
          <w:sz w:val="24"/>
          <w:szCs w:val="24"/>
        </w:rPr>
        <w:t xml:space="preserve">Cultural beliefs and practices in transition of girls from lower primary to upper primary in Balambala </w:t>
      </w:r>
      <w:r w:rsidR="001C1A88" w:rsidRPr="003B151A">
        <w:rPr>
          <w:rFonts w:ascii="Times New Roman" w:hAnsi="Times New Roman" w:cs="Times New Roman"/>
          <w:b/>
          <w:color w:val="000000" w:themeColor="text1"/>
          <w:sz w:val="24"/>
          <w:szCs w:val="24"/>
        </w:rPr>
        <w:t>Sub- County</w:t>
      </w:r>
      <w:r w:rsidR="00172377" w:rsidRPr="003B151A">
        <w:rPr>
          <w:rFonts w:ascii="Times New Roman" w:hAnsi="Times New Roman" w:cs="Times New Roman"/>
          <w:b/>
          <w:color w:val="000000" w:themeColor="text1"/>
          <w:sz w:val="24"/>
          <w:szCs w:val="24"/>
        </w:rPr>
        <w:t>, Garissa County, Kenya.</w:t>
      </w:r>
      <w:bookmarkEnd w:id="25"/>
    </w:p>
    <w:p w14:paraId="6D584A2F" w14:textId="4554A901" w:rsidR="00551B06" w:rsidRPr="003B151A" w:rsidRDefault="00B80FD2" w:rsidP="00206963">
      <w:pPr>
        <w:pStyle w:val="NormalWeb"/>
        <w:spacing w:before="0" w:beforeAutospacing="0" w:after="0" w:afterAutospacing="0"/>
        <w:jc w:val="both"/>
        <w:rPr>
          <w:color w:val="000000" w:themeColor="text1"/>
        </w:rPr>
      </w:pPr>
      <w:r w:rsidRPr="003B151A">
        <w:rPr>
          <w:color w:val="000000" w:themeColor="text1"/>
        </w:rPr>
        <w:t xml:space="preserve">To assess the influence of cultural factors on girls’ transition from lower to upper primary school in Balambala </w:t>
      </w:r>
      <w:r w:rsidR="001C1A88" w:rsidRPr="003B151A">
        <w:rPr>
          <w:color w:val="000000" w:themeColor="text1"/>
        </w:rPr>
        <w:t>Sub- County</w:t>
      </w:r>
      <w:r w:rsidRPr="003B151A">
        <w:rPr>
          <w:color w:val="000000" w:themeColor="text1"/>
        </w:rPr>
        <w:t xml:space="preserve">, the study included five statements in the PA Chairpersons’ The responses were summarized using frequencies and percentages and are presented in Table </w:t>
      </w:r>
      <w:r w:rsidR="0088487B">
        <w:rPr>
          <w:color w:val="000000" w:themeColor="text1"/>
        </w:rPr>
        <w:t>1</w:t>
      </w:r>
      <w:r w:rsidRPr="003B151A">
        <w:rPr>
          <w:color w:val="000000" w:themeColor="text1"/>
        </w:rPr>
        <w:t>.</w:t>
      </w:r>
    </w:p>
    <w:p w14:paraId="64A9EC9D" w14:textId="2B409598" w:rsidR="00B80FD2" w:rsidRPr="003B151A" w:rsidRDefault="00551B06" w:rsidP="00206963">
      <w:pPr>
        <w:pStyle w:val="MyTables"/>
        <w:spacing w:after="0"/>
        <w:jc w:val="both"/>
        <w:rPr>
          <w:rStyle w:val="Strong"/>
          <w:rFonts w:cs="Times New Roman"/>
          <w:b/>
          <w:bCs w:val="0"/>
          <w:szCs w:val="24"/>
        </w:rPr>
      </w:pPr>
      <w:bookmarkStart w:id="26" w:name="_Toc204267569"/>
      <w:r w:rsidRPr="003B151A">
        <w:rPr>
          <w:rFonts w:cs="Times New Roman"/>
          <w:szCs w:val="24"/>
        </w:rPr>
        <w:t xml:space="preserve">Table </w:t>
      </w:r>
      <w:r w:rsidR="0088487B">
        <w:rPr>
          <w:rFonts w:cs="Times New Roman"/>
          <w:szCs w:val="24"/>
        </w:rPr>
        <w:t>1</w:t>
      </w:r>
      <w:r w:rsidRPr="003B151A">
        <w:rPr>
          <w:rFonts w:cs="Times New Roman"/>
          <w:szCs w:val="24"/>
        </w:rPr>
        <w:t xml:space="preserve">: </w:t>
      </w:r>
      <w:r w:rsidRPr="003B151A">
        <w:rPr>
          <w:rStyle w:val="Strong"/>
          <w:rFonts w:eastAsiaTheme="majorEastAsia" w:cs="Times New Roman"/>
          <w:b/>
          <w:szCs w:val="24"/>
        </w:rPr>
        <w:t>Cultural Beliefs and Practices</w:t>
      </w:r>
      <w:r w:rsidRPr="003B151A">
        <w:rPr>
          <w:rStyle w:val="Strong"/>
          <w:rFonts w:eastAsiaTheme="majorEastAsia" w:cs="Times New Roman"/>
          <w:szCs w:val="24"/>
        </w:rPr>
        <w:t xml:space="preserve"> </w:t>
      </w:r>
      <w:r w:rsidRPr="003B151A">
        <w:rPr>
          <w:rFonts w:cs="Times New Roman"/>
          <w:szCs w:val="24"/>
        </w:rPr>
        <w:t>influencing the transition of girls</w:t>
      </w:r>
      <w:bookmarkEnd w:id="26"/>
      <w:r w:rsidR="00B72576" w:rsidRPr="003B151A">
        <w:rPr>
          <w:rStyle w:val="Strong"/>
          <w:rFonts w:eastAsiaTheme="majorEastAsia" w:cs="Times New Roman"/>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586"/>
        <w:gridCol w:w="991"/>
        <w:gridCol w:w="496"/>
        <w:gridCol w:w="836"/>
        <w:gridCol w:w="651"/>
        <w:gridCol w:w="836"/>
        <w:gridCol w:w="654"/>
        <w:gridCol w:w="836"/>
      </w:tblGrid>
      <w:tr w:rsidR="003B151A" w:rsidRPr="003B151A" w14:paraId="711674E9" w14:textId="77777777" w:rsidTr="006632AD">
        <w:tc>
          <w:tcPr>
            <w:tcW w:w="3508" w:type="dxa"/>
            <w:tcBorders>
              <w:top w:val="single" w:sz="4" w:space="0" w:color="auto"/>
              <w:bottom w:val="single" w:sz="4" w:space="0" w:color="auto"/>
            </w:tcBorders>
            <w:vAlign w:val="center"/>
          </w:tcPr>
          <w:p w14:paraId="26160313"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Statement</w:t>
            </w:r>
          </w:p>
        </w:tc>
        <w:tc>
          <w:tcPr>
            <w:tcW w:w="586" w:type="dxa"/>
            <w:tcBorders>
              <w:top w:val="single" w:sz="4" w:space="0" w:color="auto"/>
              <w:bottom w:val="single" w:sz="4" w:space="0" w:color="auto"/>
            </w:tcBorders>
            <w:vAlign w:val="center"/>
          </w:tcPr>
          <w:p w14:paraId="3580A9E6"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SD (1)</w:t>
            </w:r>
          </w:p>
        </w:tc>
        <w:tc>
          <w:tcPr>
            <w:tcW w:w="991" w:type="dxa"/>
            <w:tcBorders>
              <w:top w:val="single" w:sz="4" w:space="0" w:color="auto"/>
              <w:bottom w:val="single" w:sz="4" w:space="0" w:color="auto"/>
            </w:tcBorders>
            <w:vAlign w:val="center"/>
          </w:tcPr>
          <w:p w14:paraId="2402A6A9"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c>
          <w:tcPr>
            <w:tcW w:w="496" w:type="dxa"/>
            <w:tcBorders>
              <w:top w:val="single" w:sz="4" w:space="0" w:color="auto"/>
              <w:bottom w:val="single" w:sz="4" w:space="0" w:color="auto"/>
            </w:tcBorders>
            <w:vAlign w:val="center"/>
          </w:tcPr>
          <w:p w14:paraId="14C06D86"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D (2)</w:t>
            </w:r>
          </w:p>
        </w:tc>
        <w:tc>
          <w:tcPr>
            <w:tcW w:w="836" w:type="dxa"/>
            <w:tcBorders>
              <w:top w:val="single" w:sz="4" w:space="0" w:color="auto"/>
              <w:bottom w:val="single" w:sz="4" w:space="0" w:color="auto"/>
            </w:tcBorders>
            <w:vAlign w:val="center"/>
          </w:tcPr>
          <w:p w14:paraId="35367623"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c>
          <w:tcPr>
            <w:tcW w:w="651" w:type="dxa"/>
            <w:tcBorders>
              <w:top w:val="single" w:sz="4" w:space="0" w:color="auto"/>
              <w:bottom w:val="single" w:sz="4" w:space="0" w:color="auto"/>
            </w:tcBorders>
            <w:vAlign w:val="center"/>
          </w:tcPr>
          <w:p w14:paraId="055EE8FF"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A (3)</w:t>
            </w:r>
          </w:p>
        </w:tc>
        <w:tc>
          <w:tcPr>
            <w:tcW w:w="836" w:type="dxa"/>
            <w:tcBorders>
              <w:top w:val="single" w:sz="4" w:space="0" w:color="auto"/>
              <w:bottom w:val="single" w:sz="4" w:space="0" w:color="auto"/>
            </w:tcBorders>
            <w:vAlign w:val="center"/>
          </w:tcPr>
          <w:p w14:paraId="251D2EAB"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c>
          <w:tcPr>
            <w:tcW w:w="654" w:type="dxa"/>
            <w:tcBorders>
              <w:top w:val="single" w:sz="4" w:space="0" w:color="auto"/>
              <w:bottom w:val="single" w:sz="4" w:space="0" w:color="auto"/>
            </w:tcBorders>
            <w:vAlign w:val="center"/>
          </w:tcPr>
          <w:p w14:paraId="6B941A27"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SA (4)</w:t>
            </w:r>
          </w:p>
        </w:tc>
        <w:tc>
          <w:tcPr>
            <w:tcW w:w="836" w:type="dxa"/>
            <w:tcBorders>
              <w:top w:val="single" w:sz="4" w:space="0" w:color="auto"/>
              <w:bottom w:val="single" w:sz="4" w:space="0" w:color="auto"/>
            </w:tcBorders>
            <w:vAlign w:val="center"/>
          </w:tcPr>
          <w:p w14:paraId="2BBC47AD"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r>
      <w:tr w:rsidR="003B151A" w:rsidRPr="003B151A" w14:paraId="6658B7F7" w14:textId="77777777" w:rsidTr="006632AD">
        <w:tc>
          <w:tcPr>
            <w:tcW w:w="3508"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gridCol w:w="66"/>
              <w:gridCol w:w="81"/>
            </w:tblGrid>
            <w:tr w:rsidR="003B151A" w:rsidRPr="003B151A" w14:paraId="6F1D762E" w14:textId="77777777" w:rsidTr="007F2519">
              <w:trPr>
                <w:tblCellSpacing w:w="15" w:type="dxa"/>
              </w:trPr>
              <w:tc>
                <w:tcPr>
                  <w:tcW w:w="0" w:type="auto"/>
                  <w:vAlign w:val="center"/>
                  <w:hideMark/>
                </w:tcPr>
                <w:p w14:paraId="5E34834F" w14:textId="3D0552DA"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in the community discourage girls from continuing to upper primary education.</w:t>
                  </w:r>
                </w:p>
              </w:tc>
              <w:tc>
                <w:tcPr>
                  <w:tcW w:w="0" w:type="auto"/>
                  <w:vAlign w:val="center"/>
                  <w:hideMark/>
                </w:tcPr>
                <w:p w14:paraId="1F9E5960"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1BD9018E"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57799C15"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tcBorders>
              <w:top w:val="single" w:sz="4" w:space="0" w:color="auto"/>
            </w:tcBorders>
            <w:vAlign w:val="center"/>
          </w:tcPr>
          <w:p w14:paraId="6F65ACAA" w14:textId="5B2AA5C2"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991" w:type="dxa"/>
            <w:tcBorders>
              <w:top w:val="single" w:sz="4" w:space="0" w:color="auto"/>
            </w:tcBorders>
            <w:vAlign w:val="center"/>
          </w:tcPr>
          <w:p w14:paraId="2A9DEA33" w14:textId="0E25FA64"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c>
          <w:tcPr>
            <w:tcW w:w="496" w:type="dxa"/>
            <w:tcBorders>
              <w:top w:val="single" w:sz="4" w:space="0" w:color="auto"/>
            </w:tcBorders>
            <w:vAlign w:val="center"/>
          </w:tcPr>
          <w:p w14:paraId="072E647F" w14:textId="62038BE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w:t>
            </w:r>
          </w:p>
        </w:tc>
        <w:tc>
          <w:tcPr>
            <w:tcW w:w="836" w:type="dxa"/>
            <w:tcBorders>
              <w:top w:val="single" w:sz="4" w:space="0" w:color="auto"/>
            </w:tcBorders>
            <w:vAlign w:val="center"/>
          </w:tcPr>
          <w:p w14:paraId="19D217EF" w14:textId="3D1B9C0D"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33.3%</w:t>
            </w:r>
          </w:p>
        </w:tc>
        <w:tc>
          <w:tcPr>
            <w:tcW w:w="651" w:type="dxa"/>
            <w:tcBorders>
              <w:top w:val="single" w:sz="4" w:space="0" w:color="auto"/>
            </w:tcBorders>
            <w:vAlign w:val="center"/>
          </w:tcPr>
          <w:p w14:paraId="2BECDD5A" w14:textId="673E64D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w:t>
            </w:r>
          </w:p>
        </w:tc>
        <w:tc>
          <w:tcPr>
            <w:tcW w:w="836" w:type="dxa"/>
            <w:tcBorders>
              <w:top w:val="single" w:sz="4" w:space="0" w:color="auto"/>
            </w:tcBorders>
            <w:vAlign w:val="center"/>
          </w:tcPr>
          <w:p w14:paraId="38F4A202" w14:textId="5FAFFFF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33.3%</w:t>
            </w:r>
          </w:p>
        </w:tc>
        <w:tc>
          <w:tcPr>
            <w:tcW w:w="654" w:type="dxa"/>
            <w:tcBorders>
              <w:top w:val="single" w:sz="4" w:space="0" w:color="auto"/>
            </w:tcBorders>
            <w:vAlign w:val="center"/>
          </w:tcPr>
          <w:p w14:paraId="1BF7F82D" w14:textId="7DFCBCB0"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836" w:type="dxa"/>
            <w:tcBorders>
              <w:top w:val="single" w:sz="4" w:space="0" w:color="auto"/>
            </w:tcBorders>
            <w:vAlign w:val="center"/>
          </w:tcPr>
          <w:p w14:paraId="12F89AD6" w14:textId="63DFB115"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r>
      <w:tr w:rsidR="003B151A" w:rsidRPr="003B151A" w14:paraId="7CE876CA"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6"/>
              <w:gridCol w:w="66"/>
              <w:gridCol w:w="66"/>
              <w:gridCol w:w="81"/>
            </w:tblGrid>
            <w:tr w:rsidR="003B151A" w:rsidRPr="003B151A" w14:paraId="00B3138E" w14:textId="77777777" w:rsidTr="007F2519">
              <w:trPr>
                <w:tblCellSpacing w:w="15" w:type="dxa"/>
              </w:trPr>
              <w:tc>
                <w:tcPr>
                  <w:tcW w:w="0" w:type="auto"/>
                  <w:vAlign w:val="center"/>
                  <w:hideMark/>
                </w:tcPr>
                <w:p w14:paraId="584BBB7F" w14:textId="104837BC"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Early marriage, influenced by cultural practices, interrupts girls' education.</w:t>
                  </w:r>
                </w:p>
              </w:tc>
              <w:tc>
                <w:tcPr>
                  <w:tcW w:w="0" w:type="auto"/>
                  <w:vAlign w:val="center"/>
                  <w:hideMark/>
                </w:tcPr>
                <w:p w14:paraId="6C64C97B"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7192656C"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1849D640"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63AD0C05"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28FF159A"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5CEC7B87" w14:textId="17996A4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991" w:type="dxa"/>
            <w:vAlign w:val="center"/>
          </w:tcPr>
          <w:p w14:paraId="774BC7ED" w14:textId="738F75C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c>
          <w:tcPr>
            <w:tcW w:w="496" w:type="dxa"/>
            <w:vAlign w:val="center"/>
          </w:tcPr>
          <w:p w14:paraId="3141BFCB" w14:textId="61A6CF93"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836" w:type="dxa"/>
            <w:vAlign w:val="center"/>
          </w:tcPr>
          <w:p w14:paraId="4267896A" w14:textId="57762AB8"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c>
          <w:tcPr>
            <w:tcW w:w="651" w:type="dxa"/>
            <w:vAlign w:val="center"/>
          </w:tcPr>
          <w:p w14:paraId="190F89F7" w14:textId="6B51B965"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8</w:t>
            </w:r>
          </w:p>
        </w:tc>
        <w:tc>
          <w:tcPr>
            <w:tcW w:w="836" w:type="dxa"/>
            <w:vAlign w:val="center"/>
          </w:tcPr>
          <w:p w14:paraId="042C9623" w14:textId="39424EC1"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44.4%</w:t>
            </w:r>
          </w:p>
        </w:tc>
        <w:tc>
          <w:tcPr>
            <w:tcW w:w="654" w:type="dxa"/>
            <w:vAlign w:val="center"/>
          </w:tcPr>
          <w:p w14:paraId="3D88622E" w14:textId="3FD40DB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836" w:type="dxa"/>
            <w:vAlign w:val="center"/>
          </w:tcPr>
          <w:p w14:paraId="342B51A8" w14:textId="451F09E2"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r>
      <w:tr w:rsidR="003B151A" w:rsidRPr="003B151A" w14:paraId="253B6D10"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6"/>
              <w:gridCol w:w="66"/>
              <w:gridCol w:w="66"/>
              <w:gridCol w:w="81"/>
            </w:tblGrid>
            <w:tr w:rsidR="003B151A" w:rsidRPr="003B151A" w14:paraId="64B3AC65" w14:textId="77777777" w:rsidTr="007F2519">
              <w:trPr>
                <w:tblCellSpacing w:w="15" w:type="dxa"/>
              </w:trPr>
              <w:tc>
                <w:tcPr>
                  <w:tcW w:w="0" w:type="auto"/>
                  <w:vAlign w:val="center"/>
                  <w:hideMark/>
                </w:tcPr>
                <w:p w14:paraId="7101EC19" w14:textId="3D8EE62A"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Traditional gender roles lead families to prioritize boys’ education over girls’.</w:t>
                  </w:r>
                </w:p>
              </w:tc>
              <w:tc>
                <w:tcPr>
                  <w:tcW w:w="0" w:type="auto"/>
                  <w:vAlign w:val="center"/>
                  <w:hideMark/>
                </w:tcPr>
                <w:p w14:paraId="71CB8027"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27005453"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52AFCD3E"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3D619C3D"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39ADF1FA"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6128D0EB" w14:textId="52CB0C3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991" w:type="dxa"/>
            <w:vAlign w:val="center"/>
          </w:tcPr>
          <w:p w14:paraId="75E3C40C" w14:textId="52A0E0D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c>
          <w:tcPr>
            <w:tcW w:w="496" w:type="dxa"/>
            <w:vAlign w:val="center"/>
          </w:tcPr>
          <w:p w14:paraId="3DE50A27" w14:textId="00DE74CC"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w:t>
            </w:r>
          </w:p>
        </w:tc>
        <w:tc>
          <w:tcPr>
            <w:tcW w:w="836" w:type="dxa"/>
            <w:vAlign w:val="center"/>
          </w:tcPr>
          <w:p w14:paraId="16C35582" w14:textId="71335DA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27.8%</w:t>
            </w:r>
          </w:p>
        </w:tc>
        <w:tc>
          <w:tcPr>
            <w:tcW w:w="651" w:type="dxa"/>
            <w:vAlign w:val="center"/>
          </w:tcPr>
          <w:p w14:paraId="5EB41FCF" w14:textId="5A9D65B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7</w:t>
            </w:r>
          </w:p>
        </w:tc>
        <w:tc>
          <w:tcPr>
            <w:tcW w:w="836" w:type="dxa"/>
            <w:vAlign w:val="center"/>
          </w:tcPr>
          <w:p w14:paraId="3F354242" w14:textId="635478A5"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38.9%</w:t>
            </w:r>
          </w:p>
        </w:tc>
        <w:tc>
          <w:tcPr>
            <w:tcW w:w="654" w:type="dxa"/>
            <w:vAlign w:val="center"/>
          </w:tcPr>
          <w:p w14:paraId="793BB3B1" w14:textId="3AA5373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836" w:type="dxa"/>
            <w:vAlign w:val="center"/>
          </w:tcPr>
          <w:p w14:paraId="026985B7" w14:textId="6F45358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r>
      <w:tr w:rsidR="003B151A" w:rsidRPr="003B151A" w14:paraId="7359B7B3"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6"/>
              <w:gridCol w:w="66"/>
              <w:gridCol w:w="66"/>
              <w:gridCol w:w="81"/>
            </w:tblGrid>
            <w:tr w:rsidR="003B151A" w:rsidRPr="003B151A" w14:paraId="3016A731" w14:textId="77777777" w:rsidTr="007F2519">
              <w:trPr>
                <w:tblCellSpacing w:w="15" w:type="dxa"/>
              </w:trPr>
              <w:tc>
                <w:tcPr>
                  <w:tcW w:w="0" w:type="auto"/>
                  <w:vAlign w:val="center"/>
                  <w:hideMark/>
                </w:tcPr>
                <w:p w14:paraId="5BE98F88" w14:textId="2E209BF2"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Religious practices in the community influence parents’ decisions on girls’ transition in school.</w:t>
                  </w:r>
                </w:p>
              </w:tc>
              <w:tc>
                <w:tcPr>
                  <w:tcW w:w="0" w:type="auto"/>
                  <w:vAlign w:val="center"/>
                  <w:hideMark/>
                </w:tcPr>
                <w:p w14:paraId="2A344360"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32099417"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34830482"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2150B403"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672BFC8F"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1D84E8EC" w14:textId="4D23DE2D"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991" w:type="dxa"/>
            <w:vAlign w:val="center"/>
          </w:tcPr>
          <w:p w14:paraId="0EE85997" w14:textId="740F45AD"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c>
          <w:tcPr>
            <w:tcW w:w="496" w:type="dxa"/>
            <w:vAlign w:val="center"/>
          </w:tcPr>
          <w:p w14:paraId="02C19DA5" w14:textId="08F0FC2E"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w:t>
            </w:r>
          </w:p>
        </w:tc>
        <w:tc>
          <w:tcPr>
            <w:tcW w:w="836" w:type="dxa"/>
            <w:vAlign w:val="center"/>
          </w:tcPr>
          <w:p w14:paraId="58C987B9" w14:textId="20072DC8"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33.3%</w:t>
            </w:r>
          </w:p>
        </w:tc>
        <w:tc>
          <w:tcPr>
            <w:tcW w:w="651" w:type="dxa"/>
            <w:vAlign w:val="center"/>
          </w:tcPr>
          <w:p w14:paraId="4668BAAC" w14:textId="4E74068E"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7</w:t>
            </w:r>
          </w:p>
        </w:tc>
        <w:tc>
          <w:tcPr>
            <w:tcW w:w="836" w:type="dxa"/>
            <w:vAlign w:val="center"/>
          </w:tcPr>
          <w:p w14:paraId="3ACE29A2" w14:textId="542C5891"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38.9%</w:t>
            </w:r>
          </w:p>
        </w:tc>
        <w:tc>
          <w:tcPr>
            <w:tcW w:w="654" w:type="dxa"/>
            <w:vAlign w:val="center"/>
          </w:tcPr>
          <w:p w14:paraId="121FFAD4" w14:textId="444E8A7E"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836" w:type="dxa"/>
            <w:vAlign w:val="center"/>
          </w:tcPr>
          <w:p w14:paraId="6FE65BB9" w14:textId="1423D91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r>
      <w:tr w:rsidR="003B151A" w:rsidRPr="003B151A" w14:paraId="3D86CB6C"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2"/>
            </w:tblGrid>
            <w:tr w:rsidR="003B151A" w:rsidRPr="003B151A" w14:paraId="001567F6" w14:textId="77777777" w:rsidTr="007F2519">
              <w:trPr>
                <w:tblCellSpacing w:w="15" w:type="dxa"/>
              </w:trPr>
              <w:tc>
                <w:tcPr>
                  <w:tcW w:w="0" w:type="auto"/>
                  <w:vAlign w:val="center"/>
                  <w:hideMark/>
                </w:tcPr>
                <w:p w14:paraId="7018BCF1" w14:textId="340B5FB7"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Nomadic practices in the area disrupt consistent schooling for girls.</w:t>
                  </w:r>
                </w:p>
              </w:tc>
            </w:tr>
          </w:tbl>
          <w:p w14:paraId="7694304D"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2E0DFA07" w14:textId="3E4D2978"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991" w:type="dxa"/>
            <w:vAlign w:val="center"/>
          </w:tcPr>
          <w:p w14:paraId="693DA25A" w14:textId="313CA4B4"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c>
          <w:tcPr>
            <w:tcW w:w="496" w:type="dxa"/>
            <w:vAlign w:val="center"/>
          </w:tcPr>
          <w:p w14:paraId="7C8A3F4B" w14:textId="7E876B7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836" w:type="dxa"/>
            <w:vAlign w:val="center"/>
          </w:tcPr>
          <w:p w14:paraId="5EAB0FF6" w14:textId="2C33ECBC"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c>
          <w:tcPr>
            <w:tcW w:w="651" w:type="dxa"/>
            <w:vAlign w:val="center"/>
          </w:tcPr>
          <w:p w14:paraId="639049F9" w14:textId="5F0DBD0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9</w:t>
            </w:r>
          </w:p>
        </w:tc>
        <w:tc>
          <w:tcPr>
            <w:tcW w:w="836" w:type="dxa"/>
            <w:vAlign w:val="center"/>
          </w:tcPr>
          <w:p w14:paraId="3172CE18" w14:textId="2D1A132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50.0%</w:t>
            </w:r>
          </w:p>
        </w:tc>
        <w:tc>
          <w:tcPr>
            <w:tcW w:w="654" w:type="dxa"/>
            <w:vAlign w:val="center"/>
          </w:tcPr>
          <w:p w14:paraId="1C593321" w14:textId="5C5EB0C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836" w:type="dxa"/>
            <w:vAlign w:val="center"/>
          </w:tcPr>
          <w:p w14:paraId="250B4C9C" w14:textId="37B1107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r>
    </w:tbl>
    <w:p w14:paraId="131FD3AF" w14:textId="77777777" w:rsidR="00B72576" w:rsidRPr="003B151A" w:rsidRDefault="00B72576"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b/>
          <w:color w:val="000000" w:themeColor="text1"/>
          <w:sz w:val="24"/>
          <w:szCs w:val="24"/>
        </w:rPr>
        <w:t>Source: Field Data (2025)</w:t>
      </w:r>
    </w:p>
    <w:p w14:paraId="2F54C957" w14:textId="140C8CDF" w:rsidR="000B4AA8"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The findings from Table </w:t>
      </w:r>
      <w:r w:rsidR="0088487B">
        <w:rPr>
          <w:rFonts w:ascii="Times New Roman" w:hAnsi="Times New Roman" w:cs="Times New Roman"/>
          <w:color w:val="000000" w:themeColor="text1"/>
          <w:sz w:val="24"/>
          <w:szCs w:val="24"/>
        </w:rPr>
        <w:t>1</w:t>
      </w:r>
      <w:r w:rsidRPr="003B151A">
        <w:rPr>
          <w:rFonts w:ascii="Times New Roman" w:hAnsi="Times New Roman" w:cs="Times New Roman"/>
          <w:color w:val="000000" w:themeColor="text1"/>
          <w:sz w:val="24"/>
          <w:szCs w:val="24"/>
        </w:rPr>
        <w:t xml:space="preserve"> indicate that cultural beliefs and practices are perceived as </w:t>
      </w:r>
      <w:proofErr w:type="gramStart"/>
      <w:r w:rsidRPr="003B151A">
        <w:rPr>
          <w:rFonts w:ascii="Times New Roman" w:hAnsi="Times New Roman" w:cs="Times New Roman"/>
          <w:color w:val="000000" w:themeColor="text1"/>
          <w:sz w:val="24"/>
          <w:szCs w:val="24"/>
        </w:rPr>
        <w:t>less</w:t>
      </w:r>
      <w:proofErr w:type="gramEnd"/>
      <w:r w:rsidRPr="003B151A">
        <w:rPr>
          <w:rFonts w:ascii="Times New Roman" w:hAnsi="Times New Roman" w:cs="Times New Roman"/>
          <w:color w:val="000000" w:themeColor="text1"/>
          <w:sz w:val="24"/>
          <w:szCs w:val="24"/>
        </w:rPr>
        <w:t xml:space="preserve"> dominant influences on girls’ transition to upper primary in Balambala Sub-county, particularly when compared to socio-economic barriers. While some cultural practices are still present, their impact appears to be diminishing in the current generation, as reflected in the moderate to low agreement levels across most statements.</w:t>
      </w:r>
      <w:r w:rsidR="00B72576"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On the first item, “Cultural beliefs in the community discourage girls from continuing to upper primary,” 44.4% of the respondents agreed or strongly agreed with the statement, while the remaining 55.6% disagreed or strongly disagreed. This distribution reflects a changing perception of education within the community, where long-standing cultural stereotypes against girls’ schooling are gradually being challenged, especially with increased awareness, policy interventions, and religious advocacy that support girls’ rights to education.</w:t>
      </w:r>
      <w:r w:rsidR="00B72576"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The issue of early marriage, however, still appears relevant to a majority of respondents. A combined 66.6% agreed or strongly agreed that early marriage, rooted in traditional customs, continues to interfere with girls’ education. While this suggests that early marriage is still a concern, the balanced spread (33.3% disagreement) indicates that such practices are not as widespread as before, possibly due to growing legal enforcement, school-based guidance programs, and community sensitization </w:t>
      </w:r>
      <w:r w:rsidRPr="003B151A">
        <w:rPr>
          <w:rFonts w:ascii="Times New Roman" w:hAnsi="Times New Roman" w:cs="Times New Roman"/>
          <w:color w:val="000000" w:themeColor="text1"/>
          <w:sz w:val="24"/>
          <w:szCs w:val="24"/>
        </w:rPr>
        <w:lastRenderedPageBreak/>
        <w:t>efforts led by local leaders and NGOs.</w:t>
      </w:r>
      <w:r w:rsidR="00B72576"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With regard to traditional gender roles, the responses were also spread across the scale, with 55.6% agreeing or strongly agreeing that boys are prioritized over girls in terms of education, while 44.5% disagreed or strongly disagreed. This balanced view reflects an ongoing cultural shift, where parents are beginning to value girls’ education more than in the past, though some deep-seated gender biases may still persist in certain households, particularly in more conservative segments of the community.</w:t>
      </w:r>
      <w:r w:rsidR="000B4AA8"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The statement on religious practices influencing parental decisions showed that half of the respondents (50%) agreed or strongly agreed, while the other half disagreed or strongly disagreed. This near-equal distribution suggests no dominant consensus, indicating that religious interpretations vary significantly across households. Some families may view formal education as complementary to religious values, while others may still believe in early religious instruction at the expense of secular schooling for girls.</w:t>
      </w:r>
      <w:r w:rsidR="000B4AA8"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Lastly, nomadic practices were seen as relatively more impactful, with 66.7% of PA chairpersons agreeing or strongly agreeing that mobility due to pastoralism disrupts schooling for girls. This is consistent with regional characteristics of Garissa County, where nomadic or semi-nomadic livelihoods still affect school attendance due to periodic movement, especially among pastoralist communities. Nevertheless, the fact that 33.3% did not see nomadism as a major factor suggests that the tendency of </w:t>
      </w:r>
      <w:r w:rsidR="000B4AA8" w:rsidRPr="003B151A">
        <w:rPr>
          <w:rFonts w:ascii="Times New Roman" w:hAnsi="Times New Roman" w:cs="Times New Roman"/>
          <w:color w:val="000000" w:themeColor="text1"/>
          <w:sz w:val="24"/>
          <w:szCs w:val="24"/>
        </w:rPr>
        <w:t xml:space="preserve">families to settle near schools </w:t>
      </w:r>
      <w:r w:rsidRPr="003B151A">
        <w:rPr>
          <w:rFonts w:ascii="Times New Roman" w:hAnsi="Times New Roman" w:cs="Times New Roman"/>
          <w:color w:val="000000" w:themeColor="text1"/>
          <w:sz w:val="24"/>
          <w:szCs w:val="24"/>
        </w:rPr>
        <w:t>is becoming more common, allowing girls greater school continuity.</w:t>
      </w:r>
    </w:p>
    <w:p w14:paraId="76685367" w14:textId="77777777" w:rsidR="001C1A88"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The findings from the interviews conducted with School Management Board (SMB) members and teachers provided deeper insights into how cultural beliefs and practices shape the educational trajectories of girls in Balambala Sub-county. These narratives supported and contextualized the quantitative responses obtained through the Likert-scale items administered to PA chairpersons.</w:t>
      </w:r>
      <w:r w:rsidR="00D864F4" w:rsidRPr="003B151A">
        <w:rPr>
          <w:rFonts w:ascii="Times New Roman" w:hAnsi="Times New Roman" w:cs="Times New Roman"/>
          <w:color w:val="000000" w:themeColor="text1"/>
          <w:sz w:val="24"/>
          <w:szCs w:val="24"/>
        </w:rPr>
        <w:t xml:space="preserve"> </w:t>
      </w:r>
      <w:r w:rsidRPr="003B151A">
        <w:rPr>
          <w:rFonts w:ascii="Times New Roman" w:eastAsia="Times New Roman" w:hAnsi="Times New Roman" w:cs="Times New Roman"/>
          <w:color w:val="000000" w:themeColor="text1"/>
          <w:sz w:val="24"/>
          <w:szCs w:val="24"/>
        </w:rPr>
        <w:t xml:space="preserve">Members of the School Management Boards acknowledged that </w:t>
      </w:r>
      <w:r w:rsidRPr="003B151A">
        <w:rPr>
          <w:rFonts w:ascii="Times New Roman" w:hAnsi="Times New Roman" w:cs="Times New Roman"/>
          <w:color w:val="000000" w:themeColor="text1"/>
          <w:sz w:val="24"/>
          <w:szCs w:val="24"/>
        </w:rPr>
        <w:t>early marriages and rigid gender roles</w:t>
      </w:r>
      <w:r w:rsidRPr="003B151A">
        <w:rPr>
          <w:rFonts w:ascii="Times New Roman" w:eastAsia="Times New Roman" w:hAnsi="Times New Roman" w:cs="Times New Roman"/>
          <w:color w:val="000000" w:themeColor="text1"/>
          <w:sz w:val="24"/>
          <w:szCs w:val="24"/>
        </w:rPr>
        <w:t xml:space="preserve"> remain significant cultural barriers, particularly in more remote areas of the sub-county. According to several respondents, girls are still at risk of being withdrawn from school for early marriages, especially after reaching puberty, a practice deeply rooted in the belief that marriage is a girl’s ultimate achievement. One SMB member remarked, </w:t>
      </w:r>
    </w:p>
    <w:p w14:paraId="1631AE60" w14:textId="77777777" w:rsidR="001C1A88" w:rsidRDefault="002073F9" w:rsidP="001C1A88">
      <w:pPr>
        <w:spacing w:after="0" w:line="240" w:lineRule="auto"/>
        <w:ind w:left="851" w:right="899"/>
        <w:jc w:val="both"/>
        <w:rPr>
          <w:rFonts w:ascii="Times New Roman" w:eastAsia="Times New Roman" w:hAnsi="Times New Roman" w:cs="Times New Roman"/>
          <w:i/>
          <w:iCs/>
          <w:color w:val="000000" w:themeColor="text1"/>
          <w:sz w:val="24"/>
          <w:szCs w:val="24"/>
        </w:rPr>
      </w:pPr>
      <w:r w:rsidRPr="003B151A">
        <w:rPr>
          <w:rFonts w:ascii="Times New Roman" w:eastAsia="Times New Roman" w:hAnsi="Times New Roman" w:cs="Times New Roman"/>
          <w:i/>
          <w:iCs/>
          <w:color w:val="000000" w:themeColor="text1"/>
          <w:sz w:val="24"/>
          <w:szCs w:val="24"/>
        </w:rPr>
        <w:t>“There are families who believe that once a girl reaches age 12 or 13, she should be prepared for marriage, not school. Education is not seen as useful in that context.”</w:t>
      </w:r>
    </w:p>
    <w:p w14:paraId="525B3A91" w14:textId="1B549054" w:rsidR="001C1A88"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 These views echo the 66.6% of PA chairpersons who agreed or strongly agreed in the survey that early marriage, influenced by traditional customs, interrupts girls’ education. However, other SMB members pointed out that such views are slowly changing due to increased awareness campaigns by NGOs, religious leaders, and government authorities.</w:t>
      </w:r>
      <w:r w:rsidR="00D864F4" w:rsidRPr="003B151A">
        <w:rPr>
          <w:rFonts w:ascii="Times New Roman" w:hAnsi="Times New Roman" w:cs="Times New Roman"/>
          <w:color w:val="000000" w:themeColor="text1"/>
          <w:sz w:val="24"/>
          <w:szCs w:val="24"/>
        </w:rPr>
        <w:t xml:space="preserve"> </w:t>
      </w:r>
      <w:r w:rsidRPr="003B151A">
        <w:rPr>
          <w:rFonts w:ascii="Times New Roman" w:eastAsia="Times New Roman" w:hAnsi="Times New Roman" w:cs="Times New Roman"/>
          <w:color w:val="000000" w:themeColor="text1"/>
          <w:sz w:val="24"/>
          <w:szCs w:val="24"/>
        </w:rPr>
        <w:t xml:space="preserve">Additionally, the </w:t>
      </w:r>
      <w:r w:rsidRPr="003B151A">
        <w:rPr>
          <w:rFonts w:ascii="Times New Roman" w:hAnsi="Times New Roman" w:cs="Times New Roman"/>
          <w:color w:val="000000" w:themeColor="text1"/>
          <w:sz w:val="24"/>
          <w:szCs w:val="24"/>
        </w:rPr>
        <w:t>economic lifestyle of the community</w:t>
      </w:r>
      <w:r w:rsidRPr="003B151A">
        <w:rPr>
          <w:rFonts w:ascii="Times New Roman" w:eastAsia="Times New Roman" w:hAnsi="Times New Roman" w:cs="Times New Roman"/>
          <w:color w:val="000000" w:themeColor="text1"/>
          <w:sz w:val="24"/>
          <w:szCs w:val="24"/>
        </w:rPr>
        <w:t xml:space="preserve">, primarily pastoralism, was reported to negatively impact school attendance and continuity, especially for girls. When families migrate with livestock in search of water and pasture, children are often </w:t>
      </w:r>
      <w:r w:rsidR="00D864F4" w:rsidRPr="003B151A">
        <w:rPr>
          <w:rFonts w:ascii="Times New Roman" w:eastAsia="Times New Roman" w:hAnsi="Times New Roman" w:cs="Times New Roman"/>
          <w:color w:val="000000" w:themeColor="text1"/>
          <w:sz w:val="24"/>
          <w:szCs w:val="24"/>
        </w:rPr>
        <w:t xml:space="preserve">taken out of school temporarily </w:t>
      </w:r>
      <w:r w:rsidRPr="003B151A">
        <w:rPr>
          <w:rFonts w:ascii="Times New Roman" w:eastAsia="Times New Roman" w:hAnsi="Times New Roman" w:cs="Times New Roman"/>
          <w:color w:val="000000" w:themeColor="text1"/>
          <w:sz w:val="24"/>
          <w:szCs w:val="24"/>
        </w:rPr>
        <w:t xml:space="preserve">or indefinitely. Girls, more so than boys, are tasked with domestic responsibilities such as caring for younger siblings, fetching water, and helping mothers with household chores during these seasonal migrations. An SMB respondent noted, </w:t>
      </w:r>
    </w:p>
    <w:p w14:paraId="657F0091" w14:textId="77777777" w:rsidR="001C1A88" w:rsidRDefault="002073F9" w:rsidP="001C1A88">
      <w:pPr>
        <w:spacing w:after="0" w:line="240" w:lineRule="auto"/>
        <w:ind w:left="851" w:right="757"/>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i/>
          <w:iCs/>
          <w:color w:val="000000" w:themeColor="text1"/>
          <w:sz w:val="24"/>
          <w:szCs w:val="24"/>
        </w:rPr>
        <w:t>“When the animals move, the whole family moves. The boy might return to school later, but the girl may not. She might be kept at home for chores or married off while away.”</w:t>
      </w:r>
      <w:r w:rsidRPr="003B151A">
        <w:rPr>
          <w:rFonts w:ascii="Times New Roman" w:eastAsia="Times New Roman" w:hAnsi="Times New Roman" w:cs="Times New Roman"/>
          <w:color w:val="000000" w:themeColor="text1"/>
          <w:sz w:val="24"/>
          <w:szCs w:val="24"/>
        </w:rPr>
        <w:t xml:space="preserve"> </w:t>
      </w:r>
    </w:p>
    <w:p w14:paraId="04685DEA" w14:textId="10E2BD25" w:rsidR="002073F9" w:rsidRPr="003B151A" w:rsidRDefault="002073F9" w:rsidP="00206963">
      <w:pPr>
        <w:spacing w:after="0" w:line="240" w:lineRule="auto"/>
        <w:jc w:val="both"/>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This observation aligns with the survey finding that 66.7% of respondents agreed or strongly agreed that </w:t>
      </w:r>
      <w:r w:rsidRPr="003B151A">
        <w:rPr>
          <w:rFonts w:ascii="Times New Roman" w:hAnsi="Times New Roman" w:cs="Times New Roman"/>
          <w:color w:val="000000" w:themeColor="text1"/>
          <w:sz w:val="24"/>
          <w:szCs w:val="24"/>
        </w:rPr>
        <w:t>nomadic practices disrupt schooling for girls</w:t>
      </w:r>
      <w:r w:rsidRPr="003B151A">
        <w:rPr>
          <w:rFonts w:ascii="Times New Roman" w:eastAsia="Times New Roman" w:hAnsi="Times New Roman" w:cs="Times New Roman"/>
          <w:color w:val="000000" w:themeColor="text1"/>
          <w:sz w:val="24"/>
          <w:szCs w:val="24"/>
        </w:rPr>
        <w:t>. However, there were also reports that some families are beginning to settle near schools permanently, allowing their daughters</w:t>
      </w:r>
      <w:r w:rsidR="00D864F4" w:rsidRPr="003B151A">
        <w:rPr>
          <w:rFonts w:ascii="Times New Roman" w:eastAsia="Times New Roman" w:hAnsi="Times New Roman" w:cs="Times New Roman"/>
          <w:color w:val="000000" w:themeColor="text1"/>
          <w:sz w:val="24"/>
          <w:szCs w:val="24"/>
        </w:rPr>
        <w:t xml:space="preserve"> to pursue continuous schooling </w:t>
      </w:r>
      <w:r w:rsidRPr="003B151A">
        <w:rPr>
          <w:rFonts w:ascii="Times New Roman" w:eastAsia="Times New Roman" w:hAnsi="Times New Roman" w:cs="Times New Roman"/>
          <w:color w:val="000000" w:themeColor="text1"/>
          <w:sz w:val="24"/>
          <w:szCs w:val="24"/>
        </w:rPr>
        <w:t>an indication of gradual social transformation.</w:t>
      </w:r>
    </w:p>
    <w:p w14:paraId="5D53D5F7" w14:textId="77777777" w:rsidR="001C1A88"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The issue of </w:t>
      </w:r>
      <w:r w:rsidRPr="003B151A">
        <w:rPr>
          <w:rFonts w:ascii="Times New Roman" w:hAnsi="Times New Roman" w:cs="Times New Roman"/>
          <w:color w:val="000000" w:themeColor="text1"/>
          <w:sz w:val="24"/>
          <w:szCs w:val="24"/>
        </w:rPr>
        <w:t>school infrastructure and resource availability</w:t>
      </w:r>
      <w:r w:rsidRPr="003B151A">
        <w:rPr>
          <w:rFonts w:ascii="Times New Roman" w:eastAsia="Times New Roman" w:hAnsi="Times New Roman" w:cs="Times New Roman"/>
          <w:color w:val="000000" w:themeColor="text1"/>
          <w:sz w:val="24"/>
          <w:szCs w:val="24"/>
        </w:rPr>
        <w:t xml:space="preserve"> was also discussed during the SMB interviews. Many members highlighted that the lack of gender-sensitive facilities, such as private </w:t>
      </w:r>
      <w:r w:rsidRPr="003B151A">
        <w:rPr>
          <w:rFonts w:ascii="Times New Roman" w:eastAsia="Times New Roman" w:hAnsi="Times New Roman" w:cs="Times New Roman"/>
          <w:color w:val="000000" w:themeColor="text1"/>
          <w:sz w:val="24"/>
          <w:szCs w:val="24"/>
        </w:rPr>
        <w:lastRenderedPageBreak/>
        <w:t xml:space="preserve">sanitation spaces for girls, undermines their comfort and dignity in school. Some schools also lack separate boarding spaces for girls or adequate security, which discourages parents from allowing daughters to attend. These issues, while infrastructural in nature, intersect with cultural fears of girls' exposure to male-dominated environments. As one board member put it, </w:t>
      </w:r>
    </w:p>
    <w:p w14:paraId="32E798E0" w14:textId="6877F737" w:rsidR="002073F9" w:rsidRPr="003B151A" w:rsidRDefault="002073F9" w:rsidP="001C1A88">
      <w:pPr>
        <w:spacing w:after="0" w:line="240" w:lineRule="auto"/>
        <w:ind w:left="851" w:right="615"/>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i/>
          <w:iCs/>
          <w:color w:val="000000" w:themeColor="text1"/>
          <w:sz w:val="24"/>
          <w:szCs w:val="24"/>
        </w:rPr>
        <w:t>“Even if parents want to send their girls to school, they ask whether there are female teachers, or whether the school has toilets for girls. Without these, they are reluctant.”</w:t>
      </w:r>
    </w:p>
    <w:p w14:paraId="79E08C0F" w14:textId="77777777" w:rsidR="002073F9" w:rsidRPr="003B151A"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Teachers interviewed confirmed the persistence of </w:t>
      </w:r>
      <w:r w:rsidRPr="003B151A">
        <w:rPr>
          <w:rFonts w:ascii="Times New Roman" w:hAnsi="Times New Roman" w:cs="Times New Roman"/>
          <w:color w:val="000000" w:themeColor="text1"/>
          <w:sz w:val="24"/>
          <w:szCs w:val="24"/>
        </w:rPr>
        <w:t>deeply held traditional and religious beliefs</w:t>
      </w:r>
      <w:r w:rsidRPr="003B151A">
        <w:rPr>
          <w:rFonts w:ascii="Times New Roman" w:eastAsia="Times New Roman" w:hAnsi="Times New Roman" w:cs="Times New Roman"/>
          <w:color w:val="000000" w:themeColor="text1"/>
          <w:sz w:val="24"/>
          <w:szCs w:val="24"/>
        </w:rPr>
        <w:t xml:space="preserve"> that continue to shape attitudes toward girls’ education. Several teachers noted that in some households, girls are still viewed primarily as future wives and mothers, whose time in school should be limited. One teacher shared, </w:t>
      </w:r>
      <w:r w:rsidRPr="003B151A">
        <w:rPr>
          <w:rFonts w:ascii="Times New Roman" w:eastAsia="Times New Roman" w:hAnsi="Times New Roman" w:cs="Times New Roman"/>
          <w:i/>
          <w:iCs/>
          <w:color w:val="000000" w:themeColor="text1"/>
          <w:sz w:val="24"/>
          <w:szCs w:val="24"/>
        </w:rPr>
        <w:t>“There are parents who tell us openly, ‘she doesn’t need to know too much; it will make her stubborn or delay her marriage.’ These beliefs are still there in some communities.”</w:t>
      </w:r>
      <w:r w:rsidRPr="003B151A">
        <w:rPr>
          <w:rFonts w:ascii="Times New Roman" w:eastAsia="Times New Roman" w:hAnsi="Times New Roman" w:cs="Times New Roman"/>
          <w:color w:val="000000" w:themeColor="text1"/>
          <w:sz w:val="24"/>
          <w:szCs w:val="24"/>
        </w:rPr>
        <w:t xml:space="preserve"> Other teachers acknowledged that while resistance exists, the number of parents encouraging girls to stay in school has grown, especially when girls perform well or when schools have visible female role models. These qualitative responses reflect the </w:t>
      </w:r>
      <w:r w:rsidRPr="003B151A">
        <w:rPr>
          <w:rFonts w:ascii="Times New Roman" w:hAnsi="Times New Roman" w:cs="Times New Roman"/>
          <w:color w:val="000000" w:themeColor="text1"/>
          <w:sz w:val="24"/>
          <w:szCs w:val="24"/>
        </w:rPr>
        <w:t>mixed levels of agreement</w:t>
      </w:r>
      <w:r w:rsidRPr="003B151A">
        <w:rPr>
          <w:rFonts w:ascii="Times New Roman" w:eastAsia="Times New Roman" w:hAnsi="Times New Roman" w:cs="Times New Roman"/>
          <w:color w:val="000000" w:themeColor="text1"/>
          <w:sz w:val="24"/>
          <w:szCs w:val="24"/>
        </w:rPr>
        <w:t xml:space="preserve"> found in the questionnaire on the role of religious and gender beliefs, where half the PA respondents either agreed or disagreed on the extent to which such beliefs affect girls’ transition.</w:t>
      </w:r>
    </w:p>
    <w:p w14:paraId="61BA106A" w14:textId="77777777" w:rsidR="001C1A88"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Teachers also pointed out that some </w:t>
      </w:r>
      <w:r w:rsidRPr="003B151A">
        <w:rPr>
          <w:rFonts w:ascii="Times New Roman" w:hAnsi="Times New Roman" w:cs="Times New Roman"/>
          <w:color w:val="000000" w:themeColor="text1"/>
          <w:sz w:val="24"/>
          <w:szCs w:val="24"/>
        </w:rPr>
        <w:t>religious interpretations</w:t>
      </w:r>
      <w:r w:rsidRPr="003B151A">
        <w:rPr>
          <w:rFonts w:ascii="Times New Roman" w:eastAsia="Times New Roman" w:hAnsi="Times New Roman" w:cs="Times New Roman"/>
          <w:color w:val="000000" w:themeColor="text1"/>
          <w:sz w:val="24"/>
          <w:szCs w:val="24"/>
        </w:rPr>
        <w:t xml:space="preserve"> within the community continue to discourage formal secular education for girls, with a few households emphasizing Quranic schooling or early marriage over government education. One teacher said, </w:t>
      </w:r>
    </w:p>
    <w:p w14:paraId="42D19310" w14:textId="77777777" w:rsidR="001C1A88" w:rsidRDefault="002073F9" w:rsidP="001C1A88">
      <w:pPr>
        <w:spacing w:after="0" w:line="240" w:lineRule="auto"/>
        <w:ind w:left="851" w:right="899"/>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i/>
          <w:iCs/>
          <w:color w:val="000000" w:themeColor="text1"/>
          <w:sz w:val="24"/>
          <w:szCs w:val="24"/>
        </w:rPr>
        <w:t>“In some homes, especially very conservative ones, educating girls beyond a certain age is seen as unnecessary or even dangerous. They prefer to teach them home roles or religious matters only.”</w:t>
      </w:r>
      <w:r w:rsidRPr="003B151A">
        <w:rPr>
          <w:rFonts w:ascii="Times New Roman" w:eastAsia="Times New Roman" w:hAnsi="Times New Roman" w:cs="Times New Roman"/>
          <w:color w:val="000000" w:themeColor="text1"/>
          <w:sz w:val="24"/>
          <w:szCs w:val="24"/>
        </w:rPr>
        <w:t xml:space="preserve"> </w:t>
      </w:r>
    </w:p>
    <w:p w14:paraId="366A0E9D" w14:textId="3A14962A" w:rsidR="002073F9" w:rsidRPr="003B151A"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However, the same teacher acknowledged the role of enlightened religious leaders who have helped shift narratives by advocating for girls’ rights to education in mosques and community meetings.</w:t>
      </w:r>
    </w:p>
    <w:p w14:paraId="06C300C0" w14:textId="41C26722" w:rsidR="00651FE7" w:rsidRPr="003B151A" w:rsidRDefault="00AA444D"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T</w:t>
      </w:r>
      <w:r w:rsidR="002073F9" w:rsidRPr="003B151A">
        <w:rPr>
          <w:rFonts w:ascii="Times New Roman" w:eastAsia="Times New Roman" w:hAnsi="Times New Roman" w:cs="Times New Roman"/>
          <w:color w:val="000000" w:themeColor="text1"/>
          <w:sz w:val="24"/>
          <w:szCs w:val="24"/>
        </w:rPr>
        <w:t xml:space="preserve">he qualitative interviews reinforced the quantitative findings that while </w:t>
      </w:r>
      <w:r w:rsidR="002073F9" w:rsidRPr="003B151A">
        <w:rPr>
          <w:rFonts w:ascii="Times New Roman" w:hAnsi="Times New Roman" w:cs="Times New Roman"/>
          <w:color w:val="000000" w:themeColor="text1"/>
          <w:sz w:val="24"/>
          <w:szCs w:val="24"/>
        </w:rPr>
        <w:t>cultural and traditional barriers to girls’ education persist in Balambala</w:t>
      </w:r>
      <w:r w:rsidR="002073F9" w:rsidRPr="003B151A">
        <w:rPr>
          <w:rFonts w:ascii="Times New Roman" w:eastAsia="Times New Roman" w:hAnsi="Times New Roman" w:cs="Times New Roman"/>
          <w:color w:val="000000" w:themeColor="text1"/>
          <w:sz w:val="24"/>
          <w:szCs w:val="24"/>
        </w:rPr>
        <w:t xml:space="preserve">, they are not universally applied or uniformly strong. There is </w:t>
      </w:r>
      <w:r w:rsidR="002073F9" w:rsidRPr="003B151A">
        <w:rPr>
          <w:rFonts w:ascii="Times New Roman" w:hAnsi="Times New Roman" w:cs="Times New Roman"/>
          <w:color w:val="000000" w:themeColor="text1"/>
          <w:sz w:val="24"/>
          <w:szCs w:val="24"/>
        </w:rPr>
        <w:t>a gradual shift in community attitudes</w:t>
      </w:r>
      <w:r w:rsidR="002073F9" w:rsidRPr="003B151A">
        <w:rPr>
          <w:rFonts w:ascii="Times New Roman" w:eastAsia="Times New Roman" w:hAnsi="Times New Roman" w:cs="Times New Roman"/>
          <w:color w:val="000000" w:themeColor="text1"/>
          <w:sz w:val="24"/>
          <w:szCs w:val="24"/>
        </w:rPr>
        <w:t xml:space="preserve">, driven by awareness, infrastructural improvements, and policy enforcement. Yet, </w:t>
      </w:r>
      <w:r w:rsidR="002073F9" w:rsidRPr="003B151A">
        <w:rPr>
          <w:rFonts w:ascii="Times New Roman" w:hAnsi="Times New Roman" w:cs="Times New Roman"/>
          <w:color w:val="000000" w:themeColor="text1"/>
          <w:sz w:val="24"/>
          <w:szCs w:val="24"/>
        </w:rPr>
        <w:t>pockets of resistance remain</w:t>
      </w:r>
      <w:r w:rsidR="002073F9" w:rsidRPr="003B151A">
        <w:rPr>
          <w:rFonts w:ascii="Times New Roman" w:eastAsia="Times New Roman" w:hAnsi="Times New Roman" w:cs="Times New Roman"/>
          <w:color w:val="000000" w:themeColor="text1"/>
          <w:sz w:val="24"/>
          <w:szCs w:val="24"/>
        </w:rPr>
        <w:t>, especially related to early marriage, pastoral mobility, and conservative gender roles. These findings emphasize the need for continuous community-level dialogue, culturally sensitive policy implementation, and gender-responsive school planning to eliminate the remaining cultural obstacles to girls’ full transition from lower to upper primary education.</w:t>
      </w:r>
      <w:r w:rsidR="00651FE7" w:rsidRPr="003B151A">
        <w:rPr>
          <w:rFonts w:ascii="Times New Roman" w:eastAsia="Times New Roman" w:hAnsi="Times New Roman" w:cs="Times New Roman"/>
          <w:color w:val="000000" w:themeColor="text1"/>
          <w:sz w:val="24"/>
          <w:szCs w:val="24"/>
        </w:rPr>
        <w:t xml:space="preserve"> </w:t>
      </w:r>
      <w:r w:rsidR="00651FE7" w:rsidRPr="003B151A">
        <w:rPr>
          <w:rFonts w:ascii="Times New Roman" w:hAnsi="Times New Roman" w:cs="Times New Roman"/>
          <w:color w:val="000000" w:themeColor="text1"/>
          <w:sz w:val="24"/>
          <w:szCs w:val="24"/>
        </w:rPr>
        <w:t xml:space="preserve">The current study concurs with </w:t>
      </w:r>
      <w:proofErr w:type="spellStart"/>
      <w:r w:rsidR="00651FE7" w:rsidRPr="003B151A">
        <w:rPr>
          <w:rFonts w:ascii="Times New Roman" w:hAnsi="Times New Roman" w:cs="Times New Roman"/>
          <w:color w:val="000000" w:themeColor="text1"/>
          <w:sz w:val="24"/>
          <w:szCs w:val="24"/>
        </w:rPr>
        <w:t>Nyagah</w:t>
      </w:r>
      <w:proofErr w:type="spellEnd"/>
      <w:r w:rsidR="00651FE7" w:rsidRPr="003B151A">
        <w:rPr>
          <w:rFonts w:ascii="Times New Roman" w:hAnsi="Times New Roman" w:cs="Times New Roman"/>
          <w:color w:val="000000" w:themeColor="text1"/>
          <w:sz w:val="24"/>
          <w:szCs w:val="24"/>
        </w:rPr>
        <w:t xml:space="preserve"> and </w:t>
      </w:r>
      <w:proofErr w:type="spellStart"/>
      <w:r w:rsidR="00651FE7" w:rsidRPr="003B151A">
        <w:rPr>
          <w:rFonts w:ascii="Times New Roman" w:hAnsi="Times New Roman" w:cs="Times New Roman"/>
          <w:color w:val="000000" w:themeColor="text1"/>
          <w:sz w:val="24"/>
          <w:szCs w:val="24"/>
        </w:rPr>
        <w:t>Luketero</w:t>
      </w:r>
      <w:proofErr w:type="spellEnd"/>
      <w:r w:rsidR="00651FE7" w:rsidRPr="003B151A">
        <w:rPr>
          <w:rFonts w:ascii="Times New Roman" w:hAnsi="Times New Roman" w:cs="Times New Roman"/>
          <w:color w:val="000000" w:themeColor="text1"/>
          <w:sz w:val="24"/>
          <w:szCs w:val="24"/>
        </w:rPr>
        <w:t xml:space="preserve"> (2016), Shariff (2008), and </w:t>
      </w:r>
      <w:proofErr w:type="spellStart"/>
      <w:r w:rsidR="00651FE7" w:rsidRPr="003B151A">
        <w:rPr>
          <w:rFonts w:ascii="Times New Roman" w:hAnsi="Times New Roman" w:cs="Times New Roman"/>
          <w:color w:val="000000" w:themeColor="text1"/>
          <w:sz w:val="24"/>
          <w:szCs w:val="24"/>
        </w:rPr>
        <w:t>Omuse</w:t>
      </w:r>
      <w:proofErr w:type="spellEnd"/>
      <w:r w:rsidR="00651FE7" w:rsidRPr="003B151A">
        <w:rPr>
          <w:rFonts w:ascii="Times New Roman" w:hAnsi="Times New Roman" w:cs="Times New Roman"/>
          <w:color w:val="000000" w:themeColor="text1"/>
          <w:sz w:val="24"/>
          <w:szCs w:val="24"/>
        </w:rPr>
        <w:t xml:space="preserve"> (2017), who hold that deep-rooted cultural beliefs and practices significantly hinder girls' transition in education. Similar to the findings of these scholars, this study revealed that in Balambala Sub-county, socio-cultural norms—particularly those promoting early marriage, conservative gender roles, and limited aspirations for girls—remain key barriers to their transition from lower to upper primary school. However, the study also notes an emerging shift in community attitudes, partly driven by awareness and policy enforcement, reflecting evolving perspectives on girls' education. This nuanced alignment with earlier findings highlights the persistent yet gradually weakening influence of traditional gender norms on educational access.</w:t>
      </w:r>
    </w:p>
    <w:p w14:paraId="42121515" w14:textId="494C20AA" w:rsidR="00172377" w:rsidRPr="003B151A" w:rsidRDefault="00172377" w:rsidP="00206963">
      <w:pPr>
        <w:pStyle w:val="Heading2"/>
        <w:spacing w:before="0" w:line="240" w:lineRule="auto"/>
        <w:jc w:val="both"/>
        <w:rPr>
          <w:rFonts w:ascii="Times New Roman" w:hAnsi="Times New Roman" w:cs="Times New Roman"/>
          <w:b/>
          <w:color w:val="000000" w:themeColor="text1"/>
          <w:sz w:val="24"/>
          <w:szCs w:val="24"/>
        </w:rPr>
      </w:pPr>
      <w:bookmarkStart w:id="27" w:name="_Toc204267272"/>
      <w:r w:rsidRPr="003B151A">
        <w:rPr>
          <w:rFonts w:ascii="Times New Roman" w:hAnsi="Times New Roman" w:cs="Times New Roman"/>
          <w:b/>
          <w:color w:val="000000" w:themeColor="text1"/>
          <w:sz w:val="24"/>
          <w:szCs w:val="24"/>
        </w:rPr>
        <w:t>Transition of girls from lower primary to upper primary in Balambala Sub-county, Garissa County, Kenya</w:t>
      </w:r>
      <w:bookmarkEnd w:id="27"/>
    </w:p>
    <w:p w14:paraId="55EF8516" w14:textId="451FD197" w:rsidR="00BB7816" w:rsidRPr="003B151A" w:rsidRDefault="00BB7816"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dependent variable upon which this study was hinged was the transition of girls from lower primary to upper primary in public schools in Balambala Sub-county, Garissa County.</w:t>
      </w:r>
      <w:r w:rsidR="00B672D4">
        <w:rPr>
          <w:rFonts w:ascii="Times New Roman" w:hAnsi="Times New Roman" w:cs="Times New Roman"/>
          <w:color w:val="000000" w:themeColor="text1"/>
          <w:sz w:val="24"/>
          <w:szCs w:val="24"/>
        </w:rPr>
        <w:t xml:space="preserve"> The results are in Table 2.</w:t>
      </w:r>
    </w:p>
    <w:p w14:paraId="3D3F9AC7" w14:textId="6BE51B0D" w:rsidR="00BB7816" w:rsidRPr="003B151A" w:rsidRDefault="00351131" w:rsidP="00206963">
      <w:pPr>
        <w:pStyle w:val="MyTables"/>
        <w:spacing w:after="0"/>
        <w:jc w:val="both"/>
        <w:rPr>
          <w:rFonts w:cs="Times New Roman"/>
          <w:szCs w:val="24"/>
        </w:rPr>
      </w:pPr>
      <w:bookmarkStart w:id="28" w:name="_Toc204267571"/>
      <w:r w:rsidRPr="003B151A">
        <w:rPr>
          <w:rFonts w:cs="Times New Roman"/>
          <w:szCs w:val="24"/>
        </w:rPr>
        <w:t xml:space="preserve">Table </w:t>
      </w:r>
      <w:r w:rsidR="00B672D4">
        <w:rPr>
          <w:rFonts w:cs="Times New Roman"/>
          <w:szCs w:val="24"/>
        </w:rPr>
        <w:t>2</w:t>
      </w:r>
      <w:r w:rsidRPr="003B151A">
        <w:rPr>
          <w:rFonts w:cs="Times New Roman"/>
          <w:szCs w:val="24"/>
        </w:rPr>
        <w:t>: Transition of girls from lower primary to upper primary</w:t>
      </w:r>
      <w:bookmarkEnd w:id="28"/>
    </w:p>
    <w:tbl>
      <w:tblPr>
        <w:tblStyle w:val="TableGrid"/>
        <w:tblW w:w="96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784"/>
        <w:gridCol w:w="797"/>
        <w:gridCol w:w="565"/>
        <w:gridCol w:w="836"/>
        <w:gridCol w:w="565"/>
        <w:gridCol w:w="836"/>
        <w:gridCol w:w="565"/>
        <w:gridCol w:w="836"/>
        <w:gridCol w:w="683"/>
        <w:gridCol w:w="836"/>
      </w:tblGrid>
      <w:tr w:rsidR="003B151A" w:rsidRPr="003B151A" w14:paraId="4BC80926" w14:textId="3E0E5837" w:rsidTr="001C1A88">
        <w:tc>
          <w:tcPr>
            <w:tcW w:w="2335" w:type="dxa"/>
            <w:tcBorders>
              <w:top w:val="single" w:sz="4" w:space="0" w:color="auto"/>
              <w:bottom w:val="single" w:sz="4" w:space="0" w:color="auto"/>
            </w:tcBorders>
            <w:vAlign w:val="center"/>
          </w:tcPr>
          <w:p w14:paraId="5274DD2D" w14:textId="26DF5A41"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lastRenderedPageBreak/>
              <w:t>Statement</w:t>
            </w:r>
          </w:p>
        </w:tc>
        <w:tc>
          <w:tcPr>
            <w:tcW w:w="784" w:type="dxa"/>
            <w:tcBorders>
              <w:top w:val="single" w:sz="4" w:space="0" w:color="auto"/>
              <w:bottom w:val="single" w:sz="4" w:space="0" w:color="auto"/>
            </w:tcBorders>
            <w:vAlign w:val="center"/>
          </w:tcPr>
          <w:p w14:paraId="6855E681" w14:textId="61963CB6"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1 (SD)</w:t>
            </w:r>
          </w:p>
        </w:tc>
        <w:tc>
          <w:tcPr>
            <w:tcW w:w="797" w:type="dxa"/>
            <w:tcBorders>
              <w:top w:val="single" w:sz="4" w:space="0" w:color="auto"/>
              <w:bottom w:val="single" w:sz="4" w:space="0" w:color="auto"/>
            </w:tcBorders>
            <w:vAlign w:val="center"/>
          </w:tcPr>
          <w:p w14:paraId="4278D6ED" w14:textId="5BA40ECC"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565" w:type="dxa"/>
            <w:tcBorders>
              <w:top w:val="single" w:sz="4" w:space="0" w:color="auto"/>
              <w:bottom w:val="single" w:sz="4" w:space="0" w:color="auto"/>
            </w:tcBorders>
            <w:vAlign w:val="center"/>
          </w:tcPr>
          <w:p w14:paraId="30DA29CD" w14:textId="3FD88B8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2 (D)</w:t>
            </w:r>
          </w:p>
        </w:tc>
        <w:tc>
          <w:tcPr>
            <w:tcW w:w="836" w:type="dxa"/>
            <w:tcBorders>
              <w:top w:val="single" w:sz="4" w:space="0" w:color="auto"/>
              <w:bottom w:val="single" w:sz="4" w:space="0" w:color="auto"/>
            </w:tcBorders>
            <w:vAlign w:val="center"/>
          </w:tcPr>
          <w:p w14:paraId="3C825FEF" w14:textId="716E0865"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565" w:type="dxa"/>
            <w:tcBorders>
              <w:top w:val="single" w:sz="4" w:space="0" w:color="auto"/>
              <w:bottom w:val="single" w:sz="4" w:space="0" w:color="auto"/>
            </w:tcBorders>
            <w:vAlign w:val="center"/>
          </w:tcPr>
          <w:p w14:paraId="70A73215" w14:textId="2544EDAC"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3 (N)</w:t>
            </w:r>
          </w:p>
        </w:tc>
        <w:tc>
          <w:tcPr>
            <w:tcW w:w="836" w:type="dxa"/>
            <w:tcBorders>
              <w:top w:val="single" w:sz="4" w:space="0" w:color="auto"/>
              <w:bottom w:val="single" w:sz="4" w:space="0" w:color="auto"/>
            </w:tcBorders>
            <w:vAlign w:val="center"/>
          </w:tcPr>
          <w:p w14:paraId="59393CCC" w14:textId="605EB76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565" w:type="dxa"/>
            <w:tcBorders>
              <w:top w:val="single" w:sz="4" w:space="0" w:color="auto"/>
              <w:bottom w:val="single" w:sz="4" w:space="0" w:color="auto"/>
            </w:tcBorders>
            <w:vAlign w:val="center"/>
          </w:tcPr>
          <w:p w14:paraId="03DE50FA" w14:textId="2CADBA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4 (A)</w:t>
            </w:r>
          </w:p>
        </w:tc>
        <w:tc>
          <w:tcPr>
            <w:tcW w:w="836" w:type="dxa"/>
            <w:tcBorders>
              <w:top w:val="single" w:sz="4" w:space="0" w:color="auto"/>
              <w:bottom w:val="single" w:sz="4" w:space="0" w:color="auto"/>
            </w:tcBorders>
            <w:vAlign w:val="center"/>
          </w:tcPr>
          <w:p w14:paraId="02D54BC2" w14:textId="1FCC94E3"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683" w:type="dxa"/>
            <w:tcBorders>
              <w:top w:val="single" w:sz="4" w:space="0" w:color="auto"/>
              <w:bottom w:val="single" w:sz="4" w:space="0" w:color="auto"/>
            </w:tcBorders>
            <w:vAlign w:val="center"/>
          </w:tcPr>
          <w:p w14:paraId="475AFCA3" w14:textId="06788CF4" w:rsidR="00E87DB9" w:rsidRPr="003B151A" w:rsidRDefault="00E87DB9" w:rsidP="00206963">
            <w:pPr>
              <w:rPr>
                <w:rFonts w:ascii="Times New Roman" w:hAnsi="Times New Roman" w:cs="Times New Roman"/>
                <w:b/>
                <w:bCs/>
                <w:color w:val="000000" w:themeColor="text1"/>
                <w:sz w:val="24"/>
                <w:szCs w:val="24"/>
              </w:rPr>
            </w:pPr>
            <w:r w:rsidRPr="003B151A">
              <w:rPr>
                <w:rFonts w:ascii="Times New Roman" w:eastAsia="Times New Roman" w:hAnsi="Times New Roman" w:cs="Times New Roman"/>
                <w:b/>
                <w:bCs/>
                <w:color w:val="000000" w:themeColor="text1"/>
                <w:sz w:val="24"/>
                <w:szCs w:val="24"/>
              </w:rPr>
              <w:t>5 (SA)</w:t>
            </w:r>
          </w:p>
        </w:tc>
        <w:tc>
          <w:tcPr>
            <w:tcW w:w="836" w:type="dxa"/>
            <w:tcBorders>
              <w:top w:val="single" w:sz="4" w:space="0" w:color="auto"/>
              <w:bottom w:val="single" w:sz="4" w:space="0" w:color="auto"/>
            </w:tcBorders>
            <w:vAlign w:val="center"/>
          </w:tcPr>
          <w:p w14:paraId="089ADE12" w14:textId="59C420DD" w:rsidR="00E87DB9" w:rsidRPr="003B151A" w:rsidRDefault="00E87DB9" w:rsidP="00206963">
            <w:pPr>
              <w:rPr>
                <w:rFonts w:ascii="Times New Roman" w:hAnsi="Times New Roman" w:cs="Times New Roman"/>
                <w:b/>
                <w:bCs/>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r>
      <w:tr w:rsidR="003B151A" w:rsidRPr="003B151A" w14:paraId="642A6515" w14:textId="38461EBF" w:rsidTr="001C1A88">
        <w:tc>
          <w:tcPr>
            <w:tcW w:w="2335" w:type="dxa"/>
            <w:tcBorders>
              <w:top w:val="single" w:sz="4" w:space="0" w:color="auto"/>
            </w:tcBorders>
            <w:vAlign w:val="center"/>
          </w:tcPr>
          <w:p w14:paraId="5413CF12" w14:textId="08ACC5E8"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 Enrollment rates of girls in upper primary have increased steadily.</w:t>
            </w:r>
          </w:p>
        </w:tc>
        <w:tc>
          <w:tcPr>
            <w:tcW w:w="784" w:type="dxa"/>
            <w:tcBorders>
              <w:top w:val="single" w:sz="4" w:space="0" w:color="auto"/>
            </w:tcBorders>
            <w:vAlign w:val="center"/>
          </w:tcPr>
          <w:p w14:paraId="16FBD556" w14:textId="673108F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w:t>
            </w:r>
          </w:p>
        </w:tc>
        <w:tc>
          <w:tcPr>
            <w:tcW w:w="797" w:type="dxa"/>
            <w:tcBorders>
              <w:top w:val="single" w:sz="4" w:space="0" w:color="auto"/>
            </w:tcBorders>
            <w:vAlign w:val="center"/>
          </w:tcPr>
          <w:p w14:paraId="5633F804" w14:textId="5F326BC2"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5.6%</w:t>
            </w:r>
          </w:p>
        </w:tc>
        <w:tc>
          <w:tcPr>
            <w:tcW w:w="565" w:type="dxa"/>
            <w:tcBorders>
              <w:top w:val="single" w:sz="4" w:space="0" w:color="auto"/>
            </w:tcBorders>
            <w:vAlign w:val="center"/>
          </w:tcPr>
          <w:p w14:paraId="22BE9F00" w14:textId="2C5CE4D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tcBorders>
              <w:top w:val="single" w:sz="4" w:space="0" w:color="auto"/>
            </w:tcBorders>
            <w:vAlign w:val="center"/>
          </w:tcPr>
          <w:p w14:paraId="05E68BE9" w14:textId="02C4E80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565" w:type="dxa"/>
            <w:tcBorders>
              <w:top w:val="single" w:sz="4" w:space="0" w:color="auto"/>
            </w:tcBorders>
            <w:vAlign w:val="center"/>
          </w:tcPr>
          <w:p w14:paraId="78921300" w14:textId="570509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tcBorders>
              <w:top w:val="single" w:sz="4" w:space="0" w:color="auto"/>
            </w:tcBorders>
            <w:vAlign w:val="center"/>
          </w:tcPr>
          <w:p w14:paraId="16EFF165" w14:textId="773E5153"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tcBorders>
              <w:top w:val="single" w:sz="4" w:space="0" w:color="auto"/>
            </w:tcBorders>
            <w:vAlign w:val="center"/>
          </w:tcPr>
          <w:p w14:paraId="0E0C760D" w14:textId="2CC2DAA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6</w:t>
            </w:r>
          </w:p>
        </w:tc>
        <w:tc>
          <w:tcPr>
            <w:tcW w:w="836" w:type="dxa"/>
            <w:tcBorders>
              <w:top w:val="single" w:sz="4" w:space="0" w:color="auto"/>
            </w:tcBorders>
            <w:vAlign w:val="center"/>
          </w:tcPr>
          <w:p w14:paraId="0F1999B5" w14:textId="4A4B4276"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33.3%</w:t>
            </w:r>
          </w:p>
        </w:tc>
        <w:tc>
          <w:tcPr>
            <w:tcW w:w="683" w:type="dxa"/>
            <w:tcBorders>
              <w:top w:val="single" w:sz="4" w:space="0" w:color="auto"/>
            </w:tcBorders>
            <w:vAlign w:val="center"/>
          </w:tcPr>
          <w:p w14:paraId="751666CA" w14:textId="44418421"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tcBorders>
              <w:top w:val="single" w:sz="4" w:space="0" w:color="auto"/>
            </w:tcBorders>
            <w:vAlign w:val="center"/>
          </w:tcPr>
          <w:p w14:paraId="777258AD" w14:textId="2076C8F9"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549371C7" w14:textId="78C0EA71" w:rsidTr="001C1A88">
        <w:tc>
          <w:tcPr>
            <w:tcW w:w="2335" w:type="dxa"/>
            <w:vAlign w:val="center"/>
          </w:tcPr>
          <w:p w14:paraId="4974B689" w14:textId="0808A9EA"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 Attendance rates of girls in upper primary are consistently high.</w:t>
            </w:r>
          </w:p>
        </w:tc>
        <w:tc>
          <w:tcPr>
            <w:tcW w:w="784" w:type="dxa"/>
            <w:vAlign w:val="center"/>
          </w:tcPr>
          <w:p w14:paraId="1D8B92CB" w14:textId="4F6B24FD"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797" w:type="dxa"/>
            <w:vAlign w:val="center"/>
          </w:tcPr>
          <w:p w14:paraId="0E8B343D" w14:textId="5C76D37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c>
          <w:tcPr>
            <w:tcW w:w="565" w:type="dxa"/>
            <w:vAlign w:val="center"/>
          </w:tcPr>
          <w:p w14:paraId="0D5FCE5F" w14:textId="559BD9C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6</w:t>
            </w:r>
          </w:p>
        </w:tc>
        <w:tc>
          <w:tcPr>
            <w:tcW w:w="836" w:type="dxa"/>
            <w:vAlign w:val="center"/>
          </w:tcPr>
          <w:p w14:paraId="2F7CCD8E" w14:textId="56FF1ED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33.3%</w:t>
            </w:r>
          </w:p>
        </w:tc>
        <w:tc>
          <w:tcPr>
            <w:tcW w:w="565" w:type="dxa"/>
            <w:vAlign w:val="center"/>
          </w:tcPr>
          <w:p w14:paraId="61E69F85" w14:textId="144F96CC"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vAlign w:val="center"/>
          </w:tcPr>
          <w:p w14:paraId="67829079" w14:textId="4C58BE6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565" w:type="dxa"/>
            <w:vAlign w:val="center"/>
          </w:tcPr>
          <w:p w14:paraId="16ED6606" w14:textId="038DCC17"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vAlign w:val="center"/>
          </w:tcPr>
          <w:p w14:paraId="2C6FB585" w14:textId="71DB51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683" w:type="dxa"/>
            <w:vAlign w:val="center"/>
          </w:tcPr>
          <w:p w14:paraId="1BEEEC29" w14:textId="05C69F8B"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37E6A528" w14:textId="2FE349C6"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43518CD9" w14:textId="265AB537" w:rsidTr="001C1A88">
        <w:tc>
          <w:tcPr>
            <w:tcW w:w="2335" w:type="dxa"/>
            <w:vAlign w:val="center"/>
          </w:tcPr>
          <w:p w14:paraId="3780BD8E" w14:textId="3D920633"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 More girls are completing lower primary and enrolling in upper primary.</w:t>
            </w:r>
          </w:p>
        </w:tc>
        <w:tc>
          <w:tcPr>
            <w:tcW w:w="784" w:type="dxa"/>
            <w:vAlign w:val="center"/>
          </w:tcPr>
          <w:p w14:paraId="60F4B764" w14:textId="2604A121"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w:t>
            </w:r>
          </w:p>
        </w:tc>
        <w:tc>
          <w:tcPr>
            <w:tcW w:w="797" w:type="dxa"/>
            <w:vAlign w:val="center"/>
          </w:tcPr>
          <w:p w14:paraId="272C6A1F" w14:textId="1AA6373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5.6%</w:t>
            </w:r>
          </w:p>
        </w:tc>
        <w:tc>
          <w:tcPr>
            <w:tcW w:w="565" w:type="dxa"/>
            <w:vAlign w:val="center"/>
          </w:tcPr>
          <w:p w14:paraId="6DEFE53A" w14:textId="75A13D13"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w:t>
            </w:r>
          </w:p>
        </w:tc>
        <w:tc>
          <w:tcPr>
            <w:tcW w:w="836" w:type="dxa"/>
            <w:vAlign w:val="center"/>
          </w:tcPr>
          <w:p w14:paraId="2739C43A" w14:textId="45B10B05"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16.7%</w:t>
            </w:r>
          </w:p>
        </w:tc>
        <w:tc>
          <w:tcPr>
            <w:tcW w:w="565" w:type="dxa"/>
            <w:vAlign w:val="center"/>
          </w:tcPr>
          <w:p w14:paraId="6E29BD1C" w14:textId="3400A83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5248C56B" w14:textId="18431BC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vAlign w:val="center"/>
          </w:tcPr>
          <w:p w14:paraId="4CCA8997" w14:textId="618E7A0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7</w:t>
            </w:r>
          </w:p>
        </w:tc>
        <w:tc>
          <w:tcPr>
            <w:tcW w:w="836" w:type="dxa"/>
            <w:vAlign w:val="center"/>
          </w:tcPr>
          <w:p w14:paraId="110D3907" w14:textId="31ECA10F"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38.9%</w:t>
            </w:r>
          </w:p>
        </w:tc>
        <w:tc>
          <w:tcPr>
            <w:tcW w:w="683" w:type="dxa"/>
            <w:vAlign w:val="center"/>
          </w:tcPr>
          <w:p w14:paraId="00E6D5FA" w14:textId="5DEB849B"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32AB86E0" w14:textId="2F4B0514"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0AE098D8" w14:textId="79621BE9" w:rsidTr="001C1A88">
        <w:tc>
          <w:tcPr>
            <w:tcW w:w="2335" w:type="dxa"/>
            <w:vAlign w:val="center"/>
          </w:tcPr>
          <w:p w14:paraId="2A95295D" w14:textId="6C0E90C7"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 Academic performance of girls improves as they move to upper primary.</w:t>
            </w:r>
          </w:p>
        </w:tc>
        <w:tc>
          <w:tcPr>
            <w:tcW w:w="784" w:type="dxa"/>
            <w:vAlign w:val="center"/>
          </w:tcPr>
          <w:p w14:paraId="3760A808" w14:textId="05D50B32"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797" w:type="dxa"/>
            <w:vAlign w:val="center"/>
          </w:tcPr>
          <w:p w14:paraId="121B0D2E" w14:textId="591B3C07"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c>
          <w:tcPr>
            <w:tcW w:w="565" w:type="dxa"/>
            <w:vAlign w:val="center"/>
          </w:tcPr>
          <w:p w14:paraId="32D5621F" w14:textId="04DAC19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3F2212E2" w14:textId="5741B105"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vAlign w:val="center"/>
          </w:tcPr>
          <w:p w14:paraId="193B36DB" w14:textId="0E30EDA1"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vAlign w:val="center"/>
          </w:tcPr>
          <w:p w14:paraId="0FB41F5E" w14:textId="0618E0A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565" w:type="dxa"/>
            <w:vAlign w:val="center"/>
          </w:tcPr>
          <w:p w14:paraId="0C240848" w14:textId="0370269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5D5E6F4C" w14:textId="00861FB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683" w:type="dxa"/>
            <w:vAlign w:val="center"/>
          </w:tcPr>
          <w:p w14:paraId="43D5AB80" w14:textId="347C732C"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7721144E" w14:textId="255B2CD7"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1B9AA3B2" w14:textId="4B14E720" w:rsidTr="001C1A88">
        <w:tc>
          <w:tcPr>
            <w:tcW w:w="2335" w:type="dxa"/>
            <w:vAlign w:val="center"/>
          </w:tcPr>
          <w:p w14:paraId="65544EF6" w14:textId="35D3E885"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 Most girls who start lower primary complete upper primary without dropping out.</w:t>
            </w:r>
          </w:p>
        </w:tc>
        <w:tc>
          <w:tcPr>
            <w:tcW w:w="784" w:type="dxa"/>
            <w:vAlign w:val="center"/>
          </w:tcPr>
          <w:p w14:paraId="6E6631EB" w14:textId="1D8BFF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w:t>
            </w:r>
          </w:p>
        </w:tc>
        <w:tc>
          <w:tcPr>
            <w:tcW w:w="797" w:type="dxa"/>
            <w:vAlign w:val="center"/>
          </w:tcPr>
          <w:p w14:paraId="6195FC8E" w14:textId="1EC98D8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16.7%</w:t>
            </w:r>
          </w:p>
        </w:tc>
        <w:tc>
          <w:tcPr>
            <w:tcW w:w="565" w:type="dxa"/>
            <w:vAlign w:val="center"/>
          </w:tcPr>
          <w:p w14:paraId="5206BAE9" w14:textId="354783F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673D68FD" w14:textId="139F0B67"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vAlign w:val="center"/>
          </w:tcPr>
          <w:p w14:paraId="39F1A4C7" w14:textId="5785326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w:t>
            </w:r>
          </w:p>
        </w:tc>
        <w:tc>
          <w:tcPr>
            <w:tcW w:w="836" w:type="dxa"/>
            <w:vAlign w:val="center"/>
          </w:tcPr>
          <w:p w14:paraId="064B2B3B" w14:textId="2BEA836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16.7%</w:t>
            </w:r>
          </w:p>
        </w:tc>
        <w:tc>
          <w:tcPr>
            <w:tcW w:w="565" w:type="dxa"/>
            <w:vAlign w:val="center"/>
          </w:tcPr>
          <w:p w14:paraId="0CC62E1C" w14:textId="5EC03A9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29E39A13" w14:textId="0F95B9AF"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683" w:type="dxa"/>
            <w:vAlign w:val="center"/>
          </w:tcPr>
          <w:p w14:paraId="7BF39AF3" w14:textId="7E0132D5"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4B8C64CC" w14:textId="0F08016E"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bl>
    <w:p w14:paraId="6010D918" w14:textId="77777777" w:rsidR="006221F6" w:rsidRPr="003B151A" w:rsidRDefault="006221F6"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b/>
          <w:color w:val="000000" w:themeColor="text1"/>
          <w:sz w:val="24"/>
          <w:szCs w:val="24"/>
        </w:rPr>
        <w:t>Source: Field Data (2025)</w:t>
      </w:r>
    </w:p>
    <w:p w14:paraId="12C57C56" w14:textId="022742C5" w:rsidR="00BB7816" w:rsidRPr="003B151A" w:rsidRDefault="00BB7816"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data revealed that perceptions of improvement in the transition of girls vary significantly. For example, regarding whether enrollment rates in upper primary have increased, 44.4% of respondents either agreed or strongly agreed, while 27.8% were neutral and another 27.8% disagreed or strongly disagreed. This reflects a modest level of improvement, with some stakeholders observing positive trends and others remaining skeptical, possibly due to localized barriers in certain schools or villages.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Concerning attendance, there was more notable skepticism. While 33.3% disagreed and 11.1% strongly disagreed that attendance is consistently high, only 33.3% agreed or strongly agreed. This relatively even distribution of responses, including a significant neutral segment (22.2%), suggests that attendance remains a concern in many areas, likely influenced by factors such as domestic responsibilities, cultural expectations, or recurring absenteeism during dry seasons or family migrations.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When evaluating whether more girls are completing lower primary and joining upper primary, there was a relatively positive outlook. Nearly half (50%) of the respondents agreed or strongly agreed with this statement, while only 22.3% disagreed. This suggests that retention beyond the lower primary level is improving, though the 27.8% who remained neutral may indicate that gains are not yet consistent or guaranteed across all zones.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On the matter of academic performance, responses again showed diversity. A combined 38.9% agreed or strongly agreed that girls’ academic performance improves as they transition, but 38.9% also disagreed or strongly disagreed, and 22.2% remained neutral. This variation may be linked to classroom-level factors such as teacher preparedness, overcrowding, or the availability of tailored support for girls.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Finally, when asked whether most girls complete upper primary once they have started lower primary, the responses were again split. While 38.9% affirmed this positively, another 44.5% expressed doubt by disagreeing or strongly disagreeing. A further 16.7% were neutral. This mixed view indicates that while some schools are able to retain girls through upper primary completion, in other contexts, dropout ra</w:t>
      </w:r>
      <w:r w:rsidR="009B3925" w:rsidRPr="003B151A">
        <w:rPr>
          <w:rFonts w:ascii="Times New Roman" w:hAnsi="Times New Roman" w:cs="Times New Roman"/>
          <w:color w:val="000000" w:themeColor="text1"/>
          <w:sz w:val="24"/>
          <w:szCs w:val="24"/>
        </w:rPr>
        <w:t xml:space="preserve">tes may remain troublingly high </w:t>
      </w:r>
      <w:r w:rsidRPr="003B151A">
        <w:rPr>
          <w:rFonts w:ascii="Times New Roman" w:hAnsi="Times New Roman" w:cs="Times New Roman"/>
          <w:color w:val="000000" w:themeColor="text1"/>
          <w:sz w:val="24"/>
          <w:szCs w:val="24"/>
        </w:rPr>
        <w:t>possibly due to early marriage, household labor demands, or weak follow-up mechanisms.</w:t>
      </w:r>
      <w:r w:rsidR="00C02BEF" w:rsidRPr="003B151A">
        <w:rPr>
          <w:rFonts w:ascii="Times New Roman" w:hAnsi="Times New Roman" w:cs="Times New Roman"/>
          <w:color w:val="000000" w:themeColor="text1"/>
          <w:sz w:val="24"/>
          <w:szCs w:val="24"/>
        </w:rPr>
        <w:t xml:space="preserve"> T</w:t>
      </w:r>
      <w:r w:rsidRPr="003B151A">
        <w:rPr>
          <w:rFonts w:ascii="Times New Roman" w:hAnsi="Times New Roman" w:cs="Times New Roman"/>
          <w:color w:val="000000" w:themeColor="text1"/>
          <w:sz w:val="24"/>
          <w:szCs w:val="24"/>
        </w:rPr>
        <w:t xml:space="preserve">he findings </w:t>
      </w:r>
      <w:r w:rsidRPr="003B151A">
        <w:rPr>
          <w:rFonts w:ascii="Times New Roman" w:hAnsi="Times New Roman" w:cs="Times New Roman"/>
          <w:color w:val="000000" w:themeColor="text1"/>
          <w:sz w:val="24"/>
          <w:szCs w:val="24"/>
        </w:rPr>
        <w:lastRenderedPageBreak/>
        <w:t>suggest that transition outcomes for girls are improving in some areas but remain inconsistent across the sub-county. The range of responses shows both progress and persistent challenges, reinforcing the importance of targeted interventions that address the underlying factors impacting girls’ educational progression in Balambala Sub-county.</w:t>
      </w:r>
    </w:p>
    <w:p w14:paraId="761B3E19" w14:textId="2889CDC6" w:rsidR="007F2519" w:rsidRPr="003B151A" w:rsidRDefault="007F2519" w:rsidP="00206963">
      <w:pPr>
        <w:pStyle w:val="Heading2"/>
        <w:spacing w:before="0" w:line="240" w:lineRule="auto"/>
        <w:jc w:val="both"/>
        <w:rPr>
          <w:rFonts w:ascii="Times New Roman" w:hAnsi="Times New Roman" w:cs="Times New Roman"/>
          <w:b/>
          <w:color w:val="000000" w:themeColor="text1"/>
          <w:sz w:val="24"/>
          <w:szCs w:val="24"/>
        </w:rPr>
      </w:pPr>
      <w:bookmarkStart w:id="29" w:name="_Toc185593462"/>
      <w:bookmarkStart w:id="30" w:name="_Toc204267273"/>
      <w:r w:rsidRPr="003B151A">
        <w:rPr>
          <w:rFonts w:ascii="Times New Roman" w:hAnsi="Times New Roman" w:cs="Times New Roman"/>
          <w:b/>
          <w:color w:val="000000" w:themeColor="text1"/>
          <w:sz w:val="24"/>
          <w:szCs w:val="24"/>
        </w:rPr>
        <w:t>Inferential Statistics</w:t>
      </w:r>
      <w:bookmarkEnd w:id="29"/>
      <w:bookmarkEnd w:id="30"/>
      <w:r w:rsidRPr="003B151A">
        <w:rPr>
          <w:rFonts w:ascii="Times New Roman" w:hAnsi="Times New Roman" w:cs="Times New Roman"/>
          <w:b/>
          <w:color w:val="000000" w:themeColor="text1"/>
          <w:sz w:val="24"/>
          <w:szCs w:val="24"/>
        </w:rPr>
        <w:t xml:space="preserve"> </w:t>
      </w:r>
    </w:p>
    <w:p w14:paraId="089F51C9" w14:textId="64F34E3A" w:rsidR="00512D9B" w:rsidRPr="003B151A" w:rsidRDefault="00512D9B"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This section presents the inferential statistical analysis undertaken to test the study's hypotheses and establish the relationship</w:t>
      </w:r>
      <w:r w:rsidR="00F62E98" w:rsidRPr="003B151A">
        <w:rPr>
          <w:rFonts w:ascii="Times New Roman" w:hAnsi="Times New Roman" w:cs="Times New Roman"/>
          <w:color w:val="000000" w:themeColor="text1"/>
          <w:sz w:val="24"/>
          <w:szCs w:val="24"/>
        </w:rPr>
        <w:t xml:space="preserve">s between independent variables </w:t>
      </w:r>
      <w:r w:rsidRPr="003B151A">
        <w:rPr>
          <w:rFonts w:ascii="Times New Roman" w:hAnsi="Times New Roman" w:cs="Times New Roman"/>
          <w:color w:val="000000" w:themeColor="text1"/>
          <w:sz w:val="24"/>
          <w:szCs w:val="24"/>
        </w:rPr>
        <w:t>socio-economic factors, cultural beliefs and practices, and school infrastructure and resourc</w:t>
      </w:r>
      <w:r w:rsidR="00F62E98" w:rsidRPr="003B151A">
        <w:rPr>
          <w:rFonts w:ascii="Times New Roman" w:hAnsi="Times New Roman" w:cs="Times New Roman"/>
          <w:color w:val="000000" w:themeColor="text1"/>
          <w:sz w:val="24"/>
          <w:szCs w:val="24"/>
        </w:rPr>
        <w:t>es</w:t>
      </w:r>
      <w:r w:rsidR="00675EBA"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and the dependent variable, the transition of girls from lower to upper primary education in Balambala Sub-county, Garissa County. Pearson correlation analysis and multiple regression analysis were employed using SPSS version 23.0.</w:t>
      </w:r>
    </w:p>
    <w:p w14:paraId="04D688AF" w14:textId="088E06B5" w:rsidR="007F2519" w:rsidRPr="003B151A" w:rsidRDefault="007F2519" w:rsidP="00206963">
      <w:pPr>
        <w:pStyle w:val="Heading2"/>
        <w:spacing w:before="0" w:line="240" w:lineRule="auto"/>
        <w:jc w:val="both"/>
        <w:rPr>
          <w:rFonts w:ascii="Times New Roman" w:hAnsi="Times New Roman" w:cs="Times New Roman"/>
          <w:b/>
          <w:color w:val="000000" w:themeColor="text1"/>
          <w:sz w:val="24"/>
          <w:szCs w:val="24"/>
        </w:rPr>
      </w:pPr>
      <w:bookmarkStart w:id="31" w:name="_Toc185593463"/>
      <w:bookmarkStart w:id="32" w:name="_Toc204267274"/>
      <w:r w:rsidRPr="003B151A">
        <w:rPr>
          <w:rFonts w:ascii="Times New Roman" w:hAnsi="Times New Roman" w:cs="Times New Roman"/>
          <w:b/>
          <w:color w:val="000000" w:themeColor="text1"/>
          <w:sz w:val="24"/>
          <w:szCs w:val="24"/>
        </w:rPr>
        <w:t>Correlation Analysis</w:t>
      </w:r>
      <w:bookmarkEnd w:id="31"/>
      <w:bookmarkEnd w:id="32"/>
    </w:p>
    <w:p w14:paraId="2D59810B" w14:textId="27286306" w:rsidR="00B672D4" w:rsidRDefault="00815100"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Correlation analysis was used to determine the strength and direction of the relationship between each of the independent variables and the transition of girls from lower to upper primary. </w:t>
      </w:r>
    </w:p>
    <w:p w14:paraId="00F17BE8" w14:textId="1A75981E" w:rsidR="00B672D4" w:rsidRDefault="00B672D4" w:rsidP="002069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tested the hypothesis</w:t>
      </w:r>
    </w:p>
    <w:p w14:paraId="17D3CF23" w14:textId="7A2C1D05" w:rsidR="00B672D4" w:rsidRPr="00B672D4" w:rsidRDefault="00B672D4" w:rsidP="00206963">
      <w:pPr>
        <w:spacing w:after="0" w:line="240" w:lineRule="auto"/>
        <w:ind w:left="426" w:right="332"/>
        <w:jc w:val="both"/>
        <w:rPr>
          <w:rFonts w:ascii="Times New Roman" w:hAnsi="Times New Roman" w:cs="Times New Roman"/>
          <w:i/>
          <w:iCs/>
          <w:color w:val="000000" w:themeColor="text1"/>
          <w:sz w:val="24"/>
          <w:szCs w:val="24"/>
        </w:rPr>
      </w:pPr>
      <w:r w:rsidRPr="00B672D4">
        <w:rPr>
          <w:rFonts w:ascii="Times New Roman" w:eastAsia="Times New Roman" w:hAnsi="Times New Roman" w:cs="Times New Roman"/>
          <w:i/>
          <w:iCs/>
          <w:color w:val="000000" w:themeColor="text1"/>
          <w:sz w:val="24"/>
          <w:szCs w:val="24"/>
        </w:rPr>
        <w:t>H</w:t>
      </w:r>
      <w:r w:rsidRPr="00B672D4">
        <w:rPr>
          <w:rFonts w:ascii="Times New Roman" w:eastAsia="Times New Roman" w:hAnsi="Times New Roman" w:cs="Times New Roman"/>
          <w:i/>
          <w:iCs/>
          <w:color w:val="000000" w:themeColor="text1"/>
          <w:sz w:val="24"/>
          <w:szCs w:val="24"/>
          <w:vertAlign w:val="subscript"/>
        </w:rPr>
        <w:t>0</w:t>
      </w:r>
      <w:r w:rsidRPr="00B672D4">
        <w:rPr>
          <w:rFonts w:ascii="Times New Roman" w:eastAsia="Times New Roman" w:hAnsi="Times New Roman" w:cs="Times New Roman"/>
          <w:i/>
          <w:iCs/>
          <w:color w:val="000000" w:themeColor="text1"/>
          <w:sz w:val="24"/>
          <w:szCs w:val="24"/>
        </w:rPr>
        <w:t xml:space="preserve">: There is no statistically significant relationship between </w:t>
      </w:r>
      <w:r w:rsidRPr="00B672D4">
        <w:rPr>
          <w:rFonts w:ascii="Times New Roman" w:hAnsi="Times New Roman" w:cs="Times New Roman"/>
          <w:i/>
          <w:iCs/>
          <w:color w:val="000000" w:themeColor="text1"/>
          <w:sz w:val="24"/>
          <w:szCs w:val="24"/>
        </w:rPr>
        <w:t>cultural beliefs and practices and transition of girls from lower primary to upper primary in Balambala Sub-county, Garissa County, Kenya</w:t>
      </w:r>
    </w:p>
    <w:p w14:paraId="30D09F53" w14:textId="749741F3" w:rsidR="00675EBA" w:rsidRPr="003B151A" w:rsidRDefault="00815100" w:rsidP="00206963">
      <w:pPr>
        <w:spacing w:after="0" w:line="240" w:lineRule="auto"/>
        <w:jc w:val="both"/>
        <w:rPr>
          <w:rFonts w:ascii="Times New Roman" w:hAnsi="Times New Roman" w:cs="Times New Roman"/>
          <w:b/>
          <w:i/>
          <w:iCs/>
          <w:color w:val="000000" w:themeColor="text1"/>
          <w:sz w:val="24"/>
          <w:szCs w:val="24"/>
        </w:rPr>
      </w:pPr>
      <w:r w:rsidRPr="003B151A">
        <w:rPr>
          <w:rFonts w:ascii="Times New Roman" w:hAnsi="Times New Roman" w:cs="Times New Roman"/>
          <w:color w:val="000000" w:themeColor="text1"/>
          <w:sz w:val="24"/>
          <w:szCs w:val="24"/>
        </w:rPr>
        <w:t xml:space="preserve">Pearson’s Product Moment Correlation Coefficient (r) was calculated, and the results are presented in Table </w:t>
      </w:r>
      <w:r w:rsidR="00B672D4">
        <w:rPr>
          <w:rFonts w:ascii="Times New Roman" w:hAnsi="Times New Roman" w:cs="Times New Roman"/>
          <w:color w:val="000000" w:themeColor="text1"/>
          <w:sz w:val="24"/>
          <w:szCs w:val="24"/>
        </w:rPr>
        <w:t>3</w:t>
      </w:r>
      <w:r w:rsidRPr="003B151A">
        <w:rPr>
          <w:rFonts w:ascii="Times New Roman" w:hAnsi="Times New Roman" w:cs="Times New Roman"/>
          <w:color w:val="000000" w:themeColor="text1"/>
          <w:sz w:val="24"/>
          <w:szCs w:val="24"/>
        </w:rPr>
        <w:t>.</w:t>
      </w:r>
      <w:r w:rsidR="00F62E98" w:rsidRPr="003B151A">
        <w:rPr>
          <w:rFonts w:ascii="Times New Roman" w:hAnsi="Times New Roman" w:cs="Times New Roman"/>
          <w:color w:val="000000" w:themeColor="text1"/>
          <w:sz w:val="24"/>
          <w:szCs w:val="24"/>
        </w:rPr>
        <w:t xml:space="preserve"> </w:t>
      </w:r>
      <w:r w:rsidR="0075407C" w:rsidRPr="003B151A">
        <w:rPr>
          <w:rFonts w:ascii="Times New Roman" w:hAnsi="Times New Roman" w:cs="Times New Roman"/>
          <w:color w:val="000000" w:themeColor="text1"/>
          <w:sz w:val="24"/>
          <w:szCs w:val="24"/>
        </w:rPr>
        <w:t xml:space="preserve"> </w:t>
      </w:r>
      <w:bookmarkStart w:id="33" w:name="_Toc185593520"/>
    </w:p>
    <w:p w14:paraId="19450ED2" w14:textId="034F10E2" w:rsidR="007F2519" w:rsidRPr="003B151A" w:rsidRDefault="00675EBA" w:rsidP="00206963">
      <w:pPr>
        <w:pStyle w:val="MyTables"/>
        <w:spacing w:after="0"/>
        <w:jc w:val="both"/>
        <w:rPr>
          <w:rFonts w:cs="Times New Roman"/>
          <w:b w:val="0"/>
          <w:bCs/>
          <w:szCs w:val="24"/>
        </w:rPr>
      </w:pPr>
      <w:bookmarkStart w:id="34" w:name="_Toc204267572"/>
      <w:r w:rsidRPr="003B151A">
        <w:rPr>
          <w:rFonts w:cs="Times New Roman"/>
          <w:szCs w:val="24"/>
        </w:rPr>
        <w:t xml:space="preserve">Table </w:t>
      </w:r>
      <w:r w:rsidR="00B672D4">
        <w:rPr>
          <w:rFonts w:cs="Times New Roman"/>
          <w:szCs w:val="24"/>
        </w:rPr>
        <w:t>3</w:t>
      </w:r>
      <w:r w:rsidRPr="003B151A">
        <w:rPr>
          <w:rFonts w:cs="Times New Roman"/>
          <w:szCs w:val="24"/>
        </w:rPr>
        <w:t xml:space="preserve">: </w:t>
      </w:r>
      <w:bookmarkStart w:id="35" w:name="_Toc185593521"/>
      <w:bookmarkEnd w:id="33"/>
      <w:r w:rsidR="007F2519" w:rsidRPr="003B151A">
        <w:rPr>
          <w:rFonts w:cs="Times New Roman"/>
          <w:szCs w:val="24"/>
        </w:rPr>
        <w:t>Correlation Results</w:t>
      </w:r>
      <w:bookmarkEnd w:id="34"/>
      <w:bookmarkEnd w:id="35"/>
    </w:p>
    <w:tbl>
      <w:tblPr>
        <w:tblW w:w="9644"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982"/>
        <w:gridCol w:w="1538"/>
        <w:gridCol w:w="2722"/>
        <w:gridCol w:w="3402"/>
      </w:tblGrid>
      <w:tr w:rsidR="0052336D" w:rsidRPr="003B151A" w14:paraId="40C0BAB7" w14:textId="77777777" w:rsidTr="0052336D">
        <w:trPr>
          <w:cantSplit/>
        </w:trPr>
        <w:tc>
          <w:tcPr>
            <w:tcW w:w="3520" w:type="dxa"/>
            <w:gridSpan w:val="2"/>
            <w:tcBorders>
              <w:top w:val="single" w:sz="4" w:space="0" w:color="auto"/>
              <w:bottom w:val="single" w:sz="4" w:space="0" w:color="auto"/>
            </w:tcBorders>
          </w:tcPr>
          <w:p w14:paraId="095644C4"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2722" w:type="dxa"/>
            <w:tcBorders>
              <w:top w:val="single" w:sz="4" w:space="0" w:color="auto"/>
              <w:bottom w:val="single" w:sz="4" w:space="0" w:color="auto"/>
            </w:tcBorders>
            <w:vAlign w:val="center"/>
          </w:tcPr>
          <w:p w14:paraId="79586F63" w14:textId="1C709C09"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Cultural Beliefs and Practices</w:t>
            </w:r>
          </w:p>
        </w:tc>
        <w:tc>
          <w:tcPr>
            <w:tcW w:w="3402" w:type="dxa"/>
            <w:tcBorders>
              <w:top w:val="single" w:sz="4" w:space="0" w:color="auto"/>
              <w:bottom w:val="single" w:sz="4" w:space="0" w:color="auto"/>
            </w:tcBorders>
            <w:vAlign w:val="center"/>
          </w:tcPr>
          <w:p w14:paraId="77D78278" w14:textId="6D951FA0"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Girls’ Transition to Upper Primary</w:t>
            </w:r>
          </w:p>
        </w:tc>
      </w:tr>
      <w:tr w:rsidR="0052336D" w:rsidRPr="003B151A" w14:paraId="3A131477" w14:textId="77777777" w:rsidTr="0052336D">
        <w:trPr>
          <w:cantSplit/>
        </w:trPr>
        <w:tc>
          <w:tcPr>
            <w:tcW w:w="1982" w:type="dxa"/>
            <w:vMerge w:val="restart"/>
            <w:vAlign w:val="center"/>
          </w:tcPr>
          <w:p w14:paraId="7DC27E46" w14:textId="2E247CD9"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and Practices</w:t>
            </w:r>
          </w:p>
        </w:tc>
        <w:tc>
          <w:tcPr>
            <w:tcW w:w="1538" w:type="dxa"/>
            <w:vAlign w:val="center"/>
          </w:tcPr>
          <w:p w14:paraId="29734941"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Pearson Correlation</w:t>
            </w:r>
          </w:p>
        </w:tc>
        <w:tc>
          <w:tcPr>
            <w:tcW w:w="2722" w:type="dxa"/>
            <w:vAlign w:val="center"/>
          </w:tcPr>
          <w:p w14:paraId="68C8069C" w14:textId="73C169B9"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w:t>
            </w:r>
          </w:p>
        </w:tc>
        <w:tc>
          <w:tcPr>
            <w:tcW w:w="3402" w:type="dxa"/>
            <w:vAlign w:val="center"/>
          </w:tcPr>
          <w:p w14:paraId="449C6D09" w14:textId="099351AD"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.654**</w:t>
            </w:r>
          </w:p>
        </w:tc>
      </w:tr>
      <w:tr w:rsidR="0052336D" w:rsidRPr="003B151A" w14:paraId="42D8D063" w14:textId="77777777" w:rsidTr="0052336D">
        <w:trPr>
          <w:cantSplit/>
        </w:trPr>
        <w:tc>
          <w:tcPr>
            <w:tcW w:w="1982" w:type="dxa"/>
            <w:vMerge/>
            <w:vAlign w:val="center"/>
          </w:tcPr>
          <w:p w14:paraId="0904E13E"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1B41A9FE"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Sig. (2-tailed)</w:t>
            </w:r>
          </w:p>
        </w:tc>
        <w:tc>
          <w:tcPr>
            <w:tcW w:w="2722" w:type="dxa"/>
          </w:tcPr>
          <w:p w14:paraId="000F7AB3" w14:textId="77777777" w:rsidR="0052336D" w:rsidRPr="003B151A" w:rsidRDefault="0052336D" w:rsidP="00206963">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3402" w:type="dxa"/>
            <w:vAlign w:val="center"/>
          </w:tcPr>
          <w:p w14:paraId="529C00F0"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.000</w:t>
            </w:r>
          </w:p>
        </w:tc>
      </w:tr>
      <w:tr w:rsidR="0052336D" w:rsidRPr="003B151A" w14:paraId="1C419A14" w14:textId="77777777" w:rsidTr="0052336D">
        <w:trPr>
          <w:cantSplit/>
        </w:trPr>
        <w:tc>
          <w:tcPr>
            <w:tcW w:w="1982" w:type="dxa"/>
            <w:vMerge/>
            <w:vAlign w:val="center"/>
          </w:tcPr>
          <w:p w14:paraId="12BF4ABF"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4FA340A0"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N</w:t>
            </w:r>
          </w:p>
        </w:tc>
        <w:tc>
          <w:tcPr>
            <w:tcW w:w="2722" w:type="dxa"/>
            <w:vAlign w:val="center"/>
          </w:tcPr>
          <w:p w14:paraId="3E12283A"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3402" w:type="dxa"/>
          </w:tcPr>
          <w:p w14:paraId="219B770F" w14:textId="34881408"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w:t>
            </w:r>
          </w:p>
        </w:tc>
      </w:tr>
      <w:tr w:rsidR="0052336D" w:rsidRPr="003B151A" w14:paraId="3276E9ED" w14:textId="77777777" w:rsidTr="0052336D">
        <w:trPr>
          <w:cantSplit/>
        </w:trPr>
        <w:tc>
          <w:tcPr>
            <w:tcW w:w="1982" w:type="dxa"/>
            <w:vMerge w:val="restart"/>
            <w:vAlign w:val="center"/>
          </w:tcPr>
          <w:p w14:paraId="2AE030EE" w14:textId="17C013E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bCs/>
                <w:color w:val="000000" w:themeColor="text1"/>
                <w:sz w:val="24"/>
                <w:szCs w:val="24"/>
              </w:rPr>
              <w:t>Girls’ Transition to Upper Primary</w:t>
            </w:r>
          </w:p>
        </w:tc>
        <w:tc>
          <w:tcPr>
            <w:tcW w:w="1538" w:type="dxa"/>
            <w:vAlign w:val="center"/>
          </w:tcPr>
          <w:p w14:paraId="75C1E430"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Pearson Correlation</w:t>
            </w:r>
          </w:p>
        </w:tc>
        <w:tc>
          <w:tcPr>
            <w:tcW w:w="2722" w:type="dxa"/>
            <w:vAlign w:val="center"/>
          </w:tcPr>
          <w:p w14:paraId="25CA47EA" w14:textId="05C02F1A"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.654**</w:t>
            </w:r>
          </w:p>
        </w:tc>
        <w:tc>
          <w:tcPr>
            <w:tcW w:w="3402" w:type="dxa"/>
            <w:vAlign w:val="center"/>
          </w:tcPr>
          <w:p w14:paraId="1249461F" w14:textId="7406A125"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w:t>
            </w:r>
          </w:p>
        </w:tc>
      </w:tr>
      <w:tr w:rsidR="0052336D" w:rsidRPr="003B151A" w14:paraId="5D7761BB" w14:textId="77777777" w:rsidTr="0052336D">
        <w:trPr>
          <w:cantSplit/>
        </w:trPr>
        <w:tc>
          <w:tcPr>
            <w:tcW w:w="1982" w:type="dxa"/>
            <w:vMerge/>
            <w:vAlign w:val="center"/>
          </w:tcPr>
          <w:p w14:paraId="16F9032A"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69FB2278"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Sig. (2-tailed)</w:t>
            </w:r>
          </w:p>
        </w:tc>
        <w:tc>
          <w:tcPr>
            <w:tcW w:w="2722" w:type="dxa"/>
            <w:vAlign w:val="center"/>
          </w:tcPr>
          <w:p w14:paraId="090ABAE6"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3402" w:type="dxa"/>
          </w:tcPr>
          <w:p w14:paraId="485EB5E9" w14:textId="77777777" w:rsidR="0052336D" w:rsidRPr="003B151A" w:rsidRDefault="0052336D" w:rsidP="00206963">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52336D" w:rsidRPr="003B151A" w14:paraId="21F9129E" w14:textId="77777777" w:rsidTr="0052336D">
        <w:trPr>
          <w:cantSplit/>
        </w:trPr>
        <w:tc>
          <w:tcPr>
            <w:tcW w:w="1982" w:type="dxa"/>
            <w:vMerge/>
            <w:vAlign w:val="center"/>
          </w:tcPr>
          <w:p w14:paraId="47ED38A5"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72A2F97D"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N</w:t>
            </w:r>
          </w:p>
        </w:tc>
        <w:tc>
          <w:tcPr>
            <w:tcW w:w="2722" w:type="dxa"/>
            <w:vAlign w:val="center"/>
          </w:tcPr>
          <w:p w14:paraId="466006F9"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3402" w:type="dxa"/>
            <w:vAlign w:val="center"/>
          </w:tcPr>
          <w:p w14:paraId="0C778345"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r>
    </w:tbl>
    <w:p w14:paraId="1E6D8F0E" w14:textId="1ACA18D2" w:rsidR="00983274" w:rsidRPr="003B151A" w:rsidRDefault="00983274"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bookmarkStart w:id="36" w:name="_Toc185593466"/>
      <w:r w:rsidRPr="003B151A">
        <w:rPr>
          <w:rFonts w:ascii="Times New Roman" w:hAnsi="Times New Roman" w:cs="Times New Roman"/>
          <w:color w:val="000000" w:themeColor="text1"/>
          <w:sz w:val="24"/>
          <w:szCs w:val="24"/>
        </w:rPr>
        <w:t>**. Correlation is significant at the 0.05 level (2-tailed).</w:t>
      </w:r>
    </w:p>
    <w:p w14:paraId="020D7D16" w14:textId="26CD9C09" w:rsidR="00B672D4" w:rsidRDefault="0052336D"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findings indicated statistically significant positive relationships between cultural beliefs and practice</w:t>
      </w:r>
      <w:r>
        <w:rPr>
          <w:rFonts w:ascii="Times New Roman" w:hAnsi="Times New Roman" w:cs="Times New Roman"/>
          <w:color w:val="000000" w:themeColor="text1"/>
          <w:sz w:val="24"/>
          <w:szCs w:val="24"/>
        </w:rPr>
        <w:t xml:space="preserve"> and </w:t>
      </w:r>
      <w:r w:rsidRPr="003B151A">
        <w:rPr>
          <w:rFonts w:ascii="Times New Roman" w:hAnsi="Times New Roman" w:cs="Times New Roman"/>
          <w:color w:val="000000" w:themeColor="text1"/>
          <w:sz w:val="24"/>
          <w:szCs w:val="24"/>
        </w:rPr>
        <w:t xml:space="preserve">transition of girls from lower to upper primary in Balambala Sub-county s (r = .654, p = .000). </w:t>
      </w:r>
      <w:r w:rsidR="002E5433" w:rsidRPr="003B151A">
        <w:rPr>
          <w:rFonts w:ascii="Times New Roman" w:hAnsi="Times New Roman" w:cs="Times New Roman"/>
          <w:color w:val="000000" w:themeColor="text1"/>
          <w:sz w:val="24"/>
          <w:szCs w:val="24"/>
        </w:rPr>
        <w:t>The Pearson correlation coefficient for this relationship was r = .654, with a corresponding p-value of .000. Given that the p-value is well below the 0.05 threshold</w:t>
      </w:r>
      <w:r w:rsidR="00B672D4">
        <w:rPr>
          <w:rFonts w:ascii="Times New Roman" w:hAnsi="Times New Roman" w:cs="Times New Roman"/>
          <w:color w:val="000000" w:themeColor="text1"/>
          <w:sz w:val="24"/>
          <w:szCs w:val="24"/>
        </w:rPr>
        <w:t>. So, the</w:t>
      </w:r>
      <w:r w:rsidR="002E5433" w:rsidRPr="003B151A">
        <w:rPr>
          <w:rFonts w:ascii="Times New Roman" w:hAnsi="Times New Roman" w:cs="Times New Roman"/>
          <w:color w:val="000000" w:themeColor="text1"/>
          <w:sz w:val="24"/>
          <w:szCs w:val="24"/>
        </w:rPr>
        <w:t xml:space="preserve"> null hypothesis was rejected. </w:t>
      </w:r>
    </w:p>
    <w:p w14:paraId="2A9CDE39" w14:textId="0B421ADE" w:rsidR="002E5433" w:rsidRPr="003B151A" w:rsidRDefault="002E5433"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significant positive relationship indicates that communities with more progressive cultural norms and reduced gender biases are more likely to allow and encourage girls to complete their primary education. Conversely, entrenched patriarchal beliefs and early marriage practices hinder girls’ transition. The findings, therefore, suggest that addressing retrogressive cultural expectations is essential for improving educational outcomes for girls in the sub-county.</w:t>
      </w:r>
    </w:p>
    <w:p w14:paraId="5B59A964" w14:textId="5D9D3384" w:rsidR="007F2519" w:rsidRPr="003B151A" w:rsidRDefault="007F2519" w:rsidP="00206963">
      <w:pPr>
        <w:pStyle w:val="Heading2"/>
        <w:spacing w:before="0" w:line="240" w:lineRule="auto"/>
        <w:jc w:val="both"/>
        <w:rPr>
          <w:rFonts w:ascii="Times New Roman" w:hAnsi="Times New Roman" w:cs="Times New Roman"/>
          <w:b/>
          <w:color w:val="000000" w:themeColor="text1"/>
          <w:sz w:val="24"/>
          <w:szCs w:val="24"/>
        </w:rPr>
      </w:pPr>
      <w:bookmarkStart w:id="37" w:name="_Toc204267275"/>
      <w:r w:rsidRPr="003B151A">
        <w:rPr>
          <w:rFonts w:ascii="Times New Roman" w:hAnsi="Times New Roman" w:cs="Times New Roman"/>
          <w:b/>
          <w:color w:val="000000" w:themeColor="text1"/>
          <w:sz w:val="24"/>
          <w:szCs w:val="24"/>
        </w:rPr>
        <w:t>Regression Analysis</w:t>
      </w:r>
      <w:bookmarkEnd w:id="36"/>
      <w:bookmarkEnd w:id="37"/>
      <w:r w:rsidRPr="003B151A">
        <w:rPr>
          <w:rFonts w:ascii="Times New Roman" w:hAnsi="Times New Roman" w:cs="Times New Roman"/>
          <w:b/>
          <w:color w:val="000000" w:themeColor="text1"/>
          <w:sz w:val="24"/>
          <w:szCs w:val="24"/>
        </w:rPr>
        <w:t xml:space="preserve"> </w:t>
      </w:r>
    </w:p>
    <w:p w14:paraId="71948674" w14:textId="762228CE" w:rsidR="004059EB" w:rsidRPr="001C35C0" w:rsidRDefault="00431B34" w:rsidP="00206963">
      <w:pPr>
        <w:pStyle w:val="NormalWeb"/>
        <w:spacing w:before="0" w:beforeAutospacing="0" w:after="0" w:afterAutospacing="0"/>
        <w:jc w:val="both"/>
        <w:rPr>
          <w:color w:val="000000" w:themeColor="text1"/>
        </w:rPr>
      </w:pPr>
      <w:r w:rsidRPr="003B151A">
        <w:rPr>
          <w:color w:val="000000" w:themeColor="text1"/>
        </w:rPr>
        <w:t xml:space="preserve">To further investigate the predictive power of the independent variables on the transition of girls to upper primary, a linear regression analysis was conducted. </w:t>
      </w:r>
      <w:r w:rsidR="00B672D4">
        <w:rPr>
          <w:color w:val="000000" w:themeColor="text1"/>
        </w:rPr>
        <w:t>The results were captured in Table 4</w:t>
      </w:r>
    </w:p>
    <w:p w14:paraId="0CF2CEED" w14:textId="39BBB9C5" w:rsidR="009F73F7" w:rsidRPr="003B151A" w:rsidRDefault="004059EB" w:rsidP="00206963">
      <w:pPr>
        <w:pStyle w:val="MyTables"/>
        <w:spacing w:after="0"/>
        <w:jc w:val="both"/>
        <w:rPr>
          <w:rFonts w:cs="Times New Roman"/>
          <w:szCs w:val="24"/>
        </w:rPr>
      </w:pPr>
      <w:bookmarkStart w:id="38" w:name="_Toc204267573"/>
      <w:r w:rsidRPr="003B151A">
        <w:rPr>
          <w:rFonts w:cs="Times New Roman"/>
          <w:szCs w:val="24"/>
        </w:rPr>
        <w:t xml:space="preserve">Table </w:t>
      </w:r>
      <w:r w:rsidR="00B672D4">
        <w:rPr>
          <w:rFonts w:cs="Times New Roman"/>
          <w:szCs w:val="24"/>
        </w:rPr>
        <w:t>4</w:t>
      </w:r>
      <w:r w:rsidRPr="003B151A">
        <w:rPr>
          <w:rFonts w:cs="Times New Roman"/>
          <w:szCs w:val="24"/>
        </w:rPr>
        <w:t>:</w:t>
      </w:r>
      <w:r w:rsidR="00B672D4">
        <w:rPr>
          <w:rFonts w:cs="Times New Roman"/>
          <w:szCs w:val="24"/>
        </w:rPr>
        <w:t xml:space="preserve"> </w:t>
      </w:r>
      <w:r w:rsidRPr="003B151A">
        <w:rPr>
          <w:rStyle w:val="Strong"/>
          <w:rFonts w:cs="Times New Roman"/>
          <w:b/>
          <w:bCs w:val="0"/>
          <w:szCs w:val="24"/>
        </w:rPr>
        <w:t>Regression Coefficients</w:t>
      </w:r>
      <w:bookmarkEnd w:id="3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857"/>
        <w:gridCol w:w="1478"/>
        <w:gridCol w:w="1590"/>
        <w:gridCol w:w="1464"/>
        <w:gridCol w:w="1470"/>
      </w:tblGrid>
      <w:tr w:rsidR="003B151A" w:rsidRPr="003B151A" w14:paraId="08F461D5" w14:textId="77777777" w:rsidTr="00F2718F">
        <w:tc>
          <w:tcPr>
            <w:tcW w:w="1545" w:type="dxa"/>
            <w:tcBorders>
              <w:top w:val="single" w:sz="4" w:space="0" w:color="auto"/>
              <w:bottom w:val="single" w:sz="4" w:space="0" w:color="auto"/>
            </w:tcBorders>
            <w:vAlign w:val="center"/>
          </w:tcPr>
          <w:p w14:paraId="58E410BC" w14:textId="181955E0"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Model</w:t>
            </w:r>
          </w:p>
        </w:tc>
        <w:tc>
          <w:tcPr>
            <w:tcW w:w="1857" w:type="dxa"/>
            <w:tcBorders>
              <w:top w:val="single" w:sz="4" w:space="0" w:color="auto"/>
              <w:bottom w:val="single" w:sz="4" w:space="0" w:color="auto"/>
            </w:tcBorders>
            <w:vAlign w:val="center"/>
          </w:tcPr>
          <w:p w14:paraId="4062CF65" w14:textId="1F004373"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Unstandardized Coefficients (B)</w:t>
            </w:r>
          </w:p>
        </w:tc>
        <w:tc>
          <w:tcPr>
            <w:tcW w:w="1478" w:type="dxa"/>
            <w:tcBorders>
              <w:top w:val="single" w:sz="4" w:space="0" w:color="auto"/>
              <w:bottom w:val="single" w:sz="4" w:space="0" w:color="auto"/>
            </w:tcBorders>
            <w:vAlign w:val="center"/>
          </w:tcPr>
          <w:p w14:paraId="29BB1A07" w14:textId="68285AC8"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Std. Error</w:t>
            </w:r>
          </w:p>
        </w:tc>
        <w:tc>
          <w:tcPr>
            <w:tcW w:w="1590" w:type="dxa"/>
            <w:tcBorders>
              <w:top w:val="single" w:sz="4" w:space="0" w:color="auto"/>
              <w:bottom w:val="single" w:sz="4" w:space="0" w:color="auto"/>
            </w:tcBorders>
            <w:vAlign w:val="center"/>
          </w:tcPr>
          <w:p w14:paraId="09E24B33" w14:textId="6F2F99D9"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Standardized Coefficients (Beta)</w:t>
            </w:r>
          </w:p>
        </w:tc>
        <w:tc>
          <w:tcPr>
            <w:tcW w:w="1464" w:type="dxa"/>
            <w:tcBorders>
              <w:top w:val="single" w:sz="4" w:space="0" w:color="auto"/>
              <w:bottom w:val="single" w:sz="4" w:space="0" w:color="auto"/>
            </w:tcBorders>
            <w:vAlign w:val="center"/>
          </w:tcPr>
          <w:p w14:paraId="496B9009" w14:textId="102E08F4"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t</w:t>
            </w:r>
          </w:p>
        </w:tc>
        <w:tc>
          <w:tcPr>
            <w:tcW w:w="1470" w:type="dxa"/>
            <w:tcBorders>
              <w:top w:val="single" w:sz="4" w:space="0" w:color="auto"/>
              <w:bottom w:val="single" w:sz="4" w:space="0" w:color="auto"/>
            </w:tcBorders>
            <w:vAlign w:val="center"/>
          </w:tcPr>
          <w:p w14:paraId="3E817F10" w14:textId="511A3A80"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Sig.</w:t>
            </w:r>
          </w:p>
        </w:tc>
      </w:tr>
      <w:tr w:rsidR="003B151A" w:rsidRPr="003B151A" w14:paraId="4AD41A0B" w14:textId="77777777" w:rsidTr="00F2718F">
        <w:tc>
          <w:tcPr>
            <w:tcW w:w="1545" w:type="dxa"/>
            <w:tcBorders>
              <w:top w:val="single" w:sz="4" w:space="0" w:color="auto"/>
            </w:tcBorders>
            <w:vAlign w:val="center"/>
          </w:tcPr>
          <w:p w14:paraId="2259D3C4" w14:textId="54D96C00"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lastRenderedPageBreak/>
              <w:t>(Constant)</w:t>
            </w:r>
          </w:p>
        </w:tc>
        <w:tc>
          <w:tcPr>
            <w:tcW w:w="1857" w:type="dxa"/>
            <w:tcBorders>
              <w:top w:val="single" w:sz="4" w:space="0" w:color="auto"/>
            </w:tcBorders>
            <w:vAlign w:val="center"/>
          </w:tcPr>
          <w:p w14:paraId="6B1DC032" w14:textId="34112640"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0.326</w:t>
            </w:r>
          </w:p>
        </w:tc>
        <w:tc>
          <w:tcPr>
            <w:tcW w:w="1478" w:type="dxa"/>
            <w:tcBorders>
              <w:top w:val="single" w:sz="4" w:space="0" w:color="auto"/>
            </w:tcBorders>
            <w:vAlign w:val="center"/>
          </w:tcPr>
          <w:p w14:paraId="6F632EA1" w14:textId="10F52E75"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0.198</w:t>
            </w:r>
          </w:p>
        </w:tc>
        <w:tc>
          <w:tcPr>
            <w:tcW w:w="1590" w:type="dxa"/>
            <w:tcBorders>
              <w:top w:val="single" w:sz="4" w:space="0" w:color="auto"/>
            </w:tcBorders>
            <w:vAlign w:val="center"/>
          </w:tcPr>
          <w:p w14:paraId="4B00C90E" w14:textId="290403BD"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w:t>
            </w:r>
          </w:p>
        </w:tc>
        <w:tc>
          <w:tcPr>
            <w:tcW w:w="1464" w:type="dxa"/>
            <w:tcBorders>
              <w:top w:val="single" w:sz="4" w:space="0" w:color="auto"/>
            </w:tcBorders>
            <w:vAlign w:val="center"/>
          </w:tcPr>
          <w:p w14:paraId="782DED95" w14:textId="1A103D35"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1.646</w:t>
            </w:r>
          </w:p>
        </w:tc>
        <w:tc>
          <w:tcPr>
            <w:tcW w:w="1470" w:type="dxa"/>
            <w:tcBorders>
              <w:top w:val="single" w:sz="4" w:space="0" w:color="auto"/>
            </w:tcBorders>
            <w:vAlign w:val="center"/>
          </w:tcPr>
          <w:p w14:paraId="1500629F" w14:textId="7C08E208"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0.107</w:t>
            </w:r>
          </w:p>
        </w:tc>
      </w:tr>
      <w:tr w:rsidR="003B151A" w:rsidRPr="003B151A" w14:paraId="5E37116A" w14:textId="77777777" w:rsidTr="00F2718F">
        <w:tc>
          <w:tcPr>
            <w:tcW w:w="1545" w:type="dxa"/>
            <w:vAlign w:val="center"/>
          </w:tcPr>
          <w:p w14:paraId="47DDF732" w14:textId="5347CB0D"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and Practices</w:t>
            </w:r>
          </w:p>
        </w:tc>
        <w:tc>
          <w:tcPr>
            <w:tcW w:w="1857" w:type="dxa"/>
            <w:vAlign w:val="center"/>
          </w:tcPr>
          <w:p w14:paraId="296119D3" w14:textId="04459F32"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0.234</w:t>
            </w:r>
          </w:p>
        </w:tc>
        <w:tc>
          <w:tcPr>
            <w:tcW w:w="1478" w:type="dxa"/>
            <w:vAlign w:val="center"/>
          </w:tcPr>
          <w:p w14:paraId="0D287345" w14:textId="7DF90319"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0.089</w:t>
            </w:r>
          </w:p>
        </w:tc>
        <w:tc>
          <w:tcPr>
            <w:tcW w:w="1590" w:type="dxa"/>
            <w:vAlign w:val="center"/>
          </w:tcPr>
          <w:p w14:paraId="63DAD9B5" w14:textId="54F8D04A"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0.276</w:t>
            </w:r>
          </w:p>
        </w:tc>
        <w:tc>
          <w:tcPr>
            <w:tcW w:w="1464" w:type="dxa"/>
            <w:vAlign w:val="center"/>
          </w:tcPr>
          <w:p w14:paraId="5DDEE512" w14:textId="685B8A9C"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2.629</w:t>
            </w:r>
          </w:p>
        </w:tc>
        <w:tc>
          <w:tcPr>
            <w:tcW w:w="1470" w:type="dxa"/>
            <w:vAlign w:val="center"/>
          </w:tcPr>
          <w:p w14:paraId="4B06C818" w14:textId="1AE179CF"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0.011</w:t>
            </w:r>
          </w:p>
        </w:tc>
      </w:tr>
    </w:tbl>
    <w:p w14:paraId="59F9239A" w14:textId="1D7276CA" w:rsidR="009F73F7" w:rsidRPr="003B151A" w:rsidRDefault="00BC6600" w:rsidP="00206963">
      <w:pPr>
        <w:spacing w:after="0" w:line="240" w:lineRule="auto"/>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a. Dependent Variable: Transition of girls from lower to upper primary</w:t>
      </w:r>
    </w:p>
    <w:p w14:paraId="74FFE5A8" w14:textId="4688AFDF" w:rsidR="00744276" w:rsidRDefault="004B587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The regression analysis revealed that </w:t>
      </w:r>
      <w:r w:rsidR="00F2718F" w:rsidRPr="003B151A">
        <w:rPr>
          <w:rFonts w:ascii="Times New Roman" w:hAnsi="Times New Roman" w:cs="Times New Roman"/>
          <w:color w:val="000000" w:themeColor="text1"/>
          <w:sz w:val="24"/>
          <w:szCs w:val="24"/>
        </w:rPr>
        <w:t xml:space="preserve">cultural beliefs and practices </w:t>
      </w:r>
      <w:r w:rsidRPr="003B151A">
        <w:rPr>
          <w:rFonts w:ascii="Times New Roman" w:hAnsi="Times New Roman" w:cs="Times New Roman"/>
          <w:color w:val="000000" w:themeColor="text1"/>
          <w:sz w:val="24"/>
          <w:szCs w:val="24"/>
        </w:rPr>
        <w:t xml:space="preserve">had a statistically significant and positive effect on </w:t>
      </w:r>
      <w:r w:rsidR="009E5D8D" w:rsidRPr="003B151A">
        <w:rPr>
          <w:rFonts w:ascii="Times New Roman" w:hAnsi="Times New Roman" w:cs="Times New Roman"/>
          <w:color w:val="000000" w:themeColor="text1"/>
          <w:sz w:val="24"/>
          <w:szCs w:val="24"/>
        </w:rPr>
        <w:t xml:space="preserve">transition of girls from lower primary to upper primary in Balambala </w:t>
      </w:r>
      <w:r w:rsidR="006E7980" w:rsidRPr="003B151A">
        <w:rPr>
          <w:rFonts w:ascii="Times New Roman" w:hAnsi="Times New Roman" w:cs="Times New Roman"/>
          <w:color w:val="000000" w:themeColor="text1"/>
          <w:sz w:val="24"/>
          <w:szCs w:val="24"/>
        </w:rPr>
        <w:t>Sub- County</w:t>
      </w:r>
      <w:r w:rsidR="009E5D8D" w:rsidRPr="003B151A">
        <w:rPr>
          <w:rFonts w:ascii="Times New Roman" w:hAnsi="Times New Roman" w:cs="Times New Roman"/>
          <w:color w:val="000000" w:themeColor="text1"/>
          <w:sz w:val="24"/>
          <w:szCs w:val="24"/>
        </w:rPr>
        <w:t>, Garissa County, Kenya</w:t>
      </w:r>
      <w:r w:rsidR="009E5D8D">
        <w:rPr>
          <w:rFonts w:ascii="Times New Roman" w:hAnsi="Times New Roman" w:cs="Times New Roman"/>
          <w:color w:val="000000" w:themeColor="text1"/>
          <w:sz w:val="24"/>
          <w:szCs w:val="24"/>
        </w:rPr>
        <w:t xml:space="preserve"> </w:t>
      </w:r>
      <w:r w:rsidR="00B672D4">
        <w:rPr>
          <w:rFonts w:ascii="Times New Roman" w:hAnsi="Times New Roman" w:cs="Times New Roman"/>
          <w:color w:val="000000" w:themeColor="text1"/>
          <w:sz w:val="24"/>
          <w:szCs w:val="24"/>
        </w:rPr>
        <w:t>(p=0.011)</w:t>
      </w:r>
      <w:r w:rsidRPr="003B151A">
        <w:rPr>
          <w:rFonts w:ascii="Times New Roman" w:hAnsi="Times New Roman" w:cs="Times New Roman"/>
          <w:color w:val="000000" w:themeColor="text1"/>
          <w:sz w:val="24"/>
          <w:szCs w:val="24"/>
        </w:rPr>
        <w:t xml:space="preserve">. Specifically, a one-unit increase in positive cultural beliefs and practices resulted in a </w:t>
      </w:r>
      <w:r w:rsidR="006E7980" w:rsidRPr="003B151A">
        <w:rPr>
          <w:rFonts w:ascii="Times New Roman" w:hAnsi="Times New Roman" w:cs="Times New Roman"/>
          <w:color w:val="000000" w:themeColor="text1"/>
          <w:sz w:val="24"/>
          <w:szCs w:val="24"/>
        </w:rPr>
        <w:t>0.234-unit</w:t>
      </w:r>
      <w:r w:rsidRPr="003B151A">
        <w:rPr>
          <w:rFonts w:ascii="Times New Roman" w:hAnsi="Times New Roman" w:cs="Times New Roman"/>
          <w:color w:val="000000" w:themeColor="text1"/>
          <w:sz w:val="24"/>
          <w:szCs w:val="24"/>
        </w:rPr>
        <w:t xml:space="preserve"> improvement in girls’ transition (</w:t>
      </w:r>
      <w:r w:rsidR="00B672D4">
        <w:rPr>
          <w:rFonts w:ascii="Times New Roman" w:hAnsi="Times New Roman" w:cs="Times New Roman"/>
          <w:color w:val="000000" w:themeColor="text1"/>
          <w:sz w:val="24"/>
          <w:szCs w:val="24"/>
        </w:rPr>
        <w:t>β</w:t>
      </w:r>
      <w:r w:rsidRPr="003B151A">
        <w:rPr>
          <w:rFonts w:ascii="Times New Roman" w:hAnsi="Times New Roman" w:cs="Times New Roman"/>
          <w:color w:val="000000" w:themeColor="text1"/>
          <w:sz w:val="24"/>
          <w:szCs w:val="24"/>
        </w:rPr>
        <w:t xml:space="preserve"> = 0.</w:t>
      </w:r>
      <w:r w:rsidR="00B672D4">
        <w:rPr>
          <w:rFonts w:ascii="Times New Roman" w:hAnsi="Times New Roman" w:cs="Times New Roman"/>
          <w:color w:val="000000" w:themeColor="text1"/>
          <w:sz w:val="24"/>
          <w:szCs w:val="24"/>
        </w:rPr>
        <w:t>234</w:t>
      </w:r>
      <w:r w:rsidRPr="003B151A">
        <w:rPr>
          <w:rFonts w:ascii="Times New Roman" w:hAnsi="Times New Roman" w:cs="Times New Roman"/>
          <w:color w:val="000000" w:themeColor="text1"/>
          <w:sz w:val="24"/>
          <w:szCs w:val="24"/>
        </w:rPr>
        <w:t xml:space="preserve">). </w:t>
      </w:r>
    </w:p>
    <w:p w14:paraId="37AC32B4" w14:textId="72CE3813" w:rsidR="0079100F" w:rsidRPr="003B151A" w:rsidRDefault="00297ECC" w:rsidP="00206963">
      <w:pPr>
        <w:pStyle w:val="Heading1"/>
        <w:ind w:left="0" w:firstLine="0"/>
        <w:jc w:val="center"/>
        <w:rPr>
          <w:color w:val="000000" w:themeColor="text1"/>
        </w:rPr>
      </w:pPr>
      <w:bookmarkStart w:id="39" w:name="_Toc204267277"/>
      <w:r w:rsidRPr="003B151A">
        <w:rPr>
          <w:color w:val="000000" w:themeColor="text1"/>
        </w:rPr>
        <w:t>CONCLUSION AND RECOMMENDATIONS</w:t>
      </w:r>
      <w:bookmarkEnd w:id="39"/>
    </w:p>
    <w:p w14:paraId="2EB9F9A8" w14:textId="6C4A2B08" w:rsidR="00297ECC" w:rsidRPr="003B151A" w:rsidRDefault="00297ECC" w:rsidP="00206963">
      <w:pPr>
        <w:pStyle w:val="Heading2"/>
        <w:spacing w:before="0" w:line="240" w:lineRule="auto"/>
        <w:jc w:val="both"/>
        <w:rPr>
          <w:rFonts w:ascii="Times New Roman" w:hAnsi="Times New Roman" w:cs="Times New Roman"/>
          <w:b/>
          <w:color w:val="000000" w:themeColor="text1"/>
          <w:sz w:val="24"/>
          <w:szCs w:val="24"/>
        </w:rPr>
      </w:pPr>
      <w:bookmarkStart w:id="40" w:name="_Toc204267280"/>
      <w:bookmarkStart w:id="41" w:name="_Toc187848986"/>
      <w:r w:rsidRPr="003B151A">
        <w:rPr>
          <w:rFonts w:ascii="Times New Roman" w:hAnsi="Times New Roman" w:cs="Times New Roman"/>
          <w:b/>
          <w:color w:val="000000" w:themeColor="text1"/>
          <w:sz w:val="24"/>
          <w:szCs w:val="24"/>
        </w:rPr>
        <w:t>Conclusions</w:t>
      </w:r>
      <w:bookmarkEnd w:id="40"/>
      <w:r w:rsidRPr="003B151A">
        <w:rPr>
          <w:rFonts w:ascii="Times New Roman" w:hAnsi="Times New Roman" w:cs="Times New Roman"/>
          <w:b/>
          <w:color w:val="000000" w:themeColor="text1"/>
          <w:sz w:val="24"/>
          <w:szCs w:val="24"/>
        </w:rPr>
        <w:t xml:space="preserve"> </w:t>
      </w:r>
    </w:p>
    <w:p w14:paraId="4F8F2FD9" w14:textId="41B75AED" w:rsidR="00686872" w:rsidRPr="003B151A" w:rsidRDefault="00686872" w:rsidP="00206963">
      <w:pPr>
        <w:pStyle w:val="NormalWeb"/>
        <w:spacing w:before="0" w:beforeAutospacing="0" w:after="0" w:afterAutospacing="0"/>
        <w:jc w:val="both"/>
        <w:rPr>
          <w:color w:val="000000" w:themeColor="text1"/>
        </w:rPr>
      </w:pPr>
      <w:r w:rsidRPr="003B151A">
        <w:rPr>
          <w:color w:val="000000" w:themeColor="text1"/>
        </w:rPr>
        <w:t xml:space="preserve">The study concludes that </w:t>
      </w:r>
      <w:r w:rsidR="009E5D8D" w:rsidRPr="003B151A">
        <w:rPr>
          <w:color w:val="000000" w:themeColor="text1"/>
        </w:rPr>
        <w:t>cultural beliefs and practices had a statistically significant and positive effect on transition of girls from lower primary to upper primary in Balambala Sub-county, Garissa County, Kenya</w:t>
      </w:r>
      <w:r w:rsidR="009E5D8D">
        <w:rPr>
          <w:color w:val="000000" w:themeColor="text1"/>
        </w:rPr>
        <w:t xml:space="preserve"> (p=0.011; </w:t>
      </w:r>
      <w:r w:rsidR="009E5D8D" w:rsidRPr="003B151A">
        <w:rPr>
          <w:color w:val="000000" w:themeColor="text1"/>
        </w:rPr>
        <w:t>(</w:t>
      </w:r>
      <w:r w:rsidR="009E5D8D">
        <w:rPr>
          <w:color w:val="000000" w:themeColor="text1"/>
        </w:rPr>
        <w:t>β</w:t>
      </w:r>
      <w:r w:rsidR="009E5D8D" w:rsidRPr="003B151A">
        <w:rPr>
          <w:color w:val="000000" w:themeColor="text1"/>
        </w:rPr>
        <w:t xml:space="preserve"> = 0.</w:t>
      </w:r>
      <w:r w:rsidR="009E5D8D">
        <w:rPr>
          <w:color w:val="000000" w:themeColor="text1"/>
        </w:rPr>
        <w:t xml:space="preserve">234; </w:t>
      </w:r>
      <w:r w:rsidR="009E5D8D" w:rsidRPr="003B151A">
        <w:rPr>
          <w:color w:val="000000" w:themeColor="text1"/>
        </w:rPr>
        <w:t>r = .654</w:t>
      </w:r>
      <w:r w:rsidR="009E5D8D">
        <w:rPr>
          <w:color w:val="000000" w:themeColor="text1"/>
        </w:rPr>
        <w:t xml:space="preserve">). The </w:t>
      </w:r>
      <w:r w:rsidRPr="003B151A">
        <w:rPr>
          <w:color w:val="000000" w:themeColor="text1"/>
        </w:rPr>
        <w:t xml:space="preserve">cultural beliefs and practices continue to play a dual role either facilitating or impeding girls’ educational transitions. Harmful traditional practices such as early marriage, gender-biased domestic expectations, and the devaluation of girls' education remain prevalent in certain communities and have a demonstrable negative effect on girls’ progression. However, communities that have embraced more progressive attitudes, partly due to interventions by government and civil society, show increased support for girls' schooling. The positive and statistically significant </w:t>
      </w:r>
      <w:r w:rsidR="009E5D8D" w:rsidRPr="003B151A">
        <w:rPr>
          <w:color w:val="000000" w:themeColor="text1"/>
        </w:rPr>
        <w:t>relationship underscores</w:t>
      </w:r>
      <w:r w:rsidRPr="003B151A">
        <w:rPr>
          <w:color w:val="000000" w:themeColor="text1"/>
        </w:rPr>
        <w:t xml:space="preserve"> the need to intensify efforts aimed at changing retrogressive norms. Addressing cultural resistance to girl-child education is not only necessary but urgent if higher transition rates are to be achieved in marginalized areas like Balambala.</w:t>
      </w:r>
    </w:p>
    <w:p w14:paraId="6F374383" w14:textId="77777777" w:rsidR="0077006C" w:rsidRPr="003B151A" w:rsidRDefault="00297ECC" w:rsidP="00206963">
      <w:pPr>
        <w:pStyle w:val="Heading2"/>
        <w:spacing w:before="0" w:line="240" w:lineRule="auto"/>
        <w:jc w:val="both"/>
        <w:rPr>
          <w:rFonts w:ascii="Times New Roman" w:hAnsi="Times New Roman" w:cs="Times New Roman"/>
          <w:b/>
          <w:color w:val="000000" w:themeColor="text1"/>
          <w:sz w:val="24"/>
          <w:szCs w:val="24"/>
        </w:rPr>
      </w:pPr>
      <w:bookmarkStart w:id="42" w:name="_Toc204267281"/>
      <w:r w:rsidRPr="003B151A">
        <w:rPr>
          <w:rFonts w:ascii="Times New Roman" w:hAnsi="Times New Roman" w:cs="Times New Roman"/>
          <w:b/>
          <w:color w:val="000000" w:themeColor="text1"/>
          <w:sz w:val="24"/>
          <w:szCs w:val="24"/>
        </w:rPr>
        <w:t>5.4 Recommendations</w:t>
      </w:r>
      <w:bookmarkEnd w:id="42"/>
      <w:r w:rsidRPr="003B151A">
        <w:rPr>
          <w:rFonts w:ascii="Times New Roman" w:hAnsi="Times New Roman" w:cs="Times New Roman"/>
          <w:b/>
          <w:color w:val="000000" w:themeColor="text1"/>
          <w:sz w:val="24"/>
          <w:szCs w:val="24"/>
        </w:rPr>
        <w:t xml:space="preserve"> </w:t>
      </w:r>
    </w:p>
    <w:p w14:paraId="1B3C1D56" w14:textId="17D2CD02" w:rsidR="00BC4DED" w:rsidRPr="003B151A" w:rsidRDefault="00BC4DED" w:rsidP="00206963">
      <w:pPr>
        <w:pStyle w:val="NormalWeb"/>
        <w:spacing w:before="0" w:beforeAutospacing="0" w:after="0" w:afterAutospacing="0"/>
        <w:jc w:val="both"/>
        <w:rPr>
          <w:color w:val="000000" w:themeColor="text1"/>
        </w:rPr>
      </w:pPr>
      <w:r w:rsidRPr="003B151A">
        <w:rPr>
          <w:color w:val="000000" w:themeColor="text1"/>
        </w:rPr>
        <w:t xml:space="preserve">Based on the study's conclusions, it is evident that improving the transition of girls from lower to upper primary education in Balambala </w:t>
      </w:r>
      <w:r w:rsidR="004118C3" w:rsidRPr="003B151A">
        <w:rPr>
          <w:color w:val="000000" w:themeColor="text1"/>
        </w:rPr>
        <w:t>Sub- County</w:t>
      </w:r>
      <w:r w:rsidRPr="003B151A">
        <w:rPr>
          <w:color w:val="000000" w:themeColor="text1"/>
        </w:rPr>
        <w:t xml:space="preserve"> requires coordinated, targeted, and context-sensitive interventions. These recommend</w:t>
      </w:r>
      <w:r w:rsidR="006371DC">
        <w:rPr>
          <w:color w:val="000000" w:themeColor="text1"/>
        </w:rPr>
        <w:t xml:space="preserve">s that </w:t>
      </w:r>
      <w:r w:rsidR="006371DC" w:rsidRPr="006371DC">
        <w:rPr>
          <w:color w:val="000000" w:themeColor="text1"/>
        </w:rPr>
        <w:t xml:space="preserve">Government </w:t>
      </w:r>
      <w:r w:rsidR="006371DC">
        <w:rPr>
          <w:color w:val="000000" w:themeColor="text1"/>
        </w:rPr>
        <w:t xml:space="preserve">of Kenya </w:t>
      </w:r>
      <w:r w:rsidR="006371DC" w:rsidRPr="006371DC">
        <w:rPr>
          <w:color w:val="000000" w:themeColor="text1"/>
        </w:rPr>
        <w:t xml:space="preserve">and </w:t>
      </w:r>
      <w:r w:rsidR="005C0E2F">
        <w:rPr>
          <w:color w:val="000000" w:themeColor="text1"/>
        </w:rPr>
        <w:t>education stakeholder</w:t>
      </w:r>
      <w:r w:rsidR="006371DC" w:rsidRPr="006371DC">
        <w:rPr>
          <w:color w:val="000000" w:themeColor="text1"/>
        </w:rPr>
        <w:t xml:space="preserve">s should implement context specific interventions, such as adult literacy initiatives to </w:t>
      </w:r>
      <w:r w:rsidR="005C0E2F" w:rsidRPr="006371DC">
        <w:rPr>
          <w:color w:val="000000" w:themeColor="text1"/>
        </w:rPr>
        <w:t>help improve</w:t>
      </w:r>
      <w:r w:rsidR="006371DC" w:rsidRPr="006371DC">
        <w:rPr>
          <w:color w:val="000000" w:themeColor="text1"/>
        </w:rPr>
        <w:t xml:space="preserve"> awareness on the importance of girls’ education</w:t>
      </w:r>
      <w:r w:rsidR="006371DC">
        <w:rPr>
          <w:color w:val="000000" w:themeColor="text1"/>
        </w:rPr>
        <w:t xml:space="preserve">. </w:t>
      </w:r>
      <w:r w:rsidR="009E5D8D">
        <w:rPr>
          <w:color w:val="000000" w:themeColor="text1"/>
        </w:rPr>
        <w:t>T</w:t>
      </w:r>
      <w:r w:rsidRPr="003B151A">
        <w:rPr>
          <w:color w:val="000000" w:themeColor="text1"/>
        </w:rPr>
        <w:t>he study recommends the intensification of community sensitization efforts aimed at transforming harmful norms. Engagements should target traditional leaders, religious figures, and male community members to challenge retrogressive practices like early marriage and gendered domestic roles. Culturally embedded resistance to girls’ education can be dismantled through consistent advocacy, legal enforcement, and inclusive dialogues that emphasize the value of education for both boys and girls. Schools and community-based organizations should incorporate gender awareness programs into both formal education and informal community forums, while also ensuring that laws against child marriage and educational neglect are enforced by local authorities.</w:t>
      </w:r>
      <w:r w:rsidR="005C0E2F">
        <w:rPr>
          <w:color w:val="000000" w:themeColor="text1"/>
        </w:rPr>
        <w:t xml:space="preserve"> </w:t>
      </w:r>
      <w:r w:rsidRPr="003B151A">
        <w:rPr>
          <w:color w:val="000000" w:themeColor="text1"/>
        </w:rPr>
        <w:t xml:space="preserve">Education stakeholders, health workers, community leaders, and child protection agencies must work together to ensure that girls receive the academic, emotional, and material support needed to transition successfully through primary </w:t>
      </w:r>
      <w:r w:rsidR="005C0E2F" w:rsidRPr="003B151A">
        <w:rPr>
          <w:color w:val="000000" w:themeColor="text1"/>
        </w:rPr>
        <w:t>education.</w:t>
      </w:r>
    </w:p>
    <w:p w14:paraId="66A25EB7" w14:textId="4A1440A7" w:rsidR="00FC5BE2" w:rsidRPr="003B151A" w:rsidRDefault="0077006C" w:rsidP="00206963">
      <w:pPr>
        <w:pStyle w:val="Heading2"/>
        <w:spacing w:before="0" w:line="240" w:lineRule="auto"/>
        <w:jc w:val="both"/>
        <w:rPr>
          <w:rFonts w:ascii="Times New Roman" w:hAnsi="Times New Roman" w:cs="Times New Roman"/>
          <w:b/>
          <w:color w:val="000000" w:themeColor="text1"/>
          <w:sz w:val="24"/>
          <w:szCs w:val="24"/>
        </w:rPr>
      </w:pPr>
      <w:bookmarkStart w:id="43" w:name="_Toc204267282"/>
      <w:r w:rsidRPr="003B151A">
        <w:rPr>
          <w:rFonts w:ascii="Times New Roman" w:hAnsi="Times New Roman" w:cs="Times New Roman"/>
          <w:b/>
          <w:color w:val="000000" w:themeColor="text1"/>
          <w:sz w:val="24"/>
          <w:szCs w:val="24"/>
        </w:rPr>
        <w:t>5.5 Recommendations for Further Study</w:t>
      </w:r>
      <w:bookmarkEnd w:id="43"/>
      <w:r w:rsidRPr="003B151A">
        <w:rPr>
          <w:rFonts w:ascii="Times New Roman" w:hAnsi="Times New Roman" w:cs="Times New Roman"/>
          <w:b/>
          <w:color w:val="000000" w:themeColor="text1"/>
          <w:sz w:val="24"/>
          <w:szCs w:val="24"/>
        </w:rPr>
        <w:t xml:space="preserve"> </w:t>
      </w:r>
    </w:p>
    <w:p w14:paraId="75577DF7" w14:textId="0D0F7E13" w:rsidR="00FC5BE2" w:rsidRPr="003B151A" w:rsidRDefault="00FC5BE2" w:rsidP="00206963">
      <w:pPr>
        <w:pStyle w:val="NormalWeb"/>
        <w:spacing w:before="0" w:beforeAutospacing="0" w:after="0" w:afterAutospacing="0"/>
        <w:jc w:val="both"/>
        <w:rPr>
          <w:color w:val="000000" w:themeColor="text1"/>
        </w:rPr>
      </w:pPr>
      <w:r w:rsidRPr="003B151A">
        <w:rPr>
          <w:color w:val="000000" w:themeColor="text1"/>
        </w:rPr>
        <w:t xml:space="preserve">Further research should explore the implementation, reach, and impact of such interventions to determine their effectiveness and identify gaps that may limit their potential to support girls’ education in marginalized settings like Balambala </w:t>
      </w:r>
      <w:r w:rsidR="005C0E2F" w:rsidRPr="003B151A">
        <w:rPr>
          <w:color w:val="000000" w:themeColor="text1"/>
        </w:rPr>
        <w:t>Sub- County</w:t>
      </w:r>
      <w:r w:rsidRPr="003B151A">
        <w:rPr>
          <w:color w:val="000000" w:themeColor="text1"/>
        </w:rPr>
        <w:t>.</w:t>
      </w:r>
    </w:p>
    <w:p w14:paraId="38887420" w14:textId="6E0F4EF9" w:rsidR="00FC5BE2" w:rsidRDefault="009E5D8D" w:rsidP="00206963">
      <w:pPr>
        <w:pStyle w:val="NormalWeb"/>
        <w:spacing w:before="0" w:beforeAutospacing="0" w:after="0" w:afterAutospacing="0"/>
        <w:jc w:val="both"/>
        <w:rPr>
          <w:color w:val="000000" w:themeColor="text1"/>
        </w:rPr>
      </w:pPr>
      <w:r>
        <w:rPr>
          <w:color w:val="000000" w:themeColor="text1"/>
        </w:rPr>
        <w:t>F</w:t>
      </w:r>
      <w:r w:rsidR="00FC5BE2" w:rsidRPr="003B151A">
        <w:rPr>
          <w:color w:val="000000" w:themeColor="text1"/>
        </w:rPr>
        <w:t>uture study could investigate how female teacher presence, mentorship, and gender-sensitive teaching approaches affect girls' confidence, classroom engagement, and progression through school, especially in traditionally conservative communities.</w:t>
      </w:r>
    </w:p>
    <w:p w14:paraId="5C558BAF" w14:textId="25BC1C84" w:rsidR="00DD0640" w:rsidRDefault="00DD0640" w:rsidP="00206963">
      <w:pPr>
        <w:pStyle w:val="NormalWeb"/>
        <w:spacing w:before="0" w:beforeAutospacing="0" w:after="0" w:afterAutospacing="0"/>
        <w:jc w:val="both"/>
        <w:rPr>
          <w:color w:val="000000" w:themeColor="text1"/>
        </w:rPr>
      </w:pPr>
    </w:p>
    <w:p w14:paraId="132D67D9" w14:textId="77777777" w:rsidR="00DD0640" w:rsidRPr="003B749F" w:rsidRDefault="00DD0640" w:rsidP="00DD0640">
      <w:pPr>
        <w:rPr>
          <w:rFonts w:ascii="Calibri" w:eastAsia="Calibri" w:hAnsi="Calibri" w:cs="Times New Roman"/>
          <w:b/>
          <w:kern w:val="2"/>
          <w:highlight w:val="yellow"/>
        </w:rPr>
      </w:pPr>
      <w:bookmarkStart w:id="44" w:name="_Hlk197682619"/>
      <w:bookmarkStart w:id="45" w:name="_Hlk180402183"/>
      <w:bookmarkStart w:id="46" w:name="_Hlk183680988"/>
      <w:r w:rsidRPr="003B749F">
        <w:rPr>
          <w:rFonts w:ascii="Calibri" w:eastAsia="Calibri" w:hAnsi="Calibri" w:cs="Times New Roman"/>
          <w:b/>
          <w:kern w:val="2"/>
          <w:highlight w:val="yellow"/>
        </w:rPr>
        <w:t>Disclaimer (Artificial intelligence)</w:t>
      </w:r>
    </w:p>
    <w:p w14:paraId="1FF0E391" w14:textId="77777777" w:rsidR="00DD0640" w:rsidRPr="009C5487" w:rsidRDefault="00DD0640" w:rsidP="00DD0640">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44"/>
    <w:bookmarkEnd w:id="45"/>
    <w:bookmarkEnd w:id="46"/>
    <w:p w14:paraId="3C9EAA0D" w14:textId="77777777" w:rsidR="00DD0640" w:rsidRPr="003B151A" w:rsidRDefault="00DD0640" w:rsidP="00206963">
      <w:pPr>
        <w:pStyle w:val="NormalWeb"/>
        <w:spacing w:before="0" w:beforeAutospacing="0" w:after="0" w:afterAutospacing="0"/>
        <w:jc w:val="both"/>
        <w:rPr>
          <w:color w:val="000000" w:themeColor="text1"/>
        </w:rPr>
      </w:pPr>
    </w:p>
    <w:p w14:paraId="11C4149B" w14:textId="517ABD3B" w:rsidR="00605BD2" w:rsidRPr="003B151A" w:rsidRDefault="00605BD2" w:rsidP="00206963">
      <w:pPr>
        <w:pStyle w:val="Heading1"/>
        <w:ind w:left="0" w:firstLine="0"/>
        <w:jc w:val="center"/>
        <w:rPr>
          <w:color w:val="000000" w:themeColor="text1"/>
        </w:rPr>
      </w:pPr>
      <w:bookmarkStart w:id="47" w:name="_Toc204267283"/>
      <w:r w:rsidRPr="003B151A">
        <w:rPr>
          <w:color w:val="000000" w:themeColor="text1"/>
        </w:rPr>
        <w:t>REFERENCES</w:t>
      </w:r>
      <w:bookmarkEnd w:id="41"/>
      <w:bookmarkEnd w:id="47"/>
    </w:p>
    <w:p w14:paraId="6A832357" w14:textId="77777777" w:rsidR="00812AE7" w:rsidRPr="003B151A" w:rsidRDefault="00812AE7" w:rsidP="00812AE7">
      <w:pPr>
        <w:pStyle w:val="whitespace-pre-wrap"/>
        <w:spacing w:before="0" w:beforeAutospacing="0" w:after="0" w:afterAutospacing="0"/>
        <w:ind w:left="720" w:hanging="720"/>
        <w:jc w:val="both"/>
        <w:rPr>
          <w:color w:val="000000" w:themeColor="text1"/>
        </w:rPr>
      </w:pPr>
      <w:proofErr w:type="spellStart"/>
      <w:r w:rsidRPr="00BA0673">
        <w:rPr>
          <w:color w:val="000000" w:themeColor="text1"/>
        </w:rPr>
        <w:t>Amenya</w:t>
      </w:r>
      <w:proofErr w:type="spellEnd"/>
      <w:r w:rsidRPr="00BA0673">
        <w:rPr>
          <w:color w:val="000000" w:themeColor="text1"/>
        </w:rPr>
        <w:t xml:space="preserve">, D., </w:t>
      </w:r>
      <w:proofErr w:type="spellStart"/>
      <w:r w:rsidRPr="00BA0673">
        <w:rPr>
          <w:color w:val="000000" w:themeColor="text1"/>
        </w:rPr>
        <w:t>Muhika</w:t>
      </w:r>
      <w:proofErr w:type="spellEnd"/>
      <w:r w:rsidRPr="00BA0673">
        <w:rPr>
          <w:color w:val="000000" w:themeColor="text1"/>
        </w:rPr>
        <w:t xml:space="preserve">, W., Churches, R., &amp; Riggall, A. (2024). </w:t>
      </w:r>
      <w:r w:rsidRPr="00BA0673">
        <w:rPr>
          <w:i/>
          <w:iCs/>
          <w:color w:val="000000" w:themeColor="text1"/>
        </w:rPr>
        <w:t>Transitions from Primary to Secondary School and into Higher Education and Work: Girls' Expectations and Experiences in Kenya</w:t>
      </w:r>
      <w:r w:rsidRPr="00BA0673">
        <w:rPr>
          <w:color w:val="000000" w:themeColor="text1"/>
        </w:rPr>
        <w:t>. </w:t>
      </w:r>
      <w:r>
        <w:rPr>
          <w:color w:val="000000" w:themeColor="text1"/>
        </w:rPr>
        <w:t xml:space="preserve">Nairobi: </w:t>
      </w:r>
      <w:r w:rsidRPr="00BA0673">
        <w:rPr>
          <w:color w:val="000000" w:themeColor="text1"/>
        </w:rPr>
        <w:t>Education Development Trust.</w:t>
      </w:r>
    </w:p>
    <w:p w14:paraId="43EFBC9D" w14:textId="77777777" w:rsidR="00812AE7" w:rsidRPr="003B151A" w:rsidRDefault="00812AE7" w:rsidP="00812AE7">
      <w:pPr>
        <w:pStyle w:val="whitespace-pre-wrap"/>
        <w:spacing w:before="0" w:beforeAutospacing="0" w:after="0" w:afterAutospacing="0"/>
        <w:ind w:left="720" w:hanging="720"/>
        <w:jc w:val="both"/>
        <w:rPr>
          <w:color w:val="000000" w:themeColor="text1"/>
        </w:rPr>
      </w:pPr>
      <w:proofErr w:type="spellStart"/>
      <w:r w:rsidRPr="003B151A">
        <w:rPr>
          <w:color w:val="000000" w:themeColor="text1"/>
        </w:rPr>
        <w:t>Andiema</w:t>
      </w:r>
      <w:proofErr w:type="spellEnd"/>
      <w:r w:rsidRPr="003B151A">
        <w:rPr>
          <w:color w:val="000000" w:themeColor="text1"/>
        </w:rPr>
        <w:t>, N., &amp; Manasi, E. (2022). School and pupils-based factors influencing girls' dropout rate</w:t>
      </w:r>
      <w:r>
        <w:rPr>
          <w:color w:val="000000" w:themeColor="text1"/>
        </w:rPr>
        <w:t xml:space="preserve"> </w:t>
      </w:r>
      <w:r w:rsidRPr="003B151A">
        <w:rPr>
          <w:color w:val="000000" w:themeColor="text1"/>
        </w:rPr>
        <w:t xml:space="preserve">in primary schools in West Pokot, Kenya. </w:t>
      </w:r>
      <w:r w:rsidRPr="003B151A">
        <w:rPr>
          <w:rStyle w:val="Emphasis"/>
          <w:rFonts w:eastAsiaTheme="majorEastAsia"/>
          <w:color w:val="000000" w:themeColor="text1"/>
        </w:rPr>
        <w:t>European Journal of Education Studies, 9</w:t>
      </w:r>
      <w:r w:rsidRPr="003B151A">
        <w:rPr>
          <w:color w:val="000000" w:themeColor="text1"/>
        </w:rPr>
        <w:t>(1),</w:t>
      </w:r>
      <w:r w:rsidRPr="003B151A">
        <w:rPr>
          <w:color w:val="000000" w:themeColor="text1"/>
        </w:rPr>
        <w:tab/>
        <w:t>204-218.</w:t>
      </w:r>
    </w:p>
    <w:p w14:paraId="5F239E1D" w14:textId="2097DFAA"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Arnot, M., &amp; Dillabough, J. A. (1999). Feminist politics and democratic values in education.</w:t>
      </w:r>
      <w:r>
        <w:rPr>
          <w:color w:val="000000" w:themeColor="text1"/>
        </w:rPr>
        <w:t xml:space="preserve"> </w:t>
      </w:r>
      <w:r w:rsidRPr="003B151A">
        <w:rPr>
          <w:rStyle w:val="Emphasis"/>
          <w:rFonts w:eastAsiaTheme="majorEastAsia"/>
          <w:color w:val="000000" w:themeColor="text1"/>
        </w:rPr>
        <w:t>Curriculum Inquiry, 29</w:t>
      </w:r>
      <w:r w:rsidRPr="003B151A">
        <w:rPr>
          <w:color w:val="000000" w:themeColor="text1"/>
        </w:rPr>
        <w:t>(2), 159-189.</w:t>
      </w:r>
    </w:p>
    <w:p w14:paraId="74759885" w14:textId="77777777" w:rsidR="00812AE7" w:rsidRDefault="00812AE7" w:rsidP="00812AE7">
      <w:pPr>
        <w:pStyle w:val="whitespace-pre-wrap"/>
        <w:spacing w:before="0" w:beforeAutospacing="0" w:after="0" w:afterAutospacing="0"/>
        <w:ind w:left="720" w:hanging="720"/>
        <w:jc w:val="both"/>
      </w:pPr>
      <w:r w:rsidRPr="001C1A88">
        <w:t xml:space="preserve">Bangura, P. S., &amp; Mambo, A. W. (2023). </w:t>
      </w:r>
      <w:r w:rsidRPr="00EF1E9B">
        <w:t xml:space="preserve">Barriers to female education and its impact on slow </w:t>
      </w:r>
      <w:proofErr w:type="spellStart"/>
      <w:r w:rsidRPr="00EF1E9B">
        <w:t>socioï</w:t>
      </w:r>
      <w:proofErr w:type="spellEnd"/>
      <w:r w:rsidRPr="00EF1E9B">
        <w:t>¿ ¾Economic development of the family: A case of Africa international university. </w:t>
      </w:r>
      <w:r w:rsidRPr="00EF1E9B">
        <w:rPr>
          <w:i/>
          <w:iCs/>
        </w:rPr>
        <w:t>Research Journal of Education, Teaching and Curriculum Studies</w:t>
      </w:r>
      <w:r w:rsidRPr="00EF1E9B">
        <w:t>, </w:t>
      </w:r>
      <w:r w:rsidRPr="00EF1E9B">
        <w:rPr>
          <w:i/>
          <w:iCs/>
        </w:rPr>
        <w:t>1</w:t>
      </w:r>
      <w:r w:rsidRPr="00EF1E9B">
        <w:t>(1), 23-36.</w:t>
      </w:r>
    </w:p>
    <w:p w14:paraId="5E692C49" w14:textId="77777777" w:rsidR="00812AE7" w:rsidRPr="006D0ED1" w:rsidRDefault="00812AE7" w:rsidP="00812AE7">
      <w:pPr>
        <w:pStyle w:val="whitespace-pre-wrap"/>
        <w:spacing w:before="0" w:beforeAutospacing="0" w:after="0" w:afterAutospacing="0"/>
        <w:ind w:left="720" w:hanging="720"/>
        <w:jc w:val="both"/>
        <w:rPr>
          <w:b/>
          <w:bCs/>
          <w:color w:val="000000" w:themeColor="text1"/>
        </w:rPr>
      </w:pPr>
      <w:r w:rsidRPr="006D0ED1">
        <w:rPr>
          <w:color w:val="000000" w:themeColor="text1"/>
        </w:rPr>
        <w:t>Carvalho, S., &amp; Evans, D. K. (2022). Girls’ education and women’s equality: How to get more out of the world’s most promising investment. </w:t>
      </w:r>
      <w:r w:rsidRPr="006D0ED1">
        <w:rPr>
          <w:i/>
          <w:iCs/>
          <w:color w:val="000000" w:themeColor="text1"/>
        </w:rPr>
        <w:t xml:space="preserve">Center for Global Development. https://www. </w:t>
      </w:r>
      <w:proofErr w:type="spellStart"/>
      <w:r w:rsidRPr="006D0ED1">
        <w:rPr>
          <w:i/>
          <w:iCs/>
          <w:color w:val="000000" w:themeColor="text1"/>
        </w:rPr>
        <w:t>cgdev</w:t>
      </w:r>
      <w:proofErr w:type="spellEnd"/>
      <w:r w:rsidRPr="006D0ED1">
        <w:rPr>
          <w:i/>
          <w:iCs/>
          <w:color w:val="000000" w:themeColor="text1"/>
        </w:rPr>
        <w:t xml:space="preserve">. org/sites/default/files/girls-education-and-womens-equality-how-getmore-out-worlds-most-promising-investment. </w:t>
      </w:r>
      <w:proofErr w:type="spellStart"/>
      <w:r w:rsidRPr="006D0ED1">
        <w:rPr>
          <w:i/>
          <w:iCs/>
          <w:color w:val="000000" w:themeColor="text1"/>
        </w:rPr>
        <w:t>pdfFraumeni</w:t>
      </w:r>
      <w:proofErr w:type="spellEnd"/>
      <w:r w:rsidRPr="006D0ED1">
        <w:rPr>
          <w:i/>
          <w:iCs/>
          <w:color w:val="000000" w:themeColor="text1"/>
        </w:rPr>
        <w:t>, BM (</w:t>
      </w:r>
      <w:proofErr w:type="gramStart"/>
      <w:r w:rsidRPr="006D0ED1">
        <w:rPr>
          <w:i/>
          <w:iCs/>
          <w:color w:val="000000" w:themeColor="text1"/>
        </w:rPr>
        <w:t>ed.)(</w:t>
      </w:r>
      <w:proofErr w:type="gramEnd"/>
      <w:r w:rsidRPr="006D0ED1">
        <w:rPr>
          <w:i/>
          <w:iCs/>
          <w:color w:val="000000" w:themeColor="text1"/>
        </w:rPr>
        <w:t>2021) Measuring human capital. Cambridge, MA: Academic Press</w:t>
      </w:r>
      <w:r w:rsidRPr="006D0ED1">
        <w:rPr>
          <w:b/>
          <w:bCs/>
          <w:color w:val="000000" w:themeColor="text1"/>
        </w:rPr>
        <w:t>.</w:t>
      </w:r>
    </w:p>
    <w:p w14:paraId="03D4E409" w14:textId="77777777" w:rsidR="00812AE7"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Chege, F., &amp; Sifuna, D. (2005). </w:t>
      </w:r>
      <w:r w:rsidRPr="003B151A">
        <w:rPr>
          <w:rStyle w:val="Emphasis"/>
          <w:rFonts w:eastAsiaTheme="majorEastAsia"/>
          <w:color w:val="000000" w:themeColor="text1"/>
        </w:rPr>
        <w:t>Girls' and women's education in Kenya: Gender perspectives and</w:t>
      </w:r>
      <w:r>
        <w:rPr>
          <w:rStyle w:val="Emphasis"/>
          <w:rFonts w:eastAsiaTheme="majorEastAsia"/>
          <w:color w:val="000000" w:themeColor="text1"/>
        </w:rPr>
        <w:t xml:space="preserve"> </w:t>
      </w:r>
      <w:r w:rsidRPr="003B151A">
        <w:rPr>
          <w:rStyle w:val="Emphasis"/>
          <w:rFonts w:eastAsiaTheme="majorEastAsia"/>
          <w:color w:val="000000" w:themeColor="text1"/>
        </w:rPr>
        <w:t>trends</w:t>
      </w:r>
      <w:r w:rsidRPr="003B151A">
        <w:rPr>
          <w:color w:val="000000" w:themeColor="text1"/>
        </w:rPr>
        <w:t>. UNESCO.</w:t>
      </w:r>
    </w:p>
    <w:p w14:paraId="193CD5E2" w14:textId="77777777" w:rsidR="00812AE7" w:rsidRPr="003B151A" w:rsidRDefault="00812AE7" w:rsidP="00812AE7">
      <w:pPr>
        <w:pStyle w:val="whitespace-pre-wrap"/>
        <w:spacing w:before="0" w:beforeAutospacing="0" w:after="0" w:afterAutospacing="0"/>
        <w:ind w:left="720" w:hanging="720"/>
        <w:jc w:val="both"/>
        <w:rPr>
          <w:color w:val="000000" w:themeColor="text1"/>
        </w:rPr>
      </w:pPr>
      <w:proofErr w:type="spellStart"/>
      <w:r w:rsidRPr="003B151A">
        <w:rPr>
          <w:color w:val="000000" w:themeColor="text1"/>
        </w:rPr>
        <w:t>Chepkangor</w:t>
      </w:r>
      <w:proofErr w:type="spellEnd"/>
      <w:r w:rsidRPr="003B151A">
        <w:rPr>
          <w:color w:val="000000" w:themeColor="text1"/>
        </w:rPr>
        <w:t xml:space="preserve">, E. J. (2023). </w:t>
      </w:r>
      <w:r w:rsidRPr="003B151A">
        <w:rPr>
          <w:rStyle w:val="Emphasis"/>
          <w:rFonts w:eastAsiaTheme="majorEastAsia"/>
          <w:color w:val="000000" w:themeColor="text1"/>
        </w:rPr>
        <w:t xml:space="preserve">Factors influencing dropouts in public primary schools in </w:t>
      </w:r>
      <w:proofErr w:type="spellStart"/>
      <w:r w:rsidRPr="003B151A">
        <w:rPr>
          <w:rStyle w:val="Emphasis"/>
          <w:rFonts w:eastAsiaTheme="majorEastAsia"/>
          <w:color w:val="000000" w:themeColor="text1"/>
        </w:rPr>
        <w:t>Mogotio</w:t>
      </w:r>
      <w:proofErr w:type="spellEnd"/>
      <w:r w:rsidRPr="003B151A">
        <w:rPr>
          <w:rStyle w:val="Emphasis"/>
          <w:rFonts w:eastAsiaTheme="majorEastAsia"/>
          <w:color w:val="000000" w:themeColor="text1"/>
        </w:rPr>
        <w:t xml:space="preserve"> Sub</w:t>
      </w:r>
      <w:r>
        <w:rPr>
          <w:rStyle w:val="Emphasis"/>
          <w:rFonts w:eastAsiaTheme="majorEastAsia"/>
          <w:color w:val="000000" w:themeColor="text1"/>
        </w:rPr>
        <w:t xml:space="preserve"> </w:t>
      </w:r>
      <w:r w:rsidRPr="003B151A">
        <w:rPr>
          <w:rStyle w:val="Emphasis"/>
          <w:rFonts w:eastAsiaTheme="majorEastAsia"/>
          <w:color w:val="000000" w:themeColor="text1"/>
        </w:rPr>
        <w:t>County, Baringo County, Kenya</w:t>
      </w:r>
      <w:r w:rsidRPr="003B151A">
        <w:rPr>
          <w:color w:val="000000" w:themeColor="text1"/>
        </w:rPr>
        <w:t xml:space="preserve"> [Master's thesis, Moi University].</w:t>
      </w:r>
    </w:p>
    <w:p w14:paraId="4DE603CF"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Creswell, J. W. (2014). </w:t>
      </w:r>
      <w:r w:rsidRPr="003B151A">
        <w:rPr>
          <w:rStyle w:val="Emphasis"/>
          <w:rFonts w:eastAsiaTheme="majorEastAsia"/>
          <w:color w:val="000000" w:themeColor="text1"/>
        </w:rPr>
        <w:t>Research design: Qualitative, quantitative, and mixed methods approaches</w:t>
      </w:r>
      <w:r>
        <w:rPr>
          <w:color w:val="000000" w:themeColor="text1"/>
        </w:rPr>
        <w:t xml:space="preserve"> </w:t>
      </w:r>
      <w:r w:rsidRPr="003B151A">
        <w:rPr>
          <w:color w:val="000000" w:themeColor="text1"/>
        </w:rPr>
        <w:t>(4</w:t>
      </w:r>
      <w:r w:rsidRPr="003B151A">
        <w:rPr>
          <w:color w:val="000000" w:themeColor="text1"/>
          <w:vertAlign w:val="superscript"/>
        </w:rPr>
        <w:t>th</w:t>
      </w:r>
      <w:r w:rsidRPr="003B151A">
        <w:rPr>
          <w:color w:val="000000" w:themeColor="text1"/>
        </w:rPr>
        <w:t xml:space="preserve"> ed.). Sage.</w:t>
      </w:r>
    </w:p>
    <w:p w14:paraId="0C2D0BB2" w14:textId="77777777" w:rsidR="00812AE7" w:rsidRDefault="00812AE7" w:rsidP="00812AE7">
      <w:pPr>
        <w:pStyle w:val="whitespace-pre-wrap"/>
        <w:spacing w:before="0" w:beforeAutospacing="0" w:after="0" w:afterAutospacing="0"/>
        <w:ind w:left="720" w:hanging="720"/>
        <w:jc w:val="both"/>
        <w:rPr>
          <w:color w:val="000000" w:themeColor="text1"/>
        </w:rPr>
      </w:pPr>
      <w:r w:rsidRPr="00635E24">
        <w:rPr>
          <w:color w:val="000000" w:themeColor="text1"/>
        </w:rPr>
        <w:t>Dagane, A. M., &amp; Rotich, S. (2023). Determinants of Girl Child Access to Primary School Education in Dadaab Sub-County, Kenya. </w:t>
      </w:r>
      <w:r w:rsidRPr="00635E24">
        <w:rPr>
          <w:i/>
          <w:iCs/>
          <w:color w:val="000000" w:themeColor="text1"/>
        </w:rPr>
        <w:t>Asian J. Educ. Soc. Stud</w:t>
      </w:r>
      <w:r w:rsidRPr="00635E24">
        <w:rPr>
          <w:color w:val="000000" w:themeColor="text1"/>
        </w:rPr>
        <w:t>, </w:t>
      </w:r>
      <w:r w:rsidRPr="00635E24">
        <w:rPr>
          <w:i/>
          <w:iCs/>
          <w:color w:val="000000" w:themeColor="text1"/>
        </w:rPr>
        <w:t>49</w:t>
      </w:r>
      <w:r w:rsidRPr="00635E24">
        <w:rPr>
          <w:color w:val="000000" w:themeColor="text1"/>
        </w:rPr>
        <w:t>(2), 26-37.</w:t>
      </w:r>
    </w:p>
    <w:p w14:paraId="372669EE"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Ghazi, S. R., Riasat, S., &amp; Shahzada. (2011). Socio-economic factors as a cause of children dropout</w:t>
      </w:r>
      <w:r>
        <w:rPr>
          <w:color w:val="000000" w:themeColor="text1"/>
        </w:rPr>
        <w:t xml:space="preserve"> </w:t>
      </w:r>
      <w:r w:rsidRPr="003B151A">
        <w:rPr>
          <w:color w:val="000000" w:themeColor="text1"/>
        </w:rPr>
        <w:t xml:space="preserve">at primary level. </w:t>
      </w:r>
      <w:r w:rsidRPr="003B151A">
        <w:rPr>
          <w:rStyle w:val="Emphasis"/>
          <w:rFonts w:eastAsiaTheme="majorEastAsia"/>
          <w:color w:val="000000" w:themeColor="text1"/>
        </w:rPr>
        <w:t>Mediterranean Journal of Social Sciences, 2</w:t>
      </w:r>
      <w:r w:rsidRPr="003B151A">
        <w:rPr>
          <w:color w:val="000000" w:themeColor="text1"/>
        </w:rPr>
        <w:t>(3), 531-531.</w:t>
      </w:r>
    </w:p>
    <w:p w14:paraId="57BAA720"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164F54">
        <w:rPr>
          <w:color w:val="000000" w:themeColor="text1"/>
        </w:rPr>
        <w:t xml:space="preserve">Gruber, M. T., &amp; </w:t>
      </w:r>
      <w:proofErr w:type="spellStart"/>
      <w:r w:rsidRPr="00164F54">
        <w:rPr>
          <w:color w:val="000000" w:themeColor="text1"/>
        </w:rPr>
        <w:t>Kletzenbauer</w:t>
      </w:r>
      <w:proofErr w:type="spellEnd"/>
      <w:r w:rsidRPr="00164F54">
        <w:rPr>
          <w:color w:val="000000" w:themeColor="text1"/>
        </w:rPr>
        <w:t>, P. (2025). Exploring the transition from primary to secondary school: Insights into the perspectives of young foreign language learners. </w:t>
      </w:r>
      <w:r w:rsidRPr="00164F54">
        <w:rPr>
          <w:i/>
          <w:iCs/>
          <w:color w:val="000000" w:themeColor="text1"/>
        </w:rPr>
        <w:t>Focus on ELT Journal</w:t>
      </w:r>
      <w:r w:rsidRPr="00164F54">
        <w:rPr>
          <w:color w:val="000000" w:themeColor="text1"/>
        </w:rPr>
        <w:t>, </w:t>
      </w:r>
      <w:r w:rsidRPr="00164F54">
        <w:rPr>
          <w:i/>
          <w:iCs/>
          <w:color w:val="000000" w:themeColor="text1"/>
        </w:rPr>
        <w:t>7</w:t>
      </w:r>
      <w:r w:rsidRPr="00164F54">
        <w:rPr>
          <w:color w:val="000000" w:themeColor="text1"/>
        </w:rPr>
        <w:t>(1), 1-18.</w:t>
      </w:r>
      <w:r w:rsidRPr="00857279">
        <w:t xml:space="preserve"> </w:t>
      </w:r>
      <w:hyperlink r:id="rId8" w:history="1">
        <w:r w:rsidRPr="00E467D6">
          <w:rPr>
            <w:rStyle w:val="Hyperlink"/>
          </w:rPr>
          <w:t>https://focusonelt.com/index.php/foe/article/view/244</w:t>
        </w:r>
      </w:hyperlink>
      <w:r>
        <w:rPr>
          <w:color w:val="000000" w:themeColor="text1"/>
        </w:rPr>
        <w:t xml:space="preserve">. </w:t>
      </w:r>
    </w:p>
    <w:p w14:paraId="2EAA6465" w14:textId="77777777" w:rsidR="00812AE7" w:rsidRPr="003B151A" w:rsidRDefault="00812AE7" w:rsidP="00812AE7">
      <w:pPr>
        <w:pStyle w:val="whitespace-pre-wrap"/>
        <w:spacing w:before="0" w:beforeAutospacing="0" w:after="0" w:afterAutospacing="0"/>
        <w:ind w:left="720" w:hanging="720"/>
        <w:jc w:val="both"/>
        <w:rPr>
          <w:b/>
          <w:bCs/>
          <w:color w:val="000000" w:themeColor="text1"/>
        </w:rPr>
      </w:pPr>
      <w:proofErr w:type="spellStart"/>
      <w:r w:rsidRPr="004B51C7">
        <w:rPr>
          <w:color w:val="000000" w:themeColor="text1"/>
        </w:rPr>
        <w:t>Kefallinou</w:t>
      </w:r>
      <w:proofErr w:type="spellEnd"/>
      <w:r w:rsidRPr="004B51C7">
        <w:rPr>
          <w:color w:val="000000" w:themeColor="text1"/>
        </w:rPr>
        <w:t>, A., Symeonidou, S., &amp; Meijer, C. J. (2020). Understanding the value of inclusive education and its implementation: A review of the literature. </w:t>
      </w:r>
      <w:r w:rsidRPr="004B51C7">
        <w:rPr>
          <w:i/>
          <w:iCs/>
          <w:color w:val="000000" w:themeColor="text1"/>
        </w:rPr>
        <w:t>Prospects</w:t>
      </w:r>
      <w:r w:rsidRPr="004B51C7">
        <w:rPr>
          <w:color w:val="000000" w:themeColor="text1"/>
        </w:rPr>
        <w:t>, </w:t>
      </w:r>
      <w:r w:rsidRPr="004B51C7">
        <w:rPr>
          <w:i/>
          <w:iCs/>
          <w:color w:val="000000" w:themeColor="text1"/>
        </w:rPr>
        <w:t>49</w:t>
      </w:r>
      <w:r w:rsidRPr="004B51C7">
        <w:rPr>
          <w:color w:val="000000" w:themeColor="text1"/>
        </w:rPr>
        <w:t>(3), 135-152.</w:t>
      </w:r>
    </w:p>
    <w:p w14:paraId="59DA5480"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Krop, A. L. (2017). </w:t>
      </w:r>
      <w:r w:rsidRPr="003B151A">
        <w:rPr>
          <w:rStyle w:val="Emphasis"/>
          <w:rFonts w:eastAsiaTheme="majorEastAsia"/>
          <w:color w:val="000000" w:themeColor="text1"/>
        </w:rPr>
        <w:t>Influence of institutional factors on girls' completion rates in primary</w:t>
      </w:r>
      <w:r>
        <w:rPr>
          <w:rStyle w:val="Emphasis"/>
          <w:rFonts w:eastAsiaTheme="majorEastAsia"/>
          <w:color w:val="000000" w:themeColor="text1"/>
        </w:rPr>
        <w:t xml:space="preserve"> </w:t>
      </w:r>
      <w:r w:rsidRPr="003B151A">
        <w:rPr>
          <w:rStyle w:val="Emphasis"/>
          <w:rFonts w:eastAsiaTheme="majorEastAsia"/>
          <w:color w:val="000000" w:themeColor="text1"/>
        </w:rPr>
        <w:t>education in Central Pokot Sub County, Kenya</w:t>
      </w:r>
      <w:r w:rsidRPr="003B151A">
        <w:rPr>
          <w:color w:val="000000" w:themeColor="text1"/>
        </w:rPr>
        <w:t xml:space="preserve"> (</w:t>
      </w:r>
      <w:proofErr w:type="spellStart"/>
      <w:proofErr w:type="gramStart"/>
      <w:r w:rsidRPr="003B151A">
        <w:rPr>
          <w:color w:val="000000" w:themeColor="text1"/>
        </w:rPr>
        <w:t>M.Ed</w:t>
      </w:r>
      <w:proofErr w:type="spellEnd"/>
      <w:proofErr w:type="gramEnd"/>
      <w:r w:rsidRPr="003B151A">
        <w:rPr>
          <w:color w:val="000000" w:themeColor="text1"/>
        </w:rPr>
        <w:t xml:space="preserve"> Project, University of Nairobi).</w:t>
      </w:r>
    </w:p>
    <w:p w14:paraId="27E89C3A"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Pr>
          <w:color w:val="000000" w:themeColor="text1"/>
        </w:rPr>
        <w:t xml:space="preserve">Kyalo, </w:t>
      </w:r>
      <w:proofErr w:type="gramStart"/>
      <w:r>
        <w:rPr>
          <w:color w:val="000000" w:themeColor="text1"/>
        </w:rPr>
        <w:t>E.</w:t>
      </w:r>
      <w:r w:rsidRPr="003B151A">
        <w:rPr>
          <w:color w:val="000000" w:themeColor="text1"/>
        </w:rPr>
        <w:t>.</w:t>
      </w:r>
      <w:proofErr w:type="gramEnd"/>
      <w:r w:rsidRPr="003B151A">
        <w:rPr>
          <w:color w:val="000000" w:themeColor="text1"/>
        </w:rPr>
        <w:t xml:space="preserve"> (2024, June 23). Concerns raised over high number of girls out of school</w:t>
      </w:r>
      <w:r>
        <w:rPr>
          <w:color w:val="000000" w:themeColor="text1"/>
        </w:rPr>
        <w:t xml:space="preserve"> </w:t>
      </w:r>
      <w:r w:rsidRPr="003B151A">
        <w:rPr>
          <w:color w:val="000000" w:themeColor="text1"/>
        </w:rPr>
        <w:t>in Garissa.</w:t>
      </w:r>
      <w:r>
        <w:rPr>
          <w:color w:val="000000" w:themeColor="text1"/>
        </w:rPr>
        <w:t xml:space="preserve"> </w:t>
      </w:r>
      <w:r w:rsidRPr="00635E24">
        <w:rPr>
          <w:i/>
          <w:iCs/>
          <w:color w:val="000000" w:themeColor="text1"/>
        </w:rPr>
        <w:t>Kenya News Agency</w:t>
      </w:r>
      <w:r>
        <w:rPr>
          <w:color w:val="000000" w:themeColor="text1"/>
        </w:rPr>
        <w:t xml:space="preserve">. </w:t>
      </w:r>
      <w:hyperlink r:id="rId9" w:history="1">
        <w:r w:rsidRPr="00E467D6">
          <w:rPr>
            <w:rStyle w:val="Hyperlink"/>
          </w:rPr>
          <w:t>https://www.kenyanews.go.ke/concerns-raised-over-high-number-of-girls-out-of-school-in-garissa/</w:t>
        </w:r>
      </w:hyperlink>
      <w:r>
        <w:rPr>
          <w:color w:val="000000" w:themeColor="text1"/>
        </w:rPr>
        <w:t xml:space="preserve">. </w:t>
      </w:r>
    </w:p>
    <w:p w14:paraId="21BE1BDD" w14:textId="77777777" w:rsidR="00812AE7" w:rsidRDefault="00812AE7" w:rsidP="00812AE7">
      <w:pPr>
        <w:pStyle w:val="whitespace-pre-wrap"/>
        <w:spacing w:before="0" w:beforeAutospacing="0" w:after="0" w:afterAutospacing="0"/>
        <w:ind w:left="720" w:hanging="720"/>
        <w:jc w:val="both"/>
        <w:rPr>
          <w:color w:val="000000" w:themeColor="text1"/>
        </w:rPr>
      </w:pPr>
      <w:r w:rsidRPr="00412607">
        <w:rPr>
          <w:color w:val="000000" w:themeColor="text1"/>
        </w:rPr>
        <w:t xml:space="preserve">López-Lalinde, L., Kozak, M., </w:t>
      </w:r>
      <w:proofErr w:type="spellStart"/>
      <w:r w:rsidRPr="00412607">
        <w:rPr>
          <w:color w:val="000000" w:themeColor="text1"/>
        </w:rPr>
        <w:t>Muluve</w:t>
      </w:r>
      <w:proofErr w:type="spellEnd"/>
      <w:r w:rsidRPr="00412607">
        <w:rPr>
          <w:color w:val="000000" w:themeColor="text1"/>
        </w:rPr>
        <w:t xml:space="preserve">, E. I., </w:t>
      </w:r>
      <w:proofErr w:type="spellStart"/>
      <w:r w:rsidRPr="00412607">
        <w:rPr>
          <w:color w:val="000000" w:themeColor="text1"/>
        </w:rPr>
        <w:t>Nanjekho</w:t>
      </w:r>
      <w:proofErr w:type="spellEnd"/>
      <w:r w:rsidRPr="00412607">
        <w:rPr>
          <w:color w:val="000000" w:themeColor="text1"/>
        </w:rPr>
        <w:t xml:space="preserve"> </w:t>
      </w:r>
      <w:proofErr w:type="spellStart"/>
      <w:r w:rsidRPr="00412607">
        <w:rPr>
          <w:color w:val="000000" w:themeColor="text1"/>
        </w:rPr>
        <w:t>Wafubwa</w:t>
      </w:r>
      <w:proofErr w:type="spellEnd"/>
      <w:r w:rsidRPr="00412607">
        <w:rPr>
          <w:color w:val="000000" w:themeColor="text1"/>
        </w:rPr>
        <w:t>, R., &amp; Soler-Hampejsek, E. (2024). The state of gender and education needs in Kenya: The missing step toward gender equity.</w:t>
      </w:r>
      <w:r>
        <w:rPr>
          <w:color w:val="000000" w:themeColor="text1"/>
        </w:rPr>
        <w:t xml:space="preserve"> </w:t>
      </w:r>
      <w:hyperlink r:id="rId10" w:history="1">
        <w:r w:rsidRPr="00E467D6">
          <w:rPr>
            <w:rStyle w:val="Hyperlink"/>
          </w:rPr>
          <w:t>https://knowledgecommons.popcouncil.org/cgi/viewcontent.cgi?article=1034&amp;context=focus_gender-equality</w:t>
        </w:r>
      </w:hyperlink>
      <w:r>
        <w:rPr>
          <w:color w:val="000000" w:themeColor="text1"/>
        </w:rPr>
        <w:t xml:space="preserve">. </w:t>
      </w:r>
    </w:p>
    <w:p w14:paraId="153FA902"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lastRenderedPageBreak/>
        <w:t>Mackatiani, C. (2022). Transition in education: Perspectives on girls' drop-out rates in secondary</w:t>
      </w:r>
      <w:r>
        <w:rPr>
          <w:color w:val="000000" w:themeColor="text1"/>
        </w:rPr>
        <w:t xml:space="preserve"> </w:t>
      </w:r>
      <w:r w:rsidRPr="003B151A">
        <w:rPr>
          <w:color w:val="000000" w:themeColor="text1"/>
        </w:rPr>
        <w:t xml:space="preserve">schools in Kenya. </w:t>
      </w:r>
      <w:r w:rsidRPr="003B151A">
        <w:rPr>
          <w:rStyle w:val="Emphasis"/>
          <w:rFonts w:eastAsiaTheme="majorEastAsia"/>
          <w:color w:val="000000" w:themeColor="text1"/>
        </w:rPr>
        <w:t>London Journal of Research in Humanities and Social Sciences, 22</w:t>
      </w:r>
      <w:r w:rsidRPr="003B151A">
        <w:rPr>
          <w:color w:val="000000" w:themeColor="text1"/>
        </w:rPr>
        <w:t>(1),</w:t>
      </w:r>
      <w:r w:rsidRPr="003B151A">
        <w:rPr>
          <w:color w:val="000000" w:themeColor="text1"/>
        </w:rPr>
        <w:tab/>
        <w:t>41–52.</w:t>
      </w:r>
    </w:p>
    <w:p w14:paraId="46435C49" w14:textId="77777777" w:rsidR="00812AE7" w:rsidRDefault="00812AE7" w:rsidP="00812AE7">
      <w:pPr>
        <w:pStyle w:val="whitespace-pre-wrap"/>
        <w:spacing w:before="0" w:beforeAutospacing="0" w:after="0" w:afterAutospacing="0"/>
        <w:ind w:left="720" w:hanging="720"/>
        <w:jc w:val="both"/>
        <w:rPr>
          <w:lang/>
        </w:rPr>
      </w:pPr>
      <w:r w:rsidRPr="00E41E04">
        <w:rPr>
          <w:lang/>
        </w:rPr>
        <w:t>Muasya, J. (2025). Gender Digital Divide and Education: A Reflection from the University of Nairobi, Kenya. </w:t>
      </w:r>
      <w:r w:rsidRPr="00E41E04">
        <w:rPr>
          <w:i/>
          <w:iCs/>
          <w:lang/>
        </w:rPr>
        <w:t>East African Journal of Information Technology</w:t>
      </w:r>
      <w:r w:rsidRPr="00E41E04">
        <w:rPr>
          <w:lang/>
        </w:rPr>
        <w:t>, </w:t>
      </w:r>
      <w:r w:rsidRPr="00E41E04">
        <w:rPr>
          <w:i/>
          <w:iCs/>
          <w:lang/>
        </w:rPr>
        <w:t>8</w:t>
      </w:r>
      <w:r w:rsidRPr="00E41E04">
        <w:rPr>
          <w:lang/>
        </w:rPr>
        <w:t xml:space="preserve">(1), 1-12. </w:t>
      </w:r>
      <w:hyperlink r:id="rId11" w:history="1">
        <w:r w:rsidRPr="00E467D6">
          <w:rPr>
            <w:rStyle w:val="Hyperlink"/>
            <w:lang/>
          </w:rPr>
          <w:t>https://journals.eanso.org/index.php/eajit/article/view/2640</w:t>
        </w:r>
      </w:hyperlink>
    </w:p>
    <w:p w14:paraId="21383CF4"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155E24">
        <w:rPr>
          <w:color w:val="000000" w:themeColor="text1"/>
          <w:lang w:val="pl-PL"/>
        </w:rPr>
        <w:t xml:space="preserve">Mwangi, P. M., Kiumi, J. K., &amp; Ngunjiri, M. (2018). </w:t>
      </w:r>
      <w:r w:rsidRPr="003B151A">
        <w:rPr>
          <w:color w:val="000000" w:themeColor="text1"/>
        </w:rPr>
        <w:t>Influence of cultural factors on pupil's</w:t>
      </w:r>
      <w:r>
        <w:rPr>
          <w:color w:val="000000" w:themeColor="text1"/>
        </w:rPr>
        <w:t xml:space="preserve"> </w:t>
      </w:r>
      <w:r w:rsidRPr="003B151A">
        <w:rPr>
          <w:color w:val="000000" w:themeColor="text1"/>
        </w:rPr>
        <w:t>transition from primary to secondary schools in Laikipia West Sub-County, Kenya.</w:t>
      </w:r>
      <w:r>
        <w:rPr>
          <w:color w:val="000000" w:themeColor="text1"/>
        </w:rPr>
        <w:t xml:space="preserve"> </w:t>
      </w:r>
      <w:r w:rsidRPr="003B151A">
        <w:rPr>
          <w:rStyle w:val="Emphasis"/>
          <w:rFonts w:eastAsiaTheme="majorEastAsia"/>
          <w:color w:val="000000" w:themeColor="text1"/>
        </w:rPr>
        <w:t>International Journal of Scientific Research and Management (IJSRM), 6</w:t>
      </w:r>
      <w:r w:rsidRPr="003B151A">
        <w:rPr>
          <w:color w:val="000000" w:themeColor="text1"/>
        </w:rPr>
        <w:t>(10), EL-2018,</w:t>
      </w:r>
      <w:r w:rsidRPr="003B151A">
        <w:rPr>
          <w:color w:val="000000" w:themeColor="text1"/>
        </w:rPr>
        <w:tab/>
        <w:t>701-710.</w:t>
      </w:r>
    </w:p>
    <w:p w14:paraId="05872DB8" w14:textId="77777777" w:rsidR="00812AE7" w:rsidRDefault="00812AE7" w:rsidP="00812AE7">
      <w:pPr>
        <w:pStyle w:val="whitespace-pre-wrap"/>
        <w:spacing w:before="0" w:beforeAutospacing="0" w:after="0" w:afterAutospacing="0"/>
        <w:ind w:left="720" w:hanging="720"/>
        <w:jc w:val="both"/>
        <w:rPr>
          <w:color w:val="000000" w:themeColor="text1"/>
        </w:rPr>
      </w:pPr>
      <w:r w:rsidRPr="00603BB9">
        <w:rPr>
          <w:color w:val="000000" w:themeColor="text1"/>
        </w:rPr>
        <w:t xml:space="preserve">Nungo, S., van Eijk, A. M., Mason, L., </w:t>
      </w:r>
      <w:proofErr w:type="spellStart"/>
      <w:r w:rsidRPr="00603BB9">
        <w:rPr>
          <w:color w:val="000000" w:themeColor="text1"/>
        </w:rPr>
        <w:t>Nyothach</w:t>
      </w:r>
      <w:proofErr w:type="spellEnd"/>
      <w:r w:rsidRPr="00603BB9">
        <w:rPr>
          <w:color w:val="000000" w:themeColor="text1"/>
        </w:rPr>
        <w:t xml:space="preserve">, E., </w:t>
      </w:r>
      <w:proofErr w:type="spellStart"/>
      <w:r w:rsidRPr="00603BB9">
        <w:rPr>
          <w:color w:val="000000" w:themeColor="text1"/>
        </w:rPr>
        <w:t>Asuke</w:t>
      </w:r>
      <w:proofErr w:type="spellEnd"/>
      <w:r w:rsidRPr="00603BB9">
        <w:rPr>
          <w:color w:val="000000" w:themeColor="text1"/>
        </w:rPr>
        <w:t xml:space="preserve">, B., </w:t>
      </w:r>
      <w:proofErr w:type="spellStart"/>
      <w:r w:rsidRPr="00603BB9">
        <w:rPr>
          <w:color w:val="000000" w:themeColor="text1"/>
        </w:rPr>
        <w:t>Spinhoven</w:t>
      </w:r>
      <w:proofErr w:type="spellEnd"/>
      <w:r w:rsidRPr="00603BB9">
        <w:rPr>
          <w:color w:val="000000" w:themeColor="text1"/>
        </w:rPr>
        <w:t>, P., ... &amp; Zulaika, G. (2025). Factors associated with school dropout and sexual and reproductive health: a cross-sectional analysis among out-of-school girls in western Kenya. </w:t>
      </w:r>
      <w:r w:rsidRPr="00603BB9">
        <w:rPr>
          <w:i/>
          <w:iCs/>
          <w:color w:val="000000" w:themeColor="text1"/>
        </w:rPr>
        <w:t>BMJ Public Health</w:t>
      </w:r>
      <w:r w:rsidRPr="00603BB9">
        <w:rPr>
          <w:color w:val="000000" w:themeColor="text1"/>
        </w:rPr>
        <w:t>, </w:t>
      </w:r>
      <w:r w:rsidRPr="00603BB9">
        <w:rPr>
          <w:i/>
          <w:iCs/>
          <w:color w:val="000000" w:themeColor="text1"/>
        </w:rPr>
        <w:t>3</w:t>
      </w:r>
      <w:r w:rsidRPr="00603BB9">
        <w:rPr>
          <w:color w:val="000000" w:themeColor="text1"/>
        </w:rPr>
        <w:t>(1).</w:t>
      </w:r>
      <w:r w:rsidRPr="006D0ED1">
        <w:t xml:space="preserve"> </w:t>
      </w:r>
      <w:hyperlink r:id="rId12" w:history="1">
        <w:r w:rsidRPr="00E467D6">
          <w:rPr>
            <w:rStyle w:val="Hyperlink"/>
          </w:rPr>
          <w:t>https://bmjpublichealth.bmj.com/content/3/1/e001528</w:t>
        </w:r>
      </w:hyperlink>
      <w:r>
        <w:rPr>
          <w:color w:val="000000" w:themeColor="text1"/>
        </w:rPr>
        <w:t xml:space="preserve">. </w:t>
      </w:r>
    </w:p>
    <w:p w14:paraId="2DF18D7D" w14:textId="77777777" w:rsidR="00812AE7" w:rsidRPr="003B151A" w:rsidRDefault="00812AE7" w:rsidP="00812AE7">
      <w:pPr>
        <w:pStyle w:val="whitespace-pre-wrap"/>
        <w:spacing w:before="0" w:beforeAutospacing="0" w:after="0" w:afterAutospacing="0"/>
        <w:ind w:left="720" w:hanging="720"/>
        <w:jc w:val="both"/>
        <w:rPr>
          <w:color w:val="000000" w:themeColor="text1"/>
        </w:rPr>
      </w:pPr>
      <w:proofErr w:type="spellStart"/>
      <w:r w:rsidRPr="004C7DFA">
        <w:rPr>
          <w:color w:val="000000" w:themeColor="text1"/>
        </w:rPr>
        <w:t>Nyagah</w:t>
      </w:r>
      <w:proofErr w:type="spellEnd"/>
      <w:r w:rsidRPr="004C7DFA">
        <w:rPr>
          <w:color w:val="000000" w:themeColor="text1"/>
        </w:rPr>
        <w:t xml:space="preserve">, S. N., &amp; </w:t>
      </w:r>
      <w:proofErr w:type="spellStart"/>
      <w:r w:rsidRPr="004C7DFA">
        <w:rPr>
          <w:color w:val="000000" w:themeColor="text1"/>
        </w:rPr>
        <w:t>Luketero</w:t>
      </w:r>
      <w:proofErr w:type="spellEnd"/>
      <w:r w:rsidRPr="004C7DFA">
        <w:rPr>
          <w:color w:val="000000" w:themeColor="text1"/>
        </w:rPr>
        <w:t xml:space="preserve">, S. W. (2016). </w:t>
      </w:r>
      <w:r w:rsidRPr="003B151A">
        <w:rPr>
          <w:color w:val="000000" w:themeColor="text1"/>
        </w:rPr>
        <w:t>Transition rate of girls from lower primary to upper</w:t>
      </w:r>
      <w:r>
        <w:rPr>
          <w:color w:val="000000" w:themeColor="text1"/>
        </w:rPr>
        <w:t xml:space="preserve"> </w:t>
      </w:r>
      <w:r w:rsidRPr="003B151A">
        <w:rPr>
          <w:color w:val="000000" w:themeColor="text1"/>
        </w:rPr>
        <w:t xml:space="preserve">primary, Kajiado County. </w:t>
      </w:r>
      <w:r w:rsidRPr="003B151A">
        <w:rPr>
          <w:rStyle w:val="Emphasis"/>
          <w:rFonts w:eastAsiaTheme="majorEastAsia"/>
          <w:color w:val="000000" w:themeColor="text1"/>
        </w:rPr>
        <w:t>European Scientific Journal, 12</w:t>
      </w:r>
      <w:r w:rsidRPr="003B151A">
        <w:rPr>
          <w:color w:val="000000" w:themeColor="text1"/>
        </w:rPr>
        <w:t>(7), 418.</w:t>
      </w:r>
    </w:p>
    <w:p w14:paraId="26CDBD3E" w14:textId="77777777" w:rsidR="00812AE7" w:rsidRDefault="00812AE7" w:rsidP="00812AE7">
      <w:pPr>
        <w:pStyle w:val="whitespace-pre-wrap"/>
        <w:spacing w:before="0" w:beforeAutospacing="0" w:after="0" w:afterAutospacing="0"/>
        <w:ind w:left="720" w:hanging="720"/>
        <w:jc w:val="both"/>
        <w:rPr>
          <w:color w:val="000000" w:themeColor="text1"/>
        </w:rPr>
      </w:pPr>
      <w:r w:rsidRPr="009D29DF">
        <w:rPr>
          <w:color w:val="000000" w:themeColor="text1"/>
        </w:rPr>
        <w:t xml:space="preserve">Oduya, S. O. (2020). </w:t>
      </w:r>
      <w:r w:rsidRPr="009D29DF">
        <w:rPr>
          <w:i/>
          <w:iCs/>
          <w:color w:val="000000" w:themeColor="text1"/>
        </w:rPr>
        <w:t xml:space="preserve">Determinants of school dropout among secondary school girls in </w:t>
      </w:r>
      <w:proofErr w:type="spellStart"/>
      <w:r w:rsidRPr="009D29DF">
        <w:rPr>
          <w:i/>
          <w:iCs/>
          <w:color w:val="000000" w:themeColor="text1"/>
        </w:rPr>
        <w:t>Kibra</w:t>
      </w:r>
      <w:proofErr w:type="spellEnd"/>
      <w:r w:rsidRPr="009D29DF">
        <w:rPr>
          <w:i/>
          <w:iCs/>
          <w:color w:val="000000" w:themeColor="text1"/>
        </w:rPr>
        <w:t xml:space="preserve"> and Langata in Nairobi County, Kenya</w:t>
      </w:r>
      <w:r w:rsidRPr="009D29DF">
        <w:rPr>
          <w:color w:val="000000" w:themeColor="text1"/>
        </w:rPr>
        <w:t xml:space="preserve"> (Unpublished master's research project). Kenyatta University</w:t>
      </w:r>
      <w:r w:rsidRPr="003B151A">
        <w:rPr>
          <w:color w:val="000000" w:themeColor="text1"/>
        </w:rPr>
        <w:t>.</w:t>
      </w:r>
    </w:p>
    <w:p w14:paraId="3DE1BC47"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A12753">
        <w:rPr>
          <w:color w:val="000000" w:themeColor="text1"/>
          <w:lang/>
        </w:rPr>
        <w:t xml:space="preserve">Omuse, E. M. (2017). </w:t>
      </w:r>
      <w:r w:rsidRPr="003B151A">
        <w:rPr>
          <w:rStyle w:val="Emphasis"/>
          <w:rFonts w:eastAsiaTheme="majorEastAsia"/>
          <w:color w:val="000000" w:themeColor="text1"/>
        </w:rPr>
        <w:t>Factors affecting the transition rates of girls from primary to secondary</w:t>
      </w:r>
      <w:r>
        <w:rPr>
          <w:rStyle w:val="Emphasis"/>
          <w:rFonts w:eastAsiaTheme="majorEastAsia"/>
          <w:color w:val="000000" w:themeColor="text1"/>
        </w:rPr>
        <w:t xml:space="preserve"> </w:t>
      </w:r>
      <w:r w:rsidRPr="003B151A">
        <w:rPr>
          <w:rStyle w:val="Emphasis"/>
          <w:rFonts w:eastAsiaTheme="majorEastAsia"/>
          <w:color w:val="000000" w:themeColor="text1"/>
        </w:rPr>
        <w:t>school in Teso South Sub-County, Kenya</w:t>
      </w:r>
      <w:r w:rsidRPr="003B151A">
        <w:rPr>
          <w:color w:val="000000" w:themeColor="text1"/>
        </w:rPr>
        <w:t xml:space="preserve"> (Unpublished master's thesis). University of</w:t>
      </w:r>
      <w:r>
        <w:rPr>
          <w:color w:val="000000" w:themeColor="text1"/>
        </w:rPr>
        <w:t xml:space="preserve"> </w:t>
      </w:r>
      <w:r w:rsidRPr="003B151A">
        <w:rPr>
          <w:color w:val="000000" w:themeColor="text1"/>
        </w:rPr>
        <w:t>Nairobi.</w:t>
      </w:r>
    </w:p>
    <w:p w14:paraId="1800D7F2" w14:textId="77777777" w:rsidR="00812AE7" w:rsidRDefault="00812AE7" w:rsidP="00812AE7">
      <w:pPr>
        <w:pStyle w:val="whitespace-pre-wrap"/>
        <w:spacing w:before="0" w:beforeAutospacing="0" w:after="0" w:afterAutospacing="0"/>
        <w:ind w:left="720" w:hanging="720"/>
        <w:jc w:val="both"/>
        <w:rPr>
          <w:color w:val="000000" w:themeColor="text1"/>
        </w:rPr>
      </w:pPr>
      <w:proofErr w:type="spellStart"/>
      <w:r w:rsidRPr="00C11D49">
        <w:rPr>
          <w:color w:val="000000" w:themeColor="text1"/>
        </w:rPr>
        <w:t>Onipede</w:t>
      </w:r>
      <w:proofErr w:type="spellEnd"/>
      <w:r w:rsidRPr="00C11D49">
        <w:rPr>
          <w:color w:val="000000" w:themeColor="text1"/>
        </w:rPr>
        <w:t xml:space="preserve"> AA and </w:t>
      </w:r>
      <w:proofErr w:type="spellStart"/>
      <w:r w:rsidRPr="00C11D49">
        <w:rPr>
          <w:color w:val="000000" w:themeColor="text1"/>
        </w:rPr>
        <w:t>Akilade</w:t>
      </w:r>
      <w:proofErr w:type="spellEnd"/>
      <w:r w:rsidRPr="00C11D49">
        <w:rPr>
          <w:color w:val="000000" w:themeColor="text1"/>
        </w:rPr>
        <w:t xml:space="preserve"> BK (2025) Gender Disparities in the Enrollment and Attainment of Primary Education Among Adolescents in Ado Local Government Area, Ekiti State, International Journal of Education, Learning and Development, 13 (5), 26-41</w:t>
      </w:r>
    </w:p>
    <w:p w14:paraId="736924D2"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Richards, M. (2011). Adolescence: A foundation for future health. </w:t>
      </w:r>
      <w:r w:rsidRPr="003B151A">
        <w:rPr>
          <w:rStyle w:val="Emphasis"/>
          <w:rFonts w:eastAsiaTheme="majorEastAsia"/>
          <w:color w:val="000000" w:themeColor="text1"/>
        </w:rPr>
        <w:t>The Lancet, 379</w:t>
      </w:r>
      <w:r w:rsidRPr="003B151A">
        <w:rPr>
          <w:color w:val="000000" w:themeColor="text1"/>
        </w:rPr>
        <w:t>(9826), 1630</w:t>
      </w:r>
      <w:r>
        <w:rPr>
          <w:color w:val="000000" w:themeColor="text1"/>
        </w:rPr>
        <w:t xml:space="preserve"> - </w:t>
      </w:r>
      <w:r w:rsidRPr="003B151A">
        <w:rPr>
          <w:color w:val="000000" w:themeColor="text1"/>
        </w:rPr>
        <w:t>1640.</w:t>
      </w:r>
    </w:p>
    <w:p w14:paraId="23B67830"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155E24">
        <w:rPr>
          <w:color w:val="000000" w:themeColor="text1"/>
        </w:rPr>
        <w:t>Roble, K. O., Maalim, A., &amp; Muriithi, N. (2023). Factors Influencing Pupil Transition from Primary to Secondary School in Hulugho Sub-County, Kenya. </w:t>
      </w:r>
      <w:r w:rsidRPr="00155E24">
        <w:rPr>
          <w:i/>
          <w:iCs/>
          <w:color w:val="000000" w:themeColor="text1"/>
        </w:rPr>
        <w:t>Asian J. Educ. Soc. Stud</w:t>
      </w:r>
      <w:r w:rsidRPr="00155E24">
        <w:rPr>
          <w:color w:val="000000" w:themeColor="text1"/>
        </w:rPr>
        <w:t>, </w:t>
      </w:r>
      <w:r w:rsidRPr="00155E24">
        <w:rPr>
          <w:i/>
          <w:iCs/>
          <w:color w:val="000000" w:themeColor="text1"/>
        </w:rPr>
        <w:t>38</w:t>
      </w:r>
      <w:r w:rsidRPr="00155E24">
        <w:rPr>
          <w:color w:val="000000" w:themeColor="text1"/>
        </w:rPr>
        <w:t>(3), 42-57.</w:t>
      </w:r>
    </w:p>
    <w:p w14:paraId="2A2D927F"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Stromquist, N. P. (2006). Gender, education and the possibility of transformative knowledge.</w:t>
      </w:r>
      <w:r>
        <w:rPr>
          <w:color w:val="000000" w:themeColor="text1"/>
        </w:rPr>
        <w:t xml:space="preserve"> </w:t>
      </w:r>
      <w:r w:rsidRPr="003B151A">
        <w:rPr>
          <w:rStyle w:val="Emphasis"/>
          <w:rFonts w:eastAsiaTheme="majorEastAsia"/>
          <w:color w:val="000000" w:themeColor="text1"/>
        </w:rPr>
        <w:t>Compare, 36</w:t>
      </w:r>
      <w:r w:rsidRPr="003B151A">
        <w:rPr>
          <w:color w:val="000000" w:themeColor="text1"/>
        </w:rPr>
        <w:t>(2), 145-161.</w:t>
      </w:r>
    </w:p>
    <w:p w14:paraId="3159C96F"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Tong, R. (2018). </w:t>
      </w:r>
      <w:r w:rsidRPr="003B151A">
        <w:rPr>
          <w:rStyle w:val="Emphasis"/>
          <w:rFonts w:eastAsiaTheme="majorEastAsia"/>
          <w:color w:val="000000" w:themeColor="text1"/>
        </w:rPr>
        <w:t>Feminist thought: A more comprehensive introduction</w:t>
      </w:r>
      <w:r w:rsidRPr="003B151A">
        <w:rPr>
          <w:color w:val="000000" w:themeColor="text1"/>
        </w:rPr>
        <w:t xml:space="preserve"> (5th ed.). Routledge.</w:t>
      </w:r>
    </w:p>
    <w:p w14:paraId="5C91831C"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UNESCO. (2009). </w:t>
      </w:r>
      <w:r w:rsidRPr="003B151A">
        <w:rPr>
          <w:rStyle w:val="Emphasis"/>
          <w:rFonts w:eastAsiaTheme="majorEastAsia"/>
          <w:color w:val="000000" w:themeColor="text1"/>
        </w:rPr>
        <w:t>Policy guidelines on inclusion in education</w:t>
      </w:r>
      <w:r w:rsidRPr="003B151A">
        <w:rPr>
          <w:color w:val="000000" w:themeColor="text1"/>
        </w:rPr>
        <w:t>. UNESCO.</w:t>
      </w:r>
    </w:p>
    <w:p w14:paraId="555FB691"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UNESCO. (2014). The state of the world's children. Girls education and development, 434–435.</w:t>
      </w:r>
    </w:p>
    <w:p w14:paraId="53EBBA02"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UNESCO. (2019). </w:t>
      </w:r>
      <w:r w:rsidRPr="003B151A">
        <w:rPr>
          <w:rStyle w:val="Emphasis"/>
          <w:rFonts w:eastAsiaTheme="majorEastAsia"/>
          <w:color w:val="000000" w:themeColor="text1"/>
        </w:rPr>
        <w:t>The Global Education Monitoring Report - Migration, displacement, and</w:t>
      </w:r>
      <w:r>
        <w:rPr>
          <w:rStyle w:val="Emphasis"/>
          <w:rFonts w:eastAsiaTheme="majorEastAsia"/>
          <w:color w:val="000000" w:themeColor="text1"/>
        </w:rPr>
        <w:t xml:space="preserve"> </w:t>
      </w:r>
      <w:r w:rsidRPr="003B151A">
        <w:rPr>
          <w:rStyle w:val="Emphasis"/>
          <w:rFonts w:eastAsiaTheme="majorEastAsia"/>
          <w:color w:val="000000" w:themeColor="text1"/>
        </w:rPr>
        <w:t>education: Building bridges, not walls</w:t>
      </w:r>
      <w:r w:rsidRPr="003B151A">
        <w:rPr>
          <w:color w:val="000000" w:themeColor="text1"/>
        </w:rPr>
        <w:t>. UNESCO.</w:t>
      </w:r>
    </w:p>
    <w:p w14:paraId="154BB6B2"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UNESCO. (2022). </w:t>
      </w:r>
      <w:r w:rsidRPr="003B151A">
        <w:rPr>
          <w:rStyle w:val="Emphasis"/>
          <w:rFonts w:eastAsiaTheme="majorEastAsia"/>
          <w:color w:val="000000" w:themeColor="text1"/>
        </w:rPr>
        <w:t>Monitoring SDG4: Education and gender equality. Global Education</w:t>
      </w:r>
      <w:r>
        <w:rPr>
          <w:rStyle w:val="Emphasis"/>
          <w:rFonts w:eastAsiaTheme="majorEastAsia"/>
          <w:color w:val="000000" w:themeColor="text1"/>
        </w:rPr>
        <w:t xml:space="preserve"> </w:t>
      </w:r>
      <w:r w:rsidRPr="003B151A">
        <w:rPr>
          <w:rStyle w:val="Emphasis"/>
          <w:rFonts w:eastAsiaTheme="majorEastAsia"/>
          <w:color w:val="000000" w:themeColor="text1"/>
        </w:rPr>
        <w:t>Monitoring Report</w:t>
      </w:r>
      <w:r w:rsidRPr="003B151A">
        <w:rPr>
          <w:color w:val="000000" w:themeColor="text1"/>
        </w:rPr>
        <w:t>. UNESCO.</w:t>
      </w:r>
    </w:p>
    <w:p w14:paraId="14AC8795"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United Nations. (2015). </w:t>
      </w:r>
      <w:r w:rsidRPr="003B151A">
        <w:rPr>
          <w:rStyle w:val="Emphasis"/>
          <w:rFonts w:eastAsiaTheme="majorEastAsia"/>
          <w:color w:val="000000" w:themeColor="text1"/>
        </w:rPr>
        <w:t>Transforming our world: The 2030 agenda for sustainable development</w:t>
      </w:r>
      <w:r>
        <w:rPr>
          <w:color w:val="000000" w:themeColor="text1"/>
        </w:rPr>
        <w:t xml:space="preserve"> </w:t>
      </w:r>
      <w:r w:rsidRPr="003B151A">
        <w:rPr>
          <w:color w:val="000000" w:themeColor="text1"/>
        </w:rPr>
        <w:t>(Resolution A/RES/70/1). United Nations.</w:t>
      </w:r>
    </w:p>
    <w:p w14:paraId="39DA2C75" w14:textId="77777777" w:rsidR="00812AE7" w:rsidRPr="003B151A" w:rsidRDefault="00812AE7" w:rsidP="00812AE7">
      <w:pPr>
        <w:pStyle w:val="whitespace-pre-wrap"/>
        <w:spacing w:before="0" w:beforeAutospacing="0" w:after="0" w:afterAutospacing="0"/>
        <w:ind w:left="720" w:hanging="720"/>
        <w:jc w:val="both"/>
        <w:rPr>
          <w:color w:val="000000" w:themeColor="text1"/>
        </w:rPr>
      </w:pPr>
      <w:proofErr w:type="spellStart"/>
      <w:r w:rsidRPr="003B151A">
        <w:rPr>
          <w:color w:val="000000" w:themeColor="text1"/>
        </w:rPr>
        <w:t>Wamahiu</w:t>
      </w:r>
      <w:proofErr w:type="spellEnd"/>
      <w:r w:rsidRPr="003B151A">
        <w:rPr>
          <w:color w:val="000000" w:themeColor="text1"/>
        </w:rPr>
        <w:t xml:space="preserve">, L. N. (2006). Girls dropout and adolescence. </w:t>
      </w:r>
      <w:r w:rsidRPr="003B151A">
        <w:rPr>
          <w:rStyle w:val="Emphasis"/>
          <w:rFonts w:eastAsiaTheme="majorEastAsia"/>
          <w:color w:val="000000" w:themeColor="text1"/>
        </w:rPr>
        <w:t>BERC Journal, 6</w:t>
      </w:r>
      <w:r w:rsidRPr="003B151A">
        <w:rPr>
          <w:color w:val="000000" w:themeColor="text1"/>
        </w:rPr>
        <w:t>, 1995.</w:t>
      </w:r>
    </w:p>
    <w:p w14:paraId="01E8495E" w14:textId="77777777" w:rsidR="00812AE7" w:rsidRPr="003B151A" w:rsidRDefault="00812AE7" w:rsidP="00812AE7">
      <w:pPr>
        <w:pStyle w:val="whitespace-pre-wrap"/>
        <w:spacing w:before="0" w:beforeAutospacing="0" w:after="0" w:afterAutospacing="0"/>
        <w:ind w:left="720" w:hanging="720"/>
        <w:jc w:val="both"/>
        <w:rPr>
          <w:color w:val="000000" w:themeColor="text1"/>
        </w:rPr>
      </w:pPr>
      <w:proofErr w:type="spellStart"/>
      <w:r w:rsidRPr="003B151A">
        <w:rPr>
          <w:color w:val="000000" w:themeColor="text1"/>
        </w:rPr>
        <w:t>Waruru</w:t>
      </w:r>
      <w:proofErr w:type="spellEnd"/>
      <w:r w:rsidRPr="003B151A">
        <w:rPr>
          <w:color w:val="000000" w:themeColor="text1"/>
        </w:rPr>
        <w:t>, M. (2024, July 4). Investing in teachers, school leaders key in keeping girls in school UN</w:t>
      </w:r>
      <w:r>
        <w:rPr>
          <w:color w:val="000000" w:themeColor="text1"/>
        </w:rPr>
        <w:t xml:space="preserve"> </w:t>
      </w:r>
      <w:r w:rsidRPr="003B151A">
        <w:rPr>
          <w:color w:val="000000" w:themeColor="text1"/>
        </w:rPr>
        <w:t xml:space="preserve">African Union study finds. </w:t>
      </w:r>
      <w:r w:rsidRPr="003B151A">
        <w:rPr>
          <w:rStyle w:val="Emphasis"/>
          <w:rFonts w:eastAsiaTheme="majorEastAsia"/>
          <w:color w:val="000000" w:themeColor="text1"/>
        </w:rPr>
        <w:t>Global Issues</w:t>
      </w:r>
      <w:r w:rsidRPr="003B151A">
        <w:rPr>
          <w:color w:val="000000" w:themeColor="text1"/>
        </w:rPr>
        <w:t>.</w:t>
      </w:r>
      <w:r w:rsidRPr="00412607">
        <w:t xml:space="preserve"> </w:t>
      </w:r>
      <w:hyperlink r:id="rId13" w:history="1">
        <w:r w:rsidRPr="00E467D6">
          <w:rPr>
            <w:rStyle w:val="Hyperlink"/>
          </w:rPr>
          <w:t>https://www.globalissues.org/news/2024/07/04/37122</w:t>
        </w:r>
      </w:hyperlink>
    </w:p>
    <w:p w14:paraId="47534BDA"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Waswa, A. W. (2015). </w:t>
      </w:r>
      <w:r w:rsidRPr="003B151A">
        <w:rPr>
          <w:rStyle w:val="Emphasis"/>
          <w:rFonts w:eastAsiaTheme="majorEastAsia"/>
          <w:color w:val="000000" w:themeColor="text1"/>
        </w:rPr>
        <w:t>Factors affecting girl-child progression rates in primary schools in ASAL</w:t>
      </w:r>
      <w:r>
        <w:rPr>
          <w:rStyle w:val="Emphasis"/>
          <w:rFonts w:eastAsiaTheme="majorEastAsia"/>
          <w:color w:val="000000" w:themeColor="text1"/>
        </w:rPr>
        <w:t xml:space="preserve"> </w:t>
      </w:r>
      <w:r w:rsidRPr="003B151A">
        <w:rPr>
          <w:rStyle w:val="Emphasis"/>
          <w:rFonts w:eastAsiaTheme="majorEastAsia"/>
          <w:color w:val="000000" w:themeColor="text1"/>
        </w:rPr>
        <w:t>areas: A survey of West Pokot Sub County in West Pokot County, Kenya</w:t>
      </w:r>
      <w:r w:rsidRPr="003B151A">
        <w:rPr>
          <w:color w:val="000000" w:themeColor="text1"/>
        </w:rPr>
        <w:t xml:space="preserve"> (</w:t>
      </w:r>
      <w:proofErr w:type="spellStart"/>
      <w:proofErr w:type="gramStart"/>
      <w:r w:rsidRPr="003B151A">
        <w:rPr>
          <w:color w:val="000000" w:themeColor="text1"/>
        </w:rPr>
        <w:t>M.Phil</w:t>
      </w:r>
      <w:proofErr w:type="spellEnd"/>
      <w:proofErr w:type="gramEnd"/>
      <w:r w:rsidRPr="003B151A">
        <w:rPr>
          <w:color w:val="000000" w:themeColor="text1"/>
        </w:rPr>
        <w:t xml:space="preserve"> Thesis,</w:t>
      </w:r>
      <w:r w:rsidRPr="003B151A">
        <w:rPr>
          <w:color w:val="000000" w:themeColor="text1"/>
        </w:rPr>
        <w:tab/>
        <w:t>Moi</w:t>
      </w:r>
      <w:r>
        <w:rPr>
          <w:color w:val="000000" w:themeColor="text1"/>
        </w:rPr>
        <w:t xml:space="preserve"> </w:t>
      </w:r>
      <w:r w:rsidRPr="003B151A">
        <w:rPr>
          <w:color w:val="000000" w:themeColor="text1"/>
        </w:rPr>
        <w:t>University).</w:t>
      </w:r>
    </w:p>
    <w:p w14:paraId="6191C695"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lastRenderedPageBreak/>
        <w:t>Wolf, S., McCoy, D. C., &amp; Godfrey, E. B. (2016). Barriers to school attendance and gender</w:t>
      </w:r>
      <w:r>
        <w:rPr>
          <w:color w:val="000000" w:themeColor="text1"/>
        </w:rPr>
        <w:t xml:space="preserve"> </w:t>
      </w:r>
      <w:r w:rsidRPr="003B151A">
        <w:rPr>
          <w:color w:val="000000" w:themeColor="text1"/>
        </w:rPr>
        <w:t xml:space="preserve">inequality: Empirical evidence from a sample of Ghanaian school children. </w:t>
      </w:r>
      <w:r w:rsidRPr="003B151A">
        <w:rPr>
          <w:rStyle w:val="Emphasis"/>
          <w:rFonts w:eastAsiaTheme="majorEastAsia"/>
          <w:color w:val="000000" w:themeColor="text1"/>
        </w:rPr>
        <w:t>Research in</w:t>
      </w:r>
      <w:r>
        <w:rPr>
          <w:rStyle w:val="Emphasis"/>
          <w:rFonts w:eastAsiaTheme="majorEastAsia"/>
          <w:color w:val="000000" w:themeColor="text1"/>
        </w:rPr>
        <w:t xml:space="preserve"> </w:t>
      </w:r>
      <w:r w:rsidRPr="003B151A">
        <w:rPr>
          <w:rStyle w:val="Emphasis"/>
          <w:rFonts w:eastAsiaTheme="majorEastAsia"/>
          <w:color w:val="000000" w:themeColor="text1"/>
        </w:rPr>
        <w:t>Comparative and International Education, 11</w:t>
      </w:r>
      <w:r w:rsidRPr="003B151A">
        <w:rPr>
          <w:color w:val="000000" w:themeColor="text1"/>
        </w:rPr>
        <w:t>(2), 178–193.</w:t>
      </w:r>
    </w:p>
    <w:p w14:paraId="307C318C" w14:textId="77777777" w:rsidR="00812AE7" w:rsidRPr="003B151A" w:rsidRDefault="00812AE7" w:rsidP="00812AE7">
      <w:pPr>
        <w:pStyle w:val="whitespace-pre-wrap"/>
        <w:spacing w:before="0" w:beforeAutospacing="0" w:after="0" w:afterAutospacing="0"/>
        <w:ind w:left="720" w:hanging="720"/>
        <w:jc w:val="both"/>
        <w:rPr>
          <w:color w:val="000000" w:themeColor="text1"/>
        </w:rPr>
      </w:pPr>
      <w:r w:rsidRPr="003B151A">
        <w:rPr>
          <w:color w:val="000000" w:themeColor="text1"/>
        </w:rPr>
        <w:t xml:space="preserve">Wollstonecraft, M. (1792). </w:t>
      </w:r>
      <w:r w:rsidRPr="003B151A">
        <w:rPr>
          <w:rStyle w:val="Emphasis"/>
          <w:rFonts w:eastAsiaTheme="majorEastAsia"/>
          <w:color w:val="000000" w:themeColor="text1"/>
        </w:rPr>
        <w:t>A vindication of the rights of woman: With strictures on political and</w:t>
      </w:r>
      <w:r>
        <w:rPr>
          <w:rStyle w:val="Emphasis"/>
          <w:rFonts w:eastAsiaTheme="majorEastAsia"/>
          <w:color w:val="000000" w:themeColor="text1"/>
        </w:rPr>
        <w:t xml:space="preserve"> </w:t>
      </w:r>
      <w:r w:rsidRPr="003B151A">
        <w:rPr>
          <w:rStyle w:val="Emphasis"/>
          <w:rFonts w:eastAsiaTheme="majorEastAsia"/>
          <w:color w:val="000000" w:themeColor="text1"/>
        </w:rPr>
        <w:t>moral subjects</w:t>
      </w:r>
      <w:r w:rsidRPr="003B151A">
        <w:rPr>
          <w:color w:val="000000" w:themeColor="text1"/>
        </w:rPr>
        <w:t>. J. Johnson.</w:t>
      </w:r>
    </w:p>
    <w:sectPr w:rsidR="00812AE7" w:rsidRPr="003B151A" w:rsidSect="00D9560E">
      <w:headerReference w:type="even" r:id="rId14"/>
      <w:headerReference w:type="default" r:id="rId15"/>
      <w:footerReference w:type="even" r:id="rId16"/>
      <w:footerReference w:type="default" r:id="rId17"/>
      <w:headerReference w:type="first" r:id="rId18"/>
      <w:footerReference w:type="first" r:id="rId19"/>
      <w:pgSz w:w="12240" w:h="15840"/>
      <w:pgMar w:top="851" w:right="1418" w:bottom="85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154B3" w14:textId="77777777" w:rsidR="006E2488" w:rsidRDefault="006E2488" w:rsidP="00536151">
      <w:pPr>
        <w:spacing w:after="0" w:line="240" w:lineRule="auto"/>
      </w:pPr>
      <w:r>
        <w:separator/>
      </w:r>
    </w:p>
  </w:endnote>
  <w:endnote w:type="continuationSeparator" w:id="0">
    <w:p w14:paraId="039B1FAC" w14:textId="77777777" w:rsidR="006E2488" w:rsidRDefault="006E2488" w:rsidP="0053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7DDC" w14:textId="77777777" w:rsidR="00166044" w:rsidRDefault="00166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152694"/>
      <w:docPartObj>
        <w:docPartGallery w:val="Page Numbers (Bottom of Page)"/>
        <w:docPartUnique/>
      </w:docPartObj>
    </w:sdtPr>
    <w:sdtEndPr>
      <w:rPr>
        <w:rFonts w:ascii="Times New Roman" w:hAnsi="Times New Roman" w:cs="Times New Roman"/>
        <w:noProof/>
        <w:sz w:val="24"/>
        <w:szCs w:val="24"/>
      </w:rPr>
    </w:sdtEndPr>
    <w:sdtContent>
      <w:p w14:paraId="1FF53AEF" w14:textId="1CA66BDE" w:rsidR="00A67442" w:rsidRPr="008200BE" w:rsidRDefault="00A67442">
        <w:pPr>
          <w:pStyle w:val="Footer"/>
          <w:jc w:val="center"/>
          <w:rPr>
            <w:rFonts w:ascii="Times New Roman" w:hAnsi="Times New Roman" w:cs="Times New Roman"/>
            <w:sz w:val="24"/>
            <w:szCs w:val="24"/>
          </w:rPr>
        </w:pPr>
        <w:r w:rsidRPr="008200BE">
          <w:rPr>
            <w:rFonts w:ascii="Times New Roman" w:hAnsi="Times New Roman" w:cs="Times New Roman"/>
            <w:sz w:val="24"/>
            <w:szCs w:val="24"/>
          </w:rPr>
          <w:fldChar w:fldCharType="begin"/>
        </w:r>
        <w:r w:rsidRPr="008200BE">
          <w:rPr>
            <w:rFonts w:ascii="Times New Roman" w:hAnsi="Times New Roman" w:cs="Times New Roman"/>
            <w:sz w:val="24"/>
            <w:szCs w:val="24"/>
          </w:rPr>
          <w:instrText xml:space="preserve"> PAGE   \* MERGEFORMAT </w:instrText>
        </w:r>
        <w:r w:rsidRPr="008200BE">
          <w:rPr>
            <w:rFonts w:ascii="Times New Roman" w:hAnsi="Times New Roman" w:cs="Times New Roman"/>
            <w:sz w:val="24"/>
            <w:szCs w:val="24"/>
          </w:rPr>
          <w:fldChar w:fldCharType="separate"/>
        </w:r>
        <w:r w:rsidR="00214914">
          <w:rPr>
            <w:rFonts w:ascii="Times New Roman" w:hAnsi="Times New Roman" w:cs="Times New Roman"/>
            <w:noProof/>
            <w:sz w:val="24"/>
            <w:szCs w:val="24"/>
          </w:rPr>
          <w:t>9</w:t>
        </w:r>
        <w:r w:rsidRPr="008200BE">
          <w:rPr>
            <w:rFonts w:ascii="Times New Roman" w:hAnsi="Times New Roman" w:cs="Times New Roman"/>
            <w:noProof/>
            <w:sz w:val="24"/>
            <w:szCs w:val="24"/>
          </w:rPr>
          <w:fldChar w:fldCharType="end"/>
        </w:r>
      </w:p>
    </w:sdtContent>
  </w:sdt>
  <w:p w14:paraId="3B1FB775" w14:textId="77777777" w:rsidR="00A67442" w:rsidRDefault="00A67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DF71" w14:textId="77777777" w:rsidR="00166044" w:rsidRDefault="00166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D2441" w14:textId="77777777" w:rsidR="006E2488" w:rsidRDefault="006E2488" w:rsidP="00536151">
      <w:pPr>
        <w:spacing w:after="0" w:line="240" w:lineRule="auto"/>
      </w:pPr>
      <w:r>
        <w:separator/>
      </w:r>
    </w:p>
  </w:footnote>
  <w:footnote w:type="continuationSeparator" w:id="0">
    <w:p w14:paraId="64316034" w14:textId="77777777" w:rsidR="006E2488" w:rsidRDefault="006E2488" w:rsidP="0053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BA79" w14:textId="7C05ADF0" w:rsidR="00166044" w:rsidRDefault="006E2488">
    <w:pPr>
      <w:pStyle w:val="Header"/>
    </w:pPr>
    <w:r>
      <w:rPr>
        <w:noProof/>
      </w:rPr>
      <w:pict w14:anchorId="5163C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6719" o:spid="_x0000_s2050"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8A28" w14:textId="74400886" w:rsidR="00166044" w:rsidRDefault="006E2488">
    <w:pPr>
      <w:pStyle w:val="Header"/>
    </w:pPr>
    <w:r>
      <w:rPr>
        <w:noProof/>
      </w:rPr>
      <w:pict w14:anchorId="51BA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6720" o:spid="_x0000_s2051"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1749" w14:textId="65CF19DC" w:rsidR="00166044" w:rsidRDefault="006E2488">
    <w:pPr>
      <w:pStyle w:val="Header"/>
    </w:pPr>
    <w:r>
      <w:rPr>
        <w:noProof/>
      </w:rPr>
      <w:pict w14:anchorId="47CB8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6718" o:spid="_x0000_s2049"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4BE2"/>
    <w:multiLevelType w:val="hybridMultilevel"/>
    <w:tmpl w:val="C09CC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83972"/>
    <w:multiLevelType w:val="multilevel"/>
    <w:tmpl w:val="171CDABA"/>
    <w:lvl w:ilvl="0">
      <w:start w:val="1"/>
      <w:numFmt w:val="decimal"/>
      <w:lvlText w:val="%1"/>
      <w:lvlJc w:val="left"/>
      <w:pPr>
        <w:ind w:left="390" w:hanging="390"/>
      </w:pPr>
      <w:rPr>
        <w:rFonts w:hint="default"/>
      </w:rPr>
    </w:lvl>
    <w:lvl w:ilvl="1">
      <w:start w:val="1"/>
      <w:numFmt w:val="decimal"/>
      <w:lvlText w:val="%1.%2"/>
      <w:lvlJc w:val="left"/>
      <w:pPr>
        <w:ind w:left="2801"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33DB6"/>
    <w:multiLevelType w:val="hybridMultilevel"/>
    <w:tmpl w:val="7FD0C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C32C8C"/>
    <w:multiLevelType w:val="hybridMultilevel"/>
    <w:tmpl w:val="6D6A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FB4BA0"/>
    <w:multiLevelType w:val="hybridMultilevel"/>
    <w:tmpl w:val="73202A1E"/>
    <w:lvl w:ilvl="0" w:tplc="1EB2E8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8F790E"/>
    <w:multiLevelType w:val="multilevel"/>
    <w:tmpl w:val="C39A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34D06"/>
    <w:multiLevelType w:val="hybridMultilevel"/>
    <w:tmpl w:val="28B27FE2"/>
    <w:lvl w:ilvl="0" w:tplc="9A1EEBD6">
      <w:start w:val="1"/>
      <w:numFmt w:val="decimal"/>
      <w:lvlText w:val="%1."/>
      <w:lvlJc w:val="left"/>
      <w:pPr>
        <w:ind w:left="360" w:hanging="360"/>
      </w:pPr>
      <w:rPr>
        <w:rFonts w:ascii="Times New Roman" w:hAnsi="Times New Roman" w:cs="Times New Roman" w:hint="default"/>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590DD2"/>
    <w:multiLevelType w:val="hybridMultilevel"/>
    <w:tmpl w:val="83B08A14"/>
    <w:lvl w:ilvl="0" w:tplc="8A2EA3BA">
      <w:start w:val="1"/>
      <w:numFmt w:val="lowerRoman"/>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393E94"/>
    <w:multiLevelType w:val="multilevel"/>
    <w:tmpl w:val="0EBA5A8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826581"/>
    <w:multiLevelType w:val="hybridMultilevel"/>
    <w:tmpl w:val="D442620A"/>
    <w:lvl w:ilvl="0" w:tplc="76E0EC5C">
      <w:start w:val="1"/>
      <w:numFmt w:val="lowerRoman"/>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61429"/>
    <w:multiLevelType w:val="hybridMultilevel"/>
    <w:tmpl w:val="238AC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455B68"/>
    <w:multiLevelType w:val="hybridMultilevel"/>
    <w:tmpl w:val="D5A6C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42FF3"/>
    <w:multiLevelType w:val="multilevel"/>
    <w:tmpl w:val="4DE4793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D92D22"/>
    <w:multiLevelType w:val="multilevel"/>
    <w:tmpl w:val="7866832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23BDA"/>
    <w:multiLevelType w:val="hybridMultilevel"/>
    <w:tmpl w:val="C9D6CC42"/>
    <w:lvl w:ilvl="0" w:tplc="816EFB44">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26831"/>
    <w:multiLevelType w:val="hybridMultilevel"/>
    <w:tmpl w:val="D83281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422A4"/>
    <w:multiLevelType w:val="multilevel"/>
    <w:tmpl w:val="4C70B29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FA29A9"/>
    <w:multiLevelType w:val="hybridMultilevel"/>
    <w:tmpl w:val="F18E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665716"/>
    <w:multiLevelType w:val="hybridMultilevel"/>
    <w:tmpl w:val="A9F0F1C0"/>
    <w:lvl w:ilvl="0" w:tplc="816EFB44">
      <w:start w:val="1"/>
      <w:numFmt w:val="lowerRoman"/>
      <w:lvlText w:val="%1)"/>
      <w:lvlJc w:val="left"/>
      <w:pPr>
        <w:ind w:left="360" w:hanging="360"/>
      </w:pPr>
      <w:rPr>
        <w:rFonts w:hint="default"/>
      </w:rPr>
    </w:lvl>
    <w:lvl w:ilvl="1" w:tplc="FF8C5114">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9"/>
  </w:num>
  <w:num w:numId="3">
    <w:abstractNumId w:val="14"/>
  </w:num>
  <w:num w:numId="4">
    <w:abstractNumId w:val="7"/>
  </w:num>
  <w:num w:numId="5">
    <w:abstractNumId w:val="13"/>
  </w:num>
  <w:num w:numId="6">
    <w:abstractNumId w:val="16"/>
  </w:num>
  <w:num w:numId="7">
    <w:abstractNumId w:val="1"/>
  </w:num>
  <w:num w:numId="8">
    <w:abstractNumId w:val="6"/>
  </w:num>
  <w:num w:numId="9">
    <w:abstractNumId w:val="4"/>
  </w:num>
  <w:num w:numId="10">
    <w:abstractNumId w:val="0"/>
  </w:num>
  <w:num w:numId="11">
    <w:abstractNumId w:val="11"/>
  </w:num>
  <w:num w:numId="12">
    <w:abstractNumId w:val="10"/>
  </w:num>
  <w:num w:numId="13">
    <w:abstractNumId w:val="17"/>
  </w:num>
  <w:num w:numId="14">
    <w:abstractNumId w:val="3"/>
  </w:num>
  <w:num w:numId="15">
    <w:abstractNumId w:val="2"/>
  </w:num>
  <w:num w:numId="16">
    <w:abstractNumId w:val="15"/>
  </w:num>
  <w:num w:numId="17">
    <w:abstractNumId w:val="8"/>
  </w:num>
  <w:num w:numId="18">
    <w:abstractNumId w:val="12"/>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F4"/>
    <w:rsid w:val="0000020F"/>
    <w:rsid w:val="0000030C"/>
    <w:rsid w:val="00004A2E"/>
    <w:rsid w:val="0000509F"/>
    <w:rsid w:val="00007C3C"/>
    <w:rsid w:val="00007DDD"/>
    <w:rsid w:val="0001199D"/>
    <w:rsid w:val="00011D19"/>
    <w:rsid w:val="0001200B"/>
    <w:rsid w:val="0001320C"/>
    <w:rsid w:val="00013442"/>
    <w:rsid w:val="00014C70"/>
    <w:rsid w:val="00017BBF"/>
    <w:rsid w:val="0002001C"/>
    <w:rsid w:val="00021340"/>
    <w:rsid w:val="00021F95"/>
    <w:rsid w:val="00022507"/>
    <w:rsid w:val="00032ED1"/>
    <w:rsid w:val="00033842"/>
    <w:rsid w:val="00035DF8"/>
    <w:rsid w:val="00035FD6"/>
    <w:rsid w:val="00036372"/>
    <w:rsid w:val="00041314"/>
    <w:rsid w:val="00042462"/>
    <w:rsid w:val="00044085"/>
    <w:rsid w:val="00044657"/>
    <w:rsid w:val="00044833"/>
    <w:rsid w:val="00044DF6"/>
    <w:rsid w:val="00045478"/>
    <w:rsid w:val="000477B5"/>
    <w:rsid w:val="00047A2E"/>
    <w:rsid w:val="000503C2"/>
    <w:rsid w:val="000525E0"/>
    <w:rsid w:val="00052A22"/>
    <w:rsid w:val="00054A34"/>
    <w:rsid w:val="00056562"/>
    <w:rsid w:val="00056E26"/>
    <w:rsid w:val="00057F1D"/>
    <w:rsid w:val="000663E1"/>
    <w:rsid w:val="000727A5"/>
    <w:rsid w:val="000745FA"/>
    <w:rsid w:val="000752D8"/>
    <w:rsid w:val="00077547"/>
    <w:rsid w:val="00082B5D"/>
    <w:rsid w:val="00085EB0"/>
    <w:rsid w:val="000920CD"/>
    <w:rsid w:val="000A1AD2"/>
    <w:rsid w:val="000A2BAE"/>
    <w:rsid w:val="000A73DD"/>
    <w:rsid w:val="000B4AA8"/>
    <w:rsid w:val="000B6758"/>
    <w:rsid w:val="000C40FD"/>
    <w:rsid w:val="000C4F4B"/>
    <w:rsid w:val="000C6A39"/>
    <w:rsid w:val="000C6B3C"/>
    <w:rsid w:val="000C7874"/>
    <w:rsid w:val="000D0521"/>
    <w:rsid w:val="000D0CCA"/>
    <w:rsid w:val="000D2B96"/>
    <w:rsid w:val="000D4C1A"/>
    <w:rsid w:val="000D53EF"/>
    <w:rsid w:val="000D5460"/>
    <w:rsid w:val="000E0D5E"/>
    <w:rsid w:val="000E17B4"/>
    <w:rsid w:val="000E1D17"/>
    <w:rsid w:val="000E25E7"/>
    <w:rsid w:val="000E68C6"/>
    <w:rsid w:val="000E758A"/>
    <w:rsid w:val="000F0983"/>
    <w:rsid w:val="000F58A5"/>
    <w:rsid w:val="00101E0E"/>
    <w:rsid w:val="00102316"/>
    <w:rsid w:val="00104F9D"/>
    <w:rsid w:val="00105007"/>
    <w:rsid w:val="00105B82"/>
    <w:rsid w:val="0010620E"/>
    <w:rsid w:val="00110058"/>
    <w:rsid w:val="001107E8"/>
    <w:rsid w:val="00113EC1"/>
    <w:rsid w:val="001214FE"/>
    <w:rsid w:val="00124110"/>
    <w:rsid w:val="00124452"/>
    <w:rsid w:val="0013139A"/>
    <w:rsid w:val="0013366E"/>
    <w:rsid w:val="00140FB7"/>
    <w:rsid w:val="00143799"/>
    <w:rsid w:val="00144B4F"/>
    <w:rsid w:val="001508FB"/>
    <w:rsid w:val="0015195A"/>
    <w:rsid w:val="00155E24"/>
    <w:rsid w:val="001605EC"/>
    <w:rsid w:val="0016384F"/>
    <w:rsid w:val="00164F54"/>
    <w:rsid w:val="00165745"/>
    <w:rsid w:val="00166044"/>
    <w:rsid w:val="00167830"/>
    <w:rsid w:val="001678CC"/>
    <w:rsid w:val="00171B17"/>
    <w:rsid w:val="00172377"/>
    <w:rsid w:val="0017553D"/>
    <w:rsid w:val="00176371"/>
    <w:rsid w:val="00176515"/>
    <w:rsid w:val="00176775"/>
    <w:rsid w:val="00180AFA"/>
    <w:rsid w:val="00181B08"/>
    <w:rsid w:val="00186158"/>
    <w:rsid w:val="00190E72"/>
    <w:rsid w:val="00190F2F"/>
    <w:rsid w:val="00191A4D"/>
    <w:rsid w:val="00196184"/>
    <w:rsid w:val="00196353"/>
    <w:rsid w:val="00196FBE"/>
    <w:rsid w:val="00197F4C"/>
    <w:rsid w:val="001A0650"/>
    <w:rsid w:val="001A0E69"/>
    <w:rsid w:val="001A70A5"/>
    <w:rsid w:val="001A78EF"/>
    <w:rsid w:val="001B47AD"/>
    <w:rsid w:val="001B49FA"/>
    <w:rsid w:val="001B64CC"/>
    <w:rsid w:val="001C1A88"/>
    <w:rsid w:val="001C22CA"/>
    <w:rsid w:val="001C35C0"/>
    <w:rsid w:val="001C3DCD"/>
    <w:rsid w:val="001C4197"/>
    <w:rsid w:val="001C5771"/>
    <w:rsid w:val="001D059F"/>
    <w:rsid w:val="001D1DF6"/>
    <w:rsid w:val="001D234F"/>
    <w:rsid w:val="001D697B"/>
    <w:rsid w:val="001D7BBE"/>
    <w:rsid w:val="001E1579"/>
    <w:rsid w:val="001E20E2"/>
    <w:rsid w:val="001E3CBB"/>
    <w:rsid w:val="001E6C65"/>
    <w:rsid w:val="001E7D15"/>
    <w:rsid w:val="001F017A"/>
    <w:rsid w:val="001F253F"/>
    <w:rsid w:val="001F348C"/>
    <w:rsid w:val="001F3926"/>
    <w:rsid w:val="002015CD"/>
    <w:rsid w:val="00204827"/>
    <w:rsid w:val="00206963"/>
    <w:rsid w:val="00206D87"/>
    <w:rsid w:val="002073F9"/>
    <w:rsid w:val="0021033E"/>
    <w:rsid w:val="002115C4"/>
    <w:rsid w:val="0021166E"/>
    <w:rsid w:val="00211CC2"/>
    <w:rsid w:val="00212CA5"/>
    <w:rsid w:val="002136A5"/>
    <w:rsid w:val="00214914"/>
    <w:rsid w:val="00214E72"/>
    <w:rsid w:val="0021518D"/>
    <w:rsid w:val="0021672E"/>
    <w:rsid w:val="00216B8A"/>
    <w:rsid w:val="00217AC7"/>
    <w:rsid w:val="002221D6"/>
    <w:rsid w:val="00222E55"/>
    <w:rsid w:val="00222FB3"/>
    <w:rsid w:val="00223922"/>
    <w:rsid w:val="00225D31"/>
    <w:rsid w:val="00227FA9"/>
    <w:rsid w:val="00234159"/>
    <w:rsid w:val="00235677"/>
    <w:rsid w:val="002378DA"/>
    <w:rsid w:val="00241454"/>
    <w:rsid w:val="00242130"/>
    <w:rsid w:val="002439DB"/>
    <w:rsid w:val="002516A5"/>
    <w:rsid w:val="00252786"/>
    <w:rsid w:val="00252999"/>
    <w:rsid w:val="002546A3"/>
    <w:rsid w:val="0026027E"/>
    <w:rsid w:val="002604CC"/>
    <w:rsid w:val="002605F1"/>
    <w:rsid w:val="00261BA9"/>
    <w:rsid w:val="00265DB3"/>
    <w:rsid w:val="0026652F"/>
    <w:rsid w:val="00266635"/>
    <w:rsid w:val="002668C2"/>
    <w:rsid w:val="00270056"/>
    <w:rsid w:val="002704C4"/>
    <w:rsid w:val="002720F5"/>
    <w:rsid w:val="002723B3"/>
    <w:rsid w:val="002725F9"/>
    <w:rsid w:val="00273D5A"/>
    <w:rsid w:val="00274A31"/>
    <w:rsid w:val="0027620F"/>
    <w:rsid w:val="00277A90"/>
    <w:rsid w:val="00277BF8"/>
    <w:rsid w:val="00281CE0"/>
    <w:rsid w:val="00282D96"/>
    <w:rsid w:val="0028386E"/>
    <w:rsid w:val="0028557A"/>
    <w:rsid w:val="0028561D"/>
    <w:rsid w:val="002863BF"/>
    <w:rsid w:val="00290A49"/>
    <w:rsid w:val="00297ECC"/>
    <w:rsid w:val="002A1ED0"/>
    <w:rsid w:val="002A2AB9"/>
    <w:rsid w:val="002A396F"/>
    <w:rsid w:val="002A407F"/>
    <w:rsid w:val="002A46E3"/>
    <w:rsid w:val="002A4F16"/>
    <w:rsid w:val="002A66A7"/>
    <w:rsid w:val="002A6EE6"/>
    <w:rsid w:val="002B0442"/>
    <w:rsid w:val="002B2BC4"/>
    <w:rsid w:val="002B7121"/>
    <w:rsid w:val="002B7FB7"/>
    <w:rsid w:val="002C0036"/>
    <w:rsid w:val="002C0AF8"/>
    <w:rsid w:val="002C1009"/>
    <w:rsid w:val="002C3B07"/>
    <w:rsid w:val="002C58FE"/>
    <w:rsid w:val="002C5ECD"/>
    <w:rsid w:val="002C6016"/>
    <w:rsid w:val="002C69B4"/>
    <w:rsid w:val="002D3540"/>
    <w:rsid w:val="002D3683"/>
    <w:rsid w:val="002D3F9D"/>
    <w:rsid w:val="002D7FB9"/>
    <w:rsid w:val="002E1B06"/>
    <w:rsid w:val="002E2687"/>
    <w:rsid w:val="002E503E"/>
    <w:rsid w:val="002E5433"/>
    <w:rsid w:val="002E6730"/>
    <w:rsid w:val="002E796C"/>
    <w:rsid w:val="002E7BCD"/>
    <w:rsid w:val="002F2394"/>
    <w:rsid w:val="002F3961"/>
    <w:rsid w:val="002F4230"/>
    <w:rsid w:val="002F65E3"/>
    <w:rsid w:val="002F788D"/>
    <w:rsid w:val="0030058F"/>
    <w:rsid w:val="00302F5D"/>
    <w:rsid w:val="0030429C"/>
    <w:rsid w:val="003059F9"/>
    <w:rsid w:val="00314A6E"/>
    <w:rsid w:val="003175FD"/>
    <w:rsid w:val="003205E1"/>
    <w:rsid w:val="003220FC"/>
    <w:rsid w:val="00326B1D"/>
    <w:rsid w:val="00326FE2"/>
    <w:rsid w:val="0033116F"/>
    <w:rsid w:val="003328FB"/>
    <w:rsid w:val="00333D9B"/>
    <w:rsid w:val="00335B31"/>
    <w:rsid w:val="00336599"/>
    <w:rsid w:val="00337E52"/>
    <w:rsid w:val="00344805"/>
    <w:rsid w:val="00344E96"/>
    <w:rsid w:val="00347773"/>
    <w:rsid w:val="003479AA"/>
    <w:rsid w:val="00351131"/>
    <w:rsid w:val="003525EE"/>
    <w:rsid w:val="00354F50"/>
    <w:rsid w:val="00365EC0"/>
    <w:rsid w:val="0037004B"/>
    <w:rsid w:val="00370D37"/>
    <w:rsid w:val="00372177"/>
    <w:rsid w:val="0037253B"/>
    <w:rsid w:val="003751FF"/>
    <w:rsid w:val="00380942"/>
    <w:rsid w:val="0038095B"/>
    <w:rsid w:val="00383014"/>
    <w:rsid w:val="00383C8B"/>
    <w:rsid w:val="00391345"/>
    <w:rsid w:val="003941AD"/>
    <w:rsid w:val="003963E3"/>
    <w:rsid w:val="0039724A"/>
    <w:rsid w:val="003A1ED2"/>
    <w:rsid w:val="003A260D"/>
    <w:rsid w:val="003A5964"/>
    <w:rsid w:val="003A65DE"/>
    <w:rsid w:val="003A7475"/>
    <w:rsid w:val="003A7D80"/>
    <w:rsid w:val="003B151A"/>
    <w:rsid w:val="003B2546"/>
    <w:rsid w:val="003B2A2A"/>
    <w:rsid w:val="003B749F"/>
    <w:rsid w:val="003B7CAF"/>
    <w:rsid w:val="003C013D"/>
    <w:rsid w:val="003C09A8"/>
    <w:rsid w:val="003C3D24"/>
    <w:rsid w:val="003C46A0"/>
    <w:rsid w:val="003C610B"/>
    <w:rsid w:val="003D1D19"/>
    <w:rsid w:val="003D20E4"/>
    <w:rsid w:val="003D4018"/>
    <w:rsid w:val="003D4EAE"/>
    <w:rsid w:val="003D6652"/>
    <w:rsid w:val="003D6CA8"/>
    <w:rsid w:val="003E423B"/>
    <w:rsid w:val="003F261B"/>
    <w:rsid w:val="003F2789"/>
    <w:rsid w:val="003F30AE"/>
    <w:rsid w:val="003F48D8"/>
    <w:rsid w:val="00403F39"/>
    <w:rsid w:val="004045F3"/>
    <w:rsid w:val="004059EB"/>
    <w:rsid w:val="00406049"/>
    <w:rsid w:val="00406329"/>
    <w:rsid w:val="00407085"/>
    <w:rsid w:val="004105A9"/>
    <w:rsid w:val="00411116"/>
    <w:rsid w:val="004118C3"/>
    <w:rsid w:val="00412607"/>
    <w:rsid w:val="00415642"/>
    <w:rsid w:val="0041699B"/>
    <w:rsid w:val="004222FD"/>
    <w:rsid w:val="0042422A"/>
    <w:rsid w:val="00424391"/>
    <w:rsid w:val="0042447A"/>
    <w:rsid w:val="004248A0"/>
    <w:rsid w:val="00425A81"/>
    <w:rsid w:val="0042793F"/>
    <w:rsid w:val="00431B34"/>
    <w:rsid w:val="004329F5"/>
    <w:rsid w:val="00432B02"/>
    <w:rsid w:val="00432DB2"/>
    <w:rsid w:val="00433DC3"/>
    <w:rsid w:val="00436D9E"/>
    <w:rsid w:val="0043748C"/>
    <w:rsid w:val="00441098"/>
    <w:rsid w:val="004455AE"/>
    <w:rsid w:val="004464DC"/>
    <w:rsid w:val="004473D1"/>
    <w:rsid w:val="00450ABE"/>
    <w:rsid w:val="0045462F"/>
    <w:rsid w:val="00454D51"/>
    <w:rsid w:val="00455FFC"/>
    <w:rsid w:val="004564F8"/>
    <w:rsid w:val="00456F1F"/>
    <w:rsid w:val="004570A3"/>
    <w:rsid w:val="00457614"/>
    <w:rsid w:val="00457D62"/>
    <w:rsid w:val="00460598"/>
    <w:rsid w:val="00460F24"/>
    <w:rsid w:val="0046153D"/>
    <w:rsid w:val="00461ECA"/>
    <w:rsid w:val="00470FDE"/>
    <w:rsid w:val="00473E2A"/>
    <w:rsid w:val="004773F6"/>
    <w:rsid w:val="004840E3"/>
    <w:rsid w:val="00485ABA"/>
    <w:rsid w:val="00491870"/>
    <w:rsid w:val="00495583"/>
    <w:rsid w:val="0049703D"/>
    <w:rsid w:val="004A1219"/>
    <w:rsid w:val="004A15C9"/>
    <w:rsid w:val="004A2B6F"/>
    <w:rsid w:val="004A46BE"/>
    <w:rsid w:val="004A5ED6"/>
    <w:rsid w:val="004A7FCE"/>
    <w:rsid w:val="004B0CC2"/>
    <w:rsid w:val="004B0D03"/>
    <w:rsid w:val="004B0EC7"/>
    <w:rsid w:val="004B235C"/>
    <w:rsid w:val="004B3AC8"/>
    <w:rsid w:val="004B505E"/>
    <w:rsid w:val="004B51C7"/>
    <w:rsid w:val="004B5879"/>
    <w:rsid w:val="004B6606"/>
    <w:rsid w:val="004C0328"/>
    <w:rsid w:val="004C21F3"/>
    <w:rsid w:val="004C22E1"/>
    <w:rsid w:val="004C2D40"/>
    <w:rsid w:val="004C5A75"/>
    <w:rsid w:val="004C7DFA"/>
    <w:rsid w:val="004D0EA6"/>
    <w:rsid w:val="004D4B27"/>
    <w:rsid w:val="004D5A7C"/>
    <w:rsid w:val="004D6033"/>
    <w:rsid w:val="004D698F"/>
    <w:rsid w:val="004D7DAA"/>
    <w:rsid w:val="004E1E20"/>
    <w:rsid w:val="004E2931"/>
    <w:rsid w:val="004E5030"/>
    <w:rsid w:val="004E5898"/>
    <w:rsid w:val="004E5AF4"/>
    <w:rsid w:val="004E7B92"/>
    <w:rsid w:val="004E7C57"/>
    <w:rsid w:val="004F3C81"/>
    <w:rsid w:val="004F5103"/>
    <w:rsid w:val="00501581"/>
    <w:rsid w:val="005027E6"/>
    <w:rsid w:val="00506484"/>
    <w:rsid w:val="0050764F"/>
    <w:rsid w:val="00507AC7"/>
    <w:rsid w:val="00511C93"/>
    <w:rsid w:val="00511FB5"/>
    <w:rsid w:val="00512725"/>
    <w:rsid w:val="00512AD4"/>
    <w:rsid w:val="00512D9B"/>
    <w:rsid w:val="00514DE3"/>
    <w:rsid w:val="00516497"/>
    <w:rsid w:val="0051687D"/>
    <w:rsid w:val="0051715A"/>
    <w:rsid w:val="00517BD7"/>
    <w:rsid w:val="00522C14"/>
    <w:rsid w:val="0052336D"/>
    <w:rsid w:val="00524CDC"/>
    <w:rsid w:val="00525791"/>
    <w:rsid w:val="00525B80"/>
    <w:rsid w:val="0053078B"/>
    <w:rsid w:val="00530ADC"/>
    <w:rsid w:val="00532A0A"/>
    <w:rsid w:val="0053419A"/>
    <w:rsid w:val="00536151"/>
    <w:rsid w:val="00537E06"/>
    <w:rsid w:val="00541574"/>
    <w:rsid w:val="00542347"/>
    <w:rsid w:val="00542AB9"/>
    <w:rsid w:val="005437E4"/>
    <w:rsid w:val="00544C5F"/>
    <w:rsid w:val="00546A2B"/>
    <w:rsid w:val="00551263"/>
    <w:rsid w:val="00551B06"/>
    <w:rsid w:val="00555749"/>
    <w:rsid w:val="00555DB0"/>
    <w:rsid w:val="00560F5A"/>
    <w:rsid w:val="00561A2C"/>
    <w:rsid w:val="005621F3"/>
    <w:rsid w:val="00565A61"/>
    <w:rsid w:val="00566108"/>
    <w:rsid w:val="00567508"/>
    <w:rsid w:val="00567D7B"/>
    <w:rsid w:val="00571BC4"/>
    <w:rsid w:val="005729D5"/>
    <w:rsid w:val="0057520F"/>
    <w:rsid w:val="00576B97"/>
    <w:rsid w:val="00576F43"/>
    <w:rsid w:val="00583A8E"/>
    <w:rsid w:val="00584F10"/>
    <w:rsid w:val="00585FC3"/>
    <w:rsid w:val="00590BAB"/>
    <w:rsid w:val="00594C65"/>
    <w:rsid w:val="005A2F4B"/>
    <w:rsid w:val="005A3CAF"/>
    <w:rsid w:val="005A52BF"/>
    <w:rsid w:val="005A5E0C"/>
    <w:rsid w:val="005B3D2E"/>
    <w:rsid w:val="005B42FC"/>
    <w:rsid w:val="005B478C"/>
    <w:rsid w:val="005B5199"/>
    <w:rsid w:val="005B5D97"/>
    <w:rsid w:val="005B65D2"/>
    <w:rsid w:val="005B6808"/>
    <w:rsid w:val="005C08B8"/>
    <w:rsid w:val="005C0B7F"/>
    <w:rsid w:val="005C0E2F"/>
    <w:rsid w:val="005C112A"/>
    <w:rsid w:val="005C5E0E"/>
    <w:rsid w:val="005D07A9"/>
    <w:rsid w:val="005D1D3C"/>
    <w:rsid w:val="005D310B"/>
    <w:rsid w:val="005D3549"/>
    <w:rsid w:val="005D3BFB"/>
    <w:rsid w:val="005D3D01"/>
    <w:rsid w:val="005D5685"/>
    <w:rsid w:val="005D6B82"/>
    <w:rsid w:val="005D6EDD"/>
    <w:rsid w:val="005E2E35"/>
    <w:rsid w:val="005E37BF"/>
    <w:rsid w:val="005E3E89"/>
    <w:rsid w:val="005E3EAB"/>
    <w:rsid w:val="005E5213"/>
    <w:rsid w:val="005E56CE"/>
    <w:rsid w:val="005E6402"/>
    <w:rsid w:val="005E7D0B"/>
    <w:rsid w:val="005F1FA8"/>
    <w:rsid w:val="005F4844"/>
    <w:rsid w:val="00601113"/>
    <w:rsid w:val="00603BB9"/>
    <w:rsid w:val="0060548C"/>
    <w:rsid w:val="00605BD2"/>
    <w:rsid w:val="00606B96"/>
    <w:rsid w:val="00610F84"/>
    <w:rsid w:val="00612816"/>
    <w:rsid w:val="00612CB1"/>
    <w:rsid w:val="006132E4"/>
    <w:rsid w:val="00613AFE"/>
    <w:rsid w:val="00614EE6"/>
    <w:rsid w:val="006168E9"/>
    <w:rsid w:val="006221F6"/>
    <w:rsid w:val="006242C3"/>
    <w:rsid w:val="00624C4D"/>
    <w:rsid w:val="00635E24"/>
    <w:rsid w:val="006371DC"/>
    <w:rsid w:val="00642F5D"/>
    <w:rsid w:val="0064457C"/>
    <w:rsid w:val="00645177"/>
    <w:rsid w:val="006462B7"/>
    <w:rsid w:val="00651FE7"/>
    <w:rsid w:val="00653024"/>
    <w:rsid w:val="00653E77"/>
    <w:rsid w:val="00654D0C"/>
    <w:rsid w:val="006602ED"/>
    <w:rsid w:val="00660E55"/>
    <w:rsid w:val="00661C69"/>
    <w:rsid w:val="006632AD"/>
    <w:rsid w:val="00664A7B"/>
    <w:rsid w:val="00667D12"/>
    <w:rsid w:val="00672266"/>
    <w:rsid w:val="006745EA"/>
    <w:rsid w:val="006758AF"/>
    <w:rsid w:val="00675EBA"/>
    <w:rsid w:val="00677323"/>
    <w:rsid w:val="0068248C"/>
    <w:rsid w:val="00683BD8"/>
    <w:rsid w:val="00686872"/>
    <w:rsid w:val="006902B8"/>
    <w:rsid w:val="00693191"/>
    <w:rsid w:val="0069413D"/>
    <w:rsid w:val="006948A9"/>
    <w:rsid w:val="00695BB5"/>
    <w:rsid w:val="006A2B63"/>
    <w:rsid w:val="006A32E0"/>
    <w:rsid w:val="006A3964"/>
    <w:rsid w:val="006A5C29"/>
    <w:rsid w:val="006A74E3"/>
    <w:rsid w:val="006A7C92"/>
    <w:rsid w:val="006B2CBC"/>
    <w:rsid w:val="006B3F64"/>
    <w:rsid w:val="006B4076"/>
    <w:rsid w:val="006B7A79"/>
    <w:rsid w:val="006C14CD"/>
    <w:rsid w:val="006C2F6B"/>
    <w:rsid w:val="006C32C9"/>
    <w:rsid w:val="006D0ED1"/>
    <w:rsid w:val="006D2111"/>
    <w:rsid w:val="006D5DAE"/>
    <w:rsid w:val="006D7A45"/>
    <w:rsid w:val="006E2488"/>
    <w:rsid w:val="006E2B0E"/>
    <w:rsid w:val="006E620A"/>
    <w:rsid w:val="006E6FE7"/>
    <w:rsid w:val="006E7980"/>
    <w:rsid w:val="006F0B4C"/>
    <w:rsid w:val="006F39D8"/>
    <w:rsid w:val="006F715E"/>
    <w:rsid w:val="00700FB9"/>
    <w:rsid w:val="00707472"/>
    <w:rsid w:val="007155E6"/>
    <w:rsid w:val="00716017"/>
    <w:rsid w:val="00716C42"/>
    <w:rsid w:val="007179B2"/>
    <w:rsid w:val="00723310"/>
    <w:rsid w:val="00725226"/>
    <w:rsid w:val="00727914"/>
    <w:rsid w:val="00731AF7"/>
    <w:rsid w:val="00732C0E"/>
    <w:rsid w:val="0074164F"/>
    <w:rsid w:val="00744276"/>
    <w:rsid w:val="00745E1C"/>
    <w:rsid w:val="0074613C"/>
    <w:rsid w:val="00746D97"/>
    <w:rsid w:val="007479AD"/>
    <w:rsid w:val="00747E39"/>
    <w:rsid w:val="007515D3"/>
    <w:rsid w:val="0075407C"/>
    <w:rsid w:val="00754F12"/>
    <w:rsid w:val="00755F74"/>
    <w:rsid w:val="00756145"/>
    <w:rsid w:val="00763C65"/>
    <w:rsid w:val="007649F4"/>
    <w:rsid w:val="00764CE2"/>
    <w:rsid w:val="00767D4D"/>
    <w:rsid w:val="0077006C"/>
    <w:rsid w:val="007710AA"/>
    <w:rsid w:val="007722D2"/>
    <w:rsid w:val="00781D64"/>
    <w:rsid w:val="00785917"/>
    <w:rsid w:val="00786317"/>
    <w:rsid w:val="00790E17"/>
    <w:rsid w:val="0079100F"/>
    <w:rsid w:val="0079291B"/>
    <w:rsid w:val="0079429E"/>
    <w:rsid w:val="007952D4"/>
    <w:rsid w:val="00795AF2"/>
    <w:rsid w:val="00796861"/>
    <w:rsid w:val="007A0BC4"/>
    <w:rsid w:val="007A1485"/>
    <w:rsid w:val="007A195B"/>
    <w:rsid w:val="007A1E22"/>
    <w:rsid w:val="007A2A40"/>
    <w:rsid w:val="007A7E3F"/>
    <w:rsid w:val="007B0E9C"/>
    <w:rsid w:val="007B2794"/>
    <w:rsid w:val="007B4CFF"/>
    <w:rsid w:val="007B53B3"/>
    <w:rsid w:val="007C33CC"/>
    <w:rsid w:val="007C364E"/>
    <w:rsid w:val="007C3A32"/>
    <w:rsid w:val="007C4F87"/>
    <w:rsid w:val="007C70F1"/>
    <w:rsid w:val="007D03AE"/>
    <w:rsid w:val="007D052D"/>
    <w:rsid w:val="007D0F9E"/>
    <w:rsid w:val="007D1584"/>
    <w:rsid w:val="007D22A7"/>
    <w:rsid w:val="007D32E7"/>
    <w:rsid w:val="007E2156"/>
    <w:rsid w:val="007E28AB"/>
    <w:rsid w:val="007E4042"/>
    <w:rsid w:val="007E5C05"/>
    <w:rsid w:val="007E5F13"/>
    <w:rsid w:val="007E650B"/>
    <w:rsid w:val="007F21B2"/>
    <w:rsid w:val="007F2347"/>
    <w:rsid w:val="007F2519"/>
    <w:rsid w:val="007F4707"/>
    <w:rsid w:val="007F7C9F"/>
    <w:rsid w:val="0080226E"/>
    <w:rsid w:val="00811745"/>
    <w:rsid w:val="00811CEB"/>
    <w:rsid w:val="00812240"/>
    <w:rsid w:val="00812477"/>
    <w:rsid w:val="00812AE7"/>
    <w:rsid w:val="00812F77"/>
    <w:rsid w:val="00815100"/>
    <w:rsid w:val="00815FD2"/>
    <w:rsid w:val="008200BE"/>
    <w:rsid w:val="00823A11"/>
    <w:rsid w:val="008252DE"/>
    <w:rsid w:val="0082795D"/>
    <w:rsid w:val="00831FF4"/>
    <w:rsid w:val="00832870"/>
    <w:rsid w:val="00832BF0"/>
    <w:rsid w:val="00835B08"/>
    <w:rsid w:val="00836100"/>
    <w:rsid w:val="008377A4"/>
    <w:rsid w:val="00837D59"/>
    <w:rsid w:val="008468F9"/>
    <w:rsid w:val="00847265"/>
    <w:rsid w:val="00853104"/>
    <w:rsid w:val="00853B61"/>
    <w:rsid w:val="008566DE"/>
    <w:rsid w:val="00856BE8"/>
    <w:rsid w:val="00857279"/>
    <w:rsid w:val="00857885"/>
    <w:rsid w:val="008578F6"/>
    <w:rsid w:val="00857BB9"/>
    <w:rsid w:val="0086106F"/>
    <w:rsid w:val="008613FA"/>
    <w:rsid w:val="00861FC5"/>
    <w:rsid w:val="00867DF5"/>
    <w:rsid w:val="00871004"/>
    <w:rsid w:val="008719B6"/>
    <w:rsid w:val="00875C8C"/>
    <w:rsid w:val="008766CE"/>
    <w:rsid w:val="008767FF"/>
    <w:rsid w:val="008778FB"/>
    <w:rsid w:val="00877A26"/>
    <w:rsid w:val="00880908"/>
    <w:rsid w:val="00880EAE"/>
    <w:rsid w:val="00882782"/>
    <w:rsid w:val="00883C15"/>
    <w:rsid w:val="0088422E"/>
    <w:rsid w:val="0088487B"/>
    <w:rsid w:val="008849CC"/>
    <w:rsid w:val="008855C4"/>
    <w:rsid w:val="00885C84"/>
    <w:rsid w:val="00887964"/>
    <w:rsid w:val="0089095F"/>
    <w:rsid w:val="008909D1"/>
    <w:rsid w:val="00891CD5"/>
    <w:rsid w:val="0089413B"/>
    <w:rsid w:val="0089776F"/>
    <w:rsid w:val="00897782"/>
    <w:rsid w:val="00897981"/>
    <w:rsid w:val="008A13B7"/>
    <w:rsid w:val="008A5CDA"/>
    <w:rsid w:val="008A6111"/>
    <w:rsid w:val="008B35C6"/>
    <w:rsid w:val="008B38E8"/>
    <w:rsid w:val="008B4921"/>
    <w:rsid w:val="008B4C8E"/>
    <w:rsid w:val="008C0945"/>
    <w:rsid w:val="008C0F53"/>
    <w:rsid w:val="008C27BE"/>
    <w:rsid w:val="008C2A71"/>
    <w:rsid w:val="008C380D"/>
    <w:rsid w:val="008C703D"/>
    <w:rsid w:val="008C77A2"/>
    <w:rsid w:val="008D03B3"/>
    <w:rsid w:val="008D088E"/>
    <w:rsid w:val="008D226B"/>
    <w:rsid w:val="008D3165"/>
    <w:rsid w:val="008D49CD"/>
    <w:rsid w:val="008D5F8D"/>
    <w:rsid w:val="008D7B67"/>
    <w:rsid w:val="008D7D9B"/>
    <w:rsid w:val="008E2A84"/>
    <w:rsid w:val="008E30F2"/>
    <w:rsid w:val="008E5EC1"/>
    <w:rsid w:val="008F07CB"/>
    <w:rsid w:val="008F7525"/>
    <w:rsid w:val="008F7574"/>
    <w:rsid w:val="0090002B"/>
    <w:rsid w:val="0090116D"/>
    <w:rsid w:val="00901B81"/>
    <w:rsid w:val="00902172"/>
    <w:rsid w:val="00903466"/>
    <w:rsid w:val="00904FB2"/>
    <w:rsid w:val="0090683D"/>
    <w:rsid w:val="00912150"/>
    <w:rsid w:val="009128CD"/>
    <w:rsid w:val="00913760"/>
    <w:rsid w:val="00923E4A"/>
    <w:rsid w:val="00927413"/>
    <w:rsid w:val="009366A5"/>
    <w:rsid w:val="00941420"/>
    <w:rsid w:val="009417D1"/>
    <w:rsid w:val="009422F3"/>
    <w:rsid w:val="00944D4C"/>
    <w:rsid w:val="009528B1"/>
    <w:rsid w:val="00952A57"/>
    <w:rsid w:val="00954468"/>
    <w:rsid w:val="0095548F"/>
    <w:rsid w:val="00957A13"/>
    <w:rsid w:val="009610CF"/>
    <w:rsid w:val="00965B07"/>
    <w:rsid w:val="00974816"/>
    <w:rsid w:val="00974ADC"/>
    <w:rsid w:val="009751FF"/>
    <w:rsid w:val="00976AC3"/>
    <w:rsid w:val="009815C1"/>
    <w:rsid w:val="00983274"/>
    <w:rsid w:val="009837BB"/>
    <w:rsid w:val="009838DC"/>
    <w:rsid w:val="00983E08"/>
    <w:rsid w:val="00987887"/>
    <w:rsid w:val="009922EE"/>
    <w:rsid w:val="009925E5"/>
    <w:rsid w:val="0099355D"/>
    <w:rsid w:val="0099477A"/>
    <w:rsid w:val="009A1EF5"/>
    <w:rsid w:val="009A23E8"/>
    <w:rsid w:val="009A4274"/>
    <w:rsid w:val="009A4546"/>
    <w:rsid w:val="009A521E"/>
    <w:rsid w:val="009A57C9"/>
    <w:rsid w:val="009A5877"/>
    <w:rsid w:val="009A72AC"/>
    <w:rsid w:val="009B3925"/>
    <w:rsid w:val="009B56E3"/>
    <w:rsid w:val="009B7AA9"/>
    <w:rsid w:val="009C0FE5"/>
    <w:rsid w:val="009C14B8"/>
    <w:rsid w:val="009C1639"/>
    <w:rsid w:val="009C2E06"/>
    <w:rsid w:val="009C2F62"/>
    <w:rsid w:val="009C5807"/>
    <w:rsid w:val="009C626B"/>
    <w:rsid w:val="009C7BB3"/>
    <w:rsid w:val="009D09C7"/>
    <w:rsid w:val="009D29DF"/>
    <w:rsid w:val="009D2CEF"/>
    <w:rsid w:val="009D6864"/>
    <w:rsid w:val="009D7A20"/>
    <w:rsid w:val="009E0459"/>
    <w:rsid w:val="009E387B"/>
    <w:rsid w:val="009E483D"/>
    <w:rsid w:val="009E5D8D"/>
    <w:rsid w:val="009E717B"/>
    <w:rsid w:val="009E7C3B"/>
    <w:rsid w:val="009F014F"/>
    <w:rsid w:val="009F0966"/>
    <w:rsid w:val="009F178A"/>
    <w:rsid w:val="009F22E1"/>
    <w:rsid w:val="009F2C6C"/>
    <w:rsid w:val="009F4D9E"/>
    <w:rsid w:val="009F73F7"/>
    <w:rsid w:val="009F76F8"/>
    <w:rsid w:val="00A0301D"/>
    <w:rsid w:val="00A057E5"/>
    <w:rsid w:val="00A061AB"/>
    <w:rsid w:val="00A0626F"/>
    <w:rsid w:val="00A12753"/>
    <w:rsid w:val="00A12C5E"/>
    <w:rsid w:val="00A13CA8"/>
    <w:rsid w:val="00A16142"/>
    <w:rsid w:val="00A16D31"/>
    <w:rsid w:val="00A2068C"/>
    <w:rsid w:val="00A235FD"/>
    <w:rsid w:val="00A2402A"/>
    <w:rsid w:val="00A3083D"/>
    <w:rsid w:val="00A33BD2"/>
    <w:rsid w:val="00A33FFD"/>
    <w:rsid w:val="00A355E1"/>
    <w:rsid w:val="00A3574D"/>
    <w:rsid w:val="00A35E9E"/>
    <w:rsid w:val="00A36B5A"/>
    <w:rsid w:val="00A373B0"/>
    <w:rsid w:val="00A37491"/>
    <w:rsid w:val="00A37B27"/>
    <w:rsid w:val="00A40984"/>
    <w:rsid w:val="00A42B09"/>
    <w:rsid w:val="00A43F5A"/>
    <w:rsid w:val="00A4642F"/>
    <w:rsid w:val="00A52FDE"/>
    <w:rsid w:val="00A537D2"/>
    <w:rsid w:val="00A556BB"/>
    <w:rsid w:val="00A563E2"/>
    <w:rsid w:val="00A60D24"/>
    <w:rsid w:val="00A61FD4"/>
    <w:rsid w:val="00A6298B"/>
    <w:rsid w:val="00A62C15"/>
    <w:rsid w:val="00A62D60"/>
    <w:rsid w:val="00A63B93"/>
    <w:rsid w:val="00A63E7F"/>
    <w:rsid w:val="00A65F07"/>
    <w:rsid w:val="00A66E02"/>
    <w:rsid w:val="00A67442"/>
    <w:rsid w:val="00A67704"/>
    <w:rsid w:val="00A7054B"/>
    <w:rsid w:val="00A70B65"/>
    <w:rsid w:val="00A719DB"/>
    <w:rsid w:val="00A73161"/>
    <w:rsid w:val="00A747CD"/>
    <w:rsid w:val="00A7502E"/>
    <w:rsid w:val="00A7690F"/>
    <w:rsid w:val="00A77F76"/>
    <w:rsid w:val="00A81514"/>
    <w:rsid w:val="00A83606"/>
    <w:rsid w:val="00A83620"/>
    <w:rsid w:val="00A86728"/>
    <w:rsid w:val="00A8747E"/>
    <w:rsid w:val="00A87EFD"/>
    <w:rsid w:val="00A92692"/>
    <w:rsid w:val="00A95BE5"/>
    <w:rsid w:val="00A97942"/>
    <w:rsid w:val="00AA25C3"/>
    <w:rsid w:val="00AA2F5D"/>
    <w:rsid w:val="00AA444D"/>
    <w:rsid w:val="00AA68DB"/>
    <w:rsid w:val="00AA6B57"/>
    <w:rsid w:val="00AB11C2"/>
    <w:rsid w:val="00AB1CCC"/>
    <w:rsid w:val="00AB28D3"/>
    <w:rsid w:val="00AB32B5"/>
    <w:rsid w:val="00AB4409"/>
    <w:rsid w:val="00AB5ABA"/>
    <w:rsid w:val="00AB6106"/>
    <w:rsid w:val="00AB6D9B"/>
    <w:rsid w:val="00AB75A7"/>
    <w:rsid w:val="00AC2109"/>
    <w:rsid w:val="00AC3E82"/>
    <w:rsid w:val="00AC4759"/>
    <w:rsid w:val="00AC7534"/>
    <w:rsid w:val="00AD32BE"/>
    <w:rsid w:val="00AD3C7D"/>
    <w:rsid w:val="00AD4628"/>
    <w:rsid w:val="00AD60F7"/>
    <w:rsid w:val="00AD674B"/>
    <w:rsid w:val="00AD7905"/>
    <w:rsid w:val="00AF6912"/>
    <w:rsid w:val="00AF6EB9"/>
    <w:rsid w:val="00AF7387"/>
    <w:rsid w:val="00AF7B8C"/>
    <w:rsid w:val="00B00235"/>
    <w:rsid w:val="00B00757"/>
    <w:rsid w:val="00B018D7"/>
    <w:rsid w:val="00B068E6"/>
    <w:rsid w:val="00B10670"/>
    <w:rsid w:val="00B11A25"/>
    <w:rsid w:val="00B11BB3"/>
    <w:rsid w:val="00B129BD"/>
    <w:rsid w:val="00B134DD"/>
    <w:rsid w:val="00B14B7B"/>
    <w:rsid w:val="00B150DB"/>
    <w:rsid w:val="00B17518"/>
    <w:rsid w:val="00B17E09"/>
    <w:rsid w:val="00B17E40"/>
    <w:rsid w:val="00B21451"/>
    <w:rsid w:val="00B215D4"/>
    <w:rsid w:val="00B218B1"/>
    <w:rsid w:val="00B23105"/>
    <w:rsid w:val="00B2390E"/>
    <w:rsid w:val="00B256F7"/>
    <w:rsid w:val="00B25B97"/>
    <w:rsid w:val="00B27465"/>
    <w:rsid w:val="00B30C3E"/>
    <w:rsid w:val="00B33657"/>
    <w:rsid w:val="00B33C04"/>
    <w:rsid w:val="00B33EFF"/>
    <w:rsid w:val="00B34A0E"/>
    <w:rsid w:val="00B365DE"/>
    <w:rsid w:val="00B36946"/>
    <w:rsid w:val="00B36B65"/>
    <w:rsid w:val="00B4080F"/>
    <w:rsid w:val="00B40EFA"/>
    <w:rsid w:val="00B4211B"/>
    <w:rsid w:val="00B42EB1"/>
    <w:rsid w:val="00B4569D"/>
    <w:rsid w:val="00B47153"/>
    <w:rsid w:val="00B47ABB"/>
    <w:rsid w:val="00B52973"/>
    <w:rsid w:val="00B52C52"/>
    <w:rsid w:val="00B5315B"/>
    <w:rsid w:val="00B542E7"/>
    <w:rsid w:val="00B5457F"/>
    <w:rsid w:val="00B547CF"/>
    <w:rsid w:val="00B63F2E"/>
    <w:rsid w:val="00B64605"/>
    <w:rsid w:val="00B649B5"/>
    <w:rsid w:val="00B6626F"/>
    <w:rsid w:val="00B672D4"/>
    <w:rsid w:val="00B71B0C"/>
    <w:rsid w:val="00B7229B"/>
    <w:rsid w:val="00B72576"/>
    <w:rsid w:val="00B73349"/>
    <w:rsid w:val="00B75314"/>
    <w:rsid w:val="00B761CE"/>
    <w:rsid w:val="00B7624D"/>
    <w:rsid w:val="00B76CBC"/>
    <w:rsid w:val="00B80435"/>
    <w:rsid w:val="00B80FD2"/>
    <w:rsid w:val="00B81F15"/>
    <w:rsid w:val="00B8511B"/>
    <w:rsid w:val="00B85700"/>
    <w:rsid w:val="00B918DB"/>
    <w:rsid w:val="00B91BB4"/>
    <w:rsid w:val="00B93BE3"/>
    <w:rsid w:val="00B95C07"/>
    <w:rsid w:val="00B97F35"/>
    <w:rsid w:val="00BA0030"/>
    <w:rsid w:val="00BA0673"/>
    <w:rsid w:val="00BA234E"/>
    <w:rsid w:val="00BA57DC"/>
    <w:rsid w:val="00BA74EC"/>
    <w:rsid w:val="00BA7891"/>
    <w:rsid w:val="00BB1B61"/>
    <w:rsid w:val="00BB4008"/>
    <w:rsid w:val="00BB5F5B"/>
    <w:rsid w:val="00BB6287"/>
    <w:rsid w:val="00BB7816"/>
    <w:rsid w:val="00BC0E47"/>
    <w:rsid w:val="00BC4DED"/>
    <w:rsid w:val="00BC5A78"/>
    <w:rsid w:val="00BC6600"/>
    <w:rsid w:val="00BD100B"/>
    <w:rsid w:val="00BD3004"/>
    <w:rsid w:val="00BD3ACB"/>
    <w:rsid w:val="00BD6E3C"/>
    <w:rsid w:val="00BD72DA"/>
    <w:rsid w:val="00BD74CB"/>
    <w:rsid w:val="00BD7BBB"/>
    <w:rsid w:val="00BE16ED"/>
    <w:rsid w:val="00BE2019"/>
    <w:rsid w:val="00BE2FF9"/>
    <w:rsid w:val="00BE3303"/>
    <w:rsid w:val="00BE3CAD"/>
    <w:rsid w:val="00BE461B"/>
    <w:rsid w:val="00BE5D26"/>
    <w:rsid w:val="00BE66A8"/>
    <w:rsid w:val="00BE77F0"/>
    <w:rsid w:val="00BF2A1B"/>
    <w:rsid w:val="00BF4288"/>
    <w:rsid w:val="00BF4795"/>
    <w:rsid w:val="00BF4D0D"/>
    <w:rsid w:val="00BF67AD"/>
    <w:rsid w:val="00BF6B67"/>
    <w:rsid w:val="00C02BC1"/>
    <w:rsid w:val="00C02BEF"/>
    <w:rsid w:val="00C03540"/>
    <w:rsid w:val="00C04665"/>
    <w:rsid w:val="00C05CE6"/>
    <w:rsid w:val="00C06220"/>
    <w:rsid w:val="00C11D49"/>
    <w:rsid w:val="00C12FE8"/>
    <w:rsid w:val="00C138AC"/>
    <w:rsid w:val="00C15648"/>
    <w:rsid w:val="00C157B6"/>
    <w:rsid w:val="00C1745C"/>
    <w:rsid w:val="00C17908"/>
    <w:rsid w:val="00C2049F"/>
    <w:rsid w:val="00C20B00"/>
    <w:rsid w:val="00C20DBC"/>
    <w:rsid w:val="00C2300A"/>
    <w:rsid w:val="00C230F9"/>
    <w:rsid w:val="00C23821"/>
    <w:rsid w:val="00C25729"/>
    <w:rsid w:val="00C264B2"/>
    <w:rsid w:val="00C27468"/>
    <w:rsid w:val="00C316E7"/>
    <w:rsid w:val="00C328DB"/>
    <w:rsid w:val="00C32953"/>
    <w:rsid w:val="00C32D82"/>
    <w:rsid w:val="00C3397C"/>
    <w:rsid w:val="00C341FA"/>
    <w:rsid w:val="00C3741F"/>
    <w:rsid w:val="00C40057"/>
    <w:rsid w:val="00C41357"/>
    <w:rsid w:val="00C41499"/>
    <w:rsid w:val="00C43C7F"/>
    <w:rsid w:val="00C44AA6"/>
    <w:rsid w:val="00C45588"/>
    <w:rsid w:val="00C5061A"/>
    <w:rsid w:val="00C51433"/>
    <w:rsid w:val="00C5160C"/>
    <w:rsid w:val="00C51A90"/>
    <w:rsid w:val="00C526B8"/>
    <w:rsid w:val="00C52C88"/>
    <w:rsid w:val="00C577B7"/>
    <w:rsid w:val="00C60C23"/>
    <w:rsid w:val="00C60E10"/>
    <w:rsid w:val="00C64637"/>
    <w:rsid w:val="00C64677"/>
    <w:rsid w:val="00C65DA1"/>
    <w:rsid w:val="00C67040"/>
    <w:rsid w:val="00C70E9E"/>
    <w:rsid w:val="00C7203A"/>
    <w:rsid w:val="00C7417D"/>
    <w:rsid w:val="00C75809"/>
    <w:rsid w:val="00C77675"/>
    <w:rsid w:val="00C77A04"/>
    <w:rsid w:val="00C77EC1"/>
    <w:rsid w:val="00C80119"/>
    <w:rsid w:val="00C817B5"/>
    <w:rsid w:val="00C81F3E"/>
    <w:rsid w:val="00C85D81"/>
    <w:rsid w:val="00C85E8E"/>
    <w:rsid w:val="00C8791F"/>
    <w:rsid w:val="00C910B5"/>
    <w:rsid w:val="00C9231E"/>
    <w:rsid w:val="00C94B25"/>
    <w:rsid w:val="00C95542"/>
    <w:rsid w:val="00C97A18"/>
    <w:rsid w:val="00CA1ED2"/>
    <w:rsid w:val="00CA550B"/>
    <w:rsid w:val="00CA6260"/>
    <w:rsid w:val="00CB05EC"/>
    <w:rsid w:val="00CB07F7"/>
    <w:rsid w:val="00CB0A1D"/>
    <w:rsid w:val="00CB2D58"/>
    <w:rsid w:val="00CB3FDC"/>
    <w:rsid w:val="00CC0DA1"/>
    <w:rsid w:val="00CC2473"/>
    <w:rsid w:val="00CC55A6"/>
    <w:rsid w:val="00CC7F9C"/>
    <w:rsid w:val="00CD37A2"/>
    <w:rsid w:val="00CD45AF"/>
    <w:rsid w:val="00CD6828"/>
    <w:rsid w:val="00CE17D6"/>
    <w:rsid w:val="00CE2664"/>
    <w:rsid w:val="00CE28CC"/>
    <w:rsid w:val="00CE3D06"/>
    <w:rsid w:val="00CE5233"/>
    <w:rsid w:val="00CE550A"/>
    <w:rsid w:val="00CE6188"/>
    <w:rsid w:val="00CE6878"/>
    <w:rsid w:val="00CE6D9D"/>
    <w:rsid w:val="00CE7BF9"/>
    <w:rsid w:val="00CF2C69"/>
    <w:rsid w:val="00CF6D21"/>
    <w:rsid w:val="00CF78DD"/>
    <w:rsid w:val="00D01DF6"/>
    <w:rsid w:val="00D035B3"/>
    <w:rsid w:val="00D04DF7"/>
    <w:rsid w:val="00D0590E"/>
    <w:rsid w:val="00D05A56"/>
    <w:rsid w:val="00D141F8"/>
    <w:rsid w:val="00D1435F"/>
    <w:rsid w:val="00D150DC"/>
    <w:rsid w:val="00D16145"/>
    <w:rsid w:val="00D161D7"/>
    <w:rsid w:val="00D16510"/>
    <w:rsid w:val="00D17592"/>
    <w:rsid w:val="00D22708"/>
    <w:rsid w:val="00D22D54"/>
    <w:rsid w:val="00D27ACE"/>
    <w:rsid w:val="00D3126D"/>
    <w:rsid w:val="00D31BE1"/>
    <w:rsid w:val="00D342E8"/>
    <w:rsid w:val="00D34389"/>
    <w:rsid w:val="00D35D59"/>
    <w:rsid w:val="00D4004F"/>
    <w:rsid w:val="00D42309"/>
    <w:rsid w:val="00D437B4"/>
    <w:rsid w:val="00D45025"/>
    <w:rsid w:val="00D4599D"/>
    <w:rsid w:val="00D463D7"/>
    <w:rsid w:val="00D515B5"/>
    <w:rsid w:val="00D51786"/>
    <w:rsid w:val="00D51C5A"/>
    <w:rsid w:val="00D52E28"/>
    <w:rsid w:val="00D53C63"/>
    <w:rsid w:val="00D54418"/>
    <w:rsid w:val="00D55423"/>
    <w:rsid w:val="00D57494"/>
    <w:rsid w:val="00D60F3F"/>
    <w:rsid w:val="00D63023"/>
    <w:rsid w:val="00D658D3"/>
    <w:rsid w:val="00D65CCA"/>
    <w:rsid w:val="00D66820"/>
    <w:rsid w:val="00D66D9E"/>
    <w:rsid w:val="00D7020B"/>
    <w:rsid w:val="00D83AE7"/>
    <w:rsid w:val="00D844DE"/>
    <w:rsid w:val="00D85737"/>
    <w:rsid w:val="00D864F4"/>
    <w:rsid w:val="00D86595"/>
    <w:rsid w:val="00D9039A"/>
    <w:rsid w:val="00D91684"/>
    <w:rsid w:val="00D920AA"/>
    <w:rsid w:val="00D95266"/>
    <w:rsid w:val="00D9560E"/>
    <w:rsid w:val="00D97112"/>
    <w:rsid w:val="00DA030A"/>
    <w:rsid w:val="00DA4277"/>
    <w:rsid w:val="00DA5043"/>
    <w:rsid w:val="00DB083F"/>
    <w:rsid w:val="00DB17BA"/>
    <w:rsid w:val="00DB2863"/>
    <w:rsid w:val="00DB3540"/>
    <w:rsid w:val="00DB4933"/>
    <w:rsid w:val="00DB5AA6"/>
    <w:rsid w:val="00DB5EE4"/>
    <w:rsid w:val="00DB64CB"/>
    <w:rsid w:val="00DC1617"/>
    <w:rsid w:val="00DC176E"/>
    <w:rsid w:val="00DC4FEB"/>
    <w:rsid w:val="00DC5C91"/>
    <w:rsid w:val="00DC5F34"/>
    <w:rsid w:val="00DC5FFA"/>
    <w:rsid w:val="00DC6136"/>
    <w:rsid w:val="00DC7066"/>
    <w:rsid w:val="00DC780B"/>
    <w:rsid w:val="00DC7CBF"/>
    <w:rsid w:val="00DD0640"/>
    <w:rsid w:val="00DD1481"/>
    <w:rsid w:val="00DD38C9"/>
    <w:rsid w:val="00DD3D3D"/>
    <w:rsid w:val="00DD479B"/>
    <w:rsid w:val="00DD55F4"/>
    <w:rsid w:val="00DD570A"/>
    <w:rsid w:val="00DD6903"/>
    <w:rsid w:val="00DD6E3B"/>
    <w:rsid w:val="00DD7BC4"/>
    <w:rsid w:val="00DE5975"/>
    <w:rsid w:val="00DE5DEC"/>
    <w:rsid w:val="00DF37E7"/>
    <w:rsid w:val="00DF38BB"/>
    <w:rsid w:val="00DF6354"/>
    <w:rsid w:val="00DF7018"/>
    <w:rsid w:val="00E0312C"/>
    <w:rsid w:val="00E036B6"/>
    <w:rsid w:val="00E11625"/>
    <w:rsid w:val="00E11A76"/>
    <w:rsid w:val="00E158ED"/>
    <w:rsid w:val="00E15DB1"/>
    <w:rsid w:val="00E2176A"/>
    <w:rsid w:val="00E23CC6"/>
    <w:rsid w:val="00E2417C"/>
    <w:rsid w:val="00E254E1"/>
    <w:rsid w:val="00E27198"/>
    <w:rsid w:val="00E27D8A"/>
    <w:rsid w:val="00E326D5"/>
    <w:rsid w:val="00E34CF7"/>
    <w:rsid w:val="00E35963"/>
    <w:rsid w:val="00E36300"/>
    <w:rsid w:val="00E40B04"/>
    <w:rsid w:val="00E422CC"/>
    <w:rsid w:val="00E42F61"/>
    <w:rsid w:val="00E434D1"/>
    <w:rsid w:val="00E4549E"/>
    <w:rsid w:val="00E45627"/>
    <w:rsid w:val="00E47AA9"/>
    <w:rsid w:val="00E51D5F"/>
    <w:rsid w:val="00E54A8D"/>
    <w:rsid w:val="00E554B2"/>
    <w:rsid w:val="00E560ED"/>
    <w:rsid w:val="00E5751E"/>
    <w:rsid w:val="00E57B4C"/>
    <w:rsid w:val="00E605FD"/>
    <w:rsid w:val="00E61ED8"/>
    <w:rsid w:val="00E66E24"/>
    <w:rsid w:val="00E70995"/>
    <w:rsid w:val="00E71189"/>
    <w:rsid w:val="00E72370"/>
    <w:rsid w:val="00E731CE"/>
    <w:rsid w:val="00E75E2B"/>
    <w:rsid w:val="00E776D4"/>
    <w:rsid w:val="00E8203D"/>
    <w:rsid w:val="00E83331"/>
    <w:rsid w:val="00E83755"/>
    <w:rsid w:val="00E844DD"/>
    <w:rsid w:val="00E867AE"/>
    <w:rsid w:val="00E86D3E"/>
    <w:rsid w:val="00E87928"/>
    <w:rsid w:val="00E87DB9"/>
    <w:rsid w:val="00E919F1"/>
    <w:rsid w:val="00E91B02"/>
    <w:rsid w:val="00E92D22"/>
    <w:rsid w:val="00E93C3F"/>
    <w:rsid w:val="00E958AA"/>
    <w:rsid w:val="00E96C94"/>
    <w:rsid w:val="00EA03E1"/>
    <w:rsid w:val="00EA06C6"/>
    <w:rsid w:val="00EA0803"/>
    <w:rsid w:val="00EA25A5"/>
    <w:rsid w:val="00EA5C73"/>
    <w:rsid w:val="00EA5E76"/>
    <w:rsid w:val="00EA68DE"/>
    <w:rsid w:val="00EB03FD"/>
    <w:rsid w:val="00EB3492"/>
    <w:rsid w:val="00EB4DD6"/>
    <w:rsid w:val="00EC1CFF"/>
    <w:rsid w:val="00EC1FB4"/>
    <w:rsid w:val="00EC400E"/>
    <w:rsid w:val="00ED0305"/>
    <w:rsid w:val="00ED268C"/>
    <w:rsid w:val="00ED6E44"/>
    <w:rsid w:val="00ED6F99"/>
    <w:rsid w:val="00EE3D50"/>
    <w:rsid w:val="00EE586C"/>
    <w:rsid w:val="00EF53CA"/>
    <w:rsid w:val="00F01C4F"/>
    <w:rsid w:val="00F034B7"/>
    <w:rsid w:val="00F03ADF"/>
    <w:rsid w:val="00F1233D"/>
    <w:rsid w:val="00F140BA"/>
    <w:rsid w:val="00F14BFA"/>
    <w:rsid w:val="00F168A0"/>
    <w:rsid w:val="00F17797"/>
    <w:rsid w:val="00F17F9C"/>
    <w:rsid w:val="00F20EC8"/>
    <w:rsid w:val="00F2444E"/>
    <w:rsid w:val="00F2475A"/>
    <w:rsid w:val="00F25F7B"/>
    <w:rsid w:val="00F26C98"/>
    <w:rsid w:val="00F26D4F"/>
    <w:rsid w:val="00F2718F"/>
    <w:rsid w:val="00F30AAA"/>
    <w:rsid w:val="00F4105E"/>
    <w:rsid w:val="00F41B0F"/>
    <w:rsid w:val="00F430CF"/>
    <w:rsid w:val="00F4720A"/>
    <w:rsid w:val="00F52793"/>
    <w:rsid w:val="00F544B9"/>
    <w:rsid w:val="00F61E59"/>
    <w:rsid w:val="00F62E98"/>
    <w:rsid w:val="00F70937"/>
    <w:rsid w:val="00F72F54"/>
    <w:rsid w:val="00F735CC"/>
    <w:rsid w:val="00F73FC7"/>
    <w:rsid w:val="00F75ACC"/>
    <w:rsid w:val="00F76858"/>
    <w:rsid w:val="00F80CD0"/>
    <w:rsid w:val="00F81FCF"/>
    <w:rsid w:val="00F84217"/>
    <w:rsid w:val="00F85236"/>
    <w:rsid w:val="00F86790"/>
    <w:rsid w:val="00F90CC4"/>
    <w:rsid w:val="00F90E3B"/>
    <w:rsid w:val="00F93F2C"/>
    <w:rsid w:val="00F957A8"/>
    <w:rsid w:val="00FA147B"/>
    <w:rsid w:val="00FA2459"/>
    <w:rsid w:val="00FA2466"/>
    <w:rsid w:val="00FA2CF8"/>
    <w:rsid w:val="00FA32F5"/>
    <w:rsid w:val="00FA39D0"/>
    <w:rsid w:val="00FA3E22"/>
    <w:rsid w:val="00FA43FA"/>
    <w:rsid w:val="00FA4C2F"/>
    <w:rsid w:val="00FA4D0B"/>
    <w:rsid w:val="00FA7F76"/>
    <w:rsid w:val="00FB1CCB"/>
    <w:rsid w:val="00FB6F22"/>
    <w:rsid w:val="00FC0424"/>
    <w:rsid w:val="00FC50E3"/>
    <w:rsid w:val="00FC5BE2"/>
    <w:rsid w:val="00FD0594"/>
    <w:rsid w:val="00FD07E3"/>
    <w:rsid w:val="00FD36F4"/>
    <w:rsid w:val="00FD554A"/>
    <w:rsid w:val="00FD6255"/>
    <w:rsid w:val="00FD6ADC"/>
    <w:rsid w:val="00FD7F25"/>
    <w:rsid w:val="00FE70A8"/>
    <w:rsid w:val="00FF07C0"/>
    <w:rsid w:val="00FF0F72"/>
    <w:rsid w:val="00FF51F1"/>
    <w:rsid w:val="00FF5657"/>
    <w:rsid w:val="00FF57CF"/>
    <w:rsid w:val="00FF5B72"/>
    <w:rsid w:val="00FF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59CF04"/>
  <w15:docId w15:val="{E7A4721D-478F-4E6C-BB66-6A023AA0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C7F"/>
  </w:style>
  <w:style w:type="paragraph" w:styleId="Heading1">
    <w:name w:val="heading 1"/>
    <w:basedOn w:val="Normal"/>
    <w:link w:val="Heading1Char"/>
    <w:uiPriority w:val="9"/>
    <w:qFormat/>
    <w:rsid w:val="00C43C7F"/>
    <w:pPr>
      <w:widowControl w:val="0"/>
      <w:autoSpaceDE w:val="0"/>
      <w:autoSpaceDN w:val="0"/>
      <w:spacing w:after="0" w:line="240" w:lineRule="auto"/>
      <w:ind w:left="562" w:hanging="422"/>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C43C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14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6F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C7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C43C7F"/>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508FB"/>
    <w:rPr>
      <w:i/>
      <w:iCs/>
    </w:rPr>
  </w:style>
  <w:style w:type="paragraph" w:styleId="TOCHeading">
    <w:name w:val="TOC Heading"/>
    <w:basedOn w:val="Heading1"/>
    <w:next w:val="Normal"/>
    <w:uiPriority w:val="39"/>
    <w:unhideWhenUsed/>
    <w:qFormat/>
    <w:rsid w:val="004045F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20DBC"/>
    <w:pPr>
      <w:tabs>
        <w:tab w:val="right" w:leader="dot" w:pos="9350"/>
      </w:tabs>
      <w:spacing w:after="100"/>
      <w:jc w:val="center"/>
    </w:pPr>
    <w:rPr>
      <w:rFonts w:ascii="Times New Roman" w:hAnsi="Times New Roman" w:cs="Times New Roman"/>
      <w:b/>
      <w:noProof/>
      <w:sz w:val="24"/>
      <w:szCs w:val="24"/>
    </w:rPr>
  </w:style>
  <w:style w:type="paragraph" w:styleId="TOC2">
    <w:name w:val="toc 2"/>
    <w:basedOn w:val="Normal"/>
    <w:next w:val="Normal"/>
    <w:autoRedefine/>
    <w:uiPriority w:val="39"/>
    <w:unhideWhenUsed/>
    <w:rsid w:val="004045F3"/>
    <w:pPr>
      <w:spacing w:after="100"/>
      <w:ind w:left="220"/>
    </w:pPr>
  </w:style>
  <w:style w:type="character" w:styleId="Hyperlink">
    <w:name w:val="Hyperlink"/>
    <w:basedOn w:val="DefaultParagraphFont"/>
    <w:uiPriority w:val="99"/>
    <w:unhideWhenUsed/>
    <w:rsid w:val="004045F3"/>
    <w:rPr>
      <w:color w:val="0563C1" w:themeColor="hyperlink"/>
      <w:u w:val="single"/>
    </w:rPr>
  </w:style>
  <w:style w:type="paragraph" w:styleId="ListParagraph">
    <w:name w:val="List Paragraph"/>
    <w:basedOn w:val="Normal"/>
    <w:uiPriority w:val="34"/>
    <w:qFormat/>
    <w:rsid w:val="00E11625"/>
    <w:pPr>
      <w:ind w:left="720"/>
      <w:contextualSpacing/>
    </w:pPr>
  </w:style>
  <w:style w:type="paragraph" w:customStyle="1" w:styleId="MyFigures">
    <w:name w:val="My Figures"/>
    <w:basedOn w:val="Caption"/>
    <w:next w:val="Caption"/>
    <w:qFormat/>
    <w:rsid w:val="0000020F"/>
    <w:rPr>
      <w:rFonts w:ascii="Times New Roman" w:hAnsi="Times New Roman" w:cs="Times New Roman"/>
      <w:b/>
      <w:color w:val="auto"/>
      <w:sz w:val="24"/>
      <w:szCs w:val="24"/>
    </w:rPr>
  </w:style>
  <w:style w:type="paragraph" w:customStyle="1" w:styleId="MyTables">
    <w:name w:val="My Tables"/>
    <w:basedOn w:val="Caption"/>
    <w:next w:val="Caption"/>
    <w:qFormat/>
    <w:rsid w:val="0000020F"/>
    <w:rPr>
      <w:rFonts w:ascii="Times New Roman" w:hAnsi="Times New Roman"/>
      <w:b/>
      <w:color w:val="000000" w:themeColor="text1"/>
      <w:sz w:val="24"/>
    </w:rPr>
  </w:style>
  <w:style w:type="paragraph" w:styleId="Caption">
    <w:name w:val="caption"/>
    <w:basedOn w:val="Normal"/>
    <w:next w:val="Normal"/>
    <w:uiPriority w:val="35"/>
    <w:semiHidden/>
    <w:unhideWhenUsed/>
    <w:qFormat/>
    <w:rsid w:val="0000020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D3004"/>
    <w:pPr>
      <w:spacing w:after="0"/>
    </w:pPr>
  </w:style>
  <w:style w:type="paragraph" w:styleId="NormalWeb">
    <w:name w:val="Normal (Web)"/>
    <w:basedOn w:val="Normal"/>
    <w:uiPriority w:val="99"/>
    <w:unhideWhenUsed/>
    <w:rsid w:val="00D84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4DE"/>
    <w:rPr>
      <w:b/>
      <w:bCs/>
    </w:rPr>
  </w:style>
  <w:style w:type="character" w:customStyle="1" w:styleId="Heading3Char">
    <w:name w:val="Heading 3 Char"/>
    <w:basedOn w:val="DefaultParagraphFont"/>
    <w:link w:val="Heading3"/>
    <w:uiPriority w:val="9"/>
    <w:rsid w:val="009C14B8"/>
    <w:rPr>
      <w:rFonts w:asciiTheme="majorHAnsi" w:eastAsiaTheme="majorEastAsia" w:hAnsiTheme="majorHAnsi" w:cstheme="majorBidi"/>
      <w:color w:val="1F3763" w:themeColor="accent1" w:themeShade="7F"/>
      <w:sz w:val="24"/>
      <w:szCs w:val="24"/>
    </w:rPr>
  </w:style>
  <w:style w:type="paragraph" w:customStyle="1" w:styleId="whitespace-pre-wrap">
    <w:name w:val="whitespace-pre-wrap"/>
    <w:basedOn w:val="Normal"/>
    <w:rsid w:val="00D143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C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AFA"/>
    <w:rPr>
      <w:rFonts w:ascii="Tahoma" w:hAnsi="Tahoma" w:cs="Tahoma"/>
      <w:sz w:val="16"/>
      <w:szCs w:val="16"/>
    </w:rPr>
  </w:style>
  <w:style w:type="character" w:customStyle="1" w:styleId="a">
    <w:name w:val="_"/>
    <w:basedOn w:val="DefaultParagraphFont"/>
    <w:rsid w:val="00282D96"/>
  </w:style>
  <w:style w:type="character" w:customStyle="1" w:styleId="ls1">
    <w:name w:val="ls1"/>
    <w:basedOn w:val="DefaultParagraphFont"/>
    <w:rsid w:val="00282D96"/>
  </w:style>
  <w:style w:type="character" w:customStyle="1" w:styleId="ls0">
    <w:name w:val="ls0"/>
    <w:basedOn w:val="DefaultParagraphFont"/>
    <w:rsid w:val="00282D96"/>
  </w:style>
  <w:style w:type="paragraph" w:styleId="Header">
    <w:name w:val="header"/>
    <w:basedOn w:val="Normal"/>
    <w:link w:val="HeaderChar"/>
    <w:uiPriority w:val="99"/>
    <w:unhideWhenUsed/>
    <w:rsid w:val="00536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151"/>
  </w:style>
  <w:style w:type="paragraph" w:styleId="Footer">
    <w:name w:val="footer"/>
    <w:basedOn w:val="Normal"/>
    <w:link w:val="FooterChar"/>
    <w:uiPriority w:val="99"/>
    <w:unhideWhenUsed/>
    <w:rsid w:val="00536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151"/>
  </w:style>
  <w:style w:type="character" w:customStyle="1" w:styleId="Heading4Char">
    <w:name w:val="Heading 4 Char"/>
    <w:basedOn w:val="DefaultParagraphFont"/>
    <w:link w:val="Heading4"/>
    <w:uiPriority w:val="9"/>
    <w:semiHidden/>
    <w:rsid w:val="006E6FE7"/>
    <w:rPr>
      <w:rFonts w:asciiTheme="majorHAnsi" w:eastAsiaTheme="majorEastAsia" w:hAnsiTheme="majorHAnsi" w:cstheme="majorBidi"/>
      <w:i/>
      <w:iCs/>
      <w:color w:val="2F5496" w:themeColor="accent1" w:themeShade="BF"/>
    </w:rPr>
  </w:style>
  <w:style w:type="paragraph" w:customStyle="1" w:styleId="task-list-item">
    <w:name w:val="task-list-item"/>
    <w:basedOn w:val="Normal"/>
    <w:rsid w:val="00D400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200BE"/>
    <w:pPr>
      <w:spacing w:after="0" w:line="240" w:lineRule="auto"/>
    </w:pPr>
    <w:rPr>
      <w:rFonts w:eastAsiaTheme="minorEastAsia"/>
    </w:rPr>
  </w:style>
  <w:style w:type="character" w:customStyle="1" w:styleId="NoSpacingChar">
    <w:name w:val="No Spacing Char"/>
    <w:basedOn w:val="DefaultParagraphFont"/>
    <w:link w:val="NoSpacing"/>
    <w:uiPriority w:val="1"/>
    <w:rsid w:val="008200BE"/>
    <w:rPr>
      <w:rFonts w:eastAsiaTheme="minorEastAsia"/>
    </w:rPr>
  </w:style>
  <w:style w:type="character" w:customStyle="1" w:styleId="ff2">
    <w:name w:val="ff2"/>
    <w:basedOn w:val="DefaultParagraphFont"/>
    <w:rsid w:val="00333D9B"/>
  </w:style>
  <w:style w:type="character" w:customStyle="1" w:styleId="citationtext">
    <w:name w:val="citationtext"/>
    <w:basedOn w:val="DefaultParagraphFont"/>
    <w:rsid w:val="00707472"/>
  </w:style>
  <w:style w:type="character" w:styleId="CommentReference">
    <w:name w:val="annotation reference"/>
    <w:basedOn w:val="DefaultParagraphFont"/>
    <w:uiPriority w:val="99"/>
    <w:semiHidden/>
    <w:unhideWhenUsed/>
    <w:rsid w:val="00AD4628"/>
    <w:rPr>
      <w:sz w:val="16"/>
      <w:szCs w:val="16"/>
    </w:rPr>
  </w:style>
  <w:style w:type="paragraph" w:styleId="CommentText">
    <w:name w:val="annotation text"/>
    <w:basedOn w:val="Normal"/>
    <w:link w:val="CommentTextChar"/>
    <w:uiPriority w:val="99"/>
    <w:semiHidden/>
    <w:unhideWhenUsed/>
    <w:rsid w:val="00AD4628"/>
    <w:pPr>
      <w:spacing w:line="240" w:lineRule="auto"/>
    </w:pPr>
    <w:rPr>
      <w:sz w:val="20"/>
      <w:szCs w:val="20"/>
    </w:rPr>
  </w:style>
  <w:style w:type="character" w:customStyle="1" w:styleId="CommentTextChar">
    <w:name w:val="Comment Text Char"/>
    <w:basedOn w:val="DefaultParagraphFont"/>
    <w:link w:val="CommentText"/>
    <w:uiPriority w:val="99"/>
    <w:semiHidden/>
    <w:rsid w:val="00AD4628"/>
    <w:rPr>
      <w:sz w:val="20"/>
      <w:szCs w:val="20"/>
    </w:rPr>
  </w:style>
  <w:style w:type="paragraph" w:styleId="CommentSubject">
    <w:name w:val="annotation subject"/>
    <w:basedOn w:val="CommentText"/>
    <w:next w:val="CommentText"/>
    <w:link w:val="CommentSubjectChar"/>
    <w:uiPriority w:val="99"/>
    <w:semiHidden/>
    <w:unhideWhenUsed/>
    <w:rsid w:val="00AD4628"/>
    <w:rPr>
      <w:b/>
      <w:bCs/>
    </w:rPr>
  </w:style>
  <w:style w:type="character" w:customStyle="1" w:styleId="CommentSubjectChar">
    <w:name w:val="Comment Subject Char"/>
    <w:basedOn w:val="CommentTextChar"/>
    <w:link w:val="CommentSubject"/>
    <w:uiPriority w:val="99"/>
    <w:semiHidden/>
    <w:rsid w:val="00AD4628"/>
    <w:rPr>
      <w:b/>
      <w:bCs/>
      <w:sz w:val="20"/>
      <w:szCs w:val="20"/>
    </w:rPr>
  </w:style>
  <w:style w:type="character" w:customStyle="1" w:styleId="relative">
    <w:name w:val="relative"/>
    <w:basedOn w:val="DefaultParagraphFont"/>
    <w:rsid w:val="0079291B"/>
  </w:style>
  <w:style w:type="character" w:customStyle="1" w:styleId="katex-mathml">
    <w:name w:val="katex-mathml"/>
    <w:basedOn w:val="DefaultParagraphFont"/>
    <w:rsid w:val="00815100"/>
  </w:style>
  <w:style w:type="character" w:customStyle="1" w:styleId="mord">
    <w:name w:val="mord"/>
    <w:basedOn w:val="DefaultParagraphFont"/>
    <w:rsid w:val="00815100"/>
  </w:style>
  <w:style w:type="character" w:customStyle="1" w:styleId="mrel">
    <w:name w:val="mrel"/>
    <w:basedOn w:val="DefaultParagraphFont"/>
    <w:rsid w:val="00815100"/>
  </w:style>
  <w:style w:type="character" w:customStyle="1" w:styleId="mbin">
    <w:name w:val="mbin"/>
    <w:basedOn w:val="DefaultParagraphFont"/>
    <w:rsid w:val="00815100"/>
  </w:style>
  <w:style w:type="character" w:customStyle="1" w:styleId="vlist-s">
    <w:name w:val="vlist-s"/>
    <w:basedOn w:val="DefaultParagraphFont"/>
    <w:rsid w:val="00815100"/>
  </w:style>
  <w:style w:type="paragraph" w:styleId="TOC3">
    <w:name w:val="toc 3"/>
    <w:basedOn w:val="Normal"/>
    <w:next w:val="Normal"/>
    <w:autoRedefine/>
    <w:uiPriority w:val="39"/>
    <w:unhideWhenUsed/>
    <w:rsid w:val="00C20DBC"/>
    <w:pPr>
      <w:spacing w:after="100"/>
      <w:ind w:left="440"/>
    </w:pPr>
  </w:style>
  <w:style w:type="character" w:styleId="UnresolvedMention">
    <w:name w:val="Unresolved Mention"/>
    <w:basedOn w:val="DefaultParagraphFont"/>
    <w:uiPriority w:val="99"/>
    <w:semiHidden/>
    <w:unhideWhenUsed/>
    <w:rsid w:val="00C4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0259">
      <w:bodyDiv w:val="1"/>
      <w:marLeft w:val="0"/>
      <w:marRight w:val="0"/>
      <w:marTop w:val="0"/>
      <w:marBottom w:val="0"/>
      <w:divBdr>
        <w:top w:val="none" w:sz="0" w:space="0" w:color="auto"/>
        <w:left w:val="none" w:sz="0" w:space="0" w:color="auto"/>
        <w:bottom w:val="none" w:sz="0" w:space="0" w:color="auto"/>
        <w:right w:val="none" w:sz="0" w:space="0" w:color="auto"/>
      </w:divBdr>
    </w:div>
    <w:div w:id="67963490">
      <w:bodyDiv w:val="1"/>
      <w:marLeft w:val="0"/>
      <w:marRight w:val="0"/>
      <w:marTop w:val="0"/>
      <w:marBottom w:val="0"/>
      <w:divBdr>
        <w:top w:val="none" w:sz="0" w:space="0" w:color="auto"/>
        <w:left w:val="none" w:sz="0" w:space="0" w:color="auto"/>
        <w:bottom w:val="none" w:sz="0" w:space="0" w:color="auto"/>
        <w:right w:val="none" w:sz="0" w:space="0" w:color="auto"/>
      </w:divBdr>
    </w:div>
    <w:div w:id="71464099">
      <w:bodyDiv w:val="1"/>
      <w:marLeft w:val="0"/>
      <w:marRight w:val="0"/>
      <w:marTop w:val="0"/>
      <w:marBottom w:val="0"/>
      <w:divBdr>
        <w:top w:val="none" w:sz="0" w:space="0" w:color="auto"/>
        <w:left w:val="none" w:sz="0" w:space="0" w:color="auto"/>
        <w:bottom w:val="none" w:sz="0" w:space="0" w:color="auto"/>
        <w:right w:val="none" w:sz="0" w:space="0" w:color="auto"/>
      </w:divBdr>
    </w:div>
    <w:div w:id="76706707">
      <w:bodyDiv w:val="1"/>
      <w:marLeft w:val="0"/>
      <w:marRight w:val="0"/>
      <w:marTop w:val="0"/>
      <w:marBottom w:val="0"/>
      <w:divBdr>
        <w:top w:val="none" w:sz="0" w:space="0" w:color="auto"/>
        <w:left w:val="none" w:sz="0" w:space="0" w:color="auto"/>
        <w:bottom w:val="none" w:sz="0" w:space="0" w:color="auto"/>
        <w:right w:val="none" w:sz="0" w:space="0" w:color="auto"/>
      </w:divBdr>
    </w:div>
    <w:div w:id="100224708">
      <w:bodyDiv w:val="1"/>
      <w:marLeft w:val="0"/>
      <w:marRight w:val="0"/>
      <w:marTop w:val="0"/>
      <w:marBottom w:val="0"/>
      <w:divBdr>
        <w:top w:val="none" w:sz="0" w:space="0" w:color="auto"/>
        <w:left w:val="none" w:sz="0" w:space="0" w:color="auto"/>
        <w:bottom w:val="none" w:sz="0" w:space="0" w:color="auto"/>
        <w:right w:val="none" w:sz="0" w:space="0" w:color="auto"/>
      </w:divBdr>
    </w:div>
    <w:div w:id="111025531">
      <w:bodyDiv w:val="1"/>
      <w:marLeft w:val="0"/>
      <w:marRight w:val="0"/>
      <w:marTop w:val="0"/>
      <w:marBottom w:val="0"/>
      <w:divBdr>
        <w:top w:val="none" w:sz="0" w:space="0" w:color="auto"/>
        <w:left w:val="none" w:sz="0" w:space="0" w:color="auto"/>
        <w:bottom w:val="none" w:sz="0" w:space="0" w:color="auto"/>
        <w:right w:val="none" w:sz="0" w:space="0" w:color="auto"/>
      </w:divBdr>
      <w:divsChild>
        <w:div w:id="139735185">
          <w:marLeft w:val="0"/>
          <w:marRight w:val="0"/>
          <w:marTop w:val="0"/>
          <w:marBottom w:val="0"/>
          <w:divBdr>
            <w:top w:val="none" w:sz="0" w:space="0" w:color="auto"/>
            <w:left w:val="none" w:sz="0" w:space="0" w:color="auto"/>
            <w:bottom w:val="none" w:sz="0" w:space="0" w:color="auto"/>
            <w:right w:val="none" w:sz="0" w:space="0" w:color="auto"/>
          </w:divBdr>
          <w:divsChild>
            <w:div w:id="2094472751">
              <w:marLeft w:val="0"/>
              <w:marRight w:val="0"/>
              <w:marTop w:val="0"/>
              <w:marBottom w:val="0"/>
              <w:divBdr>
                <w:top w:val="none" w:sz="0" w:space="0" w:color="auto"/>
                <w:left w:val="none" w:sz="0" w:space="0" w:color="auto"/>
                <w:bottom w:val="none" w:sz="0" w:space="0" w:color="auto"/>
                <w:right w:val="none" w:sz="0" w:space="0" w:color="auto"/>
              </w:divBdr>
            </w:div>
          </w:divsChild>
        </w:div>
        <w:div w:id="1062370878">
          <w:marLeft w:val="0"/>
          <w:marRight w:val="0"/>
          <w:marTop w:val="0"/>
          <w:marBottom w:val="0"/>
          <w:divBdr>
            <w:top w:val="none" w:sz="0" w:space="0" w:color="auto"/>
            <w:left w:val="none" w:sz="0" w:space="0" w:color="auto"/>
            <w:bottom w:val="none" w:sz="0" w:space="0" w:color="auto"/>
            <w:right w:val="none" w:sz="0" w:space="0" w:color="auto"/>
          </w:divBdr>
          <w:divsChild>
            <w:div w:id="10938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199">
      <w:bodyDiv w:val="1"/>
      <w:marLeft w:val="0"/>
      <w:marRight w:val="0"/>
      <w:marTop w:val="0"/>
      <w:marBottom w:val="0"/>
      <w:divBdr>
        <w:top w:val="none" w:sz="0" w:space="0" w:color="auto"/>
        <w:left w:val="none" w:sz="0" w:space="0" w:color="auto"/>
        <w:bottom w:val="none" w:sz="0" w:space="0" w:color="auto"/>
        <w:right w:val="none" w:sz="0" w:space="0" w:color="auto"/>
      </w:divBdr>
    </w:div>
    <w:div w:id="171144720">
      <w:bodyDiv w:val="1"/>
      <w:marLeft w:val="0"/>
      <w:marRight w:val="0"/>
      <w:marTop w:val="0"/>
      <w:marBottom w:val="0"/>
      <w:divBdr>
        <w:top w:val="none" w:sz="0" w:space="0" w:color="auto"/>
        <w:left w:val="none" w:sz="0" w:space="0" w:color="auto"/>
        <w:bottom w:val="none" w:sz="0" w:space="0" w:color="auto"/>
        <w:right w:val="none" w:sz="0" w:space="0" w:color="auto"/>
      </w:divBdr>
    </w:div>
    <w:div w:id="178929007">
      <w:bodyDiv w:val="1"/>
      <w:marLeft w:val="0"/>
      <w:marRight w:val="0"/>
      <w:marTop w:val="0"/>
      <w:marBottom w:val="0"/>
      <w:divBdr>
        <w:top w:val="none" w:sz="0" w:space="0" w:color="auto"/>
        <w:left w:val="none" w:sz="0" w:space="0" w:color="auto"/>
        <w:bottom w:val="none" w:sz="0" w:space="0" w:color="auto"/>
        <w:right w:val="none" w:sz="0" w:space="0" w:color="auto"/>
      </w:divBdr>
    </w:div>
    <w:div w:id="202911401">
      <w:bodyDiv w:val="1"/>
      <w:marLeft w:val="0"/>
      <w:marRight w:val="0"/>
      <w:marTop w:val="0"/>
      <w:marBottom w:val="0"/>
      <w:divBdr>
        <w:top w:val="none" w:sz="0" w:space="0" w:color="auto"/>
        <w:left w:val="none" w:sz="0" w:space="0" w:color="auto"/>
        <w:bottom w:val="none" w:sz="0" w:space="0" w:color="auto"/>
        <w:right w:val="none" w:sz="0" w:space="0" w:color="auto"/>
      </w:divBdr>
    </w:div>
    <w:div w:id="214508772">
      <w:bodyDiv w:val="1"/>
      <w:marLeft w:val="0"/>
      <w:marRight w:val="0"/>
      <w:marTop w:val="0"/>
      <w:marBottom w:val="0"/>
      <w:divBdr>
        <w:top w:val="none" w:sz="0" w:space="0" w:color="auto"/>
        <w:left w:val="none" w:sz="0" w:space="0" w:color="auto"/>
        <w:bottom w:val="none" w:sz="0" w:space="0" w:color="auto"/>
        <w:right w:val="none" w:sz="0" w:space="0" w:color="auto"/>
      </w:divBdr>
    </w:div>
    <w:div w:id="275790563">
      <w:bodyDiv w:val="1"/>
      <w:marLeft w:val="0"/>
      <w:marRight w:val="0"/>
      <w:marTop w:val="0"/>
      <w:marBottom w:val="0"/>
      <w:divBdr>
        <w:top w:val="none" w:sz="0" w:space="0" w:color="auto"/>
        <w:left w:val="none" w:sz="0" w:space="0" w:color="auto"/>
        <w:bottom w:val="none" w:sz="0" w:space="0" w:color="auto"/>
        <w:right w:val="none" w:sz="0" w:space="0" w:color="auto"/>
      </w:divBdr>
    </w:div>
    <w:div w:id="348290581">
      <w:bodyDiv w:val="1"/>
      <w:marLeft w:val="0"/>
      <w:marRight w:val="0"/>
      <w:marTop w:val="0"/>
      <w:marBottom w:val="0"/>
      <w:divBdr>
        <w:top w:val="none" w:sz="0" w:space="0" w:color="auto"/>
        <w:left w:val="none" w:sz="0" w:space="0" w:color="auto"/>
        <w:bottom w:val="none" w:sz="0" w:space="0" w:color="auto"/>
        <w:right w:val="none" w:sz="0" w:space="0" w:color="auto"/>
      </w:divBdr>
    </w:div>
    <w:div w:id="360472193">
      <w:bodyDiv w:val="1"/>
      <w:marLeft w:val="0"/>
      <w:marRight w:val="0"/>
      <w:marTop w:val="0"/>
      <w:marBottom w:val="0"/>
      <w:divBdr>
        <w:top w:val="none" w:sz="0" w:space="0" w:color="auto"/>
        <w:left w:val="none" w:sz="0" w:space="0" w:color="auto"/>
        <w:bottom w:val="none" w:sz="0" w:space="0" w:color="auto"/>
        <w:right w:val="none" w:sz="0" w:space="0" w:color="auto"/>
      </w:divBdr>
    </w:div>
    <w:div w:id="420417741">
      <w:bodyDiv w:val="1"/>
      <w:marLeft w:val="0"/>
      <w:marRight w:val="0"/>
      <w:marTop w:val="0"/>
      <w:marBottom w:val="0"/>
      <w:divBdr>
        <w:top w:val="none" w:sz="0" w:space="0" w:color="auto"/>
        <w:left w:val="none" w:sz="0" w:space="0" w:color="auto"/>
        <w:bottom w:val="none" w:sz="0" w:space="0" w:color="auto"/>
        <w:right w:val="none" w:sz="0" w:space="0" w:color="auto"/>
      </w:divBdr>
      <w:divsChild>
        <w:div w:id="741634240">
          <w:marLeft w:val="0"/>
          <w:marRight w:val="0"/>
          <w:marTop w:val="0"/>
          <w:marBottom w:val="0"/>
          <w:divBdr>
            <w:top w:val="none" w:sz="0" w:space="0" w:color="auto"/>
            <w:left w:val="none" w:sz="0" w:space="0" w:color="auto"/>
            <w:bottom w:val="none" w:sz="0" w:space="0" w:color="auto"/>
            <w:right w:val="none" w:sz="0" w:space="0" w:color="auto"/>
          </w:divBdr>
          <w:divsChild>
            <w:div w:id="6483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19713">
      <w:bodyDiv w:val="1"/>
      <w:marLeft w:val="0"/>
      <w:marRight w:val="0"/>
      <w:marTop w:val="0"/>
      <w:marBottom w:val="0"/>
      <w:divBdr>
        <w:top w:val="none" w:sz="0" w:space="0" w:color="auto"/>
        <w:left w:val="none" w:sz="0" w:space="0" w:color="auto"/>
        <w:bottom w:val="none" w:sz="0" w:space="0" w:color="auto"/>
        <w:right w:val="none" w:sz="0" w:space="0" w:color="auto"/>
      </w:divBdr>
    </w:div>
    <w:div w:id="518666969">
      <w:bodyDiv w:val="1"/>
      <w:marLeft w:val="0"/>
      <w:marRight w:val="0"/>
      <w:marTop w:val="0"/>
      <w:marBottom w:val="0"/>
      <w:divBdr>
        <w:top w:val="none" w:sz="0" w:space="0" w:color="auto"/>
        <w:left w:val="none" w:sz="0" w:space="0" w:color="auto"/>
        <w:bottom w:val="none" w:sz="0" w:space="0" w:color="auto"/>
        <w:right w:val="none" w:sz="0" w:space="0" w:color="auto"/>
      </w:divBdr>
    </w:div>
    <w:div w:id="552697247">
      <w:bodyDiv w:val="1"/>
      <w:marLeft w:val="0"/>
      <w:marRight w:val="0"/>
      <w:marTop w:val="0"/>
      <w:marBottom w:val="0"/>
      <w:divBdr>
        <w:top w:val="none" w:sz="0" w:space="0" w:color="auto"/>
        <w:left w:val="none" w:sz="0" w:space="0" w:color="auto"/>
        <w:bottom w:val="none" w:sz="0" w:space="0" w:color="auto"/>
        <w:right w:val="none" w:sz="0" w:space="0" w:color="auto"/>
      </w:divBdr>
    </w:div>
    <w:div w:id="563176842">
      <w:bodyDiv w:val="1"/>
      <w:marLeft w:val="0"/>
      <w:marRight w:val="0"/>
      <w:marTop w:val="0"/>
      <w:marBottom w:val="0"/>
      <w:divBdr>
        <w:top w:val="none" w:sz="0" w:space="0" w:color="auto"/>
        <w:left w:val="none" w:sz="0" w:space="0" w:color="auto"/>
        <w:bottom w:val="none" w:sz="0" w:space="0" w:color="auto"/>
        <w:right w:val="none" w:sz="0" w:space="0" w:color="auto"/>
      </w:divBdr>
    </w:div>
    <w:div w:id="586422571">
      <w:bodyDiv w:val="1"/>
      <w:marLeft w:val="0"/>
      <w:marRight w:val="0"/>
      <w:marTop w:val="0"/>
      <w:marBottom w:val="0"/>
      <w:divBdr>
        <w:top w:val="none" w:sz="0" w:space="0" w:color="auto"/>
        <w:left w:val="none" w:sz="0" w:space="0" w:color="auto"/>
        <w:bottom w:val="none" w:sz="0" w:space="0" w:color="auto"/>
        <w:right w:val="none" w:sz="0" w:space="0" w:color="auto"/>
      </w:divBdr>
    </w:div>
    <w:div w:id="598559202">
      <w:bodyDiv w:val="1"/>
      <w:marLeft w:val="0"/>
      <w:marRight w:val="0"/>
      <w:marTop w:val="0"/>
      <w:marBottom w:val="0"/>
      <w:divBdr>
        <w:top w:val="none" w:sz="0" w:space="0" w:color="auto"/>
        <w:left w:val="none" w:sz="0" w:space="0" w:color="auto"/>
        <w:bottom w:val="none" w:sz="0" w:space="0" w:color="auto"/>
        <w:right w:val="none" w:sz="0" w:space="0" w:color="auto"/>
      </w:divBdr>
    </w:div>
    <w:div w:id="609707655">
      <w:bodyDiv w:val="1"/>
      <w:marLeft w:val="0"/>
      <w:marRight w:val="0"/>
      <w:marTop w:val="0"/>
      <w:marBottom w:val="0"/>
      <w:divBdr>
        <w:top w:val="none" w:sz="0" w:space="0" w:color="auto"/>
        <w:left w:val="none" w:sz="0" w:space="0" w:color="auto"/>
        <w:bottom w:val="none" w:sz="0" w:space="0" w:color="auto"/>
        <w:right w:val="none" w:sz="0" w:space="0" w:color="auto"/>
      </w:divBdr>
    </w:div>
    <w:div w:id="610355101">
      <w:bodyDiv w:val="1"/>
      <w:marLeft w:val="0"/>
      <w:marRight w:val="0"/>
      <w:marTop w:val="0"/>
      <w:marBottom w:val="0"/>
      <w:divBdr>
        <w:top w:val="none" w:sz="0" w:space="0" w:color="auto"/>
        <w:left w:val="none" w:sz="0" w:space="0" w:color="auto"/>
        <w:bottom w:val="none" w:sz="0" w:space="0" w:color="auto"/>
        <w:right w:val="none" w:sz="0" w:space="0" w:color="auto"/>
      </w:divBdr>
    </w:div>
    <w:div w:id="630672376">
      <w:bodyDiv w:val="1"/>
      <w:marLeft w:val="0"/>
      <w:marRight w:val="0"/>
      <w:marTop w:val="0"/>
      <w:marBottom w:val="0"/>
      <w:divBdr>
        <w:top w:val="none" w:sz="0" w:space="0" w:color="auto"/>
        <w:left w:val="none" w:sz="0" w:space="0" w:color="auto"/>
        <w:bottom w:val="none" w:sz="0" w:space="0" w:color="auto"/>
        <w:right w:val="none" w:sz="0" w:space="0" w:color="auto"/>
      </w:divBdr>
    </w:div>
    <w:div w:id="638733488">
      <w:bodyDiv w:val="1"/>
      <w:marLeft w:val="0"/>
      <w:marRight w:val="0"/>
      <w:marTop w:val="0"/>
      <w:marBottom w:val="0"/>
      <w:divBdr>
        <w:top w:val="none" w:sz="0" w:space="0" w:color="auto"/>
        <w:left w:val="none" w:sz="0" w:space="0" w:color="auto"/>
        <w:bottom w:val="none" w:sz="0" w:space="0" w:color="auto"/>
        <w:right w:val="none" w:sz="0" w:space="0" w:color="auto"/>
      </w:divBdr>
    </w:div>
    <w:div w:id="646906767">
      <w:bodyDiv w:val="1"/>
      <w:marLeft w:val="0"/>
      <w:marRight w:val="0"/>
      <w:marTop w:val="0"/>
      <w:marBottom w:val="0"/>
      <w:divBdr>
        <w:top w:val="none" w:sz="0" w:space="0" w:color="auto"/>
        <w:left w:val="none" w:sz="0" w:space="0" w:color="auto"/>
        <w:bottom w:val="none" w:sz="0" w:space="0" w:color="auto"/>
        <w:right w:val="none" w:sz="0" w:space="0" w:color="auto"/>
      </w:divBdr>
    </w:div>
    <w:div w:id="673606933">
      <w:bodyDiv w:val="1"/>
      <w:marLeft w:val="0"/>
      <w:marRight w:val="0"/>
      <w:marTop w:val="0"/>
      <w:marBottom w:val="0"/>
      <w:divBdr>
        <w:top w:val="none" w:sz="0" w:space="0" w:color="auto"/>
        <w:left w:val="none" w:sz="0" w:space="0" w:color="auto"/>
        <w:bottom w:val="none" w:sz="0" w:space="0" w:color="auto"/>
        <w:right w:val="none" w:sz="0" w:space="0" w:color="auto"/>
      </w:divBdr>
    </w:div>
    <w:div w:id="696656177">
      <w:bodyDiv w:val="1"/>
      <w:marLeft w:val="0"/>
      <w:marRight w:val="0"/>
      <w:marTop w:val="0"/>
      <w:marBottom w:val="0"/>
      <w:divBdr>
        <w:top w:val="none" w:sz="0" w:space="0" w:color="auto"/>
        <w:left w:val="none" w:sz="0" w:space="0" w:color="auto"/>
        <w:bottom w:val="none" w:sz="0" w:space="0" w:color="auto"/>
        <w:right w:val="none" w:sz="0" w:space="0" w:color="auto"/>
      </w:divBdr>
    </w:div>
    <w:div w:id="708140323">
      <w:bodyDiv w:val="1"/>
      <w:marLeft w:val="0"/>
      <w:marRight w:val="0"/>
      <w:marTop w:val="0"/>
      <w:marBottom w:val="0"/>
      <w:divBdr>
        <w:top w:val="none" w:sz="0" w:space="0" w:color="auto"/>
        <w:left w:val="none" w:sz="0" w:space="0" w:color="auto"/>
        <w:bottom w:val="none" w:sz="0" w:space="0" w:color="auto"/>
        <w:right w:val="none" w:sz="0" w:space="0" w:color="auto"/>
      </w:divBdr>
    </w:div>
    <w:div w:id="757101262">
      <w:bodyDiv w:val="1"/>
      <w:marLeft w:val="0"/>
      <w:marRight w:val="0"/>
      <w:marTop w:val="0"/>
      <w:marBottom w:val="0"/>
      <w:divBdr>
        <w:top w:val="none" w:sz="0" w:space="0" w:color="auto"/>
        <w:left w:val="none" w:sz="0" w:space="0" w:color="auto"/>
        <w:bottom w:val="none" w:sz="0" w:space="0" w:color="auto"/>
        <w:right w:val="none" w:sz="0" w:space="0" w:color="auto"/>
      </w:divBdr>
    </w:div>
    <w:div w:id="853960388">
      <w:bodyDiv w:val="1"/>
      <w:marLeft w:val="0"/>
      <w:marRight w:val="0"/>
      <w:marTop w:val="0"/>
      <w:marBottom w:val="0"/>
      <w:divBdr>
        <w:top w:val="none" w:sz="0" w:space="0" w:color="auto"/>
        <w:left w:val="none" w:sz="0" w:space="0" w:color="auto"/>
        <w:bottom w:val="none" w:sz="0" w:space="0" w:color="auto"/>
        <w:right w:val="none" w:sz="0" w:space="0" w:color="auto"/>
      </w:divBdr>
    </w:div>
    <w:div w:id="868686326">
      <w:bodyDiv w:val="1"/>
      <w:marLeft w:val="0"/>
      <w:marRight w:val="0"/>
      <w:marTop w:val="0"/>
      <w:marBottom w:val="0"/>
      <w:divBdr>
        <w:top w:val="none" w:sz="0" w:space="0" w:color="auto"/>
        <w:left w:val="none" w:sz="0" w:space="0" w:color="auto"/>
        <w:bottom w:val="none" w:sz="0" w:space="0" w:color="auto"/>
        <w:right w:val="none" w:sz="0" w:space="0" w:color="auto"/>
      </w:divBdr>
    </w:div>
    <w:div w:id="878591316">
      <w:bodyDiv w:val="1"/>
      <w:marLeft w:val="0"/>
      <w:marRight w:val="0"/>
      <w:marTop w:val="0"/>
      <w:marBottom w:val="0"/>
      <w:divBdr>
        <w:top w:val="none" w:sz="0" w:space="0" w:color="auto"/>
        <w:left w:val="none" w:sz="0" w:space="0" w:color="auto"/>
        <w:bottom w:val="none" w:sz="0" w:space="0" w:color="auto"/>
        <w:right w:val="none" w:sz="0" w:space="0" w:color="auto"/>
      </w:divBdr>
    </w:div>
    <w:div w:id="880627424">
      <w:bodyDiv w:val="1"/>
      <w:marLeft w:val="0"/>
      <w:marRight w:val="0"/>
      <w:marTop w:val="0"/>
      <w:marBottom w:val="0"/>
      <w:divBdr>
        <w:top w:val="none" w:sz="0" w:space="0" w:color="auto"/>
        <w:left w:val="none" w:sz="0" w:space="0" w:color="auto"/>
        <w:bottom w:val="none" w:sz="0" w:space="0" w:color="auto"/>
        <w:right w:val="none" w:sz="0" w:space="0" w:color="auto"/>
      </w:divBdr>
    </w:div>
    <w:div w:id="924067501">
      <w:bodyDiv w:val="1"/>
      <w:marLeft w:val="0"/>
      <w:marRight w:val="0"/>
      <w:marTop w:val="0"/>
      <w:marBottom w:val="0"/>
      <w:divBdr>
        <w:top w:val="none" w:sz="0" w:space="0" w:color="auto"/>
        <w:left w:val="none" w:sz="0" w:space="0" w:color="auto"/>
        <w:bottom w:val="none" w:sz="0" w:space="0" w:color="auto"/>
        <w:right w:val="none" w:sz="0" w:space="0" w:color="auto"/>
      </w:divBdr>
    </w:div>
    <w:div w:id="991644257">
      <w:bodyDiv w:val="1"/>
      <w:marLeft w:val="0"/>
      <w:marRight w:val="0"/>
      <w:marTop w:val="0"/>
      <w:marBottom w:val="0"/>
      <w:divBdr>
        <w:top w:val="none" w:sz="0" w:space="0" w:color="auto"/>
        <w:left w:val="none" w:sz="0" w:space="0" w:color="auto"/>
        <w:bottom w:val="none" w:sz="0" w:space="0" w:color="auto"/>
        <w:right w:val="none" w:sz="0" w:space="0" w:color="auto"/>
      </w:divBdr>
    </w:div>
    <w:div w:id="1046225756">
      <w:bodyDiv w:val="1"/>
      <w:marLeft w:val="0"/>
      <w:marRight w:val="0"/>
      <w:marTop w:val="0"/>
      <w:marBottom w:val="0"/>
      <w:divBdr>
        <w:top w:val="none" w:sz="0" w:space="0" w:color="auto"/>
        <w:left w:val="none" w:sz="0" w:space="0" w:color="auto"/>
        <w:bottom w:val="none" w:sz="0" w:space="0" w:color="auto"/>
        <w:right w:val="none" w:sz="0" w:space="0" w:color="auto"/>
      </w:divBdr>
    </w:div>
    <w:div w:id="1051272894">
      <w:bodyDiv w:val="1"/>
      <w:marLeft w:val="0"/>
      <w:marRight w:val="0"/>
      <w:marTop w:val="0"/>
      <w:marBottom w:val="0"/>
      <w:divBdr>
        <w:top w:val="none" w:sz="0" w:space="0" w:color="auto"/>
        <w:left w:val="none" w:sz="0" w:space="0" w:color="auto"/>
        <w:bottom w:val="none" w:sz="0" w:space="0" w:color="auto"/>
        <w:right w:val="none" w:sz="0" w:space="0" w:color="auto"/>
      </w:divBdr>
    </w:div>
    <w:div w:id="1088117328">
      <w:bodyDiv w:val="1"/>
      <w:marLeft w:val="0"/>
      <w:marRight w:val="0"/>
      <w:marTop w:val="0"/>
      <w:marBottom w:val="0"/>
      <w:divBdr>
        <w:top w:val="none" w:sz="0" w:space="0" w:color="auto"/>
        <w:left w:val="none" w:sz="0" w:space="0" w:color="auto"/>
        <w:bottom w:val="none" w:sz="0" w:space="0" w:color="auto"/>
        <w:right w:val="none" w:sz="0" w:space="0" w:color="auto"/>
      </w:divBdr>
    </w:div>
    <w:div w:id="1111244459">
      <w:bodyDiv w:val="1"/>
      <w:marLeft w:val="0"/>
      <w:marRight w:val="0"/>
      <w:marTop w:val="0"/>
      <w:marBottom w:val="0"/>
      <w:divBdr>
        <w:top w:val="none" w:sz="0" w:space="0" w:color="auto"/>
        <w:left w:val="none" w:sz="0" w:space="0" w:color="auto"/>
        <w:bottom w:val="none" w:sz="0" w:space="0" w:color="auto"/>
        <w:right w:val="none" w:sz="0" w:space="0" w:color="auto"/>
      </w:divBdr>
    </w:div>
    <w:div w:id="1174953391">
      <w:bodyDiv w:val="1"/>
      <w:marLeft w:val="0"/>
      <w:marRight w:val="0"/>
      <w:marTop w:val="0"/>
      <w:marBottom w:val="0"/>
      <w:divBdr>
        <w:top w:val="none" w:sz="0" w:space="0" w:color="auto"/>
        <w:left w:val="none" w:sz="0" w:space="0" w:color="auto"/>
        <w:bottom w:val="none" w:sz="0" w:space="0" w:color="auto"/>
        <w:right w:val="none" w:sz="0" w:space="0" w:color="auto"/>
      </w:divBdr>
    </w:div>
    <w:div w:id="1183008035">
      <w:bodyDiv w:val="1"/>
      <w:marLeft w:val="0"/>
      <w:marRight w:val="0"/>
      <w:marTop w:val="0"/>
      <w:marBottom w:val="0"/>
      <w:divBdr>
        <w:top w:val="none" w:sz="0" w:space="0" w:color="auto"/>
        <w:left w:val="none" w:sz="0" w:space="0" w:color="auto"/>
        <w:bottom w:val="none" w:sz="0" w:space="0" w:color="auto"/>
        <w:right w:val="none" w:sz="0" w:space="0" w:color="auto"/>
      </w:divBdr>
    </w:div>
    <w:div w:id="1185749410">
      <w:bodyDiv w:val="1"/>
      <w:marLeft w:val="0"/>
      <w:marRight w:val="0"/>
      <w:marTop w:val="0"/>
      <w:marBottom w:val="0"/>
      <w:divBdr>
        <w:top w:val="none" w:sz="0" w:space="0" w:color="auto"/>
        <w:left w:val="none" w:sz="0" w:space="0" w:color="auto"/>
        <w:bottom w:val="none" w:sz="0" w:space="0" w:color="auto"/>
        <w:right w:val="none" w:sz="0" w:space="0" w:color="auto"/>
      </w:divBdr>
      <w:divsChild>
        <w:div w:id="878274672">
          <w:marLeft w:val="0"/>
          <w:marRight w:val="0"/>
          <w:marTop w:val="0"/>
          <w:marBottom w:val="0"/>
          <w:divBdr>
            <w:top w:val="none" w:sz="0" w:space="0" w:color="auto"/>
            <w:left w:val="none" w:sz="0" w:space="0" w:color="auto"/>
            <w:bottom w:val="none" w:sz="0" w:space="0" w:color="auto"/>
            <w:right w:val="none" w:sz="0" w:space="0" w:color="auto"/>
          </w:divBdr>
        </w:div>
        <w:div w:id="857739073">
          <w:marLeft w:val="0"/>
          <w:marRight w:val="0"/>
          <w:marTop w:val="0"/>
          <w:marBottom w:val="0"/>
          <w:divBdr>
            <w:top w:val="none" w:sz="0" w:space="0" w:color="auto"/>
            <w:left w:val="none" w:sz="0" w:space="0" w:color="auto"/>
            <w:bottom w:val="none" w:sz="0" w:space="0" w:color="auto"/>
            <w:right w:val="none" w:sz="0" w:space="0" w:color="auto"/>
          </w:divBdr>
        </w:div>
      </w:divsChild>
    </w:div>
    <w:div w:id="1206479273">
      <w:bodyDiv w:val="1"/>
      <w:marLeft w:val="0"/>
      <w:marRight w:val="0"/>
      <w:marTop w:val="0"/>
      <w:marBottom w:val="0"/>
      <w:divBdr>
        <w:top w:val="none" w:sz="0" w:space="0" w:color="auto"/>
        <w:left w:val="none" w:sz="0" w:space="0" w:color="auto"/>
        <w:bottom w:val="none" w:sz="0" w:space="0" w:color="auto"/>
        <w:right w:val="none" w:sz="0" w:space="0" w:color="auto"/>
      </w:divBdr>
    </w:div>
    <w:div w:id="1220287679">
      <w:bodyDiv w:val="1"/>
      <w:marLeft w:val="0"/>
      <w:marRight w:val="0"/>
      <w:marTop w:val="0"/>
      <w:marBottom w:val="0"/>
      <w:divBdr>
        <w:top w:val="none" w:sz="0" w:space="0" w:color="auto"/>
        <w:left w:val="none" w:sz="0" w:space="0" w:color="auto"/>
        <w:bottom w:val="none" w:sz="0" w:space="0" w:color="auto"/>
        <w:right w:val="none" w:sz="0" w:space="0" w:color="auto"/>
      </w:divBdr>
    </w:div>
    <w:div w:id="1222403747">
      <w:bodyDiv w:val="1"/>
      <w:marLeft w:val="0"/>
      <w:marRight w:val="0"/>
      <w:marTop w:val="0"/>
      <w:marBottom w:val="0"/>
      <w:divBdr>
        <w:top w:val="none" w:sz="0" w:space="0" w:color="auto"/>
        <w:left w:val="none" w:sz="0" w:space="0" w:color="auto"/>
        <w:bottom w:val="none" w:sz="0" w:space="0" w:color="auto"/>
        <w:right w:val="none" w:sz="0" w:space="0" w:color="auto"/>
      </w:divBdr>
    </w:div>
    <w:div w:id="1224095478">
      <w:bodyDiv w:val="1"/>
      <w:marLeft w:val="0"/>
      <w:marRight w:val="0"/>
      <w:marTop w:val="0"/>
      <w:marBottom w:val="0"/>
      <w:divBdr>
        <w:top w:val="none" w:sz="0" w:space="0" w:color="auto"/>
        <w:left w:val="none" w:sz="0" w:space="0" w:color="auto"/>
        <w:bottom w:val="none" w:sz="0" w:space="0" w:color="auto"/>
        <w:right w:val="none" w:sz="0" w:space="0" w:color="auto"/>
      </w:divBdr>
    </w:div>
    <w:div w:id="1238783879">
      <w:bodyDiv w:val="1"/>
      <w:marLeft w:val="0"/>
      <w:marRight w:val="0"/>
      <w:marTop w:val="0"/>
      <w:marBottom w:val="0"/>
      <w:divBdr>
        <w:top w:val="none" w:sz="0" w:space="0" w:color="auto"/>
        <w:left w:val="none" w:sz="0" w:space="0" w:color="auto"/>
        <w:bottom w:val="none" w:sz="0" w:space="0" w:color="auto"/>
        <w:right w:val="none" w:sz="0" w:space="0" w:color="auto"/>
      </w:divBdr>
    </w:div>
    <w:div w:id="1247226402">
      <w:bodyDiv w:val="1"/>
      <w:marLeft w:val="0"/>
      <w:marRight w:val="0"/>
      <w:marTop w:val="0"/>
      <w:marBottom w:val="0"/>
      <w:divBdr>
        <w:top w:val="none" w:sz="0" w:space="0" w:color="auto"/>
        <w:left w:val="none" w:sz="0" w:space="0" w:color="auto"/>
        <w:bottom w:val="none" w:sz="0" w:space="0" w:color="auto"/>
        <w:right w:val="none" w:sz="0" w:space="0" w:color="auto"/>
      </w:divBdr>
    </w:div>
    <w:div w:id="1260333776">
      <w:bodyDiv w:val="1"/>
      <w:marLeft w:val="0"/>
      <w:marRight w:val="0"/>
      <w:marTop w:val="0"/>
      <w:marBottom w:val="0"/>
      <w:divBdr>
        <w:top w:val="none" w:sz="0" w:space="0" w:color="auto"/>
        <w:left w:val="none" w:sz="0" w:space="0" w:color="auto"/>
        <w:bottom w:val="none" w:sz="0" w:space="0" w:color="auto"/>
        <w:right w:val="none" w:sz="0" w:space="0" w:color="auto"/>
      </w:divBdr>
      <w:divsChild>
        <w:div w:id="231888514">
          <w:marLeft w:val="0"/>
          <w:marRight w:val="0"/>
          <w:marTop w:val="0"/>
          <w:marBottom w:val="0"/>
          <w:divBdr>
            <w:top w:val="none" w:sz="0" w:space="0" w:color="auto"/>
            <w:left w:val="none" w:sz="0" w:space="0" w:color="auto"/>
            <w:bottom w:val="none" w:sz="0" w:space="0" w:color="auto"/>
            <w:right w:val="none" w:sz="0" w:space="0" w:color="auto"/>
          </w:divBdr>
          <w:divsChild>
            <w:div w:id="553541135">
              <w:marLeft w:val="0"/>
              <w:marRight w:val="0"/>
              <w:marTop w:val="0"/>
              <w:marBottom w:val="0"/>
              <w:divBdr>
                <w:top w:val="none" w:sz="0" w:space="0" w:color="auto"/>
                <w:left w:val="none" w:sz="0" w:space="0" w:color="auto"/>
                <w:bottom w:val="none" w:sz="0" w:space="0" w:color="auto"/>
                <w:right w:val="none" w:sz="0" w:space="0" w:color="auto"/>
              </w:divBdr>
              <w:divsChild>
                <w:div w:id="1121268220">
                  <w:marLeft w:val="0"/>
                  <w:marRight w:val="0"/>
                  <w:marTop w:val="0"/>
                  <w:marBottom w:val="0"/>
                  <w:divBdr>
                    <w:top w:val="none" w:sz="0" w:space="0" w:color="auto"/>
                    <w:left w:val="none" w:sz="0" w:space="0" w:color="auto"/>
                    <w:bottom w:val="none" w:sz="0" w:space="0" w:color="auto"/>
                    <w:right w:val="none" w:sz="0" w:space="0" w:color="auto"/>
                  </w:divBdr>
                  <w:divsChild>
                    <w:div w:id="349527128">
                      <w:marLeft w:val="0"/>
                      <w:marRight w:val="0"/>
                      <w:marTop w:val="0"/>
                      <w:marBottom w:val="0"/>
                      <w:divBdr>
                        <w:top w:val="none" w:sz="0" w:space="0" w:color="auto"/>
                        <w:left w:val="none" w:sz="0" w:space="0" w:color="auto"/>
                        <w:bottom w:val="none" w:sz="0" w:space="0" w:color="auto"/>
                        <w:right w:val="none" w:sz="0" w:space="0" w:color="auto"/>
                      </w:divBdr>
                      <w:divsChild>
                        <w:div w:id="1996639281">
                          <w:marLeft w:val="0"/>
                          <w:marRight w:val="0"/>
                          <w:marTop w:val="0"/>
                          <w:marBottom w:val="0"/>
                          <w:divBdr>
                            <w:top w:val="none" w:sz="0" w:space="0" w:color="auto"/>
                            <w:left w:val="none" w:sz="0" w:space="0" w:color="auto"/>
                            <w:bottom w:val="none" w:sz="0" w:space="0" w:color="auto"/>
                            <w:right w:val="none" w:sz="0" w:space="0" w:color="auto"/>
                          </w:divBdr>
                          <w:divsChild>
                            <w:div w:id="18795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15550">
      <w:bodyDiv w:val="1"/>
      <w:marLeft w:val="0"/>
      <w:marRight w:val="0"/>
      <w:marTop w:val="0"/>
      <w:marBottom w:val="0"/>
      <w:divBdr>
        <w:top w:val="none" w:sz="0" w:space="0" w:color="auto"/>
        <w:left w:val="none" w:sz="0" w:space="0" w:color="auto"/>
        <w:bottom w:val="none" w:sz="0" w:space="0" w:color="auto"/>
        <w:right w:val="none" w:sz="0" w:space="0" w:color="auto"/>
      </w:divBdr>
    </w:div>
    <w:div w:id="1319457872">
      <w:bodyDiv w:val="1"/>
      <w:marLeft w:val="0"/>
      <w:marRight w:val="0"/>
      <w:marTop w:val="0"/>
      <w:marBottom w:val="0"/>
      <w:divBdr>
        <w:top w:val="none" w:sz="0" w:space="0" w:color="auto"/>
        <w:left w:val="none" w:sz="0" w:space="0" w:color="auto"/>
        <w:bottom w:val="none" w:sz="0" w:space="0" w:color="auto"/>
        <w:right w:val="none" w:sz="0" w:space="0" w:color="auto"/>
      </w:divBdr>
    </w:div>
    <w:div w:id="1330520912">
      <w:bodyDiv w:val="1"/>
      <w:marLeft w:val="0"/>
      <w:marRight w:val="0"/>
      <w:marTop w:val="0"/>
      <w:marBottom w:val="0"/>
      <w:divBdr>
        <w:top w:val="none" w:sz="0" w:space="0" w:color="auto"/>
        <w:left w:val="none" w:sz="0" w:space="0" w:color="auto"/>
        <w:bottom w:val="none" w:sz="0" w:space="0" w:color="auto"/>
        <w:right w:val="none" w:sz="0" w:space="0" w:color="auto"/>
      </w:divBdr>
    </w:div>
    <w:div w:id="1351955986">
      <w:bodyDiv w:val="1"/>
      <w:marLeft w:val="0"/>
      <w:marRight w:val="0"/>
      <w:marTop w:val="0"/>
      <w:marBottom w:val="0"/>
      <w:divBdr>
        <w:top w:val="none" w:sz="0" w:space="0" w:color="auto"/>
        <w:left w:val="none" w:sz="0" w:space="0" w:color="auto"/>
        <w:bottom w:val="none" w:sz="0" w:space="0" w:color="auto"/>
        <w:right w:val="none" w:sz="0" w:space="0" w:color="auto"/>
      </w:divBdr>
    </w:div>
    <w:div w:id="1392997559">
      <w:bodyDiv w:val="1"/>
      <w:marLeft w:val="0"/>
      <w:marRight w:val="0"/>
      <w:marTop w:val="0"/>
      <w:marBottom w:val="0"/>
      <w:divBdr>
        <w:top w:val="none" w:sz="0" w:space="0" w:color="auto"/>
        <w:left w:val="none" w:sz="0" w:space="0" w:color="auto"/>
        <w:bottom w:val="none" w:sz="0" w:space="0" w:color="auto"/>
        <w:right w:val="none" w:sz="0" w:space="0" w:color="auto"/>
      </w:divBdr>
    </w:div>
    <w:div w:id="1397625773">
      <w:bodyDiv w:val="1"/>
      <w:marLeft w:val="0"/>
      <w:marRight w:val="0"/>
      <w:marTop w:val="0"/>
      <w:marBottom w:val="0"/>
      <w:divBdr>
        <w:top w:val="none" w:sz="0" w:space="0" w:color="auto"/>
        <w:left w:val="none" w:sz="0" w:space="0" w:color="auto"/>
        <w:bottom w:val="none" w:sz="0" w:space="0" w:color="auto"/>
        <w:right w:val="none" w:sz="0" w:space="0" w:color="auto"/>
      </w:divBdr>
    </w:div>
    <w:div w:id="1447458584">
      <w:bodyDiv w:val="1"/>
      <w:marLeft w:val="0"/>
      <w:marRight w:val="0"/>
      <w:marTop w:val="0"/>
      <w:marBottom w:val="0"/>
      <w:divBdr>
        <w:top w:val="none" w:sz="0" w:space="0" w:color="auto"/>
        <w:left w:val="none" w:sz="0" w:space="0" w:color="auto"/>
        <w:bottom w:val="none" w:sz="0" w:space="0" w:color="auto"/>
        <w:right w:val="none" w:sz="0" w:space="0" w:color="auto"/>
      </w:divBdr>
    </w:div>
    <w:div w:id="1530413254">
      <w:bodyDiv w:val="1"/>
      <w:marLeft w:val="0"/>
      <w:marRight w:val="0"/>
      <w:marTop w:val="0"/>
      <w:marBottom w:val="0"/>
      <w:divBdr>
        <w:top w:val="none" w:sz="0" w:space="0" w:color="auto"/>
        <w:left w:val="none" w:sz="0" w:space="0" w:color="auto"/>
        <w:bottom w:val="none" w:sz="0" w:space="0" w:color="auto"/>
        <w:right w:val="none" w:sz="0" w:space="0" w:color="auto"/>
      </w:divBdr>
      <w:divsChild>
        <w:div w:id="921833312">
          <w:marLeft w:val="0"/>
          <w:marRight w:val="0"/>
          <w:marTop w:val="0"/>
          <w:marBottom w:val="0"/>
          <w:divBdr>
            <w:top w:val="none" w:sz="0" w:space="0" w:color="auto"/>
            <w:left w:val="none" w:sz="0" w:space="0" w:color="auto"/>
            <w:bottom w:val="none" w:sz="0" w:space="0" w:color="auto"/>
            <w:right w:val="none" w:sz="0" w:space="0" w:color="auto"/>
          </w:divBdr>
          <w:divsChild>
            <w:div w:id="9598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04411">
      <w:bodyDiv w:val="1"/>
      <w:marLeft w:val="0"/>
      <w:marRight w:val="0"/>
      <w:marTop w:val="0"/>
      <w:marBottom w:val="0"/>
      <w:divBdr>
        <w:top w:val="none" w:sz="0" w:space="0" w:color="auto"/>
        <w:left w:val="none" w:sz="0" w:space="0" w:color="auto"/>
        <w:bottom w:val="none" w:sz="0" w:space="0" w:color="auto"/>
        <w:right w:val="none" w:sz="0" w:space="0" w:color="auto"/>
      </w:divBdr>
      <w:divsChild>
        <w:div w:id="1478960716">
          <w:marLeft w:val="0"/>
          <w:marRight w:val="0"/>
          <w:marTop w:val="0"/>
          <w:marBottom w:val="150"/>
          <w:divBdr>
            <w:top w:val="none" w:sz="0" w:space="0" w:color="auto"/>
            <w:left w:val="none" w:sz="0" w:space="0" w:color="auto"/>
            <w:bottom w:val="none" w:sz="0" w:space="0" w:color="auto"/>
            <w:right w:val="none" w:sz="0" w:space="0" w:color="auto"/>
          </w:divBdr>
          <w:divsChild>
            <w:div w:id="18507061">
              <w:marLeft w:val="0"/>
              <w:marRight w:val="0"/>
              <w:marTop w:val="0"/>
              <w:marBottom w:val="0"/>
              <w:divBdr>
                <w:top w:val="none" w:sz="0" w:space="0" w:color="auto"/>
                <w:left w:val="none" w:sz="0" w:space="0" w:color="auto"/>
                <w:bottom w:val="none" w:sz="0" w:space="0" w:color="auto"/>
                <w:right w:val="none" w:sz="0" w:space="0" w:color="auto"/>
              </w:divBdr>
              <w:divsChild>
                <w:div w:id="14013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0556">
          <w:marLeft w:val="0"/>
          <w:marRight w:val="0"/>
          <w:marTop w:val="0"/>
          <w:marBottom w:val="150"/>
          <w:divBdr>
            <w:top w:val="none" w:sz="0" w:space="0" w:color="auto"/>
            <w:left w:val="none" w:sz="0" w:space="0" w:color="auto"/>
            <w:bottom w:val="none" w:sz="0" w:space="0" w:color="auto"/>
            <w:right w:val="none" w:sz="0" w:space="0" w:color="auto"/>
          </w:divBdr>
          <w:divsChild>
            <w:div w:id="960764108">
              <w:marLeft w:val="0"/>
              <w:marRight w:val="0"/>
              <w:marTop w:val="0"/>
              <w:marBottom w:val="0"/>
              <w:divBdr>
                <w:top w:val="none" w:sz="0" w:space="0" w:color="auto"/>
                <w:left w:val="none" w:sz="0" w:space="0" w:color="auto"/>
                <w:bottom w:val="none" w:sz="0" w:space="0" w:color="auto"/>
                <w:right w:val="none" w:sz="0" w:space="0" w:color="auto"/>
              </w:divBdr>
              <w:divsChild>
                <w:div w:id="13561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4681">
      <w:bodyDiv w:val="1"/>
      <w:marLeft w:val="0"/>
      <w:marRight w:val="0"/>
      <w:marTop w:val="0"/>
      <w:marBottom w:val="0"/>
      <w:divBdr>
        <w:top w:val="none" w:sz="0" w:space="0" w:color="auto"/>
        <w:left w:val="none" w:sz="0" w:space="0" w:color="auto"/>
        <w:bottom w:val="none" w:sz="0" w:space="0" w:color="auto"/>
        <w:right w:val="none" w:sz="0" w:space="0" w:color="auto"/>
      </w:divBdr>
    </w:div>
    <w:div w:id="1576743592">
      <w:bodyDiv w:val="1"/>
      <w:marLeft w:val="0"/>
      <w:marRight w:val="0"/>
      <w:marTop w:val="0"/>
      <w:marBottom w:val="0"/>
      <w:divBdr>
        <w:top w:val="none" w:sz="0" w:space="0" w:color="auto"/>
        <w:left w:val="none" w:sz="0" w:space="0" w:color="auto"/>
        <w:bottom w:val="none" w:sz="0" w:space="0" w:color="auto"/>
        <w:right w:val="none" w:sz="0" w:space="0" w:color="auto"/>
      </w:divBdr>
    </w:div>
    <w:div w:id="1581333078">
      <w:bodyDiv w:val="1"/>
      <w:marLeft w:val="0"/>
      <w:marRight w:val="0"/>
      <w:marTop w:val="0"/>
      <w:marBottom w:val="0"/>
      <w:divBdr>
        <w:top w:val="none" w:sz="0" w:space="0" w:color="auto"/>
        <w:left w:val="none" w:sz="0" w:space="0" w:color="auto"/>
        <w:bottom w:val="none" w:sz="0" w:space="0" w:color="auto"/>
        <w:right w:val="none" w:sz="0" w:space="0" w:color="auto"/>
      </w:divBdr>
    </w:div>
    <w:div w:id="1593203609">
      <w:bodyDiv w:val="1"/>
      <w:marLeft w:val="0"/>
      <w:marRight w:val="0"/>
      <w:marTop w:val="0"/>
      <w:marBottom w:val="0"/>
      <w:divBdr>
        <w:top w:val="none" w:sz="0" w:space="0" w:color="auto"/>
        <w:left w:val="none" w:sz="0" w:space="0" w:color="auto"/>
        <w:bottom w:val="none" w:sz="0" w:space="0" w:color="auto"/>
        <w:right w:val="none" w:sz="0" w:space="0" w:color="auto"/>
      </w:divBdr>
    </w:div>
    <w:div w:id="1600600448">
      <w:bodyDiv w:val="1"/>
      <w:marLeft w:val="0"/>
      <w:marRight w:val="0"/>
      <w:marTop w:val="0"/>
      <w:marBottom w:val="0"/>
      <w:divBdr>
        <w:top w:val="none" w:sz="0" w:space="0" w:color="auto"/>
        <w:left w:val="none" w:sz="0" w:space="0" w:color="auto"/>
        <w:bottom w:val="none" w:sz="0" w:space="0" w:color="auto"/>
        <w:right w:val="none" w:sz="0" w:space="0" w:color="auto"/>
      </w:divBdr>
    </w:div>
    <w:div w:id="1611664155">
      <w:bodyDiv w:val="1"/>
      <w:marLeft w:val="0"/>
      <w:marRight w:val="0"/>
      <w:marTop w:val="0"/>
      <w:marBottom w:val="0"/>
      <w:divBdr>
        <w:top w:val="none" w:sz="0" w:space="0" w:color="auto"/>
        <w:left w:val="none" w:sz="0" w:space="0" w:color="auto"/>
        <w:bottom w:val="none" w:sz="0" w:space="0" w:color="auto"/>
        <w:right w:val="none" w:sz="0" w:space="0" w:color="auto"/>
      </w:divBdr>
    </w:div>
    <w:div w:id="1623417133">
      <w:bodyDiv w:val="1"/>
      <w:marLeft w:val="0"/>
      <w:marRight w:val="0"/>
      <w:marTop w:val="0"/>
      <w:marBottom w:val="0"/>
      <w:divBdr>
        <w:top w:val="none" w:sz="0" w:space="0" w:color="auto"/>
        <w:left w:val="none" w:sz="0" w:space="0" w:color="auto"/>
        <w:bottom w:val="none" w:sz="0" w:space="0" w:color="auto"/>
        <w:right w:val="none" w:sz="0" w:space="0" w:color="auto"/>
      </w:divBdr>
      <w:divsChild>
        <w:div w:id="1559365880">
          <w:marLeft w:val="0"/>
          <w:marRight w:val="0"/>
          <w:marTop w:val="0"/>
          <w:marBottom w:val="0"/>
          <w:divBdr>
            <w:top w:val="none" w:sz="0" w:space="0" w:color="auto"/>
            <w:left w:val="none" w:sz="0" w:space="0" w:color="auto"/>
            <w:bottom w:val="none" w:sz="0" w:space="0" w:color="auto"/>
            <w:right w:val="none" w:sz="0" w:space="0" w:color="auto"/>
          </w:divBdr>
        </w:div>
        <w:div w:id="466779132">
          <w:marLeft w:val="0"/>
          <w:marRight w:val="0"/>
          <w:marTop w:val="0"/>
          <w:marBottom w:val="0"/>
          <w:divBdr>
            <w:top w:val="none" w:sz="0" w:space="0" w:color="auto"/>
            <w:left w:val="none" w:sz="0" w:space="0" w:color="auto"/>
            <w:bottom w:val="none" w:sz="0" w:space="0" w:color="auto"/>
            <w:right w:val="none" w:sz="0" w:space="0" w:color="auto"/>
          </w:divBdr>
        </w:div>
        <w:div w:id="790126973">
          <w:marLeft w:val="0"/>
          <w:marRight w:val="0"/>
          <w:marTop w:val="0"/>
          <w:marBottom w:val="0"/>
          <w:divBdr>
            <w:top w:val="none" w:sz="0" w:space="0" w:color="auto"/>
            <w:left w:val="none" w:sz="0" w:space="0" w:color="auto"/>
            <w:bottom w:val="none" w:sz="0" w:space="0" w:color="auto"/>
            <w:right w:val="none" w:sz="0" w:space="0" w:color="auto"/>
          </w:divBdr>
        </w:div>
        <w:div w:id="568420598">
          <w:marLeft w:val="0"/>
          <w:marRight w:val="0"/>
          <w:marTop w:val="0"/>
          <w:marBottom w:val="0"/>
          <w:divBdr>
            <w:top w:val="none" w:sz="0" w:space="0" w:color="auto"/>
            <w:left w:val="none" w:sz="0" w:space="0" w:color="auto"/>
            <w:bottom w:val="none" w:sz="0" w:space="0" w:color="auto"/>
            <w:right w:val="none" w:sz="0" w:space="0" w:color="auto"/>
          </w:divBdr>
        </w:div>
        <w:div w:id="1052845337">
          <w:marLeft w:val="0"/>
          <w:marRight w:val="0"/>
          <w:marTop w:val="0"/>
          <w:marBottom w:val="0"/>
          <w:divBdr>
            <w:top w:val="none" w:sz="0" w:space="0" w:color="auto"/>
            <w:left w:val="none" w:sz="0" w:space="0" w:color="auto"/>
            <w:bottom w:val="none" w:sz="0" w:space="0" w:color="auto"/>
            <w:right w:val="none" w:sz="0" w:space="0" w:color="auto"/>
          </w:divBdr>
        </w:div>
        <w:div w:id="1057822332">
          <w:marLeft w:val="0"/>
          <w:marRight w:val="0"/>
          <w:marTop w:val="0"/>
          <w:marBottom w:val="0"/>
          <w:divBdr>
            <w:top w:val="none" w:sz="0" w:space="0" w:color="auto"/>
            <w:left w:val="none" w:sz="0" w:space="0" w:color="auto"/>
            <w:bottom w:val="none" w:sz="0" w:space="0" w:color="auto"/>
            <w:right w:val="none" w:sz="0" w:space="0" w:color="auto"/>
          </w:divBdr>
        </w:div>
        <w:div w:id="802188755">
          <w:marLeft w:val="0"/>
          <w:marRight w:val="0"/>
          <w:marTop w:val="0"/>
          <w:marBottom w:val="0"/>
          <w:divBdr>
            <w:top w:val="none" w:sz="0" w:space="0" w:color="auto"/>
            <w:left w:val="none" w:sz="0" w:space="0" w:color="auto"/>
            <w:bottom w:val="none" w:sz="0" w:space="0" w:color="auto"/>
            <w:right w:val="none" w:sz="0" w:space="0" w:color="auto"/>
          </w:divBdr>
        </w:div>
      </w:divsChild>
    </w:div>
    <w:div w:id="1639190255">
      <w:bodyDiv w:val="1"/>
      <w:marLeft w:val="0"/>
      <w:marRight w:val="0"/>
      <w:marTop w:val="0"/>
      <w:marBottom w:val="0"/>
      <w:divBdr>
        <w:top w:val="none" w:sz="0" w:space="0" w:color="auto"/>
        <w:left w:val="none" w:sz="0" w:space="0" w:color="auto"/>
        <w:bottom w:val="none" w:sz="0" w:space="0" w:color="auto"/>
        <w:right w:val="none" w:sz="0" w:space="0" w:color="auto"/>
      </w:divBdr>
    </w:div>
    <w:div w:id="1652442190">
      <w:bodyDiv w:val="1"/>
      <w:marLeft w:val="0"/>
      <w:marRight w:val="0"/>
      <w:marTop w:val="0"/>
      <w:marBottom w:val="0"/>
      <w:divBdr>
        <w:top w:val="none" w:sz="0" w:space="0" w:color="auto"/>
        <w:left w:val="none" w:sz="0" w:space="0" w:color="auto"/>
        <w:bottom w:val="none" w:sz="0" w:space="0" w:color="auto"/>
        <w:right w:val="none" w:sz="0" w:space="0" w:color="auto"/>
      </w:divBdr>
      <w:divsChild>
        <w:div w:id="281420091">
          <w:marLeft w:val="0"/>
          <w:marRight w:val="0"/>
          <w:marTop w:val="0"/>
          <w:marBottom w:val="0"/>
          <w:divBdr>
            <w:top w:val="none" w:sz="0" w:space="0" w:color="auto"/>
            <w:left w:val="none" w:sz="0" w:space="0" w:color="auto"/>
            <w:bottom w:val="none" w:sz="0" w:space="0" w:color="auto"/>
            <w:right w:val="none" w:sz="0" w:space="0" w:color="auto"/>
          </w:divBdr>
          <w:divsChild>
            <w:div w:id="11626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4659">
      <w:bodyDiv w:val="1"/>
      <w:marLeft w:val="0"/>
      <w:marRight w:val="0"/>
      <w:marTop w:val="0"/>
      <w:marBottom w:val="0"/>
      <w:divBdr>
        <w:top w:val="none" w:sz="0" w:space="0" w:color="auto"/>
        <w:left w:val="none" w:sz="0" w:space="0" w:color="auto"/>
        <w:bottom w:val="none" w:sz="0" w:space="0" w:color="auto"/>
        <w:right w:val="none" w:sz="0" w:space="0" w:color="auto"/>
      </w:divBdr>
    </w:div>
    <w:div w:id="1791317194">
      <w:bodyDiv w:val="1"/>
      <w:marLeft w:val="0"/>
      <w:marRight w:val="0"/>
      <w:marTop w:val="0"/>
      <w:marBottom w:val="0"/>
      <w:divBdr>
        <w:top w:val="none" w:sz="0" w:space="0" w:color="auto"/>
        <w:left w:val="none" w:sz="0" w:space="0" w:color="auto"/>
        <w:bottom w:val="none" w:sz="0" w:space="0" w:color="auto"/>
        <w:right w:val="none" w:sz="0" w:space="0" w:color="auto"/>
      </w:divBdr>
    </w:div>
    <w:div w:id="1796748142">
      <w:bodyDiv w:val="1"/>
      <w:marLeft w:val="0"/>
      <w:marRight w:val="0"/>
      <w:marTop w:val="0"/>
      <w:marBottom w:val="0"/>
      <w:divBdr>
        <w:top w:val="none" w:sz="0" w:space="0" w:color="auto"/>
        <w:left w:val="none" w:sz="0" w:space="0" w:color="auto"/>
        <w:bottom w:val="none" w:sz="0" w:space="0" w:color="auto"/>
        <w:right w:val="none" w:sz="0" w:space="0" w:color="auto"/>
      </w:divBdr>
    </w:div>
    <w:div w:id="1864515908">
      <w:bodyDiv w:val="1"/>
      <w:marLeft w:val="0"/>
      <w:marRight w:val="0"/>
      <w:marTop w:val="0"/>
      <w:marBottom w:val="0"/>
      <w:divBdr>
        <w:top w:val="none" w:sz="0" w:space="0" w:color="auto"/>
        <w:left w:val="none" w:sz="0" w:space="0" w:color="auto"/>
        <w:bottom w:val="none" w:sz="0" w:space="0" w:color="auto"/>
        <w:right w:val="none" w:sz="0" w:space="0" w:color="auto"/>
      </w:divBdr>
      <w:divsChild>
        <w:div w:id="1290431909">
          <w:marLeft w:val="0"/>
          <w:marRight w:val="0"/>
          <w:marTop w:val="0"/>
          <w:marBottom w:val="0"/>
          <w:divBdr>
            <w:top w:val="none" w:sz="0" w:space="0" w:color="auto"/>
            <w:left w:val="none" w:sz="0" w:space="0" w:color="auto"/>
            <w:bottom w:val="none" w:sz="0" w:space="0" w:color="auto"/>
            <w:right w:val="none" w:sz="0" w:space="0" w:color="auto"/>
          </w:divBdr>
          <w:divsChild>
            <w:div w:id="19011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4244">
      <w:bodyDiv w:val="1"/>
      <w:marLeft w:val="0"/>
      <w:marRight w:val="0"/>
      <w:marTop w:val="0"/>
      <w:marBottom w:val="0"/>
      <w:divBdr>
        <w:top w:val="none" w:sz="0" w:space="0" w:color="auto"/>
        <w:left w:val="none" w:sz="0" w:space="0" w:color="auto"/>
        <w:bottom w:val="none" w:sz="0" w:space="0" w:color="auto"/>
        <w:right w:val="none" w:sz="0" w:space="0" w:color="auto"/>
      </w:divBdr>
      <w:divsChild>
        <w:div w:id="811412099">
          <w:marLeft w:val="0"/>
          <w:marRight w:val="0"/>
          <w:marTop w:val="600"/>
          <w:marBottom w:val="45"/>
          <w:divBdr>
            <w:top w:val="none" w:sz="0" w:space="0" w:color="auto"/>
            <w:left w:val="none" w:sz="0" w:space="0" w:color="auto"/>
            <w:bottom w:val="none" w:sz="0" w:space="0" w:color="auto"/>
            <w:right w:val="none" w:sz="0" w:space="0" w:color="auto"/>
          </w:divBdr>
        </w:div>
      </w:divsChild>
    </w:div>
    <w:div w:id="1904179088">
      <w:bodyDiv w:val="1"/>
      <w:marLeft w:val="0"/>
      <w:marRight w:val="0"/>
      <w:marTop w:val="0"/>
      <w:marBottom w:val="0"/>
      <w:divBdr>
        <w:top w:val="none" w:sz="0" w:space="0" w:color="auto"/>
        <w:left w:val="none" w:sz="0" w:space="0" w:color="auto"/>
        <w:bottom w:val="none" w:sz="0" w:space="0" w:color="auto"/>
        <w:right w:val="none" w:sz="0" w:space="0" w:color="auto"/>
      </w:divBdr>
    </w:div>
    <w:div w:id="1965499586">
      <w:bodyDiv w:val="1"/>
      <w:marLeft w:val="0"/>
      <w:marRight w:val="0"/>
      <w:marTop w:val="0"/>
      <w:marBottom w:val="0"/>
      <w:divBdr>
        <w:top w:val="none" w:sz="0" w:space="0" w:color="auto"/>
        <w:left w:val="none" w:sz="0" w:space="0" w:color="auto"/>
        <w:bottom w:val="none" w:sz="0" w:space="0" w:color="auto"/>
        <w:right w:val="none" w:sz="0" w:space="0" w:color="auto"/>
      </w:divBdr>
      <w:divsChild>
        <w:div w:id="882716635">
          <w:marLeft w:val="0"/>
          <w:marRight w:val="0"/>
          <w:marTop w:val="0"/>
          <w:marBottom w:val="0"/>
          <w:divBdr>
            <w:top w:val="none" w:sz="0" w:space="0" w:color="auto"/>
            <w:left w:val="none" w:sz="0" w:space="0" w:color="auto"/>
            <w:bottom w:val="none" w:sz="0" w:space="0" w:color="auto"/>
            <w:right w:val="none" w:sz="0" w:space="0" w:color="auto"/>
          </w:divBdr>
          <w:divsChild>
            <w:div w:id="16097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89503">
      <w:bodyDiv w:val="1"/>
      <w:marLeft w:val="0"/>
      <w:marRight w:val="0"/>
      <w:marTop w:val="0"/>
      <w:marBottom w:val="0"/>
      <w:divBdr>
        <w:top w:val="none" w:sz="0" w:space="0" w:color="auto"/>
        <w:left w:val="none" w:sz="0" w:space="0" w:color="auto"/>
        <w:bottom w:val="none" w:sz="0" w:space="0" w:color="auto"/>
        <w:right w:val="none" w:sz="0" w:space="0" w:color="auto"/>
      </w:divBdr>
    </w:div>
    <w:div w:id="2010794750">
      <w:bodyDiv w:val="1"/>
      <w:marLeft w:val="0"/>
      <w:marRight w:val="0"/>
      <w:marTop w:val="0"/>
      <w:marBottom w:val="0"/>
      <w:divBdr>
        <w:top w:val="none" w:sz="0" w:space="0" w:color="auto"/>
        <w:left w:val="none" w:sz="0" w:space="0" w:color="auto"/>
        <w:bottom w:val="none" w:sz="0" w:space="0" w:color="auto"/>
        <w:right w:val="none" w:sz="0" w:space="0" w:color="auto"/>
      </w:divBdr>
    </w:div>
    <w:div w:id="2064210848">
      <w:bodyDiv w:val="1"/>
      <w:marLeft w:val="0"/>
      <w:marRight w:val="0"/>
      <w:marTop w:val="0"/>
      <w:marBottom w:val="0"/>
      <w:divBdr>
        <w:top w:val="none" w:sz="0" w:space="0" w:color="auto"/>
        <w:left w:val="none" w:sz="0" w:space="0" w:color="auto"/>
        <w:bottom w:val="none" w:sz="0" w:space="0" w:color="auto"/>
        <w:right w:val="none" w:sz="0" w:space="0" w:color="auto"/>
      </w:divBdr>
    </w:div>
    <w:div w:id="2098331717">
      <w:bodyDiv w:val="1"/>
      <w:marLeft w:val="0"/>
      <w:marRight w:val="0"/>
      <w:marTop w:val="0"/>
      <w:marBottom w:val="0"/>
      <w:divBdr>
        <w:top w:val="none" w:sz="0" w:space="0" w:color="auto"/>
        <w:left w:val="none" w:sz="0" w:space="0" w:color="auto"/>
        <w:bottom w:val="none" w:sz="0" w:space="0" w:color="auto"/>
        <w:right w:val="none" w:sz="0" w:space="0" w:color="auto"/>
      </w:divBdr>
    </w:div>
    <w:div w:id="212179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onelt.com/index.php/foe/article/view/244" TargetMode="External"/><Relationship Id="rId13" Type="http://schemas.openxmlformats.org/officeDocument/2006/relationships/hyperlink" Target="https://www.globalissues.org/news/2024/07/04/3712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mjpublichealth.bmj.com/content/3/1/e0015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eanso.org/index.php/eajit/article/view/26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knowledgecommons.popcouncil.org/cgi/viewcontent.cgi?article=1034&amp;context=focus_gender-equalit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kenyanews.go.ke/concerns-raised-over-high-number-of-girls-out-of-school-in-gariss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2E51-160B-4DE3-A87A-0A21408B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7442</Words>
  <Characters>42425</Characters>
  <Application>Microsoft Office Word</Application>
  <DocSecurity>0</DocSecurity>
  <Lines>353</Lines>
  <Paragraphs>99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ABSTRACT</vt:lpstr>
      <vt:lpstr>INTRODUCTION</vt:lpstr>
      <vt:lpstr>    Background to the Study</vt:lpstr>
      <vt:lpstr>    Statement of the Problem</vt:lpstr>
      <vt:lpstr>    Objectives of the Study</vt:lpstr>
      <vt:lpstr>    Hypothesis</vt:lpstr>
      <vt:lpstr>LITERATURE REVIEW</vt:lpstr>
      <vt:lpstr>    Theoretical Framework</vt:lpstr>
      <vt:lpstr>    Transition from Lower to Upper Primary</vt:lpstr>
      <vt:lpstr>    Cultural Beliefs and Practices Influencing Transition of Girls</vt:lpstr>
      <vt:lpstr>RESEARCH METHODOLOGY</vt:lpstr>
      <vt:lpstr>DATA ANALYSIS, PRESENTATION, INTERPRETATION AND DISCUSSIONS</vt:lpstr>
      <vt:lpstr>    Cultural beliefs and practices in transition of girls from lower primary to upp</vt:lpstr>
      <vt:lpstr>    Transition of girls from lower primary to upper primary in Balambala Sub-county,</vt:lpstr>
      <vt:lpstr>    Inferential Statistics </vt:lpstr>
      <vt:lpstr>    Correlation Analysis</vt:lpstr>
      <vt:lpstr>    Regression Analysis </vt:lpstr>
      <vt:lpstr>CONCLUSION AND RECOMMENDATIONS</vt:lpstr>
      <vt:lpstr>    Conclusions </vt:lpstr>
      <vt:lpstr>    5.4 Recommendations </vt:lpstr>
      <vt:lpstr>    5.5 Recommendations for Further Study </vt:lpstr>
      <vt:lpstr>REFERENCES</vt:lpstr>
    </vt:vector>
  </TitlesOfParts>
  <Company/>
  <LinksUpToDate>false</LinksUpToDate>
  <CharactersWithSpaces>49768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3</cp:revision>
  <cp:lastPrinted>2025-04-22T07:48:00Z</cp:lastPrinted>
  <dcterms:created xsi:type="dcterms:W3CDTF">2025-08-28T13:28:00Z</dcterms:created>
  <dcterms:modified xsi:type="dcterms:W3CDTF">2025-09-01T06:19:00Z</dcterms:modified>
</cp:coreProperties>
</file>