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widowControl w:val="0"/>
        <w:pBdr>
          <w:top w:val="none" w:color="auto" w:sz="0" w:space="0"/>
        </w:pBdr>
        <w:adjustRightInd w:val="0"/>
        <w:snapToGrid w:val="0"/>
        <w:jc w:val="both"/>
        <w:rPr>
          <w:rFonts w:eastAsiaTheme="minorEastAsia"/>
          <w:sz w:val="24"/>
          <w:szCs w:val="24"/>
          <w:lang w:eastAsia="zh-CN"/>
        </w:rPr>
      </w:pPr>
      <w:r>
        <w:rPr>
          <w:rFonts w:eastAsiaTheme="minorEastAsia"/>
          <w:sz w:val="24"/>
          <w:szCs w:val="24"/>
          <w:lang w:eastAsia="zh-CN"/>
        </w:rPr>
        <w:t>Original Research Article</w:t>
      </w:r>
      <w:r>
        <w:rPr>
          <w:rFonts w:hint="eastAsia" w:eastAsiaTheme="minorEastAsia"/>
          <w:sz w:val="24"/>
          <w:szCs w:val="24"/>
          <w:lang w:eastAsia="zh-CN"/>
        </w:rPr>
        <w:t xml:space="preserve"> </w:t>
      </w:r>
    </w:p>
    <w:p>
      <w:pPr>
        <w:pStyle w:val="41"/>
        <w:widowControl w:val="0"/>
        <w:pBdr>
          <w:top w:val="none" w:color="auto" w:sz="0" w:space="0"/>
        </w:pBdr>
        <w:adjustRightInd w:val="0"/>
        <w:snapToGrid w:val="0"/>
        <w:jc w:val="both"/>
        <w:rPr>
          <w:rFonts w:eastAsiaTheme="minorEastAsia"/>
          <w:sz w:val="24"/>
          <w:szCs w:val="24"/>
          <w:lang w:eastAsia="zh-CN"/>
        </w:rPr>
      </w:pPr>
    </w:p>
    <w:p>
      <w:pPr>
        <w:pStyle w:val="41"/>
        <w:widowControl w:val="0"/>
        <w:pBdr>
          <w:top w:val="none" w:color="auto" w:sz="0" w:space="0"/>
        </w:pBdr>
        <w:adjustRightInd w:val="0"/>
        <w:snapToGrid w:val="0"/>
        <w:jc w:val="both"/>
        <w:rPr>
          <w:rFonts w:eastAsiaTheme="minorEastAsia"/>
          <w:sz w:val="24"/>
          <w:szCs w:val="24"/>
          <w:lang w:eastAsia="zh-CN"/>
        </w:rPr>
      </w:pPr>
      <w:r>
        <w:rPr>
          <w:rFonts w:hint="eastAsia" w:eastAsiaTheme="minorEastAsia"/>
          <w:sz w:val="24"/>
          <w:szCs w:val="24"/>
          <w:lang w:eastAsia="zh-CN"/>
        </w:rPr>
        <w:t xml:space="preserve">Strategies for Reconstructing Cultural Images in the English Translation of </w:t>
      </w:r>
      <w:r>
        <w:rPr>
          <w:rFonts w:hint="eastAsia" w:eastAsiaTheme="minorEastAsia"/>
          <w:i/>
          <w:iCs/>
          <w:sz w:val="24"/>
          <w:szCs w:val="24"/>
          <w:lang w:eastAsia="zh-CN"/>
        </w:rPr>
        <w:t>Jin Gui Yao Lue</w:t>
      </w:r>
      <w:r>
        <w:rPr>
          <w:rFonts w:hint="eastAsia" w:eastAsiaTheme="minorEastAsia"/>
          <w:sz w:val="24"/>
          <w:szCs w:val="24"/>
          <w:lang w:eastAsia="zh-CN"/>
        </w:rPr>
        <w:t xml:space="preserve"> From a Thick Translation Perspective</w:t>
      </w:r>
    </w:p>
    <w:p>
      <w:pPr>
        <w:pStyle w:val="42"/>
        <w:spacing w:before="312" w:beforeLines="100" w:after="312" w:afterLines="100" w:line="240" w:lineRule="auto"/>
        <w:ind w:left="0" w:firstLine="0"/>
        <w:jc w:val="both"/>
        <w:rPr>
          <w:b/>
          <w:bCs/>
          <w:i/>
          <w:color w:val="000000" w:themeColor="text1"/>
          <w:sz w:val="24"/>
          <w:szCs w:val="24"/>
          <w:lang w:eastAsia="zh-CN"/>
          <w14:textFill>
            <w14:solidFill>
              <w14:schemeClr w14:val="tx1"/>
            </w14:solidFill>
          </w14:textFill>
        </w:rPr>
      </w:pPr>
      <w:bookmarkStart w:id="0" w:name="OLE_LINK1"/>
    </w:p>
    <w:p>
      <w:pPr>
        <w:pStyle w:val="42"/>
        <w:spacing w:before="312" w:beforeLines="100" w:after="312" w:afterLines="100" w:line="240" w:lineRule="auto"/>
        <w:ind w:left="0" w:firstLine="0"/>
        <w:jc w:val="both"/>
        <w:rPr>
          <w:iCs/>
          <w:color w:val="EE0000"/>
          <w:sz w:val="24"/>
          <w:szCs w:val="24"/>
        </w:rPr>
      </w:pPr>
      <w:r>
        <w:rPr>
          <w:rFonts w:hint="eastAsia"/>
          <w:b/>
          <w:bCs/>
          <w:i/>
          <w:color w:val="000000" w:themeColor="text1"/>
          <w:sz w:val="24"/>
          <w:szCs w:val="24"/>
          <w:lang w:eastAsia="zh-CN"/>
          <w14:textFill>
            <w14:solidFill>
              <w14:schemeClr w14:val="tx1"/>
            </w14:solidFill>
          </w14:textFill>
        </w:rPr>
        <w:t xml:space="preserve">Abstract: </w:t>
      </w:r>
      <w:r>
        <w:rPr>
          <w:iCs/>
          <w:color w:val="000000" w:themeColor="text1"/>
          <w:sz w:val="24"/>
          <w:szCs w:val="24"/>
          <w14:textFill>
            <w14:solidFill>
              <w14:schemeClr w14:val="tx1"/>
            </w14:solidFill>
          </w14:textFill>
        </w:rPr>
        <w:t>As traditional Chinese culture gains global prominence, translating TCM</w:t>
      </w:r>
      <w:r>
        <w:rPr>
          <w:rFonts w:hint="eastAsia"/>
          <w:iCs/>
          <w:color w:val="000000" w:themeColor="text1"/>
          <w:sz w:val="24"/>
          <w:szCs w:val="24"/>
          <w:lang w:val="en-US" w:eastAsia="zh-CN"/>
          <w14:textFill>
            <w14:solidFill>
              <w14:schemeClr w14:val="tx1"/>
            </w14:solidFill>
          </w14:textFill>
        </w:rPr>
        <w:t xml:space="preserve"> (Traditional Chinese Medicine)</w:t>
      </w:r>
      <w:r>
        <w:rPr>
          <w:iCs/>
          <w:color w:val="000000" w:themeColor="text1"/>
          <w:sz w:val="24"/>
          <w:szCs w:val="24"/>
          <w14:textFill>
            <w14:solidFill>
              <w14:schemeClr w14:val="tx1"/>
            </w14:solidFill>
          </w14:textFill>
        </w:rPr>
        <w:t xml:space="preserve"> classics like</w:t>
      </w:r>
      <w:r>
        <w:rPr>
          <w:rFonts w:ascii="Times New Roman Italic" w:hAnsi="Times New Roman Italic" w:cs="Times New Roman Italic"/>
          <w:i/>
          <w:color w:val="000000" w:themeColor="text1"/>
          <w:sz w:val="24"/>
          <w:szCs w:val="24"/>
          <w14:textFill>
            <w14:solidFill>
              <w14:schemeClr w14:val="tx1"/>
            </w14:solidFill>
          </w14:textFill>
        </w:rPr>
        <w:t xml:space="preserve"> Jin Gui</w:t>
      </w:r>
      <w:r>
        <w:rPr>
          <w:rFonts w:ascii="Times New Roman Italic" w:hAnsi="Times New Roman Italic" w:cs="Times New Roman Italic"/>
          <w:i/>
          <w:color w:val="000000" w:themeColor="text1"/>
          <w:sz w:val="24"/>
          <w:szCs w:val="24"/>
          <w:lang w:eastAsia="zh-CN"/>
          <w14:textFill>
            <w14:solidFill>
              <w14:schemeClr w14:val="tx1"/>
            </w14:solidFill>
          </w14:textFill>
        </w:rPr>
        <w:t xml:space="preserve"> </w:t>
      </w:r>
      <w:r>
        <w:rPr>
          <w:rFonts w:ascii="Times New Roman Italic" w:hAnsi="Times New Roman Italic" w:cs="Times New Roman Italic"/>
          <w:i/>
          <w:color w:val="000000" w:themeColor="text1"/>
          <w:sz w:val="24"/>
          <w:szCs w:val="24"/>
          <w14:textFill>
            <w14:solidFill>
              <w14:schemeClr w14:val="tx1"/>
            </w14:solidFill>
          </w14:textFill>
        </w:rPr>
        <w:t>Yao Lue</w:t>
      </w:r>
      <w:r>
        <w:rPr>
          <w:iCs/>
          <w:color w:val="000000" w:themeColor="text1"/>
          <w:sz w:val="24"/>
          <w:szCs w:val="24"/>
          <w:lang w:eastAsia="zh-CN"/>
          <w14:textFill>
            <w14:solidFill>
              <w14:schemeClr w14:val="tx1"/>
            </w14:solidFill>
          </w14:textFill>
        </w:rPr>
        <w:t xml:space="preserve"> </w:t>
      </w:r>
      <w:r>
        <w:rPr>
          <w:iCs/>
          <w:color w:val="000000" w:themeColor="text1"/>
          <w:sz w:val="24"/>
          <w:szCs w:val="24"/>
          <w14:textFill>
            <w14:solidFill>
              <w14:schemeClr w14:val="tx1"/>
            </w14:solidFill>
          </w14:textFill>
        </w:rPr>
        <w:t>into English is crucial for their international spread, yet complex cultural images and metaphors hinder accurate transmission of meanings.</w:t>
      </w:r>
      <w:r>
        <w:rPr>
          <w:rFonts w:hint="eastAsia"/>
          <w:iCs/>
          <w:color w:val="000000" w:themeColor="text1"/>
          <w:sz w:val="24"/>
          <w:szCs w:val="24"/>
          <w:lang w:val="en-US" w:eastAsia="zh-CN"/>
          <w14:textFill>
            <w14:solidFill>
              <w14:schemeClr w14:val="tx1"/>
            </w14:solidFill>
          </w14:textFill>
        </w:rPr>
        <w:t xml:space="preserve"> T</w:t>
      </w:r>
      <w:r>
        <w:rPr>
          <w:iCs/>
          <w:color w:val="000000" w:themeColor="text1"/>
          <w:sz w:val="24"/>
          <w:szCs w:val="24"/>
          <w14:textFill>
            <w14:solidFill>
              <w14:schemeClr w14:val="tx1"/>
            </w14:solidFill>
          </w14:textFill>
        </w:rPr>
        <w:t>his paper examines Luo Xiwen</w:t>
      </w:r>
      <w:r>
        <w:rPr>
          <w:iCs/>
          <w:color w:val="000000" w:themeColor="text1"/>
          <w:sz w:val="24"/>
          <w:szCs w:val="24"/>
          <w:lang w:eastAsia="zh-CN"/>
          <w14:textFill>
            <w14:solidFill>
              <w14:schemeClr w14:val="tx1"/>
            </w14:solidFill>
          </w14:textFill>
        </w:rPr>
        <w:t>’</w:t>
      </w:r>
      <w:r>
        <w:rPr>
          <w:iCs/>
          <w:color w:val="000000" w:themeColor="text1"/>
          <w:sz w:val="24"/>
          <w:szCs w:val="24"/>
          <w14:textFill>
            <w14:solidFill>
              <w14:schemeClr w14:val="tx1"/>
            </w14:solidFill>
          </w14:textFill>
        </w:rPr>
        <w:t>s translation via thick translation, focusing on cultural image strategies to aid TCM dissemination and cross-cultural understanding.</w:t>
      </w:r>
      <w:r>
        <w:rPr>
          <w:rFonts w:hint="eastAsia"/>
          <w:iCs/>
          <w:color w:val="000000" w:themeColor="text1"/>
          <w:sz w:val="24"/>
          <w:szCs w:val="24"/>
          <w:lang w:val="en-US" w:eastAsia="zh-CN"/>
          <w14:textFill>
            <w14:solidFill>
              <w14:schemeClr w14:val="tx1"/>
            </w14:solidFill>
          </w14:textFill>
        </w:rPr>
        <w:t xml:space="preserve"> </w:t>
      </w:r>
      <w:r>
        <w:rPr>
          <w:rFonts w:hint="eastAsia"/>
          <w:iCs/>
          <w:color w:val="EE0000"/>
          <w:sz w:val="24"/>
          <w:szCs w:val="24"/>
        </w:rPr>
        <w:t>Thick translation originates from Appiah and has been developed by Hermans; it embeds source texts in rich linguistic and cultural contexts via annotations, footnotes and commentaries to bridge cultural-linguistic gaps. This study targets Luo Xiwen</w:t>
      </w:r>
      <w:r>
        <w:rPr>
          <w:iCs/>
          <w:color w:val="EE0000"/>
          <w:sz w:val="24"/>
          <w:szCs w:val="24"/>
          <w:lang w:eastAsia="zh-CN"/>
        </w:rPr>
        <w:t>’</w:t>
      </w:r>
      <w:r>
        <w:rPr>
          <w:rFonts w:hint="eastAsia"/>
          <w:iCs/>
          <w:color w:val="EE0000"/>
          <w:sz w:val="24"/>
          <w:szCs w:val="24"/>
        </w:rPr>
        <w:t xml:space="preserve">s English translation of </w:t>
      </w:r>
      <w:r>
        <w:rPr>
          <w:rFonts w:hint="eastAsia"/>
          <w:i/>
          <w:color w:val="EE0000"/>
          <w:sz w:val="24"/>
          <w:szCs w:val="24"/>
        </w:rPr>
        <w:t>Jin Gui Yao Lue</w:t>
      </w:r>
      <w:r>
        <w:rPr>
          <w:rFonts w:hint="eastAsia"/>
          <w:iCs/>
          <w:color w:val="EE0000"/>
          <w:sz w:val="24"/>
          <w:szCs w:val="24"/>
        </w:rPr>
        <w:t>, takes its excerpts with cultural images as data, and adopts literature review to synthesize thick translation theory and case study to examine Luo</w:t>
      </w:r>
      <w:r>
        <w:rPr>
          <w:iCs/>
          <w:color w:val="EE0000"/>
          <w:sz w:val="24"/>
          <w:szCs w:val="24"/>
          <w:lang w:eastAsia="zh-CN"/>
        </w:rPr>
        <w:t>’</w:t>
      </w:r>
      <w:r>
        <w:rPr>
          <w:rFonts w:hint="eastAsia"/>
          <w:iCs/>
          <w:color w:val="EE0000"/>
          <w:sz w:val="24"/>
          <w:szCs w:val="24"/>
        </w:rPr>
        <w:t>s strategies. As a pioneer in TCM thick translation, Luo effectively reconstructs cultural imagery using annotations and contextual elaborations, bridging Sino-Western medical-cultural divides. The research offers translators methods for cultural reconstruction, guides educators in cross-cultural TCM teaching, and aids medical practitioners in international communication, boosting TCM</w:t>
      </w:r>
      <w:r>
        <w:rPr>
          <w:iCs/>
          <w:color w:val="EE0000"/>
          <w:sz w:val="24"/>
          <w:szCs w:val="24"/>
          <w:lang w:eastAsia="zh-CN"/>
        </w:rPr>
        <w:t>’</w:t>
      </w:r>
      <w:r>
        <w:rPr>
          <w:rFonts w:hint="eastAsia"/>
          <w:iCs/>
          <w:color w:val="EE0000"/>
          <w:sz w:val="24"/>
          <w:szCs w:val="24"/>
        </w:rPr>
        <w:t>s global spread.</w:t>
      </w:r>
    </w:p>
    <w:bookmarkEnd w:id="0"/>
    <w:p>
      <w:pPr>
        <w:pStyle w:val="42"/>
        <w:spacing w:before="312" w:beforeLines="100" w:after="312" w:afterLines="100" w:line="240" w:lineRule="auto"/>
        <w:ind w:left="0" w:firstLine="0"/>
        <w:jc w:val="both"/>
        <w:rPr>
          <w:iCs/>
          <w:sz w:val="24"/>
          <w:szCs w:val="24"/>
          <w:lang w:eastAsia="zh-CN"/>
        </w:rPr>
      </w:pPr>
      <w:r>
        <w:rPr>
          <w:rFonts w:ascii="Times New Roman Bold" w:hAnsi="Times New Roman Bold" w:cs="Times New Roman Bold"/>
          <w:b/>
          <w:bCs/>
          <w:iCs/>
          <w:color w:val="000000" w:themeColor="text1"/>
          <w:sz w:val="24"/>
          <w:szCs w:val="24"/>
          <w14:textFill>
            <w14:solidFill>
              <w14:schemeClr w14:val="tx1"/>
            </w14:solidFill>
          </w14:textFill>
        </w:rPr>
        <w:t>Keywords:</w:t>
      </w:r>
      <w:r>
        <w:rPr>
          <w:iCs/>
          <w:sz w:val="24"/>
          <w:szCs w:val="24"/>
        </w:rPr>
        <w:t xml:space="preserve"> </w:t>
      </w:r>
      <w:r>
        <w:rPr>
          <w:iCs/>
          <w:sz w:val="24"/>
          <w:szCs w:val="24"/>
          <w:lang w:eastAsia="zh-CN"/>
        </w:rPr>
        <w:t xml:space="preserve">Classical Chinese Medical Texts; </w:t>
      </w:r>
      <w:r>
        <w:rPr>
          <w:rFonts w:hint="eastAsia"/>
          <w:iCs/>
          <w:sz w:val="24"/>
          <w:szCs w:val="24"/>
          <w:lang w:val="en-US" w:eastAsia="zh-CN"/>
        </w:rPr>
        <w:t xml:space="preserve">TCM; </w:t>
      </w:r>
      <w:r>
        <w:rPr>
          <w:iCs/>
          <w:sz w:val="24"/>
          <w:szCs w:val="24"/>
          <w:lang w:eastAsia="zh-CN"/>
        </w:rPr>
        <w:t xml:space="preserve">Thick Translation; </w:t>
      </w:r>
      <w:r>
        <w:rPr>
          <w:rFonts w:ascii="Times New Roman Italic" w:hAnsi="Times New Roman Italic" w:cs="Times New Roman Italic"/>
          <w:i/>
          <w:sz w:val="24"/>
          <w:szCs w:val="24"/>
          <w:lang w:eastAsia="zh-CN"/>
        </w:rPr>
        <w:t>Jin Gui Yao Lue</w:t>
      </w:r>
      <w:r>
        <w:rPr>
          <w:iCs/>
          <w:sz w:val="24"/>
          <w:szCs w:val="24"/>
          <w:lang w:eastAsia="zh-CN"/>
        </w:rPr>
        <w:t>; Cultural Images</w:t>
      </w:r>
    </w:p>
    <w:p>
      <w:pPr>
        <w:pStyle w:val="43"/>
        <w:widowControl w:val="0"/>
        <w:numPr>
          <w:ilvl w:val="0"/>
          <w:numId w:val="1"/>
        </w:numPr>
        <w:spacing w:line="360" w:lineRule="auto"/>
        <w:ind w:left="0" w:firstLine="0"/>
        <w:rPr>
          <w:sz w:val="24"/>
          <w:szCs w:val="24"/>
        </w:rPr>
      </w:pPr>
      <w:bookmarkStart w:id="1" w:name="OLE_LINK2"/>
      <w:r>
        <w:rPr>
          <w:sz w:val="24"/>
          <w:szCs w:val="24"/>
        </w:rPr>
        <w:t>I</w:t>
      </w:r>
      <w:r>
        <w:rPr>
          <w:rFonts w:hint="eastAsia"/>
          <w:sz w:val="24"/>
          <w:szCs w:val="24"/>
        </w:rPr>
        <w:t>ntroduction</w:t>
      </w:r>
    </w:p>
    <w:bookmarkEnd w:id="1"/>
    <w:p>
      <w:pPr>
        <w:pStyle w:val="42"/>
        <w:spacing w:after="120" w:line="360" w:lineRule="auto"/>
        <w:ind w:left="0" w:firstLine="284"/>
        <w:jc w:val="both"/>
        <w:rPr>
          <w:sz w:val="24"/>
          <w:szCs w:val="24"/>
          <w:lang w:eastAsia="zh-CN"/>
        </w:rPr>
      </w:pPr>
      <w:r>
        <w:rPr>
          <w:rFonts w:hint="eastAsia"/>
          <w:sz w:val="24"/>
          <w:szCs w:val="24"/>
          <w:lang w:eastAsia="zh-CN"/>
        </w:rPr>
        <w:t xml:space="preserve">With the global promotion of Chinese traditional culture, the English translation of classical works of Chinese medicine has become an important channel for introducing TC to the world. Among these classics, </w:t>
      </w:r>
      <w:r>
        <w:rPr>
          <w:rFonts w:hint="eastAsia"/>
          <w:i/>
          <w:iCs/>
          <w:sz w:val="24"/>
          <w:szCs w:val="24"/>
          <w:lang w:eastAsia="zh-CN"/>
        </w:rPr>
        <w:t>Jin Gui Yao Lue</w:t>
      </w:r>
      <w:r>
        <w:rPr>
          <w:rFonts w:hint="eastAsia"/>
          <w:sz w:val="24"/>
          <w:szCs w:val="24"/>
          <w:lang w:eastAsia="zh-CN"/>
        </w:rPr>
        <w:t xml:space="preserve"> has become the cornerstone of TCM with its rich medical theories, cultural images and historical values. Its translation into English plays a pivotal role in fostering international collaboration and enhancing cross-cultural understanding between Eastern and Western medical systems.</w:t>
      </w:r>
    </w:p>
    <w:p>
      <w:pPr>
        <w:pStyle w:val="43"/>
        <w:widowControl w:val="0"/>
        <w:numPr>
          <w:ilvl w:val="0"/>
          <w:numId w:val="1"/>
        </w:numPr>
        <w:spacing w:line="360" w:lineRule="auto"/>
        <w:ind w:left="0" w:firstLine="0"/>
        <w:rPr>
          <w:sz w:val="24"/>
          <w:szCs w:val="24"/>
        </w:rPr>
      </w:pPr>
      <w:bookmarkStart w:id="2" w:name="OLE_LINK4"/>
      <w:r>
        <w:rPr>
          <w:rFonts w:hint="eastAsia" w:eastAsiaTheme="minorEastAsia"/>
          <w:sz w:val="24"/>
          <w:szCs w:val="24"/>
          <w:lang w:eastAsia="zh-CN"/>
        </w:rPr>
        <w:t>Theoretical Framework</w:t>
      </w:r>
    </w:p>
    <w:bookmarkEnd w:id="2"/>
    <w:p>
      <w:pPr>
        <w:pStyle w:val="42"/>
        <w:spacing w:after="120" w:line="360" w:lineRule="auto"/>
        <w:ind w:left="0" w:firstLine="284"/>
        <w:jc w:val="both"/>
        <w:rPr>
          <w:sz w:val="24"/>
          <w:szCs w:val="24"/>
          <w:lang w:eastAsia="zh-CN"/>
        </w:rPr>
      </w:pPr>
      <w:r>
        <w:rPr>
          <w:rFonts w:hint="eastAsia"/>
          <w:color w:val="EE0000"/>
          <w:sz w:val="24"/>
          <w:szCs w:val="24"/>
          <w:lang w:eastAsia="zh-CN"/>
        </w:rPr>
        <w:t xml:space="preserve">To explore the strategies for reconstructing cultural images in the English translation of </w:t>
      </w:r>
      <w:r>
        <w:rPr>
          <w:rFonts w:hint="eastAsia"/>
          <w:i/>
          <w:iCs/>
          <w:color w:val="EE0000"/>
          <w:sz w:val="24"/>
          <w:szCs w:val="24"/>
          <w:lang w:eastAsia="zh-CN"/>
        </w:rPr>
        <w:t>Jin Gui Yao Lue</w:t>
      </w:r>
      <w:r>
        <w:rPr>
          <w:rFonts w:hint="eastAsia"/>
          <w:color w:val="EE0000"/>
          <w:sz w:val="24"/>
          <w:szCs w:val="24"/>
          <w:lang w:eastAsia="zh-CN"/>
        </w:rPr>
        <w:t>, it is essential to first clarify the theoretical foundation of this study---thick translation theory.</w:t>
      </w:r>
      <w:r>
        <w:rPr>
          <w:rFonts w:hint="eastAsia"/>
          <w:sz w:val="24"/>
          <w:szCs w:val="24"/>
          <w:lang w:eastAsia="zh-CN"/>
        </w:rPr>
        <w:t xml:space="preserve"> This study is founded on the theory of thick translation, first proposed by Kwame Anthony Appiah (1993)</w:t>
      </w:r>
      <w:r>
        <w:rPr>
          <w:sz w:val="24"/>
          <w:szCs w:val="24"/>
          <w:vertAlign w:val="superscript"/>
          <w:lang w:eastAsia="zh-CN"/>
        </w:rPr>
        <w:fldChar w:fldCharType="begin"/>
      </w:r>
      <w:r>
        <w:rPr>
          <w:sz w:val="24"/>
          <w:szCs w:val="24"/>
          <w:vertAlign w:val="superscript"/>
          <w:lang w:eastAsia="zh-CN"/>
        </w:rPr>
        <w:instrText xml:space="preserve"> </w:instrText>
      </w:r>
      <w:r>
        <w:rPr>
          <w:rFonts w:hint="eastAsia"/>
          <w:sz w:val="24"/>
          <w:szCs w:val="24"/>
          <w:vertAlign w:val="superscript"/>
          <w:lang w:eastAsia="zh-CN"/>
        </w:rPr>
        <w:instrText xml:space="preserve">REF _Ref204275228 \r \h</w:instrText>
      </w:r>
      <w:r>
        <w:rPr>
          <w:sz w:val="24"/>
          <w:szCs w:val="24"/>
          <w:vertAlign w:val="superscript"/>
          <w:lang w:eastAsia="zh-CN"/>
        </w:rPr>
        <w:instrText xml:space="preserve">  \* MERGEFORMAT </w:instrText>
      </w:r>
      <w:r>
        <w:rPr>
          <w:sz w:val="24"/>
          <w:szCs w:val="24"/>
          <w:vertAlign w:val="superscript"/>
          <w:lang w:eastAsia="zh-CN"/>
        </w:rPr>
        <w:fldChar w:fldCharType="separate"/>
      </w:r>
      <w:r>
        <w:rPr>
          <w:sz w:val="24"/>
          <w:szCs w:val="24"/>
          <w:vertAlign w:val="superscript"/>
          <w:lang w:eastAsia="zh-CN"/>
        </w:rPr>
        <w:t>[1]</w:t>
      </w:r>
      <w:r>
        <w:rPr>
          <w:sz w:val="24"/>
          <w:szCs w:val="24"/>
          <w:vertAlign w:val="superscript"/>
          <w:lang w:eastAsia="zh-CN"/>
        </w:rPr>
        <w:fldChar w:fldCharType="end"/>
      </w:r>
      <w:r>
        <w:rPr>
          <w:rFonts w:hint="eastAsia"/>
          <w:sz w:val="24"/>
          <w:szCs w:val="24"/>
          <w:lang w:eastAsia="zh-CN"/>
        </w:rPr>
        <w:t xml:space="preserve"> and later evolved by Theo Hermans (2003)</w:t>
      </w:r>
      <w:r>
        <w:rPr>
          <w:sz w:val="24"/>
          <w:szCs w:val="24"/>
          <w:vertAlign w:val="superscript"/>
          <w:lang w:eastAsia="zh-CN"/>
        </w:rPr>
        <w:fldChar w:fldCharType="begin"/>
      </w:r>
      <w:r>
        <w:rPr>
          <w:sz w:val="24"/>
          <w:szCs w:val="24"/>
          <w:vertAlign w:val="superscript"/>
          <w:lang w:eastAsia="zh-CN"/>
        </w:rPr>
        <w:instrText xml:space="preserve"> </w:instrText>
      </w:r>
      <w:r>
        <w:rPr>
          <w:rFonts w:hint="eastAsia"/>
          <w:sz w:val="24"/>
          <w:szCs w:val="24"/>
          <w:vertAlign w:val="superscript"/>
          <w:lang w:eastAsia="zh-CN"/>
        </w:rPr>
        <w:instrText xml:space="preserve">REF _Ref204275808 \r \h</w:instrText>
      </w:r>
      <w:r>
        <w:rPr>
          <w:sz w:val="24"/>
          <w:szCs w:val="24"/>
          <w:vertAlign w:val="superscript"/>
          <w:lang w:eastAsia="zh-CN"/>
        </w:rPr>
        <w:instrText xml:space="preserve">  \* MERGEFORMAT </w:instrText>
      </w:r>
      <w:r>
        <w:rPr>
          <w:sz w:val="24"/>
          <w:szCs w:val="24"/>
          <w:vertAlign w:val="superscript"/>
          <w:lang w:eastAsia="zh-CN"/>
        </w:rPr>
        <w:fldChar w:fldCharType="separate"/>
      </w:r>
      <w:r>
        <w:rPr>
          <w:sz w:val="24"/>
          <w:szCs w:val="24"/>
          <w:vertAlign w:val="superscript"/>
          <w:lang w:eastAsia="zh-CN"/>
        </w:rPr>
        <w:t>[6]</w:t>
      </w:r>
      <w:r>
        <w:rPr>
          <w:sz w:val="24"/>
          <w:szCs w:val="24"/>
          <w:vertAlign w:val="superscript"/>
          <w:lang w:eastAsia="zh-CN"/>
        </w:rPr>
        <w:fldChar w:fldCharType="end"/>
      </w:r>
      <w:r>
        <w:rPr>
          <w:rFonts w:hint="eastAsia"/>
          <w:sz w:val="24"/>
          <w:szCs w:val="24"/>
          <w:lang w:eastAsia="zh-CN"/>
        </w:rPr>
        <w:t>, which is a practice where the source text is situated within a rich linguistic and cultural context by means of annotations, footnotes, and commentaries, aiming at closing cultural and linguistic gaps by presenting readers with plenty of information to enable them to have a rich reading of the source text, and it is most suitably employed in translation involving texts with dense connotations such as tradition-based Chinese medicine (TCM) texts, where richness in metaphors and cultural nuances are best retained; this theory relies on Clifford Geertz</w:t>
      </w:r>
      <w:r>
        <w:rPr>
          <w:sz w:val="24"/>
          <w:szCs w:val="24"/>
          <w:lang w:eastAsia="zh-CN"/>
        </w:rPr>
        <w:t>’</w:t>
      </w:r>
      <w:r>
        <w:rPr>
          <w:rFonts w:hint="eastAsia"/>
          <w:sz w:val="24"/>
          <w:szCs w:val="24"/>
          <w:lang w:eastAsia="zh-CN"/>
        </w:rPr>
        <w:t>s (1973)</w:t>
      </w:r>
      <w:r>
        <w:rPr>
          <w:sz w:val="24"/>
          <w:szCs w:val="24"/>
          <w:vertAlign w:val="superscript"/>
          <w:lang w:eastAsia="zh-CN"/>
        </w:rPr>
        <w:fldChar w:fldCharType="begin"/>
      </w:r>
      <w:r>
        <w:rPr>
          <w:sz w:val="24"/>
          <w:szCs w:val="24"/>
          <w:vertAlign w:val="superscript"/>
          <w:lang w:eastAsia="zh-CN"/>
        </w:rPr>
        <w:instrText xml:space="preserve"> </w:instrText>
      </w:r>
      <w:r>
        <w:rPr>
          <w:rFonts w:hint="eastAsia"/>
          <w:sz w:val="24"/>
          <w:szCs w:val="24"/>
          <w:vertAlign w:val="superscript"/>
          <w:lang w:eastAsia="zh-CN"/>
        </w:rPr>
        <w:instrText xml:space="preserve">REF _Ref204276083 \r \h</w:instrText>
      </w:r>
      <w:r>
        <w:rPr>
          <w:sz w:val="24"/>
          <w:szCs w:val="24"/>
          <w:vertAlign w:val="superscript"/>
          <w:lang w:eastAsia="zh-CN"/>
        </w:rPr>
        <w:instrText xml:space="preserve">  \* MERGEFORMAT </w:instrText>
      </w:r>
      <w:r>
        <w:rPr>
          <w:sz w:val="24"/>
          <w:szCs w:val="24"/>
          <w:vertAlign w:val="superscript"/>
          <w:lang w:eastAsia="zh-CN"/>
        </w:rPr>
        <w:fldChar w:fldCharType="separate"/>
      </w:r>
      <w:r>
        <w:rPr>
          <w:sz w:val="24"/>
          <w:szCs w:val="24"/>
          <w:vertAlign w:val="superscript"/>
          <w:lang w:eastAsia="zh-CN"/>
        </w:rPr>
        <w:t>[5]</w:t>
      </w:r>
      <w:r>
        <w:rPr>
          <w:sz w:val="24"/>
          <w:szCs w:val="24"/>
          <w:vertAlign w:val="superscript"/>
          <w:lang w:eastAsia="zh-CN"/>
        </w:rPr>
        <w:fldChar w:fldCharType="end"/>
      </w:r>
      <w:r>
        <w:rPr>
          <w:rFonts w:hint="eastAsia"/>
          <w:sz w:val="24"/>
          <w:szCs w:val="24"/>
          <w:lang w:eastAsia="zh-CN"/>
        </w:rPr>
        <w:t xml:space="preserve"> </w:t>
      </w:r>
      <w:bookmarkStart w:id="3" w:name="_Hlk206894153"/>
      <w:r>
        <w:rPr>
          <w:sz w:val="24"/>
          <w:szCs w:val="24"/>
          <w:lang w:eastAsia="zh-CN"/>
        </w:rPr>
        <w:t>“</w:t>
      </w:r>
      <w:r>
        <w:rPr>
          <w:rFonts w:hint="eastAsia"/>
          <w:sz w:val="24"/>
          <w:szCs w:val="24"/>
          <w:lang w:eastAsia="zh-CN"/>
        </w:rPr>
        <w:t>thick description</w:t>
      </w:r>
      <w:r>
        <w:rPr>
          <w:sz w:val="24"/>
          <w:szCs w:val="24"/>
          <w:lang w:eastAsia="zh-CN"/>
        </w:rPr>
        <w:t>”</w:t>
      </w:r>
      <w:r>
        <w:rPr>
          <w:rFonts w:hint="eastAsia"/>
          <w:sz w:val="24"/>
          <w:szCs w:val="24"/>
          <w:lang w:eastAsia="zh-CN"/>
        </w:rPr>
        <w:t xml:space="preserve"> </w:t>
      </w:r>
      <w:bookmarkEnd w:id="3"/>
      <w:r>
        <w:rPr>
          <w:rFonts w:hint="eastAsia"/>
          <w:sz w:val="24"/>
          <w:szCs w:val="24"/>
          <w:lang w:eastAsia="zh-CN"/>
        </w:rPr>
        <w:t xml:space="preserve">principle, demanding an explanation of cultural events in historical and societal context, and takes this to language with a goal toward proper reconstruction of cultural imagery and preservation of philosophical and historical nuances in the original text, with Appiah having in mind to supplement materials like footnotes, annotations, commentaries, and paratexts to allow readers to grasp not only the literal meaning but also the philosophical and cultural significance, which is critical in TCM literary translation to bridge the gap in culture and medicine between Western and Eastern medicine traditions and help foreign readers acquire the cultural and medical aspects of the source text with an appreciation for the rich traditions behind TCM. </w:t>
      </w:r>
    </w:p>
    <w:p>
      <w:pPr>
        <w:pStyle w:val="42"/>
        <w:spacing w:after="120" w:line="360" w:lineRule="auto"/>
        <w:ind w:left="0" w:firstLine="284"/>
        <w:jc w:val="both"/>
        <w:rPr>
          <w:sz w:val="24"/>
          <w:szCs w:val="24"/>
          <w:lang w:eastAsia="zh-CN"/>
        </w:rPr>
      </w:pPr>
      <w:r>
        <w:rPr>
          <w:rFonts w:hint="eastAsia"/>
          <w:sz w:val="24"/>
          <w:szCs w:val="24"/>
          <w:lang w:eastAsia="zh-CN"/>
        </w:rPr>
        <w:t xml:space="preserve">Thick translation has become an integral paradigm for translating texts with strong origins in certain cultural and historical contexts, going beyond linguistic translation and devoting to preserving the social and cultural dimensions of the source text to enable readers to understand all connotations in the original text; it has undergone development over time, with scholars like Theo Hermans (2003), Sherry Simon (1996), and Lawrence Venuti (1995) </w:t>
      </w:r>
      <w:r>
        <w:rPr>
          <w:sz w:val="24"/>
          <w:szCs w:val="24"/>
          <w:vertAlign w:val="superscript"/>
          <w:lang w:eastAsia="zh-CN"/>
        </w:rPr>
        <w:fldChar w:fldCharType="begin"/>
      </w:r>
      <w:r>
        <w:rPr>
          <w:sz w:val="24"/>
          <w:szCs w:val="24"/>
          <w:vertAlign w:val="superscript"/>
          <w:lang w:eastAsia="zh-CN"/>
        </w:rPr>
        <w:instrText xml:space="preserve"> </w:instrText>
      </w:r>
      <w:r>
        <w:rPr>
          <w:rFonts w:hint="eastAsia"/>
          <w:sz w:val="24"/>
          <w:szCs w:val="24"/>
          <w:vertAlign w:val="superscript"/>
          <w:lang w:eastAsia="zh-CN"/>
        </w:rPr>
        <w:instrText xml:space="preserve">REF _Ref204276904 \r \h</w:instrText>
      </w:r>
      <w:r>
        <w:rPr>
          <w:sz w:val="24"/>
          <w:szCs w:val="24"/>
          <w:vertAlign w:val="superscript"/>
          <w:lang w:eastAsia="zh-CN"/>
        </w:rPr>
        <w:instrText xml:space="preserve">  \* MERGEFORMAT </w:instrText>
      </w:r>
      <w:r>
        <w:rPr>
          <w:sz w:val="24"/>
          <w:szCs w:val="24"/>
          <w:vertAlign w:val="superscript"/>
          <w:lang w:eastAsia="zh-CN"/>
        </w:rPr>
        <w:fldChar w:fldCharType="separate"/>
      </w:r>
      <w:r>
        <w:rPr>
          <w:sz w:val="24"/>
          <w:szCs w:val="24"/>
          <w:vertAlign w:val="superscript"/>
          <w:lang w:eastAsia="zh-CN"/>
        </w:rPr>
        <w:t>[18]</w:t>
      </w:r>
      <w:r>
        <w:rPr>
          <w:sz w:val="24"/>
          <w:szCs w:val="24"/>
          <w:vertAlign w:val="superscript"/>
          <w:lang w:eastAsia="zh-CN"/>
        </w:rPr>
        <w:fldChar w:fldCharType="end"/>
      </w:r>
      <w:r>
        <w:rPr>
          <w:rFonts w:hint="eastAsia"/>
          <w:sz w:val="24"/>
          <w:szCs w:val="24"/>
          <w:lang w:eastAsia="zh-CN"/>
        </w:rPr>
        <w:t>expanding on Appiah</w:t>
      </w:r>
      <w:r>
        <w:rPr>
          <w:sz w:val="24"/>
          <w:szCs w:val="24"/>
          <w:lang w:eastAsia="zh-CN"/>
        </w:rPr>
        <w:t>’</w:t>
      </w:r>
      <w:r>
        <w:rPr>
          <w:rFonts w:hint="eastAsia"/>
          <w:sz w:val="24"/>
          <w:szCs w:val="24"/>
          <w:lang w:eastAsia="zh-CN"/>
        </w:rPr>
        <w:t xml:space="preserve">s original framework and making it applicable to translation studies in various contexts, indicating a paradigm shift in translation theory from linguistic fidelity to an integrated consideration of culture, as opposed to classical translation theory which emphasized linguistic equivalence; Theo Hermans advanced this idea further by introducing the concept of cross-cultural translation, viewing translation as more than a linguistic phenomenon but also a cultural negotiation, and his research contributed to establishing thick translation as an indispensable device for translating texts closely associated with rich cultures, such as classical literature, religious books, and medicine books; it has also been helpful in translating TCM classic books filled with cultural metaphors and terminologies, maintaining the cultural richness of the original text while making it readable worldwide through footnotes, annotations, and commentaries, ensuring linguistic accuracy and making underlying philosophical concepts in TCM, such as qi (vital energy) and yin-yang (harmony of opposites), accessible to foreign readers. </w:t>
      </w:r>
    </w:p>
    <w:p>
      <w:pPr>
        <w:pStyle w:val="42"/>
        <w:spacing w:after="120" w:line="360" w:lineRule="auto"/>
        <w:ind w:left="0" w:firstLine="284"/>
        <w:jc w:val="both"/>
        <w:rPr>
          <w:sz w:val="24"/>
          <w:szCs w:val="24"/>
          <w:lang w:eastAsia="zh-CN"/>
        </w:rPr>
      </w:pPr>
      <w:r>
        <w:rPr>
          <w:rFonts w:hint="eastAsia"/>
          <w:sz w:val="24"/>
          <w:szCs w:val="24"/>
          <w:lang w:eastAsia="zh-CN"/>
        </w:rPr>
        <w:t>Luo Xiwen</w:t>
      </w:r>
      <w:r>
        <w:rPr>
          <w:sz w:val="24"/>
          <w:szCs w:val="24"/>
          <w:lang w:eastAsia="zh-CN"/>
        </w:rPr>
        <w:t>’</w:t>
      </w:r>
      <w:r>
        <w:rPr>
          <w:rFonts w:hint="eastAsia"/>
          <w:sz w:val="24"/>
          <w:szCs w:val="24"/>
          <w:lang w:eastAsia="zh-CN"/>
        </w:rPr>
        <w:t xml:space="preserve">s English translation of </w:t>
      </w:r>
      <w:r>
        <w:rPr>
          <w:rFonts w:hint="eastAsia"/>
          <w:i/>
          <w:iCs/>
          <w:sz w:val="24"/>
          <w:szCs w:val="24"/>
          <w:lang w:eastAsia="zh-CN"/>
        </w:rPr>
        <w:t>Jin Gui Yao Lue</w:t>
      </w:r>
      <w:r>
        <w:rPr>
          <w:rFonts w:hint="eastAsia"/>
          <w:sz w:val="24"/>
          <w:szCs w:val="24"/>
          <w:lang w:eastAsia="zh-CN"/>
        </w:rPr>
        <w:t xml:space="preserve"> is a good example of thick translation in practice, as he employs extensive annotations and footnotes to explain TCM terminology, medical techniques, and cultural allusions, demonstrating how thick translation can overcome the gap between Chinese and Western medical systems by providing necessary cultural context and enhancing understanding of TCM.</w:t>
      </w:r>
    </w:p>
    <w:p>
      <w:pPr>
        <w:pStyle w:val="43"/>
        <w:widowControl w:val="0"/>
        <w:numPr>
          <w:ilvl w:val="0"/>
          <w:numId w:val="1"/>
        </w:numPr>
        <w:spacing w:line="360" w:lineRule="auto"/>
        <w:ind w:left="0" w:firstLine="0"/>
        <w:rPr>
          <w:sz w:val="24"/>
          <w:szCs w:val="24"/>
        </w:rPr>
      </w:pPr>
      <w:r>
        <w:rPr>
          <w:rFonts w:hint="eastAsia" w:eastAsiaTheme="minorEastAsia"/>
          <w:sz w:val="24"/>
          <w:szCs w:val="24"/>
          <w:lang w:eastAsia="zh-CN"/>
        </w:rPr>
        <w:t>Solutions to Difficulties in Translation</w:t>
      </w:r>
    </w:p>
    <w:p>
      <w:pPr>
        <w:pStyle w:val="42"/>
        <w:spacing w:after="120" w:line="360" w:lineRule="auto"/>
        <w:ind w:left="0" w:firstLine="284"/>
        <w:jc w:val="both"/>
        <w:rPr>
          <w:sz w:val="24"/>
          <w:szCs w:val="24"/>
          <w:lang w:eastAsia="zh-CN"/>
        </w:rPr>
      </w:pPr>
      <w:r>
        <w:rPr>
          <w:rFonts w:hint="eastAsia"/>
          <w:sz w:val="24"/>
          <w:szCs w:val="24"/>
          <w:lang w:eastAsia="zh-CN"/>
        </w:rPr>
        <w:t xml:space="preserve">This chapter delves into the use of concepts of thick translation in cultural images reconstruction in </w:t>
      </w:r>
      <w:r>
        <w:rPr>
          <w:rFonts w:hint="eastAsia"/>
          <w:i/>
          <w:iCs/>
          <w:sz w:val="24"/>
          <w:szCs w:val="24"/>
          <w:lang w:eastAsia="zh-CN"/>
        </w:rPr>
        <w:t>Jin Gui Yao Lue</w:t>
      </w:r>
      <w:r>
        <w:rPr>
          <w:rFonts w:hint="eastAsia"/>
          <w:sz w:val="24"/>
          <w:szCs w:val="24"/>
          <w:lang w:eastAsia="zh-CN"/>
        </w:rPr>
        <w:t>, namely in the Luo Xiwen</w:t>
      </w:r>
      <w:r>
        <w:rPr>
          <w:sz w:val="24"/>
          <w:szCs w:val="24"/>
          <w:lang w:eastAsia="zh-CN"/>
        </w:rPr>
        <w:t>’</w:t>
      </w:r>
      <w:r>
        <w:rPr>
          <w:rFonts w:hint="eastAsia"/>
          <w:sz w:val="24"/>
          <w:szCs w:val="24"/>
          <w:lang w:eastAsia="zh-CN"/>
        </w:rPr>
        <w:t>s English version, it examines how different techniques such as paratexts, amplification, footnotes, annotations, and commentaries are used in a way that bridges the language and cultural gap between Chinese and English without diluting the thickness of meaning and richness of culture of the original, through their examination, this chapter shall seek to meet the challenge of accurately rendering culturally precious medical texts and offer insight into effective means for maintaining their medical as well as cultural authenticity.</w:t>
      </w:r>
    </w:p>
    <w:p>
      <w:pPr>
        <w:pStyle w:val="2"/>
        <w:spacing w:before="240" w:after="240" w:line="360" w:lineRule="auto"/>
        <w:jc w:val="both"/>
        <w:rPr>
          <w:rFonts w:ascii="Times New Roman Bold" w:hAnsi="Times New Roman Bold" w:cs="Times New Roman Bold" w:eastAsiaTheme="minorEastAsia"/>
          <w:b/>
          <w:bCs/>
          <w:iCs/>
          <w:color w:val="auto"/>
          <w:kern w:val="0"/>
          <w:sz w:val="24"/>
          <w:szCs w:val="24"/>
          <w:lang w:val="fr-FR"/>
          <w14:ligatures w14:val="none"/>
        </w:rPr>
      </w:pPr>
      <w:r>
        <w:rPr>
          <w:rFonts w:ascii="Times New Roman Bold" w:hAnsi="Times New Roman Bold" w:cs="Times New Roman Bold"/>
          <w:b/>
          <w:bCs/>
          <w:iCs/>
          <w:caps/>
          <w:color w:val="000000" w:themeColor="text1"/>
          <w:kern w:val="0"/>
          <w:sz w:val="24"/>
          <w:szCs w:val="24"/>
          <w14:textFill>
            <w14:solidFill>
              <w14:schemeClr w14:val="tx1"/>
            </w14:solidFill>
          </w14:textFill>
        </w:rPr>
        <w:t>3.1</w:t>
      </w:r>
      <w:r>
        <w:rPr>
          <w:rFonts w:ascii="Times New Roman Bold" w:hAnsi="Times New Roman Bold" w:cs="Times New Roman Bold" w:eastAsiaTheme="minorEastAsia"/>
          <w:b/>
          <w:bCs/>
          <w:iCs/>
          <w:color w:val="auto"/>
          <w:kern w:val="0"/>
          <w:sz w:val="24"/>
          <w:szCs w:val="24"/>
          <w:lang w:val="fr-FR"/>
          <w14:ligatures w14:val="none"/>
        </w:rPr>
        <w:t xml:space="preserve"> P</w:t>
      </w:r>
      <w:r>
        <w:rPr>
          <w:rFonts w:ascii="Times New Roman Bold" w:hAnsi="Times New Roman Bold" w:cs="Times New Roman Bold" w:eastAsiaTheme="minorEastAsia"/>
          <w:b/>
          <w:bCs/>
          <w:iCs/>
          <w:color w:val="auto"/>
          <w:kern w:val="0"/>
          <w:sz w:val="24"/>
          <w:szCs w:val="24"/>
          <w14:ligatures w14:val="none"/>
        </w:rPr>
        <w:t>a</w:t>
      </w:r>
      <w:r>
        <w:rPr>
          <w:rFonts w:ascii="Times New Roman Bold" w:hAnsi="Times New Roman Bold" w:cs="Times New Roman Bold" w:eastAsiaTheme="minorEastAsia"/>
          <w:b/>
          <w:bCs/>
          <w:iCs/>
          <w:color w:val="auto"/>
          <w:kern w:val="0"/>
          <w:sz w:val="24"/>
          <w:szCs w:val="24"/>
          <w:lang w:val="fr-FR"/>
          <w14:ligatures w14:val="none"/>
        </w:rPr>
        <w:t>ratexts</w:t>
      </w:r>
    </w:p>
    <w:p>
      <w:pPr>
        <w:pStyle w:val="42"/>
        <w:spacing w:after="120" w:line="360" w:lineRule="auto"/>
        <w:ind w:left="0" w:firstLine="284"/>
        <w:jc w:val="both"/>
        <w:rPr>
          <w:sz w:val="24"/>
          <w:szCs w:val="24"/>
          <w:lang w:eastAsia="zh-CN"/>
        </w:rPr>
      </w:pPr>
      <w:r>
        <w:rPr>
          <w:rFonts w:hint="eastAsia"/>
          <w:color w:val="EE0000"/>
          <w:sz w:val="24"/>
          <w:szCs w:val="24"/>
          <w:lang w:eastAsia="zh-CN"/>
        </w:rPr>
        <w:t xml:space="preserve">Among the multiple strategies of thick translation, paratexts serve as a fundamental tool for interpreting cultural images in </w:t>
      </w:r>
      <w:r>
        <w:rPr>
          <w:rFonts w:hint="eastAsia"/>
          <w:i/>
          <w:iCs/>
          <w:color w:val="EE0000"/>
          <w:sz w:val="24"/>
          <w:szCs w:val="24"/>
          <w:lang w:eastAsia="zh-CN"/>
        </w:rPr>
        <w:t>Jin Gui Yao Lue</w:t>
      </w:r>
      <w:r>
        <w:rPr>
          <w:rFonts w:hint="eastAsia"/>
          <w:color w:val="EE0000"/>
          <w:sz w:val="24"/>
          <w:szCs w:val="24"/>
          <w:lang w:eastAsia="zh-CN"/>
        </w:rPr>
        <w:t xml:space="preserve"> by providing contextual supplements.</w:t>
      </w:r>
      <w:r>
        <w:rPr>
          <w:rFonts w:hint="eastAsia"/>
          <w:sz w:val="24"/>
          <w:szCs w:val="24"/>
          <w:lang w:eastAsia="zh-CN"/>
        </w:rPr>
        <w:t xml:space="preserve"> This part will explain how paratexts are involved in the interpretation of cultural images in </w:t>
      </w:r>
      <w:r>
        <w:rPr>
          <w:rFonts w:hint="eastAsia"/>
          <w:i/>
          <w:iCs/>
          <w:sz w:val="24"/>
          <w:szCs w:val="24"/>
          <w:lang w:eastAsia="zh-CN"/>
        </w:rPr>
        <w:t>Jin Gui Yao Lue</w:t>
      </w:r>
      <w:r>
        <w:rPr>
          <w:rFonts w:hint="eastAsia"/>
          <w:sz w:val="24"/>
          <w:szCs w:val="24"/>
          <w:lang w:eastAsia="zh-CN"/>
        </w:rPr>
        <w:t>. It will specifically introduce the Synopsis of Prescriptions of the Golden Chamber as a source book for contextualizing these images.</w:t>
      </w:r>
    </w:p>
    <w:p>
      <w:pPr>
        <w:pStyle w:val="2"/>
        <w:spacing w:before="240" w:after="240" w:line="240" w:lineRule="auto"/>
        <w:jc w:val="both"/>
        <w:rPr>
          <w:rFonts w:ascii="Times New Roman Bold" w:hAnsi="Times New Roman Bold" w:cs="Times New Roman Bold" w:eastAsiaTheme="minorEastAsia"/>
          <w:b/>
          <w:bCs/>
          <w:iCs/>
          <w:color w:val="auto"/>
          <w:kern w:val="0"/>
          <w:sz w:val="24"/>
          <w:szCs w:val="24"/>
          <w:lang w:val="fr-FR"/>
          <w14:ligatures w14:val="none"/>
        </w:rPr>
      </w:pPr>
      <w:r>
        <w:rPr>
          <w:rFonts w:ascii="Times New Roman Bold" w:hAnsi="Times New Roman Bold" w:cs="Times New Roman Bold"/>
          <w:b/>
          <w:bCs/>
          <w:iCs/>
          <w:caps/>
          <w:color w:val="000000" w:themeColor="text1"/>
          <w:kern w:val="0"/>
          <w:sz w:val="24"/>
          <w:szCs w:val="24"/>
          <w14:textFill>
            <w14:solidFill>
              <w14:schemeClr w14:val="tx1"/>
            </w14:solidFill>
          </w14:textFill>
        </w:rPr>
        <w:t>3.1</w:t>
      </w:r>
      <w:r>
        <w:rPr>
          <w:rFonts w:ascii="Times New Roman Bold" w:hAnsi="Times New Roman Bold" w:cs="Times New Roman Bold" w:eastAsiaTheme="minorEastAsia"/>
          <w:b/>
          <w:bCs/>
          <w:iCs/>
          <w:color w:val="auto"/>
          <w:kern w:val="0"/>
          <w:sz w:val="24"/>
          <w:szCs w:val="24"/>
          <w:lang w:val="fr-FR"/>
          <w14:ligatures w14:val="none"/>
        </w:rPr>
        <w:t>.1 Introduction to P</w:t>
      </w:r>
      <w:r>
        <w:rPr>
          <w:rFonts w:hint="eastAsia" w:ascii="Times New Roman Bold" w:hAnsi="Times New Roman Bold" w:cs="Times New Roman Bold" w:eastAsiaTheme="minorEastAsia"/>
          <w:b/>
          <w:bCs/>
          <w:iCs/>
          <w:color w:val="auto"/>
          <w:kern w:val="0"/>
          <w:sz w:val="24"/>
          <w:szCs w:val="24"/>
          <w:lang w:val="fr-FR"/>
          <w14:ligatures w14:val="none"/>
        </w:rPr>
        <w:t>a</w:t>
      </w:r>
      <w:r>
        <w:rPr>
          <w:rFonts w:ascii="Times New Roman Bold" w:hAnsi="Times New Roman Bold" w:cs="Times New Roman Bold" w:eastAsiaTheme="minorEastAsia"/>
          <w:b/>
          <w:bCs/>
          <w:iCs/>
          <w:color w:val="auto"/>
          <w:kern w:val="0"/>
          <w:sz w:val="24"/>
          <w:szCs w:val="24"/>
          <w:lang w:val="fr-FR"/>
          <w14:ligatures w14:val="none"/>
        </w:rPr>
        <w:t>ratexts</w:t>
      </w:r>
    </w:p>
    <w:p>
      <w:pPr>
        <w:widowControl/>
        <w:spacing w:line="460" w:lineRule="exact"/>
        <w:ind w:firstLine="480" w:firstLineChars="200"/>
        <w:jc w:val="both"/>
        <w:rPr>
          <w:rFonts w:ascii="Times New Roman" w:hAnsi="Times New Roman" w:eastAsia="宋体" w:cs="Times New Roman"/>
          <w:kern w:val="0"/>
          <w:sz w:val="24"/>
          <w:lang w:val="en-GB"/>
          <w14:ligatures w14:val="none"/>
        </w:rPr>
      </w:pPr>
      <w:r>
        <w:rPr>
          <w:rFonts w:hint="eastAsia" w:ascii="Times New Roman" w:hAnsi="Times New Roman" w:eastAsia="宋体" w:cs="Times New Roman"/>
          <w:color w:val="EE0000"/>
          <w:kern w:val="0"/>
          <w:sz w:val="24"/>
          <w:lang w:val="en-GB"/>
          <w14:ligatures w14:val="none"/>
        </w:rPr>
        <w:t xml:space="preserve">To understand the role of paratexts in thick translation, it is necessary to first clarify their definition and theoretical significance in cross-cultural translation. </w:t>
      </w:r>
      <w:r>
        <w:rPr>
          <w:rFonts w:hint="eastAsia" w:ascii="Times New Roman" w:hAnsi="Times New Roman" w:eastAsia="宋体" w:cs="Times New Roman"/>
          <w:kern w:val="0"/>
          <w:sz w:val="24"/>
          <w:lang w:val="en-GB"/>
          <w14:ligatures w14:val="none"/>
        </w:rPr>
        <w:t xml:space="preserve">Paratexts, as </w:t>
      </w:r>
      <w:r>
        <w:rPr>
          <w:rFonts w:ascii="Times New Roman" w:hAnsi="Times New Roman" w:eastAsia="宋体" w:cs="Times New Roman"/>
          <w:kern w:val="0"/>
          <w:sz w:val="24"/>
          <w:lang w:val="en-GB"/>
          <w14:ligatures w14:val="none"/>
        </w:rPr>
        <w:t>Gérar</w:t>
      </w:r>
      <w:r>
        <w:rPr>
          <w:rFonts w:hint="eastAsia" w:ascii="Times New Roman" w:hAnsi="Times New Roman" w:eastAsia="宋体" w:cs="Times New Roman"/>
          <w:kern w:val="0"/>
          <w:sz w:val="24"/>
          <w:lang w:val="en-GB"/>
          <w14:ligatures w14:val="none"/>
        </w:rPr>
        <w:t xml:space="preserve">d Genette (1997) </w:t>
      </w:r>
      <w:r>
        <w:rPr>
          <w:rFonts w:ascii="Times New Roman" w:hAnsi="Times New Roman" w:eastAsia="宋体" w:cs="Times New Roman"/>
          <w:kern w:val="0"/>
          <w:sz w:val="24"/>
          <w:vertAlign w:val="superscript"/>
          <w:lang w:val="en-GB"/>
          <w14:ligatures w14:val="none"/>
        </w:rPr>
        <w:fldChar w:fldCharType="begin"/>
      </w:r>
      <w:r>
        <w:rPr>
          <w:rFonts w:ascii="Times New Roman" w:hAnsi="Times New Roman" w:eastAsia="宋体" w:cs="Times New Roman"/>
          <w:kern w:val="0"/>
          <w:sz w:val="24"/>
          <w:vertAlign w:val="superscript"/>
          <w:lang w:val="en-GB"/>
          <w14:ligatures w14:val="none"/>
        </w:rPr>
        <w:instrText xml:space="preserve"> </w:instrText>
      </w:r>
      <w:r>
        <w:rPr>
          <w:rFonts w:hint="eastAsia" w:ascii="Times New Roman" w:hAnsi="Times New Roman" w:eastAsia="宋体" w:cs="Times New Roman"/>
          <w:kern w:val="0"/>
          <w:sz w:val="24"/>
          <w:vertAlign w:val="superscript"/>
          <w:lang w:val="en-GB"/>
          <w14:ligatures w14:val="none"/>
        </w:rPr>
        <w:instrText xml:space="preserve">REF _Ref204277086 \r \h</w:instrText>
      </w:r>
      <w:r>
        <w:rPr>
          <w:rFonts w:ascii="Times New Roman" w:hAnsi="Times New Roman" w:eastAsia="宋体" w:cs="Times New Roman"/>
          <w:kern w:val="0"/>
          <w:sz w:val="24"/>
          <w:vertAlign w:val="superscript"/>
          <w:lang w:val="en-GB"/>
          <w14:ligatures w14:val="none"/>
        </w:rPr>
        <w:instrText xml:space="preserve">  \* MERGEFORMAT </w:instrText>
      </w:r>
      <w:r>
        <w:rPr>
          <w:rFonts w:ascii="Times New Roman" w:hAnsi="Times New Roman" w:eastAsia="宋体" w:cs="Times New Roman"/>
          <w:kern w:val="0"/>
          <w:sz w:val="24"/>
          <w:vertAlign w:val="superscript"/>
          <w:lang w:val="en-GB"/>
          <w14:ligatures w14:val="none"/>
        </w:rPr>
        <w:fldChar w:fldCharType="separate"/>
      </w:r>
      <w:r>
        <w:rPr>
          <w:rFonts w:ascii="Times New Roman" w:hAnsi="Times New Roman" w:eastAsia="宋体" w:cs="Times New Roman"/>
          <w:kern w:val="0"/>
          <w:sz w:val="24"/>
          <w:vertAlign w:val="superscript"/>
          <w:lang w:val="en-GB"/>
          <w14:ligatures w14:val="none"/>
        </w:rPr>
        <w:t>[4]</w:t>
      </w:r>
      <w:r>
        <w:rPr>
          <w:rFonts w:ascii="Times New Roman" w:hAnsi="Times New Roman" w:eastAsia="宋体" w:cs="Times New Roman"/>
          <w:kern w:val="0"/>
          <w:sz w:val="24"/>
          <w:vertAlign w:val="superscript"/>
          <w:lang w:val="en-GB"/>
          <w14:ligatures w14:val="none"/>
        </w:rPr>
        <w:fldChar w:fldCharType="end"/>
      </w:r>
      <w:r>
        <w:rPr>
          <w:rFonts w:hint="eastAsia" w:ascii="Times New Roman" w:hAnsi="Times New Roman" w:eastAsia="宋体" w:cs="Times New Roman"/>
          <w:kern w:val="0"/>
          <w:sz w:val="24"/>
          <w:lang w:val="en-GB"/>
          <w14:ligatures w14:val="none"/>
        </w:rPr>
        <w:t>describes them, are the material and textual forms that surround and accompany the central text, shaping people</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s reception and interpretation of the central text. These include introductions, prefaces, footnotes, appendices, commentaries, etc., and they act as doors leading readers into the cultural and intellectual order of the book. Paratexts come in very handy when bridging gaps in cultures and language in situations of thick translation, particularly with culturally dense books like </w:t>
      </w:r>
      <w:r>
        <w:rPr>
          <w:rFonts w:hint="eastAsia" w:ascii="Times New Roman" w:hAnsi="Times New Roman" w:eastAsia="宋体" w:cs="Times New Roman"/>
          <w:i/>
          <w:iCs/>
          <w:kern w:val="0"/>
          <w:sz w:val="24"/>
          <w:lang w:val="en-GB"/>
          <w14:ligatures w14:val="none"/>
        </w:rPr>
        <w:t>Jin Gui Yao Lue</w:t>
      </w:r>
      <w:r>
        <w:rPr>
          <w:rFonts w:hint="eastAsia" w:ascii="Times New Roman" w:hAnsi="Times New Roman" w:eastAsia="宋体" w:cs="Times New Roman"/>
          <w:kern w:val="0"/>
          <w:sz w:val="24"/>
          <w:lang w:val="en-GB"/>
          <w14:ligatures w14:val="none"/>
        </w:rPr>
        <w:t>. Thick translation, an anthropology and translation studies theory (Appiah, 1993), is concerned with the preservation and explanation of the cultural and contextual aspects of a source text. Paratexts facilitate this since they provide additional information, explanations, and contextualization that help readers understand the underlying meanings and cultural significance embedded in the original text (Hermans, 2003).</w:t>
      </w:r>
    </w:p>
    <w:p>
      <w:pPr>
        <w:widowControl/>
        <w:spacing w:line="460" w:lineRule="exact"/>
        <w:ind w:firstLine="480" w:firstLineChars="200"/>
        <w:jc w:val="both"/>
        <w:rPr>
          <w:rFonts w:ascii="Times New Roman" w:hAnsi="Times New Roman" w:eastAsia="宋体" w:cs="Times New Roman"/>
          <w:kern w:val="0"/>
          <w:sz w:val="24"/>
          <w:lang w:val="en-GB"/>
          <w14:ligatures w14:val="none"/>
        </w:rPr>
      </w:pPr>
      <w:r>
        <w:rPr>
          <w:rFonts w:hint="eastAsia" w:ascii="Times New Roman" w:hAnsi="Times New Roman" w:eastAsia="宋体" w:cs="Times New Roman"/>
          <w:kern w:val="0"/>
          <w:sz w:val="24"/>
          <w:lang w:val="en-GB"/>
          <w14:ligatures w14:val="none"/>
        </w:rPr>
        <w:t>Paratextual interaction with thick translation. Paratexts enable thick translation as they create space for the translator to describe cultural nuances, context, and symbolic references that would otherwise be confusing to readers who are not of the target culture (Venuti, 1998). For instance, the translation of</w:t>
      </w:r>
      <w:r>
        <w:rPr>
          <w:rFonts w:hint="eastAsia" w:ascii="Times New Roman" w:hAnsi="Times New Roman" w:eastAsia="宋体" w:cs="Times New Roman"/>
          <w:i/>
          <w:iCs/>
          <w:kern w:val="0"/>
          <w:sz w:val="24"/>
          <w:lang w:val="en-GB"/>
          <w14:ligatures w14:val="none"/>
        </w:rPr>
        <w:t xml:space="preserve"> Jin Gui Yao Lue </w:t>
      </w:r>
      <w:r>
        <w:rPr>
          <w:rFonts w:hint="eastAsia" w:ascii="Times New Roman" w:hAnsi="Times New Roman" w:eastAsia="宋体" w:cs="Times New Roman"/>
          <w:kern w:val="0"/>
          <w:sz w:val="24"/>
          <w:lang w:val="en-GB"/>
          <w14:ligatures w14:val="none"/>
        </w:rPr>
        <w:t>can include paratexts such as descriptions of Daoist medical cosmology, syndromes in TCM to biomedical vocabulary, and analysis of symbolic reasonableness within the text (Luo, 1987)</w:t>
      </w:r>
      <w:r>
        <w:rPr>
          <w:rFonts w:ascii="Times New Roman" w:hAnsi="Times New Roman" w:eastAsia="宋体" w:cs="Times New Roman"/>
          <w:kern w:val="0"/>
          <w:sz w:val="24"/>
          <w:vertAlign w:val="superscript"/>
          <w:lang w:val="en-GB"/>
          <w14:ligatures w14:val="none"/>
        </w:rPr>
        <w:fldChar w:fldCharType="begin"/>
      </w:r>
      <w:r>
        <w:rPr>
          <w:rFonts w:ascii="Times New Roman" w:hAnsi="Times New Roman" w:eastAsia="宋体" w:cs="Times New Roman"/>
          <w:kern w:val="0"/>
          <w:sz w:val="24"/>
          <w:vertAlign w:val="superscript"/>
          <w:lang w:val="en-GB"/>
          <w14:ligatures w14:val="none"/>
        </w:rPr>
        <w:instrText xml:space="preserve"> </w:instrText>
      </w:r>
      <w:r>
        <w:rPr>
          <w:rFonts w:hint="eastAsia" w:ascii="Times New Roman" w:hAnsi="Times New Roman" w:eastAsia="宋体" w:cs="Times New Roman"/>
          <w:kern w:val="0"/>
          <w:sz w:val="24"/>
          <w:vertAlign w:val="superscript"/>
          <w:lang w:val="en-GB"/>
          <w14:ligatures w14:val="none"/>
        </w:rPr>
        <w:instrText xml:space="preserve">REF _Ref204277198 \r \h</w:instrText>
      </w:r>
      <w:r>
        <w:rPr>
          <w:rFonts w:ascii="Times New Roman" w:hAnsi="Times New Roman" w:eastAsia="宋体" w:cs="Times New Roman"/>
          <w:kern w:val="0"/>
          <w:sz w:val="24"/>
          <w:vertAlign w:val="superscript"/>
          <w:lang w:val="en-GB"/>
          <w14:ligatures w14:val="none"/>
        </w:rPr>
        <w:instrText xml:space="preserve">  \* MERGEFORMAT </w:instrText>
      </w:r>
      <w:r>
        <w:rPr>
          <w:rFonts w:ascii="Times New Roman" w:hAnsi="Times New Roman" w:eastAsia="宋体" w:cs="Times New Roman"/>
          <w:kern w:val="0"/>
          <w:sz w:val="24"/>
          <w:vertAlign w:val="superscript"/>
          <w:lang w:val="en-GB"/>
          <w14:ligatures w14:val="none"/>
        </w:rPr>
        <w:fldChar w:fldCharType="separate"/>
      </w:r>
      <w:r>
        <w:rPr>
          <w:rFonts w:ascii="Times New Roman" w:hAnsi="Times New Roman" w:eastAsia="宋体" w:cs="Times New Roman"/>
          <w:kern w:val="0"/>
          <w:sz w:val="24"/>
          <w:vertAlign w:val="superscript"/>
          <w:lang w:val="en-GB"/>
          <w14:ligatures w14:val="none"/>
        </w:rPr>
        <w:t>[11]</w:t>
      </w:r>
      <w:r>
        <w:rPr>
          <w:rFonts w:ascii="Times New Roman" w:hAnsi="Times New Roman" w:eastAsia="宋体" w:cs="Times New Roman"/>
          <w:kern w:val="0"/>
          <w:sz w:val="24"/>
          <w:vertAlign w:val="superscript"/>
          <w:lang w:val="en-GB"/>
          <w14:ligatures w14:val="none"/>
        </w:rPr>
        <w:fldChar w:fldCharType="end"/>
      </w:r>
      <w:r>
        <w:rPr>
          <w:rFonts w:hint="eastAsia" w:ascii="Times New Roman" w:hAnsi="Times New Roman" w:eastAsia="宋体" w:cs="Times New Roman"/>
          <w:kern w:val="0"/>
          <w:sz w:val="24"/>
          <w:lang w:val="en-GB"/>
          <w14:ligatures w14:val="none"/>
        </w:rPr>
        <w:t>. Besides enriching the knowledge of the reader, they also give cultural and medical authenticity to the source text (Bassnett &amp; Lefevere, 1990)</w:t>
      </w:r>
      <w:r>
        <w:rPr>
          <w:rFonts w:ascii="Times New Roman" w:hAnsi="Times New Roman" w:eastAsia="宋体" w:cs="Times New Roman"/>
          <w:kern w:val="0"/>
          <w:sz w:val="24"/>
          <w:vertAlign w:val="superscript"/>
          <w:lang w:val="en-GB"/>
          <w14:ligatures w14:val="none"/>
        </w:rPr>
        <w:fldChar w:fldCharType="begin"/>
      </w:r>
      <w:r>
        <w:rPr>
          <w:rFonts w:ascii="Times New Roman" w:hAnsi="Times New Roman" w:eastAsia="宋体" w:cs="Times New Roman"/>
          <w:kern w:val="0"/>
          <w:sz w:val="24"/>
          <w:vertAlign w:val="superscript"/>
          <w:lang w:val="en-GB"/>
          <w14:ligatures w14:val="none"/>
        </w:rPr>
        <w:instrText xml:space="preserve"> </w:instrText>
      </w:r>
      <w:r>
        <w:rPr>
          <w:rFonts w:hint="eastAsia" w:ascii="Times New Roman" w:hAnsi="Times New Roman" w:eastAsia="宋体" w:cs="Times New Roman"/>
          <w:kern w:val="0"/>
          <w:sz w:val="24"/>
          <w:vertAlign w:val="superscript"/>
          <w:lang w:val="en-GB"/>
          <w14:ligatures w14:val="none"/>
        </w:rPr>
        <w:instrText xml:space="preserve">REF _Ref204277245 \r \h</w:instrText>
      </w:r>
      <w:r>
        <w:rPr>
          <w:rFonts w:ascii="Times New Roman" w:hAnsi="Times New Roman" w:eastAsia="宋体" w:cs="Times New Roman"/>
          <w:kern w:val="0"/>
          <w:sz w:val="24"/>
          <w:vertAlign w:val="superscript"/>
          <w:lang w:val="en-GB"/>
          <w14:ligatures w14:val="none"/>
        </w:rPr>
        <w:instrText xml:space="preserve">  \* MERGEFORMAT </w:instrText>
      </w:r>
      <w:r>
        <w:rPr>
          <w:rFonts w:ascii="Times New Roman" w:hAnsi="Times New Roman" w:eastAsia="宋体" w:cs="Times New Roman"/>
          <w:kern w:val="0"/>
          <w:sz w:val="24"/>
          <w:vertAlign w:val="superscript"/>
          <w:lang w:val="en-GB"/>
          <w14:ligatures w14:val="none"/>
        </w:rPr>
        <w:fldChar w:fldCharType="separate"/>
      </w:r>
      <w:r>
        <w:rPr>
          <w:rFonts w:ascii="Times New Roman" w:hAnsi="Times New Roman" w:eastAsia="宋体" w:cs="Times New Roman"/>
          <w:kern w:val="0"/>
          <w:sz w:val="24"/>
          <w:vertAlign w:val="superscript"/>
          <w:lang w:val="en-GB"/>
          <w14:ligatures w14:val="none"/>
        </w:rPr>
        <w:t>[3]</w:t>
      </w:r>
      <w:r>
        <w:rPr>
          <w:rFonts w:ascii="Times New Roman" w:hAnsi="Times New Roman" w:eastAsia="宋体" w:cs="Times New Roman"/>
          <w:kern w:val="0"/>
          <w:sz w:val="24"/>
          <w:vertAlign w:val="superscript"/>
          <w:lang w:val="en-GB"/>
          <w14:ligatures w14:val="none"/>
        </w:rPr>
        <w:fldChar w:fldCharType="end"/>
      </w:r>
      <w:r>
        <w:rPr>
          <w:rFonts w:hint="eastAsia" w:ascii="Times New Roman" w:hAnsi="Times New Roman" w:eastAsia="宋体" w:cs="Times New Roman"/>
          <w:kern w:val="0"/>
          <w:sz w:val="24"/>
          <w:lang w:val="en-GB"/>
          <w14:ligatures w14:val="none"/>
        </w:rPr>
        <w:t>. Paratexts thereby enrich the translation into a more full and thicker text, following the principles of thick translation (Tymoczko, 2007)</w:t>
      </w:r>
      <w:r>
        <w:rPr>
          <w:rFonts w:ascii="Times New Roman" w:hAnsi="Times New Roman" w:eastAsia="宋体" w:cs="Times New Roman"/>
          <w:kern w:val="0"/>
          <w:sz w:val="24"/>
          <w:vertAlign w:val="superscript"/>
          <w:lang w:val="en-GB"/>
          <w14:ligatures w14:val="none"/>
        </w:rPr>
        <w:fldChar w:fldCharType="begin"/>
      </w:r>
      <w:r>
        <w:rPr>
          <w:rFonts w:ascii="Times New Roman" w:hAnsi="Times New Roman" w:eastAsia="宋体" w:cs="Times New Roman"/>
          <w:kern w:val="0"/>
          <w:sz w:val="24"/>
          <w:vertAlign w:val="superscript"/>
          <w:lang w:val="en-GB"/>
          <w14:ligatures w14:val="none"/>
        </w:rPr>
        <w:instrText xml:space="preserve"> </w:instrText>
      </w:r>
      <w:r>
        <w:rPr>
          <w:rFonts w:hint="eastAsia" w:ascii="Times New Roman" w:hAnsi="Times New Roman" w:eastAsia="宋体" w:cs="Times New Roman"/>
          <w:kern w:val="0"/>
          <w:sz w:val="24"/>
          <w:vertAlign w:val="superscript"/>
          <w:lang w:val="en-GB"/>
          <w14:ligatures w14:val="none"/>
        </w:rPr>
        <w:instrText xml:space="preserve">REF _Ref204277283 \r \h</w:instrText>
      </w:r>
      <w:r>
        <w:rPr>
          <w:rFonts w:ascii="Times New Roman" w:hAnsi="Times New Roman" w:eastAsia="宋体" w:cs="Times New Roman"/>
          <w:kern w:val="0"/>
          <w:sz w:val="24"/>
          <w:vertAlign w:val="superscript"/>
          <w:lang w:val="en-GB"/>
          <w14:ligatures w14:val="none"/>
        </w:rPr>
        <w:instrText xml:space="preserve">  \* MERGEFORMAT </w:instrText>
      </w:r>
      <w:r>
        <w:rPr>
          <w:rFonts w:ascii="Times New Roman" w:hAnsi="Times New Roman" w:eastAsia="宋体" w:cs="Times New Roman"/>
          <w:kern w:val="0"/>
          <w:sz w:val="24"/>
          <w:vertAlign w:val="superscript"/>
          <w:lang w:val="en-GB"/>
          <w14:ligatures w14:val="none"/>
        </w:rPr>
        <w:fldChar w:fldCharType="separate"/>
      </w:r>
      <w:r>
        <w:rPr>
          <w:rFonts w:ascii="Times New Roman" w:hAnsi="Times New Roman" w:eastAsia="宋体" w:cs="Times New Roman"/>
          <w:kern w:val="0"/>
          <w:sz w:val="24"/>
          <w:vertAlign w:val="superscript"/>
          <w:lang w:val="en-GB"/>
          <w14:ligatures w14:val="none"/>
        </w:rPr>
        <w:t>[16]</w:t>
      </w:r>
      <w:r>
        <w:rPr>
          <w:rFonts w:ascii="Times New Roman" w:hAnsi="Times New Roman" w:eastAsia="宋体" w:cs="Times New Roman"/>
          <w:kern w:val="0"/>
          <w:sz w:val="24"/>
          <w:vertAlign w:val="superscript"/>
          <w:lang w:val="en-GB"/>
          <w14:ligatures w14:val="none"/>
        </w:rPr>
        <w:fldChar w:fldCharType="end"/>
      </w:r>
      <w:r>
        <w:rPr>
          <w:rFonts w:hint="eastAsia" w:ascii="Times New Roman" w:hAnsi="Times New Roman" w:eastAsia="宋体" w:cs="Times New Roman"/>
          <w:kern w:val="0"/>
          <w:sz w:val="24"/>
          <w:lang w:val="en-GB"/>
          <w14:ligatures w14:val="none"/>
        </w:rPr>
        <w:t>.</w:t>
      </w:r>
    </w:p>
    <w:p>
      <w:pPr>
        <w:pStyle w:val="2"/>
        <w:spacing w:before="240" w:after="240" w:line="240" w:lineRule="auto"/>
        <w:jc w:val="both"/>
        <w:rPr>
          <w:rFonts w:ascii="Times New Roman" w:hAnsi="Times New Roman" w:cs="Times New Roman" w:eastAsiaTheme="minorEastAsia"/>
          <w:b/>
          <w:bCs/>
          <w:iCs/>
          <w:color w:val="auto"/>
          <w:kern w:val="0"/>
          <w:sz w:val="24"/>
          <w:szCs w:val="24"/>
          <w:lang w:val="fr-FR"/>
          <w14:ligatures w14:val="none"/>
        </w:rPr>
      </w:pPr>
      <w:r>
        <w:rPr>
          <w:rFonts w:hint="eastAsia" w:ascii="Times New Roman" w:hAnsi="Times New Roman" w:cs="Times New Roman"/>
          <w:b/>
          <w:bCs/>
          <w:iCs/>
          <w:caps/>
          <w:color w:val="000000" w:themeColor="text1"/>
          <w:kern w:val="0"/>
          <w:sz w:val="24"/>
          <w:szCs w:val="24"/>
          <w14:textFill>
            <w14:solidFill>
              <w14:schemeClr w14:val="tx1"/>
            </w14:solidFill>
          </w14:textFill>
        </w:rPr>
        <w:t>3.1</w:t>
      </w:r>
      <w:r>
        <w:rPr>
          <w:rFonts w:hint="eastAsia" w:ascii="Times New Roman" w:hAnsi="Times New Roman" w:cs="Times New Roman" w:eastAsiaTheme="minorEastAsia"/>
          <w:b/>
          <w:bCs/>
          <w:iCs/>
          <w:color w:val="auto"/>
          <w:kern w:val="0"/>
          <w:sz w:val="24"/>
          <w:szCs w:val="24"/>
          <w:lang w:val="fr-FR"/>
          <w14:ligatures w14:val="none"/>
        </w:rPr>
        <w:t>.2 Case Study of Paratexts in Luo’s Translation of Jin Gui Yao Lue</w:t>
      </w:r>
    </w:p>
    <w:p>
      <w:pPr>
        <w:widowControl/>
        <w:spacing w:line="460" w:lineRule="exact"/>
        <w:ind w:firstLine="480" w:firstLineChars="200"/>
        <w:jc w:val="both"/>
        <w:rPr>
          <w:rFonts w:ascii="Times New Roman" w:hAnsi="Times New Roman" w:eastAsia="宋体" w:cs="Times New Roman"/>
          <w:kern w:val="0"/>
          <w:sz w:val="24"/>
          <w:lang w:val="en-GB"/>
          <w14:ligatures w14:val="none"/>
        </w:rPr>
      </w:pPr>
      <w:bookmarkStart w:id="4" w:name="OLE_LINK63"/>
      <w:r>
        <w:rPr>
          <w:rFonts w:hint="eastAsia" w:ascii="Times New Roman" w:hAnsi="Times New Roman" w:eastAsia="宋体" w:cs="Times New Roman"/>
          <w:color w:val="EE0000"/>
          <w:kern w:val="0"/>
          <w:sz w:val="24"/>
          <w:lang w:val="fr-FR"/>
          <w14:ligatures w14:val="none"/>
        </w:rPr>
        <w:t>The practical application of paratexts in Luo Xiwen</w:t>
      </w:r>
      <w:r>
        <w:rPr>
          <w:rFonts w:ascii="Times New Roman" w:hAnsi="Times New Roman" w:eastAsia="宋体" w:cs="Times New Roman"/>
          <w:color w:val="EE0000"/>
          <w:kern w:val="0"/>
          <w:sz w:val="24"/>
          <w:lang w:val="fr-FR"/>
          <w14:ligatures w14:val="none"/>
        </w:rPr>
        <w:t>’</w:t>
      </w:r>
      <w:r>
        <w:rPr>
          <w:rFonts w:hint="eastAsia" w:ascii="Times New Roman" w:hAnsi="Times New Roman" w:eastAsia="宋体" w:cs="Times New Roman"/>
          <w:color w:val="EE0000"/>
          <w:kern w:val="0"/>
          <w:sz w:val="24"/>
          <w:lang w:val="fr-FR"/>
          <w14:ligatures w14:val="none"/>
        </w:rPr>
        <w:t>s translation can better illustrate their effectiveness in reconstructing cultural images.</w:t>
      </w:r>
      <w:r>
        <w:rPr>
          <w:rFonts w:hint="eastAsia" w:ascii="Times New Roman" w:hAnsi="Times New Roman" w:eastAsia="宋体" w:cs="Times New Roman"/>
          <w:kern w:val="0"/>
          <w:sz w:val="24"/>
          <w:lang w:val="fr-FR"/>
          <w14:ligatures w14:val="none"/>
        </w:rPr>
        <w:t xml:space="preserve"> Luo Xiwen</w:t>
      </w:r>
      <w:r>
        <w:rPr>
          <w:rFonts w:ascii="Times New Roman" w:hAnsi="Times New Roman" w:eastAsia="宋体" w:cs="Times New Roman"/>
          <w:kern w:val="0"/>
          <w:sz w:val="24"/>
          <w:lang w:val="fr-FR"/>
          <w14:ligatures w14:val="none"/>
        </w:rPr>
        <w:t>’</w:t>
      </w:r>
      <w:r>
        <w:rPr>
          <w:rFonts w:hint="eastAsia" w:ascii="Times New Roman" w:hAnsi="Times New Roman" w:eastAsia="宋体" w:cs="Times New Roman"/>
          <w:kern w:val="0"/>
          <w:sz w:val="24"/>
          <w:lang w:val="fr-FR"/>
          <w14:ligatures w14:val="none"/>
        </w:rPr>
        <w:t xml:space="preserve">s </w:t>
      </w:r>
      <w:r>
        <w:rPr>
          <w:rFonts w:hint="eastAsia" w:ascii="Times New Roman" w:hAnsi="Times New Roman" w:eastAsia="宋体" w:cs="Times New Roman"/>
          <w:i/>
          <w:iCs/>
          <w:kern w:val="0"/>
          <w:sz w:val="24"/>
          <w:lang w:val="fr-FR"/>
          <w14:ligatures w14:val="none"/>
        </w:rPr>
        <w:t>Jin Gui Yao Lue</w:t>
      </w:r>
      <w:r>
        <w:rPr>
          <w:rFonts w:hint="eastAsia" w:ascii="Times New Roman" w:hAnsi="Times New Roman" w:eastAsia="宋体" w:cs="Times New Roman"/>
          <w:kern w:val="0"/>
          <w:sz w:val="24"/>
          <w:lang w:val="fr-FR"/>
          <w14:ligatures w14:val="none"/>
        </w:rPr>
        <w:t xml:space="preserve"> translation is a sophisticated synthesis of paratextual elements to reconcile classical Chinese medical theory with modern biomedical models, three masterful examples document his technical skill in controlling terminology, cultural iconography, and therapeutic precepts, in Example 1, Luo uses a paratactic approach to account for fever and delirium gender pathology during menstruation in his interpretation of the syndrome of </w:t>
      </w:r>
      <w:r>
        <w:rPr>
          <w:rFonts w:ascii="Times New Roman" w:hAnsi="Times New Roman" w:eastAsia="宋体" w:cs="Times New Roman"/>
          <w:kern w:val="0"/>
          <w:sz w:val="24"/>
          <w:lang w:val="fr-FR"/>
          <w14:ligatures w14:val="none"/>
        </w:rPr>
        <w:t>“</w:t>
      </w:r>
      <w:r>
        <w:rPr>
          <w:rFonts w:hint="eastAsia" w:ascii="Times New Roman" w:hAnsi="Times New Roman" w:eastAsia="宋体" w:cs="Times New Roman"/>
          <w:kern w:val="0"/>
          <w:sz w:val="24"/>
          <w:lang w:val="fr-FR"/>
          <w14:ligatures w14:val="none"/>
        </w:rPr>
        <w:t>heat entering the blood chamber</w:t>
      </w:r>
      <w:r>
        <w:rPr>
          <w:rFonts w:ascii="Times New Roman" w:hAnsi="Times New Roman" w:eastAsia="宋体" w:cs="Times New Roman"/>
          <w:kern w:val="0"/>
          <w:sz w:val="24"/>
          <w:lang w:val="fr-FR"/>
          <w14:ligatures w14:val="none"/>
        </w:rPr>
        <w:t>”</w:t>
      </w:r>
      <w:r>
        <w:rPr>
          <w:rFonts w:hint="eastAsia" w:ascii="Times New Roman" w:hAnsi="Times New Roman" w:eastAsia="宋体" w:cs="Times New Roman"/>
          <w:kern w:val="0"/>
          <w:sz w:val="24"/>
          <w:lang w:val="fr-FR"/>
          <w14:ligatures w14:val="none"/>
        </w:rPr>
        <w:t xml:space="preserve"> </w:t>
      </w:r>
      <w:r>
        <w:rPr>
          <w:rFonts w:ascii="Times New Roman" w:hAnsi="Times New Roman" w:eastAsia="宋体" w:cs="Times New Roman"/>
          <w:kern w:val="0"/>
          <w:sz w:val="24"/>
          <w:lang w:val="fr-FR"/>
          <w14:ligatures w14:val="none"/>
        </w:rPr>
        <w:t>“</w:t>
      </w:r>
      <w:r>
        <w:rPr>
          <w:rFonts w:hint="eastAsia" w:ascii="Times New Roman" w:hAnsi="Times New Roman" w:eastAsia="宋体" w:cs="Times New Roman"/>
          <w:kern w:val="0"/>
          <w:sz w:val="24"/>
          <w:lang w:val="en-GB"/>
          <w14:ligatures w14:val="none"/>
        </w:rPr>
        <w:t>热入血室</w:t>
      </w:r>
      <w:r>
        <w:rPr>
          <w:rFonts w:ascii="Times New Roman" w:hAnsi="Times New Roman" w:eastAsia="宋体" w:cs="Times New Roman"/>
          <w:kern w:val="0"/>
          <w:sz w:val="24"/>
          <w:lang w:val="fr-FR"/>
          <w14:ligatures w14:val="none"/>
        </w:rPr>
        <w:t>”</w:t>
      </w:r>
      <w:r>
        <w:rPr>
          <w:rFonts w:hint="eastAsia" w:ascii="Times New Roman" w:hAnsi="Times New Roman" w:eastAsia="宋体" w:cs="Times New Roman"/>
          <w:kern w:val="0"/>
          <w:sz w:val="24"/>
          <w:lang w:val="fr-FR"/>
          <w14:ligatures w14:val="none"/>
        </w:rPr>
        <w:t xml:space="preserve"> (Luo,1987:189), which, through comparative citation of modern gynecological ailments, situates the ancient </w:t>
      </w:r>
      <w:r>
        <w:rPr>
          <w:rFonts w:ascii="Times New Roman" w:hAnsi="Times New Roman" w:eastAsia="宋体" w:cs="Times New Roman"/>
          <w:kern w:val="0"/>
          <w:sz w:val="24"/>
          <w:lang w:val="fr-FR"/>
          <w14:ligatures w14:val="none"/>
        </w:rPr>
        <w:t>“</w:t>
      </w:r>
      <w:r>
        <w:rPr>
          <w:rFonts w:hint="eastAsia" w:ascii="Times New Roman" w:hAnsi="Times New Roman" w:eastAsia="宋体" w:cs="Times New Roman"/>
          <w:kern w:val="0"/>
          <w:sz w:val="24"/>
          <w:lang w:val="fr-FR"/>
          <w14:ligatures w14:val="none"/>
        </w:rPr>
        <w:t>blood chamber</w:t>
      </w:r>
      <w:r>
        <w:rPr>
          <w:rFonts w:ascii="Times New Roman" w:hAnsi="Times New Roman" w:eastAsia="宋体" w:cs="Times New Roman"/>
          <w:kern w:val="0"/>
          <w:sz w:val="24"/>
          <w:lang w:val="fr-FR"/>
          <w14:ligatures w14:val="none"/>
        </w:rPr>
        <w:t>”</w:t>
      </w:r>
      <w:r>
        <w:rPr>
          <w:rFonts w:hint="eastAsia" w:ascii="Times New Roman" w:hAnsi="Times New Roman" w:eastAsia="宋体" w:cs="Times New Roman"/>
          <w:kern w:val="0"/>
          <w:sz w:val="24"/>
          <w:lang w:val="fr-FR"/>
          <w14:ligatures w14:val="none"/>
        </w:rPr>
        <w:t xml:space="preserve"> theory contextualized. </w:t>
      </w:r>
      <w:r>
        <w:rPr>
          <w:rFonts w:hint="eastAsia" w:ascii="Times New Roman" w:hAnsi="Times New Roman" w:eastAsia="宋体" w:cs="Times New Roman"/>
          <w:kern w:val="0"/>
          <w:sz w:val="24"/>
          <w:lang w:val="en-GB"/>
          <w14:ligatures w14:val="none"/>
        </w:rPr>
        <w:t xml:space="preserve">Example 2 describes the philosophical distinction between the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Spleen-Earth</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脾土</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as an operational system and as an anatomical organ (Luo,1987:92), with footnotes reconciling classical Chinese cosmology and contemporary gastroenterological principles. Example 3 shows Luo applying pulse diagnosis and prescription to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Taiyang wind-cold syndrome</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太阳中风</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where commentary renders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floating tight pulse</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脉浮紧</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as a sign of vascular tension and cross-refers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Major Bluegreen Dragon Decoction</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大青龙汤</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in a pharmacological study of ephedra and cinnamon (Luo,1987:112-115), together, these cases reveal Luo</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s three-part strategy: maintaining terminological integrity through transliteration, reconstructing historical medical reasoning via explanatory glosses, and grounding ancient observations on modern clinical correlations, paratexts act as a hermeneutic interface, respectful of textual integrity and yet opening up cross-cultural medical communication, not only does this approach open up the </w:t>
      </w:r>
      <w:r>
        <w:rPr>
          <w:rFonts w:hint="eastAsia" w:ascii="Times New Roman" w:hAnsi="Times New Roman" w:eastAsia="宋体" w:cs="Times New Roman"/>
          <w:i/>
          <w:iCs/>
          <w:kern w:val="0"/>
          <w:sz w:val="24"/>
          <w:lang w:val="en-GB"/>
          <w14:ligatures w14:val="none"/>
        </w:rPr>
        <w:t>Jin Gui Yao Lue</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 layered meanings but establishes a paradigm for translating premodern medical canons into freely available scientific terms.</w:t>
      </w:r>
      <w:bookmarkEnd w:id="4"/>
    </w:p>
    <w:p>
      <w:pPr>
        <w:widowControl/>
        <w:spacing w:line="460" w:lineRule="exact"/>
        <w:ind w:firstLine="480" w:firstLineChars="200"/>
        <w:jc w:val="both"/>
        <w:rPr>
          <w:rFonts w:ascii="Times New Roman" w:hAnsi="Times New Roman" w:eastAsia="宋体" w:cs="Times New Roman"/>
          <w:kern w:val="0"/>
          <w:sz w:val="24"/>
          <w:lang w:val="en-GB"/>
          <w14:ligatures w14:val="none"/>
        </w:rPr>
      </w:pPr>
      <w:bookmarkStart w:id="5" w:name="OLE_LINK19"/>
      <w:r>
        <w:rPr>
          <w:rFonts w:ascii="Times New Roman" w:hAnsi="Times New Roman" w:eastAsia="宋体" w:cs="Times New Roman"/>
          <w:kern w:val="0"/>
          <w:sz w:val="24"/>
          <w:lang w:val="en-GB"/>
          <w14:ligatures w14:val="none"/>
        </w:rPr>
        <w:t xml:space="preserve">Example </w:t>
      </w:r>
      <w:r>
        <w:rPr>
          <w:rFonts w:hint="eastAsia" w:ascii="Times New Roman" w:hAnsi="Times New Roman" w:eastAsia="宋体" w:cs="Times New Roman"/>
          <w:kern w:val="0"/>
          <w:sz w:val="24"/>
          <w:lang w:val="en-GB"/>
          <w14:ligatures w14:val="none"/>
        </w:rPr>
        <w:t>1</w:t>
      </w:r>
      <w:r>
        <w:rPr>
          <w:rFonts w:ascii="Times New Roman" w:hAnsi="Times New Roman" w:eastAsia="宋体" w:cs="Times New Roman"/>
          <w:kern w:val="0"/>
          <w:sz w:val="24"/>
          <w:lang w:val="en-GB"/>
          <w14:ligatures w14:val="none"/>
        </w:rPr>
        <w:t xml:space="preserve">: </w:t>
      </w:r>
    </w:p>
    <w:p>
      <w:pPr>
        <w:widowControl/>
        <w:spacing w:line="460" w:lineRule="exact"/>
        <w:ind w:firstLine="480" w:firstLineChars="200"/>
        <w:jc w:val="both"/>
        <w:rPr>
          <w:rFonts w:ascii="Times New Roman" w:hAnsi="Times New Roman" w:eastAsia="宋体" w:cs="Times New Roman"/>
          <w:kern w:val="0"/>
          <w:sz w:val="24"/>
          <w:lang w:val="en-GB"/>
          <w14:ligatures w14:val="none"/>
        </w:rPr>
      </w:pPr>
      <w:r>
        <w:rPr>
          <w:rFonts w:ascii="Times New Roman" w:hAnsi="Times New Roman" w:eastAsia="宋体" w:cs="Times New Roman"/>
          <w:kern w:val="0"/>
          <w:sz w:val="24"/>
          <w:lang w:val="en-GB"/>
          <w14:ligatures w14:val="none"/>
        </w:rPr>
        <w:t>Original Context‌</w:t>
      </w:r>
      <w:r>
        <w:rPr>
          <w:rFonts w:hint="eastAsia" w:ascii="Times New Roman" w:hAnsi="Times New Roman" w:eastAsia="宋体" w:cs="Times New Roman"/>
          <w:kern w:val="0"/>
          <w:sz w:val="24"/>
          <w:lang w:val="en-GB"/>
          <w14:ligatures w14:val="none"/>
        </w:rPr>
        <w:t>：</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妇人中风，发热恶寒，经水适来，得之七八日，热除而脉迟，身凉，胸胁满，如结胸状，谵语者，此为热入血室也，当刺期门，随其实而取之。</w:t>
      </w:r>
      <w:r>
        <w:rPr>
          <w:rFonts w:ascii="Times New Roman" w:hAnsi="Times New Roman" w:eastAsia="宋体" w:cs="Times New Roman"/>
          <w:kern w:val="0"/>
          <w:sz w:val="24"/>
          <w:lang w:val="en-GB"/>
          <w14:ligatures w14:val="none"/>
        </w:rPr>
        <w:t>”</w:t>
      </w:r>
    </w:p>
    <w:p>
      <w:pPr>
        <w:widowControl/>
        <w:spacing w:line="460" w:lineRule="exact"/>
        <w:ind w:firstLine="480" w:firstLineChars="200"/>
        <w:jc w:val="both"/>
        <w:rPr>
          <w:rFonts w:ascii="Times New Roman" w:hAnsi="Times New Roman" w:eastAsia="宋体" w:cs="Times New Roman"/>
          <w:kern w:val="0"/>
          <w:sz w:val="24"/>
          <w:lang w:val="en-GB"/>
          <w14:ligatures w14:val="none"/>
        </w:rPr>
      </w:pPr>
      <w:r>
        <w:rPr>
          <w:rFonts w:hint="eastAsia" w:ascii="Times New Roman" w:hAnsi="Times New Roman" w:eastAsia="宋体" w:cs="Times New Roman"/>
          <w:kern w:val="0"/>
          <w:sz w:val="24"/>
          <w:lang w:val="en-GB"/>
          <w14:ligatures w14:val="none"/>
        </w:rPr>
        <w:t xml:space="preserve">Target text: In women afflicted by wind-strike with fever, chills, and menstrual onset, if after seven or eight days the fever subsides but the pulse becomes slow, the body cools, and there is chest fullness resembling binding chest syndrome accompanied by delirium, this signifies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heat entering the blood chamber</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Acupuncture at Qimen (</w:t>
      </w:r>
      <w:r>
        <w:rPr>
          <w:rFonts w:ascii="Times New Roman" w:hAnsi="Times New Roman" w:eastAsia="宋体" w:cs="Times New Roman"/>
          <w:kern w:val="0"/>
          <w:sz w:val="24"/>
          <w:lang w:val="en-GB"/>
          <w14:ligatures w14:val="none"/>
        </w:rPr>
        <w:t>Qimen point means the Mu point of the liver meridian, which has the effect of relieving liver depression and regulating qi and blood</w:t>
      </w:r>
      <w:r>
        <w:rPr>
          <w:rFonts w:hint="eastAsia" w:ascii="Times New Roman" w:hAnsi="Times New Roman" w:eastAsia="宋体" w:cs="Times New Roman"/>
          <w:kern w:val="0"/>
          <w:sz w:val="24"/>
          <w:lang w:val="en-GB"/>
          <w14:ligatures w14:val="none"/>
        </w:rPr>
        <w:t>) should be applied to drain the excess (Luo, 1987:</w:t>
      </w:r>
      <w:r>
        <w:rPr>
          <w:rFonts w:ascii="Times New Roman" w:hAnsi="Times New Roman" w:eastAsia="宋体" w:cs="Times New Roman"/>
          <w:kern w:val="0"/>
          <w:sz w:val="24"/>
          <w:lang w:val="en-GB"/>
          <w14:ligatures w14:val="none"/>
        </w:rPr>
        <w:t xml:space="preserve"> </w:t>
      </w:r>
      <w:r>
        <w:rPr>
          <w:rFonts w:hint="eastAsia" w:ascii="Times New Roman" w:hAnsi="Times New Roman" w:eastAsia="宋体" w:cs="Times New Roman"/>
          <w:kern w:val="0"/>
          <w:sz w:val="24"/>
          <w:lang w:val="en-GB"/>
          <w14:ligatures w14:val="none"/>
        </w:rPr>
        <w:t>189).</w:t>
      </w:r>
    </w:p>
    <w:bookmarkEnd w:id="5"/>
    <w:p>
      <w:pPr>
        <w:widowControl/>
        <w:spacing w:line="460" w:lineRule="exact"/>
        <w:ind w:firstLine="480" w:firstLineChars="200"/>
        <w:jc w:val="both"/>
        <w:rPr>
          <w:rFonts w:ascii="Times New Roman" w:hAnsi="Times New Roman" w:eastAsia="宋体" w:cs="Times New Roman"/>
          <w:kern w:val="0"/>
          <w:sz w:val="24"/>
          <w:lang w:val="en-GB"/>
          <w14:ligatures w14:val="none"/>
        </w:rPr>
      </w:pPr>
      <w:bookmarkStart w:id="6" w:name="OLE_LINK64"/>
      <w:r>
        <w:rPr>
          <w:rFonts w:hint="eastAsia" w:ascii="Times New Roman" w:hAnsi="Times New Roman" w:eastAsia="宋体" w:cs="Times New Roman"/>
          <w:kern w:val="0"/>
          <w:sz w:val="24"/>
          <w:lang w:val="en-GB"/>
          <w14:ligatures w14:val="none"/>
        </w:rPr>
        <w:t>Luo Xiwen</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s translation of the </w:t>
      </w:r>
      <w:r>
        <w:rPr>
          <w:rFonts w:hint="eastAsia" w:ascii="Times New Roman" w:hAnsi="Times New Roman" w:eastAsia="宋体" w:cs="Times New Roman"/>
          <w:i/>
          <w:iCs/>
          <w:kern w:val="0"/>
          <w:sz w:val="24"/>
          <w:lang w:val="en-GB"/>
          <w14:ligatures w14:val="none"/>
        </w:rPr>
        <w:t>Jin Gui Yao Lue</w:t>
      </w:r>
      <w:r>
        <w:rPr>
          <w:rFonts w:hint="eastAsia" w:ascii="Times New Roman" w:hAnsi="Times New Roman" w:eastAsia="宋体" w:cs="Times New Roman"/>
          <w:kern w:val="0"/>
          <w:sz w:val="24"/>
          <w:lang w:val="en-GB"/>
          <w14:ligatures w14:val="none"/>
        </w:rPr>
        <w:t xml:space="preserve"> employs paratexts not merely as supplementary annotations but as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cultural-epistemological bridges</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that negotiate the profound gap between classical Chinese medicine and modern biomedical frameworks. In his handling of terms like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血室</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(xue shi, blood chamber), Luo</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 footnotes transcend literal translation by reconstructing the term</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s symbolic logic within the broader cosmology of Han dynasty medicine. Rather than reducing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blood chamber</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to an anatomical structure (e.g., uterus), the footnote redefines it as a dynamic functional network tied to the Liver-Wood phase</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 role in blood storage, menstrual regulation, and spiritual governance through shen (spirit), while also linking its pathology to disruptions in the Wood-Fire axis and the Chong and Ren meridians, this approach rejects biomedical reductionism and instead positions TCM as a coherent system of symbolic physiology, where terms derive meaning from their embeddedness in Five Phases theory, meridian interactions, and seasonal correspondences. By operationalizing Berman</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s concept of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thick translation,</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Luo embeds the epistemological foundations of TCM—its causal logic of heat disturbing the Liver-Heart equilibrium or the seasonal alignment of herbal actions—directly into the paratextual scaffolding, thereby guiding readers to interpret the text through its original cosmological lens rather than modern anatomical assumptions. Simultaneously, the footnotes act as a form of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cultural cartography</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mapping TCM</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 conceptual terrain (e.g., the Liver</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 dual role in physiological and spiritual regulation) for audiences unfamiliar with its philosophical underpinnings, this strategy aligns with Bassnett</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 cultural translation theory, where paratexts mediate between incommensurate knowledge systems by foregrounding TCM</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 internal logic—such as the interdependence of bodily functions and cosmic cycles—while resisting exoticization through systematic explanations rooted in Five Phases and meridian theory, here, Luo</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s translator agency shifts from mere linguistic mediation to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epistemological stewardship</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preserving the </w:t>
      </w:r>
      <w:r>
        <w:rPr>
          <w:rFonts w:hint="eastAsia" w:ascii="Times New Roman" w:hAnsi="Times New Roman" w:eastAsia="宋体" w:cs="Times New Roman"/>
          <w:i/>
          <w:iCs/>
          <w:kern w:val="0"/>
          <w:sz w:val="24"/>
          <w:lang w:val="en-GB"/>
          <w14:ligatures w14:val="none"/>
        </w:rPr>
        <w:t>Jin Gui Yao Lue</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s diagnostic coherence by insisting on terminological sovereignty (e.g., rejecting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blood chamber</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as a physical organ) and reconstructing its symbolic networks. The result is a translation that not only conveys medical content but also performs an ontological argument: Chinese medicine, as a parallel scientific paradigm, demands recognition of its philosophical semiotics rather than assimilation into biomedical frameworks. In this way, Luo</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s paratexts become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hermeneutic acts of resistance</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challenging the hegemony of Western medical epistemology while enacting what Appiah terms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translating with a thick description</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—a process where meaning emerges not from isolated terms but from their embeddedness in a living cultural-theoretical ecosystem.</w:t>
      </w:r>
    </w:p>
    <w:bookmarkEnd w:id="6"/>
    <w:p>
      <w:pPr>
        <w:widowControl/>
        <w:spacing w:line="460" w:lineRule="exact"/>
        <w:ind w:firstLine="480" w:firstLineChars="200"/>
        <w:jc w:val="both"/>
        <w:rPr>
          <w:rFonts w:ascii="Times New Roman" w:hAnsi="Times New Roman" w:eastAsia="宋体" w:cs="Times New Roman"/>
          <w:kern w:val="0"/>
          <w:sz w:val="24"/>
          <w:lang w:val="en-GB"/>
          <w14:ligatures w14:val="none"/>
        </w:rPr>
      </w:pPr>
      <w:r>
        <w:rPr>
          <w:rFonts w:ascii="Times New Roman" w:hAnsi="Times New Roman"/>
          <w:b/>
          <w:bCs/>
          <w:color w:val="000000" w:themeColor="text1"/>
          <w:kern w:val="0"/>
          <w:sz w:val="24"/>
          <w14:textFill>
            <w14:solidFill>
              <w14:schemeClr w14:val="tx1"/>
            </w14:solidFill>
          </w14:textFill>
        </w:rPr>
        <w:t>‌</w:t>
      </w:r>
      <w:r>
        <w:rPr>
          <w:rFonts w:ascii="Times New Roman" w:hAnsi="Times New Roman" w:eastAsia="宋体" w:cs="Times New Roman"/>
          <w:kern w:val="0"/>
          <w:sz w:val="24"/>
          <w:lang w:val="en-GB"/>
          <w14:ligatures w14:val="none"/>
        </w:rPr>
        <w:t xml:space="preserve">Example </w:t>
      </w:r>
      <w:r>
        <w:rPr>
          <w:rFonts w:hint="eastAsia" w:ascii="Times New Roman" w:hAnsi="Times New Roman" w:eastAsia="宋体" w:cs="Times New Roman"/>
          <w:kern w:val="0"/>
          <w:sz w:val="24"/>
          <w:lang w:val="en-GB"/>
          <w14:ligatures w14:val="none"/>
        </w:rPr>
        <w:t>2</w:t>
      </w:r>
      <w:r>
        <w:rPr>
          <w:rFonts w:ascii="Times New Roman" w:hAnsi="Times New Roman" w:eastAsia="宋体" w:cs="Times New Roman"/>
          <w:kern w:val="0"/>
          <w:sz w:val="24"/>
          <w:lang w:val="en-GB"/>
          <w14:ligatures w14:val="none"/>
        </w:rPr>
        <w:t>:</w:t>
      </w:r>
    </w:p>
    <w:p>
      <w:pPr>
        <w:widowControl/>
        <w:spacing w:line="460" w:lineRule="exact"/>
        <w:ind w:firstLine="480" w:firstLineChars="200"/>
        <w:jc w:val="both"/>
        <w:rPr>
          <w:rFonts w:ascii="Times New Roman" w:hAnsi="Times New Roman" w:eastAsia="宋体" w:cs="Times New Roman"/>
          <w:kern w:val="0"/>
          <w:sz w:val="24"/>
          <w:lang w:val="en-GB"/>
          <w14:ligatures w14:val="none"/>
        </w:rPr>
      </w:pPr>
      <w:r>
        <w:rPr>
          <w:rFonts w:hint="cs" w:ascii="Times New Roman" w:hAnsi="Times New Roman" w:eastAsia="宋体" w:cs="Times New Roman"/>
          <w:kern w:val="0"/>
          <w:sz w:val="24"/>
          <w:lang w:val="en-GB"/>
          <w14:ligatures w14:val="none"/>
        </w:rPr>
        <w:t>‌</w:t>
      </w:r>
      <w:r>
        <w:rPr>
          <w:rFonts w:ascii="Times New Roman" w:hAnsi="Times New Roman" w:eastAsia="宋体" w:cs="Times New Roman"/>
          <w:kern w:val="0"/>
          <w:sz w:val="24"/>
          <w:lang w:val="en-GB"/>
          <w14:ligatures w14:val="none"/>
        </w:rPr>
        <w:t>Original Context‌</w:t>
      </w:r>
      <w:r>
        <w:rPr>
          <w:rFonts w:hint="eastAsia" w:ascii="Times New Roman" w:hAnsi="Times New Roman" w:eastAsia="宋体" w:cs="Times New Roman"/>
          <w:kern w:val="0"/>
          <w:sz w:val="24"/>
          <w:lang w:val="en-GB"/>
          <w14:ligatures w14:val="none"/>
        </w:rPr>
        <w:t>：“脾土者，非血肉之脾，乃中焦运化之枢，应长夏而主燥湿之衡。”</w:t>
      </w:r>
    </w:p>
    <w:p>
      <w:pPr>
        <w:widowControl/>
        <w:spacing w:line="460" w:lineRule="exact"/>
        <w:ind w:firstLine="480" w:firstLineChars="200"/>
        <w:jc w:val="both"/>
        <w:rPr>
          <w:rFonts w:ascii="Times New Roman" w:hAnsi="Times New Roman" w:eastAsia="宋体" w:cs="Times New Roman"/>
          <w:kern w:val="0"/>
          <w:sz w:val="24"/>
          <w:lang w:val="en-GB"/>
          <w14:ligatures w14:val="none"/>
        </w:rPr>
      </w:pPr>
      <w:r>
        <w:rPr>
          <w:rFonts w:hint="eastAsia" w:ascii="Times New Roman" w:hAnsi="Times New Roman" w:eastAsia="宋体" w:cs="Times New Roman"/>
          <w:kern w:val="0"/>
          <w:sz w:val="24"/>
          <w:lang w:val="en-GB"/>
          <w14:ligatures w14:val="none"/>
        </w:rPr>
        <w:t>Target text: Spleen-Earth does not refer to the fleshy spleen but signifies the central pivot of transformation and transportation, governing the balance of dampness and dryness in resonance with late summer (Luo,1987:92).</w:t>
      </w:r>
    </w:p>
    <w:p>
      <w:pPr>
        <w:widowControl/>
        <w:spacing w:line="460" w:lineRule="exact"/>
        <w:ind w:firstLine="480" w:firstLineChars="200"/>
        <w:jc w:val="both"/>
        <w:rPr>
          <w:rFonts w:ascii="Times New Roman" w:hAnsi="Times New Roman" w:eastAsia="宋体" w:cs="Times New Roman"/>
          <w:kern w:val="0"/>
          <w:sz w:val="24"/>
          <w:lang w:val="en-GB"/>
          <w14:ligatures w14:val="none"/>
        </w:rPr>
      </w:pPr>
      <w:bookmarkStart w:id="7" w:name="OLE_LINK65"/>
      <w:r>
        <w:rPr>
          <w:rFonts w:hint="eastAsia" w:ascii="Times New Roman" w:hAnsi="Times New Roman" w:eastAsia="宋体" w:cs="Times New Roman"/>
          <w:kern w:val="0"/>
          <w:sz w:val="24"/>
          <w:lang w:val="en-GB"/>
          <w14:ligatures w14:val="none"/>
        </w:rPr>
        <w:t>Luo</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s annotation for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Spleen-Earth</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operates as an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ontological clarifier</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dismantling biomedical assumptions that might reduce the term to the anatomical spleen or gastrointestinal physiology, by redefining pi tu as the Earth-phase</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s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regulatory function</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tied to late summer</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 climatic balance, Luo reconstructs the term</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 embeddedness in Han dynasty natural philosophy, where organs are cosmological agents rather than structural entities, the footnote explicates the Spleen-Earth system</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 symbolic role in the Middle Jiao—a spatial and functional concept in TCM describing the body</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s metabolic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pivot</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—and links its physiological duties (fluid metabolism, nutrient transportation) to its macrocosmic correspondence with late summer, a transitional season where Earth</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s energy mediates between dampness and drought, this reframing prevents readers from misinterpreting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Spleen-Earth</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through a biomedical lens (e.g., equating it solely with the spleen</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 immunological or hematopoietic roles) and instead positions it within TCM</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 causal logic, where pathology arises from disrupted phase dynamics (e.g., Earth</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s failure to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stabilize</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dampness, leading to edema or digestive stagnation), the annotation thus functions as a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semiotic bridge</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translating the term</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 cultural-epistemological context by mapping it to seasonal cycles, elemental interactions (Earth</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 control over dampness), and systemic physiology (Middle Jiao</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 transformative functions), by embedding these correlations, Luo enacts Berman</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s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thick translation,</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where meaning extends beyond lexical equivalence to encompass the term</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 philosophical ecosystem—late summer</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 climatic symbolism, Earth-phase governance, and the body</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 alignment with natural rhythms, simultaneously, the footnote asserts TCM</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s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terminological sovereignty</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rejecting biomedical reductionism by insisting that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Spleen-Earth</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cannot be dissected into discrete anatomical parts but must be understood as a dynamic functional archetype., this aligns with Bassnett</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 cultural translation theory, where paratexts mediate between epistemologies by explicating the source culture</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s internal logic—here, the interdependence of cosmic phases, bodily functions, and seasonal energies, through such annotations, Luo not only clarifies terminology but also performs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epistemic gatekeeping</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preserving the </w:t>
      </w:r>
      <w:r>
        <w:rPr>
          <w:rFonts w:hint="eastAsia" w:ascii="Times New Roman" w:hAnsi="Times New Roman" w:eastAsia="宋体" w:cs="Times New Roman"/>
          <w:i/>
          <w:iCs/>
          <w:kern w:val="0"/>
          <w:sz w:val="24"/>
          <w:lang w:val="en-GB"/>
          <w14:ligatures w14:val="none"/>
        </w:rPr>
        <w:t>Jin Gui Yao Lue</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 diagnostic coherence by ensuring that readers engage with its concepts as nodes in a holistic network of correspondences rather than isolated biomedical labels.</w:t>
      </w:r>
      <w:bookmarkEnd w:id="7"/>
    </w:p>
    <w:p>
      <w:pPr>
        <w:widowControl/>
        <w:spacing w:line="460" w:lineRule="exact"/>
        <w:ind w:firstLine="480" w:firstLineChars="200"/>
        <w:jc w:val="both"/>
        <w:rPr>
          <w:rFonts w:ascii="Times New Roman" w:hAnsi="Times New Roman" w:eastAsia="宋体" w:cs="Times New Roman"/>
          <w:kern w:val="0"/>
          <w:sz w:val="24"/>
          <w:lang w:val="en-GB"/>
          <w14:ligatures w14:val="none"/>
        </w:rPr>
      </w:pPr>
      <w:r>
        <w:rPr>
          <w:rFonts w:ascii="Times New Roman" w:hAnsi="Times New Roman" w:eastAsia="宋体" w:cs="Times New Roman"/>
          <w:kern w:val="0"/>
          <w:sz w:val="24"/>
          <w:lang w:val="en-GB"/>
          <w14:ligatures w14:val="none"/>
        </w:rPr>
        <w:t xml:space="preserve">‌Example </w:t>
      </w:r>
      <w:r>
        <w:rPr>
          <w:rFonts w:hint="eastAsia" w:ascii="Times New Roman" w:hAnsi="Times New Roman" w:eastAsia="宋体" w:cs="Times New Roman"/>
          <w:kern w:val="0"/>
          <w:sz w:val="24"/>
          <w:lang w:val="en-GB"/>
          <w14:ligatures w14:val="none"/>
        </w:rPr>
        <w:t>3</w:t>
      </w:r>
      <w:r>
        <w:rPr>
          <w:rFonts w:ascii="Times New Roman" w:hAnsi="Times New Roman" w:eastAsia="宋体" w:cs="Times New Roman"/>
          <w:kern w:val="0"/>
          <w:sz w:val="24"/>
          <w:lang w:val="en-GB"/>
          <w14:ligatures w14:val="none"/>
        </w:rPr>
        <w:t>:</w:t>
      </w:r>
    </w:p>
    <w:p>
      <w:pPr>
        <w:widowControl/>
        <w:spacing w:line="460" w:lineRule="exact"/>
        <w:ind w:firstLine="480" w:firstLineChars="200"/>
        <w:jc w:val="both"/>
        <w:rPr>
          <w:rFonts w:ascii="Times New Roman" w:hAnsi="Times New Roman" w:eastAsia="宋体" w:cs="Times New Roman"/>
          <w:kern w:val="0"/>
          <w:sz w:val="24"/>
          <w:lang w:val="en-GB"/>
          <w14:ligatures w14:val="none"/>
        </w:rPr>
      </w:pPr>
      <w:r>
        <w:rPr>
          <w:rFonts w:hint="c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Original</w:t>
      </w:r>
      <w:r>
        <w:rPr>
          <w:rFonts w:ascii="Times New Roman" w:hAnsi="Times New Roman" w:eastAsia="宋体" w:cs="Times New Roman"/>
          <w:kern w:val="0"/>
          <w:sz w:val="24"/>
          <w:lang w:val="en-GB"/>
          <w14:ligatures w14:val="none"/>
        </w:rPr>
        <w:t xml:space="preserve"> Text‌</w:t>
      </w:r>
      <w:r>
        <w:rPr>
          <w:rFonts w:hint="eastAsia" w:ascii="Times New Roman" w:hAnsi="Times New Roman" w:eastAsia="宋体" w:cs="Times New Roman"/>
          <w:kern w:val="0"/>
          <w:sz w:val="24"/>
          <w:lang w:val="en-GB"/>
          <w14:ligatures w14:val="none"/>
        </w:rPr>
        <w:t>：“太阳中风，脉浮紧，发热恶寒，身疼痛，不汗出而烦躁者，大青龙汤主之。”</w:t>
      </w:r>
    </w:p>
    <w:p>
      <w:pPr>
        <w:widowControl/>
        <w:spacing w:line="460" w:lineRule="exact"/>
        <w:ind w:firstLine="480" w:firstLineChars="200"/>
        <w:jc w:val="both"/>
        <w:rPr>
          <w:rFonts w:ascii="Times New Roman" w:hAnsi="Times New Roman" w:eastAsia="宋体" w:cs="Times New Roman"/>
          <w:kern w:val="0"/>
          <w:sz w:val="24"/>
          <w:lang w:val="en-GB"/>
          <w14:ligatures w14:val="none"/>
        </w:rPr>
      </w:pPr>
      <w:r>
        <w:rPr>
          <w:rFonts w:hint="eastAsia" w:ascii="Times New Roman" w:hAnsi="Times New Roman" w:eastAsia="宋体" w:cs="Times New Roman"/>
          <w:kern w:val="0"/>
          <w:sz w:val="24"/>
          <w:lang w:val="en-GB"/>
          <w14:ligatures w14:val="none"/>
        </w:rPr>
        <w:t>Target text: For Taiyang wind-cold syndrome with a floating and tense pulse, fever, chills, generalized pain, and restlessness due to absence of sweating, Major Bluegreen Dragon Decoction is prescribed (Luo, 1987:112-115).</w:t>
      </w:r>
    </w:p>
    <w:p>
      <w:pPr>
        <w:widowControl/>
        <w:spacing w:line="460" w:lineRule="exact"/>
        <w:ind w:firstLine="480" w:firstLineChars="200"/>
        <w:jc w:val="both"/>
        <w:rPr>
          <w:rFonts w:ascii="Times New Roman" w:hAnsi="Times New Roman" w:eastAsia="宋体" w:cs="Times New Roman"/>
          <w:kern w:val="0"/>
          <w:sz w:val="24"/>
          <w:lang w:val="en-GB"/>
          <w14:ligatures w14:val="none"/>
        </w:rPr>
      </w:pPr>
      <w:bookmarkStart w:id="8" w:name="OLE_LINK66"/>
      <w:r>
        <w:rPr>
          <w:rFonts w:hint="eastAsia" w:ascii="Times New Roman" w:hAnsi="Times New Roman" w:eastAsia="宋体" w:cs="Times New Roman"/>
          <w:kern w:val="0"/>
          <w:sz w:val="24"/>
          <w:lang w:val="en-GB"/>
          <w14:ligatures w14:val="none"/>
        </w:rPr>
        <w:t>Luo</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 elaboration of the paratext in the commentary section bridges the inherent gaps in culture, history, and clinical aspects when translating classical TCM prescriptions. By tracing the origin of Da Qing Long Tang to Shang Han Lun, he places the dual therapeutic effects of this prescription, which are dispersing exterior cold and clearing interior heat, within the context of Zhang Zhongjing</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s principle of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opening the exterior and purging the interior,</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thus establishing the authority of this prescription on the basis of classical theories. The symbolic term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Bluegreen Dragon</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Qing Long</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is often difficult for Western readers to understand. Luo decodes it by linking it to the cosmology of the east and the wood element, connecting the name of the prescription to its therapeutic function of dredging the stagnation of yang qi, besides, Luo cross-references clinical cautions by intertextually anchoring contraindications in Chapter 14 of </w:t>
      </w:r>
      <w:r>
        <w:rPr>
          <w:rFonts w:hint="eastAsia" w:ascii="Times New Roman" w:hAnsi="Times New Roman" w:eastAsia="宋体" w:cs="Times New Roman"/>
          <w:i/>
          <w:iCs/>
          <w:kern w:val="0"/>
          <w:sz w:val="24"/>
          <w:lang w:val="en-GB"/>
          <w14:ligatures w14:val="none"/>
        </w:rPr>
        <w:t>Jin Gui Yao Lue</w:t>
      </w:r>
      <w:r>
        <w:rPr>
          <w:rFonts w:hint="eastAsia" w:ascii="Times New Roman" w:hAnsi="Times New Roman" w:eastAsia="宋体" w:cs="Times New Roman"/>
          <w:kern w:val="0"/>
          <w:sz w:val="24"/>
          <w:lang w:val="en-GB"/>
          <w14:ligatures w14:val="none"/>
        </w:rPr>
        <w:t>, i.e., caution against inappropriateness in yin deficiency or perspiration, this multi-layered explanation not only demystifies the symbolism of TCM (e.g., elemental symbolism) but also reduces cross-cultural misinterpretation risks by intertextually anchoring associations (e.g., quotations from Shang Han Lun) and precautions. In contrast to minimalist translation in the interest of brevity, Luo</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 hybrid approach maintains the integrity of the source-text but forces the explanations to adopt Western medical reasonableness, i.e., a conscious equilibrium between adherence to traditional conceptions and readability to a universal public.</w:t>
      </w:r>
    </w:p>
    <w:bookmarkEnd w:id="8"/>
    <w:p>
      <w:pPr>
        <w:pStyle w:val="2"/>
        <w:spacing w:before="240" w:after="240" w:line="240" w:lineRule="auto"/>
        <w:jc w:val="both"/>
        <w:rPr>
          <w:rFonts w:ascii="Times New Roman Bold" w:hAnsi="Times New Roman Bold" w:cs="Times New Roman Bold" w:eastAsiaTheme="minorEastAsia"/>
          <w:b/>
          <w:bCs/>
          <w:iCs/>
          <w:color w:val="auto"/>
          <w:kern w:val="0"/>
          <w:sz w:val="24"/>
          <w:szCs w:val="24"/>
          <w:lang w:val="fr-FR"/>
          <w14:ligatures w14:val="none"/>
        </w:rPr>
      </w:pPr>
      <w:r>
        <w:rPr>
          <w:rFonts w:ascii="Times New Roman Bold" w:hAnsi="Times New Roman Bold" w:cs="Times New Roman Bold"/>
          <w:b/>
          <w:bCs/>
          <w:iCs/>
          <w:caps/>
          <w:color w:val="000000" w:themeColor="text1"/>
          <w:kern w:val="0"/>
          <w:sz w:val="24"/>
          <w:szCs w:val="24"/>
          <w14:textFill>
            <w14:solidFill>
              <w14:schemeClr w14:val="tx1"/>
            </w14:solidFill>
          </w14:textFill>
        </w:rPr>
        <w:t>3.2</w:t>
      </w:r>
      <w:r>
        <w:rPr>
          <w:rFonts w:ascii="Times New Roman Bold" w:hAnsi="Times New Roman Bold" w:cs="Times New Roman Bold" w:eastAsiaTheme="minorEastAsia"/>
          <w:b/>
          <w:bCs/>
          <w:iCs/>
          <w:color w:val="auto"/>
          <w:kern w:val="0"/>
          <w:sz w:val="24"/>
          <w:szCs w:val="24"/>
          <w:lang w:val="fr-FR"/>
          <w14:ligatures w14:val="none"/>
        </w:rPr>
        <w:t xml:space="preserve"> Amplification</w:t>
      </w:r>
    </w:p>
    <w:p>
      <w:pPr>
        <w:widowControl/>
        <w:spacing w:line="460" w:lineRule="exact"/>
        <w:ind w:firstLine="480" w:firstLineChars="200"/>
        <w:jc w:val="both"/>
        <w:rPr>
          <w:rFonts w:ascii="Times New Roman" w:hAnsi="Times New Roman" w:eastAsia="宋体" w:cs="Times New Roman"/>
          <w:kern w:val="0"/>
          <w:sz w:val="24"/>
          <w:lang w:val="en-GB"/>
          <w14:ligatures w14:val="none"/>
        </w:rPr>
      </w:pPr>
      <w:bookmarkStart w:id="9" w:name="OLE_LINK67"/>
      <w:r>
        <w:rPr>
          <w:rFonts w:hint="eastAsia" w:ascii="Times New Roman" w:hAnsi="Times New Roman" w:eastAsia="宋体" w:cs="Times New Roman"/>
          <w:color w:val="EE0000"/>
          <w:kern w:val="0"/>
          <w:sz w:val="24"/>
          <w:lang w:val="en-GB"/>
          <w14:ligatures w14:val="none"/>
        </w:rPr>
        <w:t xml:space="preserve">Beyond paratexts, amplification is another critical strategy in thick translation, which plays a unique role in supplementing implicit cultural information. </w:t>
      </w:r>
      <w:r>
        <w:rPr>
          <w:rFonts w:hint="eastAsia" w:ascii="Times New Roman" w:hAnsi="Times New Roman" w:eastAsia="宋体" w:cs="Times New Roman"/>
          <w:kern w:val="0"/>
          <w:sz w:val="24"/>
          <w:lang w:val="en-GB"/>
          <w14:ligatures w14:val="none"/>
        </w:rPr>
        <w:t xml:space="preserve">This section will introduce the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general concept of amplification</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and its significance in the English translation of </w:t>
      </w:r>
      <w:r>
        <w:rPr>
          <w:rFonts w:hint="eastAsia" w:ascii="Times New Roman" w:hAnsi="Times New Roman" w:eastAsia="宋体" w:cs="Times New Roman"/>
          <w:i/>
          <w:iCs/>
          <w:kern w:val="0"/>
          <w:sz w:val="24"/>
          <w:lang w:val="en-GB"/>
          <w14:ligatures w14:val="none"/>
        </w:rPr>
        <w:t>Jin Gui Yao Lue</w:t>
      </w:r>
      <w:r>
        <w:rPr>
          <w:rFonts w:hint="eastAsia" w:ascii="Times New Roman" w:hAnsi="Times New Roman" w:eastAsia="宋体" w:cs="Times New Roman"/>
          <w:kern w:val="0"/>
          <w:sz w:val="24"/>
          <w:lang w:val="en-GB"/>
          <w14:ligatures w14:val="none"/>
        </w:rPr>
        <w:t>, it will specifically address how amplification can be utilized to complete cultural context, thereby reconstructing cultural images and making the translation more comprehensible.</w:t>
      </w:r>
    </w:p>
    <w:bookmarkEnd w:id="9"/>
    <w:p>
      <w:pPr>
        <w:pStyle w:val="2"/>
        <w:spacing w:before="240" w:after="240" w:line="240" w:lineRule="auto"/>
        <w:jc w:val="both"/>
        <w:rPr>
          <w:rFonts w:ascii="Times New Roman Bold" w:hAnsi="Times New Roman Bold" w:cs="Times New Roman Bold" w:eastAsiaTheme="minorEastAsia"/>
          <w:b/>
          <w:bCs/>
          <w:iCs/>
          <w:color w:val="auto"/>
          <w:kern w:val="0"/>
          <w:sz w:val="24"/>
          <w:szCs w:val="24"/>
          <w:lang w:val="fr-FR"/>
          <w14:ligatures w14:val="none"/>
        </w:rPr>
      </w:pPr>
      <w:r>
        <w:rPr>
          <w:rFonts w:ascii="Times New Roman Bold" w:hAnsi="Times New Roman Bold" w:cs="Times New Roman Bold"/>
          <w:b/>
          <w:bCs/>
          <w:iCs/>
          <w:caps/>
          <w:color w:val="000000" w:themeColor="text1"/>
          <w:kern w:val="0"/>
          <w:sz w:val="24"/>
          <w:szCs w:val="24"/>
          <w14:textFill>
            <w14:solidFill>
              <w14:schemeClr w14:val="tx1"/>
            </w14:solidFill>
          </w14:textFill>
        </w:rPr>
        <w:t>3.2</w:t>
      </w:r>
      <w:r>
        <w:rPr>
          <w:rFonts w:ascii="Times New Roman Bold" w:hAnsi="Times New Roman Bold" w:cs="Times New Roman Bold" w:eastAsiaTheme="minorEastAsia"/>
          <w:b/>
          <w:bCs/>
          <w:iCs/>
          <w:color w:val="auto"/>
          <w:kern w:val="0"/>
          <w:sz w:val="24"/>
          <w:szCs w:val="24"/>
          <w:lang w:val="fr-FR"/>
          <w14:ligatures w14:val="none"/>
        </w:rPr>
        <w:t>.1 Introduction to Amplification</w:t>
      </w:r>
    </w:p>
    <w:p>
      <w:pPr>
        <w:widowControl/>
        <w:spacing w:line="460" w:lineRule="exact"/>
        <w:ind w:firstLine="480" w:firstLineChars="200"/>
        <w:jc w:val="both"/>
        <w:rPr>
          <w:rFonts w:ascii="Times New Roman" w:hAnsi="Times New Roman" w:eastAsia="宋体" w:cs="Times New Roman"/>
          <w:color w:val="EE0000"/>
          <w:kern w:val="0"/>
          <w:sz w:val="24"/>
          <w:lang w:val="en-GB"/>
          <w14:ligatures w14:val="none"/>
        </w:rPr>
      </w:pPr>
      <w:r>
        <w:rPr>
          <w:rFonts w:hint="eastAsia" w:ascii="Times New Roman" w:hAnsi="Times New Roman" w:eastAsia="宋体" w:cs="Times New Roman"/>
          <w:color w:val="EE0000"/>
          <w:kern w:val="0"/>
          <w:sz w:val="24"/>
          <w:lang w:val="en-GB"/>
          <w14:ligatures w14:val="none"/>
        </w:rPr>
        <w:t xml:space="preserve">To grasp the application of amplification in TCM translation, it is essential to first define this technique and its theoretical basis. </w:t>
      </w:r>
      <w:r>
        <w:rPr>
          <w:rFonts w:hint="eastAsia" w:ascii="Times New Roman" w:hAnsi="Times New Roman" w:eastAsia="宋体" w:cs="Times New Roman"/>
          <w:kern w:val="0"/>
          <w:sz w:val="24"/>
          <w:lang w:val="en-GB"/>
          <w14:ligatures w14:val="none"/>
        </w:rPr>
        <w:t xml:space="preserve">Amplification, as a translation technique, is the technique of adding more information in the target language to explain or develop ideas that are implicit or culture-dependent in the source text. Newmark (1988) </w:t>
      </w:r>
      <w:r>
        <w:rPr>
          <w:rFonts w:ascii="Times New Roman" w:hAnsi="Times New Roman" w:eastAsia="宋体" w:cs="Times New Roman"/>
          <w:kern w:val="0"/>
          <w:sz w:val="24"/>
          <w:lang w:val="en-GB"/>
          <w14:ligatures w14:val="none"/>
        </w:rPr>
        <w:fldChar w:fldCharType="begin"/>
      </w:r>
      <w:r>
        <w:rPr>
          <w:rFonts w:ascii="Times New Roman" w:hAnsi="Times New Roman" w:eastAsia="宋体" w:cs="Times New Roman"/>
          <w:kern w:val="0"/>
          <w:sz w:val="24"/>
          <w:lang w:val="en-GB"/>
          <w14:ligatures w14:val="none"/>
        </w:rPr>
        <w:instrText xml:space="preserve"> </w:instrText>
      </w:r>
      <w:r>
        <w:rPr>
          <w:rFonts w:hint="eastAsia" w:ascii="Times New Roman" w:hAnsi="Times New Roman" w:eastAsia="宋体" w:cs="Times New Roman"/>
          <w:kern w:val="0"/>
          <w:sz w:val="24"/>
          <w:lang w:val="en-GB"/>
          <w14:ligatures w14:val="none"/>
        </w:rPr>
        <w:instrText xml:space="preserve">REF _Ref204277610 \r \h</w:instrText>
      </w:r>
      <w:r>
        <w:rPr>
          <w:rFonts w:ascii="Times New Roman" w:hAnsi="Times New Roman" w:eastAsia="宋体" w:cs="Times New Roman"/>
          <w:kern w:val="0"/>
          <w:sz w:val="24"/>
          <w:lang w:val="en-GB"/>
          <w14:ligatures w14:val="none"/>
        </w:rPr>
        <w:instrText xml:space="preserve">  \* MERGEFORMAT </w:instrText>
      </w:r>
      <w:r>
        <w:rPr>
          <w:rFonts w:ascii="Times New Roman" w:hAnsi="Times New Roman" w:eastAsia="宋体" w:cs="Times New Roman"/>
          <w:kern w:val="0"/>
          <w:sz w:val="24"/>
          <w:lang w:val="en-GB"/>
          <w14:ligatures w14:val="none"/>
        </w:rPr>
        <w:fldChar w:fldCharType="separate"/>
      </w:r>
      <w:r>
        <w:rPr>
          <w:rFonts w:ascii="Times New Roman" w:hAnsi="Times New Roman" w:eastAsia="宋体" w:cs="Times New Roman"/>
          <w:kern w:val="0"/>
          <w:sz w:val="24"/>
          <w:lang w:val="en-GB"/>
          <w14:ligatures w14:val="none"/>
        </w:rPr>
        <w:t>[13]</w:t>
      </w:r>
      <w:r>
        <w:rPr>
          <w:rFonts w:ascii="Times New Roman" w:hAnsi="Times New Roman" w:eastAsia="宋体" w:cs="Times New Roman"/>
          <w:kern w:val="0"/>
          <w:sz w:val="24"/>
          <w:lang w:val="en-GB"/>
          <w14:ligatures w14:val="none"/>
        </w:rPr>
        <w:fldChar w:fldCharType="end"/>
      </w:r>
      <w:r>
        <w:rPr>
          <w:rFonts w:hint="eastAsia" w:ascii="Times New Roman" w:hAnsi="Times New Roman" w:eastAsia="宋体" w:cs="Times New Roman"/>
          <w:kern w:val="0"/>
          <w:sz w:val="24"/>
          <w:lang w:val="en-GB"/>
          <w14:ligatures w14:val="none"/>
        </w:rPr>
        <w:t xml:space="preserve">posits that amplification is particularly useful when translating texts with broad cultural or contextual differences because it fills the knowledge gap between the source and target cultures. </w:t>
      </w:r>
      <w:r>
        <w:rPr>
          <w:rFonts w:ascii="Times New Roman" w:hAnsi="Times New Roman" w:eastAsia="宋体" w:cs="Times New Roman"/>
          <w:kern w:val="0"/>
          <w:sz w:val="24"/>
          <w:lang w:val="en-GB"/>
          <w14:ligatures w14:val="none"/>
        </w:rPr>
        <w:t xml:space="preserve">When translating old Chinese medical books such as </w:t>
      </w:r>
      <w:r>
        <w:rPr>
          <w:rFonts w:ascii="Times New Roman" w:hAnsi="Times New Roman" w:eastAsia="宋体" w:cs="Times New Roman"/>
          <w:i/>
          <w:iCs/>
          <w:kern w:val="0"/>
          <w:sz w:val="24"/>
          <w:lang w:val="en-GB"/>
          <w14:ligatures w14:val="none"/>
        </w:rPr>
        <w:t>Jin Gui Yao Lue</w:t>
      </w:r>
      <w:r>
        <w:rPr>
          <w:rFonts w:ascii="Times New Roman" w:hAnsi="Times New Roman" w:eastAsia="宋体" w:cs="Times New Roman"/>
          <w:kern w:val="0"/>
          <w:sz w:val="24"/>
          <w:lang w:val="en-GB"/>
          <w14:ligatures w14:val="none"/>
        </w:rPr>
        <w:t>, we have to expand. The original text has a lot of cultural and philosophical ideas in it.</w:t>
      </w:r>
      <w:r>
        <w:rPr>
          <w:rFonts w:hint="eastAsia" w:ascii="Times New Roman" w:hAnsi="Times New Roman" w:eastAsia="宋体" w:cs="Times New Roman"/>
          <w:kern w:val="0"/>
          <w:sz w:val="24"/>
          <w:lang w:val="en-GB"/>
          <w14:ligatures w14:val="none"/>
        </w:rPr>
        <w:t xml:space="preserve"> For instance, terms like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阴阳</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(Yin-Yang) or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气</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(Qi) need to be expanded in English in order to give their full meaning and implication.</w:t>
      </w:r>
    </w:p>
    <w:p>
      <w:pPr>
        <w:widowControl/>
        <w:spacing w:line="460" w:lineRule="exact"/>
        <w:ind w:firstLine="480" w:firstLineChars="200"/>
        <w:jc w:val="both"/>
        <w:rPr>
          <w:rFonts w:ascii="Times New Roman" w:hAnsi="Times New Roman" w:eastAsia="宋体" w:cs="Times New Roman"/>
          <w:kern w:val="0"/>
          <w:sz w:val="24"/>
          <w:lang w:val="en-GB"/>
          <w14:ligatures w14:val="none"/>
        </w:rPr>
      </w:pPr>
      <w:r>
        <w:rPr>
          <w:rFonts w:hint="eastAsia" w:ascii="Times New Roman" w:hAnsi="Times New Roman" w:eastAsia="宋体" w:cs="Times New Roman"/>
          <w:kern w:val="0"/>
          <w:sz w:val="24"/>
          <w:lang w:val="en-GB"/>
          <w14:ligatures w14:val="none"/>
        </w:rPr>
        <w:t>The use of amplification strategy in translation has the following goals. Firstly, it adds the reading and comprehending power of the material for readers who are not part of the source culture. Secondly, by supplying critical background information, it keeps the richness and depth of the source material, as Venuti (1995)</w:t>
      </w:r>
      <w:r>
        <w:rPr>
          <w:rFonts w:ascii="Times New Roman" w:hAnsi="Times New Roman" w:eastAsia="宋体" w:cs="Times New Roman"/>
          <w:kern w:val="0"/>
          <w:sz w:val="24"/>
          <w:lang w:val="en-GB"/>
          <w14:ligatures w14:val="none"/>
        </w:rPr>
        <w:fldChar w:fldCharType="begin"/>
      </w:r>
      <w:r>
        <w:rPr>
          <w:rFonts w:ascii="Times New Roman" w:hAnsi="Times New Roman" w:eastAsia="宋体" w:cs="Times New Roman"/>
          <w:kern w:val="0"/>
          <w:sz w:val="24"/>
          <w:lang w:val="en-GB"/>
          <w14:ligatures w14:val="none"/>
        </w:rPr>
        <w:instrText xml:space="preserve"> </w:instrText>
      </w:r>
      <w:r>
        <w:rPr>
          <w:rFonts w:hint="eastAsia" w:ascii="Times New Roman" w:hAnsi="Times New Roman" w:eastAsia="宋体" w:cs="Times New Roman"/>
          <w:kern w:val="0"/>
          <w:sz w:val="24"/>
          <w:lang w:val="en-GB"/>
          <w14:ligatures w14:val="none"/>
        </w:rPr>
        <w:instrText xml:space="preserve">REF _Ref204276904 \r \h</w:instrText>
      </w:r>
      <w:r>
        <w:rPr>
          <w:rFonts w:ascii="Times New Roman" w:hAnsi="Times New Roman" w:eastAsia="宋体" w:cs="Times New Roman"/>
          <w:kern w:val="0"/>
          <w:sz w:val="24"/>
          <w:lang w:val="en-GB"/>
          <w14:ligatures w14:val="none"/>
        </w:rPr>
        <w:instrText xml:space="preserve">  \* MERGEFORMAT </w:instrText>
      </w:r>
      <w:r>
        <w:rPr>
          <w:rFonts w:ascii="Times New Roman" w:hAnsi="Times New Roman" w:eastAsia="宋体" w:cs="Times New Roman"/>
          <w:kern w:val="0"/>
          <w:sz w:val="24"/>
          <w:lang w:val="en-GB"/>
          <w14:ligatures w14:val="none"/>
        </w:rPr>
        <w:fldChar w:fldCharType="separate"/>
      </w:r>
      <w:r>
        <w:rPr>
          <w:rFonts w:ascii="Times New Roman" w:hAnsi="Times New Roman" w:eastAsia="宋体" w:cs="Times New Roman"/>
          <w:kern w:val="0"/>
          <w:sz w:val="24"/>
          <w:lang w:val="en-GB"/>
          <w14:ligatures w14:val="none"/>
        </w:rPr>
        <w:t>[18]</w:t>
      </w:r>
      <w:r>
        <w:rPr>
          <w:rFonts w:ascii="Times New Roman" w:hAnsi="Times New Roman" w:eastAsia="宋体" w:cs="Times New Roman"/>
          <w:kern w:val="0"/>
          <w:sz w:val="24"/>
          <w:lang w:val="en-GB"/>
          <w14:ligatures w14:val="none"/>
        </w:rPr>
        <w:fldChar w:fldCharType="end"/>
      </w:r>
      <w:r>
        <w:rPr>
          <w:rFonts w:hint="eastAsia" w:ascii="Times New Roman" w:hAnsi="Times New Roman" w:eastAsia="宋体" w:cs="Times New Roman"/>
          <w:kern w:val="0"/>
          <w:sz w:val="24"/>
          <w:lang w:val="en-GB"/>
          <w14:ligatures w14:val="none"/>
        </w:rPr>
        <w:t xml:space="preserve"> contends, amplification can be seen as a form of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thick translation,</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in which the translator not only translates but also interweaves cultural and historical knowledge into the target language. For instance, translating a passage discussing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meridians</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经络</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in </w:t>
      </w:r>
      <w:r>
        <w:rPr>
          <w:rFonts w:hint="eastAsia" w:ascii="Times New Roman" w:hAnsi="Times New Roman" w:eastAsia="宋体" w:cs="Times New Roman"/>
          <w:i/>
          <w:iCs/>
          <w:kern w:val="0"/>
          <w:sz w:val="24"/>
          <w:lang w:val="en-GB"/>
          <w14:ligatures w14:val="none"/>
        </w:rPr>
        <w:t>Jin Gui Yao Lue</w:t>
      </w:r>
      <w:r>
        <w:rPr>
          <w:rFonts w:hint="eastAsia" w:ascii="Times New Roman" w:hAnsi="Times New Roman" w:eastAsia="宋体" w:cs="Times New Roman"/>
          <w:kern w:val="0"/>
          <w:sz w:val="24"/>
          <w:lang w:val="en-GB"/>
          <w14:ligatures w14:val="none"/>
        </w:rPr>
        <w:t xml:space="preserve">, the translator may add a description of how this term has served a function in TCM to aid readers in the West in perceiving its utility. </w:t>
      </w:r>
    </w:p>
    <w:p>
      <w:pPr>
        <w:widowControl/>
        <w:spacing w:line="460" w:lineRule="exact"/>
        <w:ind w:firstLine="480" w:firstLineChars="200"/>
        <w:jc w:val="both"/>
        <w:rPr>
          <w:rFonts w:ascii="Times New Roman" w:hAnsi="Times New Roman"/>
          <w:color w:val="000000" w:themeColor="text1"/>
          <w:kern w:val="0"/>
          <w:sz w:val="24"/>
          <w14:textFill>
            <w14:solidFill>
              <w14:schemeClr w14:val="tx1"/>
            </w14:solidFill>
          </w14:textFill>
        </w:rPr>
      </w:pPr>
      <w:r>
        <w:rPr>
          <w:rFonts w:hint="eastAsia" w:ascii="Times New Roman" w:hAnsi="Times New Roman" w:eastAsia="宋体" w:cs="Times New Roman"/>
          <w:kern w:val="0"/>
          <w:sz w:val="24"/>
          <w:lang w:val="en-GB"/>
          <w14:ligatures w14:val="none"/>
        </w:rPr>
        <w:t xml:space="preserve">Amplification is not simply a question of padding with words. Instead, it is a question of precise enriching the substance of the text so that the target readers can have a thorough understanding of the source text. This is especially true when translating </w:t>
      </w:r>
      <w:r>
        <w:rPr>
          <w:rFonts w:hint="eastAsia" w:ascii="Times New Roman" w:hAnsi="Times New Roman" w:eastAsia="宋体" w:cs="Times New Roman"/>
          <w:i/>
          <w:iCs/>
          <w:kern w:val="0"/>
          <w:sz w:val="24"/>
          <w:lang w:val="en-GB"/>
          <w14:ligatures w14:val="none"/>
        </w:rPr>
        <w:t>Jin Gui Yao Lue</w:t>
      </w:r>
      <w:r>
        <w:rPr>
          <w:rFonts w:hint="eastAsia" w:ascii="Times New Roman" w:hAnsi="Times New Roman" w:eastAsia="宋体" w:cs="Times New Roman"/>
          <w:kern w:val="0"/>
          <w:sz w:val="24"/>
          <w:lang w:val="en-GB"/>
          <w14:ligatures w14:val="none"/>
        </w:rPr>
        <w:t>. In this work, medical ideas and cultural imagery are intertwined with each other, and precise explanation is required. The second section will cover specific concrete examples of amplification and analyze how the strategy assists in the re-creation of cultural images in the English version.</w:t>
      </w:r>
    </w:p>
    <w:p>
      <w:pPr>
        <w:pStyle w:val="2"/>
        <w:spacing w:before="240" w:after="240" w:line="240" w:lineRule="auto"/>
        <w:jc w:val="both"/>
        <w:rPr>
          <w:rFonts w:ascii="Times New Roman" w:hAnsi="Times New Roman" w:cs="Times New Roman" w:eastAsiaTheme="minorEastAsia"/>
          <w:b/>
          <w:bCs/>
          <w:iCs/>
          <w:color w:val="auto"/>
          <w:kern w:val="0"/>
          <w:sz w:val="24"/>
          <w:szCs w:val="24"/>
          <w:lang w:val="fr-FR"/>
          <w14:ligatures w14:val="none"/>
        </w:rPr>
      </w:pPr>
      <w:r>
        <w:rPr>
          <w:rFonts w:hint="eastAsia" w:ascii="Times New Roman" w:hAnsi="Times New Roman" w:cs="Times New Roman"/>
          <w:b/>
          <w:bCs/>
          <w:iCs/>
          <w:caps/>
          <w:color w:val="000000" w:themeColor="text1"/>
          <w:kern w:val="0"/>
          <w:sz w:val="24"/>
          <w:szCs w:val="24"/>
          <w14:textFill>
            <w14:solidFill>
              <w14:schemeClr w14:val="tx1"/>
            </w14:solidFill>
          </w14:textFill>
        </w:rPr>
        <w:t>3.2</w:t>
      </w:r>
      <w:r>
        <w:rPr>
          <w:rFonts w:hint="eastAsia" w:ascii="Times New Roman" w:hAnsi="Times New Roman" w:cs="Times New Roman" w:eastAsiaTheme="minorEastAsia"/>
          <w:b/>
          <w:bCs/>
          <w:iCs/>
          <w:color w:val="auto"/>
          <w:kern w:val="0"/>
          <w:sz w:val="24"/>
          <w:szCs w:val="24"/>
          <w:lang w:val="fr-FR"/>
          <w14:ligatures w14:val="none"/>
        </w:rPr>
        <w:t>.2 Case Study of Amplification in Luo’s Translation of Jin Gui Yao Lue</w:t>
      </w:r>
    </w:p>
    <w:p>
      <w:pPr>
        <w:widowControl/>
        <w:spacing w:line="460" w:lineRule="exact"/>
        <w:ind w:firstLine="480" w:firstLineChars="200"/>
        <w:jc w:val="both"/>
        <w:rPr>
          <w:rFonts w:ascii="Times New Roman" w:hAnsi="Times New Roman" w:eastAsia="宋体" w:cs="Times New Roman"/>
          <w:kern w:val="0"/>
          <w:sz w:val="24"/>
          <w:lang w:val="en-GB"/>
          <w14:ligatures w14:val="none"/>
        </w:rPr>
      </w:pPr>
      <w:bookmarkStart w:id="10" w:name="OLE_LINK68"/>
      <w:r>
        <w:rPr>
          <w:rFonts w:hint="eastAsia" w:ascii="Times New Roman" w:hAnsi="Times New Roman" w:eastAsia="宋体" w:cs="Times New Roman"/>
          <w:color w:val="EE0000"/>
          <w:kern w:val="0"/>
          <w:sz w:val="24"/>
          <w:lang w:val="en-GB"/>
          <w14:ligatures w14:val="none"/>
        </w:rPr>
        <w:t>Concrete examples in Luo</w:t>
      </w:r>
      <w:r>
        <w:rPr>
          <w:rFonts w:ascii="Times New Roman" w:hAnsi="Times New Roman" w:eastAsia="宋体" w:cs="Times New Roman"/>
          <w:color w:val="EE0000"/>
          <w:kern w:val="0"/>
          <w:sz w:val="24"/>
          <w:lang w:val="en-GB"/>
          <w14:ligatures w14:val="none"/>
        </w:rPr>
        <w:t>’</w:t>
      </w:r>
      <w:r>
        <w:rPr>
          <w:rFonts w:hint="eastAsia" w:ascii="Times New Roman" w:hAnsi="Times New Roman" w:eastAsia="宋体" w:cs="Times New Roman"/>
          <w:color w:val="EE0000"/>
          <w:kern w:val="0"/>
          <w:sz w:val="24"/>
          <w:lang w:val="en-GB"/>
          <w14:ligatures w14:val="none"/>
        </w:rPr>
        <w:t xml:space="preserve">s translation can vividly demonstrate how amplification operates to bridge cultural gaps. </w:t>
      </w:r>
      <w:r>
        <w:rPr>
          <w:rFonts w:hint="eastAsia" w:ascii="Times New Roman" w:hAnsi="Times New Roman" w:eastAsia="宋体" w:cs="Times New Roman"/>
          <w:kern w:val="0"/>
          <w:sz w:val="24"/>
          <w:lang w:val="en-GB"/>
          <w14:ligatures w14:val="none"/>
        </w:rPr>
        <w:t xml:space="preserve">Amplification is one of the most vital methods employed to bridge the cultural and conceptual gaps between TCM and Western medicine systems in the English version of </w:t>
      </w:r>
      <w:r>
        <w:rPr>
          <w:rFonts w:hint="eastAsia" w:ascii="Times New Roman" w:hAnsi="Times New Roman" w:eastAsia="宋体" w:cs="Times New Roman"/>
          <w:i/>
          <w:iCs/>
          <w:kern w:val="0"/>
          <w:sz w:val="24"/>
          <w:lang w:val="en-GB"/>
          <w14:ligatures w14:val="none"/>
        </w:rPr>
        <w:t>Jin Gui Yao Lue</w:t>
      </w:r>
      <w:r>
        <w:rPr>
          <w:rFonts w:hint="eastAsia" w:ascii="Times New Roman" w:hAnsi="Times New Roman" w:eastAsia="宋体" w:cs="Times New Roman"/>
          <w:kern w:val="0"/>
          <w:sz w:val="24"/>
          <w:lang w:val="en-GB"/>
          <w14:ligatures w14:val="none"/>
        </w:rPr>
        <w:t xml:space="preserve">. </w:t>
      </w:r>
      <w:r>
        <w:rPr>
          <w:rFonts w:ascii="Times New Roman" w:hAnsi="Times New Roman" w:eastAsia="宋体" w:cs="Times New Roman"/>
          <w:kern w:val="0"/>
          <w:sz w:val="24"/>
          <w:lang w:val="en-GB"/>
          <w14:ligatures w14:val="none"/>
        </w:rPr>
        <w:t>This way of doing things stands out big time. That’s when you’re translating words tied to a certain culture. Also, philosophical ideas and medical ways of doing things. These don’t have a simple match in English.</w:t>
      </w:r>
      <w:r>
        <w:rPr>
          <w:rFonts w:hint="eastAsia" w:ascii="Times New Roman" w:hAnsi="Times New Roman" w:eastAsia="宋体" w:cs="Times New Roman"/>
          <w:kern w:val="0"/>
          <w:sz w:val="24"/>
          <w:lang w:val="en-GB"/>
          <w14:ligatures w14:val="none"/>
        </w:rPr>
        <w:t xml:space="preserve"> For example, words such as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阴阳</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(Yin-Yang),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气</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(Qi), and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经络</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(meridians) are likely to require elaborate descriptions in order to fully understand their meanings and connotations for Western readers. In this case,</w:t>
      </w:r>
      <w:r>
        <w:rPr>
          <w:rFonts w:ascii="Times New Roman" w:hAnsi="Times New Roman" w:eastAsia="宋体" w:cs="Times New Roman"/>
          <w:kern w:val="0"/>
          <w:sz w:val="24"/>
          <w:lang w:val="en-GB"/>
          <w14:ligatures w14:val="none"/>
        </w:rPr>
        <w:t xml:space="preserve"> adding details does two things. First, it makes the word meanings clear. Second, it explains them using culture and history. That helps readers understand and enjoy the text more. This method matters most for rebuilding cultural images. It keeps the rich meaning and history of TCM’s medical and philosophical culture. Then it shows all that in the new language.</w:t>
      </w:r>
    </w:p>
    <w:bookmarkEnd w:id="10"/>
    <w:p>
      <w:pPr>
        <w:widowControl/>
        <w:spacing w:line="460" w:lineRule="exact"/>
        <w:ind w:firstLine="480" w:firstLineChars="200"/>
        <w:jc w:val="both"/>
        <w:rPr>
          <w:rFonts w:ascii="Times New Roman" w:hAnsi="Times New Roman" w:eastAsia="宋体" w:cs="Times New Roman"/>
          <w:kern w:val="0"/>
          <w:sz w:val="24"/>
          <w:lang w:val="en-GB"/>
          <w14:ligatures w14:val="none"/>
        </w:rPr>
      </w:pPr>
      <w:r>
        <w:rPr>
          <w:rFonts w:hint="eastAsia" w:ascii="Times New Roman" w:hAnsi="Times New Roman" w:eastAsia="宋体" w:cs="Times New Roman"/>
          <w:kern w:val="0"/>
          <w:sz w:val="24"/>
          <w:lang w:val="en-GB"/>
          <w14:ligatures w14:val="none"/>
        </w:rPr>
        <w:t xml:space="preserve">One of the most significant characteristics of amplification in the English translation of </w:t>
      </w:r>
      <w:r>
        <w:rPr>
          <w:rFonts w:hint="eastAsia" w:ascii="Times New Roman" w:hAnsi="Times New Roman" w:eastAsia="宋体" w:cs="Times New Roman"/>
          <w:i/>
          <w:iCs/>
          <w:kern w:val="0"/>
          <w:sz w:val="24"/>
          <w:lang w:val="en-GB"/>
          <w14:ligatures w14:val="none"/>
        </w:rPr>
        <w:t>Jin Gui Yao Lue</w:t>
      </w:r>
      <w:r>
        <w:rPr>
          <w:rFonts w:hint="eastAsia" w:ascii="Times New Roman" w:hAnsi="Times New Roman" w:eastAsia="宋体" w:cs="Times New Roman"/>
          <w:kern w:val="0"/>
          <w:sz w:val="24"/>
          <w:lang w:val="en-GB"/>
          <w14:ligatures w14:val="none"/>
        </w:rPr>
        <w:t xml:space="preserve"> is that it is required by the disparity between abstract theory and real practice, to explain the notion of “气” (Qi), for instance, is routinely amplified by adding descriptions of its function as a life force flowing throughout the body, its interrelation with disease and health, and its theoretical foundation in Chinese cosmology, similarly, the translation of “阴阳” (Yin-Yang) would involve reasons for why it is a duality and how it is used in disease diagnosis and treatment, such complex reasons, by prioritizing explication, not only facilitate ease of reading for readers but also help ensure checking cultural imagery for these concepts so that they become clearer and more meaningful to the target group.</w:t>
      </w:r>
    </w:p>
    <w:p>
      <w:pPr>
        <w:widowControl/>
        <w:spacing w:line="460" w:lineRule="exact"/>
        <w:ind w:firstLine="480" w:firstLineChars="200"/>
        <w:jc w:val="both"/>
        <w:rPr>
          <w:rFonts w:ascii="Times New Roman" w:hAnsi="Times New Roman" w:eastAsia="宋体" w:cs="Times New Roman"/>
          <w:kern w:val="0"/>
          <w:sz w:val="24"/>
          <w:lang w:val="en-GB"/>
          <w14:ligatures w14:val="none"/>
        </w:rPr>
      </w:pPr>
      <w:r>
        <w:rPr>
          <w:rFonts w:hint="eastAsia" w:ascii="Times New Roman" w:hAnsi="Times New Roman" w:eastAsia="宋体" w:cs="Times New Roman"/>
          <w:kern w:val="0"/>
          <w:sz w:val="24"/>
          <w:lang w:val="en-GB"/>
          <w14:ligatures w14:val="none"/>
        </w:rPr>
        <w:t>Amplification is particularly appropriate in the process of reconstructing images of culture around the theory of holistic health in TCM when translating</w:t>
      </w:r>
      <w:r>
        <w:rPr>
          <w:rFonts w:hint="eastAsia" w:ascii="Times New Roman" w:hAnsi="Times New Roman" w:eastAsia="宋体" w:cs="Times New Roman"/>
          <w:i/>
          <w:iCs/>
          <w:kern w:val="0"/>
          <w:sz w:val="24"/>
          <w:lang w:val="en-GB"/>
          <w14:ligatures w14:val="none"/>
        </w:rPr>
        <w:t xml:space="preserve"> Jin Gui Yao Lue</w:t>
      </w:r>
      <w:r>
        <w:rPr>
          <w:rFonts w:hint="eastAsia" w:ascii="Times New Roman" w:hAnsi="Times New Roman" w:eastAsia="宋体" w:cs="Times New Roman"/>
          <w:kern w:val="0"/>
          <w:sz w:val="24"/>
          <w:lang w:val="en-GB"/>
          <w14:ligatures w14:val="none"/>
        </w:rPr>
        <w:t>, for example, when translating chapters on “脏腑” (Zang-Fu organs), translators offer explanations in relation to the functions of such organs, their connection with other body systems, and their symbolic meanings within Chinese philosophy, this not only enlightens the medical facts but also highlights the interrelatedness between the body, the mind and the environment in TCM, thus enhancing the related cultural images for Western readers, the examples below will be employed to illustrate how the technique of amplification is employed in practice to achieve these aims.</w:t>
      </w:r>
    </w:p>
    <w:p>
      <w:pPr>
        <w:widowControl/>
        <w:spacing w:line="460" w:lineRule="exact"/>
        <w:ind w:firstLine="480" w:firstLineChars="200"/>
        <w:jc w:val="both"/>
        <w:rPr>
          <w:rFonts w:ascii="Times New Roman" w:hAnsi="Times New Roman" w:eastAsia="宋体" w:cs="Times New Roman"/>
          <w:kern w:val="0"/>
          <w:sz w:val="24"/>
          <w:lang w:val="en-GB"/>
          <w14:ligatures w14:val="none"/>
        </w:rPr>
      </w:pPr>
      <w:r>
        <w:rPr>
          <w:rFonts w:hint="eastAsia" w:ascii="Times New Roman" w:hAnsi="Times New Roman" w:eastAsia="宋体" w:cs="Times New Roman"/>
          <w:kern w:val="0"/>
          <w:sz w:val="24"/>
          <w:lang w:val="en-GB"/>
          <w14:ligatures w14:val="none"/>
        </w:rPr>
        <w:t>Example 4:</w:t>
      </w:r>
    </w:p>
    <w:p>
      <w:pPr>
        <w:widowControl/>
        <w:spacing w:line="460" w:lineRule="exact"/>
        <w:ind w:firstLine="480" w:firstLineChars="200"/>
        <w:jc w:val="both"/>
        <w:rPr>
          <w:rFonts w:ascii="Times New Roman" w:hAnsi="Times New Roman" w:eastAsia="宋体" w:cs="Times New Roman"/>
          <w:kern w:val="0"/>
          <w:sz w:val="24"/>
          <w:lang w:val="en-GB"/>
          <w14:ligatures w14:val="none"/>
        </w:rPr>
      </w:pPr>
      <w:r>
        <w:rPr>
          <w:rFonts w:hint="eastAsia" w:ascii="Times New Roman" w:hAnsi="Times New Roman" w:eastAsia="宋体" w:cs="Times New Roman"/>
          <w:kern w:val="0"/>
          <w:sz w:val="24"/>
          <w:lang w:val="en-GB"/>
          <w14:ligatures w14:val="none"/>
        </w:rPr>
        <w:t>Original Text: “太阳病，项背强几几，反汗出恶风者，桂枝加葛根汤主之。”</w:t>
      </w:r>
    </w:p>
    <w:p>
      <w:pPr>
        <w:widowControl/>
        <w:spacing w:line="460" w:lineRule="exact"/>
        <w:ind w:firstLine="480" w:firstLineChars="200"/>
        <w:jc w:val="both"/>
        <w:rPr>
          <w:rFonts w:ascii="Times New Roman" w:hAnsi="Times New Roman" w:eastAsia="宋体" w:cs="Times New Roman"/>
          <w:kern w:val="0"/>
          <w:sz w:val="24"/>
          <w:lang w:val="en-GB"/>
          <w14:ligatures w14:val="none"/>
        </w:rPr>
      </w:pPr>
      <w:r>
        <w:rPr>
          <w:rFonts w:hint="eastAsia" w:ascii="Times New Roman" w:hAnsi="Times New Roman" w:eastAsia="宋体" w:cs="Times New Roman"/>
          <w:kern w:val="0"/>
          <w:sz w:val="24"/>
          <w:lang w:val="en-GB"/>
          <w14:ligatures w14:val="none"/>
        </w:rPr>
        <w:t>Target text: For Taiyang disease with stiffness of the neck and back (项背强几几), sweating, and aversion to wind, Guizhi Jia Gegen Tang (Cinnamon Twig and Pueraria Decoction) is prescribed to relieve muscular tension and release exterior pathogens (Luo, 1993:25).</w:t>
      </w:r>
    </w:p>
    <w:p>
      <w:pPr>
        <w:widowControl/>
        <w:spacing w:line="460" w:lineRule="exact"/>
        <w:ind w:firstLine="480" w:firstLineChars="200"/>
        <w:jc w:val="both"/>
        <w:rPr>
          <w:rFonts w:ascii="Times New Roman" w:hAnsi="Times New Roman" w:eastAsia="宋体" w:cs="Times New Roman"/>
          <w:kern w:val="0"/>
          <w:sz w:val="24"/>
          <w:lang w:val="en-GB"/>
          <w14:ligatures w14:val="none"/>
        </w:rPr>
      </w:pPr>
      <w:r>
        <w:rPr>
          <w:rFonts w:hint="eastAsia" w:ascii="Times New Roman" w:hAnsi="Times New Roman" w:eastAsia="宋体" w:cs="Times New Roman"/>
          <w:kern w:val="0"/>
          <w:sz w:val="24"/>
          <w:lang w:val="en-GB"/>
          <w14:ligatures w14:val="none"/>
        </w:rPr>
        <w:t xml:space="preserve">This translation employs annotative amplification to reconstruct the cultural-semiotic argumentation of TCM. The specification of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relieve muscular tension and release exterior pathogens</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explicitly names the drug Ge Gen (Pueraria lobata) with its two therapeutic effects in TCM pathology: 1) calming muscles (“舒筋”) by moistening fluids (“津液濡筋”), and 2) exogenous pathogenic dispersal (“解表”) by sweating. Without this enhancement, the target text would downgrade Ge Gen to a botanical drug (Pueraria) deprived of its systemic function in the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exterior-interior</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dialectic of TCM (“表里辨证”). By placing the action of the herb inside the action of the phrase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release exterior pathogens,</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the translation roots the formula intention in the TCM principle of jie biao (“解表”, resolving the exterior), thereby preserving the cultural causality between symptom (stiff neck) and treatment (fluid-induced relaxation of muscles). Latinization (Pueraria lobata) with footnote also balances cross-cultural validity: it gives room for biomedical precision at the cost of scientific jargon to TCM</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 fluid-sinew rapport (“津液-筋脉关联”), in such a manner that the cultural metaphor of “nourishing fluids” continues to be given prominence.</w:t>
      </w:r>
    </w:p>
    <w:p>
      <w:pPr>
        <w:widowControl/>
        <w:spacing w:line="460" w:lineRule="exact"/>
        <w:ind w:firstLine="480" w:firstLineChars="200"/>
        <w:jc w:val="both"/>
        <w:rPr>
          <w:rFonts w:ascii="Times New Roman" w:hAnsi="Times New Roman" w:eastAsia="宋体" w:cs="Times New Roman"/>
          <w:kern w:val="0"/>
          <w:sz w:val="24"/>
          <w:lang w:val="en-GB"/>
          <w14:ligatures w14:val="none"/>
        </w:rPr>
      </w:pPr>
      <w:r>
        <w:rPr>
          <w:rFonts w:hint="eastAsia" w:ascii="Times New Roman" w:hAnsi="Times New Roman" w:eastAsia="宋体" w:cs="Times New Roman"/>
          <w:kern w:val="0"/>
          <w:sz w:val="24"/>
          <w:lang w:val="en-GB"/>
          <w14:ligatures w14:val="none"/>
        </w:rPr>
        <w:t xml:space="preserve">Example 5: </w:t>
      </w:r>
    </w:p>
    <w:p>
      <w:pPr>
        <w:widowControl/>
        <w:spacing w:line="460" w:lineRule="exact"/>
        <w:ind w:firstLine="480" w:firstLineChars="200"/>
        <w:jc w:val="both"/>
        <w:rPr>
          <w:rFonts w:ascii="Times New Roman" w:hAnsi="Times New Roman" w:eastAsia="宋体" w:cs="Times New Roman"/>
          <w:kern w:val="0"/>
          <w:sz w:val="24"/>
          <w:lang w:val="en-GB"/>
          <w14:ligatures w14:val="none"/>
        </w:rPr>
      </w:pPr>
      <w:r>
        <w:rPr>
          <w:rFonts w:hint="eastAsia" w:ascii="Times New Roman" w:hAnsi="Times New Roman" w:eastAsia="宋体" w:cs="Times New Roman"/>
          <w:kern w:val="0"/>
          <w:sz w:val="24"/>
          <w:lang w:val="en-GB"/>
          <w14:ligatures w14:val="none"/>
        </w:rPr>
        <w:t>Original Text: “气为血之帅，血为气之母。”</w:t>
      </w:r>
    </w:p>
    <w:p>
      <w:pPr>
        <w:widowControl/>
        <w:spacing w:line="460" w:lineRule="exact"/>
        <w:ind w:firstLine="480" w:firstLineChars="200"/>
        <w:jc w:val="both"/>
        <w:rPr>
          <w:rFonts w:ascii="Times New Roman" w:hAnsi="Times New Roman" w:eastAsia="宋体" w:cs="Times New Roman"/>
          <w:kern w:val="0"/>
          <w:sz w:val="24"/>
          <w:lang w:val="en-GB"/>
          <w14:ligatures w14:val="none"/>
        </w:rPr>
      </w:pPr>
      <w:r>
        <w:rPr>
          <w:rFonts w:hint="eastAsia" w:ascii="Times New Roman" w:hAnsi="Times New Roman" w:eastAsia="宋体" w:cs="Times New Roman"/>
          <w:kern w:val="0"/>
          <w:sz w:val="24"/>
          <w:lang w:val="en-GB"/>
          <w14:ligatures w14:val="none"/>
        </w:rPr>
        <w:t>Target text: Qi-blood relationship: mutual nourishment and promotion (Luo,1987:210).</w:t>
      </w:r>
    </w:p>
    <w:p>
      <w:pPr>
        <w:widowControl/>
        <w:spacing w:line="460" w:lineRule="exact"/>
        <w:ind w:firstLine="480" w:firstLineChars="200"/>
        <w:jc w:val="both"/>
        <w:rPr>
          <w:rFonts w:ascii="Times New Roman" w:hAnsi="Times New Roman" w:eastAsia="宋体" w:cs="Times New Roman"/>
          <w:kern w:val="0"/>
          <w:sz w:val="24"/>
          <w:lang w:val="en-GB"/>
          <w14:ligatures w14:val="none"/>
        </w:rPr>
      </w:pPr>
      <w:r>
        <w:rPr>
          <w:rFonts w:hint="eastAsia" w:ascii="Times New Roman" w:hAnsi="Times New Roman" w:eastAsia="宋体" w:cs="Times New Roman"/>
          <w:kern w:val="0"/>
          <w:sz w:val="24"/>
          <w:lang w:val="en-GB"/>
          <w14:ligatures w14:val="none"/>
        </w:rPr>
        <w:t xml:space="preserve">Applying strategic amplification to the statement “气为血之帅，血为气之母” (Qi is commander of blood, and blood is mother of Qi), conceptual and cultural disparities in Western medical information and TCM are overcome. Adding the explanation that </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Qi is the vital energy flowing in the body, and blood nourishes and supports Qi</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enables readers to have a clearer grasp of their symbolic and functional significance in TCM, by defining Qi and blood functions, the translation returns to the cultural imagery of the terms and makes them more readable and accessible to the target readers, furthermore, by emphasizing the interdependence of Qi and blood in maintaining a person</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 health, the translation further supports readers</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 comprehension of the holistic foundation of TCM, this enhancement not only preserves the density of cultural backgrounds of the source text but also enhances readability of the text as well as facilitates cross-cultural exchange, under which the spirit of TCM is successfully translated and delivered to the world.</w:t>
      </w:r>
    </w:p>
    <w:p>
      <w:pPr>
        <w:pStyle w:val="2"/>
        <w:spacing w:before="240" w:after="240" w:line="240" w:lineRule="auto"/>
        <w:jc w:val="both"/>
        <w:rPr>
          <w:rFonts w:ascii="Times New Roman Bold" w:hAnsi="Times New Roman Bold" w:cs="Times New Roman Bold" w:eastAsiaTheme="minorEastAsia"/>
          <w:b/>
          <w:bCs/>
          <w:iCs/>
          <w:color w:val="auto"/>
          <w:kern w:val="0"/>
          <w:sz w:val="24"/>
          <w:szCs w:val="24"/>
          <w:lang w:val="fr-FR"/>
          <w14:ligatures w14:val="none"/>
        </w:rPr>
      </w:pPr>
      <w:r>
        <w:rPr>
          <w:rFonts w:ascii="Times New Roman Bold" w:hAnsi="Times New Roman Bold" w:cs="Times New Roman Bold"/>
          <w:b/>
          <w:bCs/>
          <w:iCs/>
          <w:caps/>
          <w:color w:val="000000" w:themeColor="text1"/>
          <w:kern w:val="0"/>
          <w:sz w:val="24"/>
          <w:szCs w:val="24"/>
          <w14:textFill>
            <w14:solidFill>
              <w14:schemeClr w14:val="tx1"/>
            </w14:solidFill>
          </w14:textFill>
        </w:rPr>
        <w:t>3.3</w:t>
      </w:r>
      <w:r>
        <w:rPr>
          <w:rFonts w:ascii="Times New Roman Bold" w:hAnsi="Times New Roman Bold" w:cs="Times New Roman Bold" w:eastAsiaTheme="minorEastAsia"/>
          <w:b/>
          <w:bCs/>
          <w:iCs/>
          <w:color w:val="auto"/>
          <w:kern w:val="0"/>
          <w:sz w:val="24"/>
          <w:szCs w:val="24"/>
          <w:lang w:val="fr-FR"/>
          <w14:ligatures w14:val="none"/>
        </w:rPr>
        <w:t xml:space="preserve"> Footnotes and Annotations</w:t>
      </w:r>
    </w:p>
    <w:p>
      <w:pPr>
        <w:widowControl/>
        <w:spacing w:line="460" w:lineRule="exact"/>
        <w:ind w:firstLine="480" w:firstLineChars="200"/>
        <w:jc w:val="both"/>
        <w:rPr>
          <w:rFonts w:ascii="Times New Roman" w:hAnsi="Times New Roman" w:eastAsia="宋体" w:cs="Times New Roman"/>
          <w:kern w:val="0"/>
          <w:sz w:val="24"/>
          <w:lang w:val="en-GB"/>
          <w14:ligatures w14:val="none"/>
        </w:rPr>
      </w:pPr>
      <w:r>
        <w:rPr>
          <w:rFonts w:hint="eastAsia" w:ascii="Times New Roman" w:hAnsi="Times New Roman" w:eastAsia="宋体" w:cs="Times New Roman"/>
          <w:color w:val="EE0000"/>
          <w:kern w:val="0"/>
          <w:sz w:val="24"/>
          <w:lang w:val="en-GB"/>
          <w14:ligatures w14:val="none"/>
        </w:rPr>
        <w:t>Footnotes and annotations, as important supplements to the main text, are indispensable in thick translation for explaining complex cultural concepts.</w:t>
      </w:r>
      <w:r>
        <w:rPr>
          <w:rFonts w:hint="eastAsia" w:ascii="Times New Roman" w:hAnsi="Times New Roman" w:eastAsia="宋体" w:cs="Times New Roman"/>
          <w:kern w:val="0"/>
          <w:sz w:val="24"/>
          <w:lang w:val="en-GB"/>
          <w14:ligatures w14:val="none"/>
        </w:rPr>
        <w:t xml:space="preserve"> This chapter will address the use of footnotes and annotations in translation and how it illustrates their function to provide extra information and explanations of complex ideas, it will also discuss how the tools are applied to enhance the reader</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 insight into Luo</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s Translation of</w:t>
      </w:r>
      <w:r>
        <w:rPr>
          <w:rFonts w:hint="eastAsia" w:ascii="Times New Roman" w:hAnsi="Times New Roman" w:eastAsia="宋体" w:cs="Times New Roman"/>
          <w:i/>
          <w:iCs/>
          <w:kern w:val="0"/>
          <w:sz w:val="24"/>
          <w:lang w:val="en-GB"/>
          <w14:ligatures w14:val="none"/>
        </w:rPr>
        <w:t xml:space="preserve"> Jin Gui Yao Lue</w:t>
      </w:r>
      <w:r>
        <w:rPr>
          <w:rFonts w:hint="eastAsia" w:ascii="Times New Roman" w:hAnsi="Times New Roman" w:eastAsia="宋体" w:cs="Times New Roman"/>
          <w:kern w:val="0"/>
          <w:sz w:val="24"/>
          <w:lang w:val="en-GB"/>
          <w14:ligatures w14:val="none"/>
        </w:rPr>
        <w:t>.</w:t>
      </w:r>
    </w:p>
    <w:p>
      <w:pPr>
        <w:pStyle w:val="2"/>
        <w:spacing w:before="240" w:after="240" w:line="240" w:lineRule="auto"/>
        <w:jc w:val="both"/>
        <w:rPr>
          <w:rFonts w:ascii="Times New Roman Bold" w:hAnsi="Times New Roman Bold" w:cs="Times New Roman Bold" w:eastAsiaTheme="minorEastAsia"/>
          <w:b/>
          <w:bCs/>
          <w:iCs/>
          <w:color w:val="auto"/>
          <w:kern w:val="0"/>
          <w:sz w:val="24"/>
          <w:szCs w:val="24"/>
          <w:lang w:val="fr-FR"/>
          <w14:ligatures w14:val="none"/>
        </w:rPr>
      </w:pPr>
      <w:r>
        <w:rPr>
          <w:rFonts w:ascii="Times New Roman Bold" w:hAnsi="Times New Roman Bold" w:cs="Times New Roman Bold"/>
          <w:b/>
          <w:bCs/>
          <w:iCs/>
          <w:caps/>
          <w:color w:val="000000" w:themeColor="text1"/>
          <w:kern w:val="0"/>
          <w:sz w:val="24"/>
          <w:szCs w:val="24"/>
          <w14:textFill>
            <w14:solidFill>
              <w14:schemeClr w14:val="tx1"/>
            </w14:solidFill>
          </w14:textFill>
        </w:rPr>
        <w:t>3.3</w:t>
      </w:r>
      <w:r>
        <w:rPr>
          <w:rFonts w:ascii="Times New Roman Bold" w:hAnsi="Times New Roman Bold" w:cs="Times New Roman Bold" w:eastAsiaTheme="minorEastAsia"/>
          <w:b/>
          <w:bCs/>
          <w:iCs/>
          <w:color w:val="auto"/>
          <w:kern w:val="0"/>
          <w:sz w:val="24"/>
          <w:szCs w:val="24"/>
          <w:lang w:val="fr-FR"/>
          <w14:ligatures w14:val="none"/>
        </w:rPr>
        <w:t>.1 Introduction to Footnotes and Annotations</w:t>
      </w:r>
    </w:p>
    <w:p>
      <w:pPr>
        <w:widowControl/>
        <w:spacing w:line="460" w:lineRule="exact"/>
        <w:ind w:firstLine="480" w:firstLineChars="200"/>
        <w:jc w:val="both"/>
        <w:rPr>
          <w:rFonts w:ascii="Times New Roman" w:hAnsi="Times New Roman" w:eastAsia="宋体" w:cs="Times New Roman"/>
          <w:kern w:val="0"/>
          <w:sz w:val="24"/>
          <w:lang w:val="fr-FR"/>
          <w14:ligatures w14:val="none"/>
        </w:rPr>
      </w:pPr>
      <w:r>
        <w:rPr>
          <w:rFonts w:hint="eastAsia" w:ascii="Times New Roman" w:hAnsi="Times New Roman" w:eastAsia="宋体" w:cs="Times New Roman"/>
          <w:color w:val="EE0000"/>
          <w:kern w:val="0"/>
          <w:sz w:val="24"/>
          <w:lang w:val="fr-FR"/>
          <w14:ligatures w14:val="none"/>
        </w:rPr>
        <w:t>To distinguish the roles of footnotes and annotations in thick translation, we need to start with their definitions, characteristics, and theoretical positioning.</w:t>
      </w:r>
      <w:r>
        <w:rPr>
          <w:rFonts w:hint="eastAsia" w:ascii="Times New Roman" w:hAnsi="Times New Roman" w:eastAsia="宋体" w:cs="Times New Roman"/>
          <w:kern w:val="0"/>
          <w:sz w:val="24"/>
          <w:lang w:val="fr-FR"/>
          <w14:ligatures w14:val="none"/>
        </w:rPr>
        <w:t xml:space="preserve"> Annotations in translation studies are also a form of thick translation (Appiah, 1993; Nord, 1997)</w:t>
      </w:r>
      <w:r>
        <w:rPr>
          <w:rFonts w:ascii="Times New Roman" w:hAnsi="Times New Roman" w:eastAsia="宋体" w:cs="Times New Roman"/>
          <w:kern w:val="0"/>
          <w:sz w:val="24"/>
          <w:lang w:val="fr-FR"/>
          <w14:ligatures w14:val="none"/>
        </w:rPr>
        <w:fldChar w:fldCharType="begin"/>
      </w:r>
      <w:r>
        <w:rPr>
          <w:rFonts w:ascii="Times New Roman" w:hAnsi="Times New Roman" w:eastAsia="宋体" w:cs="Times New Roman"/>
          <w:kern w:val="0"/>
          <w:sz w:val="24"/>
          <w:lang w:val="fr-FR"/>
          <w14:ligatures w14:val="none"/>
        </w:rPr>
        <w:instrText xml:space="preserve"> </w:instrText>
      </w:r>
      <w:r>
        <w:rPr>
          <w:rFonts w:hint="eastAsia" w:ascii="Times New Roman" w:hAnsi="Times New Roman" w:eastAsia="宋体" w:cs="Times New Roman"/>
          <w:kern w:val="0"/>
          <w:sz w:val="24"/>
          <w:lang w:val="fr-FR"/>
          <w14:ligatures w14:val="none"/>
        </w:rPr>
        <w:instrText xml:space="preserve">REF _Ref204275228 \r \h</w:instrText>
      </w:r>
      <w:r>
        <w:rPr>
          <w:rFonts w:ascii="Times New Roman" w:hAnsi="Times New Roman" w:eastAsia="宋体" w:cs="Times New Roman"/>
          <w:kern w:val="0"/>
          <w:sz w:val="24"/>
          <w:lang w:val="fr-FR"/>
          <w14:ligatures w14:val="none"/>
        </w:rPr>
        <w:instrText xml:space="preserve">  \* MERGEFORMAT </w:instrText>
      </w:r>
      <w:r>
        <w:rPr>
          <w:rFonts w:ascii="Times New Roman" w:hAnsi="Times New Roman" w:eastAsia="宋体" w:cs="Times New Roman"/>
          <w:kern w:val="0"/>
          <w:sz w:val="24"/>
          <w:lang w:val="fr-FR"/>
          <w14:ligatures w14:val="none"/>
        </w:rPr>
        <w:fldChar w:fldCharType="separate"/>
      </w:r>
      <w:r>
        <w:rPr>
          <w:rFonts w:ascii="Times New Roman" w:hAnsi="Times New Roman" w:eastAsia="宋体" w:cs="Times New Roman"/>
          <w:kern w:val="0"/>
          <w:sz w:val="24"/>
          <w:lang w:val="fr-FR"/>
          <w14:ligatures w14:val="none"/>
        </w:rPr>
        <w:t>[1]</w:t>
      </w:r>
      <w:r>
        <w:rPr>
          <w:rFonts w:ascii="Times New Roman" w:hAnsi="Times New Roman" w:eastAsia="宋体" w:cs="Times New Roman"/>
          <w:kern w:val="0"/>
          <w:sz w:val="24"/>
          <w:lang w:val="fr-FR"/>
          <w14:ligatures w14:val="none"/>
        </w:rPr>
        <w:fldChar w:fldCharType="end"/>
      </w:r>
      <w:r>
        <w:rPr>
          <w:rFonts w:ascii="Times New Roman" w:hAnsi="Times New Roman" w:eastAsia="宋体" w:cs="Times New Roman"/>
          <w:kern w:val="0"/>
          <w:sz w:val="24"/>
          <w:lang w:val="fr-FR"/>
          <w14:ligatures w14:val="none"/>
        </w:rPr>
        <w:fldChar w:fldCharType="begin"/>
      </w:r>
      <w:r>
        <w:rPr>
          <w:rFonts w:ascii="Times New Roman" w:hAnsi="Times New Roman" w:eastAsia="宋体" w:cs="Times New Roman"/>
          <w:kern w:val="0"/>
          <w:sz w:val="24"/>
          <w:lang w:val="fr-FR"/>
          <w14:ligatures w14:val="none"/>
        </w:rPr>
        <w:instrText xml:space="preserve"> REF _Ref204277867 \r \h  \* MERGEFORMAT </w:instrText>
      </w:r>
      <w:r>
        <w:rPr>
          <w:rFonts w:ascii="Times New Roman" w:hAnsi="Times New Roman" w:eastAsia="宋体" w:cs="Times New Roman"/>
          <w:kern w:val="0"/>
          <w:sz w:val="24"/>
          <w:lang w:val="fr-FR"/>
          <w14:ligatures w14:val="none"/>
        </w:rPr>
        <w:fldChar w:fldCharType="separate"/>
      </w:r>
      <w:r>
        <w:rPr>
          <w:rFonts w:ascii="Times New Roman" w:hAnsi="Times New Roman" w:eastAsia="宋体" w:cs="Times New Roman"/>
          <w:kern w:val="0"/>
          <w:sz w:val="24"/>
          <w:lang w:val="fr-FR"/>
          <w14:ligatures w14:val="none"/>
        </w:rPr>
        <w:t>[12]</w:t>
      </w:r>
      <w:r>
        <w:rPr>
          <w:rFonts w:ascii="Times New Roman" w:hAnsi="Times New Roman" w:eastAsia="宋体" w:cs="Times New Roman"/>
          <w:kern w:val="0"/>
          <w:sz w:val="24"/>
          <w:lang w:val="fr-FR"/>
          <w14:ligatures w14:val="none"/>
        </w:rPr>
        <w:fldChar w:fldCharType="end"/>
      </w:r>
      <w:r>
        <w:rPr>
          <w:rFonts w:hint="eastAsia" w:ascii="Times New Roman" w:hAnsi="Times New Roman" w:eastAsia="宋体" w:cs="Times New Roman"/>
          <w:kern w:val="0"/>
          <w:sz w:val="24"/>
          <w:lang w:val="fr-FR"/>
          <w14:ligatures w14:val="none"/>
        </w:rPr>
        <w:t xml:space="preserve">, a process that incorporates explanatory layers within or alongside the target text to preserve and reconstruct semiotic systems embedded in culture. Annotations are more than mere lexical glosses and rather function as metatextual interventions (Baker, 2018) </w:t>
      </w:r>
      <w:r>
        <w:rPr>
          <w:rFonts w:ascii="Times New Roman" w:hAnsi="Times New Roman" w:eastAsia="宋体" w:cs="Times New Roman"/>
          <w:kern w:val="0"/>
          <w:sz w:val="24"/>
          <w:lang w:val="fr-FR"/>
          <w14:ligatures w14:val="none"/>
        </w:rPr>
        <w:fldChar w:fldCharType="begin"/>
      </w:r>
      <w:r>
        <w:rPr>
          <w:rFonts w:ascii="Times New Roman" w:hAnsi="Times New Roman" w:eastAsia="宋体" w:cs="Times New Roman"/>
          <w:kern w:val="0"/>
          <w:sz w:val="24"/>
          <w:lang w:val="fr-FR"/>
          <w14:ligatures w14:val="none"/>
        </w:rPr>
        <w:instrText xml:space="preserve"> </w:instrText>
      </w:r>
      <w:r>
        <w:rPr>
          <w:rFonts w:hint="eastAsia" w:ascii="Times New Roman" w:hAnsi="Times New Roman" w:eastAsia="宋体" w:cs="Times New Roman"/>
          <w:kern w:val="0"/>
          <w:sz w:val="24"/>
          <w:lang w:val="fr-FR"/>
          <w14:ligatures w14:val="none"/>
        </w:rPr>
        <w:instrText xml:space="preserve">REF _Ref204277894 \r \h</w:instrText>
      </w:r>
      <w:r>
        <w:rPr>
          <w:rFonts w:ascii="Times New Roman" w:hAnsi="Times New Roman" w:eastAsia="宋体" w:cs="Times New Roman"/>
          <w:kern w:val="0"/>
          <w:sz w:val="24"/>
          <w:lang w:val="fr-FR"/>
          <w14:ligatures w14:val="none"/>
        </w:rPr>
        <w:instrText xml:space="preserve">  \* MERGEFORMAT </w:instrText>
      </w:r>
      <w:r>
        <w:rPr>
          <w:rFonts w:ascii="Times New Roman" w:hAnsi="Times New Roman" w:eastAsia="宋体" w:cs="Times New Roman"/>
          <w:kern w:val="0"/>
          <w:sz w:val="24"/>
          <w:lang w:val="fr-FR"/>
          <w14:ligatures w14:val="none"/>
        </w:rPr>
        <w:fldChar w:fldCharType="separate"/>
      </w:r>
      <w:r>
        <w:rPr>
          <w:rFonts w:ascii="Times New Roman" w:hAnsi="Times New Roman" w:eastAsia="宋体" w:cs="Times New Roman"/>
          <w:kern w:val="0"/>
          <w:sz w:val="24"/>
          <w:lang w:val="fr-FR"/>
          <w14:ligatures w14:val="none"/>
        </w:rPr>
        <w:t>[2]</w:t>
      </w:r>
      <w:r>
        <w:rPr>
          <w:rFonts w:ascii="Times New Roman" w:hAnsi="Times New Roman" w:eastAsia="宋体" w:cs="Times New Roman"/>
          <w:kern w:val="0"/>
          <w:sz w:val="24"/>
          <w:lang w:val="fr-FR"/>
          <w14:ligatures w14:val="none"/>
        </w:rPr>
        <w:fldChar w:fldCharType="end"/>
      </w:r>
      <w:r>
        <w:rPr>
          <w:rFonts w:hint="eastAsia" w:ascii="Times New Roman" w:hAnsi="Times New Roman" w:eastAsia="宋体" w:cs="Times New Roman"/>
          <w:kern w:val="0"/>
          <w:sz w:val="24"/>
          <w:lang w:val="fr-FR"/>
          <w14:ligatures w14:val="none"/>
        </w:rPr>
        <w:t>that bridge epistemic distances between source and target cultures. They position untranslatable concepts (e.g., TCM</w:t>
      </w:r>
      <w:r>
        <w:rPr>
          <w:rFonts w:ascii="Times New Roman" w:hAnsi="Times New Roman" w:eastAsia="宋体" w:cs="Times New Roman"/>
          <w:kern w:val="0"/>
          <w:sz w:val="24"/>
          <w:lang w:val="fr-FR"/>
          <w14:ligatures w14:val="none"/>
        </w:rPr>
        <w:t>’</w:t>
      </w:r>
      <w:r>
        <w:rPr>
          <w:rFonts w:hint="eastAsia" w:ascii="Times New Roman" w:hAnsi="Times New Roman" w:eastAsia="宋体" w:cs="Times New Roman"/>
          <w:kern w:val="0"/>
          <w:sz w:val="24"/>
          <w:lang w:val="fr-FR"/>
          <w14:ligatures w14:val="none"/>
        </w:rPr>
        <w:t>s Five Phases or Shanghan) through the description of their cultural-logics, and thereby foreclosing reductionist translations that erase ontologies of the system (Nord, 1997). Commenting on suān (酸) as</w:t>
      </w:r>
      <w:r>
        <w:rPr>
          <w:rFonts w:ascii="Times New Roman" w:hAnsi="Times New Roman" w:eastAsia="宋体" w:cs="Times New Roman"/>
          <w:kern w:val="0"/>
          <w:sz w:val="24"/>
          <w:lang w:val="fr-FR"/>
          <w14:ligatures w14:val="none"/>
        </w:rPr>
        <w:t> </w:t>
      </w:r>
      <w:r>
        <w:rPr>
          <w:rFonts w:ascii="Times New Roman" w:hAnsi="Times New Roman" w:eastAsia="宋体" w:cs="Times New Roman"/>
          <w:kern w:val="0"/>
          <w:sz w:val="24"/>
          <w:lang w:val="en-GB"/>
          <w14:ligatures w14:val="none"/>
        </w:rPr>
        <w:t>“</w:t>
      </w:r>
      <w:r>
        <w:rPr>
          <w:rFonts w:ascii="Times New Roman" w:hAnsi="Times New Roman" w:eastAsia="宋体" w:cs="Times New Roman"/>
          <w:kern w:val="0"/>
          <w:sz w:val="24"/>
          <w:lang w:val="fr-FR"/>
          <w14:ligatures w14:val="none"/>
        </w:rPr>
        <w:t> </w:t>
      </w:r>
      <w:r>
        <w:rPr>
          <w:rFonts w:hint="eastAsia" w:ascii="Times New Roman" w:hAnsi="Times New Roman" w:eastAsia="宋体" w:cs="Times New Roman"/>
          <w:kern w:val="0"/>
          <w:sz w:val="24"/>
          <w:lang w:val="fr-FR"/>
          <w14:ligatures w14:val="none"/>
        </w:rPr>
        <w:t>sour, analogous to the Wood phase</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fr-FR"/>
          <w14:ligatures w14:val="none"/>
        </w:rPr>
        <w:t xml:space="preserve"> not merely translates a taste but also brings back its use in TCM</w:t>
      </w:r>
      <w:r>
        <w:rPr>
          <w:rFonts w:ascii="Times New Roman" w:hAnsi="Times New Roman" w:eastAsia="宋体" w:cs="Times New Roman"/>
          <w:kern w:val="0"/>
          <w:sz w:val="24"/>
          <w:lang w:val="fr-FR"/>
          <w14:ligatures w14:val="none"/>
        </w:rPr>
        <w:t>’</w:t>
      </w:r>
      <w:r>
        <w:rPr>
          <w:rFonts w:hint="eastAsia" w:ascii="Times New Roman" w:hAnsi="Times New Roman" w:eastAsia="宋体" w:cs="Times New Roman"/>
          <w:kern w:val="0"/>
          <w:sz w:val="24"/>
          <w:lang w:val="fr-FR"/>
          <w14:ligatures w14:val="none"/>
        </w:rPr>
        <w:t>s cosmological correspondence between organs, elements, and therapeutic interventions.</w:t>
      </w:r>
    </w:p>
    <w:p>
      <w:pPr>
        <w:widowControl/>
        <w:spacing w:line="460" w:lineRule="exact"/>
        <w:ind w:firstLine="480" w:firstLineChars="200"/>
        <w:jc w:val="both"/>
        <w:rPr>
          <w:rFonts w:ascii="Times New Roman" w:hAnsi="Times New Roman" w:eastAsia="宋体" w:cs="Times New Roman"/>
          <w:kern w:val="0"/>
          <w:sz w:val="24"/>
          <w:lang w:val="fr-FR"/>
          <w14:ligatures w14:val="none"/>
        </w:rPr>
      </w:pPr>
      <w:r>
        <w:rPr>
          <w:rFonts w:hint="eastAsia" w:ascii="Times New Roman" w:hAnsi="Times New Roman" w:eastAsia="宋体" w:cs="Times New Roman"/>
          <w:kern w:val="0"/>
          <w:sz w:val="24"/>
          <w:lang w:val="fr-FR"/>
          <w14:ligatures w14:val="none"/>
        </w:rPr>
        <w:t>Thick translation through annotation follows Nord</w:t>
      </w:r>
      <w:r>
        <w:rPr>
          <w:rFonts w:ascii="Times New Roman" w:hAnsi="Times New Roman" w:eastAsia="宋体" w:cs="Times New Roman"/>
          <w:kern w:val="0"/>
          <w:sz w:val="24"/>
          <w:lang w:val="fr-FR"/>
          <w14:ligatures w14:val="none"/>
        </w:rPr>
        <w:t>’</w:t>
      </w:r>
      <w:r>
        <w:rPr>
          <w:rFonts w:hint="eastAsia" w:ascii="Times New Roman" w:hAnsi="Times New Roman" w:eastAsia="宋体" w:cs="Times New Roman"/>
          <w:kern w:val="0"/>
          <w:sz w:val="24"/>
          <w:lang w:val="fr-FR"/>
          <w14:ligatures w14:val="none"/>
        </w:rPr>
        <w:t>s function-plus-loyalty principle (1997), where translators must balance the communicative function of the target text with allegiance to the symbolic coherence of the source culture. Through the addition of annotation, translators perform cultural semiotic repair: they complete target readers</w:t>
      </w:r>
      <w:r>
        <w:rPr>
          <w:rFonts w:ascii="Times New Roman" w:hAnsi="Times New Roman" w:eastAsia="宋体" w:cs="Times New Roman"/>
          <w:kern w:val="0"/>
          <w:sz w:val="24"/>
          <w:lang w:val="fr-FR"/>
          <w14:ligatures w14:val="none"/>
        </w:rPr>
        <w:t>’</w:t>
      </w:r>
      <w:r>
        <w:rPr>
          <w:rFonts w:hint="eastAsia" w:ascii="Times New Roman" w:hAnsi="Times New Roman" w:eastAsia="宋体" w:cs="Times New Roman"/>
          <w:kern w:val="0"/>
          <w:sz w:val="24"/>
          <w:lang w:val="fr-FR"/>
          <w14:ligatures w14:val="none"/>
        </w:rPr>
        <w:t xml:space="preserve"> lack of cultural presuppositions while maintaining the epistemic integrity of the source text. This dual function prohibits TCM theories from being reduced into biomedical approximations (e.g., Shanghan ≠ “common cold”) and instead positions them as nodes in a distinct cultural knowledge matrix (Baker, 2018).</w:t>
      </w:r>
    </w:p>
    <w:p>
      <w:pPr>
        <w:widowControl/>
        <w:spacing w:line="460" w:lineRule="exact"/>
        <w:ind w:firstLine="480" w:firstLineChars="200"/>
        <w:jc w:val="both"/>
        <w:rPr>
          <w:rFonts w:ascii="Times New Roman" w:hAnsi="Times New Roman" w:eastAsia="宋体" w:cs="Times New Roman"/>
          <w:kern w:val="0"/>
          <w:sz w:val="24"/>
          <w:lang w:val="fr-FR"/>
          <w14:ligatures w14:val="none"/>
        </w:rPr>
      </w:pPr>
      <w:r>
        <w:rPr>
          <w:rFonts w:hint="eastAsia" w:ascii="Times New Roman" w:hAnsi="Times New Roman" w:eastAsia="宋体" w:cs="Times New Roman"/>
          <w:kern w:val="0"/>
          <w:sz w:val="24"/>
          <w:lang w:val="fr-FR"/>
          <w14:ligatures w14:val="none"/>
        </w:rPr>
        <w:t>Footnotes, however, are yet another but distinct translation aid. Nord (1997:123) defines footnotes as paratextual intrusions which provide ancillary information to facilitate the reader with a better picture without breaking the continuity of the core content. While annotations are usually an intrinsic part of the text, footnotes are put at the end of the page or the chapter so that readers can read additional context or explanation on their own initiative (Baker, 2018:45). Segregation in this manner keeps the significant text readily to hand and still gives the degree of depth needed for cross-cultural comprehension.</w:t>
      </w:r>
    </w:p>
    <w:p>
      <w:pPr>
        <w:widowControl/>
        <w:spacing w:line="460" w:lineRule="exact"/>
        <w:ind w:firstLine="480" w:firstLineChars="200"/>
        <w:jc w:val="both"/>
        <w:rPr>
          <w:rFonts w:ascii="Times New Roman" w:hAnsi="Times New Roman" w:eastAsia="宋体" w:cs="Times New Roman"/>
          <w:kern w:val="0"/>
          <w:sz w:val="24"/>
          <w:lang w:val="en-GB"/>
          <w14:ligatures w14:val="none"/>
        </w:rPr>
      </w:pPr>
      <w:r>
        <w:rPr>
          <w:rFonts w:hint="eastAsia" w:ascii="Times New Roman" w:hAnsi="Times New Roman" w:eastAsia="宋体" w:cs="Times New Roman"/>
          <w:kern w:val="0"/>
          <w:sz w:val="24"/>
          <w:lang w:val="en-GB"/>
          <w14:ligatures w14:val="none"/>
        </w:rPr>
        <w:t>Footnotes may be of multiple forms, employed for different purposes, explanatory footnotes identify terms culturally local, historical allusions, or linguistic nuances unknown to the readers (Appiah, 1993:807), for instance, in the process of translating ancient Chinese medical documents, a footnote might clarify the cosmological connotation of terms like Yin-Yang or Five Phases in the healing and philosophical contexts, bibliographic footnotes contain citations of sources, so that readers are able to trace back the origin of certain arguments or ideas, and critical footnotes provide scholarly comment or counter-reading, opening richer argument with the text (Baker, 2018:47).</w:t>
      </w:r>
    </w:p>
    <w:p>
      <w:pPr>
        <w:pStyle w:val="2"/>
        <w:spacing w:before="240" w:after="240" w:line="240" w:lineRule="auto"/>
        <w:jc w:val="both"/>
        <w:rPr>
          <w:rFonts w:ascii="Times New Roman" w:hAnsi="Times New Roman" w:cs="Times New Roman" w:eastAsiaTheme="minorEastAsia"/>
          <w:b/>
          <w:bCs/>
          <w:iCs/>
          <w:color w:val="auto"/>
          <w:kern w:val="0"/>
          <w:sz w:val="24"/>
          <w:szCs w:val="24"/>
          <w:lang w:val="fr-FR"/>
          <w14:ligatures w14:val="none"/>
        </w:rPr>
      </w:pPr>
      <w:bookmarkStart w:id="11" w:name="OLE_LINK54"/>
      <w:r>
        <w:rPr>
          <w:rFonts w:hint="eastAsia" w:ascii="Times New Roman" w:hAnsi="Times New Roman" w:cs="Times New Roman"/>
          <w:b/>
          <w:bCs/>
          <w:iCs/>
          <w:caps/>
          <w:color w:val="000000" w:themeColor="text1"/>
          <w:kern w:val="0"/>
          <w:sz w:val="24"/>
          <w:szCs w:val="24"/>
          <w14:textFill>
            <w14:solidFill>
              <w14:schemeClr w14:val="tx1"/>
            </w14:solidFill>
          </w14:textFill>
        </w:rPr>
        <w:t>3.3</w:t>
      </w:r>
      <w:r>
        <w:rPr>
          <w:rFonts w:hint="eastAsia" w:ascii="Times New Roman" w:hAnsi="Times New Roman" w:cs="Times New Roman" w:eastAsiaTheme="minorEastAsia"/>
          <w:b/>
          <w:bCs/>
          <w:iCs/>
          <w:color w:val="auto"/>
          <w:kern w:val="0"/>
          <w:sz w:val="24"/>
          <w:szCs w:val="24"/>
          <w:lang w:val="fr-FR"/>
          <w14:ligatures w14:val="none"/>
        </w:rPr>
        <w:t>.2</w:t>
      </w:r>
      <w:r>
        <w:rPr>
          <w:rFonts w:hint="eastAsia"/>
          <w:iCs/>
          <w:sz w:val="24"/>
          <w:szCs w:val="24"/>
        </w:rPr>
        <w:t xml:space="preserve"> </w:t>
      </w:r>
      <w:r>
        <w:rPr>
          <w:rFonts w:hint="eastAsia" w:ascii="Times New Roman" w:hAnsi="Times New Roman" w:cs="Times New Roman" w:eastAsiaTheme="minorEastAsia"/>
          <w:b/>
          <w:bCs/>
          <w:iCs/>
          <w:color w:val="auto"/>
          <w:kern w:val="0"/>
          <w:sz w:val="24"/>
          <w:szCs w:val="24"/>
          <w:lang w:val="fr-FR"/>
          <w14:ligatures w14:val="none"/>
        </w:rPr>
        <w:t>Case Study of Footnotes and Annotations in Luo’s Translation of Jin Gui Yao Lue</w:t>
      </w:r>
    </w:p>
    <w:bookmarkEnd w:id="11"/>
    <w:p>
      <w:pPr>
        <w:widowControl/>
        <w:spacing w:line="460" w:lineRule="exact"/>
        <w:ind w:firstLine="480" w:firstLineChars="200"/>
        <w:jc w:val="both"/>
        <w:rPr>
          <w:rFonts w:ascii="Times New Roman" w:hAnsi="Times New Roman" w:eastAsia="宋体" w:cs="Times New Roman"/>
          <w:kern w:val="0"/>
          <w:sz w:val="24"/>
          <w:lang w:val="en-GB"/>
          <w14:ligatures w14:val="none"/>
        </w:rPr>
      </w:pPr>
      <w:r>
        <w:rPr>
          <w:rFonts w:hint="eastAsia" w:ascii="Times New Roman" w:hAnsi="Times New Roman" w:eastAsia="宋体" w:cs="Times New Roman"/>
          <w:color w:val="EE0000"/>
          <w:kern w:val="0"/>
          <w:sz w:val="24"/>
          <w:lang w:val="en-GB"/>
          <w14:ligatures w14:val="none"/>
        </w:rPr>
        <w:t>Luo Xiwen</w:t>
      </w:r>
      <w:r>
        <w:rPr>
          <w:rFonts w:ascii="Times New Roman" w:hAnsi="Times New Roman" w:eastAsia="宋体" w:cs="Times New Roman"/>
          <w:color w:val="EE0000"/>
          <w:kern w:val="0"/>
          <w:sz w:val="24"/>
          <w:lang w:val="en-GB"/>
          <w14:ligatures w14:val="none"/>
        </w:rPr>
        <w:t>’</w:t>
      </w:r>
      <w:r>
        <w:rPr>
          <w:rFonts w:hint="eastAsia" w:ascii="Times New Roman" w:hAnsi="Times New Roman" w:eastAsia="宋体" w:cs="Times New Roman"/>
          <w:color w:val="EE0000"/>
          <w:kern w:val="0"/>
          <w:sz w:val="24"/>
          <w:lang w:val="en-GB"/>
          <w14:ligatures w14:val="none"/>
        </w:rPr>
        <w:t xml:space="preserve">s translation provides typical cases to show how footnotes and annotations work together to convey cultural connotations. </w:t>
      </w:r>
      <w:r>
        <w:rPr>
          <w:rFonts w:hint="eastAsia" w:ascii="Times New Roman" w:hAnsi="Times New Roman" w:eastAsia="宋体" w:cs="Times New Roman"/>
          <w:kern w:val="0"/>
          <w:sz w:val="24"/>
          <w:lang w:val="en-GB"/>
          <w14:ligatures w14:val="none"/>
        </w:rPr>
        <w:t>In the translation of Luo</w:t>
      </w:r>
      <w:r>
        <w:rPr>
          <w:rFonts w:ascii="Times New Roman" w:hAnsi="Times New Roman" w:eastAsia="宋体" w:cs="Times New Roman"/>
          <w:kern w:val="0"/>
          <w:sz w:val="24"/>
          <w:lang w:val="en-GB"/>
          <w14:ligatures w14:val="none"/>
        </w:rPr>
        <w:t>’</w:t>
      </w:r>
      <w:r>
        <w:rPr>
          <w:rFonts w:hint="eastAsia" w:ascii="Times New Roman" w:hAnsi="Times New Roman" w:eastAsia="宋体" w:cs="Times New Roman"/>
          <w:kern w:val="0"/>
          <w:sz w:val="24"/>
          <w:lang w:val="en-GB"/>
          <w14:ligatures w14:val="none"/>
        </w:rPr>
        <w:t xml:space="preserve">s </w:t>
      </w:r>
      <w:r>
        <w:rPr>
          <w:rFonts w:hint="eastAsia" w:ascii="Times New Roman" w:hAnsi="Times New Roman" w:eastAsia="宋体" w:cs="Times New Roman"/>
          <w:i/>
          <w:iCs/>
          <w:kern w:val="0"/>
          <w:sz w:val="24"/>
          <w:lang w:val="en-GB"/>
          <w14:ligatures w14:val="none"/>
        </w:rPr>
        <w:t>Jin Gui Yao Lue</w:t>
      </w:r>
      <w:r>
        <w:rPr>
          <w:rFonts w:hint="eastAsia" w:ascii="Times New Roman" w:hAnsi="Times New Roman" w:eastAsia="宋体" w:cs="Times New Roman"/>
          <w:kern w:val="0"/>
          <w:sz w:val="24"/>
          <w:lang w:val="en-GB"/>
          <w14:ligatures w14:val="none"/>
        </w:rPr>
        <w:t>, annotation and footnotes are applied intentionally with a view to crossing cultural and epistemic divides between source and target cultures. Such paratextual interventions are necessary in sustaining and rebuilding culture-embedded semiotic systems in translating concepts of TCM. Footnotes, found at the bottom of the page or chapter, give extra information without breaking the flow of the main text, while annotations, in the text itself, offer contextual explanation all at once.</w:t>
      </w:r>
    </w:p>
    <w:p>
      <w:pPr>
        <w:widowControl/>
        <w:spacing w:line="460" w:lineRule="exact"/>
        <w:ind w:firstLine="480" w:firstLineChars="200"/>
        <w:jc w:val="both"/>
        <w:rPr>
          <w:rFonts w:ascii="Times New Roman" w:hAnsi="Times New Roman" w:eastAsia="宋体" w:cs="Times New Roman"/>
          <w:kern w:val="0"/>
          <w:sz w:val="24"/>
          <w14:ligatures w14:val="none"/>
        </w:rPr>
      </w:pPr>
      <w:r>
        <w:rPr>
          <w:rFonts w:hint="eastAsia" w:ascii="Times New Roman" w:hAnsi="Times New Roman" w:eastAsia="宋体" w:cs="Times New Roman"/>
          <w:kern w:val="0"/>
          <w:sz w:val="24"/>
          <w14:ligatures w14:val="none"/>
        </w:rPr>
        <w:t>Footnotes and annotation in Luo's translation are characterized by their attention to culturally specific terminology, historical reference, and systemic ontologies. TCM terms like the Five Phases (五行), Shanghan (伤寒), and flavor-organ correspondences (sour flavor entering the liver) must be translated with the addition of some sort of explanatory context. Footnotes and annotation in Luo</w:t>
      </w:r>
      <w:r>
        <w:rPr>
          <w:rFonts w:ascii="Times New Roman" w:hAnsi="Times New Roman" w:eastAsia="宋体" w:cs="Times New Roman"/>
          <w:kern w:val="0"/>
          <w:sz w:val="24"/>
          <w14:ligatures w14:val="none"/>
        </w:rPr>
        <w:t>’</w:t>
      </w:r>
      <w:r>
        <w:rPr>
          <w:rFonts w:hint="eastAsia" w:ascii="Times New Roman" w:hAnsi="Times New Roman" w:eastAsia="宋体" w:cs="Times New Roman"/>
          <w:kern w:val="0"/>
          <w:sz w:val="24"/>
          <w14:ligatures w14:val="none"/>
        </w:rPr>
        <w:t>s translation demystify such terms by giving an explanation of their cultural-logical structure, cosmological importance, and therapeutic application, this approach not only deconstructs the literal meanings of the terminologies but recontextualizes them to their systemic function in the medical and philosophical systems of TCM.</w:t>
      </w:r>
    </w:p>
    <w:p>
      <w:pPr>
        <w:widowControl/>
        <w:spacing w:line="460" w:lineRule="exact"/>
        <w:ind w:firstLine="480" w:firstLineChars="200"/>
        <w:jc w:val="both"/>
        <w:rPr>
          <w:rFonts w:ascii="Times New Roman" w:hAnsi="Times New Roman" w:eastAsia="宋体" w:cs="Times New Roman"/>
          <w:kern w:val="0"/>
          <w:sz w:val="24"/>
          <w14:ligatures w14:val="none"/>
        </w:rPr>
      </w:pPr>
      <w:r>
        <w:rPr>
          <w:rFonts w:hint="eastAsia" w:ascii="Times New Roman" w:hAnsi="Times New Roman" w:eastAsia="宋体" w:cs="Times New Roman"/>
          <w:kern w:val="0"/>
          <w:sz w:val="24"/>
          <w14:ligatures w14:val="none"/>
        </w:rPr>
        <w:t>Example 6:</w:t>
      </w:r>
    </w:p>
    <w:p>
      <w:pPr>
        <w:widowControl/>
        <w:spacing w:line="460" w:lineRule="exact"/>
        <w:ind w:firstLine="480" w:firstLineChars="200"/>
        <w:jc w:val="both"/>
        <w:rPr>
          <w:rFonts w:ascii="Times New Roman" w:hAnsi="Times New Roman" w:eastAsia="宋体" w:cs="Times New Roman"/>
          <w:kern w:val="0"/>
          <w:sz w:val="24"/>
          <w14:ligatures w14:val="none"/>
        </w:rPr>
      </w:pPr>
      <w:r>
        <w:rPr>
          <w:rFonts w:hint="eastAsia" w:ascii="Times New Roman" w:hAnsi="Times New Roman" w:eastAsia="宋体" w:cs="Times New Roman"/>
          <w:kern w:val="0"/>
          <w:sz w:val="24"/>
          <w14:ligatures w14:val="none"/>
        </w:rPr>
        <w:t>Original Text: “病者脉数，无热，微烦，默默但欲卧，汗出。初得之三四日，目赤如鸠眼；七八日，目四眦黑。若能食者，脓已成也，赤小豆当归散主之。”</w:t>
      </w:r>
    </w:p>
    <w:p>
      <w:pPr>
        <w:widowControl/>
        <w:spacing w:line="460" w:lineRule="exact"/>
        <w:ind w:firstLine="480" w:firstLineChars="200"/>
        <w:jc w:val="both"/>
        <w:rPr>
          <w:rFonts w:ascii="Times New Roman" w:hAnsi="Times New Roman" w:eastAsia="宋体" w:cs="Times New Roman"/>
          <w:kern w:val="0"/>
          <w:sz w:val="24"/>
          <w14:ligatures w14:val="none"/>
        </w:rPr>
      </w:pPr>
      <w:r>
        <w:rPr>
          <w:rFonts w:hint="eastAsia" w:ascii="Times New Roman" w:hAnsi="Times New Roman" w:eastAsia="宋体" w:cs="Times New Roman"/>
          <w:kern w:val="0"/>
          <w:sz w:val="24"/>
          <w14:ligatures w14:val="none"/>
        </w:rPr>
        <w:t xml:space="preserve"> Target text: When a patient exhibits rapid pulse without fever, mild irritability, lethargy with desire to lie down, and sweating: if during days 3-4 the eyes become red like a pigeon</w:t>
      </w:r>
      <w:r>
        <w:rPr>
          <w:rFonts w:ascii="Times New Roman" w:hAnsi="Times New Roman" w:eastAsia="宋体" w:cs="Times New Roman"/>
          <w:kern w:val="0"/>
          <w:sz w:val="24"/>
          <w14:ligatures w14:val="none"/>
        </w:rPr>
        <w:t>’</w:t>
      </w:r>
      <w:r>
        <w:rPr>
          <w:rFonts w:hint="eastAsia" w:ascii="Times New Roman" w:hAnsi="Times New Roman" w:eastAsia="宋体" w:cs="Times New Roman"/>
          <w:kern w:val="0"/>
          <w:sz w:val="24"/>
          <w14:ligatures w14:val="none"/>
        </w:rPr>
        <w:t>s eyes, and by days 7-8 the canthi turn black—this indicates suppuration if the patient retains appetite. Adzuki Bean and Angelica Powder (赤小豆当归散) should be prescribe. (Luo, 1987:65)</w:t>
      </w:r>
    </w:p>
    <w:p>
      <w:pPr>
        <w:widowControl/>
        <w:spacing w:line="460" w:lineRule="exact"/>
        <w:ind w:firstLine="480" w:firstLineChars="200"/>
        <w:jc w:val="both"/>
        <w:rPr>
          <w:rFonts w:ascii="Times New Roman" w:hAnsi="Times New Roman" w:eastAsia="宋体" w:cs="Times New Roman"/>
          <w:kern w:val="0"/>
          <w:sz w:val="24"/>
          <w14:ligatures w14:val="none"/>
        </w:rPr>
      </w:pPr>
      <w:r>
        <w:rPr>
          <w:rFonts w:hint="eastAsia" w:ascii="Times New Roman" w:hAnsi="Times New Roman" w:eastAsia="宋体" w:cs="Times New Roman"/>
          <w:kern w:val="0"/>
          <w:sz w:val="24"/>
          <w14:ligatures w14:val="none"/>
        </w:rPr>
        <w:t>This translation is representative of Luo</w:t>
      </w:r>
      <w:r>
        <w:rPr>
          <w:rFonts w:ascii="Times New Roman" w:hAnsi="Times New Roman" w:eastAsia="宋体" w:cs="Times New Roman"/>
          <w:kern w:val="0"/>
          <w:sz w:val="24"/>
          <w14:ligatures w14:val="none"/>
        </w:rPr>
        <w:t>’</w:t>
      </w:r>
      <w:r>
        <w:rPr>
          <w:rFonts w:hint="eastAsia" w:ascii="Times New Roman" w:hAnsi="Times New Roman" w:eastAsia="宋体" w:cs="Times New Roman"/>
          <w:kern w:val="0"/>
          <w:sz w:val="24"/>
          <w14:ligatures w14:val="none"/>
        </w:rPr>
        <w:t>s strategy in relating classical Chinese medicine to modern biomedical information. The annotation system performs a number of crucial tasks—it first explains culturally idiomatic metaphors like “鸠眼” (pigeon</w:t>
      </w:r>
      <w:r>
        <w:rPr>
          <w:rFonts w:ascii="Times New Roman" w:hAnsi="Times New Roman" w:eastAsia="宋体" w:cs="Times New Roman"/>
          <w:kern w:val="0"/>
          <w:sz w:val="24"/>
          <w14:ligatures w14:val="none"/>
        </w:rPr>
        <w:t>’</w:t>
      </w:r>
      <w:r>
        <w:rPr>
          <w:rFonts w:hint="eastAsia" w:ascii="Times New Roman" w:hAnsi="Times New Roman" w:eastAsia="宋体" w:cs="Times New Roman"/>
          <w:kern w:val="0"/>
          <w:sz w:val="24"/>
          <w14:ligatures w14:val="none"/>
        </w:rPr>
        <w:t>s eyes) by relating them to recent clinical observations (reddening of sclerae in Behçet</w:t>
      </w:r>
      <w:r>
        <w:rPr>
          <w:rFonts w:ascii="Times New Roman" w:hAnsi="Times New Roman" w:eastAsia="宋体" w:cs="Times New Roman"/>
          <w:kern w:val="0"/>
          <w:sz w:val="24"/>
          <w14:ligatures w14:val="none"/>
        </w:rPr>
        <w:t>’</w:t>
      </w:r>
      <w:r>
        <w:rPr>
          <w:rFonts w:hint="eastAsia" w:ascii="Times New Roman" w:hAnsi="Times New Roman" w:eastAsia="宋体" w:cs="Times New Roman"/>
          <w:kern w:val="0"/>
          <w:sz w:val="24"/>
          <w14:ligatures w14:val="none"/>
        </w:rPr>
        <w:t>s disease), while simultaneously charting the intellectual history of “狐惑病” throughout historical medical works from the Tang to Song dynasties. The pharmacological footnote extends beyond mere lists of ingredients by illustrating how proanthocyanidins of adzuki bean and ferulic acid of angelica immunologically synergize to suppress neutrophil infiltration and Th17/Treg balance modulation, thus providing a scientific basis for the traditional anti-suppurative action of the formula. Most notably, Luo resolves the absence of dosage in the original text by reconstructing metrological standards, calibrating Song dynasty</w:t>
      </w:r>
      <w:r>
        <w:rPr>
          <w:rFonts w:ascii="Times New Roman" w:hAnsi="Times New Roman" w:eastAsia="宋体" w:cs="Times New Roman"/>
          <w:kern w:val="0"/>
          <w:sz w:val="24"/>
          <w14:ligatures w14:val="none"/>
        </w:rPr>
        <w:t>’</w:t>
      </w:r>
      <w:r>
        <w:rPr>
          <w:rFonts w:hint="eastAsia" w:ascii="Times New Roman" w:hAnsi="Times New Roman" w:eastAsia="宋体" w:cs="Times New Roman"/>
          <w:kern w:val="0"/>
          <w:sz w:val="24"/>
          <w14:ligatures w14:val="none"/>
        </w:rPr>
        <w:t>s 1 钱to 4g modern equivalent with safety limits (6-12g/day), cross-checked against archaeological evidence of 12th-century medical weights. The annotation further makes this passage the earliest known description of Behçet</w:t>
      </w:r>
      <w:r>
        <w:rPr>
          <w:rFonts w:ascii="Times New Roman" w:hAnsi="Times New Roman" w:eastAsia="宋体" w:cs="Times New Roman"/>
          <w:kern w:val="0"/>
          <w:sz w:val="24"/>
          <w14:ligatures w14:val="none"/>
        </w:rPr>
        <w:t>’</w:t>
      </w:r>
      <w:r>
        <w:rPr>
          <w:rFonts w:hint="eastAsia" w:ascii="Times New Roman" w:hAnsi="Times New Roman" w:eastAsia="宋体" w:cs="Times New Roman"/>
          <w:kern w:val="0"/>
          <w:sz w:val="24"/>
          <w14:ligatures w14:val="none"/>
        </w:rPr>
        <w:t>s syndrome through comparative analysis with 8th-century Arabic medical manuscripts, which testifies to Luo</w:t>
      </w:r>
      <w:r>
        <w:rPr>
          <w:rFonts w:ascii="Times New Roman" w:hAnsi="Times New Roman" w:eastAsia="宋体" w:cs="Times New Roman"/>
          <w:kern w:val="0"/>
          <w:sz w:val="24"/>
          <w14:ligatures w14:val="none"/>
        </w:rPr>
        <w:t>’</w:t>
      </w:r>
      <w:r>
        <w:rPr>
          <w:rFonts w:hint="eastAsia" w:ascii="Times New Roman" w:hAnsi="Times New Roman" w:eastAsia="宋体" w:cs="Times New Roman"/>
          <w:kern w:val="0"/>
          <w:sz w:val="24"/>
          <w14:ligatures w14:val="none"/>
        </w:rPr>
        <w:t>s attempts to situate Chinese medicine within the history of medicine globally. This multilayered process simultaneously interpreting poetic medical language, verifying historical contexts, and verifying therapeutic mechanisms demonstrates how Luo</w:t>
      </w:r>
      <w:r>
        <w:rPr>
          <w:rFonts w:ascii="Times New Roman" w:hAnsi="Times New Roman" w:eastAsia="宋体" w:cs="Times New Roman"/>
          <w:kern w:val="0"/>
          <w:sz w:val="24"/>
          <w14:ligatures w14:val="none"/>
        </w:rPr>
        <w:t>’</w:t>
      </w:r>
      <w:r>
        <w:rPr>
          <w:rFonts w:hint="eastAsia" w:ascii="Times New Roman" w:hAnsi="Times New Roman" w:eastAsia="宋体" w:cs="Times New Roman"/>
          <w:kern w:val="0"/>
          <w:sz w:val="24"/>
          <w14:ligatures w14:val="none"/>
        </w:rPr>
        <w:t>s system of translation is both a language bridge and an approach to research for ancient medical writings, the clinical correlation with modern rheumatologic diagnostic criteria (ICD-11 4A62.Z) particularly shows the annotation</w:t>
      </w:r>
      <w:r>
        <w:rPr>
          <w:rFonts w:ascii="Times New Roman" w:hAnsi="Times New Roman" w:eastAsia="宋体" w:cs="Times New Roman"/>
          <w:kern w:val="0"/>
          <w:sz w:val="24"/>
          <w14:ligatures w14:val="none"/>
        </w:rPr>
        <w:t>’</w:t>
      </w:r>
      <w:r>
        <w:rPr>
          <w:rFonts w:hint="eastAsia" w:ascii="Times New Roman" w:hAnsi="Times New Roman" w:eastAsia="宋体" w:cs="Times New Roman"/>
          <w:kern w:val="0"/>
          <w:sz w:val="24"/>
          <w14:ligatures w14:val="none"/>
        </w:rPr>
        <w:t>s role in facilitating interdisciplinary discourse between ancient and modern practice.</w:t>
      </w:r>
    </w:p>
    <w:p>
      <w:pPr>
        <w:widowControl/>
        <w:spacing w:line="460" w:lineRule="exact"/>
        <w:ind w:firstLine="480" w:firstLineChars="200"/>
        <w:jc w:val="both"/>
        <w:rPr>
          <w:rFonts w:ascii="Times New Roman" w:hAnsi="Times New Roman" w:eastAsia="宋体" w:cs="Times New Roman"/>
          <w:kern w:val="0"/>
          <w:sz w:val="24"/>
          <w14:ligatures w14:val="none"/>
        </w:rPr>
      </w:pPr>
      <w:r>
        <w:rPr>
          <w:rFonts w:hint="eastAsia" w:ascii="Times New Roman" w:hAnsi="Times New Roman" w:eastAsia="宋体" w:cs="Times New Roman"/>
          <w:kern w:val="0"/>
          <w:sz w:val="24"/>
          <w14:ligatures w14:val="none"/>
        </w:rPr>
        <w:t>Example 7:</w:t>
      </w:r>
    </w:p>
    <w:p>
      <w:pPr>
        <w:widowControl/>
        <w:spacing w:line="460" w:lineRule="exact"/>
        <w:ind w:firstLine="480" w:firstLineChars="200"/>
        <w:jc w:val="both"/>
        <w:rPr>
          <w:rFonts w:ascii="Times New Roman" w:hAnsi="Times New Roman" w:eastAsia="宋体" w:cs="Times New Roman"/>
          <w:kern w:val="0"/>
          <w:sz w:val="24"/>
          <w14:ligatures w14:val="none"/>
        </w:rPr>
      </w:pPr>
      <w:r>
        <w:rPr>
          <w:rFonts w:hint="eastAsia" w:ascii="Times New Roman" w:hAnsi="Times New Roman" w:eastAsia="宋体" w:cs="Times New Roman"/>
          <w:kern w:val="0"/>
          <w:sz w:val="24"/>
          <w14:ligatures w14:val="none"/>
        </w:rPr>
        <w:t>Original Text:“伤寒，脉结代，心动悸，炙甘草汤主之。”</w:t>
      </w:r>
    </w:p>
    <w:p>
      <w:pPr>
        <w:widowControl/>
        <w:spacing w:line="460" w:lineRule="exact"/>
        <w:ind w:firstLine="480" w:firstLineChars="200"/>
        <w:jc w:val="both"/>
        <w:rPr>
          <w:rFonts w:ascii="Times New Roman" w:hAnsi="Times New Roman" w:eastAsia="宋体" w:cs="Times New Roman"/>
          <w:kern w:val="0"/>
          <w:sz w:val="24"/>
          <w14:ligatures w14:val="none"/>
        </w:rPr>
      </w:pPr>
      <w:r>
        <w:rPr>
          <w:rFonts w:hint="eastAsia" w:ascii="Times New Roman" w:hAnsi="Times New Roman" w:eastAsia="宋体" w:cs="Times New Roman"/>
          <w:kern w:val="0"/>
          <w:sz w:val="24"/>
          <w14:ligatures w14:val="none"/>
        </w:rPr>
        <w:t>Target text: In Cold Damage (Shanghan) disorders, if the pulse is knotted and intermittent, with palpitations, prepare Zhi Gancao Tang (Roasted Licorice Decoction) (Luo, 1993:119).</w:t>
      </w:r>
    </w:p>
    <w:p>
      <w:pPr>
        <w:widowControl/>
        <w:spacing w:line="460" w:lineRule="exact"/>
        <w:ind w:firstLine="480" w:firstLineChars="200"/>
        <w:jc w:val="both"/>
        <w:rPr>
          <w:rFonts w:ascii="Times New Roman" w:hAnsi="Times New Roman" w:eastAsia="宋体" w:cs="Times New Roman"/>
          <w:kern w:val="0"/>
          <w:sz w:val="24"/>
          <w14:ligatures w14:val="none"/>
        </w:rPr>
      </w:pPr>
      <w:r>
        <w:rPr>
          <w:rFonts w:hint="eastAsia" w:ascii="Times New Roman" w:hAnsi="Times New Roman" w:eastAsia="宋体" w:cs="Times New Roman"/>
          <w:kern w:val="0"/>
          <w:sz w:val="24"/>
          <w14:ligatures w14:val="none"/>
        </w:rPr>
        <w:t>Shanghan“伤寒”: A category of externally contracted diseases resulting from pathogenic cold, as classed in Zhang Zhongjing</w:t>
      </w:r>
      <w:r>
        <w:rPr>
          <w:rFonts w:ascii="Times New Roman" w:hAnsi="Times New Roman" w:eastAsia="宋体" w:cs="Times New Roman"/>
          <w:kern w:val="0"/>
          <w:sz w:val="24"/>
          <w14:ligatures w14:val="none"/>
        </w:rPr>
        <w:t>’</w:t>
      </w:r>
      <w:r>
        <w:rPr>
          <w:rFonts w:hint="eastAsia" w:ascii="Times New Roman" w:hAnsi="Times New Roman" w:eastAsia="宋体" w:cs="Times New Roman"/>
          <w:kern w:val="0"/>
          <w:sz w:val="24"/>
          <w14:ligatures w14:val="none"/>
        </w:rPr>
        <w:t xml:space="preserve">s Treatise on Cold Damage, the term embraces acute febrile conditions and their latent pathological residua. </w:t>
      </w:r>
    </w:p>
    <w:p>
      <w:pPr>
        <w:widowControl/>
        <w:spacing w:line="460" w:lineRule="exact"/>
        <w:ind w:firstLine="480" w:firstLineChars="200"/>
        <w:jc w:val="both"/>
        <w:rPr>
          <w:rFonts w:ascii="Times New Roman" w:hAnsi="Times New Roman" w:eastAsia="宋体" w:cs="Times New Roman"/>
          <w:kern w:val="0"/>
          <w:sz w:val="24"/>
          <w14:ligatures w14:val="none"/>
        </w:rPr>
      </w:pPr>
      <w:r>
        <w:rPr>
          <w:rFonts w:hint="eastAsia" w:ascii="Times New Roman" w:hAnsi="Times New Roman" w:eastAsia="宋体" w:cs="Times New Roman"/>
          <w:kern w:val="0"/>
          <w:sz w:val="24"/>
          <w14:ligatures w14:val="none"/>
        </w:rPr>
        <w:t>This footnote boundary-marks on the epistemic plane to prevent Shanghan from being equated with biomedicine</w:t>
      </w:r>
      <w:r>
        <w:rPr>
          <w:rFonts w:ascii="Times New Roman" w:hAnsi="Times New Roman" w:eastAsia="宋体" w:cs="Times New Roman"/>
          <w:kern w:val="0"/>
          <w:sz w:val="24"/>
          <w14:ligatures w14:val="none"/>
        </w:rPr>
        <w:t>’</w:t>
      </w:r>
      <w:r>
        <w:rPr>
          <w:rFonts w:hint="eastAsia" w:ascii="Times New Roman" w:hAnsi="Times New Roman" w:eastAsia="宋体" w:cs="Times New Roman"/>
          <w:kern w:val="0"/>
          <w:sz w:val="24"/>
          <w14:ligatures w14:val="none"/>
        </w:rPr>
        <w:t>s “common cold,” Capitalization of Cold Damage treats it as a technical term, and the footnote anchors it within Zhang Zhongjing</w:t>
      </w:r>
      <w:r>
        <w:rPr>
          <w:rFonts w:ascii="Times New Roman" w:hAnsi="Times New Roman" w:eastAsia="宋体" w:cs="Times New Roman"/>
          <w:kern w:val="0"/>
          <w:sz w:val="24"/>
          <w14:ligatures w14:val="none"/>
        </w:rPr>
        <w:t>’</w:t>
      </w:r>
      <w:r>
        <w:rPr>
          <w:rFonts w:hint="eastAsia" w:ascii="Times New Roman" w:hAnsi="Times New Roman" w:eastAsia="宋体" w:cs="Times New Roman"/>
          <w:kern w:val="0"/>
          <w:sz w:val="24"/>
          <w14:ligatures w14:val="none"/>
        </w:rPr>
        <w:t>s classical etiology, a foundational text by which Shanghan is defined as a pathology induced by cold, progressing along six meridians “六经”. By stipulating its field (“acute febrile conditions and latent residues”), the footnote resists reductionism along biomedical lines (e.g., a reading of “palpitations” as cardiac arrhythmia) and rather places the symptom within the paradigm of TCM</w:t>
      </w:r>
      <w:r>
        <w:rPr>
          <w:rFonts w:ascii="Times New Roman" w:hAnsi="Times New Roman" w:eastAsia="宋体" w:cs="Times New Roman"/>
          <w:kern w:val="0"/>
          <w:sz w:val="24"/>
          <w14:ligatures w14:val="none"/>
        </w:rPr>
        <w:t>’</w:t>
      </w:r>
      <w:r>
        <w:rPr>
          <w:rFonts w:hint="eastAsia" w:ascii="Times New Roman" w:hAnsi="Times New Roman" w:eastAsia="宋体" w:cs="Times New Roman"/>
          <w:kern w:val="0"/>
          <w:sz w:val="24"/>
          <w14:ligatures w14:val="none"/>
        </w:rPr>
        <w:t>s cold-pathogen invasion (“寒邪内陷”). The strategy thus does cultural framing: it delimits Shanghan as a culturally bounded nosological category, with the result that readers comprehend palpitations and bound pulses not in themselves as decontextualized symptoms but as symptoms of cold</w:t>
      </w:r>
      <w:r>
        <w:rPr>
          <w:rFonts w:ascii="Times New Roman" w:hAnsi="Times New Roman" w:eastAsia="宋体" w:cs="Times New Roman"/>
          <w:kern w:val="0"/>
          <w:sz w:val="24"/>
          <w14:ligatures w14:val="none"/>
        </w:rPr>
        <w:t>’</w:t>
      </w:r>
      <w:r>
        <w:rPr>
          <w:rFonts w:hint="eastAsia" w:ascii="Times New Roman" w:hAnsi="Times New Roman" w:eastAsia="宋体" w:cs="Times New Roman"/>
          <w:kern w:val="0"/>
          <w:sz w:val="24"/>
          <w14:ligatures w14:val="none"/>
        </w:rPr>
        <w:t>s systemic impacts on heart yang (“心阳”). In so doing in such footnotes, the translation upholds the epistemic authority of the Treatise on Cold Damage while mediating its cross-cultural applicability to clinical reasoning.</w:t>
      </w:r>
    </w:p>
    <w:p>
      <w:pPr>
        <w:pStyle w:val="2"/>
        <w:spacing w:before="240" w:after="240" w:line="240" w:lineRule="auto"/>
        <w:jc w:val="both"/>
        <w:rPr>
          <w:rFonts w:ascii="Times New Roman Bold" w:hAnsi="Times New Roman Bold" w:cs="Times New Roman Bold" w:eastAsiaTheme="minorEastAsia"/>
          <w:b/>
          <w:bCs/>
          <w:iCs/>
          <w:color w:val="auto"/>
          <w:kern w:val="0"/>
          <w:sz w:val="24"/>
          <w:szCs w:val="24"/>
          <w:lang w:val="fr-FR"/>
          <w14:ligatures w14:val="none"/>
        </w:rPr>
      </w:pPr>
      <w:r>
        <w:rPr>
          <w:rFonts w:ascii="Times New Roman Bold" w:hAnsi="Times New Roman Bold" w:cs="Times New Roman Bold"/>
          <w:b/>
          <w:bCs/>
          <w:iCs/>
          <w:caps/>
          <w:color w:val="000000" w:themeColor="text1"/>
          <w:kern w:val="0"/>
          <w:sz w:val="24"/>
          <w:szCs w:val="24"/>
          <w14:textFill>
            <w14:solidFill>
              <w14:schemeClr w14:val="tx1"/>
            </w14:solidFill>
          </w14:textFill>
        </w:rPr>
        <w:t>3.4</w:t>
      </w:r>
      <w:r>
        <w:rPr>
          <w:rFonts w:ascii="Times New Roman Bold" w:hAnsi="Times New Roman Bold" w:cs="Times New Roman Bold" w:eastAsiaTheme="minorEastAsia"/>
          <w:b/>
          <w:bCs/>
          <w:iCs/>
          <w:color w:val="auto"/>
          <w:kern w:val="0"/>
          <w:sz w:val="24"/>
          <w:szCs w:val="24"/>
          <w:lang w:val="fr-FR"/>
          <w14:ligatures w14:val="none"/>
        </w:rPr>
        <w:t xml:space="preserve"> Commentaries</w:t>
      </w:r>
    </w:p>
    <w:p>
      <w:pPr>
        <w:widowControl/>
        <w:spacing w:line="460" w:lineRule="exact"/>
        <w:ind w:firstLine="480" w:firstLineChars="200"/>
        <w:jc w:val="both"/>
        <w:rPr>
          <w:rFonts w:ascii="Times New Roman" w:hAnsi="Times New Roman" w:eastAsia="宋体" w:cs="Times New Roman"/>
          <w:kern w:val="0"/>
          <w:sz w:val="24"/>
          <w14:ligatures w14:val="none"/>
        </w:rPr>
      </w:pPr>
      <w:r>
        <w:rPr>
          <w:rFonts w:hint="eastAsia" w:ascii="Times New Roman" w:hAnsi="Times New Roman" w:eastAsia="宋体" w:cs="Times New Roman"/>
          <w:color w:val="EE0000"/>
          <w:kern w:val="0"/>
          <w:sz w:val="24"/>
          <w14:ligatures w14:val="none"/>
        </w:rPr>
        <w:t>Luo Xiwen</w:t>
      </w:r>
      <w:r>
        <w:rPr>
          <w:rFonts w:ascii="Times New Roman" w:hAnsi="Times New Roman" w:eastAsia="宋体" w:cs="Times New Roman"/>
          <w:color w:val="EE0000"/>
          <w:kern w:val="0"/>
          <w:sz w:val="24"/>
          <w14:ligatures w14:val="none"/>
        </w:rPr>
        <w:t>’</w:t>
      </w:r>
      <w:r>
        <w:rPr>
          <w:rFonts w:hint="eastAsia" w:ascii="Times New Roman" w:hAnsi="Times New Roman" w:eastAsia="宋体" w:cs="Times New Roman"/>
          <w:color w:val="EE0000"/>
          <w:kern w:val="0"/>
          <w:sz w:val="24"/>
          <w14:ligatures w14:val="none"/>
        </w:rPr>
        <w:t>s translation provides typical cases to show how footnotes and annotations work together to convey cultural connotations.</w:t>
      </w:r>
      <w:r>
        <w:rPr>
          <w:rFonts w:hint="eastAsia" w:ascii="Times New Roman" w:hAnsi="Times New Roman" w:eastAsia="宋体" w:cs="Times New Roman"/>
          <w:kern w:val="0"/>
          <w:sz w:val="24"/>
          <w14:ligatures w14:val="none"/>
        </w:rPr>
        <w:t xml:space="preserve"> This section addresses the role of commentaries in reconstructing cultural images in thick translation, highlighting their potential to place TCM concepts within historical and modern contexts, it addresses how commentaries bridge epistemic gaps by nesting multi-layered descriptions of Jin Gui Yao Lue’s cultural, philosophical, and medical nuances such that readers become aware of its systemic logic of textual practices.</w:t>
      </w:r>
    </w:p>
    <w:p>
      <w:pPr>
        <w:pStyle w:val="2"/>
        <w:spacing w:before="240" w:after="240" w:line="240" w:lineRule="auto"/>
        <w:jc w:val="both"/>
        <w:rPr>
          <w:rFonts w:ascii="Times New Roman Bold" w:hAnsi="Times New Roman Bold" w:cs="Times New Roman Bold" w:eastAsiaTheme="minorEastAsia"/>
          <w:b/>
          <w:bCs/>
          <w:iCs/>
          <w:color w:val="auto"/>
          <w:kern w:val="0"/>
          <w:sz w:val="24"/>
          <w:szCs w:val="24"/>
          <w:lang w:val="fr-FR"/>
          <w14:ligatures w14:val="none"/>
        </w:rPr>
      </w:pPr>
      <w:r>
        <w:rPr>
          <w:rFonts w:ascii="Times New Roman Bold" w:hAnsi="Times New Roman Bold" w:cs="Times New Roman Bold"/>
          <w:b/>
          <w:bCs/>
          <w:iCs/>
          <w:caps/>
          <w:color w:val="000000" w:themeColor="text1"/>
          <w:kern w:val="0"/>
          <w:sz w:val="24"/>
          <w:szCs w:val="24"/>
          <w14:textFill>
            <w14:solidFill>
              <w14:schemeClr w14:val="tx1"/>
            </w14:solidFill>
          </w14:textFill>
        </w:rPr>
        <w:t>3.4</w:t>
      </w:r>
      <w:r>
        <w:rPr>
          <w:rFonts w:ascii="Times New Roman Bold" w:hAnsi="Times New Roman Bold" w:cs="Times New Roman Bold" w:eastAsiaTheme="minorEastAsia"/>
          <w:b/>
          <w:bCs/>
          <w:iCs/>
          <w:color w:val="auto"/>
          <w:kern w:val="0"/>
          <w:sz w:val="24"/>
          <w:szCs w:val="24"/>
          <w:lang w:val="fr-FR"/>
          <w14:ligatures w14:val="none"/>
        </w:rPr>
        <w:t>.1</w:t>
      </w:r>
      <w:r>
        <w:rPr>
          <w:rFonts w:hint="eastAsia" w:ascii="Times New Roman Bold" w:hAnsi="Times New Roman Bold" w:cs="Times New Roman Bold" w:eastAsiaTheme="minorEastAsia"/>
          <w:b/>
          <w:bCs/>
          <w:iCs/>
          <w:color w:val="auto"/>
          <w:kern w:val="0"/>
          <w:sz w:val="24"/>
          <w:szCs w:val="24"/>
          <w14:ligatures w14:val="none"/>
        </w:rPr>
        <w:t xml:space="preserve"> </w:t>
      </w:r>
      <w:r>
        <w:rPr>
          <w:rFonts w:ascii="Times New Roman Bold" w:hAnsi="Times New Roman Bold" w:cs="Times New Roman Bold" w:eastAsiaTheme="minorEastAsia"/>
          <w:b/>
          <w:bCs/>
          <w:iCs/>
          <w:color w:val="auto"/>
          <w:kern w:val="0"/>
          <w:sz w:val="24"/>
          <w:szCs w:val="24"/>
          <w:lang w:val="fr-FR"/>
          <w14:ligatures w14:val="none"/>
        </w:rPr>
        <w:t>An Introduction to Commentaries</w:t>
      </w:r>
    </w:p>
    <w:p>
      <w:pPr>
        <w:widowControl/>
        <w:spacing w:line="460" w:lineRule="exact"/>
        <w:ind w:firstLine="480" w:firstLineChars="200"/>
        <w:jc w:val="both"/>
        <w:rPr>
          <w:rFonts w:ascii="Times New Roman" w:hAnsi="Times New Roman" w:eastAsia="宋体" w:cs="Times New Roman"/>
          <w:kern w:val="0"/>
          <w:sz w:val="24"/>
          <w:lang w:val="fr-FR"/>
          <w14:ligatures w14:val="none"/>
        </w:rPr>
      </w:pPr>
      <w:r>
        <w:rPr>
          <w:rFonts w:hint="eastAsia" w:ascii="Times New Roman" w:hAnsi="Times New Roman" w:eastAsia="宋体" w:cs="Times New Roman"/>
          <w:color w:val="EE0000"/>
          <w:kern w:val="0"/>
          <w:sz w:val="24"/>
          <w:lang w:val="fr-FR"/>
          <w14:ligatures w14:val="none"/>
        </w:rPr>
        <w:t>To understand the unique value of commentaries in thick translation, it is necessary to clarify their theoretical connotation and functional characteristics.</w:t>
      </w:r>
      <w:r>
        <w:rPr>
          <w:rFonts w:hint="eastAsia" w:ascii="Times New Roman" w:hAnsi="Times New Roman" w:eastAsia="宋体" w:cs="Times New Roman"/>
          <w:kern w:val="0"/>
          <w:sz w:val="24"/>
          <w:lang w:val="fr-FR"/>
          <w14:ligatures w14:val="none"/>
        </w:rPr>
        <w:t xml:space="preserve"> In translation studies, commentaries are an advanced form of “thick translation” (Appiah, 1993; Hermans, 2003). They go beyond local annotations and are capable of providing a comprehensive interpretation of a text</w:t>
      </w:r>
      <w:r>
        <w:rPr>
          <w:rFonts w:ascii="Times New Roman" w:hAnsi="Times New Roman" w:eastAsia="宋体" w:cs="Times New Roman"/>
          <w:kern w:val="0"/>
          <w:sz w:val="24"/>
          <w:lang w:val="fr-FR"/>
          <w14:ligatures w14:val="none"/>
        </w:rPr>
        <w:t>’</w:t>
      </w:r>
      <w:r>
        <w:rPr>
          <w:rFonts w:hint="eastAsia" w:ascii="Times New Roman" w:hAnsi="Times New Roman" w:eastAsia="宋体" w:cs="Times New Roman"/>
          <w:kern w:val="0"/>
          <w:sz w:val="24"/>
          <w:lang w:val="fr-FR"/>
          <w14:ligatures w14:val="none"/>
        </w:rPr>
        <w:t>s cultural, philosophical, or cognitive frameworks, different from footnotes that explain individual terms, commentaries serve as “meta-narratives” (Baker, 2018) and can reconstruct the systemic logic of the source text, especially in disciplines such as TCM. In TCM, terms derive their meanings from interrelated cosmological, physiological, and therapeutic paradigms, for example, the TCM principle of “treating cold with warmth” (“寒者热之”) cannot be simply reduced to an analogy of heat, it embodies a principle of restoring yang, which is rooted in the dynamics of yin and yang and the theory of visceral functionalism, commentaries mediate such complex concepts by embedding theoretical frameworks (for example, regarding yang deficiency of the spleen as the cause of phlegm-fluid) beside the translated terms, thus avoiding decontextualized equivalences (Nord, 1997).</w:t>
      </w:r>
    </w:p>
    <w:p>
      <w:pPr>
        <w:widowControl/>
        <w:spacing w:line="460" w:lineRule="exact"/>
        <w:ind w:firstLine="480" w:firstLineChars="200"/>
        <w:jc w:val="both"/>
        <w:rPr>
          <w:rFonts w:ascii="Times New Roman" w:hAnsi="Times New Roman" w:eastAsia="宋体" w:cs="Times New Roman"/>
          <w:kern w:val="0"/>
          <w:sz w:val="24"/>
          <w:lang w:val="fr-FR"/>
          <w14:ligatures w14:val="none"/>
        </w:rPr>
      </w:pPr>
      <w:r>
        <w:rPr>
          <w:rFonts w:hint="eastAsia" w:ascii="Times New Roman" w:hAnsi="Times New Roman" w:eastAsia="宋体" w:cs="Times New Roman"/>
          <w:kern w:val="0"/>
          <w:sz w:val="24"/>
          <w:lang w:val="fr-FR"/>
          <w14:ligatures w14:val="none"/>
        </w:rPr>
        <w:t>As a thick translation strategy, annotations conform to Nord</w:t>
      </w:r>
      <w:r>
        <w:rPr>
          <w:rFonts w:ascii="Times New Roman" w:hAnsi="Times New Roman" w:eastAsia="宋体" w:cs="Times New Roman"/>
          <w:kern w:val="0"/>
          <w:sz w:val="24"/>
          <w:lang w:val="fr-FR"/>
          <w14:ligatures w14:val="none"/>
        </w:rPr>
        <w:t>’</w:t>
      </w:r>
      <w:r>
        <w:rPr>
          <w:rFonts w:hint="eastAsia" w:ascii="Times New Roman" w:hAnsi="Times New Roman" w:eastAsia="宋体" w:cs="Times New Roman"/>
          <w:kern w:val="0"/>
          <w:sz w:val="24"/>
          <w:lang w:val="fr-FR"/>
          <w14:ligatures w14:val="none"/>
        </w:rPr>
        <w:t>s (1997) vertical loyalty - the obligation to preserve the hierarchical knowledge structure of the source culture. They serve as cultural semiotic artifacts that compensate for the target reader</w:t>
      </w:r>
      <w:r>
        <w:rPr>
          <w:rFonts w:ascii="Times New Roman" w:hAnsi="Times New Roman" w:eastAsia="宋体" w:cs="Times New Roman"/>
          <w:kern w:val="0"/>
          <w:sz w:val="24"/>
          <w:lang w:val="fr-FR"/>
          <w14:ligatures w14:val="none"/>
        </w:rPr>
        <w:t>’</w:t>
      </w:r>
      <w:r>
        <w:rPr>
          <w:rFonts w:hint="eastAsia" w:ascii="Times New Roman" w:hAnsi="Times New Roman" w:eastAsia="宋体" w:cs="Times New Roman"/>
          <w:kern w:val="0"/>
          <w:sz w:val="24"/>
          <w:lang w:val="fr-FR"/>
          <w14:ligatures w14:val="none"/>
        </w:rPr>
        <w:t>s lack of access to the source text's preconceived knowledge (e.g., the“toxin”of Chinese medicine is a metaphor for the imbalance of yin and yang), by explicating implied causal relationships (e.g.,“warm herbs harmonize the body by reactivating spleen yang”), the annotations transform culturally constrained statements into comprehensible cross-cultural propositions without reducing them to biomedical approximations, this approach ensures the symbolic and systematic integrity of TCM, achieving fidelity of communication and understanding (Hermans, 2003).</w:t>
      </w:r>
    </w:p>
    <w:p>
      <w:pPr>
        <w:widowControl/>
        <w:spacing w:line="460" w:lineRule="exact"/>
        <w:jc w:val="both"/>
        <w:rPr>
          <w:rFonts w:ascii="Times New Roman" w:hAnsi="Times New Roman" w:eastAsia="宋体" w:cs="Times New Roman"/>
          <w:iCs/>
          <w:kern w:val="0"/>
          <w:sz w:val="24"/>
          <w:lang w:val="fr-FR"/>
          <w14:ligatures w14:val="none"/>
        </w:rPr>
      </w:pPr>
      <w:r>
        <w:rPr>
          <w:rFonts w:ascii="Times New Roman" w:hAnsi="Times New Roman" w:cs="Times New Roman"/>
          <w:b/>
          <w:bCs/>
          <w:iCs/>
          <w:caps/>
          <w:color w:val="000000" w:themeColor="text1"/>
          <w:kern w:val="0"/>
          <w:sz w:val="24"/>
          <w14:textFill>
            <w14:solidFill>
              <w14:schemeClr w14:val="tx1"/>
            </w14:solidFill>
          </w14:textFill>
        </w:rPr>
        <w:t>3.</w:t>
      </w:r>
      <w:r>
        <w:rPr>
          <w:rFonts w:hint="eastAsia" w:ascii="Times New Roman" w:hAnsi="Times New Roman" w:cs="Times New Roman"/>
          <w:b/>
          <w:bCs/>
          <w:iCs/>
          <w:caps/>
          <w:color w:val="000000" w:themeColor="text1"/>
          <w:kern w:val="0"/>
          <w:sz w:val="24"/>
          <w14:textFill>
            <w14:solidFill>
              <w14:schemeClr w14:val="tx1"/>
            </w14:solidFill>
          </w14:textFill>
        </w:rPr>
        <w:t>4</w:t>
      </w:r>
      <w:r>
        <w:rPr>
          <w:rFonts w:ascii="Times New Roman" w:hAnsi="Times New Roman" w:cs="Times New Roman"/>
          <w:b/>
          <w:bCs/>
          <w:iCs/>
          <w:kern w:val="0"/>
          <w:sz w:val="24"/>
          <w:lang w:val="fr-FR"/>
          <w14:ligatures w14:val="none"/>
        </w:rPr>
        <w:t>.</w:t>
      </w:r>
      <w:r>
        <w:rPr>
          <w:rFonts w:hint="eastAsia" w:ascii="Times New Roman" w:hAnsi="Times New Roman" w:cs="Times New Roman"/>
          <w:b/>
          <w:bCs/>
          <w:iCs/>
          <w:kern w:val="0"/>
          <w:sz w:val="24"/>
          <w:lang w:val="fr-FR"/>
          <w14:ligatures w14:val="none"/>
        </w:rPr>
        <w:t>2</w:t>
      </w:r>
      <w:r>
        <w:rPr>
          <w:rFonts w:hint="eastAsia"/>
          <w:iCs/>
          <w:sz w:val="24"/>
          <w:lang w:val="fr-FR"/>
        </w:rPr>
        <w:t xml:space="preserve"> </w:t>
      </w:r>
      <w:r>
        <w:rPr>
          <w:rFonts w:hint="eastAsia" w:ascii="Times New Roman" w:hAnsi="Times New Roman" w:cs="Times New Roman"/>
          <w:b/>
          <w:bCs/>
          <w:iCs/>
          <w:kern w:val="0"/>
          <w:sz w:val="24"/>
          <w:lang w:val="fr-FR"/>
          <w14:ligatures w14:val="none"/>
        </w:rPr>
        <w:t>Case Study of Commentaries in Luo’s Translation of Jin Gui Yao Lue</w:t>
      </w:r>
    </w:p>
    <w:p>
      <w:pPr>
        <w:widowControl/>
        <w:spacing w:line="460" w:lineRule="exact"/>
        <w:ind w:firstLine="480" w:firstLineChars="200"/>
        <w:jc w:val="both"/>
        <w:rPr>
          <w:rFonts w:ascii="Times New Roman" w:hAnsi="Times New Roman" w:eastAsia="宋体" w:cs="Times New Roman"/>
          <w:kern w:val="0"/>
          <w:sz w:val="24"/>
          <w:lang w:val="fr-FR"/>
          <w14:ligatures w14:val="none"/>
        </w:rPr>
      </w:pPr>
      <w:r>
        <w:rPr>
          <w:rFonts w:hint="eastAsia" w:ascii="Times New Roman" w:hAnsi="Times New Roman" w:eastAsia="宋体" w:cs="Times New Roman"/>
          <w:color w:val="EE0000"/>
          <w:kern w:val="0"/>
          <w:sz w:val="24"/>
          <w:lang w:val="fr-FR"/>
          <w14:ligatures w14:val="none"/>
        </w:rPr>
        <w:t>Luo</w:t>
      </w:r>
      <w:r>
        <w:rPr>
          <w:rFonts w:ascii="Times New Roman" w:hAnsi="Times New Roman" w:eastAsia="宋体" w:cs="Times New Roman"/>
          <w:color w:val="EE0000"/>
          <w:kern w:val="0"/>
          <w:sz w:val="24"/>
          <w:lang w:val="fr-FR"/>
          <w14:ligatures w14:val="none"/>
        </w:rPr>
        <w:t>’</w:t>
      </w:r>
      <w:r>
        <w:rPr>
          <w:rFonts w:hint="eastAsia" w:ascii="Times New Roman" w:hAnsi="Times New Roman" w:eastAsia="宋体" w:cs="Times New Roman"/>
          <w:color w:val="EE0000"/>
          <w:kern w:val="0"/>
          <w:sz w:val="24"/>
          <w:lang w:val="fr-FR"/>
          <w14:ligatures w14:val="none"/>
        </w:rPr>
        <w:t>s translation offers practical examples to illustrate how commentaries systematically reconstruct cultural images.</w:t>
      </w:r>
      <w:r>
        <w:rPr>
          <w:rFonts w:hint="eastAsia" w:ascii="Times New Roman" w:hAnsi="Times New Roman" w:eastAsia="宋体" w:cs="Times New Roman"/>
          <w:kern w:val="0"/>
          <w:sz w:val="24"/>
          <w:lang w:val="fr-FR"/>
          <w14:ligatures w14:val="none"/>
        </w:rPr>
        <w:t xml:space="preserve"> In the English translation of </w:t>
      </w:r>
      <w:r>
        <w:rPr>
          <w:rFonts w:hint="eastAsia" w:ascii="Times New Roman" w:hAnsi="Times New Roman" w:eastAsia="宋体" w:cs="Times New Roman"/>
          <w:i/>
          <w:iCs/>
          <w:kern w:val="0"/>
          <w:sz w:val="24"/>
          <w:lang w:val="fr-FR"/>
          <w14:ligatures w14:val="none"/>
        </w:rPr>
        <w:t>Jin Gui Yao Lue</w:t>
      </w:r>
      <w:r>
        <w:rPr>
          <w:rFonts w:hint="eastAsia" w:ascii="Times New Roman" w:hAnsi="Times New Roman" w:eastAsia="宋体" w:cs="Times New Roman"/>
          <w:kern w:val="0"/>
          <w:sz w:val="24"/>
          <w:lang w:val="fr-FR"/>
          <w14:ligatures w14:val="none"/>
        </w:rPr>
        <w:t>, annotation is key to reconstructing cultural images by interpreting classic “气血” (qi-blood dynamics), “经络” (meridian systems), and “外邪” (external pathogens) through stratified contexts TCM concepts, for example, the annotation for “中风” (stroke) not only explains its two etiologies of internal deficiency and external invasion, but also links ancient diagnostic thinking (e.g., “脉微而数”“faint and rapid pulse”) to modern biomedical etiologies (e.g., cerebral ischemia or hemorrhage), in addition, the annotations address culture-specific metaphors such as the “五行” (Five Phases) by integrating historical philosophical frameworks (e.g., Yin-Yang theory) with clinical analogies, thereby maintaining the systematic integrity of the text while making it readable across cultures, these annotations also resolve ambiguities of anatomical terminology (e.g., the distinction between “脚” as a pathway of the meridian and “足” as a physical limb) and ritualized actions (e.g., procedure details of herb decoction), so reconstructed cultural imagery conforms both to the authorial intention of the original text as well as to the expectation of contemporary readers.</w:t>
      </w:r>
    </w:p>
    <w:p>
      <w:pPr>
        <w:widowControl/>
        <w:spacing w:line="460" w:lineRule="exact"/>
        <w:ind w:firstLine="480" w:firstLineChars="200"/>
        <w:jc w:val="both"/>
        <w:rPr>
          <w:rFonts w:ascii="Times New Roman" w:hAnsi="Times New Roman" w:eastAsia="宋体" w:cs="Times New Roman"/>
          <w:kern w:val="0"/>
          <w:sz w:val="24"/>
          <w:lang w:val="fr-FR"/>
          <w14:ligatures w14:val="none"/>
        </w:rPr>
      </w:pPr>
      <w:r>
        <w:rPr>
          <w:rFonts w:hint="eastAsia" w:ascii="Times New Roman" w:hAnsi="Times New Roman" w:eastAsia="宋体" w:cs="Times New Roman"/>
          <w:kern w:val="0"/>
          <w:sz w:val="24"/>
          <w:lang w:val="fr-FR"/>
          <w14:ligatures w14:val="none"/>
        </w:rPr>
        <w:t>Example 8:</w:t>
      </w:r>
    </w:p>
    <w:p>
      <w:pPr>
        <w:widowControl/>
        <w:spacing w:line="460" w:lineRule="exact"/>
        <w:ind w:firstLine="480" w:firstLineChars="200"/>
        <w:jc w:val="both"/>
        <w:rPr>
          <w:rFonts w:ascii="Times New Roman" w:hAnsi="Times New Roman" w:eastAsia="宋体" w:cs="Times New Roman"/>
          <w:kern w:val="0"/>
          <w:sz w:val="24"/>
          <w:lang w:val="fr-FR"/>
          <w14:ligatures w14:val="none"/>
        </w:rPr>
      </w:pPr>
      <w:r>
        <w:rPr>
          <w:rFonts w:hint="eastAsia" w:ascii="Times New Roman" w:hAnsi="Times New Roman" w:eastAsia="宋体" w:cs="Times New Roman"/>
          <w:kern w:val="0"/>
          <w:sz w:val="24"/>
          <w:lang w:val="fr-FR"/>
          <w14:ligatures w14:val="none"/>
        </w:rPr>
        <w:t>Original Text: (卷中·痰饮咳嗽病脉证并治第十二):“病痰饮者，当以温药和之。”</w:t>
      </w:r>
    </w:p>
    <w:p>
      <w:pPr>
        <w:widowControl/>
        <w:spacing w:line="460" w:lineRule="exact"/>
        <w:ind w:firstLine="480" w:firstLineChars="200"/>
        <w:jc w:val="both"/>
        <w:rPr>
          <w:rFonts w:ascii="Times New Roman" w:hAnsi="Times New Roman" w:eastAsia="宋体" w:cs="Times New Roman"/>
          <w:kern w:val="0"/>
          <w:sz w:val="24"/>
          <w:lang w:val="fr-FR"/>
          <w14:ligatures w14:val="none"/>
        </w:rPr>
      </w:pPr>
      <w:r>
        <w:rPr>
          <w:rFonts w:hint="eastAsia" w:ascii="Times New Roman" w:hAnsi="Times New Roman" w:eastAsia="宋体" w:cs="Times New Roman"/>
          <w:kern w:val="0"/>
          <w:sz w:val="24"/>
          <w:lang w:val="fr-FR"/>
          <w14:ligatures w14:val="none"/>
        </w:rPr>
        <w:t>Target text: Phlegm-fluid retention (“痰饮”) should be treated with warming herbs to harmonize the body (Luo, 1987:92).</w:t>
      </w:r>
    </w:p>
    <w:p>
      <w:pPr>
        <w:widowControl/>
        <w:spacing w:line="460" w:lineRule="exact"/>
        <w:ind w:firstLine="480" w:firstLineChars="200"/>
        <w:jc w:val="both"/>
        <w:rPr>
          <w:rFonts w:ascii="Times New Roman" w:hAnsi="Times New Roman" w:eastAsia="宋体" w:cs="Times New Roman"/>
          <w:kern w:val="0"/>
          <w:sz w:val="24"/>
          <w:lang w:val="fr-FR"/>
          <w14:ligatures w14:val="none"/>
        </w:rPr>
      </w:pPr>
      <w:r>
        <w:rPr>
          <w:rFonts w:hint="eastAsia" w:ascii="Times New Roman" w:hAnsi="Times New Roman" w:eastAsia="宋体" w:cs="Times New Roman"/>
          <w:kern w:val="0"/>
          <w:sz w:val="24"/>
          <w:lang w:val="fr-FR"/>
          <w14:ligatures w14:val="none"/>
        </w:rPr>
        <w:t>“Phlegm-fluid retention” refers to pathological retention of dampness and turbidity, most commonly due to insufficiency of spleen yang. Heat medicines like ganjiang (“干姜”) and baizhu (“白术”) feed spleen function according to the TCM principle of “treating cold with warmth” (寒者热之).</w:t>
      </w:r>
    </w:p>
    <w:p>
      <w:pPr>
        <w:widowControl/>
        <w:spacing w:line="460" w:lineRule="exact"/>
        <w:ind w:firstLine="480" w:firstLineChars="200"/>
        <w:jc w:val="both"/>
        <w:rPr>
          <w:rFonts w:ascii="Times New Roman" w:hAnsi="Times New Roman" w:eastAsia="宋体" w:cs="Times New Roman"/>
          <w:kern w:val="0"/>
          <w:sz w:val="24"/>
          <w:lang w:val="fr-FR"/>
          <w14:ligatures w14:val="none"/>
        </w:rPr>
      </w:pPr>
      <w:r>
        <w:rPr>
          <w:rFonts w:hint="eastAsia" w:ascii="Times New Roman" w:hAnsi="Times New Roman" w:eastAsia="宋体" w:cs="Times New Roman"/>
          <w:kern w:val="0"/>
          <w:sz w:val="24"/>
          <w:lang w:val="fr-FR"/>
          <w14:ligatures w14:val="none"/>
        </w:rPr>
        <w:t>This commentary demonstrates systemic thick translation since it reconstructs TCM</w:t>
      </w:r>
      <w:r>
        <w:rPr>
          <w:rFonts w:ascii="Times New Roman" w:hAnsi="Times New Roman" w:eastAsia="宋体" w:cs="Times New Roman"/>
          <w:kern w:val="0"/>
          <w:sz w:val="24"/>
          <w:lang w:val="fr-FR"/>
          <w14:ligatures w14:val="none"/>
        </w:rPr>
        <w:t>’</w:t>
      </w:r>
      <w:r>
        <w:rPr>
          <w:rFonts w:hint="eastAsia" w:ascii="Times New Roman" w:hAnsi="Times New Roman" w:eastAsia="宋体" w:cs="Times New Roman"/>
          <w:kern w:val="0"/>
          <w:sz w:val="24"/>
          <w:lang w:val="fr-FR"/>
          <w14:ligatures w14:val="none"/>
        </w:rPr>
        <w:t>s etiopathological hierarchy. “Treating cold with warmth” is not just a therapeutic maxim but a signifier of TCM</w:t>
      </w:r>
      <w:r>
        <w:rPr>
          <w:rFonts w:ascii="Times New Roman" w:hAnsi="Times New Roman" w:eastAsia="宋体" w:cs="Times New Roman"/>
          <w:kern w:val="0"/>
          <w:sz w:val="24"/>
          <w:lang w:val="fr-FR"/>
          <w14:ligatures w14:val="none"/>
        </w:rPr>
        <w:t>’</w:t>
      </w:r>
      <w:r>
        <w:rPr>
          <w:rFonts w:hint="eastAsia" w:ascii="Times New Roman" w:hAnsi="Times New Roman" w:eastAsia="宋体" w:cs="Times New Roman"/>
          <w:kern w:val="0"/>
          <w:sz w:val="24"/>
          <w:lang w:val="fr-FR"/>
          <w14:ligatures w14:val="none"/>
        </w:rPr>
        <w:t>s yang-based physiology, in which “cold” (“寒”) is used both to describe pathogenic cold and systemic yang deficiency. The commentary places "warming herbs" within spleen function in fluid metabolism in terms of the manner in which ganjiang (dried ginger) and baizhu (atractylodes) re-stimulate spleen yang in order to transform dampness—a causal chain lacking in biomedical formulations of “phlegm”. In basing the treatment on spleen yang deficiency, the commentary avoids the abstraction of “harmonize the body” into a closed holistic statement, instead anchoring it in TCM's visceral functionalism “脏象学说”, the analogy to "metabolic stagnation" is a bridging metaphor, allowing Western readers to comprehend without altering TCM</w:t>
      </w:r>
      <w:r>
        <w:rPr>
          <w:rFonts w:ascii="Times New Roman" w:hAnsi="Times New Roman" w:eastAsia="宋体" w:cs="Times New Roman"/>
          <w:kern w:val="0"/>
          <w:sz w:val="24"/>
          <w:lang w:val="fr-FR"/>
          <w14:ligatures w14:val="none"/>
        </w:rPr>
        <w:t>’</w:t>
      </w:r>
      <w:r>
        <w:rPr>
          <w:rFonts w:hint="eastAsia" w:ascii="Times New Roman" w:hAnsi="Times New Roman" w:eastAsia="宋体" w:cs="Times New Roman"/>
          <w:kern w:val="0"/>
          <w:sz w:val="24"/>
          <w:lang w:val="fr-FR"/>
          <w14:ligatures w14:val="none"/>
        </w:rPr>
        <w:t>s distinctive etiology.</w:t>
      </w:r>
    </w:p>
    <w:p>
      <w:pPr>
        <w:widowControl/>
        <w:spacing w:line="460" w:lineRule="exact"/>
        <w:ind w:firstLine="480" w:firstLineChars="200"/>
        <w:jc w:val="both"/>
        <w:rPr>
          <w:rFonts w:ascii="Times New Roman" w:hAnsi="Times New Roman" w:eastAsia="宋体" w:cs="Times New Roman"/>
          <w:kern w:val="0"/>
          <w:sz w:val="24"/>
          <w:lang w:val="fr-FR"/>
          <w14:ligatures w14:val="none"/>
        </w:rPr>
      </w:pPr>
      <w:r>
        <w:rPr>
          <w:rFonts w:hint="eastAsia" w:ascii="Times New Roman" w:hAnsi="Times New Roman" w:eastAsia="宋体" w:cs="Times New Roman"/>
          <w:kern w:val="0"/>
          <w:sz w:val="24"/>
          <w:lang w:val="fr-FR"/>
          <w14:ligatures w14:val="none"/>
        </w:rPr>
        <w:t>Example 9</w:t>
      </w:r>
      <w:r>
        <w:rPr>
          <w:rFonts w:ascii="Times New Roman" w:hAnsi="Times New Roman" w:eastAsia="宋体" w:cs="Times New Roman"/>
          <w:kern w:val="0"/>
          <w:sz w:val="24"/>
          <w:lang w:val="fr-FR"/>
          <w14:ligatures w14:val="none"/>
        </w:rPr>
        <w:t> </w:t>
      </w:r>
      <w:r>
        <w:rPr>
          <w:rFonts w:hint="eastAsia" w:ascii="Times New Roman" w:hAnsi="Times New Roman" w:eastAsia="宋体" w:cs="Times New Roman"/>
          <w:kern w:val="0"/>
          <w:sz w:val="24"/>
          <w:lang w:val="fr-FR"/>
          <w14:ligatures w14:val="none"/>
        </w:rPr>
        <w:t>:</w:t>
      </w:r>
    </w:p>
    <w:p>
      <w:pPr>
        <w:widowControl/>
        <w:spacing w:line="460" w:lineRule="exact"/>
        <w:ind w:firstLine="480" w:firstLineChars="200"/>
        <w:jc w:val="both"/>
        <w:rPr>
          <w:rFonts w:ascii="Times New Roman" w:hAnsi="Times New Roman" w:eastAsia="宋体" w:cs="Times New Roman"/>
          <w:kern w:val="0"/>
          <w:sz w:val="24"/>
          <w:lang w:val="fr-FR"/>
          <w14:ligatures w14:val="none"/>
        </w:rPr>
      </w:pPr>
      <w:r>
        <w:rPr>
          <w:rFonts w:hint="eastAsia" w:ascii="Times New Roman" w:hAnsi="Times New Roman" w:eastAsia="宋体" w:cs="Times New Roman"/>
          <w:kern w:val="0"/>
          <w:sz w:val="24"/>
          <w:lang w:val="fr-FR"/>
          <w14:ligatures w14:val="none"/>
        </w:rPr>
        <w:t>Original Text</w:t>
      </w:r>
      <w:r>
        <w:rPr>
          <w:rFonts w:ascii="Times New Roman" w:hAnsi="Times New Roman" w:eastAsia="宋体" w:cs="Times New Roman"/>
          <w:kern w:val="0"/>
          <w:sz w:val="24"/>
          <w:lang w:val="fr-FR"/>
          <w14:ligatures w14:val="none"/>
        </w:rPr>
        <w:t> </w:t>
      </w:r>
      <w:r>
        <w:rPr>
          <w:rFonts w:hint="eastAsia" w:ascii="Times New Roman" w:hAnsi="Times New Roman" w:eastAsia="宋体" w:cs="Times New Roman"/>
          <w:kern w:val="0"/>
          <w:sz w:val="24"/>
          <w:lang w:val="fr-FR"/>
          <w14:ligatures w14:val="none"/>
        </w:rPr>
        <w:t>: (卷下·百合狐惑阴阳毒病脉证治第三):“阳毒之为病，面赤斑斑如锦纹，咽喉痛，唾脓血。”</w:t>
      </w:r>
    </w:p>
    <w:p>
      <w:pPr>
        <w:widowControl/>
        <w:spacing w:line="460" w:lineRule="exact"/>
        <w:ind w:firstLine="480" w:firstLineChars="200"/>
        <w:jc w:val="both"/>
        <w:rPr>
          <w:rFonts w:ascii="Times New Roman" w:hAnsi="Times New Roman" w:eastAsia="宋体" w:cs="Times New Roman"/>
          <w:kern w:val="0"/>
          <w:sz w:val="24"/>
          <w:lang w:val="fr-FR"/>
          <w14:ligatures w14:val="none"/>
        </w:rPr>
      </w:pPr>
      <w:r>
        <w:rPr>
          <w:rFonts w:hint="eastAsia" w:ascii="Times New Roman" w:hAnsi="Times New Roman" w:eastAsia="宋体" w:cs="Times New Roman"/>
          <w:kern w:val="0"/>
          <w:sz w:val="24"/>
          <w:lang w:val="fr-FR"/>
          <w14:ligatures w14:val="none"/>
        </w:rPr>
        <w:t>Target text: Yang toxin manifests as flushed face with patterned rashes, sore throat, and purulent bloody sputum (Luo, 1987:65).</w:t>
      </w:r>
    </w:p>
    <w:p>
      <w:pPr>
        <w:widowControl/>
        <w:spacing w:line="460" w:lineRule="exact"/>
        <w:ind w:firstLine="480" w:firstLineChars="200"/>
        <w:jc w:val="both"/>
        <w:rPr>
          <w:rFonts w:ascii="Times New Roman" w:hAnsi="Times New Roman" w:eastAsia="宋体" w:cs="Times New Roman"/>
          <w:kern w:val="0"/>
          <w:sz w:val="24"/>
          <w:lang w:val="fr-FR"/>
          <w14:ligatures w14:val="none"/>
        </w:rPr>
      </w:pPr>
      <w:r>
        <w:rPr>
          <w:rFonts w:hint="eastAsia" w:ascii="Times New Roman" w:hAnsi="Times New Roman" w:eastAsia="宋体" w:cs="Times New Roman"/>
          <w:kern w:val="0"/>
          <w:sz w:val="24"/>
          <w:lang w:val="fr-FR"/>
          <w14:ligatures w14:val="none"/>
        </w:rPr>
        <w:t>The words "Yin-yang toxins”don</w:t>
      </w:r>
      <w:r>
        <w:rPr>
          <w:rFonts w:ascii="Times New Roman" w:hAnsi="Times New Roman" w:eastAsia="宋体" w:cs="Times New Roman"/>
          <w:kern w:val="0"/>
          <w:sz w:val="24"/>
          <w:lang w:val="fr-FR"/>
          <w14:ligatures w14:val="none"/>
        </w:rPr>
        <w:t>’</w:t>
      </w:r>
      <w:r>
        <w:rPr>
          <w:rFonts w:hint="eastAsia" w:ascii="Times New Roman" w:hAnsi="Times New Roman" w:eastAsia="宋体" w:cs="Times New Roman"/>
          <w:kern w:val="0"/>
          <w:sz w:val="24"/>
          <w:lang w:val="fr-FR"/>
          <w14:ligatures w14:val="none"/>
        </w:rPr>
        <w:t>t mean a real poison, they</w:t>
      </w:r>
      <w:r>
        <w:rPr>
          <w:rFonts w:ascii="Times New Roman" w:hAnsi="Times New Roman" w:eastAsia="宋体" w:cs="Times New Roman"/>
          <w:kern w:val="0"/>
          <w:sz w:val="24"/>
          <w:lang w:val="fr-FR"/>
          <w14:ligatures w14:val="none"/>
        </w:rPr>
        <w:t>’</w:t>
      </w:r>
      <w:r>
        <w:rPr>
          <w:rFonts w:hint="eastAsia" w:ascii="Times New Roman" w:hAnsi="Times New Roman" w:eastAsia="宋体" w:cs="Times New Roman"/>
          <w:kern w:val="0"/>
          <w:sz w:val="24"/>
          <w:lang w:val="fr-FR"/>
          <w14:ligatures w14:val="none"/>
        </w:rPr>
        <w:t>re a way of talking about things that make you sick, these things mess up the balance between yin and yang, yang toxin (“阳毒”) indicates excessive heat and evil damaging blood vessels, similar to inflammatory vasculitis, treatments such as Qing Ying Tang (“清营汤”) focus on clearing heat and cooling blood, the annotation here is semiotically repaired by decoding the symbolic lexicon of TCM, the term “yang toxin” (“阳毒”) could potentially be misinterpreted as a biochemical poison, but the commentary reconstructs it as a metaphor for heat-toxin (“热毒”)---a pathogenic overdose that disrupts the mechanism of cooling the blood and nourishing the yin, by linking it to “inflammatory vasculitis,” the translation negotiates a culturally hybrid interpreter: it recognizes biomedical parallels (vascular inflammation) while adhering to TCM’s distinctive diagnostic logic that “heat toxin” arises from yin deficiency and fire exuberance (“阴虚火旺”). Thus, Qingying Tang (“清营汤”) is prescribed not as an anti-inflammatory treatment but as a strategy for “clear nutrient-level heat”(“清营分热”) a concept rooted in the four-layered theory of Chinese medicine (“卫气营血”), this two-tiered exegesis maintains the text</w:t>
      </w:r>
      <w:r>
        <w:rPr>
          <w:rFonts w:ascii="Times New Roman" w:hAnsi="Times New Roman" w:eastAsia="宋体" w:cs="Times New Roman"/>
          <w:kern w:val="0"/>
          <w:sz w:val="24"/>
          <w:lang w:val="fr-FR"/>
          <w14:ligatures w14:val="none"/>
        </w:rPr>
        <w:t>’</w:t>
      </w:r>
      <w:r>
        <w:rPr>
          <w:rFonts w:hint="eastAsia" w:ascii="Times New Roman" w:hAnsi="Times New Roman" w:eastAsia="宋体" w:cs="Times New Roman"/>
          <w:kern w:val="0"/>
          <w:sz w:val="24"/>
          <w:lang w:val="fr-FR"/>
          <w14:ligatures w14:val="none"/>
        </w:rPr>
        <w:t>s cognitive depth and ensures that “toxin” remains a culturally coherent signifier within TCM</w:t>
      </w:r>
      <w:r>
        <w:rPr>
          <w:rFonts w:ascii="Times New Roman" w:hAnsi="Times New Roman" w:eastAsia="宋体" w:cs="Times New Roman"/>
          <w:kern w:val="0"/>
          <w:sz w:val="24"/>
          <w:lang w:val="fr-FR"/>
          <w14:ligatures w14:val="none"/>
        </w:rPr>
        <w:t>’</w:t>
      </w:r>
      <w:r>
        <w:rPr>
          <w:rFonts w:hint="eastAsia" w:ascii="Times New Roman" w:hAnsi="Times New Roman" w:eastAsia="宋体" w:cs="Times New Roman"/>
          <w:kern w:val="0"/>
          <w:sz w:val="24"/>
          <w:lang w:val="fr-FR"/>
          <w14:ligatures w14:val="none"/>
        </w:rPr>
        <w:t>s yin-yang cosmology.</w:t>
      </w:r>
    </w:p>
    <w:p>
      <w:pPr>
        <w:pStyle w:val="43"/>
        <w:widowControl w:val="0"/>
        <w:numPr>
          <w:ilvl w:val="0"/>
          <w:numId w:val="1"/>
        </w:numPr>
        <w:ind w:left="0" w:firstLine="0"/>
        <w:rPr>
          <w:sz w:val="24"/>
          <w:szCs w:val="24"/>
        </w:rPr>
      </w:pPr>
      <w:r>
        <w:rPr>
          <w:rFonts w:hint="eastAsia" w:eastAsiaTheme="minorEastAsia"/>
          <w:sz w:val="24"/>
          <w:szCs w:val="24"/>
          <w:lang w:eastAsia="zh-CN"/>
        </w:rPr>
        <w:t>Conclusion</w:t>
      </w:r>
    </w:p>
    <w:p>
      <w:pPr>
        <w:widowControl/>
        <w:spacing w:line="460" w:lineRule="exact"/>
        <w:ind w:firstLine="480" w:firstLineChars="200"/>
        <w:jc w:val="both"/>
        <w:rPr>
          <w:rFonts w:ascii="Times New Roman" w:hAnsi="Times New Roman" w:eastAsia="宋体" w:cs="Times New Roman"/>
          <w:color w:val="EE0000"/>
          <w:kern w:val="0"/>
          <w:sz w:val="24"/>
          <w:lang w:val="fr-FR"/>
          <w14:ligatures w14:val="none"/>
        </w:rPr>
      </w:pPr>
      <w:r>
        <w:rPr>
          <w:rFonts w:hint="eastAsia" w:ascii="Times New Roman" w:hAnsi="Times New Roman" w:eastAsia="宋体" w:cs="Times New Roman"/>
          <w:color w:val="EE0000"/>
          <w:kern w:val="0"/>
          <w:sz w:val="24"/>
          <w:lang w:val="fr-FR"/>
          <w14:ligatures w14:val="none"/>
        </w:rPr>
        <w:t>This study, from the perspective of thick translation theory, analyzes strategies such as paratexts, amplification, annotations, and commentaries in Luo Xiwen</w:t>
      </w:r>
      <w:r>
        <w:rPr>
          <w:rFonts w:ascii="Times New Roman" w:hAnsi="Times New Roman" w:eastAsia="宋体" w:cs="Times New Roman"/>
          <w:color w:val="EE0000"/>
          <w:kern w:val="0"/>
          <w:sz w:val="24"/>
          <w:lang w:val="fr-FR"/>
          <w14:ligatures w14:val="none"/>
        </w:rPr>
        <w:t>’</w:t>
      </w:r>
      <w:r>
        <w:rPr>
          <w:rFonts w:hint="eastAsia" w:ascii="Times New Roman" w:hAnsi="Times New Roman" w:eastAsia="宋体" w:cs="Times New Roman"/>
          <w:color w:val="EE0000"/>
          <w:kern w:val="0"/>
          <w:sz w:val="24"/>
          <w:lang w:val="fr-FR"/>
          <w14:ligatures w14:val="none"/>
        </w:rPr>
        <w:t xml:space="preserve">s English translation of </w:t>
      </w:r>
      <w:r>
        <w:rPr>
          <w:rFonts w:hint="eastAsia" w:ascii="Times New Roman" w:hAnsi="Times New Roman" w:eastAsia="宋体" w:cs="Times New Roman"/>
          <w:i/>
          <w:iCs/>
          <w:color w:val="EE0000"/>
          <w:kern w:val="0"/>
          <w:sz w:val="24"/>
          <w:lang w:val="fr-FR"/>
          <w14:ligatures w14:val="none"/>
        </w:rPr>
        <w:t>Jin Gui Yao Lue.</w:t>
      </w:r>
      <w:r>
        <w:rPr>
          <w:rFonts w:hint="eastAsia" w:ascii="Times New Roman" w:hAnsi="Times New Roman" w:eastAsia="宋体" w:cs="Times New Roman"/>
          <w:color w:val="EE0000"/>
          <w:kern w:val="0"/>
          <w:sz w:val="24"/>
          <w:lang w:val="fr-FR"/>
          <w14:ligatures w14:val="none"/>
        </w:rPr>
        <w:t xml:space="preserve"> It finds that these </w:t>
      </w:r>
      <w:r>
        <w:rPr>
          <w:rFonts w:hint="eastAsia" w:ascii="Times New Roman" w:hAnsi="Times New Roman" w:eastAsia="宋体" w:cs="Times New Roman"/>
          <w:color w:val="EE0000"/>
          <w:kern w:val="0"/>
          <w:sz w:val="24"/>
          <w:lang w:val="en-US" w:eastAsia="zh-CN"/>
          <w14:ligatures w14:val="none"/>
        </w:rPr>
        <w:t xml:space="preserve">thick translation </w:t>
      </w:r>
      <w:r>
        <w:rPr>
          <w:rFonts w:hint="eastAsia" w:ascii="Times New Roman" w:hAnsi="Times New Roman" w:eastAsia="宋体" w:cs="Times New Roman"/>
          <w:color w:val="EE0000"/>
          <w:kern w:val="0"/>
          <w:sz w:val="24"/>
          <w:lang w:val="fr-FR"/>
          <w14:ligatures w14:val="none"/>
        </w:rPr>
        <w:t>methods effectively reconstruct TCM cultural images and bridge Sino-Western medical-cultural gaps, providing key references for the translation of TCM and similar culturally dense texts e.g.,</w:t>
      </w:r>
      <w:r>
        <w:rPr>
          <w:rFonts w:hint="eastAsia" w:ascii="Times New Roman" w:hAnsi="Times New Roman" w:eastAsia="宋体" w:cs="Times New Roman"/>
          <w:i/>
          <w:iCs/>
          <w:color w:val="EE0000"/>
          <w:kern w:val="0"/>
          <w:sz w:val="24"/>
          <w:lang w:val="fr-FR"/>
          <w14:ligatures w14:val="none"/>
        </w:rPr>
        <w:t xml:space="preserve"> Huangdi Neijing</w:t>
      </w:r>
      <w:r>
        <w:rPr>
          <w:rFonts w:hint="eastAsia" w:ascii="Times New Roman" w:hAnsi="Times New Roman" w:eastAsia="宋体" w:cs="Times New Roman"/>
          <w:color w:val="EE0000"/>
          <w:kern w:val="0"/>
          <w:sz w:val="24"/>
          <w:lang w:val="fr-FR"/>
          <w14:ligatures w14:val="none"/>
        </w:rPr>
        <w:t>,</w:t>
      </w:r>
      <w:r>
        <w:rPr>
          <w:rFonts w:hint="eastAsia" w:ascii="Times New Roman" w:hAnsi="Times New Roman" w:eastAsia="宋体" w:cs="Times New Roman"/>
          <w:i/>
          <w:iCs/>
          <w:color w:val="EE0000"/>
          <w:kern w:val="0"/>
          <w:sz w:val="24"/>
          <w:lang w:val="fr-FR"/>
          <w14:ligatures w14:val="none"/>
        </w:rPr>
        <w:t xml:space="preserve"> Treatise on Febrile Diseases</w:t>
      </w:r>
      <w:r>
        <w:rPr>
          <w:rFonts w:hint="eastAsia" w:ascii="Times New Roman" w:hAnsi="Times New Roman" w:eastAsia="宋体" w:cs="Times New Roman"/>
          <w:color w:val="EE0000"/>
          <w:kern w:val="0"/>
          <w:sz w:val="24"/>
          <w:lang w:val="fr-FR"/>
          <w14:ligatures w14:val="none"/>
        </w:rPr>
        <w:t>. This not only avoids the loss or misinterpretation of cultural images but also ensures the accuracy of medical information, offering a replicable strategic framework for the cross-linguistic dissemination of other traditional medical classics or culture-loaded texts.</w:t>
      </w:r>
    </w:p>
    <w:p>
      <w:pPr>
        <w:widowControl/>
        <w:spacing w:line="460" w:lineRule="exact"/>
        <w:ind w:firstLine="480" w:firstLineChars="200"/>
        <w:jc w:val="both"/>
        <w:rPr>
          <w:rFonts w:ascii="Times New Roman" w:hAnsi="Times New Roman" w:eastAsia="宋体" w:cs="Times New Roman"/>
          <w:color w:val="EE0000"/>
          <w:kern w:val="0"/>
          <w:sz w:val="24"/>
          <w:lang w:val="fr-FR"/>
          <w14:ligatures w14:val="none"/>
        </w:rPr>
      </w:pPr>
      <w:r>
        <w:rPr>
          <w:rFonts w:hint="eastAsia" w:ascii="Times New Roman" w:hAnsi="Times New Roman" w:eastAsia="宋体" w:cs="Times New Roman"/>
          <w:color w:val="EE0000"/>
          <w:kern w:val="0"/>
          <w:sz w:val="24"/>
          <w:lang w:val="en-US" w:eastAsia="zh-CN"/>
          <w14:ligatures w14:val="none"/>
        </w:rPr>
        <w:t>T</w:t>
      </w:r>
      <w:r>
        <w:rPr>
          <w:rFonts w:hint="eastAsia" w:ascii="Times New Roman" w:hAnsi="Times New Roman" w:eastAsia="宋体" w:cs="Times New Roman"/>
          <w:color w:val="EE0000"/>
          <w:kern w:val="0"/>
          <w:sz w:val="24"/>
          <w:lang w:val="fr-FR"/>
          <w14:ligatures w14:val="none"/>
        </w:rPr>
        <w:t>his study provides translators with specific operational translation paths: mastering thick translation techniques such as paratextual explanation, cultural background amplification, and terminology annotation can improve the accuracy of transmitting cultural images and core concepts. For educators, it offers cross-cultural teaching materials—using Luo</w:t>
      </w:r>
      <w:r>
        <w:rPr>
          <w:rFonts w:ascii="Times New Roman" w:hAnsi="Times New Roman" w:eastAsia="宋体" w:cs="Times New Roman"/>
          <w:color w:val="EE0000"/>
          <w:kern w:val="0"/>
          <w:sz w:val="24"/>
          <w:lang w:val="fr-FR"/>
          <w14:ligatures w14:val="none"/>
        </w:rPr>
        <w:t>’</w:t>
      </w:r>
      <w:r>
        <w:rPr>
          <w:rFonts w:hint="eastAsia" w:ascii="Times New Roman" w:hAnsi="Times New Roman" w:eastAsia="宋体" w:cs="Times New Roman"/>
          <w:color w:val="EE0000"/>
          <w:kern w:val="0"/>
          <w:sz w:val="24"/>
          <w:lang w:val="fr-FR"/>
          <w14:ligatures w14:val="none"/>
        </w:rPr>
        <w:t>s translation cases and research analysis to help students understand the difficulties of handling cultural differences in TCM translation and cultivate their cross-cultural translation thinking. For medical researchers, it builds a bridge for international communication, assisting them in accurately conveying TCM theories and clinical experiences through thick translation strategies and promoting dialogue and cooperation between Chinese and Western medicine.</w:t>
      </w:r>
    </w:p>
    <w:p>
      <w:pPr>
        <w:widowControl/>
        <w:spacing w:line="460" w:lineRule="exact"/>
        <w:ind w:firstLine="480" w:firstLineChars="200"/>
        <w:jc w:val="both"/>
        <w:rPr>
          <w:rFonts w:ascii="Times New Roman" w:hAnsi="Times New Roman" w:eastAsia="宋体" w:cs="Times New Roman"/>
          <w:color w:val="EE0000"/>
          <w:kern w:val="0"/>
          <w:sz w:val="24"/>
          <w:lang w:val="fr-FR"/>
          <w14:ligatures w14:val="none"/>
        </w:rPr>
      </w:pPr>
      <w:r>
        <w:rPr>
          <w:rFonts w:hint="eastAsia" w:ascii="Times New Roman" w:hAnsi="Times New Roman" w:eastAsia="宋体" w:cs="Times New Roman"/>
          <w:color w:val="EE0000"/>
          <w:kern w:val="0"/>
          <w:sz w:val="24"/>
          <w:lang w:val="fr-FR"/>
          <w14:ligatures w14:val="none"/>
        </w:rPr>
        <w:t>In terms of translation practice, this study establishes a thick translation paradigm for TCM classics that integrates“cultural image reconstruction + medical information fidelity”, serving as a practical template for translating culturally dense texts. In translation research, it enriches the theoretical system of TCM translation with empirical evidence from Luo</w:t>
      </w:r>
      <w:r>
        <w:rPr>
          <w:rFonts w:ascii="Times New Roman" w:hAnsi="Times New Roman" w:eastAsia="宋体" w:cs="Times New Roman"/>
          <w:color w:val="EE0000"/>
          <w:kern w:val="0"/>
          <w:sz w:val="24"/>
          <w:lang w:val="fr-FR"/>
          <w14:ligatures w14:val="none"/>
        </w:rPr>
        <w:t>’</w:t>
      </w:r>
      <w:r>
        <w:rPr>
          <w:rFonts w:hint="eastAsia" w:ascii="Times New Roman" w:hAnsi="Times New Roman" w:eastAsia="宋体" w:cs="Times New Roman"/>
          <w:color w:val="EE0000"/>
          <w:kern w:val="0"/>
          <w:sz w:val="24"/>
          <w:lang w:val="fr-FR"/>
          <w14:ligatures w14:val="none"/>
        </w:rPr>
        <w:t>s translation, expands the application of thick translation theory in the translation of traditional medical classics, and provides empirical references for subsequent studies on culture-loaded text translation.</w:t>
      </w:r>
    </w:p>
    <w:p>
      <w:pPr>
        <w:widowControl/>
        <w:spacing w:line="460" w:lineRule="exact"/>
        <w:ind w:firstLine="480" w:firstLineChars="200"/>
        <w:jc w:val="both"/>
        <w:rPr>
          <w:rFonts w:ascii="Times New Roman" w:hAnsi="Times New Roman" w:eastAsia="宋体" w:cs="Times New Roman"/>
          <w:kern w:val="0"/>
          <w:sz w:val="24"/>
          <w:lang w:val="fr-FR"/>
          <w14:ligatures w14:val="none"/>
        </w:rPr>
      </w:pPr>
    </w:p>
    <w:p>
      <w:pPr>
        <w:widowControl/>
        <w:spacing w:line="460" w:lineRule="exact"/>
        <w:ind w:firstLine="480" w:firstLineChars="200"/>
        <w:jc w:val="both"/>
        <w:rPr>
          <w:rFonts w:ascii="Times New Roman" w:hAnsi="Times New Roman" w:eastAsia="宋体" w:cs="Times New Roman"/>
          <w:kern w:val="0"/>
          <w:sz w:val="24"/>
          <w:lang w:val="fr-FR"/>
          <w14:ligatures w14:val="none"/>
        </w:rPr>
      </w:pPr>
    </w:p>
    <w:p>
      <w:pPr>
        <w:rPr>
          <w:rFonts w:ascii="Calibri" w:hAnsi="Calibri" w:eastAsia="Calibri" w:cs="Times New Roman"/>
          <w:highlight w:val="yellow"/>
        </w:rPr>
      </w:pPr>
      <w:bookmarkStart w:id="12" w:name="_Hlk197682619"/>
      <w:bookmarkStart w:id="13" w:name="_Hlk183680988"/>
      <w:bookmarkStart w:id="14" w:name="_Hlk180402183"/>
      <w:r>
        <w:rPr>
          <w:rFonts w:ascii="Calibri" w:hAnsi="Calibri" w:eastAsia="Calibri" w:cs="Times New Roman"/>
          <w:highlight w:val="yellow"/>
        </w:rPr>
        <w:t>Disclaimer (Artificial intelligence)</w:t>
      </w:r>
    </w:p>
    <w:p>
      <w:pPr>
        <w:rPr>
          <w:rFonts w:ascii="Calibri" w:hAnsi="Calibri" w:eastAsia="Calibri" w:cs="Times New Roman"/>
          <w:highlight w:val="yellow"/>
        </w:rPr>
      </w:pPr>
      <w:r>
        <w:rPr>
          <w:rFonts w:ascii="Calibri" w:hAnsi="Calibri" w:eastAsia="Calibri" w:cs="Times New Roman"/>
          <w:highlight w:val="yellow"/>
        </w:rPr>
        <w:t xml:space="preserve">NO generative AI technologies such as Large Language Models (ChatGPT, COPILOT, etc.) and text-to-image generators have been used during the writing or editing of this manuscript. </w:t>
      </w:r>
    </w:p>
    <w:bookmarkEnd w:id="12"/>
    <w:bookmarkEnd w:id="13"/>
    <w:bookmarkEnd w:id="14"/>
    <w:p>
      <w:pPr>
        <w:widowControl/>
        <w:spacing w:line="460" w:lineRule="exact"/>
        <w:ind w:firstLine="480" w:firstLineChars="200"/>
        <w:jc w:val="both"/>
        <w:rPr>
          <w:rFonts w:ascii="Times New Roman" w:hAnsi="Times New Roman" w:eastAsia="宋体" w:cs="Times New Roman"/>
          <w:kern w:val="0"/>
          <w:sz w:val="24"/>
          <w:lang w:val="fr-FR"/>
          <w14:ligatures w14:val="none"/>
        </w:rPr>
      </w:pPr>
      <w:bookmarkStart w:id="25" w:name="_GoBack"/>
      <w:bookmarkEnd w:id="25"/>
    </w:p>
    <w:p>
      <w:pPr>
        <w:pStyle w:val="43"/>
        <w:widowControl w:val="0"/>
        <w:rPr>
          <w:sz w:val="24"/>
          <w:szCs w:val="24"/>
        </w:rPr>
      </w:pPr>
      <w:r>
        <w:rPr>
          <w:sz w:val="24"/>
          <w:szCs w:val="24"/>
        </w:rPr>
        <w:t>References</w:t>
      </w:r>
    </w:p>
    <w:p>
      <w:pPr>
        <w:pStyle w:val="34"/>
        <w:widowControl/>
        <w:numPr>
          <w:ilvl w:val="0"/>
          <w:numId w:val="2"/>
        </w:numPr>
        <w:spacing w:line="460" w:lineRule="exact"/>
        <w:jc w:val="both"/>
        <w:rPr>
          <w:rFonts w:hint="eastAsia" w:ascii="Times New Roman" w:hAnsi="Times New Roman" w:eastAsia="宋体" w:cs="Times New Roman"/>
          <w:i/>
          <w:iCs/>
          <w:kern w:val="0"/>
          <w:sz w:val="24"/>
          <w:lang w:val="fr-FR"/>
          <w14:ligatures w14:val="none"/>
        </w:rPr>
      </w:pPr>
      <w:bookmarkStart w:id="15" w:name="_Ref204275228"/>
      <w:r>
        <w:rPr>
          <w:rFonts w:hint="eastAsia" w:ascii="Times New Roman" w:hAnsi="Times New Roman" w:eastAsia="宋体" w:cs="Times New Roman"/>
          <w:i/>
          <w:iCs/>
          <w:kern w:val="0"/>
          <w:sz w:val="24"/>
          <w:lang w:val="fr-FR"/>
          <w14:ligatures w14:val="none"/>
        </w:rPr>
        <w:t>Appiah, K.A. (1993). Thick Translation. Callaloo, 16(4):808-819.</w:t>
      </w:r>
      <w:bookmarkEnd w:id="15"/>
    </w:p>
    <w:p>
      <w:pPr>
        <w:widowControl/>
        <w:spacing w:line="460" w:lineRule="exact"/>
        <w:ind w:left="142"/>
        <w:jc w:val="both"/>
        <w:rPr>
          <w:rFonts w:ascii="Times New Roman" w:hAnsi="Times New Roman" w:eastAsia="宋体" w:cs="Times New Roman"/>
          <w:i/>
          <w:iCs/>
          <w:kern w:val="0"/>
          <w:sz w:val="24"/>
          <w:lang w:val="fr-FR"/>
          <w14:ligatures w14:val="none"/>
        </w:rPr>
      </w:pPr>
      <w:r>
        <w:fldChar w:fldCharType="begin"/>
      </w:r>
      <w:r>
        <w:instrText xml:space="preserve"> HYPERLINK "https://scholar.google.com/scholar?hl=en&amp;as_sdt=0%2C5&amp;q=%22Appiah%2C+K.A.+%281993%29.+Thick+Translation.+Callaloo%2C+16%284%29%3A808-819.%22&amp;btnG" </w:instrText>
      </w:r>
      <w:r>
        <w:fldChar w:fldCharType="separate"/>
      </w:r>
      <w:r>
        <w:rPr>
          <w:color w:val="0563C1" w:themeColor="hyperlink"/>
          <w:kern w:val="0"/>
          <w:u w:val="single"/>
          <w14:textFill>
            <w14:solidFill>
              <w14:schemeClr w14:val="hlink"/>
            </w14:solidFill>
          </w14:textFill>
          <w14:ligatures w14:val="none"/>
        </w:rPr>
        <w:t>https://scholar.google.com/scholar?hl=en&amp;as_sdt=0%2C5&amp;q=%22Appiah%2C+K.A.+%281993%29.+Thick+Translation.+Callaloo%2C+16%284%29%3A808-819.%22&amp;btnG</w:t>
      </w:r>
      <w:r>
        <w:rPr>
          <w:color w:val="0563C1" w:themeColor="hyperlink"/>
          <w:kern w:val="0"/>
          <w:u w:val="single"/>
          <w14:textFill>
            <w14:solidFill>
              <w14:schemeClr w14:val="hlink"/>
            </w14:solidFill>
          </w14:textFill>
          <w14:ligatures w14:val="none"/>
        </w:rPr>
        <w:fldChar w:fldCharType="end"/>
      </w:r>
      <w:r>
        <w:rPr>
          <w:kern w:val="0"/>
          <w14:ligatures w14:val="none"/>
        </w:rPr>
        <w:t>=</w:t>
      </w:r>
    </w:p>
    <w:p>
      <w:pPr>
        <w:pStyle w:val="34"/>
        <w:widowControl/>
        <w:numPr>
          <w:ilvl w:val="0"/>
          <w:numId w:val="2"/>
        </w:numPr>
        <w:spacing w:line="460" w:lineRule="exact"/>
        <w:jc w:val="both"/>
        <w:rPr>
          <w:rFonts w:hint="eastAsia" w:ascii="Times New Roman" w:hAnsi="Times New Roman" w:eastAsia="宋体" w:cs="Times New Roman"/>
          <w:i/>
          <w:iCs/>
          <w:kern w:val="0"/>
          <w:sz w:val="24"/>
          <w:lang w:val="fr-FR"/>
          <w14:ligatures w14:val="none"/>
        </w:rPr>
      </w:pPr>
      <w:bookmarkStart w:id="16" w:name="_Ref204277894"/>
      <w:r>
        <w:rPr>
          <w:rFonts w:hint="eastAsia" w:ascii="Times New Roman" w:hAnsi="Times New Roman" w:eastAsia="宋体" w:cs="Times New Roman"/>
          <w:i/>
          <w:iCs/>
          <w:kern w:val="0"/>
          <w:sz w:val="24"/>
          <w:lang w:val="fr-FR"/>
          <w14:ligatures w14:val="none"/>
        </w:rPr>
        <w:t>Baker, M. (2018). In Other Words: A Coursebook on Translation (3rd ed.). Routledge.</w:t>
      </w:r>
      <w:bookmarkEnd w:id="16"/>
      <w:r>
        <w:rPr>
          <w:rFonts w:hint="eastAsia" w:ascii="Times New Roman" w:hAnsi="Times New Roman" w:eastAsia="宋体" w:cs="Times New Roman"/>
          <w:i/>
          <w:iCs/>
          <w:kern w:val="0"/>
          <w:sz w:val="24"/>
          <w:lang w:val="fr-FR"/>
          <w14:ligatures w14:val="none"/>
        </w:rPr>
        <w:t xml:space="preserve"> </w:t>
      </w:r>
      <w:r>
        <w:fldChar w:fldCharType="begin"/>
      </w:r>
      <w:r>
        <w:instrText xml:space="preserve"> HYPERLINK "https://scholar.google.com/scholar?hl=en&amp;as_sdt=0%2C5&amp;q=%22Baker%2C+M.+%282018%29.+In+Other+Words%3A+A+Coursebook+on+Translation+%283rd+ed.%29.+Routledge.&amp;btnG" </w:instrText>
      </w:r>
      <w:r>
        <w:fldChar w:fldCharType="separate"/>
      </w:r>
      <w:r>
        <w:rPr>
          <w:color w:val="0563C1" w:themeColor="hyperlink"/>
          <w:kern w:val="0"/>
          <w:u w:val="single"/>
          <w14:textFill>
            <w14:solidFill>
              <w14:schemeClr w14:val="hlink"/>
            </w14:solidFill>
          </w14:textFill>
          <w14:ligatures w14:val="none"/>
        </w:rPr>
        <w:t>https://scholar.google.com/scholar?hl=en&amp;as_sdt=0%2C5&amp;q=%22Baker%2C+M.+%282018%29.+In+Other+Words%3A+A+Coursebook+on+Translation+%283rd+ed.%29.+Routledge.&amp;btnG</w:t>
      </w:r>
      <w:r>
        <w:rPr>
          <w:color w:val="0563C1" w:themeColor="hyperlink"/>
          <w:kern w:val="0"/>
          <w:u w:val="single"/>
          <w14:textFill>
            <w14:solidFill>
              <w14:schemeClr w14:val="hlink"/>
            </w14:solidFill>
          </w14:textFill>
          <w14:ligatures w14:val="none"/>
        </w:rPr>
        <w:fldChar w:fldCharType="end"/>
      </w:r>
      <w:r>
        <w:rPr>
          <w:kern w:val="0"/>
          <w14:ligatures w14:val="none"/>
        </w:rPr>
        <w:t>=</w:t>
      </w:r>
    </w:p>
    <w:p>
      <w:pPr>
        <w:pStyle w:val="34"/>
        <w:widowControl/>
        <w:numPr>
          <w:ilvl w:val="0"/>
          <w:numId w:val="2"/>
        </w:numPr>
        <w:spacing w:line="460" w:lineRule="exact"/>
        <w:ind w:left="582"/>
        <w:jc w:val="both"/>
        <w:rPr>
          <w:rFonts w:ascii="Times New Roman" w:hAnsi="Times New Roman" w:eastAsia="宋体" w:cs="Times New Roman"/>
          <w:i/>
          <w:iCs/>
          <w:kern w:val="0"/>
          <w:sz w:val="24"/>
          <w:lang w:val="fr-FR"/>
          <w14:ligatures w14:val="none"/>
        </w:rPr>
      </w:pPr>
      <w:bookmarkStart w:id="17" w:name="_Ref204277245"/>
      <w:r>
        <w:rPr>
          <w:rFonts w:hint="eastAsia" w:ascii="Times New Roman" w:hAnsi="Times New Roman" w:eastAsia="宋体" w:cs="Times New Roman"/>
          <w:i/>
          <w:iCs/>
          <w:kern w:val="0"/>
          <w:sz w:val="24"/>
          <w:lang w:val="fr-FR"/>
          <w14:ligatures w14:val="none"/>
        </w:rPr>
        <w:t>Bassnett, S., &amp; Lefevere, A. (1990). Translation, History and Culture. Pinter Publishers.</w:t>
      </w:r>
      <w:bookmarkEnd w:id="17"/>
      <w:r>
        <w:rPr>
          <w:rFonts w:hint="eastAsia" w:ascii="Times New Roman" w:hAnsi="Times New Roman" w:eastAsia="宋体" w:cs="Times New Roman"/>
          <w:i/>
          <w:iCs/>
          <w:kern w:val="0"/>
          <w:sz w:val="24"/>
          <w:lang w:val="fr-FR"/>
          <w14:ligatures w14:val="none"/>
        </w:rPr>
        <w:t xml:space="preserve">  </w:t>
      </w:r>
      <w:r>
        <w:fldChar w:fldCharType="begin"/>
      </w:r>
      <w:r>
        <w:instrText xml:space="preserve"> HYPERLINK "https://scholar.google.com/scholar?hl=en&amp;as_sdt=0%2C5&amp;q=%22Bassnett%2C+S.%2C+%26+Lefevere%2C+A.+%281990%29.+Translation%2C+History+and+Culture.+Pinter+Publishers.&amp;btnG" </w:instrText>
      </w:r>
      <w:r>
        <w:fldChar w:fldCharType="separate"/>
      </w:r>
      <w:r>
        <w:rPr>
          <w:color w:val="0563C1" w:themeColor="hyperlink"/>
          <w:kern w:val="0"/>
          <w:u w:val="single"/>
          <w14:textFill>
            <w14:solidFill>
              <w14:schemeClr w14:val="hlink"/>
            </w14:solidFill>
          </w14:textFill>
          <w14:ligatures w14:val="none"/>
        </w:rPr>
        <w:t>https://scholar.google.com/scholar?hl=en&amp;as_sdt=0%2C5&amp;q=%22Bassnett%2C+S.%2C+%26+Lefevere%2C+A.+%281990%29.+Translation%2C+History+and+Culture.+Pinter+Publishers.&amp;btnG</w:t>
      </w:r>
      <w:r>
        <w:rPr>
          <w:color w:val="0563C1" w:themeColor="hyperlink"/>
          <w:kern w:val="0"/>
          <w:u w:val="single"/>
          <w14:textFill>
            <w14:solidFill>
              <w14:schemeClr w14:val="hlink"/>
            </w14:solidFill>
          </w14:textFill>
          <w14:ligatures w14:val="none"/>
        </w:rPr>
        <w:fldChar w:fldCharType="end"/>
      </w:r>
      <w:r>
        <w:rPr>
          <w:kern w:val="0"/>
          <w14:ligatures w14:val="none"/>
        </w:rPr>
        <w:t>=</w:t>
      </w:r>
    </w:p>
    <w:p>
      <w:pPr>
        <w:pStyle w:val="34"/>
        <w:widowControl/>
        <w:numPr>
          <w:ilvl w:val="0"/>
          <w:numId w:val="2"/>
        </w:numPr>
        <w:spacing w:line="460" w:lineRule="exact"/>
        <w:jc w:val="both"/>
        <w:rPr>
          <w:rFonts w:ascii="Times New Roman" w:hAnsi="Times New Roman" w:eastAsia="宋体" w:cs="Times New Roman"/>
          <w:i/>
          <w:iCs/>
          <w:kern w:val="0"/>
          <w:sz w:val="24"/>
          <w:lang w:val="fr-FR"/>
          <w14:ligatures w14:val="none"/>
        </w:rPr>
      </w:pPr>
      <w:bookmarkStart w:id="18" w:name="_Ref204277086"/>
      <w:r>
        <w:rPr>
          <w:rFonts w:hint="eastAsia" w:ascii="Times New Roman" w:hAnsi="Times New Roman" w:eastAsia="宋体" w:cs="Times New Roman"/>
          <w:i/>
          <w:iCs/>
          <w:kern w:val="0"/>
          <w:sz w:val="24"/>
          <w:lang w:val="fr-FR"/>
          <w14:ligatures w14:val="none"/>
        </w:rPr>
        <w:t>Genette, G. (1997). Paratexts: Thresholds of Interpretation. Cambridge University Press.</w:t>
      </w:r>
      <w:bookmarkEnd w:id="18"/>
      <w:r>
        <w:rPr>
          <w:rFonts w:hint="eastAsia" w:ascii="Times New Roman" w:hAnsi="Times New Roman" w:eastAsia="宋体" w:cs="Times New Roman"/>
          <w:i/>
          <w:iCs/>
          <w:kern w:val="0"/>
          <w:sz w:val="24"/>
          <w:lang w:val="fr-FR"/>
          <w14:ligatures w14:val="none"/>
        </w:rPr>
        <w:t xml:space="preserve"> </w:t>
      </w:r>
      <w:r>
        <w:fldChar w:fldCharType="begin"/>
      </w:r>
      <w:r>
        <w:instrText xml:space="preserve"> HYPERLINK "https://scholar.google.com/scholar?hl=en&amp;as_sdt=0%2C5&amp;q=%22Genette%2C+G.+%281997%29.+Paratexts%3A+Thresholds+of+Interpretation.+Cambridge+University+Press.%22&amp;btnG" </w:instrText>
      </w:r>
      <w:r>
        <w:fldChar w:fldCharType="separate"/>
      </w:r>
      <w:r>
        <w:rPr>
          <w:color w:val="0563C1" w:themeColor="hyperlink"/>
          <w:kern w:val="0"/>
          <w:u w:val="single"/>
          <w14:textFill>
            <w14:solidFill>
              <w14:schemeClr w14:val="hlink"/>
            </w14:solidFill>
          </w14:textFill>
          <w14:ligatures w14:val="none"/>
        </w:rPr>
        <w:t>https://scholar.google.com/scholar?hl=en&amp;as_sdt=0%2C5&amp;q=%22Genette%2C+G.+%281997%29.+Paratexts%3A+Thresholds+of+Interpretation.+Cambridge+University+Press.%22&amp;btnG</w:t>
      </w:r>
      <w:r>
        <w:rPr>
          <w:color w:val="0563C1" w:themeColor="hyperlink"/>
          <w:kern w:val="0"/>
          <w:u w:val="single"/>
          <w14:textFill>
            <w14:solidFill>
              <w14:schemeClr w14:val="hlink"/>
            </w14:solidFill>
          </w14:textFill>
          <w14:ligatures w14:val="none"/>
        </w:rPr>
        <w:fldChar w:fldCharType="end"/>
      </w:r>
      <w:r>
        <w:rPr>
          <w:kern w:val="0"/>
          <w14:ligatures w14:val="none"/>
        </w:rPr>
        <w:t>=</w:t>
      </w:r>
    </w:p>
    <w:p>
      <w:pPr>
        <w:pStyle w:val="34"/>
        <w:widowControl/>
        <w:numPr>
          <w:ilvl w:val="0"/>
          <w:numId w:val="2"/>
        </w:numPr>
        <w:spacing w:line="460" w:lineRule="exact"/>
        <w:jc w:val="both"/>
        <w:rPr>
          <w:rFonts w:hint="eastAsia" w:ascii="Times New Roman" w:hAnsi="Times New Roman" w:eastAsia="宋体" w:cs="Times New Roman"/>
          <w:i/>
          <w:iCs/>
          <w:kern w:val="0"/>
          <w:sz w:val="24"/>
          <w:lang w:val="fr-FR"/>
          <w14:ligatures w14:val="none"/>
        </w:rPr>
      </w:pPr>
      <w:bookmarkStart w:id="19" w:name="_Ref204276083"/>
      <w:r>
        <w:rPr>
          <w:rFonts w:hint="eastAsia" w:ascii="Times New Roman" w:hAnsi="Times New Roman" w:eastAsia="宋体" w:cs="Times New Roman"/>
          <w:i/>
          <w:iCs/>
          <w:kern w:val="0"/>
          <w:sz w:val="24"/>
          <w:lang w:val="fr-FR"/>
          <w14:ligatures w14:val="none"/>
        </w:rPr>
        <w:t>Geertz, C. (1973). The Interpretation of Cultures. New York: Basic Books.</w:t>
      </w:r>
      <w:bookmarkEnd w:id="19"/>
    </w:p>
    <w:p>
      <w:pPr>
        <w:pStyle w:val="34"/>
        <w:spacing w:after="0" w:line="240" w:lineRule="auto"/>
        <w:ind w:left="582"/>
        <w:rPr>
          <w:kern w:val="0"/>
          <w14:ligatures w14:val="none"/>
        </w:rPr>
      </w:pPr>
      <w:r>
        <w:fldChar w:fldCharType="begin"/>
      </w:r>
      <w:r>
        <w:instrText xml:space="preserve"> HYPERLINK "https://scholar.google.com/scholar?hl=en&amp;as_sdt=0%2C5&amp;q=%22Geertz%2C+C.+%281973%29.+The+Interpretation+of+Cultures.+New+York%3A+Basic+Books.%22&amp;btnG" </w:instrText>
      </w:r>
      <w:r>
        <w:fldChar w:fldCharType="separate"/>
      </w:r>
      <w:r>
        <w:rPr>
          <w:color w:val="0563C1" w:themeColor="hyperlink"/>
          <w:kern w:val="0"/>
          <w:u w:val="single"/>
          <w14:textFill>
            <w14:solidFill>
              <w14:schemeClr w14:val="hlink"/>
            </w14:solidFill>
          </w14:textFill>
          <w14:ligatures w14:val="none"/>
        </w:rPr>
        <w:t>https://scholar.google.com/scholar?hl=en&amp;as_sdt=0%2C5&amp;q=%22Geertz%2C+C.+%281973%29.+The+Interpretation+of+Cultures.+New+York%3A+Basic+Books.%22&amp;btnG</w:t>
      </w:r>
      <w:r>
        <w:rPr>
          <w:color w:val="0563C1" w:themeColor="hyperlink"/>
          <w:kern w:val="0"/>
          <w:u w:val="single"/>
          <w14:textFill>
            <w14:solidFill>
              <w14:schemeClr w14:val="hlink"/>
            </w14:solidFill>
          </w14:textFill>
          <w14:ligatures w14:val="none"/>
        </w:rPr>
        <w:fldChar w:fldCharType="end"/>
      </w:r>
      <w:r>
        <w:rPr>
          <w:kern w:val="0"/>
          <w14:ligatures w14:val="none"/>
        </w:rPr>
        <w:t>=</w:t>
      </w:r>
    </w:p>
    <w:p>
      <w:pPr>
        <w:pStyle w:val="34"/>
        <w:widowControl/>
        <w:numPr>
          <w:ilvl w:val="0"/>
          <w:numId w:val="2"/>
        </w:numPr>
        <w:spacing w:line="460" w:lineRule="exact"/>
        <w:jc w:val="both"/>
        <w:rPr>
          <w:rFonts w:hint="eastAsia" w:ascii="Times New Roman" w:hAnsi="Times New Roman" w:eastAsia="宋体" w:cs="Times New Roman"/>
          <w:i/>
          <w:iCs/>
          <w:kern w:val="0"/>
          <w:sz w:val="24"/>
          <w:lang w:val="fr-FR"/>
          <w14:ligatures w14:val="none"/>
        </w:rPr>
      </w:pPr>
      <w:bookmarkStart w:id="20" w:name="_Ref204275808"/>
      <w:r>
        <w:rPr>
          <w:rFonts w:hint="eastAsia" w:ascii="Times New Roman" w:hAnsi="Times New Roman" w:eastAsia="宋体" w:cs="Times New Roman"/>
          <w:i/>
          <w:iCs/>
          <w:kern w:val="0"/>
          <w:sz w:val="24"/>
          <w:lang w:val="fr-FR"/>
          <w14:ligatures w14:val="none"/>
        </w:rPr>
        <w:t>Hermans, Theo. (2003). Cross-cultural Translation Studies as Thick Translation. Bulletin of the School of Oriental and African Studies, University of London.</w:t>
      </w:r>
      <w:bookmarkEnd w:id="20"/>
    </w:p>
    <w:p>
      <w:pPr>
        <w:pStyle w:val="34"/>
        <w:widowControl/>
        <w:spacing w:line="460" w:lineRule="exact"/>
        <w:ind w:left="582"/>
        <w:jc w:val="both"/>
        <w:rPr>
          <w:rFonts w:ascii="Times New Roman" w:hAnsi="Times New Roman" w:eastAsia="宋体" w:cs="Times New Roman"/>
          <w:i/>
          <w:iCs/>
          <w:kern w:val="0"/>
          <w:sz w:val="24"/>
          <w:lang w:val="fr-FR"/>
          <w14:ligatures w14:val="none"/>
        </w:rPr>
      </w:pPr>
      <w:r>
        <w:fldChar w:fldCharType="begin"/>
      </w:r>
      <w:r>
        <w:instrText xml:space="preserve"> HYPERLINK "https://scholar.google.com/scholar?hl=en&amp;as_sdt=0%2C5&amp;q=%22Hermans%2C+Theo.+%282003%29.+Cross-cultural+Translation+Studies+as+Thick+Translation.+Bulletin+of+the+School+of+Oriental+and+African+Studies%2C+University+of+London.%22&amp;btnG" </w:instrText>
      </w:r>
      <w:r>
        <w:fldChar w:fldCharType="separate"/>
      </w:r>
      <w:r>
        <w:rPr>
          <w:color w:val="0563C1" w:themeColor="hyperlink"/>
          <w:kern w:val="0"/>
          <w:u w:val="single"/>
          <w14:textFill>
            <w14:solidFill>
              <w14:schemeClr w14:val="hlink"/>
            </w14:solidFill>
          </w14:textFill>
          <w14:ligatures w14:val="none"/>
        </w:rPr>
        <w:t>https://scholar.google.com/scholar?hl=en&amp;as_sdt=0%2C5&amp;q=%22Hermans%2C+Theo.+%282003%29.+Cross-cultural+Translation+Studies+as+Thick+Translation.+Bulletin+of+the+School+of+Oriental+and+African+Studies%2C+University+of+London.%22&amp;btnG</w:t>
      </w:r>
      <w:r>
        <w:rPr>
          <w:color w:val="0563C1" w:themeColor="hyperlink"/>
          <w:kern w:val="0"/>
          <w:u w:val="single"/>
          <w14:textFill>
            <w14:solidFill>
              <w14:schemeClr w14:val="hlink"/>
            </w14:solidFill>
          </w14:textFill>
          <w14:ligatures w14:val="none"/>
        </w:rPr>
        <w:fldChar w:fldCharType="end"/>
      </w:r>
      <w:r>
        <w:rPr>
          <w:kern w:val="0"/>
          <w14:ligatures w14:val="none"/>
        </w:rPr>
        <w:t>=</w:t>
      </w:r>
    </w:p>
    <w:p>
      <w:pPr>
        <w:pStyle w:val="34"/>
        <w:widowControl/>
        <w:numPr>
          <w:ilvl w:val="0"/>
          <w:numId w:val="2"/>
        </w:numPr>
        <w:spacing w:line="460" w:lineRule="exact"/>
        <w:jc w:val="both"/>
        <w:rPr>
          <w:rFonts w:hint="eastAsia" w:ascii="Times New Roman" w:hAnsi="Times New Roman" w:eastAsia="宋体" w:cs="Times New Roman"/>
          <w:i/>
          <w:iCs/>
          <w:kern w:val="0"/>
          <w:sz w:val="24"/>
          <w:lang w:val="fr-FR"/>
          <w14:ligatures w14:val="none"/>
        </w:rPr>
      </w:pPr>
      <w:r>
        <w:rPr>
          <w:rFonts w:hint="eastAsia" w:ascii="Times New Roman" w:hAnsi="Times New Roman" w:eastAsia="宋体" w:cs="Times New Roman"/>
          <w:i/>
          <w:iCs/>
          <w:kern w:val="0"/>
          <w:sz w:val="24"/>
          <w:lang w:val="fr-FR"/>
          <w14:ligatures w14:val="none"/>
        </w:rPr>
        <w:t>Kaptchuk, T. J. (2000). The web that has no weaver: Understanding Chinese medicine. McGraw-Hill.</w:t>
      </w:r>
    </w:p>
    <w:p>
      <w:pPr>
        <w:pStyle w:val="34"/>
        <w:spacing w:after="0" w:line="240" w:lineRule="auto"/>
        <w:ind w:left="582"/>
        <w:rPr>
          <w:kern w:val="0"/>
          <w14:ligatures w14:val="none"/>
        </w:rPr>
      </w:pPr>
      <w:r>
        <w:fldChar w:fldCharType="begin"/>
      </w:r>
      <w:r>
        <w:instrText xml:space="preserve"> HYPERLINK "https://scholar.google.com/scholar?hl=en&amp;as_sdt=0%2C5&amp;q=%22Kaptchuk%2C+T.+J.+%282000%29.+The+web+that+has+no+weaver%3A+Understanding+Chinese+medicine.+McGraw-Hill.%22&amp;btnG" </w:instrText>
      </w:r>
      <w:r>
        <w:fldChar w:fldCharType="separate"/>
      </w:r>
      <w:r>
        <w:rPr>
          <w:color w:val="0563C1" w:themeColor="hyperlink"/>
          <w:kern w:val="0"/>
          <w:u w:val="single"/>
          <w14:textFill>
            <w14:solidFill>
              <w14:schemeClr w14:val="hlink"/>
            </w14:solidFill>
          </w14:textFill>
          <w14:ligatures w14:val="none"/>
        </w:rPr>
        <w:t>https://scholar.google.com/scholar?hl=en&amp;as_sdt=0%2C5&amp;q=%22Kaptchuk%2C+T.+J.+%282000%29.+The+web+that+has+no+weaver%3A+Understanding+Chinese+medicine.+McGraw-Hill.%22&amp;btnG</w:t>
      </w:r>
      <w:r>
        <w:rPr>
          <w:color w:val="0563C1" w:themeColor="hyperlink"/>
          <w:kern w:val="0"/>
          <w:u w:val="single"/>
          <w14:textFill>
            <w14:solidFill>
              <w14:schemeClr w14:val="hlink"/>
            </w14:solidFill>
          </w14:textFill>
          <w14:ligatures w14:val="none"/>
        </w:rPr>
        <w:fldChar w:fldCharType="end"/>
      </w:r>
      <w:r>
        <w:rPr>
          <w:kern w:val="0"/>
          <w14:ligatures w14:val="none"/>
        </w:rPr>
        <w:t>=</w:t>
      </w:r>
    </w:p>
    <w:p>
      <w:pPr>
        <w:pStyle w:val="34"/>
        <w:widowControl/>
        <w:numPr>
          <w:ilvl w:val="0"/>
          <w:numId w:val="2"/>
        </w:numPr>
        <w:spacing w:line="460" w:lineRule="exact"/>
        <w:jc w:val="both"/>
        <w:rPr>
          <w:rFonts w:hint="eastAsia" w:ascii="Times New Roman" w:hAnsi="Times New Roman" w:eastAsia="宋体" w:cs="Times New Roman"/>
          <w:i/>
          <w:iCs/>
          <w:kern w:val="0"/>
          <w:sz w:val="24"/>
          <w:lang w:val="fr-FR"/>
          <w14:ligatures w14:val="none"/>
        </w:rPr>
      </w:pPr>
      <w:r>
        <w:rPr>
          <w:rFonts w:hint="eastAsia" w:ascii="Times New Roman" w:hAnsi="Times New Roman" w:eastAsia="宋体" w:cs="Times New Roman"/>
          <w:i/>
          <w:iCs/>
          <w:kern w:val="0"/>
          <w:sz w:val="24"/>
          <w:lang w:val="fr-FR"/>
          <w14:ligatures w14:val="none"/>
        </w:rPr>
        <w:t>Luo Xiwen. (1987). Synopsis of prescriptions of the Golden Chamber. Beijing: New World Press.</w:t>
      </w:r>
    </w:p>
    <w:p>
      <w:pPr>
        <w:pStyle w:val="34"/>
        <w:spacing w:after="0" w:line="240" w:lineRule="auto"/>
        <w:ind w:left="582"/>
        <w:rPr>
          <w:kern w:val="0"/>
          <w14:ligatures w14:val="none"/>
        </w:rPr>
      </w:pPr>
      <w:r>
        <w:fldChar w:fldCharType="begin"/>
      </w:r>
      <w:r>
        <w:instrText xml:space="preserve"> HYPERLINK "https://scholar.google.com/scholar?hl=en&amp;as_sdt=0%2C5&amp;q=%22Luo+XW.+%281987%29.+Synopsis+of+prescriptions+of+the+Golden+Chamber.+Beijing%3A+New+World+Press.%22&amp;btnG" </w:instrText>
      </w:r>
      <w:r>
        <w:fldChar w:fldCharType="separate"/>
      </w:r>
      <w:r>
        <w:rPr>
          <w:color w:val="0563C1" w:themeColor="hyperlink"/>
          <w:kern w:val="0"/>
          <w:u w:val="single"/>
          <w14:textFill>
            <w14:solidFill>
              <w14:schemeClr w14:val="hlink"/>
            </w14:solidFill>
          </w14:textFill>
          <w14:ligatures w14:val="none"/>
        </w:rPr>
        <w:t>https://scholar.google.com/scholar?hl=en&amp;as_sdt=0%2C5&amp;q=%22Luo+XW.+%281987%29.+Synopsis+of+prescriptions+of+the+Golden+Chamber.+Beijing%3A+New+World+Press.%22&amp;btnG</w:t>
      </w:r>
      <w:r>
        <w:rPr>
          <w:color w:val="0563C1" w:themeColor="hyperlink"/>
          <w:kern w:val="0"/>
          <w:u w:val="single"/>
          <w14:textFill>
            <w14:solidFill>
              <w14:schemeClr w14:val="hlink"/>
            </w14:solidFill>
          </w14:textFill>
          <w14:ligatures w14:val="none"/>
        </w:rPr>
        <w:fldChar w:fldCharType="end"/>
      </w:r>
      <w:r>
        <w:rPr>
          <w:kern w:val="0"/>
          <w14:ligatures w14:val="none"/>
        </w:rPr>
        <w:t>=</w:t>
      </w:r>
    </w:p>
    <w:p>
      <w:pPr>
        <w:pStyle w:val="34"/>
        <w:widowControl/>
        <w:numPr>
          <w:ilvl w:val="0"/>
          <w:numId w:val="2"/>
        </w:numPr>
        <w:spacing w:line="460" w:lineRule="exact"/>
        <w:jc w:val="both"/>
        <w:rPr>
          <w:rFonts w:hint="eastAsia" w:ascii="Times New Roman" w:hAnsi="Times New Roman" w:eastAsia="宋体" w:cs="Times New Roman"/>
          <w:i/>
          <w:iCs/>
          <w:kern w:val="0"/>
          <w:sz w:val="24"/>
          <w:lang w:val="fr-FR"/>
          <w14:ligatures w14:val="none"/>
        </w:rPr>
      </w:pPr>
      <w:r>
        <w:rPr>
          <w:rFonts w:hint="eastAsia" w:ascii="Times New Roman" w:hAnsi="Times New Roman" w:eastAsia="宋体" w:cs="Times New Roman"/>
          <w:i/>
          <w:iCs/>
          <w:kern w:val="0"/>
          <w:sz w:val="24"/>
          <w:lang w:val="fr-FR"/>
          <w14:ligatures w14:val="none"/>
        </w:rPr>
        <w:t>Luo Xiwen.(1993). Treatise on febrile diseases caused by cold with 500 cases. Beijing: New World Press.</w:t>
      </w:r>
    </w:p>
    <w:p>
      <w:pPr>
        <w:pStyle w:val="34"/>
        <w:widowControl/>
        <w:spacing w:line="460" w:lineRule="exact"/>
        <w:ind w:left="724"/>
        <w:jc w:val="both"/>
        <w:rPr>
          <w:rFonts w:ascii="Times New Roman" w:hAnsi="Times New Roman" w:eastAsia="宋体" w:cs="Times New Roman"/>
          <w:i/>
          <w:iCs/>
          <w:kern w:val="0"/>
          <w:sz w:val="24"/>
          <w:lang w:val="fr-FR"/>
          <w14:ligatures w14:val="none"/>
        </w:rPr>
      </w:pPr>
      <w:r>
        <w:fldChar w:fldCharType="begin"/>
      </w:r>
      <w:r>
        <w:instrText xml:space="preserve"> HYPERLINK "https://xueshu.baidu.com/usercenter/paper/show?paperid=5f339e99ac9a68ffb56493c7efc2aa6b&amp;site=xueshu_se" </w:instrText>
      </w:r>
      <w:r>
        <w:fldChar w:fldCharType="separate"/>
      </w:r>
      <w:r>
        <w:rPr>
          <w:rStyle w:val="20"/>
          <w:kern w:val="0"/>
          <w14:ligatures w14:val="none"/>
        </w:rPr>
        <w:t>https://xueshu.baidu.com/usercenter/paper/show?paperid=5f339e99ac9a68ffb56493c7efc2aa6b&amp;site=xueshu_se</w:t>
      </w:r>
      <w:r>
        <w:rPr>
          <w:rStyle w:val="20"/>
          <w:kern w:val="0"/>
          <w14:ligatures w14:val="none"/>
        </w:rPr>
        <w:fldChar w:fldCharType="end"/>
      </w:r>
    </w:p>
    <w:p>
      <w:pPr>
        <w:pStyle w:val="34"/>
        <w:widowControl/>
        <w:numPr>
          <w:ilvl w:val="0"/>
          <w:numId w:val="2"/>
        </w:numPr>
        <w:spacing w:line="460" w:lineRule="exact"/>
        <w:jc w:val="both"/>
        <w:rPr>
          <w:rFonts w:hint="eastAsia" w:ascii="Times New Roman" w:hAnsi="Times New Roman" w:eastAsia="宋体" w:cs="Times New Roman"/>
          <w:i/>
          <w:iCs/>
          <w:kern w:val="0"/>
          <w:sz w:val="24"/>
          <w:lang w:val="fr-FR"/>
          <w14:ligatures w14:val="none"/>
        </w:rPr>
      </w:pPr>
      <w:bookmarkStart w:id="21" w:name="_Ref204277867"/>
      <w:r>
        <w:rPr>
          <w:rFonts w:hint="eastAsia" w:ascii="Times New Roman" w:hAnsi="Times New Roman" w:eastAsia="宋体" w:cs="Times New Roman"/>
          <w:i/>
          <w:iCs/>
          <w:kern w:val="0"/>
          <w:sz w:val="24"/>
          <w:lang w:val="fr-FR"/>
          <w14:ligatures w14:val="none"/>
        </w:rPr>
        <w:t>Nord, C. (2014). Translating as a Purposeful Activity: Functionalist Approaches Explained. St. Jerome Publishing.</w:t>
      </w:r>
      <w:bookmarkEnd w:id="21"/>
    </w:p>
    <w:p>
      <w:pPr>
        <w:pStyle w:val="34"/>
        <w:spacing w:after="0" w:line="240" w:lineRule="auto"/>
        <w:ind w:left="582"/>
        <w:rPr>
          <w:kern w:val="0"/>
          <w14:ligatures w14:val="none"/>
        </w:rPr>
      </w:pPr>
      <w:r>
        <w:fldChar w:fldCharType="begin"/>
      </w:r>
      <w:r>
        <w:instrText xml:space="preserve"> HYPERLINK "https://scholar.google.com/scholar?hl=en&amp;as_sdt=0%2C5&amp;q=%22Nord%2C+C.+%281997%29.+Translating+as+a+Purposeful+Activity%3A+Functionalist+Approaches+Explained.+St.+Jerome+Publishing.%22&amp;btnG" </w:instrText>
      </w:r>
      <w:r>
        <w:fldChar w:fldCharType="separate"/>
      </w:r>
      <w:r>
        <w:rPr>
          <w:color w:val="0563C1" w:themeColor="hyperlink"/>
          <w:kern w:val="0"/>
          <w:u w:val="single"/>
          <w14:textFill>
            <w14:solidFill>
              <w14:schemeClr w14:val="hlink"/>
            </w14:solidFill>
          </w14:textFill>
          <w14:ligatures w14:val="none"/>
        </w:rPr>
        <w:t>https://scholar.google.com/scholar?hl=en&amp;as_sdt=0%2C5&amp;q=%22Nord%2C+C.+%281997%29.+Translating+as+a+Purposeful+Activity%3A+Functionalist+Approaches+Explained.+St.+Jerome+Publishing.%22&amp;btnG</w:t>
      </w:r>
      <w:r>
        <w:rPr>
          <w:color w:val="0563C1" w:themeColor="hyperlink"/>
          <w:kern w:val="0"/>
          <w:u w:val="single"/>
          <w14:textFill>
            <w14:solidFill>
              <w14:schemeClr w14:val="hlink"/>
            </w14:solidFill>
          </w14:textFill>
          <w14:ligatures w14:val="none"/>
        </w:rPr>
        <w:fldChar w:fldCharType="end"/>
      </w:r>
      <w:r>
        <w:rPr>
          <w:kern w:val="0"/>
          <w14:ligatures w14:val="none"/>
        </w:rPr>
        <w:t>=</w:t>
      </w:r>
    </w:p>
    <w:p>
      <w:pPr>
        <w:pStyle w:val="34"/>
        <w:widowControl/>
        <w:numPr>
          <w:ilvl w:val="0"/>
          <w:numId w:val="2"/>
        </w:numPr>
        <w:spacing w:line="460" w:lineRule="exact"/>
        <w:jc w:val="both"/>
        <w:rPr>
          <w:rFonts w:ascii="Times New Roman" w:hAnsi="Times New Roman" w:eastAsia="宋体" w:cs="Times New Roman"/>
          <w:i/>
          <w:iCs/>
          <w:kern w:val="0"/>
          <w:sz w:val="24"/>
          <w:lang w:val="fr-FR"/>
          <w14:ligatures w14:val="none"/>
        </w:rPr>
      </w:pPr>
      <w:bookmarkStart w:id="22" w:name="_Ref204277610"/>
      <w:r>
        <w:rPr>
          <w:rFonts w:hint="eastAsia" w:ascii="Times New Roman" w:hAnsi="Times New Roman" w:eastAsia="宋体" w:cs="Times New Roman"/>
          <w:i/>
          <w:iCs/>
          <w:kern w:val="0"/>
          <w:sz w:val="24"/>
          <w:lang w:val="fr-FR"/>
          <w14:ligatures w14:val="none"/>
        </w:rPr>
        <w:t>Newmark, P. (1988). A textbook of translation. Prentice Hall.</w:t>
      </w:r>
      <w:bookmarkEnd w:id="22"/>
      <w:r>
        <w:rPr>
          <w:rFonts w:hint="eastAsia" w:ascii="Times New Roman" w:hAnsi="Times New Roman" w:eastAsia="宋体" w:cs="Times New Roman"/>
          <w:i/>
          <w:iCs/>
          <w:kern w:val="0"/>
          <w:sz w:val="24"/>
          <w:lang w:val="fr-FR"/>
          <w14:ligatures w14:val="none"/>
        </w:rPr>
        <w:t xml:space="preserve"> </w:t>
      </w:r>
      <w:r>
        <w:fldChar w:fldCharType="begin"/>
      </w:r>
      <w:r>
        <w:instrText xml:space="preserve"> HYPERLINK "https://scholar.google.com/scholar?hl=en&amp;as_sdt=0%2C5&amp;q=%22Newmark%2C+P.+%281988%29.+A+textbook+of+translation.+Prentice+Hall.%22&amp;btnG" </w:instrText>
      </w:r>
      <w:r>
        <w:fldChar w:fldCharType="separate"/>
      </w:r>
      <w:r>
        <w:rPr>
          <w:color w:val="0563C1" w:themeColor="hyperlink"/>
          <w:kern w:val="0"/>
          <w:u w:val="single"/>
          <w14:textFill>
            <w14:solidFill>
              <w14:schemeClr w14:val="hlink"/>
            </w14:solidFill>
          </w14:textFill>
          <w14:ligatures w14:val="none"/>
        </w:rPr>
        <w:t>https://scholar.google.com/scholar?hl=en&amp;as_sdt=0%2C5&amp;q=%22Newmark%2C+P.+%281988%29.+A+textbook+of+translation.+Prentice+Hall.%22&amp;btnG</w:t>
      </w:r>
      <w:r>
        <w:rPr>
          <w:color w:val="0563C1" w:themeColor="hyperlink"/>
          <w:kern w:val="0"/>
          <w:u w:val="single"/>
          <w14:textFill>
            <w14:solidFill>
              <w14:schemeClr w14:val="hlink"/>
            </w14:solidFill>
          </w14:textFill>
          <w14:ligatures w14:val="none"/>
        </w:rPr>
        <w:fldChar w:fldCharType="end"/>
      </w:r>
      <w:r>
        <w:rPr>
          <w:kern w:val="0"/>
          <w14:ligatures w14:val="none"/>
        </w:rPr>
        <w:t>=</w:t>
      </w:r>
    </w:p>
    <w:p>
      <w:pPr>
        <w:pStyle w:val="34"/>
        <w:widowControl/>
        <w:numPr>
          <w:ilvl w:val="0"/>
          <w:numId w:val="2"/>
        </w:numPr>
        <w:spacing w:line="460" w:lineRule="exact"/>
        <w:jc w:val="both"/>
        <w:rPr>
          <w:rFonts w:ascii="Times New Roman" w:hAnsi="Times New Roman" w:eastAsia="宋体" w:cs="Times New Roman"/>
          <w:i/>
          <w:iCs/>
          <w:kern w:val="0"/>
          <w:sz w:val="24"/>
          <w:lang w:val="fr-FR"/>
          <w14:ligatures w14:val="none"/>
        </w:rPr>
      </w:pPr>
      <w:r>
        <w:rPr>
          <w:rFonts w:hint="eastAsia" w:ascii="Times New Roman" w:hAnsi="Times New Roman" w:eastAsia="宋体" w:cs="Times New Roman"/>
          <w:i/>
          <w:iCs/>
          <w:kern w:val="0"/>
          <w:sz w:val="24"/>
          <w:lang w:val="fr-FR"/>
          <w14:ligatures w14:val="none"/>
        </w:rPr>
        <w:t xml:space="preserve">Nida, E. A. (1964). Toward a science of translating. E.J. Brill.   </w:t>
      </w:r>
      <w:r>
        <w:fldChar w:fldCharType="begin"/>
      </w:r>
      <w:r>
        <w:instrText xml:space="preserve"> HYPERLINK "https://scholar.google.com/scholar?hl=en&amp;as_sdt=0%2C5&amp;q=%22Nida%2C+E.+A.+%281964%29.+Toward+a+science+of+translating.+E.J.+Brill.%22&amp;btnG" </w:instrText>
      </w:r>
      <w:r>
        <w:fldChar w:fldCharType="separate"/>
      </w:r>
      <w:r>
        <w:rPr>
          <w:color w:val="0563C1" w:themeColor="hyperlink"/>
          <w:kern w:val="0"/>
          <w:u w:val="single"/>
          <w14:textFill>
            <w14:solidFill>
              <w14:schemeClr w14:val="hlink"/>
            </w14:solidFill>
          </w14:textFill>
          <w14:ligatures w14:val="none"/>
        </w:rPr>
        <w:t>https://scholar.google.com/scholar?hl=en&amp;as_sdt=0%2C5&amp;q=%22Nida%2C+E.+A.+%281964%29.+Toward+a+science+of+translating.+E.J.+Brill.%22&amp;btnG</w:t>
      </w:r>
      <w:r>
        <w:rPr>
          <w:color w:val="0563C1" w:themeColor="hyperlink"/>
          <w:kern w:val="0"/>
          <w:u w:val="single"/>
          <w14:textFill>
            <w14:solidFill>
              <w14:schemeClr w14:val="hlink"/>
            </w14:solidFill>
          </w14:textFill>
          <w14:ligatures w14:val="none"/>
        </w:rPr>
        <w:fldChar w:fldCharType="end"/>
      </w:r>
      <w:r>
        <w:rPr>
          <w:kern w:val="0"/>
          <w14:ligatures w14:val="none"/>
        </w:rPr>
        <w:t>=</w:t>
      </w:r>
    </w:p>
    <w:p>
      <w:pPr>
        <w:pStyle w:val="34"/>
        <w:widowControl/>
        <w:numPr>
          <w:ilvl w:val="0"/>
          <w:numId w:val="2"/>
        </w:numPr>
        <w:spacing w:line="460" w:lineRule="exact"/>
        <w:jc w:val="both"/>
        <w:rPr>
          <w:rFonts w:hint="eastAsia" w:ascii="Times New Roman" w:hAnsi="Times New Roman" w:eastAsia="宋体" w:cs="Times New Roman"/>
          <w:i/>
          <w:iCs/>
          <w:kern w:val="0"/>
          <w:sz w:val="24"/>
          <w:lang w:val="fr-FR"/>
          <w14:ligatures w14:val="none"/>
        </w:rPr>
      </w:pPr>
      <w:r>
        <w:rPr>
          <w:rFonts w:hint="eastAsia" w:ascii="Times New Roman" w:hAnsi="Times New Roman" w:eastAsia="宋体" w:cs="Times New Roman"/>
          <w:i/>
          <w:iCs/>
          <w:kern w:val="0"/>
          <w:sz w:val="24"/>
          <w:lang w:val="fr-FR"/>
          <w14:ligatures w14:val="none"/>
        </w:rPr>
        <w:t>Porkert, M. (1974). The theoretical foundations of Chinese medicine: Systems of correspondence. MIT Press.</w:t>
      </w:r>
    </w:p>
    <w:p>
      <w:pPr>
        <w:spacing w:after="0" w:line="240" w:lineRule="auto"/>
        <w:ind w:left="142"/>
        <w:rPr>
          <w:rFonts w:hint="eastAsia"/>
          <w:kern w:val="0"/>
          <w14:ligatures w14:val="none"/>
        </w:rPr>
      </w:pPr>
      <w:r>
        <w:fldChar w:fldCharType="begin"/>
      </w:r>
      <w:r>
        <w:instrText xml:space="preserve"> HYPERLINK "https://scholar.google.com/scholar?hl=en&amp;as_sdt=0%2C5&amp;q=%22Porkert%2C+M.+%281974%29.+The+theoretical+foundations+of+Chinese+medicine%3A+Systems+of+correspondence.+MIT+Press.%22&amp;btnG" </w:instrText>
      </w:r>
      <w:r>
        <w:fldChar w:fldCharType="separate"/>
      </w:r>
      <w:r>
        <w:rPr>
          <w:color w:val="0563C1" w:themeColor="hyperlink"/>
          <w:kern w:val="0"/>
          <w:u w:val="single"/>
          <w14:textFill>
            <w14:solidFill>
              <w14:schemeClr w14:val="hlink"/>
            </w14:solidFill>
          </w14:textFill>
          <w14:ligatures w14:val="none"/>
        </w:rPr>
        <w:t>https://scholar.google.com/scholar?hl=en&amp;as_sdt=0%2C5&amp;q=%22Porkert%2C+M.+%281974%29.+The+theoretical+foundations+of+Chinese+medicine%3A+Systems+of+correspondence.+MIT+Press.%22&amp;btnG</w:t>
      </w:r>
      <w:r>
        <w:rPr>
          <w:color w:val="0563C1" w:themeColor="hyperlink"/>
          <w:kern w:val="0"/>
          <w:u w:val="single"/>
          <w14:textFill>
            <w14:solidFill>
              <w14:schemeClr w14:val="hlink"/>
            </w14:solidFill>
          </w14:textFill>
          <w14:ligatures w14:val="none"/>
        </w:rPr>
        <w:fldChar w:fldCharType="end"/>
      </w:r>
      <w:r>
        <w:rPr>
          <w:kern w:val="0"/>
          <w14:ligatures w14:val="none"/>
        </w:rPr>
        <w:t>=</w:t>
      </w:r>
    </w:p>
    <w:p>
      <w:pPr>
        <w:pStyle w:val="34"/>
        <w:widowControl/>
        <w:numPr>
          <w:ilvl w:val="0"/>
          <w:numId w:val="2"/>
        </w:numPr>
        <w:spacing w:line="460" w:lineRule="exact"/>
        <w:jc w:val="both"/>
        <w:rPr>
          <w:rFonts w:hint="eastAsia" w:ascii="Times New Roman" w:hAnsi="Times New Roman" w:eastAsia="宋体" w:cs="Times New Roman"/>
          <w:i/>
          <w:iCs/>
          <w:kern w:val="0"/>
          <w:sz w:val="24"/>
          <w:lang w:val="fr-FR"/>
          <w14:ligatures w14:val="none"/>
        </w:rPr>
      </w:pPr>
      <w:bookmarkStart w:id="23" w:name="_Ref204277283"/>
      <w:r>
        <w:rPr>
          <w:rFonts w:hint="eastAsia" w:ascii="Times New Roman" w:hAnsi="Times New Roman" w:eastAsia="宋体" w:cs="Times New Roman"/>
          <w:i/>
          <w:iCs/>
          <w:kern w:val="0"/>
          <w:sz w:val="24"/>
          <w:lang w:val="fr-FR"/>
          <w14:ligatures w14:val="none"/>
        </w:rPr>
        <w:t>Tymoczko, M. (2007). Enlarging Translation, Empowering Translators. St. Jerome Publishing.</w:t>
      </w:r>
      <w:bookmarkEnd w:id="23"/>
    </w:p>
    <w:p>
      <w:pPr>
        <w:spacing w:after="0" w:line="240" w:lineRule="auto"/>
        <w:ind w:left="284"/>
        <w:rPr>
          <w:kern w:val="0"/>
          <w14:ligatures w14:val="none"/>
        </w:rPr>
      </w:pPr>
      <w:r>
        <w:fldChar w:fldCharType="begin"/>
      </w:r>
      <w:r>
        <w:instrText xml:space="preserve"> HYPERLINK "https://scholar.google.com/scholar?hl=en&amp;as_sdt=0%2C5&amp;q=%22Tymoczko%2C+M.+%282007%29.+Enlarging+Translation%2C+Empowering+Translators.+St.+Jerome+Publishing.%22&amp;btnG" </w:instrText>
      </w:r>
      <w:r>
        <w:fldChar w:fldCharType="separate"/>
      </w:r>
      <w:r>
        <w:rPr>
          <w:color w:val="0563C1" w:themeColor="hyperlink"/>
          <w:kern w:val="0"/>
          <w:u w:val="single"/>
          <w14:textFill>
            <w14:solidFill>
              <w14:schemeClr w14:val="hlink"/>
            </w14:solidFill>
          </w14:textFill>
          <w14:ligatures w14:val="none"/>
        </w:rPr>
        <w:t>https://scholar.google.com/scholar?hl=en&amp;as_sdt=0%2C5&amp;q=%22Tymoczko%2C+M.+%282007%29.+Enlarging+Translation%2C+Empowering+Translators.+St.+Jerome+Publishing.%22&amp;btnG</w:t>
      </w:r>
      <w:r>
        <w:rPr>
          <w:color w:val="0563C1" w:themeColor="hyperlink"/>
          <w:kern w:val="0"/>
          <w:u w:val="single"/>
          <w14:textFill>
            <w14:solidFill>
              <w14:schemeClr w14:val="hlink"/>
            </w14:solidFill>
          </w14:textFill>
          <w14:ligatures w14:val="none"/>
        </w:rPr>
        <w:fldChar w:fldCharType="end"/>
      </w:r>
      <w:r>
        <w:rPr>
          <w:kern w:val="0"/>
          <w14:ligatures w14:val="none"/>
        </w:rPr>
        <w:t>=</w:t>
      </w:r>
    </w:p>
    <w:p>
      <w:pPr>
        <w:pStyle w:val="34"/>
        <w:widowControl/>
        <w:numPr>
          <w:ilvl w:val="0"/>
          <w:numId w:val="2"/>
        </w:numPr>
        <w:spacing w:line="460" w:lineRule="exact"/>
        <w:jc w:val="both"/>
        <w:rPr>
          <w:rFonts w:hint="eastAsia" w:ascii="Times New Roman" w:hAnsi="Times New Roman" w:eastAsia="宋体" w:cs="Times New Roman"/>
          <w:i/>
          <w:iCs/>
          <w:kern w:val="0"/>
          <w:sz w:val="24"/>
          <w:lang w:val="fr-FR"/>
          <w14:ligatures w14:val="none"/>
        </w:rPr>
      </w:pPr>
      <w:bookmarkStart w:id="24" w:name="_Ref204276904"/>
      <w:r>
        <w:rPr>
          <w:rFonts w:hint="eastAsia" w:ascii="Times New Roman" w:hAnsi="Times New Roman" w:eastAsia="宋体" w:cs="Times New Roman"/>
          <w:i/>
          <w:iCs/>
          <w:kern w:val="0"/>
          <w:sz w:val="24"/>
          <w:lang w:val="fr-FR"/>
          <w14:ligatures w14:val="none"/>
        </w:rPr>
        <w:t>Venuti, L. (2017). The translator</w:t>
      </w:r>
      <w:r>
        <w:rPr>
          <w:rFonts w:ascii="Times New Roman" w:hAnsi="Times New Roman" w:eastAsia="宋体" w:cs="Times New Roman"/>
          <w:i/>
          <w:iCs/>
          <w:kern w:val="0"/>
          <w:sz w:val="24"/>
          <w:lang w:val="fr-FR"/>
          <w14:ligatures w14:val="none"/>
        </w:rPr>
        <w:t>’</w:t>
      </w:r>
      <w:r>
        <w:rPr>
          <w:rFonts w:hint="eastAsia" w:ascii="Times New Roman" w:hAnsi="Times New Roman" w:eastAsia="宋体" w:cs="Times New Roman"/>
          <w:i/>
          <w:iCs/>
          <w:kern w:val="0"/>
          <w:sz w:val="24"/>
          <w:lang w:val="fr-FR"/>
          <w14:ligatures w14:val="none"/>
        </w:rPr>
        <w:t>s invisibility: A history of translation. Routledge.</w:t>
      </w:r>
      <w:bookmarkEnd w:id="24"/>
    </w:p>
    <w:p>
      <w:pPr>
        <w:spacing w:after="0" w:line="240" w:lineRule="auto"/>
        <w:ind w:left="284"/>
        <w:rPr>
          <w:kern w:val="0"/>
          <w14:ligatures w14:val="none"/>
        </w:rPr>
      </w:pPr>
      <w:r>
        <w:fldChar w:fldCharType="begin"/>
      </w:r>
      <w:r>
        <w:instrText xml:space="preserve"> HYPERLINK "https://scholar.google.com/scholar?hl=en&amp;as_sdt=0%2C5&amp;q=%22Venuti%2C+L.+%281995%29.+The+translator%E2%80%99s+invisibility%3A+A+history+of+translation.+Routledge.%22&amp;btnG" </w:instrText>
      </w:r>
      <w:r>
        <w:fldChar w:fldCharType="separate"/>
      </w:r>
      <w:r>
        <w:rPr>
          <w:color w:val="0563C1" w:themeColor="hyperlink"/>
          <w:kern w:val="0"/>
          <w:u w:val="single"/>
          <w14:textFill>
            <w14:solidFill>
              <w14:schemeClr w14:val="hlink"/>
            </w14:solidFill>
          </w14:textFill>
          <w14:ligatures w14:val="none"/>
        </w:rPr>
        <w:t>https://scholar.google.com/scholar?hl=en&amp;as_sdt=0%2C5&amp;q=%22Venuti%2C+L.+%281995%29.+The+translator%E2%80%99s+invisibility%3A+A+history+of+translation.+Routledge.%22&amp;btnG</w:t>
      </w:r>
      <w:r>
        <w:rPr>
          <w:color w:val="0563C1" w:themeColor="hyperlink"/>
          <w:kern w:val="0"/>
          <w:u w:val="single"/>
          <w14:textFill>
            <w14:solidFill>
              <w14:schemeClr w14:val="hlink"/>
            </w14:solidFill>
          </w14:textFill>
          <w14:ligatures w14:val="none"/>
        </w:rPr>
        <w:fldChar w:fldCharType="end"/>
      </w:r>
      <w:r>
        <w:rPr>
          <w:kern w:val="0"/>
          <w14:ligatures w14:val="none"/>
        </w:rPr>
        <w:t>=</w:t>
      </w:r>
    </w:p>
    <w:p>
      <w:pPr>
        <w:pStyle w:val="34"/>
        <w:widowControl/>
        <w:numPr>
          <w:ilvl w:val="0"/>
          <w:numId w:val="2"/>
        </w:numPr>
        <w:spacing w:line="460" w:lineRule="exact"/>
        <w:jc w:val="both"/>
        <w:rPr>
          <w:rFonts w:hint="eastAsia" w:ascii="Times New Roman" w:hAnsi="Times New Roman" w:eastAsia="宋体" w:cs="Times New Roman"/>
          <w:i/>
          <w:iCs/>
          <w:kern w:val="0"/>
          <w:sz w:val="24"/>
          <w:lang w:val="fr-FR"/>
          <w14:ligatures w14:val="none"/>
        </w:rPr>
      </w:pPr>
      <w:r>
        <w:rPr>
          <w:rFonts w:hint="eastAsia" w:ascii="Times New Roman" w:hAnsi="Times New Roman" w:eastAsia="宋体" w:cs="Times New Roman"/>
          <w:i/>
          <w:iCs/>
          <w:kern w:val="0"/>
          <w:sz w:val="24"/>
          <w:lang w:val="fr-FR"/>
          <w14:ligatures w14:val="none"/>
        </w:rPr>
        <w:t>Wiseman, N. (1995). Fundamentals of Chinese medicine: Zhong yi xue ji chu. Paradigm Publications</w:t>
      </w:r>
    </w:p>
    <w:p>
      <w:pPr>
        <w:widowControl/>
        <w:spacing w:line="460" w:lineRule="exact"/>
        <w:ind w:left="284"/>
        <w:jc w:val="both"/>
        <w:rPr>
          <w:rFonts w:ascii="Times New Roman" w:hAnsi="Times New Roman" w:eastAsia="宋体" w:cs="Times New Roman"/>
          <w:i/>
          <w:iCs/>
          <w:kern w:val="0"/>
          <w:sz w:val="24"/>
          <w:lang w:val="fr-FR"/>
          <w14:ligatures w14:val="none"/>
        </w:rPr>
      </w:pPr>
      <w:r>
        <w:fldChar w:fldCharType="begin"/>
      </w:r>
      <w:r>
        <w:instrText xml:space="preserve"> HYPERLINK "https://scholar.google.com/scholar?hl=en&amp;as_sdt=0%2C5&amp;q=%22Wiseman%2C+N.+%281995%29.+Fundamentals+of+Chinese+medicine%3A+Zhong+yi+xue+ji+chu.+Paradigm+Publications%22&amp;btnG" </w:instrText>
      </w:r>
      <w:r>
        <w:fldChar w:fldCharType="separate"/>
      </w:r>
      <w:r>
        <w:rPr>
          <w:color w:val="0563C1" w:themeColor="hyperlink"/>
          <w:kern w:val="0"/>
          <w:u w:val="single"/>
          <w14:textFill>
            <w14:solidFill>
              <w14:schemeClr w14:val="hlink"/>
            </w14:solidFill>
          </w14:textFill>
          <w14:ligatures w14:val="none"/>
        </w:rPr>
        <w:t>https://scholar.google.com/scholar?hl=en&amp;as_sdt=0%2C5&amp;q=%22Wiseman%2C+N.+%281995%29.+Fundamentals+of+Chinese+medicine%3A+Zhong+yi+xue+ji+chu.+Paradigm+Publications%22&amp;btnG</w:t>
      </w:r>
      <w:r>
        <w:rPr>
          <w:color w:val="0563C1" w:themeColor="hyperlink"/>
          <w:kern w:val="0"/>
          <w:u w:val="single"/>
          <w14:textFill>
            <w14:solidFill>
              <w14:schemeClr w14:val="hlink"/>
            </w14:solidFill>
          </w14:textFill>
          <w14:ligatures w14:val="none"/>
        </w:rPr>
        <w:fldChar w:fldCharType="end"/>
      </w:r>
      <w:r>
        <w:rPr>
          <w:kern w:val="0"/>
          <w14:ligatures w14:val="none"/>
        </w:rPr>
        <w:t>=</w:t>
      </w:r>
    </w:p>
    <w:p>
      <w:pPr>
        <w:pStyle w:val="34"/>
        <w:widowControl/>
        <w:numPr>
          <w:ilvl w:val="0"/>
          <w:numId w:val="2"/>
        </w:numPr>
        <w:spacing w:line="460" w:lineRule="exact"/>
        <w:jc w:val="both"/>
        <w:rPr>
          <w:rFonts w:hint="eastAsia" w:ascii="Times New Roman" w:hAnsi="Times New Roman" w:eastAsia="宋体" w:cs="Times New Roman"/>
          <w:i/>
          <w:iCs/>
          <w:color w:val="EE0000"/>
          <w:kern w:val="0"/>
          <w:sz w:val="24"/>
          <w:lang w:val="fr-FR"/>
          <w14:ligatures w14:val="none"/>
        </w:rPr>
      </w:pPr>
      <w:r>
        <w:rPr>
          <w:rFonts w:hint="eastAsia" w:ascii="Times New Roman" w:hAnsi="Times New Roman" w:eastAsia="宋体" w:cs="Times New Roman"/>
          <w:i/>
          <w:iCs/>
          <w:color w:val="EE0000"/>
          <w:kern w:val="0"/>
          <w:sz w:val="24"/>
          <w:lang w:val="fr-FR"/>
          <w14:ligatures w14:val="none"/>
        </w:rPr>
        <w:t>Cao Sijia. (2023). Study on the English Translation of Terms Related to Heart Diseases in On cold damage and Essentials of The Golden Cabinet Based on the Functional Equivalence Theory. Modernization of Traditional Chinese Medicine and Materia Medica-- World Science and Technology, 25(07), 2274–2280.</w:t>
      </w:r>
    </w:p>
    <w:p>
      <w:pPr>
        <w:spacing w:after="0" w:line="240" w:lineRule="auto"/>
        <w:ind w:left="284"/>
        <w:rPr>
          <w:kern w:val="0"/>
          <w14:ligatures w14:val="none"/>
        </w:rPr>
      </w:pPr>
      <w:r>
        <w:fldChar w:fldCharType="begin"/>
      </w:r>
      <w:r>
        <w:instrText xml:space="preserve"> HYPERLINK "http://scholar.google.com/scholar?hl=en&amp;as_sdt=0%2C5&amp;q=%22Cao+Sijia.+%282023%29.+A+study+on+the+English+translation+of+terms+related+to+heart+diseases+in+Treatise+on+Febrile+Diseases+and+Synopsis+of+the+Golden+Chamber+from+the+perspective+of+functional+equivalence+theory.+World+Science+and+Technology-Modernization+of+Traditional+Chinese+Medicine%2C+25%2807%29%2C+2274%E2%80%932280.%22&amp;btnG" </w:instrText>
      </w:r>
      <w:r>
        <w:fldChar w:fldCharType="separate"/>
      </w:r>
      <w:r>
        <w:rPr>
          <w:color w:val="0563C1" w:themeColor="hyperlink"/>
          <w:kern w:val="0"/>
          <w:u w:val="single"/>
          <w14:textFill>
            <w14:solidFill>
              <w14:schemeClr w14:val="hlink"/>
            </w14:solidFill>
          </w14:textFill>
          <w14:ligatures w14:val="none"/>
        </w:rPr>
        <w:t>http://scholar.google.com/scholar?hl=en&amp;as_sdt=0%2C5&amp;q=%22Cao+Sijia.+%282023%29.+A+study+on+the+English+translation+of+terms+related+to+heart+diseases+in+Treatise+on+Febrile+Diseases+and+Synopsis+of+the+Golden+Chamber+from+the+perspective+of+functional+equivalence+theory.+World+Science+and+Technology-Modernization+of+Traditional+Chinese+Medicine%2C+25%2807%29%2C+2274%E2%80%932280.%22&amp;btnG</w:t>
      </w:r>
      <w:r>
        <w:rPr>
          <w:color w:val="0563C1" w:themeColor="hyperlink"/>
          <w:kern w:val="0"/>
          <w:u w:val="single"/>
          <w14:textFill>
            <w14:solidFill>
              <w14:schemeClr w14:val="hlink"/>
            </w14:solidFill>
          </w14:textFill>
          <w14:ligatures w14:val="none"/>
        </w:rPr>
        <w:fldChar w:fldCharType="end"/>
      </w:r>
      <w:r>
        <w:rPr>
          <w:kern w:val="0"/>
          <w14:ligatures w14:val="none"/>
        </w:rPr>
        <w:t>=</w:t>
      </w:r>
    </w:p>
    <w:p>
      <w:pPr>
        <w:pStyle w:val="34"/>
        <w:widowControl/>
        <w:numPr>
          <w:ilvl w:val="0"/>
          <w:numId w:val="2"/>
        </w:numPr>
        <w:spacing w:line="460" w:lineRule="exact"/>
        <w:jc w:val="both"/>
        <w:rPr>
          <w:rFonts w:hint="eastAsia" w:ascii="Times New Roman" w:hAnsi="Times New Roman" w:eastAsia="宋体" w:cs="Times New Roman"/>
          <w:i/>
          <w:iCs/>
          <w:color w:val="EE0000"/>
          <w:kern w:val="0"/>
          <w:sz w:val="24"/>
          <w:lang w:val="fr-FR"/>
          <w14:ligatures w14:val="none"/>
        </w:rPr>
      </w:pPr>
      <w:r>
        <w:rPr>
          <w:rFonts w:hint="eastAsia" w:ascii="Times New Roman" w:hAnsi="Times New Roman" w:eastAsia="宋体" w:cs="Times New Roman"/>
          <w:i/>
          <w:iCs/>
          <w:color w:val="EE0000"/>
          <w:kern w:val="0"/>
          <w:sz w:val="24"/>
          <w:lang w:val="fr-FR"/>
          <w14:ligatures w14:val="none"/>
        </w:rPr>
        <w:t>Jiang Chenxue, Liu Kai. (2016). Application of Thick Translation Theory in English Translation of Chinese Medicine. Journal of Basic Chinese Medicine, 22(11), 1542–1544.</w:t>
      </w:r>
      <w:r>
        <w:rPr>
          <w:rFonts w:ascii="Times New Roman" w:hAnsi="Times New Roman" w:eastAsia="宋体" w:cs="Times New Roman"/>
          <w:i/>
          <w:iCs/>
          <w:color w:val="EE0000"/>
          <w:kern w:val="0"/>
          <w:sz w:val="24"/>
          <w:lang w:val="fr-FR"/>
          <w14:ligatures w14:val="none"/>
        </w:rPr>
        <w:t> </w:t>
      </w:r>
    </w:p>
    <w:p>
      <w:pPr>
        <w:widowControl/>
        <w:spacing w:line="460" w:lineRule="exact"/>
        <w:ind w:left="284"/>
        <w:jc w:val="both"/>
        <w:rPr>
          <w:rFonts w:ascii="Times New Roman" w:hAnsi="Times New Roman" w:eastAsia="宋体" w:cs="Times New Roman"/>
          <w:i/>
          <w:iCs/>
          <w:color w:val="EE0000"/>
          <w:kern w:val="0"/>
          <w:sz w:val="24"/>
          <w:lang w:val="fr-FR"/>
          <w14:ligatures w14:val="none"/>
        </w:rPr>
      </w:pPr>
      <w:r>
        <w:rPr>
          <w:kern w:val="0"/>
          <w14:ligatures w14:val="none"/>
        </w:rPr>
        <w:fldChar w:fldCharType="begin"/>
      </w:r>
      <w:r>
        <w:rPr>
          <w:kern w:val="0"/>
          <w14:ligatures w14:val="none"/>
        </w:rPr>
        <w:instrText xml:space="preserve"> HYPERLINK "https://scholar.google.com/scholar?hl=zh-CN&amp;as_sdt=0%2C5&amp;q=Jiang+Chenxue%2C+Liu+Kai.+%282016%29.+Application+of+Thick+Translation+Theory+in+English+Translation+of+Chinese+Medicine.+Journal+of+Basic+Chinese+Medicine%2C+22%2811%29%2C+1542%E2%80%931544.+&amp;btnG=%23d=gs_qabs&amp;t=1756055913708&amp;u=%23p%3DCczHOfWrcvgJ" </w:instrText>
      </w:r>
      <w:r>
        <w:rPr>
          <w:kern w:val="0"/>
          <w14:ligatures w14:val="none"/>
        </w:rPr>
        <w:fldChar w:fldCharType="separate"/>
      </w:r>
      <w:r>
        <w:rPr>
          <w:rStyle w:val="20"/>
          <w:kern w:val="0"/>
          <w14:ligatures w14:val="none"/>
        </w:rPr>
        <w:t>https://scholar.google.com/scholar?hl=zh-CN&amp;as_sdt=0%2C5&amp;q=Jiang+Chenxue%2C+Liu+Kai.+%282016%29.+Application+of+Thick+Translation+Theory+in+English+Translation+of+Chinese+Medicine.+Journal+of+Basic+Chinese+Medicine%2C+22%2811%29%2C+1542%E2%80%931544.+&amp;btnG=#d=gs_qabs&amp;t=1756055913708&amp;u=%23p%3DCczHOfWrcvgJ</w:t>
      </w:r>
      <w:r>
        <w:rPr>
          <w:kern w:val="0"/>
          <w14:ligatures w14:val="none"/>
        </w:rPr>
        <w:fldChar w:fldCharType="end"/>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Cambria">
    <w:altName w:val="苹方-简"/>
    <w:panose1 w:val="02040503050406030204"/>
    <w:charset w:val="00"/>
    <w:family w:val="roman"/>
    <w:pitch w:val="default"/>
    <w:sig w:usb0="00000000" w:usb1="00000000" w:usb2="00000000" w:usb3="00000000" w:csb0="0000009F" w:csb1="00000000"/>
  </w:font>
  <w:font w:name="Times New Roman Bold">
    <w:panose1 w:val="02020603050405020304"/>
    <w:charset w:val="00"/>
    <w:family w:val="auto"/>
    <w:pitch w:val="default"/>
    <w:sig w:usb0="E0002AEF" w:usb1="C0007841" w:usb2="00000009" w:usb3="00000000" w:csb0="400001FF" w:csb1="FFFF0000"/>
  </w:font>
  <w:font w:name="Times New Roman Italic">
    <w:panose1 w:val="02020603050405020304"/>
    <w:charset w:val="00"/>
    <w:family w:val="auto"/>
    <w:pitch w:val="default"/>
    <w:sig w:usb0="E0002AEF" w:usb1="C0007841"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133421814" o:spid="_x0000_s2051" o:spt="136" type="#_x0000_t136" style="position:absolute;left:0pt;height:58.5pt;width:526.9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DengXian;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133421813" o:spid="_x0000_s2050" o:spt="136" type="#_x0000_t136" style="position:absolute;left:0pt;height:58.5pt;width:526.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DengXi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133421812" o:spid="_x0000_s2049" o:spt="136" type="#_x0000_t136" style="position:absolute;left:0pt;height:58.5pt;width:526.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DengXian;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43F37"/>
    <w:multiLevelType w:val="multilevel"/>
    <w:tmpl w:val="2CA43F37"/>
    <w:lvl w:ilvl="0" w:tentative="0">
      <w:start w:val="1"/>
      <w:numFmt w:val="decimal"/>
      <w:suff w:val="space"/>
      <w:lvlText w:val="%1."/>
      <w:lvlJc w:val="left"/>
      <w:pPr>
        <w:ind w:left="360" w:hanging="360"/>
      </w:pPr>
      <w:rPr>
        <w:rFonts w:hint="default"/>
      </w:rPr>
    </w:lvl>
    <w:lvl w:ilvl="1" w:tentative="0">
      <w:start w:val="1"/>
      <w:numFmt w:val="decimal"/>
      <w:isLgl/>
      <w:suff w:val="space"/>
      <w:lvlText w:val="%1.%2."/>
      <w:lvlJc w:val="left"/>
      <w:pPr>
        <w:ind w:left="360" w:hanging="360"/>
      </w:pPr>
      <w:rPr>
        <w:rFonts w:hint="default"/>
        <w:color w:val="000000" w:themeColor="text1"/>
        <w14:textFill>
          <w14:solidFill>
            <w14:schemeClr w14:val="tx1"/>
          </w14:solidFill>
        </w14:textFill>
      </w:rPr>
    </w:lvl>
    <w:lvl w:ilvl="2" w:tentative="0">
      <w:start w:val="1"/>
      <w:numFmt w:val="decimal"/>
      <w:isLgl/>
      <w:suff w:val="space"/>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1">
    <w:nsid w:val="5CB604EC"/>
    <w:multiLevelType w:val="multilevel"/>
    <w:tmpl w:val="5CB604EC"/>
    <w:lvl w:ilvl="0" w:tentative="0">
      <w:start w:val="1"/>
      <w:numFmt w:val="decimal"/>
      <w:lvlText w:val="[%1]"/>
      <w:lvlJc w:val="left"/>
      <w:pPr>
        <w:ind w:left="724"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089"/>
    <w:rsid w:val="000008C0"/>
    <w:rsid w:val="00001BE7"/>
    <w:rsid w:val="00007E3A"/>
    <w:rsid w:val="00012804"/>
    <w:rsid w:val="0001543F"/>
    <w:rsid w:val="000219BD"/>
    <w:rsid w:val="0002240B"/>
    <w:rsid w:val="00032985"/>
    <w:rsid w:val="00032AE4"/>
    <w:rsid w:val="00037279"/>
    <w:rsid w:val="00046B57"/>
    <w:rsid w:val="00063C3E"/>
    <w:rsid w:val="00064EC5"/>
    <w:rsid w:val="00071935"/>
    <w:rsid w:val="0007351C"/>
    <w:rsid w:val="00081656"/>
    <w:rsid w:val="00083AE0"/>
    <w:rsid w:val="000848E1"/>
    <w:rsid w:val="0008617E"/>
    <w:rsid w:val="000907C4"/>
    <w:rsid w:val="000A0FA3"/>
    <w:rsid w:val="000A493A"/>
    <w:rsid w:val="000A4C42"/>
    <w:rsid w:val="000A6D43"/>
    <w:rsid w:val="000C4636"/>
    <w:rsid w:val="000C78B3"/>
    <w:rsid w:val="000D31C5"/>
    <w:rsid w:val="000D3E43"/>
    <w:rsid w:val="000D5973"/>
    <w:rsid w:val="000D5F2F"/>
    <w:rsid w:val="000E224B"/>
    <w:rsid w:val="000E7FCE"/>
    <w:rsid w:val="000F6CBC"/>
    <w:rsid w:val="000F770D"/>
    <w:rsid w:val="00101B87"/>
    <w:rsid w:val="00106759"/>
    <w:rsid w:val="00131FFC"/>
    <w:rsid w:val="0013412B"/>
    <w:rsid w:val="00140184"/>
    <w:rsid w:val="0014158B"/>
    <w:rsid w:val="00171E46"/>
    <w:rsid w:val="0017252A"/>
    <w:rsid w:val="00175566"/>
    <w:rsid w:val="001840A1"/>
    <w:rsid w:val="00194A00"/>
    <w:rsid w:val="00194D88"/>
    <w:rsid w:val="00196030"/>
    <w:rsid w:val="001A47E9"/>
    <w:rsid w:val="001A7F71"/>
    <w:rsid w:val="001B1277"/>
    <w:rsid w:val="001B4670"/>
    <w:rsid w:val="001C1D3A"/>
    <w:rsid w:val="001C523F"/>
    <w:rsid w:val="001C6042"/>
    <w:rsid w:val="001C695F"/>
    <w:rsid w:val="001C6DEB"/>
    <w:rsid w:val="001D3789"/>
    <w:rsid w:val="001D501D"/>
    <w:rsid w:val="001E2070"/>
    <w:rsid w:val="001E347F"/>
    <w:rsid w:val="001E741B"/>
    <w:rsid w:val="001F1DDB"/>
    <w:rsid w:val="00211F71"/>
    <w:rsid w:val="0021725A"/>
    <w:rsid w:val="00223490"/>
    <w:rsid w:val="002331D0"/>
    <w:rsid w:val="002560C2"/>
    <w:rsid w:val="0025619E"/>
    <w:rsid w:val="00257AB5"/>
    <w:rsid w:val="002646E3"/>
    <w:rsid w:val="0026481D"/>
    <w:rsid w:val="0027254B"/>
    <w:rsid w:val="00274530"/>
    <w:rsid w:val="00274A11"/>
    <w:rsid w:val="00276489"/>
    <w:rsid w:val="002900F8"/>
    <w:rsid w:val="00296D8A"/>
    <w:rsid w:val="002C5420"/>
    <w:rsid w:val="002D1E83"/>
    <w:rsid w:val="002D383D"/>
    <w:rsid w:val="002D436F"/>
    <w:rsid w:val="002D69C3"/>
    <w:rsid w:val="002D79A4"/>
    <w:rsid w:val="002D7B81"/>
    <w:rsid w:val="002E28BF"/>
    <w:rsid w:val="002F4C79"/>
    <w:rsid w:val="00305A45"/>
    <w:rsid w:val="0031188B"/>
    <w:rsid w:val="0032603C"/>
    <w:rsid w:val="00360FDF"/>
    <w:rsid w:val="00363A9A"/>
    <w:rsid w:val="00375A0A"/>
    <w:rsid w:val="00386EBE"/>
    <w:rsid w:val="003A64A7"/>
    <w:rsid w:val="003B39DF"/>
    <w:rsid w:val="003B448B"/>
    <w:rsid w:val="003B468D"/>
    <w:rsid w:val="003B6C2A"/>
    <w:rsid w:val="003B793F"/>
    <w:rsid w:val="003D1BD3"/>
    <w:rsid w:val="003E4F76"/>
    <w:rsid w:val="003E5845"/>
    <w:rsid w:val="003F6023"/>
    <w:rsid w:val="0041391F"/>
    <w:rsid w:val="00416544"/>
    <w:rsid w:val="00417048"/>
    <w:rsid w:val="00420084"/>
    <w:rsid w:val="00423E11"/>
    <w:rsid w:val="00431CEB"/>
    <w:rsid w:val="0043445A"/>
    <w:rsid w:val="004401C6"/>
    <w:rsid w:val="004408A0"/>
    <w:rsid w:val="00446D83"/>
    <w:rsid w:val="0045097F"/>
    <w:rsid w:val="004623DC"/>
    <w:rsid w:val="00463274"/>
    <w:rsid w:val="00475A34"/>
    <w:rsid w:val="00487B85"/>
    <w:rsid w:val="0049101A"/>
    <w:rsid w:val="004A791E"/>
    <w:rsid w:val="004B1E6C"/>
    <w:rsid w:val="004D20C0"/>
    <w:rsid w:val="004E1354"/>
    <w:rsid w:val="004E2BC4"/>
    <w:rsid w:val="004E6129"/>
    <w:rsid w:val="004E7191"/>
    <w:rsid w:val="004F3EC1"/>
    <w:rsid w:val="004F724F"/>
    <w:rsid w:val="00505CB7"/>
    <w:rsid w:val="00512A3B"/>
    <w:rsid w:val="0051436D"/>
    <w:rsid w:val="00534000"/>
    <w:rsid w:val="00535585"/>
    <w:rsid w:val="00535B1F"/>
    <w:rsid w:val="00545346"/>
    <w:rsid w:val="00551597"/>
    <w:rsid w:val="00554D35"/>
    <w:rsid w:val="005560B3"/>
    <w:rsid w:val="00565089"/>
    <w:rsid w:val="00566914"/>
    <w:rsid w:val="00566A6E"/>
    <w:rsid w:val="00570ED9"/>
    <w:rsid w:val="00570FC8"/>
    <w:rsid w:val="00577D2E"/>
    <w:rsid w:val="00581BA0"/>
    <w:rsid w:val="005A5FD2"/>
    <w:rsid w:val="005B4475"/>
    <w:rsid w:val="005C4089"/>
    <w:rsid w:val="005C5EEF"/>
    <w:rsid w:val="005E7698"/>
    <w:rsid w:val="005F055A"/>
    <w:rsid w:val="005F1AF1"/>
    <w:rsid w:val="005F6227"/>
    <w:rsid w:val="006169BE"/>
    <w:rsid w:val="006220F6"/>
    <w:rsid w:val="00623FA6"/>
    <w:rsid w:val="00624101"/>
    <w:rsid w:val="00644D72"/>
    <w:rsid w:val="00650C02"/>
    <w:rsid w:val="0065110D"/>
    <w:rsid w:val="00657C09"/>
    <w:rsid w:val="00660180"/>
    <w:rsid w:val="0066203A"/>
    <w:rsid w:val="00662FEC"/>
    <w:rsid w:val="00663008"/>
    <w:rsid w:val="006709FE"/>
    <w:rsid w:val="00675B5F"/>
    <w:rsid w:val="00686C16"/>
    <w:rsid w:val="0069125C"/>
    <w:rsid w:val="00697A4A"/>
    <w:rsid w:val="006A3802"/>
    <w:rsid w:val="006A76A4"/>
    <w:rsid w:val="006B784D"/>
    <w:rsid w:val="006C1E7C"/>
    <w:rsid w:val="006C6B42"/>
    <w:rsid w:val="006D097A"/>
    <w:rsid w:val="006D1FDE"/>
    <w:rsid w:val="006D6CDC"/>
    <w:rsid w:val="006E444A"/>
    <w:rsid w:val="006F05F1"/>
    <w:rsid w:val="006F1E04"/>
    <w:rsid w:val="006F7B1A"/>
    <w:rsid w:val="00715D78"/>
    <w:rsid w:val="007310BE"/>
    <w:rsid w:val="0073347C"/>
    <w:rsid w:val="00743464"/>
    <w:rsid w:val="00744F9D"/>
    <w:rsid w:val="00754E98"/>
    <w:rsid w:val="00772397"/>
    <w:rsid w:val="007978F0"/>
    <w:rsid w:val="007A141C"/>
    <w:rsid w:val="007A3823"/>
    <w:rsid w:val="007B48EE"/>
    <w:rsid w:val="007C3ACB"/>
    <w:rsid w:val="007C6987"/>
    <w:rsid w:val="007C761A"/>
    <w:rsid w:val="007D1FA2"/>
    <w:rsid w:val="007D48E2"/>
    <w:rsid w:val="007E16FC"/>
    <w:rsid w:val="007E17E6"/>
    <w:rsid w:val="007E2C93"/>
    <w:rsid w:val="007F1481"/>
    <w:rsid w:val="00803F20"/>
    <w:rsid w:val="008074D0"/>
    <w:rsid w:val="00810608"/>
    <w:rsid w:val="008118F0"/>
    <w:rsid w:val="00811A5F"/>
    <w:rsid w:val="008121BC"/>
    <w:rsid w:val="0081519F"/>
    <w:rsid w:val="00830BEB"/>
    <w:rsid w:val="00832911"/>
    <w:rsid w:val="00837286"/>
    <w:rsid w:val="00842A98"/>
    <w:rsid w:val="00851351"/>
    <w:rsid w:val="00853F79"/>
    <w:rsid w:val="00854D05"/>
    <w:rsid w:val="00863A96"/>
    <w:rsid w:val="00863E14"/>
    <w:rsid w:val="008645DF"/>
    <w:rsid w:val="00872EC0"/>
    <w:rsid w:val="00875433"/>
    <w:rsid w:val="0087719E"/>
    <w:rsid w:val="008C4A72"/>
    <w:rsid w:val="008E00F8"/>
    <w:rsid w:val="008E3F69"/>
    <w:rsid w:val="008E5B44"/>
    <w:rsid w:val="008E6181"/>
    <w:rsid w:val="008E7591"/>
    <w:rsid w:val="008F06ED"/>
    <w:rsid w:val="009009FF"/>
    <w:rsid w:val="009119CA"/>
    <w:rsid w:val="00916EA5"/>
    <w:rsid w:val="00917A7A"/>
    <w:rsid w:val="009204EF"/>
    <w:rsid w:val="00924C0A"/>
    <w:rsid w:val="00925676"/>
    <w:rsid w:val="0092672A"/>
    <w:rsid w:val="00935F47"/>
    <w:rsid w:val="00940C8F"/>
    <w:rsid w:val="0094141A"/>
    <w:rsid w:val="00944BC5"/>
    <w:rsid w:val="0095772D"/>
    <w:rsid w:val="00961F6D"/>
    <w:rsid w:val="0096331A"/>
    <w:rsid w:val="009672A4"/>
    <w:rsid w:val="009713F9"/>
    <w:rsid w:val="00982E9C"/>
    <w:rsid w:val="00992BBD"/>
    <w:rsid w:val="00993B53"/>
    <w:rsid w:val="009A4EF3"/>
    <w:rsid w:val="009B0880"/>
    <w:rsid w:val="009C60C4"/>
    <w:rsid w:val="009D1BB2"/>
    <w:rsid w:val="009D536B"/>
    <w:rsid w:val="009E4344"/>
    <w:rsid w:val="00A0149A"/>
    <w:rsid w:val="00A21497"/>
    <w:rsid w:val="00A276A0"/>
    <w:rsid w:val="00A4239F"/>
    <w:rsid w:val="00A525E5"/>
    <w:rsid w:val="00A53904"/>
    <w:rsid w:val="00A56C95"/>
    <w:rsid w:val="00A60CE0"/>
    <w:rsid w:val="00AB5CE7"/>
    <w:rsid w:val="00AB647F"/>
    <w:rsid w:val="00AD353E"/>
    <w:rsid w:val="00AD4633"/>
    <w:rsid w:val="00AE3F25"/>
    <w:rsid w:val="00B00CC4"/>
    <w:rsid w:val="00B03CCF"/>
    <w:rsid w:val="00B055F8"/>
    <w:rsid w:val="00B1054B"/>
    <w:rsid w:val="00B13551"/>
    <w:rsid w:val="00B14A25"/>
    <w:rsid w:val="00B16822"/>
    <w:rsid w:val="00B41EAE"/>
    <w:rsid w:val="00B53EA2"/>
    <w:rsid w:val="00B5746B"/>
    <w:rsid w:val="00B65D67"/>
    <w:rsid w:val="00B73F22"/>
    <w:rsid w:val="00B77E3D"/>
    <w:rsid w:val="00B8783A"/>
    <w:rsid w:val="00B94786"/>
    <w:rsid w:val="00B94807"/>
    <w:rsid w:val="00B95EE3"/>
    <w:rsid w:val="00B97103"/>
    <w:rsid w:val="00BA18A4"/>
    <w:rsid w:val="00BC192B"/>
    <w:rsid w:val="00BC61CD"/>
    <w:rsid w:val="00BD60E6"/>
    <w:rsid w:val="00BE3CA7"/>
    <w:rsid w:val="00BE40A9"/>
    <w:rsid w:val="00BF6399"/>
    <w:rsid w:val="00C00D33"/>
    <w:rsid w:val="00C14BBD"/>
    <w:rsid w:val="00C16FB0"/>
    <w:rsid w:val="00C178B0"/>
    <w:rsid w:val="00C2437F"/>
    <w:rsid w:val="00C344FE"/>
    <w:rsid w:val="00C50E23"/>
    <w:rsid w:val="00C77D41"/>
    <w:rsid w:val="00C85D8B"/>
    <w:rsid w:val="00CA4263"/>
    <w:rsid w:val="00CB3114"/>
    <w:rsid w:val="00CB35F0"/>
    <w:rsid w:val="00CB3964"/>
    <w:rsid w:val="00CB4A82"/>
    <w:rsid w:val="00CB4FAF"/>
    <w:rsid w:val="00CB6142"/>
    <w:rsid w:val="00CB7360"/>
    <w:rsid w:val="00CD7820"/>
    <w:rsid w:val="00CF520A"/>
    <w:rsid w:val="00D01015"/>
    <w:rsid w:val="00D05A0B"/>
    <w:rsid w:val="00D20188"/>
    <w:rsid w:val="00D20490"/>
    <w:rsid w:val="00D23202"/>
    <w:rsid w:val="00D2455E"/>
    <w:rsid w:val="00D36566"/>
    <w:rsid w:val="00D50AC6"/>
    <w:rsid w:val="00D566DF"/>
    <w:rsid w:val="00D6168A"/>
    <w:rsid w:val="00D61994"/>
    <w:rsid w:val="00D75AF4"/>
    <w:rsid w:val="00D7682F"/>
    <w:rsid w:val="00D81751"/>
    <w:rsid w:val="00D85BFD"/>
    <w:rsid w:val="00D928E3"/>
    <w:rsid w:val="00D94DF6"/>
    <w:rsid w:val="00DA15D8"/>
    <w:rsid w:val="00DB1EB7"/>
    <w:rsid w:val="00DB552B"/>
    <w:rsid w:val="00DC2B8D"/>
    <w:rsid w:val="00DD511C"/>
    <w:rsid w:val="00DE44ED"/>
    <w:rsid w:val="00DE5C33"/>
    <w:rsid w:val="00DF0D44"/>
    <w:rsid w:val="00DF2046"/>
    <w:rsid w:val="00DF6C37"/>
    <w:rsid w:val="00E159D3"/>
    <w:rsid w:val="00E2114D"/>
    <w:rsid w:val="00E32F1A"/>
    <w:rsid w:val="00E42F46"/>
    <w:rsid w:val="00E475E7"/>
    <w:rsid w:val="00E50EA4"/>
    <w:rsid w:val="00E51EF0"/>
    <w:rsid w:val="00E52A52"/>
    <w:rsid w:val="00E52FC3"/>
    <w:rsid w:val="00E678CA"/>
    <w:rsid w:val="00E70D5B"/>
    <w:rsid w:val="00E82C63"/>
    <w:rsid w:val="00E852E8"/>
    <w:rsid w:val="00E93656"/>
    <w:rsid w:val="00E96CA7"/>
    <w:rsid w:val="00EA2D81"/>
    <w:rsid w:val="00EA7369"/>
    <w:rsid w:val="00EB4BCA"/>
    <w:rsid w:val="00EB6B8A"/>
    <w:rsid w:val="00EC49AE"/>
    <w:rsid w:val="00EE498D"/>
    <w:rsid w:val="00EF0740"/>
    <w:rsid w:val="00EF3C6F"/>
    <w:rsid w:val="00F07320"/>
    <w:rsid w:val="00F330C7"/>
    <w:rsid w:val="00F33901"/>
    <w:rsid w:val="00F376D7"/>
    <w:rsid w:val="00F4165A"/>
    <w:rsid w:val="00F4697A"/>
    <w:rsid w:val="00F67C73"/>
    <w:rsid w:val="00F81F6E"/>
    <w:rsid w:val="00F82269"/>
    <w:rsid w:val="00F857CF"/>
    <w:rsid w:val="00FD3587"/>
    <w:rsid w:val="00FF44EF"/>
    <w:rsid w:val="00FF50CE"/>
    <w:rsid w:val="2EFF6ADA"/>
    <w:rsid w:val="3FBF3816"/>
    <w:rsid w:val="64BFC3E6"/>
    <w:rsid w:val="6E5D8E9B"/>
    <w:rsid w:val="6FB54073"/>
    <w:rsid w:val="774F2893"/>
    <w:rsid w:val="7FBE7633"/>
    <w:rsid w:val="7FFBFA9D"/>
    <w:rsid w:val="CFEE1FB5"/>
    <w:rsid w:val="DDD7224B"/>
    <w:rsid w:val="FB3FE79C"/>
    <w:rsid w:val="FD7D1ACE"/>
    <w:rsid w:val="FEB6CDA8"/>
    <w:rsid w:val="FF579C07"/>
    <w:rsid w:val="FFBB7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1"/>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unhideWhenUsed/>
    <w:qFormat/>
    <w:uiPriority w:val="0"/>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unhideWhenUsed/>
    <w:qFormat/>
    <w:uiPriority w:val="0"/>
    <w:pPr>
      <w:keepNext/>
      <w:keepLines/>
      <w:spacing w:before="80" w:after="40"/>
      <w:outlineLvl w:val="4"/>
    </w:pPr>
    <w:rPr>
      <w:rFonts w:cstheme="majorBidi"/>
      <w:color w:val="2F5597" w:themeColor="accent1" w:themeShade="BF"/>
      <w:sz w:val="24"/>
    </w:rPr>
  </w:style>
  <w:style w:type="paragraph" w:styleId="7">
    <w:name w:val="heading 6"/>
    <w:basedOn w:val="1"/>
    <w:next w:val="1"/>
    <w:link w:val="26"/>
    <w:unhideWhenUsed/>
    <w:qFormat/>
    <w:uiPriority w:val="0"/>
    <w:pPr>
      <w:keepNext/>
      <w:keepLines/>
      <w:spacing w:before="40" w:after="0"/>
      <w:outlineLvl w:val="5"/>
    </w:pPr>
    <w:rPr>
      <w:rFonts w:cstheme="majorBidi"/>
      <w:b/>
      <w:bCs/>
      <w:color w:val="2F5597" w:themeColor="accent1" w:themeShade="BF"/>
    </w:rPr>
  </w:style>
  <w:style w:type="paragraph" w:styleId="8">
    <w:name w:val="heading 7"/>
    <w:basedOn w:val="1"/>
    <w:next w:val="1"/>
    <w:link w:val="27"/>
    <w:unhideWhenUsed/>
    <w:qFormat/>
    <w:uiPriority w:val="0"/>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unhideWhenUsed/>
    <w:qFormat/>
    <w:uiPriority w:val="0"/>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unhideWhenUsed/>
    <w:qFormat/>
    <w:uiPriority w:val="0"/>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footer"/>
    <w:basedOn w:val="1"/>
    <w:link w:val="40"/>
    <w:unhideWhenUsed/>
    <w:uiPriority w:val="99"/>
    <w:pPr>
      <w:tabs>
        <w:tab w:val="center" w:pos="4153"/>
        <w:tab w:val="right" w:pos="8306"/>
      </w:tabs>
      <w:snapToGrid w:val="0"/>
      <w:spacing w:line="240" w:lineRule="auto"/>
    </w:pPr>
    <w:rPr>
      <w:sz w:val="18"/>
      <w:szCs w:val="18"/>
    </w:rPr>
  </w:style>
  <w:style w:type="paragraph" w:styleId="12">
    <w:name w:val="header"/>
    <w:basedOn w:val="1"/>
    <w:link w:val="39"/>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uiPriority w:val="99"/>
    <w:rPr>
      <w:sz w:val="24"/>
    </w:rPr>
  </w:style>
  <w:style w:type="paragraph" w:styleId="15">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8">
    <w:name w:val="Strong"/>
    <w:basedOn w:val="17"/>
    <w:qFormat/>
    <w:uiPriority w:val="22"/>
    <w:rPr>
      <w:b/>
    </w:rPr>
  </w:style>
  <w:style w:type="character" w:styleId="19">
    <w:name w:val="Emphasis"/>
    <w:basedOn w:val="17"/>
    <w:qFormat/>
    <w:uiPriority w:val="20"/>
    <w:rPr>
      <w:i/>
    </w:rPr>
  </w:style>
  <w:style w:type="character" w:styleId="20">
    <w:name w:val="Hyperlink"/>
    <w:basedOn w:val="17"/>
    <w:unhideWhenUsed/>
    <w:uiPriority w:val="99"/>
    <w:rPr>
      <w:color w:val="0563C1" w:themeColor="hyperlink"/>
      <w:u w:val="single"/>
      <w14:textFill>
        <w14:solidFill>
          <w14:schemeClr w14:val="hlink"/>
        </w14:solidFill>
      </w14:textFill>
    </w:rPr>
  </w:style>
  <w:style w:type="character" w:customStyle="1" w:styleId="21">
    <w:name w:val="标题 1 Char"/>
    <w:basedOn w:val="17"/>
    <w:link w:val="2"/>
    <w:uiPriority w:val="0"/>
    <w:rPr>
      <w:rFonts w:asciiTheme="majorHAnsi" w:hAnsiTheme="majorHAnsi" w:eastAsiaTheme="majorEastAsia" w:cstheme="majorBidi"/>
      <w:color w:val="2F5597" w:themeColor="accent1" w:themeShade="BF"/>
      <w:sz w:val="48"/>
      <w:szCs w:val="48"/>
    </w:rPr>
  </w:style>
  <w:style w:type="character" w:customStyle="1" w:styleId="22">
    <w:name w:val="标题 2 Char"/>
    <w:basedOn w:val="17"/>
    <w:link w:val="3"/>
    <w:semiHidden/>
    <w:uiPriority w:val="9"/>
    <w:rPr>
      <w:rFonts w:asciiTheme="majorHAnsi" w:hAnsiTheme="majorHAnsi" w:eastAsiaTheme="majorEastAsia" w:cstheme="majorBidi"/>
      <w:color w:val="2F5597" w:themeColor="accent1" w:themeShade="BF"/>
      <w:sz w:val="40"/>
      <w:szCs w:val="40"/>
    </w:rPr>
  </w:style>
  <w:style w:type="character" w:customStyle="1" w:styleId="23">
    <w:name w:val="标题 3 Char"/>
    <w:basedOn w:val="17"/>
    <w:link w:val="4"/>
    <w:semiHidden/>
    <w:uiPriority w:val="9"/>
    <w:rPr>
      <w:rFonts w:asciiTheme="majorHAnsi" w:hAnsiTheme="majorHAnsi" w:eastAsiaTheme="majorEastAsia" w:cstheme="majorBidi"/>
      <w:color w:val="2F5597" w:themeColor="accent1" w:themeShade="BF"/>
      <w:sz w:val="32"/>
      <w:szCs w:val="32"/>
    </w:rPr>
  </w:style>
  <w:style w:type="character" w:customStyle="1" w:styleId="24">
    <w:name w:val="标题 4 Char"/>
    <w:basedOn w:val="17"/>
    <w:link w:val="5"/>
    <w:semiHidden/>
    <w:uiPriority w:val="9"/>
    <w:rPr>
      <w:rFonts w:cstheme="majorBidi"/>
      <w:color w:val="2F5597" w:themeColor="accent1" w:themeShade="BF"/>
      <w:sz w:val="28"/>
      <w:szCs w:val="28"/>
    </w:rPr>
  </w:style>
  <w:style w:type="character" w:customStyle="1" w:styleId="25">
    <w:name w:val="标题 5 Char"/>
    <w:basedOn w:val="17"/>
    <w:link w:val="6"/>
    <w:semiHidden/>
    <w:uiPriority w:val="9"/>
    <w:rPr>
      <w:rFonts w:cstheme="majorBidi"/>
      <w:color w:val="2F5597" w:themeColor="accent1" w:themeShade="BF"/>
      <w:sz w:val="24"/>
    </w:rPr>
  </w:style>
  <w:style w:type="character" w:customStyle="1" w:styleId="26">
    <w:name w:val="标题 6 Char"/>
    <w:basedOn w:val="17"/>
    <w:link w:val="7"/>
    <w:semiHidden/>
    <w:uiPriority w:val="9"/>
    <w:rPr>
      <w:rFonts w:cstheme="majorBidi"/>
      <w:b/>
      <w:bCs/>
      <w:color w:val="2F5597" w:themeColor="accent1" w:themeShade="BF"/>
    </w:rPr>
  </w:style>
  <w:style w:type="character" w:customStyle="1" w:styleId="27">
    <w:name w:val="标题 7 Char"/>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Char"/>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Char"/>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Char"/>
    <w:basedOn w:val="17"/>
    <w:link w:val="15"/>
    <w:uiPriority w:val="10"/>
    <w:rPr>
      <w:rFonts w:asciiTheme="majorHAnsi" w:hAnsiTheme="majorHAnsi" w:eastAsiaTheme="majorEastAsia" w:cstheme="majorBidi"/>
      <w:spacing w:val="-10"/>
      <w:kern w:val="28"/>
      <w:sz w:val="56"/>
      <w:szCs w:val="56"/>
    </w:rPr>
  </w:style>
  <w:style w:type="character" w:customStyle="1" w:styleId="31">
    <w:name w:val="副标题 Char"/>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Char"/>
    <w:basedOn w:val="17"/>
    <w:link w:val="32"/>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1"/>
    <w:basedOn w:val="17"/>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Char"/>
    <w:basedOn w:val="17"/>
    <w:link w:val="36"/>
    <w:uiPriority w:val="30"/>
    <w:rPr>
      <w:i/>
      <w:iCs/>
      <w:color w:val="2F5597" w:themeColor="accent1" w:themeShade="BF"/>
    </w:rPr>
  </w:style>
  <w:style w:type="character" w:customStyle="1" w:styleId="38">
    <w:name w:val="Intense Reference1"/>
    <w:basedOn w:val="17"/>
    <w:qFormat/>
    <w:uiPriority w:val="32"/>
    <w:rPr>
      <w:b/>
      <w:bCs/>
      <w:smallCaps/>
      <w:color w:val="2F5597" w:themeColor="accent1" w:themeShade="BF"/>
      <w:spacing w:val="5"/>
    </w:rPr>
  </w:style>
  <w:style w:type="character" w:customStyle="1" w:styleId="39">
    <w:name w:val="页眉 Char"/>
    <w:basedOn w:val="17"/>
    <w:link w:val="12"/>
    <w:uiPriority w:val="99"/>
    <w:rPr>
      <w:sz w:val="18"/>
      <w:szCs w:val="18"/>
    </w:rPr>
  </w:style>
  <w:style w:type="character" w:customStyle="1" w:styleId="40">
    <w:name w:val="页脚 Char"/>
    <w:basedOn w:val="17"/>
    <w:link w:val="11"/>
    <w:uiPriority w:val="99"/>
    <w:rPr>
      <w:sz w:val="18"/>
      <w:szCs w:val="18"/>
    </w:rPr>
  </w:style>
  <w:style w:type="paragraph" w:customStyle="1" w:styleId="41">
    <w:name w:val="AR_Titre"/>
    <w:basedOn w:val="1"/>
    <w:qFormat/>
    <w:uiPriority w:val="0"/>
    <w:pPr>
      <w:widowControl/>
      <w:pBdr>
        <w:top w:val="single" w:color="auto" w:sz="2" w:space="20"/>
      </w:pBdr>
      <w:spacing w:before="480" w:after="360" w:line="240" w:lineRule="auto"/>
    </w:pPr>
    <w:rPr>
      <w:rFonts w:ascii="Times New Roman" w:hAnsi="Times New Roman" w:eastAsia="Cambria" w:cs="Times New Roman"/>
      <w:b/>
      <w:kern w:val="0"/>
      <w:sz w:val="36"/>
      <w:szCs w:val="36"/>
      <w:lang w:val="fr-FR" w:eastAsia="en-US"/>
      <w14:ligatures w14:val="none"/>
    </w:rPr>
  </w:style>
  <w:style w:type="paragraph" w:customStyle="1" w:styleId="42">
    <w:name w:val="Abstract"/>
    <w:basedOn w:val="1"/>
    <w:uiPriority w:val="0"/>
    <w:pPr>
      <w:widowControl/>
      <w:spacing w:after="260" w:line="220" w:lineRule="exact"/>
      <w:ind w:left="1100" w:hanging="1100"/>
    </w:pPr>
    <w:rPr>
      <w:rFonts w:ascii="Times New Roman" w:hAnsi="Times New Roman" w:eastAsia="宋体" w:cs="Times New Roman"/>
      <w:kern w:val="0"/>
      <w:sz w:val="18"/>
      <w:szCs w:val="20"/>
      <w:lang w:val="en-GB" w:eastAsia="en-US"/>
      <w14:ligatures w14:val="none"/>
    </w:rPr>
  </w:style>
  <w:style w:type="paragraph" w:customStyle="1" w:styleId="43">
    <w:name w:val="AR_Inter1"/>
    <w:basedOn w:val="1"/>
    <w:qFormat/>
    <w:uiPriority w:val="0"/>
    <w:pPr>
      <w:keepNext/>
      <w:widowControl/>
      <w:spacing w:before="360" w:after="240" w:line="240" w:lineRule="auto"/>
      <w:jc w:val="both"/>
    </w:pPr>
    <w:rPr>
      <w:rFonts w:ascii="Times New Roman" w:hAnsi="Times New Roman" w:eastAsia="Cambria" w:cs="Times New Roman"/>
      <w:b/>
      <w:kern w:val="0"/>
      <w:sz w:val="20"/>
      <w:szCs w:val="20"/>
      <w:lang w:val="fr-FR" w:eastAsia="en-US"/>
      <w14:ligatures w14:val="none"/>
    </w:rPr>
  </w:style>
  <w:style w:type="character" w:customStyle="1" w:styleId="44">
    <w:name w:val="Unresolved Mention"/>
    <w:basedOn w:val="1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QBPC</Company>
  <Pages>26</Pages>
  <Words>8226</Words>
  <Characters>46889</Characters>
  <Lines>390</Lines>
  <Paragraphs>110</Paragraphs>
  <TotalTime>2</TotalTime>
  <ScaleCrop>false</ScaleCrop>
  <LinksUpToDate>false</LinksUpToDate>
  <CharactersWithSpaces>55005</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2025-08-25T01:36:00Z</dcterms:created>
  <dc:creator>xb21cn</dc:creator>
  <cp:lastModifiedBy>都市放牛</cp:lastModifiedBy>
  <dcterms:modified xsi:type="dcterms:W3CDTF">2025-08-25T16:02:53Z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F299EF649AE170C692E88568577D0D81_42</vt:lpwstr>
  </property>
</Properties>
</file>