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CDF8E" w14:textId="7E30A599" w:rsidR="00184F6D" w:rsidRDefault="00184F6D" w:rsidP="00820F58">
      <w:pPr>
        <w:spacing w:after="0" w:line="240" w:lineRule="auto"/>
        <w:jc w:val="center"/>
        <w:rPr>
          <w:rFonts w:ascii="Times New Roman" w:hAnsi="Times New Roman" w:cs="Times New Roman"/>
          <w:b/>
          <w:bCs/>
          <w:i/>
          <w:iCs/>
          <w:u w:val="single"/>
        </w:rPr>
      </w:pPr>
      <w:bookmarkStart w:id="0" w:name="_Hlk193175129"/>
      <w:bookmarkStart w:id="1" w:name="_Toc206306092"/>
      <w:bookmarkStart w:id="2" w:name="_Hlk193357709"/>
      <w:r w:rsidRPr="00184F6D">
        <w:rPr>
          <w:rFonts w:ascii="Times New Roman" w:hAnsi="Times New Roman" w:cs="Times New Roman"/>
          <w:b/>
          <w:bCs/>
          <w:i/>
          <w:iCs/>
          <w:u w:val="single"/>
        </w:rPr>
        <w:t>Original Research Article</w:t>
      </w:r>
    </w:p>
    <w:p w14:paraId="325C62AA" w14:textId="77777777" w:rsidR="00184F6D" w:rsidRDefault="00184F6D" w:rsidP="00820F58">
      <w:pPr>
        <w:spacing w:after="0" w:line="240" w:lineRule="auto"/>
        <w:jc w:val="center"/>
        <w:rPr>
          <w:rFonts w:ascii="Times New Roman" w:hAnsi="Times New Roman" w:cs="Times New Roman"/>
          <w:b/>
          <w:bCs/>
        </w:rPr>
      </w:pPr>
    </w:p>
    <w:p w14:paraId="37410491" w14:textId="4815B350" w:rsidR="009D5645" w:rsidRDefault="00820F58" w:rsidP="00820F58">
      <w:pPr>
        <w:spacing w:after="0" w:line="240" w:lineRule="auto"/>
        <w:jc w:val="center"/>
        <w:rPr>
          <w:rFonts w:ascii="Times New Roman" w:hAnsi="Times New Roman" w:cs="Times New Roman"/>
          <w:b/>
          <w:bCs/>
        </w:rPr>
      </w:pPr>
      <w:r w:rsidRPr="000955D4">
        <w:rPr>
          <w:rFonts w:ascii="Times New Roman" w:hAnsi="Times New Roman" w:cs="Times New Roman"/>
          <w:b/>
          <w:bCs/>
        </w:rPr>
        <w:t xml:space="preserve">STAKEHOLDER AWARENESS AND </w:t>
      </w:r>
      <w:bookmarkEnd w:id="0"/>
      <w:r w:rsidRPr="000955D4">
        <w:rPr>
          <w:rFonts w:ascii="Times New Roman" w:hAnsi="Times New Roman" w:cs="Times New Roman"/>
          <w:b/>
          <w:bCs/>
        </w:rPr>
        <w:t>ADAPTABILITY TO COMPETENCY BASED EDUCATION SYSTEM IN BALAMBALA SUB-COUNTY, KENYA</w:t>
      </w:r>
    </w:p>
    <w:p w14:paraId="30BF8FB2" w14:textId="77777777" w:rsidR="00AC338A" w:rsidRPr="000955D4" w:rsidRDefault="00AC338A" w:rsidP="00820F58">
      <w:pPr>
        <w:spacing w:after="0" w:line="240" w:lineRule="auto"/>
        <w:jc w:val="center"/>
        <w:rPr>
          <w:rFonts w:ascii="Times New Roman" w:hAnsi="Times New Roman" w:cs="Times New Roman"/>
          <w:b/>
          <w:bCs/>
        </w:rPr>
      </w:pPr>
    </w:p>
    <w:p w14:paraId="0AA0D5EF" w14:textId="56C978EA" w:rsidR="00AC338A" w:rsidRDefault="00AC338A" w:rsidP="00820F58">
      <w:pPr>
        <w:spacing w:after="0" w:line="240" w:lineRule="auto"/>
        <w:jc w:val="center"/>
        <w:rPr>
          <w:rFonts w:ascii="Times New Roman" w:hAnsi="Times New Roman" w:cs="Times New Roman"/>
          <w:bCs/>
          <w:shd w:val="clear" w:color="auto" w:fill="FFFFFF"/>
        </w:rPr>
      </w:pPr>
    </w:p>
    <w:p w14:paraId="0A309B80" w14:textId="1AE93943" w:rsidR="00473F46" w:rsidRDefault="00473F46" w:rsidP="00820F58">
      <w:pPr>
        <w:spacing w:after="0" w:line="240" w:lineRule="auto"/>
        <w:jc w:val="center"/>
        <w:rPr>
          <w:rFonts w:ascii="Times New Roman" w:hAnsi="Times New Roman" w:cs="Times New Roman"/>
          <w:bCs/>
          <w:shd w:val="clear" w:color="auto" w:fill="FFFFFF"/>
        </w:rPr>
      </w:pPr>
    </w:p>
    <w:p w14:paraId="0046701F" w14:textId="58C888C5" w:rsidR="00473F46" w:rsidRDefault="00473F46" w:rsidP="00820F58">
      <w:pPr>
        <w:spacing w:after="0" w:line="240" w:lineRule="auto"/>
        <w:jc w:val="center"/>
        <w:rPr>
          <w:rFonts w:ascii="Times New Roman" w:hAnsi="Times New Roman" w:cs="Times New Roman"/>
          <w:bCs/>
          <w:shd w:val="clear" w:color="auto" w:fill="FFFFFF"/>
        </w:rPr>
      </w:pPr>
    </w:p>
    <w:p w14:paraId="2033C037" w14:textId="69134D3D" w:rsidR="00473F46" w:rsidRDefault="00473F46" w:rsidP="00820F58">
      <w:pPr>
        <w:spacing w:after="0" w:line="240" w:lineRule="auto"/>
        <w:jc w:val="center"/>
        <w:rPr>
          <w:rFonts w:ascii="Times New Roman" w:hAnsi="Times New Roman" w:cs="Times New Roman"/>
          <w:bCs/>
          <w:shd w:val="clear" w:color="auto" w:fill="FFFFFF"/>
        </w:rPr>
      </w:pPr>
    </w:p>
    <w:p w14:paraId="24870F0E" w14:textId="35789FD7" w:rsidR="00473F46" w:rsidRDefault="00473F46" w:rsidP="00820F58">
      <w:pPr>
        <w:spacing w:after="0" w:line="240" w:lineRule="auto"/>
        <w:jc w:val="center"/>
        <w:rPr>
          <w:rFonts w:ascii="Times New Roman" w:hAnsi="Times New Roman" w:cs="Times New Roman"/>
          <w:bCs/>
          <w:shd w:val="clear" w:color="auto" w:fill="FFFFFF"/>
        </w:rPr>
      </w:pPr>
    </w:p>
    <w:p w14:paraId="6F98C2E2" w14:textId="2B27D355" w:rsidR="00473F46" w:rsidRDefault="00473F46" w:rsidP="00820F58">
      <w:pPr>
        <w:spacing w:after="0" w:line="240" w:lineRule="auto"/>
        <w:jc w:val="center"/>
        <w:rPr>
          <w:rFonts w:ascii="Times New Roman" w:hAnsi="Times New Roman" w:cs="Times New Roman"/>
          <w:bCs/>
          <w:shd w:val="clear" w:color="auto" w:fill="FFFFFF"/>
        </w:rPr>
      </w:pPr>
    </w:p>
    <w:p w14:paraId="31E3303B" w14:textId="04D4CBC6" w:rsidR="00473F46" w:rsidRDefault="00473F46" w:rsidP="00820F58">
      <w:pPr>
        <w:spacing w:after="0" w:line="240" w:lineRule="auto"/>
        <w:jc w:val="center"/>
        <w:rPr>
          <w:rFonts w:ascii="Times New Roman" w:hAnsi="Times New Roman" w:cs="Times New Roman"/>
          <w:bCs/>
          <w:shd w:val="clear" w:color="auto" w:fill="FFFFFF"/>
        </w:rPr>
      </w:pPr>
    </w:p>
    <w:p w14:paraId="729A2B5E" w14:textId="253E2695" w:rsidR="00473F46" w:rsidRDefault="00473F46" w:rsidP="00820F58">
      <w:pPr>
        <w:spacing w:after="0" w:line="240" w:lineRule="auto"/>
        <w:jc w:val="center"/>
        <w:rPr>
          <w:rFonts w:ascii="Times New Roman" w:hAnsi="Times New Roman" w:cs="Times New Roman"/>
          <w:bCs/>
          <w:shd w:val="clear" w:color="auto" w:fill="FFFFFF"/>
        </w:rPr>
      </w:pPr>
    </w:p>
    <w:p w14:paraId="5C5AEE54" w14:textId="77777777" w:rsidR="00473F46" w:rsidRPr="000955D4" w:rsidRDefault="00473F46" w:rsidP="00820F58">
      <w:pPr>
        <w:spacing w:after="0" w:line="240" w:lineRule="auto"/>
        <w:jc w:val="center"/>
        <w:rPr>
          <w:rFonts w:ascii="Times New Roman" w:hAnsi="Times New Roman" w:cs="Times New Roman"/>
          <w:bCs/>
          <w:shd w:val="clear" w:color="auto" w:fill="FFFFFF"/>
        </w:rPr>
      </w:pPr>
    </w:p>
    <w:p w14:paraId="3B004D7A" w14:textId="77777777" w:rsidR="005F2C11" w:rsidRPr="000955D4" w:rsidRDefault="005F2C11" w:rsidP="00820F58">
      <w:pPr>
        <w:pStyle w:val="Heading1"/>
        <w:spacing w:before="0" w:after="0" w:line="240" w:lineRule="auto"/>
        <w:jc w:val="center"/>
        <w:rPr>
          <w:rFonts w:ascii="Times New Roman" w:hAnsi="Times New Roman" w:cs="Times New Roman"/>
          <w:color w:val="auto"/>
          <w:sz w:val="24"/>
          <w:szCs w:val="24"/>
        </w:rPr>
      </w:pPr>
      <w:bookmarkStart w:id="3" w:name="_Toc206911110"/>
      <w:bookmarkEnd w:id="1"/>
      <w:bookmarkEnd w:id="2"/>
      <w:r w:rsidRPr="000955D4">
        <w:rPr>
          <w:rFonts w:ascii="Times New Roman" w:hAnsi="Times New Roman" w:cs="Times New Roman"/>
          <w:b/>
          <w:color w:val="auto"/>
          <w:sz w:val="24"/>
          <w:szCs w:val="24"/>
        </w:rPr>
        <w:t>ABSTRACT</w:t>
      </w:r>
      <w:bookmarkEnd w:id="3"/>
    </w:p>
    <w:p w14:paraId="15A90EE0" w14:textId="7D315314" w:rsidR="005F2C11" w:rsidRPr="000955D4" w:rsidRDefault="005F2C11" w:rsidP="00CD43DC">
      <w:pPr>
        <w:spacing w:after="0" w:line="240" w:lineRule="auto"/>
        <w:jc w:val="both"/>
        <w:rPr>
          <w:rFonts w:ascii="Times New Roman" w:hAnsi="Times New Roman" w:cs="Times New Roman"/>
        </w:rPr>
      </w:pPr>
      <w:r w:rsidRPr="000955D4">
        <w:rPr>
          <w:rFonts w:ascii="Times New Roman" w:hAnsi="Times New Roman" w:cs="Times New Roman"/>
        </w:rPr>
        <w:t xml:space="preserve">The Competency-Based </w:t>
      </w:r>
      <w:r w:rsidR="001C4A40" w:rsidRPr="000955D4">
        <w:rPr>
          <w:rFonts w:ascii="Times New Roman" w:hAnsi="Times New Roman" w:cs="Times New Roman"/>
        </w:rPr>
        <w:t>Education was</w:t>
      </w:r>
      <w:r w:rsidRPr="000955D4">
        <w:rPr>
          <w:rFonts w:ascii="Times New Roman" w:hAnsi="Times New Roman" w:cs="Times New Roman"/>
        </w:rPr>
        <w:t xml:space="preserve"> introduced in Kenya </w:t>
      </w:r>
      <w:r w:rsidR="00CD43DC">
        <w:rPr>
          <w:rFonts w:ascii="Times New Roman" w:hAnsi="Times New Roman" w:cs="Times New Roman"/>
        </w:rPr>
        <w:t>with</w:t>
      </w:r>
      <w:r w:rsidRPr="000955D4">
        <w:rPr>
          <w:rFonts w:ascii="Times New Roman" w:hAnsi="Times New Roman" w:cs="Times New Roman"/>
        </w:rPr>
        <w:t xml:space="preserve"> aim</w:t>
      </w:r>
      <w:r w:rsidR="00CD43DC">
        <w:rPr>
          <w:rFonts w:ascii="Times New Roman" w:hAnsi="Times New Roman" w:cs="Times New Roman"/>
        </w:rPr>
        <w:t xml:space="preserve"> of</w:t>
      </w:r>
      <w:r w:rsidRPr="000955D4">
        <w:rPr>
          <w:rFonts w:ascii="Times New Roman" w:hAnsi="Times New Roman" w:cs="Times New Roman"/>
        </w:rPr>
        <w:t xml:space="preserve"> promoting learner-centered approaches, practical skills and holistic </w:t>
      </w:r>
      <w:r w:rsidR="00183C53" w:rsidRPr="000955D4">
        <w:rPr>
          <w:rFonts w:ascii="Times New Roman" w:hAnsi="Times New Roman" w:cs="Times New Roman"/>
        </w:rPr>
        <w:t>development.</w:t>
      </w:r>
      <w:r w:rsidRPr="000955D4">
        <w:rPr>
          <w:rFonts w:ascii="Times New Roman" w:hAnsi="Times New Roman" w:cs="Times New Roman"/>
        </w:rPr>
        <w:t xml:space="preserve"> However, the implementation</w:t>
      </w:r>
      <w:r w:rsidR="004A14F1" w:rsidRPr="000955D4">
        <w:rPr>
          <w:rFonts w:ascii="Times New Roman" w:hAnsi="Times New Roman" w:cs="Times New Roman"/>
        </w:rPr>
        <w:t xml:space="preserve"> of </w:t>
      </w:r>
      <w:r w:rsidR="004A14F1">
        <w:rPr>
          <w:rFonts w:ascii="Times New Roman" w:hAnsi="Times New Roman" w:cs="Times New Roman"/>
        </w:rPr>
        <w:t>program</w:t>
      </w:r>
      <w:r w:rsidR="004A14F1" w:rsidRPr="000955D4">
        <w:rPr>
          <w:rFonts w:ascii="Times New Roman" w:hAnsi="Times New Roman" w:cs="Times New Roman"/>
        </w:rPr>
        <w:t xml:space="preserve"> in Kenya has </w:t>
      </w:r>
      <w:r w:rsidR="004A14F1">
        <w:rPr>
          <w:rFonts w:ascii="Times New Roman" w:hAnsi="Times New Roman" w:cs="Times New Roman"/>
        </w:rPr>
        <w:t xml:space="preserve">faced </w:t>
      </w:r>
      <w:r w:rsidR="004A14F1" w:rsidRPr="000955D4">
        <w:rPr>
          <w:rFonts w:ascii="Times New Roman" w:hAnsi="Times New Roman" w:cs="Times New Roman"/>
        </w:rPr>
        <w:t xml:space="preserve">structural barriers such as poor teacher preparation, lack of teaching and learning resources, and poor infrastructure. The </w:t>
      </w:r>
      <w:r w:rsidR="00183C53" w:rsidRPr="000955D4">
        <w:rPr>
          <w:rFonts w:ascii="Times New Roman" w:hAnsi="Times New Roman" w:cs="Times New Roman"/>
        </w:rPr>
        <w:t>enrollment</w:t>
      </w:r>
      <w:r w:rsidR="004A14F1" w:rsidRPr="000955D4">
        <w:rPr>
          <w:rFonts w:ascii="Times New Roman" w:hAnsi="Times New Roman" w:cs="Times New Roman"/>
        </w:rPr>
        <w:t xml:space="preserve"> has stretched the available facilities and late delivery of textbooks has disrupted the teaching-learning process</w:t>
      </w:r>
      <w:r w:rsidR="004A14F1">
        <w:rPr>
          <w:rFonts w:ascii="Times New Roman" w:hAnsi="Times New Roman" w:cs="Times New Roman"/>
        </w:rPr>
        <w:t xml:space="preserve">. </w:t>
      </w:r>
      <w:r w:rsidRPr="000955D4">
        <w:rPr>
          <w:rFonts w:ascii="Times New Roman" w:hAnsi="Times New Roman" w:cs="Times New Roman"/>
        </w:rPr>
        <w:t xml:space="preserve">The </w:t>
      </w:r>
      <w:r w:rsidR="00CD43DC">
        <w:rPr>
          <w:rFonts w:ascii="Times New Roman" w:hAnsi="Times New Roman" w:cs="Times New Roman"/>
        </w:rPr>
        <w:t xml:space="preserve">objective of this </w:t>
      </w:r>
      <w:r w:rsidRPr="000955D4">
        <w:rPr>
          <w:rFonts w:ascii="Times New Roman" w:hAnsi="Times New Roman" w:cs="Times New Roman"/>
        </w:rPr>
        <w:t xml:space="preserve">study </w:t>
      </w:r>
      <w:r w:rsidR="00CD43DC">
        <w:rPr>
          <w:rFonts w:ascii="Times New Roman" w:hAnsi="Times New Roman" w:cs="Times New Roman"/>
        </w:rPr>
        <w:t xml:space="preserve">was </w:t>
      </w:r>
      <w:r w:rsidRPr="000955D4">
        <w:rPr>
          <w:rFonts w:ascii="Times New Roman" w:hAnsi="Times New Roman" w:cs="Times New Roman"/>
        </w:rPr>
        <w:t xml:space="preserve">to examine </w:t>
      </w:r>
      <w:r w:rsidR="00417197" w:rsidRPr="000955D4">
        <w:rPr>
          <w:rFonts w:ascii="Times New Roman" w:hAnsi="Times New Roman" w:cs="Times New Roman"/>
        </w:rPr>
        <w:t xml:space="preserve">relationship between stakeholder awareness </w:t>
      </w:r>
      <w:r w:rsidRPr="000955D4">
        <w:rPr>
          <w:rFonts w:ascii="Times New Roman" w:hAnsi="Times New Roman" w:cs="Times New Roman"/>
        </w:rPr>
        <w:t xml:space="preserve">and adaptability to </w:t>
      </w:r>
      <w:r w:rsidR="001C4A40" w:rsidRPr="000955D4">
        <w:rPr>
          <w:rFonts w:ascii="Times New Roman" w:hAnsi="Times New Roman" w:cs="Times New Roman"/>
        </w:rPr>
        <w:t>Competency-Based Education</w:t>
      </w:r>
      <w:r w:rsidRPr="000955D4">
        <w:rPr>
          <w:rFonts w:ascii="Times New Roman" w:hAnsi="Times New Roman" w:cs="Times New Roman"/>
        </w:rPr>
        <w:t xml:space="preserve"> in Balambala Sub-County, Kenya. </w:t>
      </w:r>
      <w:r w:rsidR="00183C53">
        <w:rPr>
          <w:rFonts w:ascii="Times New Roman" w:hAnsi="Times New Roman" w:cs="Times New Roman"/>
        </w:rPr>
        <w:t>It</w:t>
      </w:r>
      <w:r w:rsidRPr="000955D4">
        <w:rPr>
          <w:rFonts w:ascii="Times New Roman" w:hAnsi="Times New Roman" w:cs="Times New Roman"/>
        </w:rPr>
        <w:t xml:space="preserve"> was guided by Technology Acceptance Model. </w:t>
      </w:r>
      <w:r w:rsidR="00995CDF" w:rsidRPr="000955D4">
        <w:rPr>
          <w:rFonts w:ascii="Times New Roman" w:hAnsi="Times New Roman" w:cs="Times New Roman"/>
        </w:rPr>
        <w:t>C</w:t>
      </w:r>
      <w:r w:rsidRPr="000955D4">
        <w:rPr>
          <w:rFonts w:ascii="Times New Roman" w:hAnsi="Times New Roman" w:cs="Times New Roman"/>
        </w:rPr>
        <w:t>orrelational research design</w:t>
      </w:r>
      <w:r w:rsidR="00995CDF" w:rsidRPr="000955D4">
        <w:rPr>
          <w:rFonts w:ascii="Times New Roman" w:hAnsi="Times New Roman" w:cs="Times New Roman"/>
        </w:rPr>
        <w:t xml:space="preserve"> was employed in the study</w:t>
      </w:r>
      <w:r w:rsidRPr="000955D4">
        <w:rPr>
          <w:rFonts w:ascii="Times New Roman" w:hAnsi="Times New Roman" w:cs="Times New Roman"/>
        </w:rPr>
        <w:t xml:space="preserve">. The study targeted a population of 178 </w:t>
      </w:r>
      <w:r w:rsidR="00183C53">
        <w:rPr>
          <w:rFonts w:ascii="Times New Roman" w:hAnsi="Times New Roman" w:cs="Times New Roman"/>
        </w:rPr>
        <w:t>education stakeholders.</w:t>
      </w:r>
      <w:r w:rsidRPr="000955D4">
        <w:rPr>
          <w:rFonts w:ascii="Times New Roman" w:hAnsi="Times New Roman" w:cs="Times New Roman"/>
        </w:rPr>
        <w:t xml:space="preserve"> </w:t>
      </w:r>
      <w:r w:rsidR="00183C53">
        <w:rPr>
          <w:rFonts w:ascii="Times New Roman" w:hAnsi="Times New Roman" w:cs="Times New Roman"/>
        </w:rPr>
        <w:t>C</w:t>
      </w:r>
      <w:r w:rsidRPr="000955D4">
        <w:rPr>
          <w:rFonts w:ascii="Times New Roman" w:hAnsi="Times New Roman" w:cs="Times New Roman"/>
        </w:rPr>
        <w:t xml:space="preserve">ensus was conducted </w:t>
      </w:r>
      <w:r w:rsidR="00CD43DC">
        <w:rPr>
          <w:rFonts w:ascii="Times New Roman" w:hAnsi="Times New Roman" w:cs="Times New Roman"/>
        </w:rPr>
        <w:t>to obtain</w:t>
      </w:r>
      <w:r w:rsidRPr="000955D4">
        <w:rPr>
          <w:rFonts w:ascii="Times New Roman" w:hAnsi="Times New Roman" w:cs="Times New Roman"/>
        </w:rPr>
        <w:t xml:space="preserve"> 2 </w:t>
      </w:r>
      <w:r w:rsidR="00183C53" w:rsidRPr="000955D4">
        <w:rPr>
          <w:rFonts w:ascii="Times New Roman" w:hAnsi="Times New Roman" w:cs="Times New Roman"/>
        </w:rPr>
        <w:t>Sub- County</w:t>
      </w:r>
      <w:r w:rsidRPr="000955D4">
        <w:rPr>
          <w:rFonts w:ascii="Times New Roman" w:hAnsi="Times New Roman" w:cs="Times New Roman"/>
        </w:rPr>
        <w:t xml:space="preserve"> Directors and 4 CSOs, while 30% of the 26 schools were randomly selected. </w:t>
      </w:r>
      <w:r w:rsidR="004A14F1">
        <w:rPr>
          <w:rFonts w:ascii="Times New Roman" w:hAnsi="Times New Roman" w:cs="Times New Roman"/>
        </w:rPr>
        <w:t>A</w:t>
      </w:r>
      <w:r w:rsidR="00995CDF" w:rsidRPr="000955D4">
        <w:rPr>
          <w:rFonts w:ascii="Times New Roman" w:hAnsi="Times New Roman" w:cs="Times New Roman"/>
        </w:rPr>
        <w:t xml:space="preserve"> </w:t>
      </w:r>
      <w:r w:rsidRPr="000955D4">
        <w:rPr>
          <w:rFonts w:ascii="Times New Roman" w:hAnsi="Times New Roman" w:cs="Times New Roman"/>
        </w:rPr>
        <w:t>structured questionnaire and interview schedules</w:t>
      </w:r>
      <w:r w:rsidR="00995CDF" w:rsidRPr="000955D4">
        <w:rPr>
          <w:rFonts w:ascii="Times New Roman" w:hAnsi="Times New Roman" w:cs="Times New Roman"/>
        </w:rPr>
        <w:t xml:space="preserve"> were used </w:t>
      </w:r>
      <w:r w:rsidR="00CD43DC">
        <w:rPr>
          <w:rFonts w:ascii="Times New Roman" w:hAnsi="Times New Roman" w:cs="Times New Roman"/>
        </w:rPr>
        <w:t>for</w:t>
      </w:r>
      <w:r w:rsidR="00995CDF" w:rsidRPr="000955D4">
        <w:rPr>
          <w:rFonts w:ascii="Times New Roman" w:hAnsi="Times New Roman" w:cs="Times New Roman"/>
        </w:rPr>
        <w:t xml:space="preserve"> data collection tools</w:t>
      </w:r>
      <w:r w:rsidRPr="000955D4">
        <w:rPr>
          <w:rFonts w:ascii="Times New Roman" w:hAnsi="Times New Roman" w:cs="Times New Roman"/>
        </w:rPr>
        <w:t xml:space="preserve">. The </w:t>
      </w:r>
      <w:r w:rsidR="001C4A40" w:rsidRPr="000955D4">
        <w:rPr>
          <w:rFonts w:ascii="Times New Roman" w:hAnsi="Times New Roman" w:cs="Times New Roman"/>
        </w:rPr>
        <w:t xml:space="preserve">Cronbach’s alpha </w:t>
      </w:r>
      <w:r w:rsidRPr="000955D4">
        <w:rPr>
          <w:rFonts w:ascii="Times New Roman" w:hAnsi="Times New Roman" w:cs="Times New Roman"/>
        </w:rPr>
        <w:t xml:space="preserve">was applied </w:t>
      </w:r>
      <w:r w:rsidR="004A14F1" w:rsidRPr="000955D4">
        <w:rPr>
          <w:rFonts w:ascii="Times New Roman" w:hAnsi="Times New Roman" w:cs="Times New Roman"/>
        </w:rPr>
        <w:t>to test</w:t>
      </w:r>
      <w:r w:rsidRPr="000955D4">
        <w:rPr>
          <w:rFonts w:ascii="Times New Roman" w:hAnsi="Times New Roman" w:cs="Times New Roman"/>
        </w:rPr>
        <w:t xml:space="preserve"> reliability of the instrument while experts’ advice was used to establish validity. The analysis of quantitative data involved descriptive statistics and inferential statistics.  Descriptive statistics showed that the </w:t>
      </w:r>
      <w:r w:rsidR="00CD43DC" w:rsidRPr="000955D4">
        <w:rPr>
          <w:rFonts w:ascii="Times New Roman" w:hAnsi="Times New Roman" w:cs="Times New Roman"/>
        </w:rPr>
        <w:t>stakeholders’</w:t>
      </w:r>
      <w:r w:rsidR="00CD43DC">
        <w:rPr>
          <w:rFonts w:ascii="Times New Roman" w:hAnsi="Times New Roman" w:cs="Times New Roman"/>
        </w:rPr>
        <w:t xml:space="preserve"> awareness</w:t>
      </w:r>
      <w:r w:rsidRPr="000955D4">
        <w:rPr>
          <w:rFonts w:ascii="Times New Roman" w:hAnsi="Times New Roman" w:cs="Times New Roman"/>
        </w:rPr>
        <w:t xml:space="preserve"> was moderate</w:t>
      </w:r>
      <w:r w:rsidR="00183C53">
        <w:rPr>
          <w:rFonts w:ascii="Times New Roman" w:hAnsi="Times New Roman" w:cs="Times New Roman"/>
        </w:rPr>
        <w:t xml:space="preserve">. </w:t>
      </w:r>
      <w:r w:rsidR="00CD43DC">
        <w:rPr>
          <w:rFonts w:ascii="Times New Roman" w:hAnsi="Times New Roman" w:cs="Times New Roman"/>
        </w:rPr>
        <w:t xml:space="preserve">Inferential </w:t>
      </w:r>
      <w:r w:rsidR="00183C53">
        <w:rPr>
          <w:rFonts w:ascii="Times New Roman" w:hAnsi="Times New Roman" w:cs="Times New Roman"/>
        </w:rPr>
        <w:t xml:space="preserve">analysis </w:t>
      </w:r>
      <w:r w:rsidR="00CD43DC">
        <w:rPr>
          <w:rFonts w:ascii="Times New Roman" w:hAnsi="Times New Roman" w:cs="Times New Roman"/>
        </w:rPr>
        <w:t>results revealed</w:t>
      </w:r>
      <w:r w:rsidR="00183C53">
        <w:rPr>
          <w:rFonts w:ascii="Times New Roman" w:hAnsi="Times New Roman" w:cs="Times New Roman"/>
        </w:rPr>
        <w:t xml:space="preserve"> a positive significant</w:t>
      </w:r>
      <w:r w:rsidR="00CD43DC">
        <w:rPr>
          <w:rFonts w:ascii="Times New Roman" w:hAnsi="Times New Roman" w:cs="Times New Roman"/>
        </w:rPr>
        <w:t xml:space="preserve"> effect of s</w:t>
      </w:r>
      <w:r w:rsidR="00CD43DC" w:rsidRPr="000955D4">
        <w:rPr>
          <w:rFonts w:ascii="Times New Roman" w:hAnsi="Times New Roman" w:cs="Times New Roman"/>
        </w:rPr>
        <w:t>takeholder awareness and adaptability to Competency-Based Education in Balambala Sub-County, Kenya</w:t>
      </w:r>
      <w:r w:rsidR="00CD43DC">
        <w:rPr>
          <w:rFonts w:ascii="Times New Roman" w:hAnsi="Times New Roman" w:cs="Times New Roman"/>
        </w:rPr>
        <w:t>.</w:t>
      </w:r>
      <w:r w:rsidR="00C217A6">
        <w:rPr>
          <w:rFonts w:ascii="Times New Roman" w:hAnsi="Times New Roman" w:cs="Times New Roman"/>
        </w:rPr>
        <w:t xml:space="preserve"> </w:t>
      </w:r>
      <w:r w:rsidR="00183C53">
        <w:rPr>
          <w:rFonts w:ascii="Times New Roman" w:hAnsi="Times New Roman" w:cs="Times New Roman"/>
        </w:rPr>
        <w:t>Teachers</w:t>
      </w:r>
      <w:r w:rsidR="00C217A6" w:rsidRPr="00C217A6">
        <w:rPr>
          <w:rFonts w:ascii="Times New Roman" w:hAnsi="Times New Roman" w:cs="Times New Roman"/>
        </w:rPr>
        <w:t>, parents, and education policymakers in Balambala Sub-County are key beneficiaries of this study, as it clearly demonstrates the vital role of stakeholder awareness in the successful implementation of the Competency-Based Education system. Learners directly benefit from this enhanced engagement, which ensures a more responsive, inclusive, and effective educational environment tailored to their needs</w:t>
      </w:r>
      <w:r w:rsidR="00CD43DC">
        <w:rPr>
          <w:rFonts w:ascii="Times New Roman" w:hAnsi="Times New Roman" w:cs="Times New Roman"/>
        </w:rPr>
        <w:t>.</w:t>
      </w:r>
    </w:p>
    <w:p w14:paraId="57CE8059" w14:textId="7E28A800" w:rsidR="0038254C" w:rsidRDefault="001C4A40" w:rsidP="00820F58">
      <w:pPr>
        <w:spacing w:after="0" w:line="240" w:lineRule="auto"/>
        <w:rPr>
          <w:rFonts w:ascii="Times New Roman" w:hAnsi="Times New Roman" w:cs="Times New Roman"/>
          <w:i/>
          <w:iCs/>
        </w:rPr>
      </w:pPr>
      <w:r w:rsidRPr="000955D4">
        <w:rPr>
          <w:rFonts w:ascii="Times New Roman" w:hAnsi="Times New Roman" w:cs="Times New Roman"/>
        </w:rPr>
        <w:t xml:space="preserve">Keywords: </w:t>
      </w:r>
      <w:r w:rsidR="00820F58" w:rsidRPr="000955D4">
        <w:rPr>
          <w:rFonts w:ascii="Times New Roman" w:hAnsi="Times New Roman" w:cs="Times New Roman"/>
          <w:i/>
          <w:iCs/>
        </w:rPr>
        <w:t xml:space="preserve">Adaptability, </w:t>
      </w:r>
      <w:r w:rsidRPr="000955D4">
        <w:rPr>
          <w:rFonts w:ascii="Times New Roman" w:hAnsi="Times New Roman" w:cs="Times New Roman"/>
          <w:i/>
          <w:iCs/>
        </w:rPr>
        <w:t>Competency</w:t>
      </w:r>
      <w:r w:rsidR="00820F58" w:rsidRPr="000955D4">
        <w:rPr>
          <w:rFonts w:ascii="Times New Roman" w:hAnsi="Times New Roman" w:cs="Times New Roman"/>
          <w:i/>
          <w:iCs/>
        </w:rPr>
        <w:t>-</w:t>
      </w:r>
      <w:r w:rsidRPr="000955D4">
        <w:rPr>
          <w:rFonts w:ascii="Times New Roman" w:hAnsi="Times New Roman" w:cs="Times New Roman"/>
          <w:i/>
          <w:iCs/>
        </w:rPr>
        <w:t xml:space="preserve">Based </w:t>
      </w:r>
      <w:r w:rsidR="00820F58" w:rsidRPr="000955D4">
        <w:rPr>
          <w:rFonts w:ascii="Times New Roman" w:hAnsi="Times New Roman" w:cs="Times New Roman"/>
          <w:i/>
          <w:iCs/>
        </w:rPr>
        <w:t>Education, Implementation, Stakeholder Awareness</w:t>
      </w:r>
    </w:p>
    <w:p w14:paraId="7448E052" w14:textId="77777777" w:rsidR="00323877" w:rsidRPr="000955D4" w:rsidRDefault="00323877" w:rsidP="00820F58">
      <w:pPr>
        <w:spacing w:after="0" w:line="240" w:lineRule="auto"/>
        <w:rPr>
          <w:rFonts w:ascii="Times New Roman" w:eastAsiaTheme="majorEastAsia" w:hAnsi="Times New Roman" w:cs="Times New Roman"/>
        </w:rPr>
      </w:pPr>
    </w:p>
    <w:p w14:paraId="455C2AF7" w14:textId="7BE90F3B" w:rsidR="008D2BAC" w:rsidRPr="000955D4" w:rsidRDefault="008D2BAC" w:rsidP="00820F58">
      <w:pPr>
        <w:spacing w:after="0" w:line="240" w:lineRule="auto"/>
        <w:jc w:val="both"/>
        <w:rPr>
          <w:rFonts w:ascii="Times New Roman" w:hAnsi="Times New Roman" w:cs="Times New Roman"/>
        </w:rPr>
      </w:pPr>
      <w:bookmarkStart w:id="4" w:name="_Hlk206568470"/>
      <w:r w:rsidRPr="000955D4">
        <w:rPr>
          <w:rFonts w:ascii="Times New Roman" w:hAnsi="Times New Roman" w:cs="Times New Roman"/>
          <w:b/>
        </w:rPr>
        <w:t>Background to the Study</w:t>
      </w:r>
    </w:p>
    <w:p w14:paraId="51BDB62B" w14:textId="77777777" w:rsidR="00F544FE" w:rsidRPr="000955D4" w:rsidRDefault="00F544FE" w:rsidP="00820F58">
      <w:pPr>
        <w:spacing w:after="0" w:line="240" w:lineRule="auto"/>
        <w:jc w:val="both"/>
        <w:rPr>
          <w:rFonts w:ascii="Times New Roman" w:hAnsi="Times New Roman" w:cs="Times New Roman"/>
        </w:rPr>
      </w:pPr>
      <w:r w:rsidRPr="000955D4">
        <w:rPr>
          <w:rFonts w:ascii="Times New Roman" w:hAnsi="Times New Roman" w:cs="Times New Roman"/>
        </w:rPr>
        <w:t xml:space="preserve">The Competency-Based Education (CBE) learning approach focuses on instruction, assessment, grading, and academic reporting that center on students demonstrating their mastery of the required knowledge and skills as they advance through their education (KICD, 2016). CBE highlights the importance of cultivating competencies knowledge, skills, and attitudes and applying them in practical, real-world scenarios (KICD, 2016). An effective curriculum should foster critical thinking skills and ensure that learners acquire relevant knowledge applicable to their studies, </w:t>
      </w:r>
      <w:r w:rsidRPr="000955D4">
        <w:rPr>
          <w:rFonts w:ascii="Times New Roman" w:hAnsi="Times New Roman" w:cs="Times New Roman"/>
        </w:rPr>
        <w:lastRenderedPageBreak/>
        <w:t>everyday life, and future careers. Thus, the curriculum should serve as a means to achieve proficiency in globally recognized competencies.</w:t>
      </w:r>
    </w:p>
    <w:p w14:paraId="7602669C" w14:textId="77777777" w:rsidR="00F544FE" w:rsidRPr="000955D4" w:rsidRDefault="00F544FE" w:rsidP="00820F58">
      <w:pPr>
        <w:spacing w:after="0" w:line="240" w:lineRule="auto"/>
        <w:jc w:val="both"/>
        <w:rPr>
          <w:rFonts w:ascii="Times New Roman" w:hAnsi="Times New Roman" w:cs="Times New Roman"/>
        </w:rPr>
      </w:pPr>
      <w:r w:rsidRPr="000955D4">
        <w:rPr>
          <w:rFonts w:ascii="Times New Roman" w:hAnsi="Times New Roman" w:cs="Times New Roman"/>
        </w:rPr>
        <w:t>In 2002, the United States Department of Education highlighted the significance of adopting competency-based initiatives in schools and colleges (US Department of Education, National Center for Educational Statistics, 2002). A Competency-Based Education encapsulates academic and professional profiles, redefines learning objectives, improves learning environments, and transitions the concept of education from mere knowledge accumulation to a continuous attitude towards knowledge acquisition (Edwards &amp; Sanchez-Diaz, 2009). In Mexico, the implementation of CBE began in 2009 with various reforms in basic education and national education policies, emphasizing the practical application of skills, values, attitudes, and knowledge in daily activities, and requiring learners to reflect on their experiences. Competence was viewed as the practical application of skills, knowledge, values, and attitudes (Secretaría de Educación Pública, 2011). In China, it was observed that teachers were not considered essential to the curriculum's intent and execution (Jin &amp; Li, 2011). Wang's analysis of policy translation into practice revealed that it did not adequately recognize educators as vital stakeholders in the implementation process (Wang, 2010).</w:t>
      </w:r>
    </w:p>
    <w:p w14:paraId="55276A74" w14:textId="77777777" w:rsidR="00F544FE" w:rsidRPr="000955D4" w:rsidRDefault="00F544FE" w:rsidP="00820F58">
      <w:pPr>
        <w:spacing w:after="0" w:line="240" w:lineRule="auto"/>
        <w:jc w:val="both"/>
        <w:rPr>
          <w:rFonts w:ascii="Times New Roman" w:hAnsi="Times New Roman" w:cs="Times New Roman"/>
        </w:rPr>
      </w:pPr>
      <w:r w:rsidRPr="000955D4">
        <w:rPr>
          <w:rFonts w:ascii="Times New Roman" w:hAnsi="Times New Roman" w:cs="Times New Roman"/>
        </w:rPr>
        <w:t>In 2015, Rwanda adopted the Competency-Based Education (CBE) to address the shortage of skills in its education system, with a particular focus on science and technology. This initiative was driven by the country's goal to develop a knowledgeable society capable of meeting both local and global job market demands. Rwanda viewed Information and Communication Technology (ICT) as a crucial tool for transforming into a knowledge-based society and achieving middle-income status by 2030. This approach aligned with Rwanda’s educational philosophy of ensuring that every child receives high-quality education across all levels, enabling them to develop their full potential and acquire the skills, knowledge, and attitudes needed to thrive in society and the job market (Republic of Rwanda, 2015). In Tanzania, the CBE program was introduced in 2005 to address challenges faced by learners in training institutions (Ogondiek, 2005). However, by 2010, Tilya and Mafuniko found that there was a lack of clarity among curriculum developers, textbook authors, and teachers regarding the implementation of the CBE program (Tilya &amp; Mafumiko, 2010).</w:t>
      </w:r>
    </w:p>
    <w:p w14:paraId="642BC0AD" w14:textId="77777777" w:rsidR="00F544FE" w:rsidRPr="000955D4" w:rsidRDefault="00F544FE" w:rsidP="00820F58">
      <w:pPr>
        <w:spacing w:after="0" w:line="240" w:lineRule="auto"/>
        <w:jc w:val="both"/>
        <w:rPr>
          <w:rFonts w:ascii="Times New Roman" w:hAnsi="Times New Roman" w:cs="Times New Roman"/>
        </w:rPr>
      </w:pPr>
      <w:r w:rsidRPr="000955D4">
        <w:rPr>
          <w:rFonts w:ascii="Times New Roman" w:hAnsi="Times New Roman" w:cs="Times New Roman"/>
        </w:rPr>
        <w:t xml:space="preserve">The member states of East African Community (EAC) agreed on the implementation of a common curriculum framework that is competency-based and is in line with international standards (EAC Secretariat, 2014). The rationale behind this strategy is that a curriculum can be considered as an instrument of providing people with the essential values, knowledge, attitudes, and skills that can support personal and national progress (International Bureau of Education: UNESCO, 2017). This type of framework is supposed to guarantee that the educational systems in the region facilitate the growth of competencies that are relevant in a global environment. </w:t>
      </w:r>
    </w:p>
    <w:p w14:paraId="7D8B9332" w14:textId="77777777" w:rsidR="00F544FE" w:rsidRPr="000955D4" w:rsidRDefault="00F544FE" w:rsidP="00820F58">
      <w:pPr>
        <w:spacing w:after="0" w:line="240" w:lineRule="auto"/>
        <w:jc w:val="both"/>
        <w:rPr>
          <w:rFonts w:ascii="Times New Roman" w:hAnsi="Times New Roman" w:cs="Times New Roman"/>
        </w:rPr>
      </w:pPr>
      <w:r w:rsidRPr="000955D4">
        <w:rPr>
          <w:rFonts w:ascii="Times New Roman" w:hAnsi="Times New Roman" w:cs="Times New Roman"/>
        </w:rPr>
        <w:t>In an attempt to equip students with the challenges that come with a fast changing world, Kenya, together with other East African nations and the rest of the world, has found it necessary to reform its education systems to adopt a Competency-Based Education, the common goal being to provide quality education. In contrast to the conventional content-based curriculum, a Competency-Based Education is aimed at providing learners with the necessary values, attitudes, skills, and knowledge and competencies that are vital in the future interaction with the community. Education is regarded as a key factor of societal and economic growth and the countries that have well-developed education systems tend to be the most technologically and economically advanced. Curricula are constantly revised and reviewed in order to make sure that an education system is relevant in the ever-changing economic, social, and technological environment (Momanyi &amp; Rop, 2020). In 2017, the Government of Kenya launched the Competency-Based Education (CBE), giving emphasis on the nurturing of potential among learners, instilling national values, incorporating Science, Technology and Innovation, and ensuring that education skills match up with the needs in industry. This shift aims to enable the acquisition of 21</w:t>
      </w:r>
      <w:r w:rsidRPr="000955D4">
        <w:rPr>
          <w:rFonts w:ascii="Times New Roman" w:hAnsi="Times New Roman" w:cs="Times New Roman"/>
          <w:vertAlign w:val="superscript"/>
        </w:rPr>
        <w:t xml:space="preserve">st </w:t>
      </w:r>
      <w:r w:rsidRPr="000955D4">
        <w:rPr>
          <w:rFonts w:ascii="Times New Roman" w:hAnsi="Times New Roman" w:cs="Times New Roman"/>
        </w:rPr>
        <w:t xml:space="preserve">century knowledge, skills, competences, values, character development, patriotism, and global citizenship, ultimately enhancing the quality of human capital. These educational reforms are closely linked to the goals of Kenya Vision 2030 and the Kenya Constitution of 2010. They also align with international education commitments, including the Sustainable Development Goals (SDGs) and the African Union's Continental Education Strategy for Africa (CESA 16-25) (Government of Kenya, 2019). </w:t>
      </w:r>
    </w:p>
    <w:p w14:paraId="6E9AEA02" w14:textId="5BA36C73" w:rsidR="00F544FE" w:rsidRPr="000955D4" w:rsidRDefault="00F544FE" w:rsidP="00820F58">
      <w:pPr>
        <w:spacing w:after="0" w:line="240" w:lineRule="auto"/>
        <w:jc w:val="both"/>
        <w:rPr>
          <w:rFonts w:ascii="Times New Roman" w:hAnsi="Times New Roman" w:cs="Times New Roman"/>
        </w:rPr>
      </w:pPr>
      <w:r w:rsidRPr="000955D4">
        <w:rPr>
          <w:rFonts w:ascii="Times New Roman" w:hAnsi="Times New Roman" w:cs="Times New Roman"/>
        </w:rPr>
        <w:t>The Kenyan education system has undergone significant reforms since gaining independence. Initially, Ominde's commission in 1963 stratified education along racial lines, segregating it into European, African, and Asian categories. After independence, a reform led to the 7-4-2-3 system, aiming to integrate subjects for national cohesion, effectively removing racial distinctions (Wanjohi, 2011). In 1985, another reform, based on Mackay's commission recommendations, resulted in the adoption of the 8-4-4 system, emphasizing education for self-reliance due to concerns about the previous system's shortcomings in promoting sustainable employment (Justus and Inyega, 2021). However, the 8-4-4 system faced challenges, including infrastructure and resource limitations, a shortage of trained teachers, skills gaps in graduates, and high dropout rates, indicating it did not fully achieve its goals (Anyona, 2012). In 2009, the Kenya Institute of Education (KIE) reviewed the 8-4-4 system and found that it lacked practical skills needed for economic development. The curriculum had shallow content, was exam-centric, suffered from resource misallocation, had high teacher-learner ratios, lacked teaching-learning resources, and provided inadequate teacher training, thus compromising education quality (Akala, 2021). This prompted a recommendation for a paradigm shift in the curriculum by the Kenya Institute of Curriculum Development (KICD). These issues are prompting the introduction of the Competency-Based Education (CBE) that is aimed at providing learners with the competencies of the 21</w:t>
      </w:r>
      <w:r w:rsidRPr="000955D4">
        <w:rPr>
          <w:rFonts w:ascii="Times New Roman" w:hAnsi="Times New Roman" w:cs="Times New Roman"/>
          <w:vertAlign w:val="superscript"/>
        </w:rPr>
        <w:t>st</w:t>
      </w:r>
      <w:r w:rsidR="008D2BAC" w:rsidRPr="000955D4">
        <w:rPr>
          <w:rFonts w:ascii="Times New Roman" w:hAnsi="Times New Roman" w:cs="Times New Roman"/>
        </w:rPr>
        <w:t xml:space="preserve"> </w:t>
      </w:r>
      <w:r w:rsidRPr="000955D4">
        <w:rPr>
          <w:rFonts w:ascii="Times New Roman" w:hAnsi="Times New Roman" w:cs="Times New Roman"/>
        </w:rPr>
        <w:t>century (communication, critical thinking, self-efficacy, creativity, digital literacy, and learning to learn). The shift to CBE in the year 2017 was a significant shift of the 8-4-4 education system to 2-6-3-3-3 education system, and parental involvement was critical towards its success. Nevertheless, numerous parents have experienced difficulties in performing their functions within the framework of the CBE system, which is why there is a necessity to conduct a study of the issues that parents face when implementing the Competency-Based Education in Kenyan primary schools (Cheptoo &amp; Ramdas, 2020).</w:t>
      </w:r>
    </w:p>
    <w:p w14:paraId="481050E0" w14:textId="77777777" w:rsidR="00F544FE" w:rsidRPr="000955D4" w:rsidRDefault="00F544FE" w:rsidP="00820F58">
      <w:pPr>
        <w:spacing w:after="0" w:line="240" w:lineRule="auto"/>
        <w:jc w:val="both"/>
        <w:rPr>
          <w:rFonts w:ascii="Times New Roman" w:hAnsi="Times New Roman" w:cs="Times New Roman"/>
        </w:rPr>
      </w:pPr>
      <w:r w:rsidRPr="000955D4">
        <w:rPr>
          <w:rFonts w:ascii="Times New Roman" w:hAnsi="Times New Roman" w:cs="Times New Roman"/>
        </w:rPr>
        <w:t>The Competency-Based Education (CBE) framework based on values and vision was introduced in January 2017 and the Ministry of Education, together with the Teachers Service Commission (TSC) provided training to teachers and produced curriculum support materials, such as books and prototypes. In spite of the identified challenges and gaps in the internal and external evaluation processes of the pilot study of CBE, the government decided to roll out the CBE nationally in January 2019. The new Competency-Based Education that is a component of the 2-6-3-3 System of Education in Kenya focuses on the following seven core competences: Communication and collaboration, Critical thinking and problem solving, Creativity and imagination, Citizenship, Digital literacy, learning to learn, and Self-efficacy. There are varied possibilities of identifying and developing potentials and talents of learners in this curriculum that is geared towards preparing learners to face life and the workplace and to make learning fun. The curriculum design of the lower primary grade one, two, and three curriculum is composed of the Kiswahili language activities and literacy and mathematical concepts exploration. They also entail: hygiene and nutrition practice, religious teaching of various religions; Christian, Hindu and Islam (K.I.C.D, 2016).</w:t>
      </w:r>
    </w:p>
    <w:p w14:paraId="34FB8ED9" w14:textId="27846DA4" w:rsidR="00F544FE" w:rsidRPr="000955D4" w:rsidRDefault="00F544FE" w:rsidP="00820F58">
      <w:pPr>
        <w:pStyle w:val="Heading2"/>
        <w:spacing w:before="0" w:after="0" w:line="240" w:lineRule="auto"/>
        <w:jc w:val="both"/>
        <w:rPr>
          <w:rFonts w:ascii="Times New Roman" w:hAnsi="Times New Roman" w:cs="Times New Roman"/>
          <w:b/>
          <w:color w:val="auto"/>
          <w:sz w:val="24"/>
          <w:szCs w:val="24"/>
        </w:rPr>
      </w:pPr>
      <w:bookmarkStart w:id="5" w:name="_Toc206911115"/>
      <w:r w:rsidRPr="000955D4">
        <w:rPr>
          <w:rFonts w:ascii="Times New Roman" w:hAnsi="Times New Roman" w:cs="Times New Roman"/>
          <w:b/>
          <w:color w:val="auto"/>
          <w:sz w:val="24"/>
          <w:szCs w:val="24"/>
        </w:rPr>
        <w:t>Statement of the Problem</w:t>
      </w:r>
      <w:bookmarkEnd w:id="5"/>
    </w:p>
    <w:p w14:paraId="31A3DCC5" w14:textId="78C204AD" w:rsidR="00F544FE" w:rsidRPr="000955D4" w:rsidRDefault="00F544FE" w:rsidP="00820F58">
      <w:pPr>
        <w:spacing w:after="0" w:line="240" w:lineRule="auto"/>
        <w:jc w:val="both"/>
        <w:rPr>
          <w:rFonts w:ascii="Times New Roman" w:hAnsi="Times New Roman" w:cs="Times New Roman"/>
        </w:rPr>
      </w:pPr>
      <w:r w:rsidRPr="000955D4">
        <w:rPr>
          <w:rFonts w:ascii="Times New Roman" w:hAnsi="Times New Roman" w:cs="Times New Roman"/>
        </w:rPr>
        <w:t xml:space="preserve">Despite having policies that are supposed to facilitate the successful implementation of the Competency-Based Education in the education system in Kenya, there have been major challenges facing its implementation. Lack of successful adoption and sustainability of CBE has been hindered by numerous barriers that have impeded the success of transition to CBE. Studies have shown that the implementation of CBE in Kenya has structural barriers such as poor teacher preparation, lack of teaching and learning resources, and poor infrastructure. The large enrolment has stretched the available facilities and late delivery of textbooks has disrupted the teaching-learning process. There is a shortage of critical facilities in many schools including permanent classrooms in lower classes, some schools have to teach in unconventional locations or even outdoors. The rush implementation schedules have also complicated the CBE rollout, with the quality of learning materials being affected. Also, the lack of parental involvement has occurred because of the lack of awareness and sensitization activities and this has led to a gap between schools and homes in trying to support the new curriculum. This educational transition is multi-agency and thus demands coordination and cooperation of different stakeholders. Nonetheless, there seems to be a gap in the knowledge of how the change strategies have been employed to address the barriers to the implementation of CBE. As this curriculum signifies one of the major changes to the education of Kenya, it is necessary to implement change strategies to make sure that everyone is aware of his/her role and resources that are required to make this implementation a success. The research thus attempted to explore the issues of change strategy and its contribution to improvement of adaptability of Competency-Based Education system in Balambala Sub-County, Kenya. </w:t>
      </w:r>
    </w:p>
    <w:p w14:paraId="0333726E" w14:textId="0206498A" w:rsidR="00F544FE" w:rsidRPr="000955D4" w:rsidRDefault="00491D08" w:rsidP="00820F58">
      <w:pPr>
        <w:pStyle w:val="Heading2"/>
        <w:spacing w:before="0" w:after="0" w:line="240" w:lineRule="auto"/>
        <w:jc w:val="both"/>
        <w:rPr>
          <w:rFonts w:ascii="Times New Roman" w:hAnsi="Times New Roman" w:cs="Times New Roman"/>
          <w:b/>
          <w:color w:val="auto"/>
          <w:sz w:val="24"/>
          <w:szCs w:val="24"/>
        </w:rPr>
      </w:pPr>
      <w:bookmarkStart w:id="6" w:name="_Toc206911117"/>
      <w:r w:rsidRPr="000955D4">
        <w:rPr>
          <w:rFonts w:ascii="Times New Roman" w:hAnsi="Times New Roman" w:cs="Times New Roman"/>
          <w:b/>
          <w:color w:val="auto"/>
          <w:sz w:val="24"/>
          <w:szCs w:val="24"/>
        </w:rPr>
        <w:t>Objective</w:t>
      </w:r>
      <w:r w:rsidR="00F544FE" w:rsidRPr="000955D4">
        <w:rPr>
          <w:rFonts w:ascii="Times New Roman" w:hAnsi="Times New Roman" w:cs="Times New Roman"/>
          <w:b/>
          <w:color w:val="auto"/>
          <w:sz w:val="24"/>
          <w:szCs w:val="24"/>
        </w:rPr>
        <w:t xml:space="preserve"> of the Study</w:t>
      </w:r>
      <w:bookmarkEnd w:id="6"/>
    </w:p>
    <w:p w14:paraId="67B9A426" w14:textId="77777777" w:rsidR="00F544FE" w:rsidRPr="000955D4" w:rsidRDefault="00F544FE" w:rsidP="00820F58">
      <w:pPr>
        <w:spacing w:after="0" w:line="240" w:lineRule="auto"/>
        <w:jc w:val="both"/>
        <w:rPr>
          <w:rFonts w:ascii="Times New Roman" w:hAnsi="Times New Roman" w:cs="Times New Roman"/>
        </w:rPr>
      </w:pPr>
      <w:r w:rsidRPr="000955D4">
        <w:rPr>
          <w:rFonts w:ascii="Times New Roman" w:hAnsi="Times New Roman" w:cs="Times New Roman"/>
        </w:rPr>
        <w:t xml:space="preserve">To assess </w:t>
      </w:r>
      <w:bookmarkStart w:id="7" w:name="_Hlk206907105"/>
      <w:r w:rsidRPr="000955D4">
        <w:rPr>
          <w:rFonts w:ascii="Times New Roman" w:hAnsi="Times New Roman" w:cs="Times New Roman"/>
        </w:rPr>
        <w:t xml:space="preserve">relationship between </w:t>
      </w:r>
      <w:bookmarkEnd w:id="7"/>
      <w:r w:rsidRPr="000955D4">
        <w:rPr>
          <w:rFonts w:ascii="Times New Roman" w:hAnsi="Times New Roman" w:cs="Times New Roman"/>
        </w:rPr>
        <w:t>stakeholder awareness and adaptability to Competency-Based Education system in Balambala sub-county, Kenya</w:t>
      </w:r>
      <w:r w:rsidRPr="000955D4">
        <w:rPr>
          <w:rFonts w:ascii="Times New Roman" w:hAnsi="Times New Roman" w:cs="Times New Roman"/>
          <w:b/>
        </w:rPr>
        <w:t>.</w:t>
      </w:r>
    </w:p>
    <w:p w14:paraId="28E81829" w14:textId="29824B33" w:rsidR="007A66A5" w:rsidRPr="000955D4" w:rsidRDefault="007A66A5" w:rsidP="00820F58">
      <w:pPr>
        <w:pStyle w:val="Heading2"/>
        <w:spacing w:before="0" w:after="0" w:line="240" w:lineRule="auto"/>
        <w:rPr>
          <w:rFonts w:ascii="Times New Roman" w:hAnsi="Times New Roman" w:cs="Times New Roman"/>
          <w:b/>
          <w:color w:val="auto"/>
          <w:sz w:val="24"/>
          <w:szCs w:val="24"/>
        </w:rPr>
      </w:pPr>
      <w:bookmarkStart w:id="8" w:name="_Toc206911126"/>
      <w:bookmarkStart w:id="9" w:name="_Hlk73316080"/>
      <w:bookmarkStart w:id="10" w:name="_Toc206298299"/>
      <w:bookmarkEnd w:id="4"/>
      <w:r w:rsidRPr="000955D4">
        <w:rPr>
          <w:rFonts w:ascii="Times New Roman" w:hAnsi="Times New Roman" w:cs="Times New Roman"/>
          <w:b/>
          <w:color w:val="auto"/>
          <w:sz w:val="24"/>
          <w:szCs w:val="24"/>
        </w:rPr>
        <w:t>Theoretical Framework</w:t>
      </w:r>
      <w:bookmarkEnd w:id="8"/>
    </w:p>
    <w:p w14:paraId="2D0F8756" w14:textId="77777777" w:rsidR="000515F8" w:rsidRPr="000955D4" w:rsidRDefault="000515F8" w:rsidP="00820F58">
      <w:pPr>
        <w:pStyle w:val="Heading2"/>
        <w:spacing w:before="0" w:after="0" w:line="240" w:lineRule="auto"/>
        <w:jc w:val="both"/>
        <w:rPr>
          <w:rFonts w:ascii="Times New Roman" w:hAnsi="Times New Roman" w:cs="Times New Roman"/>
          <w:b/>
          <w:color w:val="auto"/>
          <w:sz w:val="24"/>
          <w:szCs w:val="24"/>
        </w:rPr>
      </w:pPr>
      <w:bookmarkStart w:id="11" w:name="_Toc206911139"/>
      <w:r w:rsidRPr="000955D4">
        <w:rPr>
          <w:rFonts w:ascii="Times New Roman" w:hAnsi="Times New Roman" w:cs="Times New Roman"/>
          <w:b/>
          <w:color w:val="auto"/>
          <w:sz w:val="24"/>
          <w:szCs w:val="24"/>
        </w:rPr>
        <w:t>Technology Acceptance Model (TAM)</w:t>
      </w:r>
    </w:p>
    <w:p w14:paraId="47C7C7C8" w14:textId="77777777" w:rsidR="000515F8" w:rsidRPr="000955D4" w:rsidRDefault="000515F8" w:rsidP="00820F58">
      <w:pPr>
        <w:pStyle w:val="whitespace-pre-wrap"/>
        <w:spacing w:before="0" w:beforeAutospacing="0" w:after="0" w:afterAutospacing="0"/>
        <w:jc w:val="both"/>
      </w:pPr>
      <w:r w:rsidRPr="000955D4">
        <w:t>The Technology Acceptance Model (TAM) was developed by Fred Davis in 1986 and formally proposed in his 1989 publication. TAM is grounded in social psychology theory, particularly the Theory of Reasoned Action (TRA) developed by Fishbein and Ajzen (1975). TAM posits that the acceptance of technology is predicted by users' behavioral intention, which is determined by two key factors; perceived usefulness (PU) and perceived ease of use (PEOU). These two constructs form an end-user's beliefs about a technology and predict their attitude toward it, which in turn predicts its acceptance. Technology usage is dictated by an assessment of the trade-off between perceived usefulness of the system and difficulty in using it as Davis (1989) shows.</w:t>
      </w:r>
    </w:p>
    <w:p w14:paraId="232AE66D" w14:textId="77777777" w:rsidR="000515F8" w:rsidRPr="000955D4" w:rsidRDefault="000515F8" w:rsidP="00820F58">
      <w:pPr>
        <w:pStyle w:val="whitespace-pre-wrap"/>
        <w:spacing w:before="0" w:beforeAutospacing="0" w:after="0" w:afterAutospacing="0"/>
        <w:jc w:val="both"/>
      </w:pPr>
      <w:r w:rsidRPr="000955D4">
        <w:t xml:space="preserve">In the study under consideration, CBE may be regarded as an innovation in educational technologies the adoption of which will be predetermined by the perceptions of the stakeholders regarding its usefulness and ease of implementation. In this regard, the stakeholder awareness has a direct effect on the perceived usefulness and perceived ease of use of the CBE system.  The more stakeholders (teachers, administrators, parents and community members) learn about the goals and practicalities of CBE and its possible advantages, the more likely it becomes that they will see it as helpful (PU). Correspondingly, awareness improves stakeholder knowledge on how to adopt and use CBE thus raising their perceived ease of use (PEOU). </w:t>
      </w:r>
    </w:p>
    <w:p w14:paraId="27F97ECD" w14:textId="3FD6B81E" w:rsidR="000515F8" w:rsidRPr="000955D4" w:rsidRDefault="000515F8" w:rsidP="00820F58">
      <w:pPr>
        <w:pStyle w:val="whitespace-pre-wrap"/>
        <w:spacing w:before="0" w:beforeAutospacing="0" w:after="0" w:afterAutospacing="0"/>
        <w:jc w:val="both"/>
      </w:pPr>
      <w:r w:rsidRPr="000955D4">
        <w:t>According to TAM, these improved perceptions will positively influence attitudes toward CBE, strengthen behavioral intentions to adapt to it and ultimately lead to successful implementation. The relevance of TAM to study stakeholder awareness and CBE adaptability, researchers can identify specific awareness interventions that might enhance perceived usefulness and ease of use, thereby improving overall acceptance and implementation of the Competency-Based Education in Balambala sub-county, Kenya.</w:t>
      </w:r>
    </w:p>
    <w:p w14:paraId="0B7B72B2" w14:textId="77777777" w:rsidR="00AD232C" w:rsidRDefault="00AD232C" w:rsidP="00820F58">
      <w:pPr>
        <w:pStyle w:val="Heading2"/>
        <w:spacing w:before="0" w:after="0" w:line="240" w:lineRule="auto"/>
        <w:jc w:val="both"/>
        <w:rPr>
          <w:rFonts w:ascii="Times New Roman" w:hAnsi="Times New Roman" w:cs="Times New Roman"/>
          <w:b/>
          <w:color w:val="auto"/>
          <w:sz w:val="24"/>
          <w:szCs w:val="24"/>
        </w:rPr>
      </w:pPr>
      <w:r w:rsidRPr="000955D4">
        <w:rPr>
          <w:rFonts w:ascii="Times New Roman" w:hAnsi="Times New Roman" w:cs="Times New Roman"/>
          <w:b/>
          <w:color w:val="auto"/>
          <w:sz w:val="24"/>
          <w:szCs w:val="24"/>
        </w:rPr>
        <w:t>Conceptual Framework</w:t>
      </w:r>
    </w:p>
    <w:p w14:paraId="6CB7B8B1" w14:textId="77777777" w:rsidR="00323877" w:rsidRPr="00323877" w:rsidRDefault="00323877" w:rsidP="00323877"/>
    <w:p w14:paraId="01CB2763" w14:textId="77777777" w:rsidR="00AD232C" w:rsidRDefault="00AD232C" w:rsidP="00820F58">
      <w:pPr>
        <w:pStyle w:val="FIGURES"/>
        <w:spacing w:before="0" w:after="0" w:line="240" w:lineRule="auto"/>
        <w:rPr>
          <w:color w:val="auto"/>
        </w:rPr>
      </w:pPr>
      <w:bookmarkStart w:id="12" w:name="_Toc193391360"/>
      <w:r w:rsidRPr="000955D4">
        <w:rPr>
          <w:color w:val="auto"/>
        </w:rPr>
        <w:t xml:space="preserve">Figure </w:t>
      </w:r>
      <w:r w:rsidRPr="000955D4">
        <w:rPr>
          <w:color w:val="auto"/>
        </w:rPr>
        <w:fldChar w:fldCharType="begin"/>
      </w:r>
      <w:r w:rsidRPr="000955D4">
        <w:rPr>
          <w:color w:val="auto"/>
        </w:rPr>
        <w:instrText xml:space="preserve"> SEQ Figure \* ARABIC </w:instrText>
      </w:r>
      <w:r w:rsidRPr="000955D4">
        <w:rPr>
          <w:color w:val="auto"/>
        </w:rPr>
        <w:fldChar w:fldCharType="separate"/>
      </w:r>
      <w:r w:rsidRPr="000955D4">
        <w:rPr>
          <w:noProof/>
          <w:color w:val="auto"/>
        </w:rPr>
        <w:t>1</w:t>
      </w:r>
      <w:r w:rsidRPr="000955D4">
        <w:rPr>
          <w:noProof/>
          <w:color w:val="auto"/>
        </w:rPr>
        <w:fldChar w:fldCharType="end"/>
      </w:r>
      <w:r w:rsidRPr="000955D4">
        <w:rPr>
          <w:color w:val="auto"/>
        </w:rPr>
        <w:t>: Conceptual Framework</w:t>
      </w:r>
      <w:bookmarkEnd w:id="12"/>
    </w:p>
    <w:p w14:paraId="1A01F472" w14:textId="77777777" w:rsidR="00323877" w:rsidRPr="00323877" w:rsidRDefault="00323877" w:rsidP="00323877">
      <w:pPr>
        <w:pStyle w:val="Caption"/>
      </w:pPr>
    </w:p>
    <w:p w14:paraId="05B03C86" w14:textId="77777777" w:rsidR="00AD232C" w:rsidRPr="000955D4" w:rsidRDefault="00AD232C" w:rsidP="00820F58">
      <w:pPr>
        <w:spacing w:after="0" w:line="240" w:lineRule="auto"/>
        <w:rPr>
          <w:rFonts w:ascii="Times New Roman" w:hAnsi="Times New Roman" w:cs="Times New Roman"/>
        </w:rPr>
      </w:pPr>
      <w:r w:rsidRPr="000955D4">
        <w:rPr>
          <w:rFonts w:ascii="Times New Roman" w:hAnsi="Times New Roman" w:cs="Times New Roman"/>
          <w:noProof/>
        </w:rPr>
        <mc:AlternateContent>
          <mc:Choice Requires="wpg">
            <w:drawing>
              <wp:inline distT="0" distB="0" distL="0" distR="0" wp14:anchorId="2D5EDCCC" wp14:editId="406AF5B5">
                <wp:extent cx="5943206" cy="2400278"/>
                <wp:effectExtent l="0" t="0" r="19685" b="19685"/>
                <wp:docPr id="17" name="Group 3"/>
                <wp:cNvGraphicFramePr/>
                <a:graphic xmlns:a="http://schemas.openxmlformats.org/drawingml/2006/main">
                  <a:graphicData uri="http://schemas.microsoft.com/office/word/2010/wordprocessingGroup">
                    <wpg:wgp>
                      <wpg:cNvGrpSpPr/>
                      <wpg:grpSpPr>
                        <a:xfrm>
                          <a:off x="0" y="0"/>
                          <a:ext cx="5943206" cy="2400278"/>
                          <a:chOff x="0" y="0"/>
                          <a:chExt cx="49492" cy="21061"/>
                        </a:xfrm>
                      </wpg:grpSpPr>
                      <wps:wsp>
                        <wps:cNvPr id="18" name="Rectangle 4"/>
                        <wps:cNvSpPr>
                          <a:spLocks noChangeArrowheads="1"/>
                        </wps:cNvSpPr>
                        <wps:spPr bwMode="auto">
                          <a:xfrm>
                            <a:off x="0" y="5715"/>
                            <a:ext cx="24003" cy="15346"/>
                          </a:xfrm>
                          <a:prstGeom prst="rect">
                            <a:avLst/>
                          </a:prstGeom>
                          <a:noFill/>
                          <a:ln w="12700">
                            <a:solidFill>
                              <a:srgbClr val="000000"/>
                            </a:solidFill>
                            <a:miter lim="800000"/>
                          </a:ln>
                        </wps:spPr>
                        <wps:txbx>
                          <w:txbxContent>
                            <w:p w14:paraId="74D79D88" w14:textId="77777777" w:rsidR="00AD232C" w:rsidRDefault="00AD232C" w:rsidP="00AD232C">
                              <w:pPr>
                                <w:rPr>
                                  <w:rFonts w:ascii="Times New Roman" w:hAnsi="Times New Roman" w:cs="Times New Roman"/>
                                  <w:color w:val="000000" w:themeColor="text1"/>
                                </w:rPr>
                              </w:pPr>
                              <w:r>
                                <w:rPr>
                                  <w:rFonts w:ascii="Times New Roman" w:hAnsi="Times New Roman" w:cs="Times New Roman"/>
                                  <w:b/>
                                  <w:color w:val="000000" w:themeColor="text1"/>
                                </w:rPr>
                                <w:t xml:space="preserve">Stakeholder adaptability </w:t>
                              </w:r>
                            </w:p>
                            <w:p w14:paraId="0EC357A8" w14:textId="77777777" w:rsidR="00AD232C" w:rsidRDefault="00AD232C" w:rsidP="00AD232C">
                              <w:pPr>
                                <w:pStyle w:val="ListParagraph"/>
                                <w:numPr>
                                  <w:ilvl w:val="0"/>
                                  <w:numId w:val="6"/>
                                </w:numPr>
                                <w:spacing w:line="276" w:lineRule="auto"/>
                                <w:rPr>
                                  <w:rFonts w:ascii="Times New Roman" w:hAnsi="Times New Roman" w:cs="Times New Roman"/>
                                </w:rPr>
                              </w:pPr>
                              <w:r>
                                <w:rPr>
                                  <w:rFonts w:ascii="Times New Roman" w:hAnsi="Times New Roman" w:cs="Times New Roman"/>
                                </w:rPr>
                                <w:t xml:space="preserve">Clear and open communication </w:t>
                              </w:r>
                            </w:p>
                            <w:p w14:paraId="77067536" w14:textId="77777777" w:rsidR="00AD232C" w:rsidRDefault="00AD232C" w:rsidP="00AD232C">
                              <w:pPr>
                                <w:pStyle w:val="ListParagraph"/>
                                <w:numPr>
                                  <w:ilvl w:val="0"/>
                                  <w:numId w:val="6"/>
                                </w:numPr>
                                <w:spacing w:line="276" w:lineRule="auto"/>
                                <w:rPr>
                                  <w:rFonts w:ascii="Times New Roman" w:hAnsi="Times New Roman" w:cs="Times New Roman"/>
                                </w:rPr>
                              </w:pPr>
                              <w:r>
                                <w:rPr>
                                  <w:rFonts w:ascii="Times New Roman" w:hAnsi="Times New Roman" w:cs="Times New Roman"/>
                                </w:rPr>
                                <w:t>Teacher readiness</w:t>
                              </w:r>
                            </w:p>
                            <w:p w14:paraId="4DCB86C3" w14:textId="77777777" w:rsidR="00AD232C" w:rsidRDefault="00AD232C" w:rsidP="00AD232C">
                              <w:pPr>
                                <w:pStyle w:val="ListParagraph"/>
                                <w:numPr>
                                  <w:ilvl w:val="0"/>
                                  <w:numId w:val="6"/>
                                </w:numPr>
                                <w:spacing w:line="276" w:lineRule="auto"/>
                                <w:rPr>
                                  <w:rFonts w:ascii="Times New Roman" w:hAnsi="Times New Roman" w:cs="Times New Roman"/>
                                </w:rPr>
                              </w:pPr>
                              <w:r>
                                <w:rPr>
                                  <w:rFonts w:ascii="Times New Roman" w:hAnsi="Times New Roman" w:cs="Times New Roman"/>
                                </w:rPr>
                                <w:t>Parental engagement in CBE.</w:t>
                              </w:r>
                            </w:p>
                            <w:p w14:paraId="13FDC148" w14:textId="77777777" w:rsidR="00AD232C" w:rsidRDefault="00AD232C" w:rsidP="00AD232C">
                              <w:pPr>
                                <w:pStyle w:val="ListParagraph"/>
                                <w:numPr>
                                  <w:ilvl w:val="0"/>
                                  <w:numId w:val="6"/>
                                </w:numPr>
                                <w:spacing w:line="276" w:lineRule="auto"/>
                                <w:rPr>
                                  <w:rFonts w:ascii="Times New Roman" w:hAnsi="Times New Roman" w:cs="Times New Roman"/>
                                </w:rPr>
                              </w:pPr>
                              <w:r>
                                <w:rPr>
                                  <w:rFonts w:ascii="Times New Roman" w:hAnsi="Times New Roman" w:cs="Times New Roman"/>
                                </w:rPr>
                                <w:t>Pupil adaptability to CBE.</w:t>
                              </w:r>
                            </w:p>
                            <w:p w14:paraId="08ECA3DA" w14:textId="77777777" w:rsidR="00AD232C" w:rsidRDefault="00AD232C" w:rsidP="00AD232C">
                              <w:pPr>
                                <w:pStyle w:val="ListParagraph"/>
                                <w:numPr>
                                  <w:ilvl w:val="0"/>
                                  <w:numId w:val="6"/>
                                </w:numPr>
                                <w:spacing w:line="276" w:lineRule="auto"/>
                                <w:rPr>
                                  <w:rFonts w:ascii="Times New Roman" w:hAnsi="Times New Roman" w:cs="Times New Roman"/>
                                </w:rPr>
                              </w:pPr>
                              <w:r>
                                <w:rPr>
                                  <w:rFonts w:ascii="Times New Roman" w:hAnsi="Times New Roman" w:cs="Times New Roman"/>
                                </w:rPr>
                                <w:t>Local education authorities' commitment to CBE</w:t>
                              </w:r>
                            </w:p>
                            <w:p w14:paraId="79569A9D" w14:textId="77777777" w:rsidR="00AD232C" w:rsidRDefault="00AD232C" w:rsidP="00AD232C">
                              <w:pPr>
                                <w:pStyle w:val="ListParagraph"/>
                                <w:spacing w:line="276" w:lineRule="auto"/>
                                <w:ind w:left="360"/>
                                <w:jc w:val="both"/>
                                <w:rPr>
                                  <w:rFonts w:ascii="Times New Roman" w:hAnsi="Times New Roman" w:cs="Times New Roman"/>
                                </w:rPr>
                              </w:pPr>
                            </w:p>
                            <w:p w14:paraId="0A7670A0" w14:textId="77777777" w:rsidR="00AD232C" w:rsidRDefault="00AD232C" w:rsidP="00AD232C"/>
                            <w:p w14:paraId="7CCB59B3" w14:textId="77777777" w:rsidR="00AD232C" w:rsidRDefault="00AD232C" w:rsidP="00AD232C"/>
                            <w:p w14:paraId="203D3558" w14:textId="77777777" w:rsidR="00AD232C" w:rsidRDefault="00AD232C" w:rsidP="00AD232C"/>
                          </w:txbxContent>
                        </wps:txbx>
                        <wps:bodyPr rot="0" vert="horz" wrap="square" lIns="91440" tIns="45720" rIns="91440" bIns="45720" anchor="ctr" anchorCtr="0" upright="1">
                          <a:noAutofit/>
                        </wps:bodyPr>
                      </wps:wsp>
                      <wps:wsp>
                        <wps:cNvPr id="20" name="Rectangle 6"/>
                        <wps:cNvSpPr>
                          <a:spLocks noChangeArrowheads="1"/>
                        </wps:cNvSpPr>
                        <wps:spPr bwMode="auto">
                          <a:xfrm>
                            <a:off x="27221" y="5712"/>
                            <a:ext cx="22268" cy="15181"/>
                          </a:xfrm>
                          <a:prstGeom prst="rect">
                            <a:avLst/>
                          </a:prstGeom>
                          <a:noFill/>
                          <a:ln w="12700">
                            <a:solidFill>
                              <a:srgbClr val="000000"/>
                            </a:solidFill>
                            <a:miter lim="800000"/>
                          </a:ln>
                        </wps:spPr>
                        <wps:txbx>
                          <w:txbxContent>
                            <w:p w14:paraId="31EF0C27" w14:textId="77777777" w:rsidR="00AD232C" w:rsidRDefault="00AD232C" w:rsidP="00AD232C">
                              <w:pPr>
                                <w:rPr>
                                  <w:rFonts w:ascii="Times New Roman" w:hAnsi="Times New Roman" w:cs="Times New Roman"/>
                                  <w:b/>
                                </w:rPr>
                              </w:pPr>
                              <w:r>
                                <w:rPr>
                                  <w:rFonts w:ascii="Times New Roman" w:hAnsi="Times New Roman" w:cs="Times New Roman"/>
                                  <w:b/>
                                  <w:color w:val="000000" w:themeColor="text1"/>
                                </w:rPr>
                                <w:t xml:space="preserve">Adaptability to the </w:t>
                              </w:r>
                              <w:r>
                                <w:rPr>
                                  <w:rFonts w:ascii="Times New Roman" w:hAnsi="Times New Roman" w:cs="Times New Roman"/>
                                  <w:b/>
                                </w:rPr>
                                <w:t>CBE</w:t>
                              </w:r>
                            </w:p>
                            <w:p w14:paraId="3AB1F98D" w14:textId="77777777" w:rsidR="00AD232C" w:rsidRDefault="00AD232C" w:rsidP="00AD232C">
                              <w:pPr>
                                <w:pStyle w:val="ListParagraph"/>
                                <w:numPr>
                                  <w:ilvl w:val="0"/>
                                  <w:numId w:val="8"/>
                                </w:numPr>
                                <w:spacing w:line="259" w:lineRule="auto"/>
                                <w:rPr>
                                  <w:rFonts w:ascii="Times New Roman" w:hAnsi="Times New Roman" w:cs="Times New Roman"/>
                                </w:rPr>
                              </w:pPr>
                              <w:r>
                                <w:rPr>
                                  <w:rFonts w:ascii="Times New Roman" w:hAnsi="Times New Roman" w:cs="Times New Roman"/>
                                </w:rPr>
                                <w:t>Stakeholder satisfaction</w:t>
                              </w:r>
                            </w:p>
                            <w:p w14:paraId="58BF77B4" w14:textId="77777777" w:rsidR="00AD232C" w:rsidRDefault="00AD232C" w:rsidP="00AD232C">
                              <w:pPr>
                                <w:pStyle w:val="ListParagraph"/>
                                <w:numPr>
                                  <w:ilvl w:val="0"/>
                                  <w:numId w:val="8"/>
                                </w:numPr>
                                <w:spacing w:line="259" w:lineRule="auto"/>
                                <w:rPr>
                                  <w:rFonts w:ascii="Times New Roman" w:hAnsi="Times New Roman" w:cs="Times New Roman"/>
                                </w:rPr>
                              </w:pPr>
                              <w:r>
                                <w:rPr>
                                  <w:rFonts w:ascii="Times New Roman" w:hAnsi="Times New Roman" w:cs="Times New Roman"/>
                                </w:rPr>
                                <w:t>Academic achievement</w:t>
                              </w:r>
                            </w:p>
                            <w:p w14:paraId="44601A4B" w14:textId="77777777" w:rsidR="00AD232C" w:rsidRDefault="00AD232C" w:rsidP="00AD232C">
                              <w:pPr>
                                <w:pStyle w:val="ListParagraph"/>
                                <w:numPr>
                                  <w:ilvl w:val="0"/>
                                  <w:numId w:val="8"/>
                                </w:numPr>
                                <w:spacing w:line="259" w:lineRule="auto"/>
                              </w:pPr>
                              <w:r>
                                <w:rPr>
                                  <w:rFonts w:ascii="Times New Roman" w:hAnsi="Times New Roman" w:cs="Times New Roman"/>
                                </w:rPr>
                                <w:t>Transition rates</w:t>
                              </w:r>
                            </w:p>
                          </w:txbxContent>
                        </wps:txbx>
                        <wps:bodyPr rot="0" vert="horz" wrap="square" lIns="91440" tIns="45720" rIns="91440" bIns="45720" anchor="ctr" anchorCtr="0" upright="1">
                          <a:noAutofit/>
                        </wps:bodyPr>
                      </wps:wsp>
                      <wps:wsp>
                        <wps:cNvPr id="22" name="Rectangle 8"/>
                        <wps:cNvSpPr>
                          <a:spLocks noChangeArrowheads="1"/>
                        </wps:cNvSpPr>
                        <wps:spPr bwMode="auto">
                          <a:xfrm>
                            <a:off x="0" y="0"/>
                            <a:ext cx="23636" cy="4635"/>
                          </a:xfrm>
                          <a:prstGeom prst="rect">
                            <a:avLst/>
                          </a:prstGeom>
                          <a:noFill/>
                          <a:ln>
                            <a:noFill/>
                          </a:ln>
                        </wps:spPr>
                        <wps:txbx>
                          <w:txbxContent>
                            <w:p w14:paraId="3A807A0D" w14:textId="77777777" w:rsidR="00AD232C" w:rsidRDefault="00AD232C" w:rsidP="00AD232C">
                              <w:pPr>
                                <w:spacing w:after="0" w:line="360" w:lineRule="auto"/>
                                <w:jc w:val="center"/>
                                <w:rPr>
                                  <w:rFonts w:ascii="Times New Roman" w:hAnsi="Times New Roman" w:cs="Times New Roman"/>
                                  <w:b/>
                                </w:rPr>
                              </w:pPr>
                              <w:r>
                                <w:rPr>
                                  <w:rFonts w:ascii="Times New Roman" w:hAnsi="Times New Roman" w:cs="Times New Roman"/>
                                  <w:b/>
                                </w:rPr>
                                <w:t>Independent Variables</w:t>
                              </w:r>
                            </w:p>
                            <w:p w14:paraId="6DD72899" w14:textId="77777777" w:rsidR="00AD232C" w:rsidRDefault="00AD232C" w:rsidP="00AD232C">
                              <w:pPr>
                                <w:spacing w:after="0" w:line="360" w:lineRule="auto"/>
                                <w:jc w:val="center"/>
                              </w:pPr>
                              <w:r>
                                <w:rPr>
                                  <w:rFonts w:ascii="Times New Roman" w:hAnsi="Times New Roman" w:cs="Times New Roman"/>
                                  <w:b/>
                                  <w:color w:val="000000" w:themeColor="text1"/>
                                </w:rPr>
                                <w:t>Change Strategies</w:t>
                              </w:r>
                            </w:p>
                            <w:p w14:paraId="723D7AA7" w14:textId="77777777" w:rsidR="00AD232C" w:rsidRDefault="00AD232C" w:rsidP="00AD232C">
                              <w:pPr>
                                <w:spacing w:after="0" w:line="240" w:lineRule="auto"/>
                                <w:jc w:val="both"/>
                                <w:rPr>
                                  <w:rFonts w:ascii="Times New Roman" w:hAnsi="Times New Roman" w:cs="Times New Roman"/>
                                  <w:b/>
                                </w:rPr>
                              </w:pPr>
                            </w:p>
                          </w:txbxContent>
                        </wps:txbx>
                        <wps:bodyPr rot="0" vert="horz" wrap="square" lIns="91440" tIns="45720" rIns="91440" bIns="45720" anchor="ctr" anchorCtr="0" upright="1">
                          <a:noAutofit/>
                        </wps:bodyPr>
                      </wps:wsp>
                      <wps:wsp>
                        <wps:cNvPr id="23" name="Rectangle 9"/>
                        <wps:cNvSpPr>
                          <a:spLocks noChangeArrowheads="1"/>
                        </wps:cNvSpPr>
                        <wps:spPr bwMode="auto">
                          <a:xfrm>
                            <a:off x="31410" y="0"/>
                            <a:ext cx="18082" cy="5714"/>
                          </a:xfrm>
                          <a:prstGeom prst="rect">
                            <a:avLst/>
                          </a:prstGeom>
                          <a:noFill/>
                          <a:ln>
                            <a:noFill/>
                          </a:ln>
                        </wps:spPr>
                        <wps:txbx>
                          <w:txbxContent>
                            <w:p w14:paraId="35E34FA9" w14:textId="77777777" w:rsidR="00AD232C" w:rsidRDefault="00AD232C" w:rsidP="00AD232C">
                              <w:pPr>
                                <w:spacing w:line="360" w:lineRule="auto"/>
                                <w:jc w:val="center"/>
                                <w:rPr>
                                  <w:rFonts w:ascii="Times New Roman" w:hAnsi="Times New Roman" w:cs="Times New Roman"/>
                                  <w:b/>
                                </w:rPr>
                              </w:pPr>
                              <w:r>
                                <w:rPr>
                                  <w:rFonts w:ascii="Times New Roman" w:hAnsi="Times New Roman" w:cs="Times New Roman"/>
                                  <w:b/>
                                </w:rPr>
                                <w:t>Dependent Variable</w:t>
                              </w:r>
                            </w:p>
                            <w:p w14:paraId="6C73CD93" w14:textId="77777777" w:rsidR="00AD232C" w:rsidRDefault="00AD232C" w:rsidP="00AD232C">
                              <w:pPr>
                                <w:spacing w:line="360" w:lineRule="auto"/>
                                <w:jc w:val="center"/>
                              </w:pPr>
                              <w:r>
                                <w:rPr>
                                  <w:rFonts w:ascii="Times New Roman" w:hAnsi="Times New Roman" w:cs="Times New Roman"/>
                                  <w:b/>
                                  <w:color w:val="000000" w:themeColor="text1"/>
                                </w:rPr>
                                <w:t>Adaptability to the (CBE)</w:t>
                              </w:r>
                            </w:p>
                            <w:p w14:paraId="31A26FAC" w14:textId="77777777" w:rsidR="00AD232C" w:rsidRDefault="00AD232C" w:rsidP="00AD232C">
                              <w:pPr>
                                <w:spacing w:before="240" w:line="360" w:lineRule="auto"/>
                                <w:jc w:val="center"/>
                                <w:rPr>
                                  <w:rFonts w:ascii="Times New Roman" w:hAnsi="Times New Roman" w:cs="Times New Roman"/>
                                  <w:b/>
                                </w:rPr>
                              </w:pPr>
                            </w:p>
                            <w:p w14:paraId="3FA2E949" w14:textId="77777777" w:rsidR="00AD232C" w:rsidRDefault="00AD232C" w:rsidP="00AD232C">
                              <w:pPr>
                                <w:rPr>
                                  <w:rFonts w:ascii="Times New Roman" w:hAnsi="Times New Roman" w:cs="Times New Roman"/>
                                  <w:b/>
                                </w:rPr>
                              </w:pPr>
                            </w:p>
                          </w:txbxContent>
                        </wps:txbx>
                        <wps:bodyPr rot="0" vert="horz" wrap="square" lIns="91440" tIns="45720" rIns="91440" bIns="45720" anchor="ctr" anchorCtr="0" upright="1">
                          <a:noAutofit/>
                        </wps:bodyPr>
                      </wps:wsp>
                      <wps:wsp>
                        <wps:cNvPr id="25" name="Straight Arrow Connector 11"/>
                        <wps:cNvCnPr>
                          <a:cxnSpLocks noChangeShapeType="1"/>
                        </wps:cNvCnPr>
                        <wps:spPr bwMode="auto">
                          <a:xfrm>
                            <a:off x="24003" y="12874"/>
                            <a:ext cx="3219" cy="0"/>
                          </a:xfrm>
                          <a:prstGeom prst="straightConnector1">
                            <a:avLst/>
                          </a:prstGeom>
                          <a:noFill/>
                          <a:ln w="12700">
                            <a:solidFill>
                              <a:srgbClr val="000000"/>
                            </a:solidFill>
                            <a:miter lim="800000"/>
                            <a:tailEnd type="triangle" w="med" len="med"/>
                          </a:ln>
                        </wps:spPr>
                        <wps:bodyPr/>
                      </wps:wsp>
                    </wpg:wgp>
                  </a:graphicData>
                </a:graphic>
              </wp:inline>
            </w:drawing>
          </mc:Choice>
          <mc:Fallback>
            <w:pict>
              <v:group w14:anchorId="2D5EDCCC" id="Group 3" o:spid="_x0000_s1026" style="width:467.95pt;height:189pt;mso-position-horizontal-relative:char;mso-position-vertical-relative:line" coordsize="49492,210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">
                <v:rect id="Rectangle 4" o:spid="_x0000_s1027" style="position:absolute;top:5715;width:24003;height:153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" filled="f" strokeweight="1pt">
                  <v:textbox>
                    <w:txbxContent>
                      <w:p w14:paraId="74D79D88" w14:textId="77777777" w:rsidR="00AD232C" w:rsidRDefault="00AD232C" w:rsidP="00AD232C">
                        <w:pPr>
                          <w:rPr>
                            <w:rFonts w:ascii="Times New Roman" w:hAnsi="Times New Roman" w:cs="Times New Roman"/>
                            <w:color w:val="000000" w:themeColor="text1"/>
                          </w:rPr>
                        </w:pPr>
                        <w:r>
                          <w:rPr>
                            <w:rFonts w:ascii="Times New Roman" w:hAnsi="Times New Roman" w:cs="Times New Roman"/>
                            <w:b/>
                            <w:color w:val="000000" w:themeColor="text1"/>
                          </w:rPr>
                          <w:t xml:space="preserve">Stakeholder adaptability </w:t>
                        </w:r>
                      </w:p>
                      <w:p w14:paraId="0EC357A8" w14:textId="77777777" w:rsidR="00AD232C" w:rsidRDefault="00AD232C" w:rsidP="00AD232C">
                        <w:pPr>
                          <w:pStyle w:val="ListParagraph"/>
                          <w:numPr>
                            <w:ilvl w:val="0"/>
                            <w:numId w:val="6"/>
                          </w:numPr>
                          <w:spacing w:line="276" w:lineRule="auto"/>
                          <w:rPr>
                            <w:rFonts w:ascii="Times New Roman" w:hAnsi="Times New Roman" w:cs="Times New Roman"/>
                          </w:rPr>
                        </w:pPr>
                        <w:r>
                          <w:rPr>
                            <w:rFonts w:ascii="Times New Roman" w:hAnsi="Times New Roman" w:cs="Times New Roman"/>
                          </w:rPr>
                          <w:t xml:space="preserve">Clear and open communication </w:t>
                        </w:r>
                      </w:p>
                      <w:p w14:paraId="77067536" w14:textId="77777777" w:rsidR="00AD232C" w:rsidRDefault="00AD232C" w:rsidP="00AD232C">
                        <w:pPr>
                          <w:pStyle w:val="ListParagraph"/>
                          <w:numPr>
                            <w:ilvl w:val="0"/>
                            <w:numId w:val="6"/>
                          </w:numPr>
                          <w:spacing w:line="276" w:lineRule="auto"/>
                          <w:rPr>
                            <w:rFonts w:ascii="Times New Roman" w:hAnsi="Times New Roman" w:cs="Times New Roman"/>
                          </w:rPr>
                        </w:pPr>
                        <w:r>
                          <w:rPr>
                            <w:rFonts w:ascii="Times New Roman" w:hAnsi="Times New Roman" w:cs="Times New Roman"/>
                          </w:rPr>
                          <w:t>Teacher readiness</w:t>
                        </w:r>
                      </w:p>
                      <w:p w14:paraId="4DCB86C3" w14:textId="77777777" w:rsidR="00AD232C" w:rsidRDefault="00AD232C" w:rsidP="00AD232C">
                        <w:pPr>
                          <w:pStyle w:val="ListParagraph"/>
                          <w:numPr>
                            <w:ilvl w:val="0"/>
                            <w:numId w:val="6"/>
                          </w:numPr>
                          <w:spacing w:line="276" w:lineRule="auto"/>
                          <w:rPr>
                            <w:rFonts w:ascii="Times New Roman" w:hAnsi="Times New Roman" w:cs="Times New Roman"/>
                          </w:rPr>
                        </w:pPr>
                        <w:r>
                          <w:rPr>
                            <w:rFonts w:ascii="Times New Roman" w:hAnsi="Times New Roman" w:cs="Times New Roman"/>
                          </w:rPr>
                          <w:t>Parental engagement in CBE.</w:t>
                        </w:r>
                      </w:p>
                      <w:p w14:paraId="13FDC148" w14:textId="77777777" w:rsidR="00AD232C" w:rsidRDefault="00AD232C" w:rsidP="00AD232C">
                        <w:pPr>
                          <w:pStyle w:val="ListParagraph"/>
                          <w:numPr>
                            <w:ilvl w:val="0"/>
                            <w:numId w:val="6"/>
                          </w:numPr>
                          <w:spacing w:line="276" w:lineRule="auto"/>
                          <w:rPr>
                            <w:rFonts w:ascii="Times New Roman" w:hAnsi="Times New Roman" w:cs="Times New Roman"/>
                          </w:rPr>
                        </w:pPr>
                        <w:r>
                          <w:rPr>
                            <w:rFonts w:ascii="Times New Roman" w:hAnsi="Times New Roman" w:cs="Times New Roman"/>
                          </w:rPr>
                          <w:t>Pupil adaptability to CBE.</w:t>
                        </w:r>
                      </w:p>
                      <w:p w14:paraId="08ECA3DA" w14:textId="77777777" w:rsidR="00AD232C" w:rsidRDefault="00AD232C" w:rsidP="00AD232C">
                        <w:pPr>
                          <w:pStyle w:val="ListParagraph"/>
                          <w:numPr>
                            <w:ilvl w:val="0"/>
                            <w:numId w:val="6"/>
                          </w:numPr>
                          <w:spacing w:line="276" w:lineRule="auto"/>
                          <w:rPr>
                            <w:rFonts w:ascii="Times New Roman" w:hAnsi="Times New Roman" w:cs="Times New Roman"/>
                          </w:rPr>
                        </w:pPr>
                        <w:r>
                          <w:rPr>
                            <w:rFonts w:ascii="Times New Roman" w:hAnsi="Times New Roman" w:cs="Times New Roman"/>
                          </w:rPr>
                          <w:t>Local education authorities' commitment to CBE</w:t>
                        </w:r>
                      </w:p>
                      <w:p w14:paraId="79569A9D" w14:textId="77777777" w:rsidR="00AD232C" w:rsidRDefault="00AD232C" w:rsidP="00AD232C">
                        <w:pPr>
                          <w:pStyle w:val="ListParagraph"/>
                          <w:spacing w:line="276" w:lineRule="auto"/>
                          <w:ind w:left="360"/>
                          <w:jc w:val="both"/>
                          <w:rPr>
                            <w:rFonts w:ascii="Times New Roman" w:hAnsi="Times New Roman" w:cs="Times New Roman"/>
                          </w:rPr>
                        </w:pPr>
                      </w:p>
                      <w:p w14:paraId="0A7670A0" w14:textId="77777777" w:rsidR="00AD232C" w:rsidRDefault="00AD232C" w:rsidP="00AD232C"/>
                      <w:p w14:paraId="7CCB59B3" w14:textId="77777777" w:rsidR="00AD232C" w:rsidRDefault="00AD232C" w:rsidP="00AD232C"/>
                      <w:p w14:paraId="203D3558" w14:textId="77777777" w:rsidR="00AD232C" w:rsidRDefault="00AD232C" w:rsidP="00AD232C"/>
                    </w:txbxContent>
                  </v:textbox>
                </v:rect>
                <v:rect id="Rectangle 6" o:spid="_x0000_s1028" style="position:absolute;left:27221;top:5712;width:22268;height:1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" filled="f" strokeweight="1pt">
                  <v:textbox>
                    <w:txbxContent>
                      <w:p w14:paraId="31EF0C27" w14:textId="77777777" w:rsidR="00AD232C" w:rsidRDefault="00AD232C" w:rsidP="00AD232C">
                        <w:pPr>
                          <w:rPr>
                            <w:rFonts w:ascii="Times New Roman" w:hAnsi="Times New Roman" w:cs="Times New Roman"/>
                            <w:b/>
                          </w:rPr>
                        </w:pPr>
                        <w:r>
                          <w:rPr>
                            <w:rFonts w:ascii="Times New Roman" w:hAnsi="Times New Roman" w:cs="Times New Roman"/>
                            <w:b/>
                            <w:color w:val="000000" w:themeColor="text1"/>
                          </w:rPr>
                          <w:t xml:space="preserve">Adaptability to the </w:t>
                        </w:r>
                        <w:r>
                          <w:rPr>
                            <w:rFonts w:ascii="Times New Roman" w:hAnsi="Times New Roman" w:cs="Times New Roman"/>
                            <w:b/>
                          </w:rPr>
                          <w:t>CBE</w:t>
                        </w:r>
                      </w:p>
                      <w:p w14:paraId="3AB1F98D" w14:textId="77777777" w:rsidR="00AD232C" w:rsidRDefault="00AD232C" w:rsidP="00AD232C">
                        <w:pPr>
                          <w:pStyle w:val="ListParagraph"/>
                          <w:numPr>
                            <w:ilvl w:val="0"/>
                            <w:numId w:val="8"/>
                          </w:numPr>
                          <w:spacing w:line="259" w:lineRule="auto"/>
                          <w:rPr>
                            <w:rFonts w:ascii="Times New Roman" w:hAnsi="Times New Roman" w:cs="Times New Roman"/>
                          </w:rPr>
                        </w:pPr>
                        <w:r>
                          <w:rPr>
                            <w:rFonts w:ascii="Times New Roman" w:hAnsi="Times New Roman" w:cs="Times New Roman"/>
                          </w:rPr>
                          <w:t>Stakeholder satisfaction</w:t>
                        </w:r>
                      </w:p>
                      <w:p w14:paraId="58BF77B4" w14:textId="77777777" w:rsidR="00AD232C" w:rsidRDefault="00AD232C" w:rsidP="00AD232C">
                        <w:pPr>
                          <w:pStyle w:val="ListParagraph"/>
                          <w:numPr>
                            <w:ilvl w:val="0"/>
                            <w:numId w:val="8"/>
                          </w:numPr>
                          <w:spacing w:line="259" w:lineRule="auto"/>
                          <w:rPr>
                            <w:rFonts w:ascii="Times New Roman" w:hAnsi="Times New Roman" w:cs="Times New Roman"/>
                          </w:rPr>
                        </w:pPr>
                        <w:r>
                          <w:rPr>
                            <w:rFonts w:ascii="Times New Roman" w:hAnsi="Times New Roman" w:cs="Times New Roman"/>
                          </w:rPr>
                          <w:t>Academic achievement</w:t>
                        </w:r>
                      </w:p>
                      <w:p w14:paraId="44601A4B" w14:textId="77777777" w:rsidR="00AD232C" w:rsidRDefault="00AD232C" w:rsidP="00AD232C">
                        <w:pPr>
                          <w:pStyle w:val="ListParagraph"/>
                          <w:numPr>
                            <w:ilvl w:val="0"/>
                            <w:numId w:val="8"/>
                          </w:numPr>
                          <w:spacing w:line="259" w:lineRule="auto"/>
                        </w:pPr>
                        <w:r>
                          <w:rPr>
                            <w:rFonts w:ascii="Times New Roman" w:hAnsi="Times New Roman" w:cs="Times New Roman"/>
                          </w:rPr>
                          <w:t>Transition rates</w:t>
                        </w:r>
                      </w:p>
                    </w:txbxContent>
                  </v:textbox>
                </v:rect>
                <v:rect id="Rectangle 8" o:spid="_x0000_s1029" style="position:absolute;width:23636;height:46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" filled="f" stroked="f">
                  <v:textbox>
                    <w:txbxContent>
                      <w:p w14:paraId="3A807A0D" w14:textId="77777777" w:rsidR="00AD232C" w:rsidRDefault="00AD232C" w:rsidP="00AD232C">
                        <w:pPr>
                          <w:spacing w:after="0" w:line="360" w:lineRule="auto"/>
                          <w:jc w:val="center"/>
                          <w:rPr>
                            <w:rFonts w:ascii="Times New Roman" w:hAnsi="Times New Roman" w:cs="Times New Roman"/>
                            <w:b/>
                          </w:rPr>
                        </w:pPr>
                        <w:r>
                          <w:rPr>
                            <w:rFonts w:ascii="Times New Roman" w:hAnsi="Times New Roman" w:cs="Times New Roman"/>
                            <w:b/>
                          </w:rPr>
                          <w:t>Independent Variables</w:t>
                        </w:r>
                      </w:p>
                      <w:p w14:paraId="6DD72899" w14:textId="77777777" w:rsidR="00AD232C" w:rsidRDefault="00AD232C" w:rsidP="00AD232C">
                        <w:pPr>
                          <w:spacing w:after="0" w:line="360" w:lineRule="auto"/>
                          <w:jc w:val="center"/>
                        </w:pPr>
                        <w:r>
                          <w:rPr>
                            <w:rFonts w:ascii="Times New Roman" w:hAnsi="Times New Roman" w:cs="Times New Roman"/>
                            <w:b/>
                            <w:color w:val="000000" w:themeColor="text1"/>
                          </w:rPr>
                          <w:t>Change Strategies</w:t>
                        </w:r>
                      </w:p>
                      <w:p w14:paraId="723D7AA7" w14:textId="77777777" w:rsidR="00AD232C" w:rsidRDefault="00AD232C" w:rsidP="00AD232C">
                        <w:pPr>
                          <w:spacing w:after="0" w:line="240" w:lineRule="auto"/>
                          <w:jc w:val="both"/>
                          <w:rPr>
                            <w:rFonts w:ascii="Times New Roman" w:hAnsi="Times New Roman" w:cs="Times New Roman"/>
                            <w:b/>
                          </w:rPr>
                        </w:pPr>
                      </w:p>
                    </w:txbxContent>
                  </v:textbox>
                </v:rect>
                <v:rect id="Rectangle 9" o:spid="_x0000_s1030" style="position:absolute;left:31410;width:18082;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" filled="f" stroked="f">
                  <v:textbox>
                    <w:txbxContent>
                      <w:p w14:paraId="35E34FA9" w14:textId="77777777" w:rsidR="00AD232C" w:rsidRDefault="00AD232C" w:rsidP="00AD232C">
                        <w:pPr>
                          <w:spacing w:line="360" w:lineRule="auto"/>
                          <w:jc w:val="center"/>
                          <w:rPr>
                            <w:rFonts w:ascii="Times New Roman" w:hAnsi="Times New Roman" w:cs="Times New Roman"/>
                            <w:b/>
                          </w:rPr>
                        </w:pPr>
                        <w:r>
                          <w:rPr>
                            <w:rFonts w:ascii="Times New Roman" w:hAnsi="Times New Roman" w:cs="Times New Roman"/>
                            <w:b/>
                          </w:rPr>
                          <w:t>Dependent Variable</w:t>
                        </w:r>
                      </w:p>
                      <w:p w14:paraId="6C73CD93" w14:textId="77777777" w:rsidR="00AD232C" w:rsidRDefault="00AD232C" w:rsidP="00AD232C">
                        <w:pPr>
                          <w:spacing w:line="360" w:lineRule="auto"/>
                          <w:jc w:val="center"/>
                        </w:pPr>
                        <w:r>
                          <w:rPr>
                            <w:rFonts w:ascii="Times New Roman" w:hAnsi="Times New Roman" w:cs="Times New Roman"/>
                            <w:b/>
                            <w:color w:val="000000" w:themeColor="text1"/>
                          </w:rPr>
                          <w:t>Adaptability to the (CBE)</w:t>
                        </w:r>
                      </w:p>
                      <w:p w14:paraId="31A26FAC" w14:textId="77777777" w:rsidR="00AD232C" w:rsidRDefault="00AD232C" w:rsidP="00AD232C">
                        <w:pPr>
                          <w:spacing w:before="240" w:line="360" w:lineRule="auto"/>
                          <w:jc w:val="center"/>
                          <w:rPr>
                            <w:rFonts w:ascii="Times New Roman" w:hAnsi="Times New Roman" w:cs="Times New Roman"/>
                            <w:b/>
                          </w:rPr>
                        </w:pPr>
                      </w:p>
                      <w:p w14:paraId="3FA2E949" w14:textId="77777777" w:rsidR="00AD232C" w:rsidRDefault="00AD232C" w:rsidP="00AD232C">
                        <w:pPr>
                          <w:rPr>
                            <w:rFonts w:ascii="Times New Roman" w:hAnsi="Times New Roman" w:cs="Times New Roman"/>
                            <w:b/>
                          </w:rPr>
                        </w:pPr>
                      </w:p>
                    </w:txbxContent>
                  </v:textbox>
                </v:rect>
                <v:shapetype id="_x0000_t32" coordsize="21600,21600" o:spt="32" o:oned="t" path="m,l21600,21600e" filled="f">
                  <v:path arrowok="t" fillok="f" o:connecttype="none"/>
                  <o:lock v:ext="edit" shapetype="t"/>
                </v:shapetype>
                <v:shape id="Straight Arrow Connector 11" o:spid="_x0000_s1031" type="#_x0000_t32" style="position:absolute;left:24003;top:12874;width:321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" strokeweight="1pt">
                  <v:stroke endarrow="block" joinstyle="miter"/>
                </v:shape>
                <w10:anchorlock/>
              </v:group>
            </w:pict>
          </mc:Fallback>
        </mc:AlternateContent>
      </w:r>
    </w:p>
    <w:p w14:paraId="0C137982" w14:textId="480DE735" w:rsidR="008F462D" w:rsidRDefault="008F462D" w:rsidP="00820F58">
      <w:pPr>
        <w:pStyle w:val="Heading2"/>
        <w:spacing w:before="0" w:after="0" w:line="240" w:lineRule="auto"/>
        <w:jc w:val="both"/>
        <w:rPr>
          <w:rFonts w:ascii="Times New Roman" w:eastAsiaTheme="minorHAnsi" w:hAnsi="Times New Roman" w:cs="Times New Roman"/>
          <w:b/>
          <w:color w:val="auto"/>
          <w:sz w:val="24"/>
          <w:szCs w:val="24"/>
        </w:rPr>
      </w:pPr>
      <w:r w:rsidRPr="000955D4">
        <w:rPr>
          <w:rFonts w:ascii="Times New Roman" w:eastAsiaTheme="minorHAnsi" w:hAnsi="Times New Roman" w:cs="Times New Roman"/>
          <w:b/>
          <w:color w:val="auto"/>
          <w:sz w:val="24"/>
          <w:szCs w:val="24"/>
        </w:rPr>
        <w:t xml:space="preserve">Research </w:t>
      </w:r>
      <w:bookmarkEnd w:id="11"/>
      <w:r w:rsidR="000515F8" w:rsidRPr="000955D4">
        <w:rPr>
          <w:rFonts w:ascii="Times New Roman" w:eastAsiaTheme="minorHAnsi" w:hAnsi="Times New Roman" w:cs="Times New Roman"/>
          <w:b/>
          <w:color w:val="auto"/>
          <w:sz w:val="24"/>
          <w:szCs w:val="24"/>
        </w:rPr>
        <w:t>Methodology</w:t>
      </w:r>
    </w:p>
    <w:p w14:paraId="4AD5C78F" w14:textId="77777777" w:rsidR="00323877" w:rsidRPr="00323877" w:rsidRDefault="00323877" w:rsidP="00323877"/>
    <w:p w14:paraId="298BCA9E" w14:textId="20A14F89" w:rsidR="008F462D" w:rsidRDefault="008F462D" w:rsidP="00820F58">
      <w:pPr>
        <w:spacing w:after="0" w:line="240" w:lineRule="auto"/>
        <w:jc w:val="both"/>
        <w:rPr>
          <w:rFonts w:ascii="Times New Roman" w:hAnsi="Times New Roman" w:cs="Times New Roman"/>
        </w:rPr>
      </w:pPr>
      <w:r w:rsidRPr="000955D4">
        <w:rPr>
          <w:rFonts w:ascii="Times New Roman" w:hAnsi="Times New Roman" w:cs="Times New Roman"/>
        </w:rPr>
        <w:t>The research design used in the study was correlational research design, which is aimed at understanding and explaining the nature of relationship between two variables. This design was mainly aimed at establishing the existence of a relationship, as well as describing the nature of this relationship (Creswell &amp; Creswell, 2018). According to the database held at the Sub-County Education office in Balambala Sub-County, there were 26 registered public primary schools in the Sub-County. The study targeted the head teachers, teachers, Parents, Sub- County directors for education and curriculum support officers (CSOs) (Garissa County Education office, 2024</w:t>
      </w:r>
      <w:r w:rsidR="000166F5" w:rsidRPr="000955D4">
        <w:rPr>
          <w:rFonts w:ascii="Times New Roman" w:hAnsi="Times New Roman" w:cs="Times New Roman"/>
        </w:rPr>
        <w:t xml:space="preserve">). </w:t>
      </w:r>
      <w:r w:rsidRPr="000955D4">
        <w:rPr>
          <w:rFonts w:ascii="Times New Roman" w:hAnsi="Times New Roman" w:cs="Times New Roman"/>
        </w:rPr>
        <w:t>The target population is presented in table 1.</w:t>
      </w:r>
    </w:p>
    <w:p w14:paraId="1B71869E" w14:textId="77777777" w:rsidR="00323877" w:rsidRPr="000955D4" w:rsidRDefault="00323877" w:rsidP="00820F58">
      <w:pPr>
        <w:spacing w:after="0" w:line="240" w:lineRule="auto"/>
        <w:jc w:val="both"/>
        <w:rPr>
          <w:rFonts w:ascii="Times New Roman" w:hAnsi="Times New Roman" w:cs="Times New Roman"/>
        </w:rPr>
      </w:pPr>
    </w:p>
    <w:p w14:paraId="72E8D095" w14:textId="77777777" w:rsidR="008F462D" w:rsidRPr="000955D4" w:rsidRDefault="008F462D" w:rsidP="00820F58">
      <w:pPr>
        <w:pStyle w:val="TABLES0"/>
        <w:spacing w:before="0" w:after="0" w:line="240" w:lineRule="auto"/>
        <w:rPr>
          <w:color w:val="auto"/>
        </w:rPr>
      </w:pPr>
      <w:bookmarkStart w:id="13" w:name="_Toc207119692"/>
      <w:r w:rsidRPr="000955D4">
        <w:rPr>
          <w:color w:val="auto"/>
        </w:rPr>
        <w:t>Table 1: Target Population</w:t>
      </w:r>
      <w:bookmarkEnd w:id="13"/>
      <w:r w:rsidRPr="000955D4">
        <w:rPr>
          <w:color w:val="auto"/>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52"/>
        <w:gridCol w:w="3208"/>
      </w:tblGrid>
      <w:tr w:rsidR="000955D4" w:rsidRPr="000955D4" w14:paraId="67283EF3" w14:textId="77777777" w:rsidTr="0039127A">
        <w:tc>
          <w:tcPr>
            <w:tcW w:w="6228" w:type="dxa"/>
            <w:tcBorders>
              <w:top w:val="single" w:sz="4" w:space="0" w:color="auto"/>
              <w:bottom w:val="single" w:sz="4" w:space="0" w:color="auto"/>
            </w:tcBorders>
          </w:tcPr>
          <w:p w14:paraId="6896E561" w14:textId="77777777" w:rsidR="008F462D" w:rsidRPr="000955D4" w:rsidRDefault="008F462D" w:rsidP="00820F58">
            <w:pPr>
              <w:jc w:val="both"/>
              <w:rPr>
                <w:rFonts w:ascii="Times New Roman" w:hAnsi="Times New Roman" w:cs="Times New Roman"/>
                <w:b/>
                <w:sz w:val="24"/>
                <w:szCs w:val="24"/>
              </w:rPr>
            </w:pPr>
            <w:r w:rsidRPr="000955D4">
              <w:rPr>
                <w:rFonts w:ascii="Times New Roman" w:hAnsi="Times New Roman" w:cs="Times New Roman"/>
                <w:b/>
                <w:sz w:val="24"/>
                <w:szCs w:val="24"/>
              </w:rPr>
              <w:t xml:space="preserve">Category </w:t>
            </w:r>
          </w:p>
        </w:tc>
        <w:tc>
          <w:tcPr>
            <w:tcW w:w="3240" w:type="dxa"/>
            <w:tcBorders>
              <w:top w:val="single" w:sz="4" w:space="0" w:color="auto"/>
              <w:bottom w:val="single" w:sz="4" w:space="0" w:color="auto"/>
            </w:tcBorders>
          </w:tcPr>
          <w:p w14:paraId="7FEAA0D0" w14:textId="77777777" w:rsidR="008F462D" w:rsidRPr="000955D4" w:rsidRDefault="008F462D" w:rsidP="00820F58">
            <w:pPr>
              <w:jc w:val="both"/>
              <w:rPr>
                <w:rFonts w:ascii="Times New Roman" w:hAnsi="Times New Roman" w:cs="Times New Roman"/>
                <w:b/>
                <w:sz w:val="24"/>
                <w:szCs w:val="24"/>
              </w:rPr>
            </w:pPr>
            <w:r w:rsidRPr="000955D4">
              <w:rPr>
                <w:rFonts w:ascii="Times New Roman" w:hAnsi="Times New Roman" w:cs="Times New Roman"/>
                <w:b/>
                <w:sz w:val="24"/>
                <w:szCs w:val="24"/>
              </w:rPr>
              <w:t xml:space="preserve">Frequency </w:t>
            </w:r>
          </w:p>
        </w:tc>
      </w:tr>
      <w:tr w:rsidR="000955D4" w:rsidRPr="000955D4" w14:paraId="43BA43C1" w14:textId="77777777" w:rsidTr="0039127A">
        <w:tc>
          <w:tcPr>
            <w:tcW w:w="6228" w:type="dxa"/>
            <w:tcBorders>
              <w:top w:val="single" w:sz="4" w:space="0" w:color="auto"/>
            </w:tcBorders>
          </w:tcPr>
          <w:p w14:paraId="0E03E5FE"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Headteachers </w:t>
            </w:r>
          </w:p>
        </w:tc>
        <w:tc>
          <w:tcPr>
            <w:tcW w:w="3240" w:type="dxa"/>
            <w:tcBorders>
              <w:top w:val="single" w:sz="4" w:space="0" w:color="auto"/>
            </w:tcBorders>
          </w:tcPr>
          <w:p w14:paraId="469B0276"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26 </w:t>
            </w:r>
          </w:p>
        </w:tc>
      </w:tr>
      <w:tr w:rsidR="000955D4" w:rsidRPr="000955D4" w14:paraId="524953F9" w14:textId="77777777" w:rsidTr="0039127A">
        <w:tc>
          <w:tcPr>
            <w:tcW w:w="6228" w:type="dxa"/>
          </w:tcPr>
          <w:p w14:paraId="5BC6299D"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Parents</w:t>
            </w:r>
          </w:p>
        </w:tc>
        <w:tc>
          <w:tcPr>
            <w:tcW w:w="3240" w:type="dxa"/>
          </w:tcPr>
          <w:p w14:paraId="5C375874"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26</w:t>
            </w:r>
          </w:p>
        </w:tc>
      </w:tr>
      <w:tr w:rsidR="000955D4" w:rsidRPr="000955D4" w14:paraId="3E621E16" w14:textId="77777777" w:rsidTr="0039127A">
        <w:tc>
          <w:tcPr>
            <w:tcW w:w="6228" w:type="dxa"/>
          </w:tcPr>
          <w:p w14:paraId="62275EA2"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Teachers </w:t>
            </w:r>
          </w:p>
        </w:tc>
        <w:tc>
          <w:tcPr>
            <w:tcW w:w="3240" w:type="dxa"/>
          </w:tcPr>
          <w:p w14:paraId="1B664B44"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120 </w:t>
            </w:r>
          </w:p>
        </w:tc>
      </w:tr>
      <w:tr w:rsidR="000955D4" w:rsidRPr="000955D4" w14:paraId="00388DB7" w14:textId="77777777" w:rsidTr="0039127A">
        <w:tc>
          <w:tcPr>
            <w:tcW w:w="6228" w:type="dxa"/>
          </w:tcPr>
          <w:p w14:paraId="5528F62D"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Sub-County Directors (Education &amp; TSC) </w:t>
            </w:r>
          </w:p>
        </w:tc>
        <w:tc>
          <w:tcPr>
            <w:tcW w:w="3240" w:type="dxa"/>
          </w:tcPr>
          <w:p w14:paraId="1F79016E"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2</w:t>
            </w:r>
          </w:p>
        </w:tc>
      </w:tr>
      <w:tr w:rsidR="000955D4" w:rsidRPr="000955D4" w14:paraId="3D60DB9A" w14:textId="77777777" w:rsidTr="0039127A">
        <w:tc>
          <w:tcPr>
            <w:tcW w:w="6228" w:type="dxa"/>
          </w:tcPr>
          <w:p w14:paraId="14A1542A"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CSOs/Quality Assurance </w:t>
            </w:r>
          </w:p>
        </w:tc>
        <w:tc>
          <w:tcPr>
            <w:tcW w:w="3240" w:type="dxa"/>
          </w:tcPr>
          <w:p w14:paraId="0C2688F5"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4</w:t>
            </w:r>
          </w:p>
        </w:tc>
      </w:tr>
      <w:tr w:rsidR="000955D4" w:rsidRPr="000955D4" w14:paraId="5E6E4CA8" w14:textId="77777777" w:rsidTr="0039127A">
        <w:tc>
          <w:tcPr>
            <w:tcW w:w="6228" w:type="dxa"/>
          </w:tcPr>
          <w:p w14:paraId="47D5829C" w14:textId="77777777" w:rsidR="008F462D" w:rsidRPr="000955D4" w:rsidRDefault="008F462D" w:rsidP="00820F58">
            <w:pPr>
              <w:jc w:val="both"/>
              <w:rPr>
                <w:rFonts w:ascii="Times New Roman" w:hAnsi="Times New Roman" w:cs="Times New Roman"/>
                <w:b/>
                <w:sz w:val="24"/>
                <w:szCs w:val="24"/>
              </w:rPr>
            </w:pPr>
            <w:r w:rsidRPr="000955D4">
              <w:rPr>
                <w:rFonts w:ascii="Times New Roman" w:hAnsi="Times New Roman" w:cs="Times New Roman"/>
                <w:b/>
                <w:sz w:val="24"/>
                <w:szCs w:val="24"/>
              </w:rPr>
              <w:t xml:space="preserve">Total </w:t>
            </w:r>
          </w:p>
        </w:tc>
        <w:tc>
          <w:tcPr>
            <w:tcW w:w="3240" w:type="dxa"/>
          </w:tcPr>
          <w:p w14:paraId="65007AA7" w14:textId="77777777" w:rsidR="008F462D" w:rsidRPr="000955D4" w:rsidRDefault="008F462D" w:rsidP="00820F58">
            <w:pPr>
              <w:jc w:val="both"/>
              <w:rPr>
                <w:rFonts w:ascii="Times New Roman" w:hAnsi="Times New Roman" w:cs="Times New Roman"/>
                <w:b/>
                <w:sz w:val="24"/>
                <w:szCs w:val="24"/>
              </w:rPr>
            </w:pPr>
            <w:r w:rsidRPr="000955D4">
              <w:rPr>
                <w:rFonts w:ascii="Times New Roman" w:hAnsi="Times New Roman" w:cs="Times New Roman"/>
                <w:b/>
                <w:sz w:val="24"/>
                <w:szCs w:val="24"/>
              </w:rPr>
              <w:t>178</w:t>
            </w:r>
          </w:p>
        </w:tc>
      </w:tr>
    </w:tbl>
    <w:p w14:paraId="487FA9C3" w14:textId="77777777" w:rsidR="008F462D" w:rsidRPr="000955D4" w:rsidRDefault="008F462D" w:rsidP="00820F58">
      <w:pPr>
        <w:spacing w:after="0" w:line="240" w:lineRule="auto"/>
        <w:jc w:val="both"/>
        <w:rPr>
          <w:rFonts w:ascii="Times New Roman" w:hAnsi="Times New Roman" w:cs="Times New Roman"/>
        </w:rPr>
      </w:pPr>
      <w:r w:rsidRPr="000955D4">
        <w:rPr>
          <w:rFonts w:ascii="Times New Roman" w:hAnsi="Times New Roman" w:cs="Times New Roman"/>
        </w:rPr>
        <w:t>Source: Balambala Sub-County Education office (2024)</w:t>
      </w:r>
    </w:p>
    <w:p w14:paraId="0E738CDA" w14:textId="77777777" w:rsidR="008F462D" w:rsidRDefault="008F462D" w:rsidP="00820F58">
      <w:pPr>
        <w:spacing w:after="0" w:line="240" w:lineRule="auto"/>
        <w:jc w:val="both"/>
        <w:rPr>
          <w:rFonts w:ascii="Times New Roman" w:hAnsi="Times New Roman" w:cs="Times New Roman"/>
        </w:rPr>
      </w:pPr>
      <w:bookmarkStart w:id="14" w:name="_Hlk206309531"/>
      <w:r w:rsidRPr="000955D4">
        <w:rPr>
          <w:rFonts w:ascii="Times New Roman" w:hAnsi="Times New Roman" w:cs="Times New Roman"/>
        </w:rPr>
        <w:t>The sampling procedure that the study adopted is the multistage sampling where multiple sampling techniques was adopted. For the Sub-County Directors (Education &amp; TSC) and CSOs/Quality Assurance, census method was adopted where all elements will be involved. For the other elements of the population (headteachers, parents and teachers), a sample size of 30% was selected using simple random sampling to participate in the study. This was in line with Mugenda &amp; Mugenda (2013) who holds that 10% - 30% provides an optimum sample that fulfilled the requirements of efficiency, representativeness, reliability and flexibility for a study population in social sciences. Thus 8 schools were selected translating to 8 headteachers, 8 parents and 36 teachers. Table 2 presents sample size for the study.</w:t>
      </w:r>
    </w:p>
    <w:p w14:paraId="373370D4" w14:textId="77777777" w:rsidR="00323877" w:rsidRPr="000955D4" w:rsidRDefault="00323877" w:rsidP="00820F58">
      <w:pPr>
        <w:spacing w:after="0" w:line="240" w:lineRule="auto"/>
        <w:jc w:val="both"/>
        <w:rPr>
          <w:rFonts w:ascii="Times New Roman" w:hAnsi="Times New Roman" w:cs="Times New Roman"/>
        </w:rPr>
      </w:pPr>
    </w:p>
    <w:p w14:paraId="01EF2E3D" w14:textId="77777777" w:rsidR="008F462D" w:rsidRPr="000955D4" w:rsidRDefault="008F462D" w:rsidP="00820F58">
      <w:pPr>
        <w:pStyle w:val="TABLES0"/>
        <w:spacing w:before="0" w:after="0" w:line="240" w:lineRule="auto"/>
        <w:rPr>
          <w:color w:val="auto"/>
        </w:rPr>
      </w:pPr>
      <w:bookmarkStart w:id="15" w:name="_Toc207119693"/>
      <w:r w:rsidRPr="000955D4">
        <w:rPr>
          <w:color w:val="auto"/>
        </w:rPr>
        <w:t>Table 2: Sample Size</w:t>
      </w:r>
      <w:bookmarkEnd w:id="15"/>
      <w:r w:rsidRPr="000955D4">
        <w:rPr>
          <w:color w:val="auto"/>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84"/>
        <w:gridCol w:w="2409"/>
        <w:gridCol w:w="2667"/>
      </w:tblGrid>
      <w:tr w:rsidR="000955D4" w:rsidRPr="000955D4" w14:paraId="77E53A29" w14:textId="77777777" w:rsidTr="0039127A">
        <w:tc>
          <w:tcPr>
            <w:tcW w:w="4338" w:type="dxa"/>
            <w:tcBorders>
              <w:top w:val="single" w:sz="4" w:space="0" w:color="auto"/>
              <w:bottom w:val="single" w:sz="4" w:space="0" w:color="auto"/>
            </w:tcBorders>
          </w:tcPr>
          <w:p w14:paraId="4FCD7FA0" w14:textId="77777777" w:rsidR="008F462D" w:rsidRPr="000955D4" w:rsidRDefault="008F462D" w:rsidP="00820F58">
            <w:pPr>
              <w:jc w:val="both"/>
              <w:rPr>
                <w:rFonts w:ascii="Times New Roman" w:hAnsi="Times New Roman" w:cs="Times New Roman"/>
                <w:b/>
                <w:sz w:val="24"/>
                <w:szCs w:val="24"/>
              </w:rPr>
            </w:pPr>
            <w:r w:rsidRPr="000955D4">
              <w:rPr>
                <w:rFonts w:ascii="Times New Roman" w:hAnsi="Times New Roman" w:cs="Times New Roman"/>
                <w:b/>
                <w:sz w:val="24"/>
                <w:szCs w:val="24"/>
              </w:rPr>
              <w:t xml:space="preserve">Category </w:t>
            </w:r>
          </w:p>
        </w:tc>
        <w:tc>
          <w:tcPr>
            <w:tcW w:w="2430" w:type="dxa"/>
            <w:tcBorders>
              <w:top w:val="single" w:sz="4" w:space="0" w:color="auto"/>
              <w:bottom w:val="single" w:sz="4" w:space="0" w:color="auto"/>
            </w:tcBorders>
          </w:tcPr>
          <w:p w14:paraId="19A5F013" w14:textId="77777777" w:rsidR="008F462D" w:rsidRPr="000955D4" w:rsidRDefault="008F462D" w:rsidP="00820F58">
            <w:pPr>
              <w:jc w:val="both"/>
              <w:rPr>
                <w:rFonts w:ascii="Times New Roman" w:hAnsi="Times New Roman" w:cs="Times New Roman"/>
                <w:b/>
                <w:sz w:val="24"/>
                <w:szCs w:val="24"/>
              </w:rPr>
            </w:pPr>
            <w:r w:rsidRPr="000955D4">
              <w:rPr>
                <w:rFonts w:ascii="Times New Roman" w:hAnsi="Times New Roman" w:cs="Times New Roman"/>
                <w:b/>
                <w:sz w:val="24"/>
                <w:szCs w:val="24"/>
              </w:rPr>
              <w:t xml:space="preserve">Population </w:t>
            </w:r>
          </w:p>
        </w:tc>
        <w:tc>
          <w:tcPr>
            <w:tcW w:w="2700" w:type="dxa"/>
            <w:tcBorders>
              <w:top w:val="single" w:sz="4" w:space="0" w:color="auto"/>
              <w:bottom w:val="single" w:sz="4" w:space="0" w:color="auto"/>
            </w:tcBorders>
          </w:tcPr>
          <w:p w14:paraId="0DF7D64F" w14:textId="77777777" w:rsidR="008F462D" w:rsidRPr="000955D4" w:rsidRDefault="008F462D" w:rsidP="00820F58">
            <w:pPr>
              <w:jc w:val="both"/>
              <w:rPr>
                <w:rFonts w:ascii="Times New Roman" w:hAnsi="Times New Roman" w:cs="Times New Roman"/>
                <w:b/>
                <w:sz w:val="24"/>
                <w:szCs w:val="24"/>
              </w:rPr>
            </w:pPr>
            <w:r w:rsidRPr="000955D4">
              <w:rPr>
                <w:rFonts w:ascii="Times New Roman" w:hAnsi="Times New Roman" w:cs="Times New Roman"/>
                <w:b/>
                <w:sz w:val="24"/>
                <w:szCs w:val="24"/>
              </w:rPr>
              <w:t>Sample</w:t>
            </w:r>
          </w:p>
        </w:tc>
      </w:tr>
      <w:tr w:rsidR="000955D4" w:rsidRPr="000955D4" w14:paraId="2D776E7A" w14:textId="77777777" w:rsidTr="0039127A">
        <w:tc>
          <w:tcPr>
            <w:tcW w:w="4338" w:type="dxa"/>
            <w:tcBorders>
              <w:top w:val="single" w:sz="4" w:space="0" w:color="auto"/>
            </w:tcBorders>
          </w:tcPr>
          <w:p w14:paraId="2FF53034"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Headteachers </w:t>
            </w:r>
          </w:p>
        </w:tc>
        <w:tc>
          <w:tcPr>
            <w:tcW w:w="2430" w:type="dxa"/>
            <w:tcBorders>
              <w:top w:val="single" w:sz="4" w:space="0" w:color="auto"/>
            </w:tcBorders>
          </w:tcPr>
          <w:p w14:paraId="6C4717B9"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26 </w:t>
            </w:r>
          </w:p>
        </w:tc>
        <w:tc>
          <w:tcPr>
            <w:tcW w:w="2700" w:type="dxa"/>
            <w:tcBorders>
              <w:top w:val="single" w:sz="4" w:space="0" w:color="auto"/>
            </w:tcBorders>
          </w:tcPr>
          <w:p w14:paraId="7E66166E"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8</w:t>
            </w:r>
          </w:p>
        </w:tc>
      </w:tr>
      <w:tr w:rsidR="000955D4" w:rsidRPr="000955D4" w14:paraId="148F03A2" w14:textId="77777777" w:rsidTr="0039127A">
        <w:tc>
          <w:tcPr>
            <w:tcW w:w="4338" w:type="dxa"/>
          </w:tcPr>
          <w:p w14:paraId="59D6032E"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Parents</w:t>
            </w:r>
          </w:p>
        </w:tc>
        <w:tc>
          <w:tcPr>
            <w:tcW w:w="2430" w:type="dxa"/>
          </w:tcPr>
          <w:p w14:paraId="0244D2C8"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26</w:t>
            </w:r>
          </w:p>
        </w:tc>
        <w:tc>
          <w:tcPr>
            <w:tcW w:w="2700" w:type="dxa"/>
          </w:tcPr>
          <w:p w14:paraId="2556F8AE"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8</w:t>
            </w:r>
          </w:p>
        </w:tc>
      </w:tr>
      <w:tr w:rsidR="000955D4" w:rsidRPr="000955D4" w14:paraId="4AD3DB8D" w14:textId="77777777" w:rsidTr="0039127A">
        <w:tc>
          <w:tcPr>
            <w:tcW w:w="4338" w:type="dxa"/>
          </w:tcPr>
          <w:p w14:paraId="4D8B0EDB"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Teachers </w:t>
            </w:r>
          </w:p>
        </w:tc>
        <w:tc>
          <w:tcPr>
            <w:tcW w:w="2430" w:type="dxa"/>
          </w:tcPr>
          <w:p w14:paraId="6AC5B974"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120 </w:t>
            </w:r>
          </w:p>
        </w:tc>
        <w:tc>
          <w:tcPr>
            <w:tcW w:w="2700" w:type="dxa"/>
          </w:tcPr>
          <w:p w14:paraId="3E68856F"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36</w:t>
            </w:r>
          </w:p>
        </w:tc>
      </w:tr>
      <w:tr w:rsidR="000955D4" w:rsidRPr="000955D4" w14:paraId="11AC3AD6" w14:textId="77777777" w:rsidTr="0039127A">
        <w:tc>
          <w:tcPr>
            <w:tcW w:w="4338" w:type="dxa"/>
          </w:tcPr>
          <w:p w14:paraId="3C9A7D1A"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Sub-County Directors (Education &amp; TSC) </w:t>
            </w:r>
          </w:p>
        </w:tc>
        <w:tc>
          <w:tcPr>
            <w:tcW w:w="2430" w:type="dxa"/>
          </w:tcPr>
          <w:p w14:paraId="0DBE0FDC"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2</w:t>
            </w:r>
          </w:p>
        </w:tc>
        <w:tc>
          <w:tcPr>
            <w:tcW w:w="2700" w:type="dxa"/>
          </w:tcPr>
          <w:p w14:paraId="4F73345A"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2</w:t>
            </w:r>
          </w:p>
        </w:tc>
      </w:tr>
      <w:tr w:rsidR="000955D4" w:rsidRPr="000955D4" w14:paraId="61A09505" w14:textId="77777777" w:rsidTr="0039127A">
        <w:tc>
          <w:tcPr>
            <w:tcW w:w="4338" w:type="dxa"/>
          </w:tcPr>
          <w:p w14:paraId="1759EAED"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 xml:space="preserve">CSOs/Quality Assurance </w:t>
            </w:r>
          </w:p>
        </w:tc>
        <w:tc>
          <w:tcPr>
            <w:tcW w:w="2430" w:type="dxa"/>
          </w:tcPr>
          <w:p w14:paraId="6F964F00"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4</w:t>
            </w:r>
          </w:p>
        </w:tc>
        <w:tc>
          <w:tcPr>
            <w:tcW w:w="2700" w:type="dxa"/>
          </w:tcPr>
          <w:p w14:paraId="7461A916" w14:textId="77777777" w:rsidR="008F462D" w:rsidRPr="000955D4" w:rsidRDefault="008F462D" w:rsidP="00820F58">
            <w:pPr>
              <w:jc w:val="both"/>
              <w:rPr>
                <w:rFonts w:ascii="Times New Roman" w:hAnsi="Times New Roman" w:cs="Times New Roman"/>
                <w:sz w:val="24"/>
                <w:szCs w:val="24"/>
              </w:rPr>
            </w:pPr>
            <w:r w:rsidRPr="000955D4">
              <w:rPr>
                <w:rFonts w:ascii="Times New Roman" w:hAnsi="Times New Roman" w:cs="Times New Roman"/>
                <w:sz w:val="24"/>
                <w:szCs w:val="24"/>
              </w:rPr>
              <w:t>4</w:t>
            </w:r>
          </w:p>
        </w:tc>
      </w:tr>
      <w:tr w:rsidR="000955D4" w:rsidRPr="000955D4" w14:paraId="322013FB" w14:textId="77777777" w:rsidTr="0039127A">
        <w:tc>
          <w:tcPr>
            <w:tcW w:w="4338" w:type="dxa"/>
            <w:tcBorders>
              <w:bottom w:val="single" w:sz="4" w:space="0" w:color="auto"/>
            </w:tcBorders>
          </w:tcPr>
          <w:p w14:paraId="6881CD89" w14:textId="77777777" w:rsidR="008F462D" w:rsidRPr="000955D4" w:rsidRDefault="008F462D" w:rsidP="00820F58">
            <w:pPr>
              <w:jc w:val="both"/>
              <w:rPr>
                <w:rFonts w:ascii="Times New Roman" w:hAnsi="Times New Roman" w:cs="Times New Roman"/>
                <w:b/>
                <w:sz w:val="24"/>
                <w:szCs w:val="24"/>
              </w:rPr>
            </w:pPr>
            <w:r w:rsidRPr="000955D4">
              <w:rPr>
                <w:rFonts w:ascii="Times New Roman" w:hAnsi="Times New Roman" w:cs="Times New Roman"/>
                <w:b/>
                <w:sz w:val="24"/>
                <w:szCs w:val="24"/>
              </w:rPr>
              <w:t xml:space="preserve">Total </w:t>
            </w:r>
          </w:p>
        </w:tc>
        <w:tc>
          <w:tcPr>
            <w:tcW w:w="2430" w:type="dxa"/>
            <w:tcBorders>
              <w:bottom w:val="single" w:sz="4" w:space="0" w:color="auto"/>
            </w:tcBorders>
          </w:tcPr>
          <w:p w14:paraId="56B6F01D" w14:textId="77777777" w:rsidR="008F462D" w:rsidRPr="000955D4" w:rsidRDefault="008F462D" w:rsidP="00820F58">
            <w:pPr>
              <w:jc w:val="both"/>
              <w:rPr>
                <w:rFonts w:ascii="Times New Roman" w:hAnsi="Times New Roman" w:cs="Times New Roman"/>
                <w:b/>
                <w:sz w:val="24"/>
                <w:szCs w:val="24"/>
              </w:rPr>
            </w:pPr>
            <w:r w:rsidRPr="000955D4">
              <w:rPr>
                <w:rFonts w:ascii="Times New Roman" w:hAnsi="Times New Roman" w:cs="Times New Roman"/>
                <w:b/>
                <w:sz w:val="24"/>
                <w:szCs w:val="24"/>
              </w:rPr>
              <w:t>178</w:t>
            </w:r>
          </w:p>
        </w:tc>
        <w:tc>
          <w:tcPr>
            <w:tcW w:w="2700" w:type="dxa"/>
            <w:tcBorders>
              <w:bottom w:val="single" w:sz="4" w:space="0" w:color="auto"/>
            </w:tcBorders>
          </w:tcPr>
          <w:p w14:paraId="43265F3A" w14:textId="77777777" w:rsidR="008F462D" w:rsidRPr="000955D4" w:rsidRDefault="008F462D" w:rsidP="00820F58">
            <w:pPr>
              <w:jc w:val="both"/>
              <w:rPr>
                <w:rFonts w:ascii="Times New Roman" w:hAnsi="Times New Roman" w:cs="Times New Roman"/>
                <w:b/>
                <w:sz w:val="24"/>
                <w:szCs w:val="24"/>
              </w:rPr>
            </w:pPr>
            <w:r w:rsidRPr="000955D4">
              <w:rPr>
                <w:rFonts w:ascii="Times New Roman" w:hAnsi="Times New Roman" w:cs="Times New Roman"/>
                <w:b/>
                <w:sz w:val="24"/>
                <w:szCs w:val="24"/>
              </w:rPr>
              <w:t>58</w:t>
            </w:r>
          </w:p>
        </w:tc>
      </w:tr>
    </w:tbl>
    <w:p w14:paraId="13AB4AD8" w14:textId="77777777" w:rsidR="008F462D" w:rsidRPr="000955D4" w:rsidRDefault="008F462D" w:rsidP="00820F58">
      <w:pPr>
        <w:spacing w:after="0" w:line="240" w:lineRule="auto"/>
        <w:jc w:val="both"/>
        <w:rPr>
          <w:rFonts w:ascii="Times New Roman" w:hAnsi="Times New Roman" w:cs="Times New Roman"/>
        </w:rPr>
      </w:pPr>
      <w:r w:rsidRPr="000955D4">
        <w:rPr>
          <w:rFonts w:ascii="Times New Roman" w:hAnsi="Times New Roman" w:cs="Times New Roman"/>
        </w:rPr>
        <w:t>Source: Author (2024)</w:t>
      </w:r>
    </w:p>
    <w:p w14:paraId="4EFCCC22" w14:textId="39A2E002" w:rsidR="008F462D" w:rsidRDefault="008F462D" w:rsidP="00820F58">
      <w:pPr>
        <w:spacing w:after="0" w:line="240" w:lineRule="auto"/>
        <w:jc w:val="both"/>
        <w:rPr>
          <w:rFonts w:ascii="Times New Roman" w:hAnsi="Times New Roman" w:cs="Times New Roman"/>
        </w:rPr>
      </w:pPr>
      <w:bookmarkStart w:id="16" w:name="_Hlk206309622"/>
      <w:bookmarkEnd w:id="14"/>
      <w:r w:rsidRPr="000955D4">
        <w:rPr>
          <w:rFonts w:ascii="Times New Roman" w:hAnsi="Times New Roman" w:cs="Times New Roman"/>
        </w:rPr>
        <w:t xml:space="preserve">This study used questionnaires and interview guides as its instruments for collecting data. </w:t>
      </w:r>
      <w:bookmarkEnd w:id="16"/>
      <w:r w:rsidRPr="000955D4">
        <w:rPr>
          <w:rFonts w:ascii="Times New Roman" w:hAnsi="Times New Roman" w:cs="Times New Roman"/>
        </w:rPr>
        <w:t xml:space="preserve">A pilot test of the instrument was conducted with 6 respondents from neighboring Sankuri sub-county who share same characteristics as the actual target where 6 respondents represent a 10% of the target sample hence effective for piloting and testing reliability. </w:t>
      </w:r>
      <w:r w:rsidR="00885891" w:rsidRPr="000955D4">
        <w:rPr>
          <w:rFonts w:ascii="Times New Roman" w:hAnsi="Times New Roman" w:cs="Times New Roman"/>
        </w:rPr>
        <w:t>The reliability of the study instruments was established using Cronbach’s alpha (α) a statistical measure of internal consistency</w:t>
      </w:r>
      <w:r w:rsidR="00885891" w:rsidRPr="000955D4">
        <w:rPr>
          <w:rFonts w:ascii="Times New Roman" w:eastAsia="Times New Roman" w:hAnsi="Times New Roman" w:cs="Times New Roman"/>
        </w:rPr>
        <w:t xml:space="preserve">, the head teachers’ and teachers’ questionnaire yielded an α of 0.884, indicating excellent internal consistency, while the parents’ questionnaire obtained an α of 0.861, also demonstrating high reliability. </w:t>
      </w:r>
      <w:r w:rsidRPr="000955D4">
        <w:rPr>
          <w:rFonts w:ascii="Times New Roman" w:hAnsi="Times New Roman" w:cs="Times New Roman"/>
        </w:rPr>
        <w:t>The study employed a mixed-methods approach utilizing both qualitative and quantitative data analysis techniques to address the research objectives. Qualitative analysis was done using thematic analysis involved systematic examination of responses to identify common themes and patterns, followed by narrative analysis to explore how themes relate to each other and align with research objectives.</w:t>
      </w:r>
      <w:r w:rsidR="00434AA5" w:rsidRPr="000955D4">
        <w:rPr>
          <w:rFonts w:ascii="Times New Roman" w:hAnsi="Times New Roman" w:cs="Times New Roman"/>
        </w:rPr>
        <w:t xml:space="preserve"> </w:t>
      </w:r>
      <w:r w:rsidRPr="000955D4">
        <w:rPr>
          <w:rFonts w:ascii="Times New Roman" w:hAnsi="Times New Roman" w:cs="Times New Roman"/>
        </w:rPr>
        <w:t>Quantitative data analysis employed descriptive statistics including means, standard deviations, frequency distributions, and percentages, with findings presented through tables</w:t>
      </w:r>
      <w:r w:rsidR="00434AA5" w:rsidRPr="000955D4">
        <w:rPr>
          <w:rFonts w:ascii="Times New Roman" w:hAnsi="Times New Roman" w:cs="Times New Roman"/>
        </w:rPr>
        <w:t xml:space="preserve"> </w:t>
      </w:r>
      <w:r w:rsidRPr="000955D4">
        <w:rPr>
          <w:rFonts w:ascii="Times New Roman" w:hAnsi="Times New Roman" w:cs="Times New Roman"/>
        </w:rPr>
        <w:t>and fi</w:t>
      </w:r>
      <w:r w:rsidR="00805BCF" w:rsidRPr="000955D4">
        <w:rPr>
          <w:rFonts w:ascii="Times New Roman" w:hAnsi="Times New Roman" w:cs="Times New Roman"/>
        </w:rPr>
        <w:t xml:space="preserve">gures for clear interpretation. </w:t>
      </w:r>
      <w:r w:rsidRPr="000955D4">
        <w:rPr>
          <w:rFonts w:ascii="Times New Roman" w:hAnsi="Times New Roman" w:cs="Times New Roman"/>
        </w:rPr>
        <w:t>Inferential statistics, specifically Pearson correlation analysis, examined relationships between study variables and enable evidence-based predictions about the larger population, uncovering underlying patterns and trends beyond mere data description (Zhang et al., 2018).</w:t>
      </w:r>
    </w:p>
    <w:p w14:paraId="0C0B57FB" w14:textId="77777777" w:rsidR="00323877" w:rsidRPr="000955D4" w:rsidRDefault="00323877" w:rsidP="00820F58">
      <w:pPr>
        <w:spacing w:after="0" w:line="240" w:lineRule="auto"/>
        <w:jc w:val="both"/>
        <w:rPr>
          <w:rFonts w:ascii="Times New Roman" w:eastAsia="Times New Roman" w:hAnsi="Times New Roman" w:cs="Times New Roman"/>
        </w:rPr>
      </w:pPr>
    </w:p>
    <w:p w14:paraId="52E0990E" w14:textId="1E5A4FD7" w:rsidR="0050483D" w:rsidRDefault="008F6B60" w:rsidP="00820F58">
      <w:pPr>
        <w:pStyle w:val="Heading1"/>
        <w:spacing w:before="0" w:after="0" w:line="240" w:lineRule="auto"/>
        <w:rPr>
          <w:rFonts w:ascii="Times New Roman" w:hAnsi="Times New Roman" w:cs="Times New Roman"/>
          <w:b/>
          <w:bCs/>
          <w:color w:val="auto"/>
          <w:sz w:val="24"/>
          <w:szCs w:val="24"/>
        </w:rPr>
      </w:pPr>
      <w:bookmarkStart w:id="17" w:name="_Toc207009313"/>
      <w:bookmarkEnd w:id="9"/>
      <w:bookmarkEnd w:id="10"/>
      <w:r w:rsidRPr="000955D4">
        <w:rPr>
          <w:rFonts w:ascii="Times New Roman" w:hAnsi="Times New Roman" w:cs="Times New Roman"/>
          <w:b/>
          <w:bCs/>
          <w:color w:val="auto"/>
          <w:sz w:val="24"/>
          <w:szCs w:val="24"/>
        </w:rPr>
        <w:t xml:space="preserve">Findings </w:t>
      </w:r>
      <w:r w:rsidR="00AB29B1" w:rsidRPr="000955D4">
        <w:rPr>
          <w:rFonts w:ascii="Times New Roman" w:hAnsi="Times New Roman" w:cs="Times New Roman"/>
          <w:b/>
          <w:bCs/>
          <w:color w:val="auto"/>
          <w:sz w:val="24"/>
          <w:szCs w:val="24"/>
        </w:rPr>
        <w:t>and Discussion</w:t>
      </w:r>
      <w:bookmarkEnd w:id="17"/>
      <w:r w:rsidR="00AB29B1" w:rsidRPr="000955D4">
        <w:rPr>
          <w:rFonts w:ascii="Times New Roman" w:hAnsi="Times New Roman" w:cs="Times New Roman"/>
          <w:b/>
          <w:bCs/>
          <w:color w:val="auto"/>
          <w:sz w:val="24"/>
          <w:szCs w:val="24"/>
        </w:rPr>
        <w:t xml:space="preserve"> </w:t>
      </w:r>
    </w:p>
    <w:p w14:paraId="01492BCA" w14:textId="77777777" w:rsidR="00323877" w:rsidRPr="00323877" w:rsidRDefault="00323877" w:rsidP="00323877"/>
    <w:p w14:paraId="7B4FD291" w14:textId="62BD6B3C" w:rsidR="00CF4B50" w:rsidRPr="000955D4" w:rsidRDefault="00820F58" w:rsidP="00820F58">
      <w:pPr>
        <w:spacing w:after="0" w:line="240" w:lineRule="auto"/>
        <w:jc w:val="both"/>
        <w:rPr>
          <w:rFonts w:ascii="Times New Roman" w:hAnsi="Times New Roman" w:cs="Times New Roman"/>
        </w:rPr>
      </w:pPr>
      <w:r w:rsidRPr="000955D4">
        <w:rPr>
          <w:rFonts w:ascii="Times New Roman" w:hAnsi="Times New Roman" w:cs="Times New Roman"/>
          <w:b/>
        </w:rPr>
        <w:t>Teachers and Headteachers</w:t>
      </w:r>
      <w:r w:rsidRPr="000955D4">
        <w:rPr>
          <w:rFonts w:ascii="Times New Roman" w:hAnsi="Times New Roman" w:cs="Times New Roman"/>
        </w:rPr>
        <w:t xml:space="preserve">  </w:t>
      </w:r>
      <w:r w:rsidR="00CF4B50" w:rsidRPr="000955D4">
        <w:rPr>
          <w:rFonts w:ascii="Times New Roman" w:hAnsi="Times New Roman" w:cs="Times New Roman"/>
          <w:b/>
        </w:rPr>
        <w:t xml:space="preserve">Stakeholder Awareness </w:t>
      </w:r>
    </w:p>
    <w:p w14:paraId="6987BDDE" w14:textId="404E039B"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The stakeholder awareness analysis of the Competency-Based Education (CBE) system in Balambala Sub-County gives a mixed report, with some positive points and others that need immediate intervention. First, the results indicate that stakeholders are comparatively more aware of the mission of the CBE system (Mean = 2.68, SD = 1.04) and their roles and responsibilities in implementing it (Mean = 2.70, SD = 1.03). Such a score indicates that a reasonable number of teachers, head teachers and education officers know the general vision and their respective roles to the system. But the standard deviations also indicate that there is a large deviation in the responses, so there is no uniformity in awareness to all stakeholders. Such imbalances may result in a lack of coherence in the implementation as some actors may be well prepared and others are ill-informed.</w:t>
      </w:r>
    </w:p>
    <w:p w14:paraId="178BCCE3" w14:textId="77777777"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On the other hand, the results point to significant weaknesses in the practical structures meant to support stakeholder awareness. For example, regular workshops and training sessions (Mean = 2.51, SD = 1.03) and ease of access to relevant information (Mean = 2.49, SD = 1.06) both scored relatively low. This indicates that while the Ministry of Education and related agencies may have provided initial orientation on CBE, continuous professional development and access to updated learning materials remain limited. Such gaps could hinder effective rollout, as stakeholders may lack up-to-date information on policy changes, curriculum adjustments, or implementation guidelines.</w:t>
      </w:r>
    </w:p>
    <w:p w14:paraId="693FCEC5" w14:textId="77777777"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Equally concerning is the low rating of communication channels (Mean = 2.44, SD = 1.04) and stakeholder involvement in planning and implementation (Mean = 2.35, SD = 1.02). These findings suggest that information dissemination mechanisms are either not reaching all stakeholders effectively or are not timely enough to support smooth implementation. Furthermore, the limited involvement of stakeholders in decision-making and planning implies a top-down approach to policy rollout, where schools and communities are treated as passive recipients rather than active partners. This risks alienating key factors such as parents, teachers, and local leaders, whose buy-in is essential for the sustainability of CBE reforms.</w:t>
      </w:r>
    </w:p>
    <w:p w14:paraId="4FEC3F25" w14:textId="77777777"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Nonetheless, there is some positivity in the area of stakeholder feedback (Mean = 2.54, SD = 1.03), which, while not very strong, indicates that mechanisms exist for collecting views from stakeholders. However, the mixed responses suggest that these mechanisms may not be consistently applied, or stakeholders feel their feedback is not always acted upon. This could explain why trust and active engagement remain moderate rather than strong.</w:t>
      </w:r>
    </w:p>
    <w:p w14:paraId="353F57A4" w14:textId="77777777" w:rsidR="006234FC" w:rsidRPr="000955D4" w:rsidRDefault="006234FC" w:rsidP="00820F58">
      <w:pPr>
        <w:pStyle w:val="NormalWeb"/>
        <w:spacing w:before="0" w:beforeAutospacing="0" w:after="0" w:afterAutospacing="0"/>
        <w:jc w:val="both"/>
      </w:pPr>
      <w:r w:rsidRPr="000955D4">
        <w:t>The results of the present study support the central position of stakeholder involvement in improving internal efficiency and reforming education in the sphere of public secondary schools. As noted in line with Onyango (2021), the study points out that awareness of school vision and mission statements by stakeholders especially principals is positively correlated with better promotion rates and overall school performance. This implies that accountability and motivation among school communities require strategic clarity and shared institutional goals. The moderate awareness levels recorded in Balambala are similar to those recorded by Onyango in Kisumu and Uasin Gishu Counties, highlighting the importance of communication interventions to close the gap in awareness levels of teachers, students, and parents.</w:t>
      </w:r>
    </w:p>
    <w:p w14:paraId="5A120951" w14:textId="77777777" w:rsidR="006234FC" w:rsidRPr="000955D4" w:rsidRDefault="006234FC" w:rsidP="00820F58">
      <w:pPr>
        <w:pStyle w:val="NormalWeb"/>
        <w:spacing w:before="0" w:beforeAutospacing="0" w:after="0" w:afterAutospacing="0"/>
        <w:jc w:val="both"/>
      </w:pPr>
      <w:r w:rsidRPr="000955D4">
        <w:t>In addition, the study also captures the same concerns described by Isaboke, Wambiri, and Mweru (2021) regarding the Competency-Based Curriculum (CBC) in the Nairobi City County. Balambala also offers structural obstacles to teachers and they are the same in that there is a research of poor training, no resources, and low parent involvement. Such constraints constrain successful implementation of CBC and culminate into a bigger issue of institutional support inadequate systems. Such gaps ought to be dealt with by a multi-stakeholder’s framework that encompasses capacity building, mobilization of resources, as well as the sensitization of the community in ensuring that it makes sense to be present and own curriculum reforms.</w:t>
      </w:r>
    </w:p>
    <w:p w14:paraId="00FC40FF" w14:textId="77777777" w:rsidR="006234FC" w:rsidRDefault="006234FC" w:rsidP="00820F58">
      <w:pPr>
        <w:pStyle w:val="NormalWeb"/>
        <w:spacing w:before="0" w:beforeAutospacing="0" w:after="0" w:afterAutospacing="0"/>
        <w:jc w:val="both"/>
      </w:pPr>
      <w:r w:rsidRPr="000955D4">
        <w:t>The research also correlates with the observation of Macharia (2011) that the involvement of the stakeholders is fundamental in the proper implementation of the strategies. Failure to make decisions inclusive and participated in problem solving has also in Balambala frustrated the reform initiatives and resulted in being opposed by key players. The Nairobi findings by Macharia indicate that in situations where the stakeholders highly contribute in the planning and the implementation phases, the reforms stand higher chances of gaining momentum and yield long-term results. This enhances the importance of participatory modes of governance in the education context where openness and communication have been prioritized.</w:t>
      </w:r>
    </w:p>
    <w:p w14:paraId="74396235" w14:textId="77777777" w:rsidR="00323877" w:rsidRPr="000955D4" w:rsidRDefault="00323877" w:rsidP="00820F58">
      <w:pPr>
        <w:pStyle w:val="NormalWeb"/>
        <w:spacing w:before="0" w:beforeAutospacing="0" w:after="0" w:afterAutospacing="0"/>
        <w:jc w:val="both"/>
      </w:pPr>
    </w:p>
    <w:p w14:paraId="4ADFC020" w14:textId="3BC115DA" w:rsidR="006234FC" w:rsidRPr="000955D4" w:rsidRDefault="006234FC" w:rsidP="00820F58">
      <w:pPr>
        <w:pStyle w:val="TABLES0"/>
        <w:spacing w:before="0" w:after="0" w:line="240" w:lineRule="auto"/>
        <w:rPr>
          <w:color w:val="auto"/>
        </w:rPr>
      </w:pPr>
      <w:bookmarkStart w:id="18" w:name="_Toc207119698"/>
      <w:r w:rsidRPr="000955D4">
        <w:rPr>
          <w:color w:val="auto"/>
        </w:rPr>
        <w:t xml:space="preserve">Table </w:t>
      </w:r>
      <w:r w:rsidR="00F3252F" w:rsidRPr="000955D4">
        <w:rPr>
          <w:color w:val="auto"/>
        </w:rPr>
        <w:t>3</w:t>
      </w:r>
      <w:r w:rsidRPr="000955D4">
        <w:rPr>
          <w:color w:val="auto"/>
        </w:rPr>
        <w:t>: Stakeholder Awareness for headteachers and teachers</w:t>
      </w:r>
      <w:bookmarkEnd w:id="18"/>
    </w:p>
    <w:tbl>
      <w:tblPr>
        <w:tblStyle w:val="TableGrid"/>
        <w:tblW w:w="935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2"/>
        <w:gridCol w:w="923"/>
        <w:gridCol w:w="996"/>
        <w:gridCol w:w="996"/>
        <w:gridCol w:w="1208"/>
        <w:gridCol w:w="900"/>
        <w:gridCol w:w="720"/>
      </w:tblGrid>
      <w:tr w:rsidR="000955D4" w:rsidRPr="000955D4" w14:paraId="70A2C50F" w14:textId="77777777" w:rsidTr="0039127A">
        <w:tc>
          <w:tcPr>
            <w:tcW w:w="3612" w:type="dxa"/>
            <w:tcBorders>
              <w:top w:val="single" w:sz="4" w:space="0" w:color="auto"/>
              <w:bottom w:val="single" w:sz="4" w:space="0" w:color="auto"/>
            </w:tcBorders>
          </w:tcPr>
          <w:p w14:paraId="04DA5EF3" w14:textId="77777777" w:rsidR="006234FC" w:rsidRPr="000955D4" w:rsidRDefault="006234FC" w:rsidP="00820F58">
            <w:pPr>
              <w:pStyle w:val="BodyText"/>
              <w:spacing w:before="0" w:beforeAutospacing="0" w:after="0"/>
              <w:jc w:val="both"/>
              <w:rPr>
                <w:b/>
                <w:sz w:val="24"/>
                <w:szCs w:val="24"/>
              </w:rPr>
            </w:pPr>
            <w:r w:rsidRPr="000955D4">
              <w:rPr>
                <w:b/>
                <w:sz w:val="24"/>
                <w:szCs w:val="24"/>
              </w:rPr>
              <w:t>Statement</w:t>
            </w:r>
          </w:p>
        </w:tc>
        <w:tc>
          <w:tcPr>
            <w:tcW w:w="923" w:type="dxa"/>
            <w:tcBorders>
              <w:top w:val="single" w:sz="4" w:space="0" w:color="auto"/>
              <w:bottom w:val="single" w:sz="4" w:space="0" w:color="auto"/>
            </w:tcBorders>
          </w:tcPr>
          <w:p w14:paraId="48794327" w14:textId="7C63E7F5" w:rsidR="006234FC" w:rsidRPr="000955D4" w:rsidRDefault="0083625D" w:rsidP="00820F58">
            <w:pPr>
              <w:pStyle w:val="BodyText"/>
              <w:spacing w:before="0" w:beforeAutospacing="0" w:after="0"/>
              <w:jc w:val="both"/>
              <w:rPr>
                <w:b/>
                <w:sz w:val="24"/>
                <w:szCs w:val="24"/>
              </w:rPr>
            </w:pPr>
            <w:r w:rsidRPr="000955D4">
              <w:rPr>
                <w:b/>
                <w:sz w:val="24"/>
                <w:szCs w:val="24"/>
              </w:rPr>
              <w:t>SA (</w:t>
            </w:r>
            <w:r w:rsidR="006234FC" w:rsidRPr="000955D4">
              <w:rPr>
                <w:b/>
                <w:sz w:val="24"/>
                <w:szCs w:val="24"/>
              </w:rPr>
              <w:t>%)</w:t>
            </w:r>
          </w:p>
        </w:tc>
        <w:tc>
          <w:tcPr>
            <w:tcW w:w="996" w:type="dxa"/>
            <w:tcBorders>
              <w:top w:val="single" w:sz="4" w:space="0" w:color="auto"/>
              <w:bottom w:val="single" w:sz="4" w:space="0" w:color="auto"/>
            </w:tcBorders>
          </w:tcPr>
          <w:p w14:paraId="6F1215D1" w14:textId="71111F91" w:rsidR="006234FC" w:rsidRPr="000955D4" w:rsidRDefault="0083625D" w:rsidP="00820F58">
            <w:pPr>
              <w:pStyle w:val="BodyText"/>
              <w:spacing w:before="0" w:beforeAutospacing="0" w:after="0"/>
              <w:jc w:val="both"/>
              <w:rPr>
                <w:b/>
                <w:sz w:val="24"/>
                <w:szCs w:val="24"/>
              </w:rPr>
            </w:pPr>
            <w:r w:rsidRPr="000955D4">
              <w:rPr>
                <w:b/>
                <w:sz w:val="24"/>
                <w:szCs w:val="24"/>
              </w:rPr>
              <w:t>A (</w:t>
            </w:r>
            <w:r w:rsidR="006234FC" w:rsidRPr="000955D4">
              <w:rPr>
                <w:b/>
                <w:sz w:val="24"/>
                <w:szCs w:val="24"/>
              </w:rPr>
              <w:t>%)</w:t>
            </w:r>
          </w:p>
        </w:tc>
        <w:tc>
          <w:tcPr>
            <w:tcW w:w="996" w:type="dxa"/>
            <w:tcBorders>
              <w:top w:val="single" w:sz="4" w:space="0" w:color="auto"/>
              <w:bottom w:val="single" w:sz="4" w:space="0" w:color="auto"/>
            </w:tcBorders>
          </w:tcPr>
          <w:p w14:paraId="23DBED49" w14:textId="386F2F17" w:rsidR="006234FC" w:rsidRPr="000955D4" w:rsidRDefault="0083625D" w:rsidP="00820F58">
            <w:pPr>
              <w:pStyle w:val="BodyText"/>
              <w:spacing w:before="0" w:beforeAutospacing="0" w:after="0"/>
              <w:jc w:val="both"/>
              <w:rPr>
                <w:b/>
                <w:sz w:val="24"/>
                <w:szCs w:val="24"/>
              </w:rPr>
            </w:pPr>
            <w:r w:rsidRPr="000955D4">
              <w:rPr>
                <w:b/>
                <w:sz w:val="24"/>
                <w:szCs w:val="24"/>
              </w:rPr>
              <w:t>D (</w:t>
            </w:r>
            <w:r w:rsidR="006234FC" w:rsidRPr="000955D4">
              <w:rPr>
                <w:b/>
                <w:sz w:val="24"/>
                <w:szCs w:val="24"/>
              </w:rPr>
              <w:t>%)</w:t>
            </w:r>
          </w:p>
        </w:tc>
        <w:tc>
          <w:tcPr>
            <w:tcW w:w="1208" w:type="dxa"/>
            <w:tcBorders>
              <w:top w:val="single" w:sz="4" w:space="0" w:color="auto"/>
              <w:bottom w:val="single" w:sz="4" w:space="0" w:color="auto"/>
            </w:tcBorders>
          </w:tcPr>
          <w:p w14:paraId="472AD4D3" w14:textId="2FF268BF" w:rsidR="006234FC" w:rsidRPr="000955D4" w:rsidRDefault="0083625D" w:rsidP="00820F58">
            <w:pPr>
              <w:pStyle w:val="BodyText"/>
              <w:spacing w:before="0" w:beforeAutospacing="0" w:after="0"/>
              <w:jc w:val="both"/>
              <w:rPr>
                <w:b/>
                <w:sz w:val="24"/>
                <w:szCs w:val="24"/>
              </w:rPr>
            </w:pPr>
            <w:r w:rsidRPr="000955D4">
              <w:rPr>
                <w:b/>
                <w:sz w:val="24"/>
                <w:szCs w:val="24"/>
              </w:rPr>
              <w:t>SD (</w:t>
            </w:r>
            <w:r w:rsidR="006234FC" w:rsidRPr="000955D4">
              <w:rPr>
                <w:b/>
                <w:sz w:val="24"/>
                <w:szCs w:val="24"/>
              </w:rPr>
              <w:t>%)</w:t>
            </w:r>
          </w:p>
        </w:tc>
        <w:tc>
          <w:tcPr>
            <w:tcW w:w="900" w:type="dxa"/>
            <w:tcBorders>
              <w:top w:val="single" w:sz="4" w:space="0" w:color="auto"/>
              <w:bottom w:val="single" w:sz="4" w:space="0" w:color="auto"/>
            </w:tcBorders>
          </w:tcPr>
          <w:p w14:paraId="51336B2F" w14:textId="77777777" w:rsidR="006234FC" w:rsidRPr="000955D4" w:rsidRDefault="006234FC" w:rsidP="00820F58">
            <w:pPr>
              <w:pStyle w:val="BodyText"/>
              <w:spacing w:before="0" w:beforeAutospacing="0" w:after="0"/>
              <w:jc w:val="both"/>
              <w:rPr>
                <w:b/>
                <w:sz w:val="24"/>
                <w:szCs w:val="24"/>
              </w:rPr>
            </w:pPr>
            <w:r w:rsidRPr="000955D4">
              <w:rPr>
                <w:b/>
                <w:sz w:val="24"/>
                <w:szCs w:val="24"/>
              </w:rPr>
              <w:t>Mean</w:t>
            </w:r>
          </w:p>
        </w:tc>
        <w:tc>
          <w:tcPr>
            <w:tcW w:w="720" w:type="dxa"/>
            <w:tcBorders>
              <w:top w:val="single" w:sz="4" w:space="0" w:color="auto"/>
              <w:bottom w:val="single" w:sz="4" w:space="0" w:color="auto"/>
            </w:tcBorders>
          </w:tcPr>
          <w:p w14:paraId="3CA3BD52" w14:textId="77777777" w:rsidR="006234FC" w:rsidRPr="000955D4" w:rsidRDefault="006234FC" w:rsidP="00820F58">
            <w:pPr>
              <w:pStyle w:val="BodyText"/>
              <w:spacing w:before="0" w:beforeAutospacing="0" w:after="0"/>
              <w:jc w:val="both"/>
              <w:rPr>
                <w:b/>
                <w:sz w:val="24"/>
                <w:szCs w:val="24"/>
              </w:rPr>
            </w:pPr>
            <w:r w:rsidRPr="000955D4">
              <w:rPr>
                <w:b/>
                <w:sz w:val="24"/>
                <w:szCs w:val="24"/>
              </w:rPr>
              <w:t>Std Dev</w:t>
            </w:r>
          </w:p>
        </w:tc>
      </w:tr>
      <w:tr w:rsidR="000955D4" w:rsidRPr="000955D4" w14:paraId="227C6441" w14:textId="77777777" w:rsidTr="0039127A">
        <w:tc>
          <w:tcPr>
            <w:tcW w:w="3612" w:type="dxa"/>
            <w:tcBorders>
              <w:top w:val="single" w:sz="4" w:space="0" w:color="auto"/>
            </w:tcBorders>
          </w:tcPr>
          <w:p w14:paraId="2F6EBB39" w14:textId="77777777" w:rsidR="006234FC" w:rsidRPr="000955D4" w:rsidRDefault="006234FC" w:rsidP="00820F58">
            <w:pPr>
              <w:jc w:val="both"/>
              <w:rPr>
                <w:rFonts w:ascii="Times New Roman" w:hAnsi="Times New Roman" w:cs="Times New Roman"/>
                <w:sz w:val="24"/>
                <w:szCs w:val="24"/>
              </w:rPr>
            </w:pPr>
            <w:r w:rsidRPr="000955D4">
              <w:rPr>
                <w:rFonts w:ascii="Times New Roman" w:hAnsi="Times New Roman" w:cs="Times New Roman"/>
                <w:sz w:val="24"/>
                <w:szCs w:val="24"/>
              </w:rPr>
              <w:t>The stakeholders in Balambala Sub-County are well-informed about the objectives of the CBE education system.</w:t>
            </w:r>
          </w:p>
        </w:tc>
        <w:tc>
          <w:tcPr>
            <w:tcW w:w="923" w:type="dxa"/>
            <w:tcBorders>
              <w:top w:val="single" w:sz="4" w:space="0" w:color="auto"/>
            </w:tcBorders>
            <w:vAlign w:val="center"/>
          </w:tcPr>
          <w:p w14:paraId="46114D67" w14:textId="77777777" w:rsidR="006234FC" w:rsidRPr="000955D4" w:rsidRDefault="006234FC" w:rsidP="00820F58">
            <w:pPr>
              <w:pStyle w:val="BodyText"/>
              <w:spacing w:before="0" w:beforeAutospacing="0" w:after="0"/>
              <w:jc w:val="both"/>
              <w:rPr>
                <w:sz w:val="24"/>
                <w:szCs w:val="24"/>
              </w:rPr>
            </w:pPr>
            <w:r w:rsidRPr="000955D4">
              <w:rPr>
                <w:sz w:val="24"/>
                <w:szCs w:val="24"/>
              </w:rPr>
              <w:t>4 (9.3%)</w:t>
            </w:r>
          </w:p>
        </w:tc>
        <w:tc>
          <w:tcPr>
            <w:tcW w:w="996" w:type="dxa"/>
            <w:tcBorders>
              <w:top w:val="single" w:sz="4" w:space="0" w:color="auto"/>
            </w:tcBorders>
            <w:vAlign w:val="center"/>
          </w:tcPr>
          <w:p w14:paraId="20D33E23" w14:textId="77777777" w:rsidR="006234FC" w:rsidRPr="000955D4" w:rsidRDefault="006234FC" w:rsidP="00820F58">
            <w:pPr>
              <w:pStyle w:val="BodyText"/>
              <w:spacing w:before="0" w:beforeAutospacing="0" w:after="0"/>
              <w:jc w:val="both"/>
              <w:rPr>
                <w:sz w:val="24"/>
                <w:szCs w:val="24"/>
              </w:rPr>
            </w:pPr>
            <w:r w:rsidRPr="000955D4">
              <w:rPr>
                <w:sz w:val="24"/>
                <w:szCs w:val="24"/>
              </w:rPr>
              <w:t>8 (18.6%)</w:t>
            </w:r>
          </w:p>
        </w:tc>
        <w:tc>
          <w:tcPr>
            <w:tcW w:w="996" w:type="dxa"/>
            <w:tcBorders>
              <w:top w:val="single" w:sz="4" w:space="0" w:color="auto"/>
            </w:tcBorders>
            <w:vAlign w:val="center"/>
          </w:tcPr>
          <w:p w14:paraId="630396C2" w14:textId="77777777" w:rsidR="006234FC" w:rsidRPr="000955D4" w:rsidRDefault="006234FC" w:rsidP="00820F58">
            <w:pPr>
              <w:pStyle w:val="BodyText"/>
              <w:spacing w:before="0" w:beforeAutospacing="0" w:after="0"/>
              <w:jc w:val="both"/>
              <w:rPr>
                <w:sz w:val="24"/>
                <w:szCs w:val="24"/>
              </w:rPr>
            </w:pPr>
            <w:r w:rsidRPr="000955D4">
              <w:rPr>
                <w:sz w:val="24"/>
                <w:szCs w:val="24"/>
              </w:rPr>
              <w:t>18 (41.9%)</w:t>
            </w:r>
          </w:p>
        </w:tc>
        <w:tc>
          <w:tcPr>
            <w:tcW w:w="1208" w:type="dxa"/>
            <w:tcBorders>
              <w:top w:val="single" w:sz="4" w:space="0" w:color="auto"/>
            </w:tcBorders>
            <w:vAlign w:val="center"/>
          </w:tcPr>
          <w:p w14:paraId="1BBB8CB6" w14:textId="77777777" w:rsidR="006234FC" w:rsidRPr="000955D4" w:rsidRDefault="006234FC" w:rsidP="00820F58">
            <w:pPr>
              <w:pStyle w:val="BodyText"/>
              <w:spacing w:before="0" w:beforeAutospacing="0" w:after="0"/>
              <w:jc w:val="both"/>
              <w:rPr>
                <w:sz w:val="24"/>
                <w:szCs w:val="24"/>
              </w:rPr>
            </w:pPr>
            <w:r w:rsidRPr="000955D4">
              <w:rPr>
                <w:sz w:val="24"/>
                <w:szCs w:val="24"/>
              </w:rPr>
              <w:t>13 (30.2%)</w:t>
            </w:r>
          </w:p>
        </w:tc>
        <w:tc>
          <w:tcPr>
            <w:tcW w:w="900" w:type="dxa"/>
            <w:tcBorders>
              <w:top w:val="single" w:sz="4" w:space="0" w:color="auto"/>
            </w:tcBorders>
            <w:vAlign w:val="center"/>
          </w:tcPr>
          <w:p w14:paraId="0511DBBE" w14:textId="77777777" w:rsidR="006234FC" w:rsidRPr="000955D4" w:rsidRDefault="006234FC" w:rsidP="00820F58">
            <w:pPr>
              <w:pStyle w:val="BodyText"/>
              <w:spacing w:before="0" w:beforeAutospacing="0" w:after="0"/>
              <w:jc w:val="both"/>
              <w:rPr>
                <w:sz w:val="24"/>
                <w:szCs w:val="24"/>
              </w:rPr>
            </w:pPr>
            <w:r w:rsidRPr="000955D4">
              <w:rPr>
                <w:sz w:val="24"/>
                <w:szCs w:val="24"/>
              </w:rPr>
              <w:t>2.07</w:t>
            </w:r>
          </w:p>
        </w:tc>
        <w:tc>
          <w:tcPr>
            <w:tcW w:w="720" w:type="dxa"/>
            <w:tcBorders>
              <w:top w:val="single" w:sz="4" w:space="0" w:color="auto"/>
            </w:tcBorders>
            <w:vAlign w:val="center"/>
          </w:tcPr>
          <w:p w14:paraId="1927AF4A" w14:textId="77777777" w:rsidR="006234FC" w:rsidRPr="000955D4" w:rsidRDefault="006234FC" w:rsidP="00820F58">
            <w:pPr>
              <w:pStyle w:val="BodyText"/>
              <w:spacing w:before="0" w:beforeAutospacing="0" w:after="0"/>
              <w:jc w:val="both"/>
              <w:rPr>
                <w:sz w:val="24"/>
                <w:szCs w:val="24"/>
              </w:rPr>
            </w:pPr>
            <w:r w:rsidRPr="000955D4">
              <w:rPr>
                <w:sz w:val="24"/>
                <w:szCs w:val="24"/>
              </w:rPr>
              <w:t>0.96</w:t>
            </w:r>
          </w:p>
        </w:tc>
      </w:tr>
      <w:tr w:rsidR="000955D4" w:rsidRPr="000955D4" w14:paraId="6768908D" w14:textId="77777777" w:rsidTr="0039127A">
        <w:tc>
          <w:tcPr>
            <w:tcW w:w="3612" w:type="dxa"/>
          </w:tcPr>
          <w:p w14:paraId="191ED833" w14:textId="77777777" w:rsidR="006234FC" w:rsidRPr="000955D4" w:rsidRDefault="006234FC" w:rsidP="00820F58">
            <w:pPr>
              <w:jc w:val="both"/>
              <w:rPr>
                <w:rFonts w:ascii="Times New Roman" w:hAnsi="Times New Roman" w:cs="Times New Roman"/>
                <w:sz w:val="24"/>
                <w:szCs w:val="24"/>
              </w:rPr>
            </w:pPr>
            <w:r w:rsidRPr="000955D4">
              <w:rPr>
                <w:rFonts w:ascii="Times New Roman" w:hAnsi="Times New Roman" w:cs="Times New Roman"/>
                <w:sz w:val="24"/>
                <w:szCs w:val="24"/>
              </w:rPr>
              <w:t>There are regular workshops and training sessions for stakeholders on the CBE education system.</w:t>
            </w:r>
          </w:p>
        </w:tc>
        <w:tc>
          <w:tcPr>
            <w:tcW w:w="923" w:type="dxa"/>
            <w:vAlign w:val="center"/>
          </w:tcPr>
          <w:p w14:paraId="4F58D40C" w14:textId="77777777" w:rsidR="006234FC" w:rsidRPr="000955D4" w:rsidRDefault="006234FC" w:rsidP="00820F58">
            <w:pPr>
              <w:pStyle w:val="BodyText"/>
              <w:spacing w:before="0" w:beforeAutospacing="0" w:after="0"/>
              <w:jc w:val="both"/>
              <w:rPr>
                <w:sz w:val="24"/>
                <w:szCs w:val="24"/>
              </w:rPr>
            </w:pPr>
            <w:r w:rsidRPr="000955D4">
              <w:rPr>
                <w:sz w:val="24"/>
                <w:szCs w:val="24"/>
              </w:rPr>
              <w:t>3 (7.0%)</w:t>
            </w:r>
          </w:p>
        </w:tc>
        <w:tc>
          <w:tcPr>
            <w:tcW w:w="996" w:type="dxa"/>
            <w:vAlign w:val="center"/>
          </w:tcPr>
          <w:p w14:paraId="1DCBC10E" w14:textId="77777777" w:rsidR="006234FC" w:rsidRPr="000955D4" w:rsidRDefault="006234FC" w:rsidP="00820F58">
            <w:pPr>
              <w:pStyle w:val="BodyText"/>
              <w:spacing w:before="0" w:beforeAutospacing="0" w:after="0"/>
              <w:jc w:val="both"/>
              <w:rPr>
                <w:sz w:val="24"/>
                <w:szCs w:val="24"/>
              </w:rPr>
            </w:pPr>
            <w:r w:rsidRPr="000955D4">
              <w:rPr>
                <w:sz w:val="24"/>
                <w:szCs w:val="24"/>
              </w:rPr>
              <w:t>7 (16.3%)</w:t>
            </w:r>
          </w:p>
        </w:tc>
        <w:tc>
          <w:tcPr>
            <w:tcW w:w="996" w:type="dxa"/>
            <w:vAlign w:val="center"/>
          </w:tcPr>
          <w:p w14:paraId="2CB9F0C2" w14:textId="77777777" w:rsidR="006234FC" w:rsidRPr="000955D4" w:rsidRDefault="006234FC" w:rsidP="00820F58">
            <w:pPr>
              <w:pStyle w:val="BodyText"/>
              <w:spacing w:before="0" w:beforeAutospacing="0" w:after="0"/>
              <w:jc w:val="both"/>
              <w:rPr>
                <w:sz w:val="24"/>
                <w:szCs w:val="24"/>
              </w:rPr>
            </w:pPr>
            <w:r w:rsidRPr="000955D4">
              <w:rPr>
                <w:sz w:val="24"/>
                <w:szCs w:val="24"/>
              </w:rPr>
              <w:t>19 (44.2%)</w:t>
            </w:r>
          </w:p>
        </w:tc>
        <w:tc>
          <w:tcPr>
            <w:tcW w:w="1208" w:type="dxa"/>
            <w:vAlign w:val="center"/>
          </w:tcPr>
          <w:p w14:paraId="7455FE91" w14:textId="77777777" w:rsidR="006234FC" w:rsidRPr="000955D4" w:rsidRDefault="006234FC" w:rsidP="00820F58">
            <w:pPr>
              <w:pStyle w:val="BodyText"/>
              <w:spacing w:before="0" w:beforeAutospacing="0" w:after="0"/>
              <w:jc w:val="both"/>
              <w:rPr>
                <w:sz w:val="24"/>
                <w:szCs w:val="24"/>
              </w:rPr>
            </w:pPr>
            <w:r w:rsidRPr="000955D4">
              <w:rPr>
                <w:sz w:val="24"/>
                <w:szCs w:val="24"/>
              </w:rPr>
              <w:t>14 (32.6%)</w:t>
            </w:r>
          </w:p>
        </w:tc>
        <w:tc>
          <w:tcPr>
            <w:tcW w:w="900" w:type="dxa"/>
            <w:vAlign w:val="center"/>
          </w:tcPr>
          <w:p w14:paraId="2213F471" w14:textId="77777777" w:rsidR="006234FC" w:rsidRPr="000955D4" w:rsidRDefault="006234FC" w:rsidP="00820F58">
            <w:pPr>
              <w:pStyle w:val="BodyText"/>
              <w:spacing w:before="0" w:beforeAutospacing="0" w:after="0"/>
              <w:jc w:val="both"/>
              <w:rPr>
                <w:sz w:val="24"/>
                <w:szCs w:val="24"/>
              </w:rPr>
            </w:pPr>
            <w:r w:rsidRPr="000955D4">
              <w:rPr>
                <w:sz w:val="24"/>
                <w:szCs w:val="24"/>
              </w:rPr>
              <w:t>1.98</w:t>
            </w:r>
          </w:p>
        </w:tc>
        <w:tc>
          <w:tcPr>
            <w:tcW w:w="720" w:type="dxa"/>
            <w:vAlign w:val="center"/>
          </w:tcPr>
          <w:p w14:paraId="72955EF3" w14:textId="77777777" w:rsidR="006234FC" w:rsidRPr="000955D4" w:rsidRDefault="006234FC" w:rsidP="00820F58">
            <w:pPr>
              <w:pStyle w:val="BodyText"/>
              <w:spacing w:before="0" w:beforeAutospacing="0" w:after="0"/>
              <w:jc w:val="both"/>
              <w:rPr>
                <w:sz w:val="24"/>
                <w:szCs w:val="24"/>
              </w:rPr>
            </w:pPr>
            <w:r w:rsidRPr="000955D4">
              <w:rPr>
                <w:sz w:val="24"/>
                <w:szCs w:val="24"/>
              </w:rPr>
              <w:t>0.93</w:t>
            </w:r>
          </w:p>
        </w:tc>
      </w:tr>
      <w:tr w:rsidR="000955D4" w:rsidRPr="000955D4" w14:paraId="571BB978" w14:textId="77777777" w:rsidTr="0039127A">
        <w:tc>
          <w:tcPr>
            <w:tcW w:w="3612" w:type="dxa"/>
          </w:tcPr>
          <w:p w14:paraId="317E703A" w14:textId="77777777" w:rsidR="006234FC" w:rsidRPr="000955D4" w:rsidRDefault="006234FC" w:rsidP="00820F58">
            <w:pPr>
              <w:jc w:val="both"/>
              <w:rPr>
                <w:rFonts w:ascii="Times New Roman" w:hAnsi="Times New Roman" w:cs="Times New Roman"/>
                <w:sz w:val="24"/>
                <w:szCs w:val="24"/>
              </w:rPr>
            </w:pPr>
            <w:r w:rsidRPr="000955D4">
              <w:rPr>
                <w:rFonts w:ascii="Times New Roman" w:hAnsi="Times New Roman" w:cs="Times New Roman"/>
                <w:sz w:val="24"/>
                <w:szCs w:val="24"/>
              </w:rPr>
              <w:t>Stakeholders have easy access to relevant information about the CBE education system.</w:t>
            </w:r>
          </w:p>
        </w:tc>
        <w:tc>
          <w:tcPr>
            <w:tcW w:w="923" w:type="dxa"/>
            <w:vAlign w:val="center"/>
          </w:tcPr>
          <w:p w14:paraId="5AA43656" w14:textId="77777777" w:rsidR="006234FC" w:rsidRPr="000955D4" w:rsidRDefault="006234FC" w:rsidP="00820F58">
            <w:pPr>
              <w:pStyle w:val="BodyText"/>
              <w:spacing w:before="0" w:beforeAutospacing="0" w:after="0"/>
              <w:jc w:val="both"/>
              <w:rPr>
                <w:sz w:val="24"/>
                <w:szCs w:val="24"/>
              </w:rPr>
            </w:pPr>
            <w:r w:rsidRPr="000955D4">
              <w:rPr>
                <w:sz w:val="24"/>
                <w:szCs w:val="24"/>
              </w:rPr>
              <w:t>4 (9.3%)</w:t>
            </w:r>
          </w:p>
        </w:tc>
        <w:tc>
          <w:tcPr>
            <w:tcW w:w="996" w:type="dxa"/>
            <w:vAlign w:val="center"/>
          </w:tcPr>
          <w:p w14:paraId="68C57634" w14:textId="77777777" w:rsidR="006234FC" w:rsidRPr="000955D4" w:rsidRDefault="006234FC" w:rsidP="00820F58">
            <w:pPr>
              <w:pStyle w:val="BodyText"/>
              <w:spacing w:before="0" w:beforeAutospacing="0" w:after="0"/>
              <w:jc w:val="both"/>
              <w:rPr>
                <w:sz w:val="24"/>
                <w:szCs w:val="24"/>
              </w:rPr>
            </w:pPr>
            <w:r w:rsidRPr="000955D4">
              <w:rPr>
                <w:sz w:val="24"/>
                <w:szCs w:val="24"/>
              </w:rPr>
              <w:t>6 (14.0%)</w:t>
            </w:r>
          </w:p>
        </w:tc>
        <w:tc>
          <w:tcPr>
            <w:tcW w:w="996" w:type="dxa"/>
            <w:vAlign w:val="center"/>
          </w:tcPr>
          <w:p w14:paraId="7A54977B" w14:textId="77777777" w:rsidR="006234FC" w:rsidRPr="000955D4" w:rsidRDefault="006234FC" w:rsidP="00820F58">
            <w:pPr>
              <w:pStyle w:val="BodyText"/>
              <w:spacing w:before="0" w:beforeAutospacing="0" w:after="0"/>
              <w:jc w:val="both"/>
              <w:rPr>
                <w:sz w:val="24"/>
                <w:szCs w:val="24"/>
              </w:rPr>
            </w:pPr>
            <w:r w:rsidRPr="000955D4">
              <w:rPr>
                <w:sz w:val="24"/>
                <w:szCs w:val="24"/>
              </w:rPr>
              <w:t>20 (46.5%)</w:t>
            </w:r>
          </w:p>
        </w:tc>
        <w:tc>
          <w:tcPr>
            <w:tcW w:w="1208" w:type="dxa"/>
            <w:vAlign w:val="center"/>
          </w:tcPr>
          <w:p w14:paraId="1A444DC9" w14:textId="77777777" w:rsidR="006234FC" w:rsidRPr="000955D4" w:rsidRDefault="006234FC" w:rsidP="00820F58">
            <w:pPr>
              <w:pStyle w:val="BodyText"/>
              <w:spacing w:before="0" w:beforeAutospacing="0" w:after="0"/>
              <w:jc w:val="both"/>
              <w:rPr>
                <w:sz w:val="24"/>
                <w:szCs w:val="24"/>
              </w:rPr>
            </w:pPr>
            <w:r w:rsidRPr="000955D4">
              <w:rPr>
                <w:sz w:val="24"/>
                <w:szCs w:val="24"/>
              </w:rPr>
              <w:t>13 (30.2%)</w:t>
            </w:r>
          </w:p>
        </w:tc>
        <w:tc>
          <w:tcPr>
            <w:tcW w:w="900" w:type="dxa"/>
            <w:vAlign w:val="center"/>
          </w:tcPr>
          <w:p w14:paraId="4968D47D" w14:textId="77777777" w:rsidR="006234FC" w:rsidRPr="000955D4" w:rsidRDefault="006234FC" w:rsidP="00820F58">
            <w:pPr>
              <w:pStyle w:val="BodyText"/>
              <w:spacing w:before="0" w:beforeAutospacing="0" w:after="0"/>
              <w:jc w:val="both"/>
              <w:rPr>
                <w:sz w:val="24"/>
                <w:szCs w:val="24"/>
              </w:rPr>
            </w:pPr>
            <w:r w:rsidRPr="000955D4">
              <w:rPr>
                <w:sz w:val="24"/>
                <w:szCs w:val="24"/>
              </w:rPr>
              <w:t>2.02</w:t>
            </w:r>
          </w:p>
        </w:tc>
        <w:tc>
          <w:tcPr>
            <w:tcW w:w="720" w:type="dxa"/>
            <w:vAlign w:val="center"/>
          </w:tcPr>
          <w:p w14:paraId="55AC894A" w14:textId="77777777" w:rsidR="006234FC" w:rsidRPr="000955D4" w:rsidRDefault="006234FC" w:rsidP="00820F58">
            <w:pPr>
              <w:pStyle w:val="BodyText"/>
              <w:spacing w:before="0" w:beforeAutospacing="0" w:after="0"/>
              <w:jc w:val="both"/>
              <w:rPr>
                <w:sz w:val="24"/>
                <w:szCs w:val="24"/>
              </w:rPr>
            </w:pPr>
            <w:r w:rsidRPr="000955D4">
              <w:rPr>
                <w:sz w:val="24"/>
                <w:szCs w:val="24"/>
              </w:rPr>
              <w:t>0.95</w:t>
            </w:r>
          </w:p>
        </w:tc>
      </w:tr>
      <w:tr w:rsidR="000955D4" w:rsidRPr="000955D4" w14:paraId="7B869658" w14:textId="77777777" w:rsidTr="0039127A">
        <w:tc>
          <w:tcPr>
            <w:tcW w:w="3612" w:type="dxa"/>
          </w:tcPr>
          <w:p w14:paraId="5DA70569" w14:textId="77777777" w:rsidR="006234FC" w:rsidRPr="000955D4" w:rsidRDefault="006234FC" w:rsidP="00820F58">
            <w:pPr>
              <w:jc w:val="both"/>
              <w:rPr>
                <w:rFonts w:ascii="Times New Roman" w:hAnsi="Times New Roman" w:cs="Times New Roman"/>
                <w:sz w:val="24"/>
                <w:szCs w:val="24"/>
              </w:rPr>
            </w:pPr>
            <w:r w:rsidRPr="000955D4">
              <w:rPr>
                <w:rFonts w:ascii="Times New Roman" w:hAnsi="Times New Roman" w:cs="Times New Roman"/>
                <w:sz w:val="24"/>
                <w:szCs w:val="24"/>
              </w:rPr>
              <w:t>Communication channels for CBE-related information are effective and timely.</w:t>
            </w:r>
          </w:p>
        </w:tc>
        <w:tc>
          <w:tcPr>
            <w:tcW w:w="923" w:type="dxa"/>
            <w:vAlign w:val="center"/>
          </w:tcPr>
          <w:p w14:paraId="6B877EA9" w14:textId="77777777" w:rsidR="006234FC" w:rsidRPr="000955D4" w:rsidRDefault="006234FC" w:rsidP="00820F58">
            <w:pPr>
              <w:pStyle w:val="BodyText"/>
              <w:spacing w:before="0" w:beforeAutospacing="0" w:after="0"/>
              <w:jc w:val="both"/>
              <w:rPr>
                <w:sz w:val="24"/>
                <w:szCs w:val="24"/>
              </w:rPr>
            </w:pPr>
            <w:r w:rsidRPr="000955D4">
              <w:rPr>
                <w:sz w:val="24"/>
                <w:szCs w:val="24"/>
              </w:rPr>
              <w:t>2 (4.7%)</w:t>
            </w:r>
          </w:p>
        </w:tc>
        <w:tc>
          <w:tcPr>
            <w:tcW w:w="996" w:type="dxa"/>
            <w:vAlign w:val="center"/>
          </w:tcPr>
          <w:p w14:paraId="4812FA5A" w14:textId="77777777" w:rsidR="006234FC" w:rsidRPr="000955D4" w:rsidRDefault="006234FC" w:rsidP="00820F58">
            <w:pPr>
              <w:pStyle w:val="BodyText"/>
              <w:spacing w:before="0" w:beforeAutospacing="0" w:after="0"/>
              <w:jc w:val="both"/>
              <w:rPr>
                <w:sz w:val="24"/>
                <w:szCs w:val="24"/>
              </w:rPr>
            </w:pPr>
            <w:r w:rsidRPr="000955D4">
              <w:rPr>
                <w:sz w:val="24"/>
                <w:szCs w:val="24"/>
              </w:rPr>
              <w:t>6 (14.0%)</w:t>
            </w:r>
          </w:p>
        </w:tc>
        <w:tc>
          <w:tcPr>
            <w:tcW w:w="996" w:type="dxa"/>
            <w:vAlign w:val="center"/>
          </w:tcPr>
          <w:p w14:paraId="1B1B2A56" w14:textId="77777777" w:rsidR="006234FC" w:rsidRPr="000955D4" w:rsidRDefault="006234FC" w:rsidP="00820F58">
            <w:pPr>
              <w:pStyle w:val="BodyText"/>
              <w:spacing w:before="0" w:beforeAutospacing="0" w:after="0"/>
              <w:jc w:val="both"/>
              <w:rPr>
                <w:sz w:val="24"/>
                <w:szCs w:val="24"/>
              </w:rPr>
            </w:pPr>
            <w:r w:rsidRPr="000955D4">
              <w:rPr>
                <w:sz w:val="24"/>
                <w:szCs w:val="24"/>
              </w:rPr>
              <w:t>21 (48.8%)</w:t>
            </w:r>
          </w:p>
        </w:tc>
        <w:tc>
          <w:tcPr>
            <w:tcW w:w="1208" w:type="dxa"/>
            <w:vAlign w:val="center"/>
          </w:tcPr>
          <w:p w14:paraId="7C33DE56" w14:textId="77777777" w:rsidR="006234FC" w:rsidRPr="000955D4" w:rsidRDefault="006234FC" w:rsidP="00820F58">
            <w:pPr>
              <w:pStyle w:val="BodyText"/>
              <w:spacing w:before="0" w:beforeAutospacing="0" w:after="0"/>
              <w:jc w:val="both"/>
              <w:rPr>
                <w:sz w:val="24"/>
                <w:szCs w:val="24"/>
              </w:rPr>
            </w:pPr>
            <w:r w:rsidRPr="000955D4">
              <w:rPr>
                <w:sz w:val="24"/>
                <w:szCs w:val="24"/>
              </w:rPr>
              <w:t>14 (32.6%)</w:t>
            </w:r>
          </w:p>
        </w:tc>
        <w:tc>
          <w:tcPr>
            <w:tcW w:w="900" w:type="dxa"/>
            <w:vAlign w:val="center"/>
          </w:tcPr>
          <w:p w14:paraId="6CE572D0" w14:textId="77777777" w:rsidR="006234FC" w:rsidRPr="000955D4" w:rsidRDefault="006234FC" w:rsidP="00820F58">
            <w:pPr>
              <w:pStyle w:val="BodyText"/>
              <w:spacing w:before="0" w:beforeAutospacing="0" w:after="0"/>
              <w:jc w:val="both"/>
              <w:rPr>
                <w:sz w:val="24"/>
                <w:szCs w:val="24"/>
              </w:rPr>
            </w:pPr>
            <w:r w:rsidRPr="000955D4">
              <w:rPr>
                <w:sz w:val="24"/>
                <w:szCs w:val="24"/>
              </w:rPr>
              <w:t>1.91</w:t>
            </w:r>
          </w:p>
        </w:tc>
        <w:tc>
          <w:tcPr>
            <w:tcW w:w="720" w:type="dxa"/>
            <w:vAlign w:val="center"/>
          </w:tcPr>
          <w:p w14:paraId="39729338" w14:textId="77777777" w:rsidR="006234FC" w:rsidRPr="000955D4" w:rsidRDefault="006234FC" w:rsidP="00820F58">
            <w:pPr>
              <w:pStyle w:val="BodyText"/>
              <w:spacing w:before="0" w:beforeAutospacing="0" w:after="0"/>
              <w:jc w:val="both"/>
              <w:rPr>
                <w:sz w:val="24"/>
                <w:szCs w:val="24"/>
              </w:rPr>
            </w:pPr>
            <w:r w:rsidRPr="000955D4">
              <w:rPr>
                <w:sz w:val="24"/>
                <w:szCs w:val="24"/>
              </w:rPr>
              <w:t>0.86</w:t>
            </w:r>
          </w:p>
        </w:tc>
      </w:tr>
      <w:tr w:rsidR="000955D4" w:rsidRPr="000955D4" w14:paraId="47FBD5EB" w14:textId="77777777" w:rsidTr="0039127A">
        <w:tc>
          <w:tcPr>
            <w:tcW w:w="3612" w:type="dxa"/>
          </w:tcPr>
          <w:p w14:paraId="7542A75A" w14:textId="77777777" w:rsidR="006234FC" w:rsidRPr="000955D4" w:rsidRDefault="006234FC" w:rsidP="00820F58">
            <w:pPr>
              <w:jc w:val="both"/>
              <w:rPr>
                <w:rFonts w:ascii="Times New Roman" w:hAnsi="Times New Roman" w:cs="Times New Roman"/>
                <w:sz w:val="24"/>
                <w:szCs w:val="24"/>
              </w:rPr>
            </w:pPr>
            <w:r w:rsidRPr="000955D4">
              <w:rPr>
                <w:rFonts w:ascii="Times New Roman" w:hAnsi="Times New Roman" w:cs="Times New Roman"/>
                <w:sz w:val="24"/>
                <w:szCs w:val="24"/>
              </w:rPr>
              <w:t>Stakeholders are actively involved in the planning and implementation phases of the CBE education system.</w:t>
            </w:r>
          </w:p>
        </w:tc>
        <w:tc>
          <w:tcPr>
            <w:tcW w:w="923" w:type="dxa"/>
            <w:vAlign w:val="center"/>
          </w:tcPr>
          <w:p w14:paraId="191B0B6D" w14:textId="77777777" w:rsidR="006234FC" w:rsidRPr="000955D4" w:rsidRDefault="006234FC" w:rsidP="00820F58">
            <w:pPr>
              <w:pStyle w:val="BodyText"/>
              <w:spacing w:before="0" w:beforeAutospacing="0" w:after="0"/>
              <w:jc w:val="both"/>
              <w:rPr>
                <w:sz w:val="24"/>
                <w:szCs w:val="24"/>
              </w:rPr>
            </w:pPr>
            <w:r w:rsidRPr="000955D4">
              <w:rPr>
                <w:sz w:val="24"/>
                <w:szCs w:val="24"/>
              </w:rPr>
              <w:t>3 (7.0%)</w:t>
            </w:r>
          </w:p>
        </w:tc>
        <w:tc>
          <w:tcPr>
            <w:tcW w:w="996" w:type="dxa"/>
            <w:vAlign w:val="center"/>
          </w:tcPr>
          <w:p w14:paraId="3D922572" w14:textId="77777777" w:rsidR="006234FC" w:rsidRPr="000955D4" w:rsidRDefault="006234FC" w:rsidP="00820F58">
            <w:pPr>
              <w:pStyle w:val="BodyText"/>
              <w:spacing w:before="0" w:beforeAutospacing="0" w:after="0"/>
              <w:jc w:val="both"/>
              <w:rPr>
                <w:sz w:val="24"/>
                <w:szCs w:val="24"/>
              </w:rPr>
            </w:pPr>
            <w:r w:rsidRPr="000955D4">
              <w:rPr>
                <w:sz w:val="24"/>
                <w:szCs w:val="24"/>
              </w:rPr>
              <w:t>7 (16.3%)</w:t>
            </w:r>
          </w:p>
        </w:tc>
        <w:tc>
          <w:tcPr>
            <w:tcW w:w="996" w:type="dxa"/>
            <w:vAlign w:val="center"/>
          </w:tcPr>
          <w:p w14:paraId="2AB35FE1" w14:textId="77777777" w:rsidR="006234FC" w:rsidRPr="000955D4" w:rsidRDefault="006234FC" w:rsidP="00820F58">
            <w:pPr>
              <w:pStyle w:val="BodyText"/>
              <w:spacing w:before="0" w:beforeAutospacing="0" w:after="0"/>
              <w:jc w:val="both"/>
              <w:rPr>
                <w:sz w:val="24"/>
                <w:szCs w:val="24"/>
              </w:rPr>
            </w:pPr>
            <w:r w:rsidRPr="000955D4">
              <w:rPr>
                <w:sz w:val="24"/>
                <w:szCs w:val="24"/>
              </w:rPr>
              <w:t>20 (46.5%)</w:t>
            </w:r>
          </w:p>
        </w:tc>
        <w:tc>
          <w:tcPr>
            <w:tcW w:w="1208" w:type="dxa"/>
            <w:vAlign w:val="center"/>
          </w:tcPr>
          <w:p w14:paraId="3E720FEF" w14:textId="77777777" w:rsidR="006234FC" w:rsidRPr="000955D4" w:rsidRDefault="006234FC" w:rsidP="00820F58">
            <w:pPr>
              <w:pStyle w:val="BodyText"/>
              <w:spacing w:before="0" w:beforeAutospacing="0" w:after="0"/>
              <w:jc w:val="both"/>
              <w:rPr>
                <w:sz w:val="24"/>
                <w:szCs w:val="24"/>
              </w:rPr>
            </w:pPr>
            <w:r w:rsidRPr="000955D4">
              <w:rPr>
                <w:sz w:val="24"/>
                <w:szCs w:val="24"/>
              </w:rPr>
              <w:t>13 (30.2%)</w:t>
            </w:r>
          </w:p>
        </w:tc>
        <w:tc>
          <w:tcPr>
            <w:tcW w:w="900" w:type="dxa"/>
            <w:vAlign w:val="center"/>
          </w:tcPr>
          <w:p w14:paraId="38DA0B75" w14:textId="77777777" w:rsidR="006234FC" w:rsidRPr="000955D4" w:rsidRDefault="006234FC" w:rsidP="00820F58">
            <w:pPr>
              <w:pStyle w:val="BodyText"/>
              <w:spacing w:before="0" w:beforeAutospacing="0" w:after="0"/>
              <w:jc w:val="both"/>
              <w:rPr>
                <w:sz w:val="24"/>
                <w:szCs w:val="24"/>
              </w:rPr>
            </w:pPr>
            <w:r w:rsidRPr="000955D4">
              <w:rPr>
                <w:sz w:val="24"/>
                <w:szCs w:val="24"/>
              </w:rPr>
              <w:t>1.98</w:t>
            </w:r>
          </w:p>
        </w:tc>
        <w:tc>
          <w:tcPr>
            <w:tcW w:w="720" w:type="dxa"/>
            <w:vAlign w:val="center"/>
          </w:tcPr>
          <w:p w14:paraId="1FF653DC" w14:textId="77777777" w:rsidR="006234FC" w:rsidRPr="000955D4" w:rsidRDefault="006234FC" w:rsidP="00820F58">
            <w:pPr>
              <w:pStyle w:val="BodyText"/>
              <w:spacing w:before="0" w:beforeAutospacing="0" w:after="0"/>
              <w:jc w:val="both"/>
              <w:rPr>
                <w:sz w:val="24"/>
                <w:szCs w:val="24"/>
              </w:rPr>
            </w:pPr>
            <w:r w:rsidRPr="000955D4">
              <w:rPr>
                <w:sz w:val="24"/>
                <w:szCs w:val="24"/>
              </w:rPr>
              <w:t>0.90</w:t>
            </w:r>
          </w:p>
        </w:tc>
      </w:tr>
      <w:tr w:rsidR="000955D4" w:rsidRPr="000955D4" w14:paraId="08A20260" w14:textId="77777777" w:rsidTr="0039127A">
        <w:tc>
          <w:tcPr>
            <w:tcW w:w="3612" w:type="dxa"/>
          </w:tcPr>
          <w:p w14:paraId="234A7EA6" w14:textId="77777777" w:rsidR="006234FC" w:rsidRPr="000955D4" w:rsidRDefault="006234FC" w:rsidP="00820F58">
            <w:pPr>
              <w:jc w:val="both"/>
              <w:rPr>
                <w:rFonts w:ascii="Times New Roman" w:hAnsi="Times New Roman" w:cs="Times New Roman"/>
                <w:sz w:val="24"/>
                <w:szCs w:val="24"/>
              </w:rPr>
            </w:pPr>
            <w:r w:rsidRPr="000955D4">
              <w:rPr>
                <w:rFonts w:ascii="Times New Roman" w:hAnsi="Times New Roman" w:cs="Times New Roman"/>
                <w:sz w:val="24"/>
                <w:szCs w:val="24"/>
              </w:rPr>
              <w:t>Feedback from stakeholders is considered in the adaptation process of the CBE education system.</w:t>
            </w:r>
            <w:r w:rsidRPr="000955D4">
              <w:rPr>
                <w:rFonts w:ascii="Times New Roman" w:hAnsi="Times New Roman" w:cs="Times New Roman"/>
                <w:sz w:val="24"/>
                <w:szCs w:val="24"/>
              </w:rPr>
              <w:br/>
            </w:r>
          </w:p>
        </w:tc>
        <w:tc>
          <w:tcPr>
            <w:tcW w:w="923" w:type="dxa"/>
            <w:vAlign w:val="center"/>
          </w:tcPr>
          <w:p w14:paraId="7BE97DD1" w14:textId="77777777" w:rsidR="006234FC" w:rsidRPr="000955D4" w:rsidRDefault="006234FC" w:rsidP="00820F58">
            <w:pPr>
              <w:pStyle w:val="BodyText"/>
              <w:spacing w:before="0" w:beforeAutospacing="0" w:after="0"/>
              <w:jc w:val="both"/>
              <w:rPr>
                <w:sz w:val="24"/>
                <w:szCs w:val="24"/>
              </w:rPr>
            </w:pPr>
            <w:r w:rsidRPr="000955D4">
              <w:rPr>
                <w:sz w:val="24"/>
                <w:szCs w:val="24"/>
              </w:rPr>
              <w:t>2 (4.7%)</w:t>
            </w:r>
          </w:p>
        </w:tc>
        <w:tc>
          <w:tcPr>
            <w:tcW w:w="996" w:type="dxa"/>
            <w:vAlign w:val="center"/>
          </w:tcPr>
          <w:p w14:paraId="478CC11F" w14:textId="77777777" w:rsidR="006234FC" w:rsidRPr="000955D4" w:rsidRDefault="006234FC" w:rsidP="00820F58">
            <w:pPr>
              <w:pStyle w:val="BodyText"/>
              <w:spacing w:before="0" w:beforeAutospacing="0" w:after="0"/>
              <w:jc w:val="both"/>
              <w:rPr>
                <w:sz w:val="24"/>
                <w:szCs w:val="24"/>
              </w:rPr>
            </w:pPr>
            <w:r w:rsidRPr="000955D4">
              <w:rPr>
                <w:sz w:val="24"/>
                <w:szCs w:val="24"/>
              </w:rPr>
              <w:t>5 (11.6%)</w:t>
            </w:r>
          </w:p>
        </w:tc>
        <w:tc>
          <w:tcPr>
            <w:tcW w:w="996" w:type="dxa"/>
            <w:vAlign w:val="center"/>
          </w:tcPr>
          <w:p w14:paraId="7DD9A863" w14:textId="77777777" w:rsidR="006234FC" w:rsidRPr="000955D4" w:rsidRDefault="006234FC" w:rsidP="00820F58">
            <w:pPr>
              <w:pStyle w:val="BodyText"/>
              <w:spacing w:before="0" w:beforeAutospacing="0" w:after="0"/>
              <w:jc w:val="both"/>
              <w:rPr>
                <w:sz w:val="24"/>
                <w:szCs w:val="24"/>
              </w:rPr>
            </w:pPr>
            <w:r w:rsidRPr="000955D4">
              <w:rPr>
                <w:sz w:val="24"/>
                <w:szCs w:val="24"/>
              </w:rPr>
              <w:t>22 (51.2%)</w:t>
            </w:r>
          </w:p>
        </w:tc>
        <w:tc>
          <w:tcPr>
            <w:tcW w:w="1208" w:type="dxa"/>
            <w:vAlign w:val="center"/>
          </w:tcPr>
          <w:p w14:paraId="221DCDE9" w14:textId="77777777" w:rsidR="006234FC" w:rsidRPr="000955D4" w:rsidRDefault="006234FC" w:rsidP="00820F58">
            <w:pPr>
              <w:pStyle w:val="BodyText"/>
              <w:spacing w:before="0" w:beforeAutospacing="0" w:after="0"/>
              <w:jc w:val="both"/>
              <w:rPr>
                <w:sz w:val="24"/>
                <w:szCs w:val="24"/>
              </w:rPr>
            </w:pPr>
            <w:r w:rsidRPr="000955D4">
              <w:rPr>
                <w:sz w:val="24"/>
                <w:szCs w:val="24"/>
              </w:rPr>
              <w:t>14 (32.6%)</w:t>
            </w:r>
          </w:p>
        </w:tc>
        <w:tc>
          <w:tcPr>
            <w:tcW w:w="900" w:type="dxa"/>
            <w:vAlign w:val="center"/>
          </w:tcPr>
          <w:p w14:paraId="6C712581" w14:textId="77777777" w:rsidR="006234FC" w:rsidRPr="000955D4" w:rsidRDefault="006234FC" w:rsidP="00820F58">
            <w:pPr>
              <w:pStyle w:val="BodyText"/>
              <w:spacing w:before="0" w:beforeAutospacing="0" w:after="0"/>
              <w:jc w:val="both"/>
              <w:rPr>
                <w:sz w:val="24"/>
                <w:szCs w:val="24"/>
              </w:rPr>
            </w:pPr>
            <w:r w:rsidRPr="000955D4">
              <w:rPr>
                <w:sz w:val="24"/>
                <w:szCs w:val="24"/>
              </w:rPr>
              <w:t>1.88</w:t>
            </w:r>
          </w:p>
        </w:tc>
        <w:tc>
          <w:tcPr>
            <w:tcW w:w="720" w:type="dxa"/>
            <w:vAlign w:val="center"/>
          </w:tcPr>
          <w:p w14:paraId="4BB8B91A" w14:textId="77777777" w:rsidR="006234FC" w:rsidRPr="000955D4" w:rsidRDefault="006234FC" w:rsidP="00820F58">
            <w:pPr>
              <w:pStyle w:val="BodyText"/>
              <w:spacing w:before="0" w:beforeAutospacing="0" w:after="0"/>
              <w:jc w:val="both"/>
              <w:rPr>
                <w:sz w:val="24"/>
                <w:szCs w:val="24"/>
              </w:rPr>
            </w:pPr>
            <w:r w:rsidRPr="000955D4">
              <w:rPr>
                <w:sz w:val="24"/>
                <w:szCs w:val="24"/>
              </w:rPr>
              <w:t>0.85</w:t>
            </w:r>
          </w:p>
        </w:tc>
      </w:tr>
      <w:tr w:rsidR="000955D4" w:rsidRPr="000955D4" w14:paraId="2A9CC054" w14:textId="77777777" w:rsidTr="0039127A">
        <w:tc>
          <w:tcPr>
            <w:tcW w:w="3612" w:type="dxa"/>
          </w:tcPr>
          <w:p w14:paraId="4A41CDE1" w14:textId="77777777" w:rsidR="006234FC" w:rsidRPr="000955D4" w:rsidRDefault="006234FC" w:rsidP="00820F58">
            <w:pPr>
              <w:jc w:val="both"/>
              <w:rPr>
                <w:rFonts w:ascii="Times New Roman" w:hAnsi="Times New Roman" w:cs="Times New Roman"/>
                <w:sz w:val="24"/>
                <w:szCs w:val="24"/>
              </w:rPr>
            </w:pPr>
            <w:r w:rsidRPr="000955D4">
              <w:rPr>
                <w:rFonts w:ascii="Times New Roman" w:hAnsi="Times New Roman" w:cs="Times New Roman"/>
                <w:sz w:val="24"/>
                <w:szCs w:val="24"/>
              </w:rPr>
              <w:t>Stakeholders understand their roles and responsibilities in implementing the CBE education system.</w:t>
            </w:r>
          </w:p>
        </w:tc>
        <w:tc>
          <w:tcPr>
            <w:tcW w:w="923" w:type="dxa"/>
            <w:vAlign w:val="center"/>
          </w:tcPr>
          <w:p w14:paraId="598402A2" w14:textId="77777777" w:rsidR="006234FC" w:rsidRPr="000955D4" w:rsidRDefault="006234FC" w:rsidP="00820F58">
            <w:pPr>
              <w:pStyle w:val="BodyText"/>
              <w:spacing w:before="0" w:beforeAutospacing="0" w:after="0"/>
              <w:jc w:val="both"/>
              <w:rPr>
                <w:sz w:val="24"/>
                <w:szCs w:val="24"/>
              </w:rPr>
            </w:pPr>
            <w:r w:rsidRPr="000955D4">
              <w:rPr>
                <w:sz w:val="24"/>
                <w:szCs w:val="24"/>
              </w:rPr>
              <w:t>3 (7.0%)</w:t>
            </w:r>
          </w:p>
        </w:tc>
        <w:tc>
          <w:tcPr>
            <w:tcW w:w="996" w:type="dxa"/>
            <w:vAlign w:val="center"/>
          </w:tcPr>
          <w:p w14:paraId="3865EF26" w14:textId="77777777" w:rsidR="006234FC" w:rsidRPr="000955D4" w:rsidRDefault="006234FC" w:rsidP="00820F58">
            <w:pPr>
              <w:pStyle w:val="BodyText"/>
              <w:spacing w:before="0" w:beforeAutospacing="0" w:after="0"/>
              <w:jc w:val="both"/>
              <w:rPr>
                <w:sz w:val="24"/>
                <w:szCs w:val="24"/>
              </w:rPr>
            </w:pPr>
            <w:r w:rsidRPr="000955D4">
              <w:rPr>
                <w:sz w:val="24"/>
                <w:szCs w:val="24"/>
              </w:rPr>
              <w:t>6 (14.0%)</w:t>
            </w:r>
          </w:p>
        </w:tc>
        <w:tc>
          <w:tcPr>
            <w:tcW w:w="996" w:type="dxa"/>
            <w:vAlign w:val="center"/>
          </w:tcPr>
          <w:p w14:paraId="399446AB" w14:textId="77777777" w:rsidR="006234FC" w:rsidRPr="000955D4" w:rsidRDefault="006234FC" w:rsidP="00820F58">
            <w:pPr>
              <w:pStyle w:val="BodyText"/>
              <w:spacing w:before="0" w:beforeAutospacing="0" w:after="0"/>
              <w:jc w:val="both"/>
              <w:rPr>
                <w:sz w:val="24"/>
                <w:szCs w:val="24"/>
              </w:rPr>
            </w:pPr>
            <w:r w:rsidRPr="000955D4">
              <w:rPr>
                <w:sz w:val="24"/>
                <w:szCs w:val="24"/>
              </w:rPr>
              <w:t>19 (44.2%)</w:t>
            </w:r>
          </w:p>
        </w:tc>
        <w:tc>
          <w:tcPr>
            <w:tcW w:w="1208" w:type="dxa"/>
            <w:vAlign w:val="center"/>
          </w:tcPr>
          <w:p w14:paraId="0867DB00" w14:textId="77777777" w:rsidR="006234FC" w:rsidRPr="000955D4" w:rsidRDefault="006234FC" w:rsidP="00820F58">
            <w:pPr>
              <w:pStyle w:val="BodyText"/>
              <w:spacing w:before="0" w:beforeAutospacing="0" w:after="0"/>
              <w:jc w:val="both"/>
              <w:rPr>
                <w:sz w:val="24"/>
                <w:szCs w:val="24"/>
              </w:rPr>
            </w:pPr>
            <w:r w:rsidRPr="000955D4">
              <w:rPr>
                <w:sz w:val="24"/>
                <w:szCs w:val="24"/>
              </w:rPr>
              <w:t>15 (34.9%)</w:t>
            </w:r>
          </w:p>
        </w:tc>
        <w:tc>
          <w:tcPr>
            <w:tcW w:w="900" w:type="dxa"/>
            <w:vAlign w:val="center"/>
          </w:tcPr>
          <w:p w14:paraId="1349506A" w14:textId="77777777" w:rsidR="006234FC" w:rsidRPr="000955D4" w:rsidRDefault="006234FC" w:rsidP="00820F58">
            <w:pPr>
              <w:pStyle w:val="BodyText"/>
              <w:spacing w:before="0" w:beforeAutospacing="0" w:after="0"/>
              <w:jc w:val="both"/>
              <w:rPr>
                <w:sz w:val="24"/>
                <w:szCs w:val="24"/>
              </w:rPr>
            </w:pPr>
            <w:r w:rsidRPr="000955D4">
              <w:rPr>
                <w:sz w:val="24"/>
                <w:szCs w:val="24"/>
              </w:rPr>
              <w:t>1.93</w:t>
            </w:r>
          </w:p>
        </w:tc>
        <w:tc>
          <w:tcPr>
            <w:tcW w:w="720" w:type="dxa"/>
            <w:vAlign w:val="center"/>
          </w:tcPr>
          <w:p w14:paraId="7E9EBBEF" w14:textId="77777777" w:rsidR="006234FC" w:rsidRPr="000955D4" w:rsidRDefault="006234FC" w:rsidP="00820F58">
            <w:pPr>
              <w:pStyle w:val="BodyText"/>
              <w:spacing w:before="0" w:beforeAutospacing="0" w:after="0"/>
              <w:jc w:val="both"/>
              <w:rPr>
                <w:sz w:val="24"/>
                <w:szCs w:val="24"/>
              </w:rPr>
            </w:pPr>
            <w:r w:rsidRPr="000955D4">
              <w:rPr>
                <w:sz w:val="24"/>
                <w:szCs w:val="24"/>
              </w:rPr>
              <w:t>0.89</w:t>
            </w:r>
          </w:p>
        </w:tc>
      </w:tr>
    </w:tbl>
    <w:p w14:paraId="260204CE" w14:textId="171A9C4D" w:rsidR="006234FC" w:rsidRPr="000955D4" w:rsidRDefault="00477A6A" w:rsidP="00820F58">
      <w:pPr>
        <w:pStyle w:val="Heading2"/>
        <w:spacing w:before="0" w:after="0" w:line="240" w:lineRule="auto"/>
        <w:rPr>
          <w:rFonts w:ascii="Times New Roman" w:hAnsi="Times New Roman" w:cs="Times New Roman"/>
          <w:b/>
          <w:color w:val="auto"/>
          <w:sz w:val="24"/>
          <w:szCs w:val="24"/>
        </w:rPr>
      </w:pPr>
      <w:bookmarkStart w:id="19" w:name="_Toc206911162"/>
      <w:r w:rsidRPr="000955D4">
        <w:rPr>
          <w:rFonts w:ascii="Times New Roman" w:hAnsi="Times New Roman" w:cs="Times New Roman"/>
          <w:b/>
          <w:color w:val="auto"/>
          <w:sz w:val="24"/>
          <w:szCs w:val="24"/>
        </w:rPr>
        <w:t xml:space="preserve">Results on </w:t>
      </w:r>
      <w:r w:rsidR="006234FC" w:rsidRPr="000955D4">
        <w:rPr>
          <w:rFonts w:ascii="Times New Roman" w:hAnsi="Times New Roman" w:cs="Times New Roman"/>
          <w:b/>
          <w:color w:val="auto"/>
          <w:sz w:val="24"/>
          <w:szCs w:val="24"/>
        </w:rPr>
        <w:t>Stakeholders Awareness on Parents</w:t>
      </w:r>
      <w:bookmarkEnd w:id="19"/>
    </w:p>
    <w:p w14:paraId="367F1E71" w14:textId="77777777"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The findings of this study indicate that the level of parental awareness of the Competency-Based Education (CBE) system remains moderate. The mean scores for the seven items ranged between 2.38 and 2.63, positioning the construct within the mid-range of the measurement scale. This suggests that although parents and guardians have a basic understanding of CBE, their knowledge is partial and uneven across different aspects of the system.</w:t>
      </w:r>
    </w:p>
    <w:p w14:paraId="45BF9317" w14:textId="77777777"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A notable concern arises from items 2 and 5, which both recorded the lowest mean scores (2.38). These items assessed whether parents are provided with regular forums to discuss CBE implementation and whether they actively participate in CBE-related decision-making. The results show that more than 62% of the parents disagreed that such opportunities exist. This finding implies that while schools may share information about the curriculum, they fall short of establishing sustained and structured avenues for parental engagement. The limited participation underscores a persistent weakness in parental empowerment and inclusion, which may in turn undermine the sense of ownership necessary for the success of curriculum reforms.</w:t>
      </w:r>
    </w:p>
    <w:p w14:paraId="617AC27A" w14:textId="77777777"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By contrast, items 1, 3, 6, and 7 each recorded slightly higher mean scores (2.63). These items focused on parents’ awareness of CBE objectives, access to relevant information, understanding of their roles, and recognition of whether their feedback is considered in adaptation processes. About 50% of parents agreed with these statements, while the other half disagreed, highlighting inconsistencies in levels of awareness. This duality may be explained by differences in communication strategies across schools, varying parental literacy levels, or disparities in how government policy guidelines are disseminated.</w:t>
      </w:r>
    </w:p>
    <w:p w14:paraId="3D83BC74" w14:textId="77777777" w:rsidR="006234FC"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Item 4, which assessed communication between schools and parents, also recorded a mean of 2.63 but with a higher standard deviation (1.06). This suggests a wide variation in parental experiences, where some parents reported clear and effective communication while others perceived it as inadequate. Such inconsistency points to the uneven implementation of communication practices across schools, further reinforcing the moderate overall awareness observed in this construct.</w:t>
      </w:r>
    </w:p>
    <w:p w14:paraId="4946E07E" w14:textId="77777777" w:rsidR="00323877" w:rsidRPr="000955D4" w:rsidRDefault="00323877" w:rsidP="00820F58">
      <w:pPr>
        <w:spacing w:after="0" w:line="240" w:lineRule="auto"/>
        <w:jc w:val="both"/>
        <w:rPr>
          <w:rFonts w:ascii="Times New Roman" w:hAnsi="Times New Roman" w:cs="Times New Roman"/>
        </w:rPr>
      </w:pPr>
    </w:p>
    <w:p w14:paraId="4497B4F1" w14:textId="30676382" w:rsidR="006234FC" w:rsidRPr="000955D4" w:rsidRDefault="006234FC" w:rsidP="00820F58">
      <w:pPr>
        <w:pStyle w:val="TABLES0"/>
        <w:spacing w:before="0" w:after="0" w:line="240" w:lineRule="auto"/>
        <w:rPr>
          <w:color w:val="auto"/>
        </w:rPr>
      </w:pPr>
      <w:bookmarkStart w:id="20" w:name="_Toc207119699"/>
      <w:r w:rsidRPr="000955D4">
        <w:rPr>
          <w:color w:val="auto"/>
        </w:rPr>
        <w:t xml:space="preserve">Table </w:t>
      </w:r>
      <w:r w:rsidR="00F3252F" w:rsidRPr="000955D4">
        <w:rPr>
          <w:color w:val="auto"/>
        </w:rPr>
        <w:t>4</w:t>
      </w:r>
      <w:r w:rsidRPr="000955D4">
        <w:rPr>
          <w:color w:val="auto"/>
        </w:rPr>
        <w:t>: Stakeholder Awareness for Parents</w:t>
      </w:r>
      <w:bookmarkEnd w:id="20"/>
    </w:p>
    <w:tbl>
      <w:tblPr>
        <w:tblStyle w:val="TableGrid"/>
        <w:tblW w:w="9355"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43"/>
        <w:gridCol w:w="996"/>
        <w:gridCol w:w="996"/>
        <w:gridCol w:w="996"/>
        <w:gridCol w:w="996"/>
        <w:gridCol w:w="803"/>
        <w:gridCol w:w="925"/>
      </w:tblGrid>
      <w:tr w:rsidR="000955D4" w:rsidRPr="000955D4" w14:paraId="28D89BAA" w14:textId="77777777" w:rsidTr="0039127A">
        <w:tc>
          <w:tcPr>
            <w:tcW w:w="3643" w:type="dxa"/>
            <w:tcBorders>
              <w:bottom w:val="single" w:sz="4" w:space="0" w:color="auto"/>
            </w:tcBorders>
          </w:tcPr>
          <w:p w14:paraId="0B0557CD" w14:textId="77777777" w:rsidR="006234FC" w:rsidRPr="000955D4" w:rsidRDefault="006234FC" w:rsidP="00820F58">
            <w:pPr>
              <w:pStyle w:val="BodyText"/>
              <w:spacing w:before="0" w:beforeAutospacing="0" w:after="0"/>
              <w:jc w:val="both"/>
              <w:rPr>
                <w:b/>
                <w:sz w:val="24"/>
                <w:szCs w:val="24"/>
              </w:rPr>
            </w:pPr>
            <w:r w:rsidRPr="000955D4">
              <w:rPr>
                <w:b/>
                <w:sz w:val="24"/>
                <w:szCs w:val="24"/>
              </w:rPr>
              <w:t>Statement</w:t>
            </w:r>
          </w:p>
        </w:tc>
        <w:tc>
          <w:tcPr>
            <w:tcW w:w="996" w:type="dxa"/>
            <w:tcBorders>
              <w:bottom w:val="single" w:sz="4" w:space="0" w:color="auto"/>
            </w:tcBorders>
          </w:tcPr>
          <w:p w14:paraId="6705FA35" w14:textId="11783354" w:rsidR="006234FC" w:rsidRPr="000955D4" w:rsidRDefault="000616CA" w:rsidP="00820F58">
            <w:pPr>
              <w:pStyle w:val="BodyText"/>
              <w:spacing w:before="0" w:beforeAutospacing="0" w:after="0"/>
              <w:jc w:val="both"/>
              <w:rPr>
                <w:b/>
                <w:sz w:val="24"/>
                <w:szCs w:val="24"/>
              </w:rPr>
            </w:pPr>
            <w:r w:rsidRPr="000955D4">
              <w:rPr>
                <w:b/>
                <w:sz w:val="24"/>
                <w:szCs w:val="24"/>
              </w:rPr>
              <w:t>SA (</w:t>
            </w:r>
            <w:r w:rsidR="006234FC" w:rsidRPr="000955D4">
              <w:rPr>
                <w:b/>
                <w:sz w:val="24"/>
                <w:szCs w:val="24"/>
              </w:rPr>
              <w:t>%)</w:t>
            </w:r>
          </w:p>
        </w:tc>
        <w:tc>
          <w:tcPr>
            <w:tcW w:w="996" w:type="dxa"/>
            <w:tcBorders>
              <w:bottom w:val="single" w:sz="4" w:space="0" w:color="auto"/>
            </w:tcBorders>
          </w:tcPr>
          <w:p w14:paraId="6B5CBFEF" w14:textId="16F46C8E" w:rsidR="006234FC" w:rsidRPr="000955D4" w:rsidRDefault="000616CA" w:rsidP="00820F58">
            <w:pPr>
              <w:pStyle w:val="BodyText"/>
              <w:spacing w:before="0" w:beforeAutospacing="0" w:after="0"/>
              <w:jc w:val="both"/>
              <w:rPr>
                <w:b/>
                <w:sz w:val="24"/>
                <w:szCs w:val="24"/>
              </w:rPr>
            </w:pPr>
            <w:r w:rsidRPr="000955D4">
              <w:rPr>
                <w:b/>
                <w:sz w:val="24"/>
                <w:szCs w:val="24"/>
              </w:rPr>
              <w:t>A (</w:t>
            </w:r>
            <w:r w:rsidR="006234FC" w:rsidRPr="000955D4">
              <w:rPr>
                <w:b/>
                <w:sz w:val="24"/>
                <w:szCs w:val="24"/>
              </w:rPr>
              <w:t>%)</w:t>
            </w:r>
          </w:p>
        </w:tc>
        <w:tc>
          <w:tcPr>
            <w:tcW w:w="996" w:type="dxa"/>
            <w:tcBorders>
              <w:bottom w:val="single" w:sz="4" w:space="0" w:color="auto"/>
            </w:tcBorders>
          </w:tcPr>
          <w:p w14:paraId="603C1741" w14:textId="268C6E90" w:rsidR="006234FC" w:rsidRPr="000955D4" w:rsidRDefault="000616CA" w:rsidP="00820F58">
            <w:pPr>
              <w:pStyle w:val="BodyText"/>
              <w:spacing w:before="0" w:beforeAutospacing="0" w:after="0"/>
              <w:jc w:val="both"/>
              <w:rPr>
                <w:b/>
                <w:sz w:val="24"/>
                <w:szCs w:val="24"/>
              </w:rPr>
            </w:pPr>
            <w:r w:rsidRPr="000955D4">
              <w:rPr>
                <w:b/>
                <w:sz w:val="24"/>
                <w:szCs w:val="24"/>
              </w:rPr>
              <w:t>D (</w:t>
            </w:r>
            <w:r w:rsidR="006234FC" w:rsidRPr="000955D4">
              <w:rPr>
                <w:b/>
                <w:sz w:val="24"/>
                <w:szCs w:val="24"/>
              </w:rPr>
              <w:t>%)</w:t>
            </w:r>
          </w:p>
        </w:tc>
        <w:tc>
          <w:tcPr>
            <w:tcW w:w="996" w:type="dxa"/>
            <w:tcBorders>
              <w:bottom w:val="single" w:sz="4" w:space="0" w:color="auto"/>
            </w:tcBorders>
          </w:tcPr>
          <w:p w14:paraId="7C54F3F3" w14:textId="40510C22" w:rsidR="006234FC" w:rsidRPr="000955D4" w:rsidRDefault="000616CA" w:rsidP="00820F58">
            <w:pPr>
              <w:pStyle w:val="BodyText"/>
              <w:spacing w:before="0" w:beforeAutospacing="0" w:after="0"/>
              <w:jc w:val="both"/>
              <w:rPr>
                <w:b/>
                <w:sz w:val="24"/>
                <w:szCs w:val="24"/>
              </w:rPr>
            </w:pPr>
            <w:r w:rsidRPr="000955D4">
              <w:rPr>
                <w:b/>
                <w:sz w:val="24"/>
                <w:szCs w:val="24"/>
              </w:rPr>
              <w:t>SD (</w:t>
            </w:r>
            <w:r w:rsidR="006234FC" w:rsidRPr="000955D4">
              <w:rPr>
                <w:b/>
                <w:sz w:val="24"/>
                <w:szCs w:val="24"/>
              </w:rPr>
              <w:t>%)</w:t>
            </w:r>
          </w:p>
        </w:tc>
        <w:tc>
          <w:tcPr>
            <w:tcW w:w="803" w:type="dxa"/>
            <w:tcBorders>
              <w:bottom w:val="single" w:sz="4" w:space="0" w:color="auto"/>
            </w:tcBorders>
          </w:tcPr>
          <w:p w14:paraId="621F9B39" w14:textId="77777777" w:rsidR="006234FC" w:rsidRPr="000955D4" w:rsidRDefault="006234FC" w:rsidP="00820F58">
            <w:pPr>
              <w:pStyle w:val="BodyText"/>
              <w:spacing w:before="0" w:beforeAutospacing="0" w:after="0"/>
              <w:jc w:val="both"/>
              <w:rPr>
                <w:b/>
                <w:sz w:val="24"/>
                <w:szCs w:val="24"/>
              </w:rPr>
            </w:pPr>
            <w:r w:rsidRPr="000955D4">
              <w:rPr>
                <w:b/>
                <w:sz w:val="24"/>
                <w:szCs w:val="24"/>
              </w:rPr>
              <w:t>Mean</w:t>
            </w:r>
          </w:p>
        </w:tc>
        <w:tc>
          <w:tcPr>
            <w:tcW w:w="925" w:type="dxa"/>
            <w:tcBorders>
              <w:bottom w:val="single" w:sz="4" w:space="0" w:color="auto"/>
            </w:tcBorders>
          </w:tcPr>
          <w:p w14:paraId="7192D3EA" w14:textId="77777777" w:rsidR="006234FC" w:rsidRPr="000955D4" w:rsidRDefault="006234FC" w:rsidP="00820F58">
            <w:pPr>
              <w:pStyle w:val="BodyText"/>
              <w:spacing w:before="0" w:beforeAutospacing="0" w:after="0"/>
              <w:jc w:val="both"/>
              <w:rPr>
                <w:b/>
                <w:sz w:val="24"/>
                <w:szCs w:val="24"/>
              </w:rPr>
            </w:pPr>
            <w:r w:rsidRPr="000955D4">
              <w:rPr>
                <w:b/>
                <w:sz w:val="24"/>
                <w:szCs w:val="24"/>
              </w:rPr>
              <w:t>Std Dev</w:t>
            </w:r>
          </w:p>
        </w:tc>
      </w:tr>
      <w:tr w:rsidR="000955D4" w:rsidRPr="000955D4" w14:paraId="62678742" w14:textId="77777777" w:rsidTr="0039127A">
        <w:tc>
          <w:tcPr>
            <w:tcW w:w="3643" w:type="dxa"/>
            <w:tcBorders>
              <w:top w:val="single" w:sz="4" w:space="0" w:color="auto"/>
            </w:tcBorders>
            <w:vAlign w:val="center"/>
          </w:tcPr>
          <w:p w14:paraId="18D892B7" w14:textId="77777777" w:rsidR="006234FC" w:rsidRPr="000955D4" w:rsidRDefault="006234FC" w:rsidP="00820F58">
            <w:pPr>
              <w:rPr>
                <w:rFonts w:ascii="Times New Roman" w:hAnsi="Times New Roman" w:cs="Times New Roman"/>
                <w:sz w:val="24"/>
                <w:szCs w:val="24"/>
              </w:rPr>
            </w:pPr>
            <w:r w:rsidRPr="000955D4">
              <w:rPr>
                <w:rFonts w:ascii="Times New Roman" w:eastAsia="Times New Roman" w:hAnsi="Times New Roman" w:cs="Times New Roman"/>
                <w:sz w:val="24"/>
                <w:szCs w:val="24"/>
              </w:rPr>
              <w:t>Parents are well-informed about the objectives of the CBE education system.</w:t>
            </w:r>
          </w:p>
        </w:tc>
        <w:tc>
          <w:tcPr>
            <w:tcW w:w="996" w:type="dxa"/>
            <w:tcBorders>
              <w:top w:val="single" w:sz="4" w:space="0" w:color="auto"/>
            </w:tcBorders>
            <w:vAlign w:val="center"/>
          </w:tcPr>
          <w:p w14:paraId="478134AC"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996" w:type="dxa"/>
            <w:tcBorders>
              <w:top w:val="single" w:sz="4" w:space="0" w:color="auto"/>
            </w:tcBorders>
            <w:vAlign w:val="center"/>
          </w:tcPr>
          <w:p w14:paraId="42CE7B2F" w14:textId="77777777" w:rsidR="006234FC" w:rsidRPr="000955D4" w:rsidRDefault="006234FC" w:rsidP="00820F58">
            <w:pPr>
              <w:pStyle w:val="BodyText"/>
              <w:spacing w:before="0" w:beforeAutospacing="0" w:after="0"/>
              <w:jc w:val="both"/>
              <w:rPr>
                <w:sz w:val="24"/>
                <w:szCs w:val="24"/>
              </w:rPr>
            </w:pPr>
            <w:r w:rsidRPr="000955D4">
              <w:rPr>
                <w:sz w:val="24"/>
                <w:szCs w:val="24"/>
              </w:rPr>
              <w:t>3 (37.5%)</w:t>
            </w:r>
          </w:p>
        </w:tc>
        <w:tc>
          <w:tcPr>
            <w:tcW w:w="996" w:type="dxa"/>
            <w:tcBorders>
              <w:top w:val="single" w:sz="4" w:space="0" w:color="auto"/>
            </w:tcBorders>
            <w:vAlign w:val="center"/>
          </w:tcPr>
          <w:p w14:paraId="0658859B" w14:textId="77777777" w:rsidR="006234FC" w:rsidRPr="000955D4" w:rsidRDefault="006234FC" w:rsidP="00820F58">
            <w:pPr>
              <w:pStyle w:val="BodyText"/>
              <w:spacing w:before="0" w:beforeAutospacing="0" w:after="0"/>
              <w:jc w:val="both"/>
              <w:rPr>
                <w:sz w:val="24"/>
                <w:szCs w:val="24"/>
              </w:rPr>
            </w:pPr>
            <w:r w:rsidRPr="000955D4">
              <w:rPr>
                <w:sz w:val="24"/>
                <w:szCs w:val="24"/>
              </w:rPr>
              <w:t>3 (37.5%)</w:t>
            </w:r>
          </w:p>
        </w:tc>
        <w:tc>
          <w:tcPr>
            <w:tcW w:w="996" w:type="dxa"/>
            <w:tcBorders>
              <w:top w:val="single" w:sz="4" w:space="0" w:color="auto"/>
            </w:tcBorders>
            <w:vAlign w:val="center"/>
          </w:tcPr>
          <w:p w14:paraId="0D0A4262"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803" w:type="dxa"/>
            <w:tcBorders>
              <w:top w:val="single" w:sz="4" w:space="0" w:color="auto"/>
            </w:tcBorders>
            <w:vAlign w:val="center"/>
          </w:tcPr>
          <w:p w14:paraId="5DA1707B" w14:textId="77777777" w:rsidR="006234FC" w:rsidRPr="000955D4" w:rsidRDefault="006234FC" w:rsidP="00820F58">
            <w:pPr>
              <w:pStyle w:val="BodyText"/>
              <w:spacing w:before="0" w:beforeAutospacing="0" w:after="0"/>
              <w:jc w:val="both"/>
              <w:rPr>
                <w:sz w:val="24"/>
                <w:szCs w:val="24"/>
              </w:rPr>
            </w:pPr>
            <w:r w:rsidRPr="000955D4">
              <w:rPr>
                <w:sz w:val="24"/>
                <w:szCs w:val="24"/>
              </w:rPr>
              <w:t>2.63</w:t>
            </w:r>
          </w:p>
        </w:tc>
        <w:tc>
          <w:tcPr>
            <w:tcW w:w="925" w:type="dxa"/>
            <w:tcBorders>
              <w:top w:val="single" w:sz="4" w:space="0" w:color="auto"/>
            </w:tcBorders>
            <w:vAlign w:val="center"/>
          </w:tcPr>
          <w:p w14:paraId="15651872" w14:textId="77777777" w:rsidR="006234FC" w:rsidRPr="000955D4" w:rsidRDefault="006234FC" w:rsidP="00820F58">
            <w:pPr>
              <w:pStyle w:val="BodyText"/>
              <w:spacing w:before="0" w:beforeAutospacing="0" w:after="0"/>
              <w:jc w:val="both"/>
              <w:rPr>
                <w:sz w:val="24"/>
                <w:szCs w:val="24"/>
              </w:rPr>
            </w:pPr>
            <w:r w:rsidRPr="000955D4">
              <w:rPr>
                <w:sz w:val="24"/>
                <w:szCs w:val="24"/>
              </w:rPr>
              <w:t>0.86</w:t>
            </w:r>
          </w:p>
        </w:tc>
      </w:tr>
      <w:tr w:rsidR="000955D4" w:rsidRPr="000955D4" w14:paraId="27FF97A3" w14:textId="77777777" w:rsidTr="0039127A">
        <w:tc>
          <w:tcPr>
            <w:tcW w:w="3643" w:type="dxa"/>
            <w:vAlign w:val="center"/>
          </w:tcPr>
          <w:p w14:paraId="38BCD182" w14:textId="77777777" w:rsidR="006234FC" w:rsidRPr="000955D4" w:rsidRDefault="006234FC" w:rsidP="00820F58">
            <w:pPr>
              <w:jc w:val="both"/>
              <w:rPr>
                <w:rFonts w:ascii="Times New Roman" w:hAnsi="Times New Roman" w:cs="Times New Roman"/>
                <w:sz w:val="24"/>
                <w:szCs w:val="24"/>
              </w:rPr>
            </w:pPr>
            <w:r w:rsidRPr="000955D4">
              <w:rPr>
                <w:rFonts w:ascii="Times New Roman" w:eastAsia="Times New Roman" w:hAnsi="Times New Roman" w:cs="Times New Roman"/>
                <w:sz w:val="24"/>
                <w:szCs w:val="24"/>
              </w:rPr>
              <w:t>There are regular meetings and forums for parents to discuss CBE implementation.</w:t>
            </w:r>
          </w:p>
        </w:tc>
        <w:tc>
          <w:tcPr>
            <w:tcW w:w="996" w:type="dxa"/>
            <w:vAlign w:val="center"/>
          </w:tcPr>
          <w:p w14:paraId="3EBE3C99"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996" w:type="dxa"/>
            <w:vAlign w:val="center"/>
          </w:tcPr>
          <w:p w14:paraId="2327814A" w14:textId="77777777" w:rsidR="006234FC" w:rsidRPr="000955D4" w:rsidRDefault="006234FC" w:rsidP="00820F58">
            <w:pPr>
              <w:pStyle w:val="BodyText"/>
              <w:spacing w:before="0" w:beforeAutospacing="0" w:after="0"/>
              <w:jc w:val="both"/>
              <w:rPr>
                <w:sz w:val="24"/>
                <w:szCs w:val="24"/>
              </w:rPr>
            </w:pPr>
            <w:r w:rsidRPr="000955D4">
              <w:rPr>
                <w:sz w:val="24"/>
                <w:szCs w:val="24"/>
              </w:rPr>
              <w:t>2 (25.0%)</w:t>
            </w:r>
          </w:p>
        </w:tc>
        <w:tc>
          <w:tcPr>
            <w:tcW w:w="996" w:type="dxa"/>
            <w:vAlign w:val="center"/>
          </w:tcPr>
          <w:p w14:paraId="3D97C734" w14:textId="77777777" w:rsidR="006234FC" w:rsidRPr="000955D4" w:rsidRDefault="006234FC" w:rsidP="00820F58">
            <w:pPr>
              <w:pStyle w:val="BodyText"/>
              <w:spacing w:before="0" w:beforeAutospacing="0" w:after="0"/>
              <w:jc w:val="both"/>
              <w:rPr>
                <w:sz w:val="24"/>
                <w:szCs w:val="24"/>
              </w:rPr>
            </w:pPr>
            <w:r w:rsidRPr="000955D4">
              <w:rPr>
                <w:sz w:val="24"/>
                <w:szCs w:val="24"/>
              </w:rPr>
              <w:t>4 (50.0%)</w:t>
            </w:r>
          </w:p>
        </w:tc>
        <w:tc>
          <w:tcPr>
            <w:tcW w:w="996" w:type="dxa"/>
            <w:vAlign w:val="center"/>
          </w:tcPr>
          <w:p w14:paraId="02C1EF22"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803" w:type="dxa"/>
            <w:vAlign w:val="center"/>
          </w:tcPr>
          <w:p w14:paraId="64FFABA3" w14:textId="77777777" w:rsidR="006234FC" w:rsidRPr="000955D4" w:rsidRDefault="006234FC" w:rsidP="00820F58">
            <w:pPr>
              <w:pStyle w:val="BodyText"/>
              <w:spacing w:before="0" w:beforeAutospacing="0" w:after="0"/>
              <w:jc w:val="both"/>
              <w:rPr>
                <w:sz w:val="24"/>
                <w:szCs w:val="24"/>
              </w:rPr>
            </w:pPr>
            <w:r w:rsidRPr="000955D4">
              <w:rPr>
                <w:sz w:val="24"/>
                <w:szCs w:val="24"/>
              </w:rPr>
              <w:t>2.38</w:t>
            </w:r>
          </w:p>
        </w:tc>
        <w:tc>
          <w:tcPr>
            <w:tcW w:w="925" w:type="dxa"/>
            <w:vAlign w:val="center"/>
          </w:tcPr>
          <w:p w14:paraId="3F688693" w14:textId="77777777" w:rsidR="006234FC" w:rsidRPr="000955D4" w:rsidRDefault="006234FC" w:rsidP="00820F58">
            <w:pPr>
              <w:pStyle w:val="BodyText"/>
              <w:spacing w:before="0" w:beforeAutospacing="0" w:after="0"/>
              <w:jc w:val="both"/>
              <w:rPr>
                <w:sz w:val="24"/>
                <w:szCs w:val="24"/>
              </w:rPr>
            </w:pPr>
            <w:r w:rsidRPr="000955D4">
              <w:rPr>
                <w:sz w:val="24"/>
                <w:szCs w:val="24"/>
              </w:rPr>
              <w:t>0.86</w:t>
            </w:r>
          </w:p>
        </w:tc>
      </w:tr>
      <w:tr w:rsidR="000955D4" w:rsidRPr="000955D4" w14:paraId="2DD2B3C6" w14:textId="77777777" w:rsidTr="0039127A">
        <w:tc>
          <w:tcPr>
            <w:tcW w:w="3643" w:type="dxa"/>
            <w:vAlign w:val="center"/>
          </w:tcPr>
          <w:p w14:paraId="136900B7" w14:textId="77777777" w:rsidR="006234FC" w:rsidRPr="000955D4" w:rsidRDefault="006234FC" w:rsidP="00820F58">
            <w:pPr>
              <w:rPr>
                <w:rFonts w:ascii="Times New Roman" w:hAnsi="Times New Roman" w:cs="Times New Roman"/>
                <w:sz w:val="24"/>
                <w:szCs w:val="24"/>
              </w:rPr>
            </w:pPr>
            <w:r w:rsidRPr="000955D4">
              <w:rPr>
                <w:rFonts w:ascii="Times New Roman" w:eastAsia="Times New Roman" w:hAnsi="Times New Roman" w:cs="Times New Roman"/>
                <w:sz w:val="24"/>
                <w:szCs w:val="24"/>
              </w:rPr>
              <w:t>Parents have easy access to relevant CBE-related information.</w:t>
            </w:r>
          </w:p>
        </w:tc>
        <w:tc>
          <w:tcPr>
            <w:tcW w:w="996" w:type="dxa"/>
            <w:vAlign w:val="center"/>
          </w:tcPr>
          <w:p w14:paraId="3E4D1E4F"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996" w:type="dxa"/>
            <w:vAlign w:val="center"/>
          </w:tcPr>
          <w:p w14:paraId="2F908E86" w14:textId="77777777" w:rsidR="006234FC" w:rsidRPr="000955D4" w:rsidRDefault="006234FC" w:rsidP="00820F58">
            <w:pPr>
              <w:pStyle w:val="BodyText"/>
              <w:spacing w:before="0" w:beforeAutospacing="0" w:after="0"/>
              <w:jc w:val="both"/>
              <w:rPr>
                <w:sz w:val="24"/>
                <w:szCs w:val="24"/>
              </w:rPr>
            </w:pPr>
            <w:r w:rsidRPr="000955D4">
              <w:rPr>
                <w:sz w:val="24"/>
                <w:szCs w:val="24"/>
              </w:rPr>
              <w:t>3 (37.5%)</w:t>
            </w:r>
          </w:p>
        </w:tc>
        <w:tc>
          <w:tcPr>
            <w:tcW w:w="996" w:type="dxa"/>
            <w:vAlign w:val="center"/>
          </w:tcPr>
          <w:p w14:paraId="57B86BA4" w14:textId="77777777" w:rsidR="006234FC" w:rsidRPr="000955D4" w:rsidRDefault="006234FC" w:rsidP="00820F58">
            <w:pPr>
              <w:pStyle w:val="BodyText"/>
              <w:spacing w:before="0" w:beforeAutospacing="0" w:after="0"/>
              <w:jc w:val="both"/>
              <w:rPr>
                <w:sz w:val="24"/>
                <w:szCs w:val="24"/>
              </w:rPr>
            </w:pPr>
            <w:r w:rsidRPr="000955D4">
              <w:rPr>
                <w:sz w:val="24"/>
                <w:szCs w:val="24"/>
              </w:rPr>
              <w:t>3 (37.5%)</w:t>
            </w:r>
          </w:p>
        </w:tc>
        <w:tc>
          <w:tcPr>
            <w:tcW w:w="996" w:type="dxa"/>
            <w:vAlign w:val="center"/>
          </w:tcPr>
          <w:p w14:paraId="59065EEC"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803" w:type="dxa"/>
            <w:vAlign w:val="center"/>
          </w:tcPr>
          <w:p w14:paraId="64747699" w14:textId="77777777" w:rsidR="006234FC" w:rsidRPr="000955D4" w:rsidRDefault="006234FC" w:rsidP="00820F58">
            <w:pPr>
              <w:pStyle w:val="BodyText"/>
              <w:spacing w:before="0" w:beforeAutospacing="0" w:after="0"/>
              <w:jc w:val="both"/>
              <w:rPr>
                <w:sz w:val="24"/>
                <w:szCs w:val="24"/>
              </w:rPr>
            </w:pPr>
            <w:r w:rsidRPr="000955D4">
              <w:rPr>
                <w:sz w:val="24"/>
                <w:szCs w:val="24"/>
              </w:rPr>
              <w:t>2.63</w:t>
            </w:r>
          </w:p>
        </w:tc>
        <w:tc>
          <w:tcPr>
            <w:tcW w:w="925" w:type="dxa"/>
            <w:vAlign w:val="center"/>
          </w:tcPr>
          <w:p w14:paraId="62F6B6E1" w14:textId="77777777" w:rsidR="006234FC" w:rsidRPr="000955D4" w:rsidRDefault="006234FC" w:rsidP="00820F58">
            <w:pPr>
              <w:pStyle w:val="BodyText"/>
              <w:spacing w:before="0" w:beforeAutospacing="0" w:after="0"/>
              <w:jc w:val="both"/>
              <w:rPr>
                <w:sz w:val="24"/>
                <w:szCs w:val="24"/>
              </w:rPr>
            </w:pPr>
            <w:r w:rsidRPr="000955D4">
              <w:rPr>
                <w:sz w:val="24"/>
                <w:szCs w:val="24"/>
              </w:rPr>
              <w:t>0.86</w:t>
            </w:r>
          </w:p>
        </w:tc>
      </w:tr>
      <w:tr w:rsidR="000955D4" w:rsidRPr="000955D4" w14:paraId="4E76552E" w14:textId="77777777" w:rsidTr="0039127A">
        <w:tc>
          <w:tcPr>
            <w:tcW w:w="3643" w:type="dxa"/>
            <w:vAlign w:val="center"/>
          </w:tcPr>
          <w:p w14:paraId="07478B33" w14:textId="77777777" w:rsidR="006234FC" w:rsidRPr="000955D4" w:rsidRDefault="006234FC" w:rsidP="00820F58">
            <w:pPr>
              <w:jc w:val="both"/>
              <w:rPr>
                <w:rFonts w:ascii="Times New Roman" w:hAnsi="Times New Roman" w:cs="Times New Roman"/>
                <w:sz w:val="24"/>
                <w:szCs w:val="24"/>
              </w:rPr>
            </w:pPr>
            <w:r w:rsidRPr="000955D4">
              <w:rPr>
                <w:rFonts w:ascii="Times New Roman" w:eastAsia="Times New Roman" w:hAnsi="Times New Roman" w:cs="Times New Roman"/>
                <w:sz w:val="24"/>
                <w:szCs w:val="24"/>
              </w:rPr>
              <w:t>Communication between schools and parents regarding CBE is clear and effective.</w:t>
            </w:r>
          </w:p>
        </w:tc>
        <w:tc>
          <w:tcPr>
            <w:tcW w:w="996" w:type="dxa"/>
            <w:vAlign w:val="center"/>
          </w:tcPr>
          <w:p w14:paraId="5EB3D5F4" w14:textId="77777777" w:rsidR="006234FC" w:rsidRPr="000955D4" w:rsidRDefault="006234FC" w:rsidP="00820F58">
            <w:pPr>
              <w:pStyle w:val="BodyText"/>
              <w:spacing w:before="0" w:beforeAutospacing="0" w:after="0"/>
              <w:jc w:val="both"/>
              <w:rPr>
                <w:sz w:val="24"/>
                <w:szCs w:val="24"/>
              </w:rPr>
            </w:pPr>
            <w:r w:rsidRPr="000955D4">
              <w:rPr>
                <w:sz w:val="24"/>
                <w:szCs w:val="24"/>
              </w:rPr>
              <w:t>2 (25.0%)</w:t>
            </w:r>
          </w:p>
        </w:tc>
        <w:tc>
          <w:tcPr>
            <w:tcW w:w="996" w:type="dxa"/>
            <w:vAlign w:val="center"/>
          </w:tcPr>
          <w:p w14:paraId="3423D4D9" w14:textId="77777777" w:rsidR="006234FC" w:rsidRPr="000955D4" w:rsidRDefault="006234FC" w:rsidP="00820F58">
            <w:pPr>
              <w:pStyle w:val="BodyText"/>
              <w:spacing w:before="0" w:beforeAutospacing="0" w:after="0"/>
              <w:jc w:val="both"/>
              <w:rPr>
                <w:sz w:val="24"/>
                <w:szCs w:val="24"/>
              </w:rPr>
            </w:pPr>
            <w:r w:rsidRPr="000955D4">
              <w:rPr>
                <w:sz w:val="24"/>
                <w:szCs w:val="24"/>
              </w:rPr>
              <w:t>2 (25.0%)</w:t>
            </w:r>
          </w:p>
        </w:tc>
        <w:tc>
          <w:tcPr>
            <w:tcW w:w="996" w:type="dxa"/>
            <w:vAlign w:val="center"/>
          </w:tcPr>
          <w:p w14:paraId="5DA94F30" w14:textId="77777777" w:rsidR="006234FC" w:rsidRPr="000955D4" w:rsidRDefault="006234FC" w:rsidP="00820F58">
            <w:pPr>
              <w:pStyle w:val="BodyText"/>
              <w:spacing w:before="0" w:beforeAutospacing="0" w:after="0"/>
              <w:jc w:val="both"/>
              <w:rPr>
                <w:sz w:val="24"/>
                <w:szCs w:val="24"/>
              </w:rPr>
            </w:pPr>
            <w:r w:rsidRPr="000955D4">
              <w:rPr>
                <w:sz w:val="24"/>
                <w:szCs w:val="24"/>
              </w:rPr>
              <w:t>3 (37.5%)</w:t>
            </w:r>
          </w:p>
        </w:tc>
        <w:tc>
          <w:tcPr>
            <w:tcW w:w="996" w:type="dxa"/>
            <w:vAlign w:val="center"/>
          </w:tcPr>
          <w:p w14:paraId="434FD3C8"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803" w:type="dxa"/>
            <w:vAlign w:val="center"/>
          </w:tcPr>
          <w:p w14:paraId="687C7659" w14:textId="77777777" w:rsidR="006234FC" w:rsidRPr="000955D4" w:rsidRDefault="006234FC" w:rsidP="00820F58">
            <w:pPr>
              <w:pStyle w:val="BodyText"/>
              <w:spacing w:before="0" w:beforeAutospacing="0" w:after="0"/>
              <w:jc w:val="both"/>
              <w:rPr>
                <w:sz w:val="24"/>
                <w:szCs w:val="24"/>
              </w:rPr>
            </w:pPr>
            <w:r w:rsidRPr="000955D4">
              <w:rPr>
                <w:sz w:val="24"/>
                <w:szCs w:val="24"/>
              </w:rPr>
              <w:t>2.63</w:t>
            </w:r>
          </w:p>
        </w:tc>
        <w:tc>
          <w:tcPr>
            <w:tcW w:w="925" w:type="dxa"/>
            <w:vAlign w:val="center"/>
          </w:tcPr>
          <w:p w14:paraId="09D5143E" w14:textId="77777777" w:rsidR="006234FC" w:rsidRPr="000955D4" w:rsidRDefault="006234FC" w:rsidP="00820F58">
            <w:pPr>
              <w:pStyle w:val="BodyText"/>
              <w:spacing w:before="0" w:beforeAutospacing="0" w:after="0"/>
              <w:jc w:val="both"/>
              <w:rPr>
                <w:sz w:val="24"/>
                <w:szCs w:val="24"/>
              </w:rPr>
            </w:pPr>
            <w:r w:rsidRPr="000955D4">
              <w:rPr>
                <w:sz w:val="24"/>
                <w:szCs w:val="24"/>
              </w:rPr>
              <w:t>1.06</w:t>
            </w:r>
          </w:p>
        </w:tc>
      </w:tr>
      <w:tr w:rsidR="000955D4" w:rsidRPr="000955D4" w14:paraId="604C62DF" w14:textId="77777777" w:rsidTr="0039127A">
        <w:tc>
          <w:tcPr>
            <w:tcW w:w="3643" w:type="dxa"/>
            <w:vAlign w:val="center"/>
          </w:tcPr>
          <w:p w14:paraId="2CAEAA91" w14:textId="77777777" w:rsidR="006234FC" w:rsidRPr="000955D4" w:rsidRDefault="006234FC" w:rsidP="00820F58">
            <w:pPr>
              <w:rPr>
                <w:rFonts w:ascii="Times New Roman" w:hAnsi="Times New Roman" w:cs="Times New Roman"/>
                <w:sz w:val="24"/>
                <w:szCs w:val="24"/>
              </w:rPr>
            </w:pPr>
            <w:r w:rsidRPr="000955D4">
              <w:rPr>
                <w:rFonts w:ascii="Times New Roman" w:eastAsia="Times New Roman" w:hAnsi="Times New Roman" w:cs="Times New Roman"/>
                <w:sz w:val="24"/>
                <w:szCs w:val="24"/>
              </w:rPr>
              <w:t>Parents and actively participate in CBE-related activities and decision-making.</w:t>
            </w:r>
          </w:p>
        </w:tc>
        <w:tc>
          <w:tcPr>
            <w:tcW w:w="996" w:type="dxa"/>
            <w:vAlign w:val="center"/>
          </w:tcPr>
          <w:p w14:paraId="43D242E2"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996" w:type="dxa"/>
            <w:vAlign w:val="center"/>
          </w:tcPr>
          <w:p w14:paraId="745CB981" w14:textId="77777777" w:rsidR="006234FC" w:rsidRPr="000955D4" w:rsidRDefault="006234FC" w:rsidP="00820F58">
            <w:pPr>
              <w:pStyle w:val="BodyText"/>
              <w:spacing w:before="0" w:beforeAutospacing="0" w:after="0"/>
              <w:jc w:val="both"/>
              <w:rPr>
                <w:sz w:val="24"/>
                <w:szCs w:val="24"/>
              </w:rPr>
            </w:pPr>
            <w:r w:rsidRPr="000955D4">
              <w:rPr>
                <w:sz w:val="24"/>
                <w:szCs w:val="24"/>
              </w:rPr>
              <w:t>2 (25.0%)</w:t>
            </w:r>
          </w:p>
        </w:tc>
        <w:tc>
          <w:tcPr>
            <w:tcW w:w="996" w:type="dxa"/>
            <w:vAlign w:val="center"/>
          </w:tcPr>
          <w:p w14:paraId="24458F2A" w14:textId="77777777" w:rsidR="006234FC" w:rsidRPr="000955D4" w:rsidRDefault="006234FC" w:rsidP="00820F58">
            <w:pPr>
              <w:pStyle w:val="BodyText"/>
              <w:spacing w:before="0" w:beforeAutospacing="0" w:after="0"/>
              <w:jc w:val="both"/>
              <w:rPr>
                <w:sz w:val="24"/>
                <w:szCs w:val="24"/>
              </w:rPr>
            </w:pPr>
            <w:r w:rsidRPr="000955D4">
              <w:rPr>
                <w:sz w:val="24"/>
                <w:szCs w:val="24"/>
              </w:rPr>
              <w:t>4 (50.0%)</w:t>
            </w:r>
          </w:p>
        </w:tc>
        <w:tc>
          <w:tcPr>
            <w:tcW w:w="996" w:type="dxa"/>
            <w:vAlign w:val="center"/>
          </w:tcPr>
          <w:p w14:paraId="1B91F722"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803" w:type="dxa"/>
            <w:vAlign w:val="center"/>
          </w:tcPr>
          <w:p w14:paraId="49C281A8" w14:textId="77777777" w:rsidR="006234FC" w:rsidRPr="000955D4" w:rsidRDefault="006234FC" w:rsidP="00820F58">
            <w:pPr>
              <w:pStyle w:val="BodyText"/>
              <w:spacing w:before="0" w:beforeAutospacing="0" w:after="0"/>
              <w:jc w:val="both"/>
              <w:rPr>
                <w:sz w:val="24"/>
                <w:szCs w:val="24"/>
              </w:rPr>
            </w:pPr>
            <w:r w:rsidRPr="000955D4">
              <w:rPr>
                <w:sz w:val="24"/>
                <w:szCs w:val="24"/>
              </w:rPr>
              <w:t>2.38</w:t>
            </w:r>
          </w:p>
        </w:tc>
        <w:tc>
          <w:tcPr>
            <w:tcW w:w="925" w:type="dxa"/>
            <w:vAlign w:val="center"/>
          </w:tcPr>
          <w:p w14:paraId="45F4ED9C" w14:textId="77777777" w:rsidR="006234FC" w:rsidRPr="000955D4" w:rsidRDefault="006234FC" w:rsidP="00820F58">
            <w:pPr>
              <w:pStyle w:val="BodyText"/>
              <w:spacing w:before="0" w:beforeAutospacing="0" w:after="0"/>
              <w:jc w:val="both"/>
              <w:rPr>
                <w:sz w:val="24"/>
                <w:szCs w:val="24"/>
              </w:rPr>
            </w:pPr>
            <w:r w:rsidRPr="000955D4">
              <w:rPr>
                <w:sz w:val="24"/>
                <w:szCs w:val="24"/>
              </w:rPr>
              <w:t>0.86</w:t>
            </w:r>
          </w:p>
        </w:tc>
      </w:tr>
      <w:tr w:rsidR="000955D4" w:rsidRPr="000955D4" w14:paraId="6730437D" w14:textId="77777777" w:rsidTr="0039127A">
        <w:tc>
          <w:tcPr>
            <w:tcW w:w="3643" w:type="dxa"/>
            <w:tcBorders>
              <w:bottom w:val="nil"/>
            </w:tcBorders>
            <w:vAlign w:val="center"/>
          </w:tcPr>
          <w:p w14:paraId="6D79DFBF" w14:textId="77777777" w:rsidR="006234FC" w:rsidRPr="000955D4" w:rsidRDefault="006234FC" w:rsidP="00820F58">
            <w:pPr>
              <w:jc w:val="both"/>
              <w:rPr>
                <w:rFonts w:ascii="Times New Roman" w:hAnsi="Times New Roman" w:cs="Times New Roman"/>
                <w:sz w:val="24"/>
                <w:szCs w:val="24"/>
              </w:rPr>
            </w:pPr>
            <w:r w:rsidRPr="000955D4">
              <w:rPr>
                <w:rFonts w:ascii="Times New Roman" w:eastAsia="Times New Roman" w:hAnsi="Times New Roman" w:cs="Times New Roman"/>
                <w:sz w:val="24"/>
                <w:szCs w:val="24"/>
              </w:rPr>
              <w:t>Parental feedback is considered in the adaptation process of CBE.</w:t>
            </w:r>
          </w:p>
        </w:tc>
        <w:tc>
          <w:tcPr>
            <w:tcW w:w="996" w:type="dxa"/>
            <w:tcBorders>
              <w:bottom w:val="nil"/>
            </w:tcBorders>
            <w:vAlign w:val="center"/>
          </w:tcPr>
          <w:p w14:paraId="7789A150"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996" w:type="dxa"/>
            <w:tcBorders>
              <w:bottom w:val="nil"/>
            </w:tcBorders>
            <w:vAlign w:val="center"/>
          </w:tcPr>
          <w:p w14:paraId="75FE6EDF" w14:textId="77777777" w:rsidR="006234FC" w:rsidRPr="000955D4" w:rsidRDefault="006234FC" w:rsidP="00820F58">
            <w:pPr>
              <w:pStyle w:val="BodyText"/>
              <w:spacing w:before="0" w:beforeAutospacing="0" w:after="0"/>
              <w:jc w:val="both"/>
              <w:rPr>
                <w:sz w:val="24"/>
                <w:szCs w:val="24"/>
              </w:rPr>
            </w:pPr>
            <w:r w:rsidRPr="000955D4">
              <w:rPr>
                <w:sz w:val="24"/>
                <w:szCs w:val="24"/>
              </w:rPr>
              <w:t>3 (37.5%)</w:t>
            </w:r>
          </w:p>
        </w:tc>
        <w:tc>
          <w:tcPr>
            <w:tcW w:w="996" w:type="dxa"/>
            <w:tcBorders>
              <w:bottom w:val="nil"/>
            </w:tcBorders>
            <w:vAlign w:val="center"/>
          </w:tcPr>
          <w:p w14:paraId="3CF0681C" w14:textId="77777777" w:rsidR="006234FC" w:rsidRPr="000955D4" w:rsidRDefault="006234FC" w:rsidP="00820F58">
            <w:pPr>
              <w:pStyle w:val="BodyText"/>
              <w:spacing w:before="0" w:beforeAutospacing="0" w:after="0"/>
              <w:jc w:val="both"/>
              <w:rPr>
                <w:sz w:val="24"/>
                <w:szCs w:val="24"/>
              </w:rPr>
            </w:pPr>
            <w:r w:rsidRPr="000955D4">
              <w:rPr>
                <w:sz w:val="24"/>
                <w:szCs w:val="24"/>
              </w:rPr>
              <w:t>3 (37.5%)</w:t>
            </w:r>
          </w:p>
        </w:tc>
        <w:tc>
          <w:tcPr>
            <w:tcW w:w="996" w:type="dxa"/>
            <w:tcBorders>
              <w:bottom w:val="nil"/>
            </w:tcBorders>
            <w:vAlign w:val="center"/>
          </w:tcPr>
          <w:p w14:paraId="6DD6C0D4"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803" w:type="dxa"/>
            <w:tcBorders>
              <w:bottom w:val="nil"/>
            </w:tcBorders>
            <w:vAlign w:val="center"/>
          </w:tcPr>
          <w:p w14:paraId="62B069DE" w14:textId="77777777" w:rsidR="006234FC" w:rsidRPr="000955D4" w:rsidRDefault="006234FC" w:rsidP="00820F58">
            <w:pPr>
              <w:pStyle w:val="BodyText"/>
              <w:spacing w:before="0" w:beforeAutospacing="0" w:after="0"/>
              <w:jc w:val="both"/>
              <w:rPr>
                <w:sz w:val="24"/>
                <w:szCs w:val="24"/>
              </w:rPr>
            </w:pPr>
            <w:r w:rsidRPr="000955D4">
              <w:rPr>
                <w:sz w:val="24"/>
                <w:szCs w:val="24"/>
              </w:rPr>
              <w:t>2.63</w:t>
            </w:r>
          </w:p>
        </w:tc>
        <w:tc>
          <w:tcPr>
            <w:tcW w:w="925" w:type="dxa"/>
            <w:tcBorders>
              <w:bottom w:val="nil"/>
            </w:tcBorders>
            <w:vAlign w:val="center"/>
          </w:tcPr>
          <w:p w14:paraId="24DA565F" w14:textId="77777777" w:rsidR="006234FC" w:rsidRPr="000955D4" w:rsidRDefault="006234FC" w:rsidP="00820F58">
            <w:pPr>
              <w:pStyle w:val="BodyText"/>
              <w:spacing w:before="0" w:beforeAutospacing="0" w:after="0"/>
              <w:jc w:val="both"/>
              <w:rPr>
                <w:sz w:val="24"/>
                <w:szCs w:val="24"/>
              </w:rPr>
            </w:pPr>
            <w:r w:rsidRPr="000955D4">
              <w:rPr>
                <w:sz w:val="24"/>
                <w:szCs w:val="24"/>
              </w:rPr>
              <w:t>0.86</w:t>
            </w:r>
          </w:p>
        </w:tc>
      </w:tr>
      <w:tr w:rsidR="000955D4" w:rsidRPr="000955D4" w14:paraId="70DE28A9" w14:textId="77777777" w:rsidTr="0039127A">
        <w:tc>
          <w:tcPr>
            <w:tcW w:w="3643" w:type="dxa"/>
            <w:tcBorders>
              <w:top w:val="nil"/>
              <w:bottom w:val="single" w:sz="4" w:space="0" w:color="auto"/>
            </w:tcBorders>
            <w:vAlign w:val="center"/>
          </w:tcPr>
          <w:p w14:paraId="419A0F77" w14:textId="77777777" w:rsidR="006234FC" w:rsidRPr="000955D4" w:rsidRDefault="006234FC" w:rsidP="00820F58">
            <w:pPr>
              <w:jc w:val="both"/>
              <w:rPr>
                <w:rFonts w:ascii="Times New Roman" w:hAnsi="Times New Roman" w:cs="Times New Roman"/>
                <w:sz w:val="24"/>
                <w:szCs w:val="24"/>
              </w:rPr>
            </w:pPr>
            <w:r w:rsidRPr="000955D4">
              <w:rPr>
                <w:rFonts w:ascii="Times New Roman" w:eastAsia="Times New Roman" w:hAnsi="Times New Roman" w:cs="Times New Roman"/>
                <w:sz w:val="24"/>
                <w:szCs w:val="24"/>
              </w:rPr>
              <w:t>Parents understand their roles and responsibilities in supporting CBE implementation.</w:t>
            </w:r>
          </w:p>
        </w:tc>
        <w:tc>
          <w:tcPr>
            <w:tcW w:w="996" w:type="dxa"/>
            <w:tcBorders>
              <w:top w:val="nil"/>
              <w:bottom w:val="single" w:sz="4" w:space="0" w:color="auto"/>
            </w:tcBorders>
            <w:vAlign w:val="center"/>
          </w:tcPr>
          <w:p w14:paraId="4E502823"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996" w:type="dxa"/>
            <w:tcBorders>
              <w:top w:val="nil"/>
              <w:bottom w:val="single" w:sz="4" w:space="0" w:color="auto"/>
            </w:tcBorders>
            <w:vAlign w:val="center"/>
          </w:tcPr>
          <w:p w14:paraId="7420B3BC" w14:textId="77777777" w:rsidR="006234FC" w:rsidRPr="000955D4" w:rsidRDefault="006234FC" w:rsidP="00820F58">
            <w:pPr>
              <w:pStyle w:val="BodyText"/>
              <w:spacing w:before="0" w:beforeAutospacing="0" w:after="0"/>
              <w:jc w:val="both"/>
              <w:rPr>
                <w:sz w:val="24"/>
                <w:szCs w:val="24"/>
              </w:rPr>
            </w:pPr>
            <w:r w:rsidRPr="000955D4">
              <w:rPr>
                <w:sz w:val="24"/>
                <w:szCs w:val="24"/>
              </w:rPr>
              <w:t>3 (37.5%)</w:t>
            </w:r>
          </w:p>
        </w:tc>
        <w:tc>
          <w:tcPr>
            <w:tcW w:w="996" w:type="dxa"/>
            <w:tcBorders>
              <w:top w:val="nil"/>
              <w:bottom w:val="single" w:sz="4" w:space="0" w:color="auto"/>
            </w:tcBorders>
            <w:vAlign w:val="center"/>
          </w:tcPr>
          <w:p w14:paraId="259C1827" w14:textId="77777777" w:rsidR="006234FC" w:rsidRPr="000955D4" w:rsidRDefault="006234FC" w:rsidP="00820F58">
            <w:pPr>
              <w:pStyle w:val="BodyText"/>
              <w:spacing w:before="0" w:beforeAutospacing="0" w:after="0"/>
              <w:jc w:val="both"/>
              <w:rPr>
                <w:sz w:val="24"/>
                <w:szCs w:val="24"/>
              </w:rPr>
            </w:pPr>
            <w:r w:rsidRPr="000955D4">
              <w:rPr>
                <w:sz w:val="24"/>
                <w:szCs w:val="24"/>
              </w:rPr>
              <w:t>3 (37.5%)</w:t>
            </w:r>
          </w:p>
        </w:tc>
        <w:tc>
          <w:tcPr>
            <w:tcW w:w="996" w:type="dxa"/>
            <w:tcBorders>
              <w:top w:val="nil"/>
              <w:bottom w:val="single" w:sz="4" w:space="0" w:color="auto"/>
            </w:tcBorders>
            <w:vAlign w:val="center"/>
          </w:tcPr>
          <w:p w14:paraId="70575686" w14:textId="77777777" w:rsidR="006234FC" w:rsidRPr="000955D4" w:rsidRDefault="006234FC" w:rsidP="00820F58">
            <w:pPr>
              <w:pStyle w:val="BodyText"/>
              <w:spacing w:before="0" w:beforeAutospacing="0" w:after="0"/>
              <w:jc w:val="both"/>
              <w:rPr>
                <w:sz w:val="24"/>
                <w:szCs w:val="24"/>
              </w:rPr>
            </w:pPr>
            <w:r w:rsidRPr="000955D4">
              <w:rPr>
                <w:sz w:val="24"/>
                <w:szCs w:val="24"/>
              </w:rPr>
              <w:t>1 (12.5%)</w:t>
            </w:r>
          </w:p>
        </w:tc>
        <w:tc>
          <w:tcPr>
            <w:tcW w:w="803" w:type="dxa"/>
            <w:tcBorders>
              <w:top w:val="nil"/>
              <w:bottom w:val="single" w:sz="4" w:space="0" w:color="auto"/>
            </w:tcBorders>
            <w:vAlign w:val="center"/>
          </w:tcPr>
          <w:p w14:paraId="619F4205" w14:textId="77777777" w:rsidR="006234FC" w:rsidRPr="000955D4" w:rsidRDefault="006234FC" w:rsidP="00820F58">
            <w:pPr>
              <w:pStyle w:val="BodyText"/>
              <w:spacing w:before="0" w:beforeAutospacing="0" w:after="0"/>
              <w:jc w:val="both"/>
              <w:rPr>
                <w:sz w:val="24"/>
                <w:szCs w:val="24"/>
              </w:rPr>
            </w:pPr>
            <w:r w:rsidRPr="000955D4">
              <w:rPr>
                <w:sz w:val="24"/>
                <w:szCs w:val="24"/>
              </w:rPr>
              <w:t>2.63</w:t>
            </w:r>
          </w:p>
        </w:tc>
        <w:tc>
          <w:tcPr>
            <w:tcW w:w="925" w:type="dxa"/>
            <w:tcBorders>
              <w:top w:val="nil"/>
              <w:bottom w:val="single" w:sz="4" w:space="0" w:color="auto"/>
            </w:tcBorders>
            <w:vAlign w:val="center"/>
          </w:tcPr>
          <w:p w14:paraId="35B4B706" w14:textId="77777777" w:rsidR="006234FC" w:rsidRPr="000955D4" w:rsidRDefault="006234FC" w:rsidP="00820F58">
            <w:pPr>
              <w:pStyle w:val="BodyText"/>
              <w:spacing w:before="0" w:beforeAutospacing="0" w:after="0"/>
              <w:jc w:val="both"/>
              <w:rPr>
                <w:sz w:val="24"/>
                <w:szCs w:val="24"/>
              </w:rPr>
            </w:pPr>
            <w:r w:rsidRPr="000955D4">
              <w:rPr>
                <w:sz w:val="24"/>
                <w:szCs w:val="24"/>
              </w:rPr>
              <w:t>0.86</w:t>
            </w:r>
          </w:p>
        </w:tc>
      </w:tr>
    </w:tbl>
    <w:p w14:paraId="321783F9" w14:textId="77777777" w:rsidR="00473F46" w:rsidRDefault="00473F46" w:rsidP="00820F58">
      <w:pPr>
        <w:spacing w:after="0" w:line="240" w:lineRule="auto"/>
        <w:rPr>
          <w:rFonts w:ascii="Times New Roman" w:hAnsi="Times New Roman" w:cs="Times New Roman"/>
          <w:b/>
          <w:bCs/>
        </w:rPr>
      </w:pPr>
    </w:p>
    <w:p w14:paraId="15CAC02D" w14:textId="56EBE0AF" w:rsidR="006234FC" w:rsidRPr="000955D4" w:rsidRDefault="006234FC" w:rsidP="00820F58">
      <w:pPr>
        <w:spacing w:after="0" w:line="240" w:lineRule="auto"/>
        <w:rPr>
          <w:rFonts w:ascii="Times New Roman" w:hAnsi="Times New Roman" w:cs="Times New Roman"/>
          <w:b/>
          <w:bCs/>
        </w:rPr>
      </w:pPr>
      <w:r w:rsidRPr="000955D4">
        <w:rPr>
          <w:rFonts w:ascii="Times New Roman" w:hAnsi="Times New Roman" w:cs="Times New Roman"/>
          <w:b/>
          <w:bCs/>
        </w:rPr>
        <w:t>Source: Research Data (2025)</w:t>
      </w:r>
    </w:p>
    <w:p w14:paraId="1E3B3DAA" w14:textId="0F98715B" w:rsidR="006234FC" w:rsidRPr="000955D4" w:rsidRDefault="006234FC" w:rsidP="00820F58">
      <w:pPr>
        <w:spacing w:after="0" w:line="240" w:lineRule="auto"/>
        <w:jc w:val="both"/>
        <w:rPr>
          <w:rFonts w:ascii="Times New Roman" w:hAnsi="Times New Roman" w:cs="Times New Roman"/>
          <w:b/>
          <w:bCs/>
        </w:rPr>
      </w:pPr>
      <w:r w:rsidRPr="000955D4">
        <w:rPr>
          <w:rFonts w:ascii="Times New Roman" w:hAnsi="Times New Roman" w:cs="Times New Roman"/>
          <w:b/>
          <w:bCs/>
        </w:rPr>
        <w:t>Interview Findings on Stakeholder Awareness</w:t>
      </w:r>
    </w:p>
    <w:p w14:paraId="61B968E4" w14:textId="77777777"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 xml:space="preserve">The interviews with the Education Officers and the Curriculum Support Officers (CSOs) gave a detailed information on the levels of stakeholder awareness of the Competency-Based Education (CBE) system in Balambala Sub-County. The results indicated that the teachers and headteachers were relatively more informed about the CBE aims as they had received initial orientation programs, but this could not be said of the parents and the community leaders. Most of the respondents reported that parents especially had little exposure to the main objectives, principles, and expected roles in the new education system. </w:t>
      </w:r>
    </w:p>
    <w:p w14:paraId="20F9CD45" w14:textId="77777777"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This observation is in addition to the quantitative results which indicate the moderate means of 2.68 recorded by teachers and headteachers against the low means of 2.38 and 2.63 by the parents. These findings indicate that there is no consistency in sensitizing the stakeholders, and there is a major gap in the information between education professionals and the rest of society.</w:t>
      </w:r>
    </w:p>
    <w:p w14:paraId="2A448CC3" w14:textId="77777777"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The interviews also indicated that awareness raising strategies, although existing, were not consistent and not institutionalized well. Majority of the education officers reported the use of methods that included barazas, workshops, circulars, and school meetings to convey the information regarding the CBE system. Such initiatives were sporadic, donor driven and not well co-ordinated between schools. The officers observed that teachers in some cases enjoyed the workshops organized by the Ministry of Education or non-governmental organizations, but parents and local leaders had fewer chances to attend similar events. This observation is consistent with the quantitative results, which found low mean scores with regular workshops and access to information (2.51 and 2.49 respectively), showing that a large number of stakeholders did not have much exposure to regular sensitization programs.</w:t>
      </w:r>
    </w:p>
    <w:p w14:paraId="22D8CD43" w14:textId="77777777"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The second significant issue identified during the interviews was the absence of systematic and sustained mechanisms of continuous training and stakeholder involvement. Although, teachers sometimes had access to professional development opportunities in cluster-based training or WhatsApp groups, there was no county-wide system that could reach all stakeholder groups, especially those in remote schools. Parents and community members depended primarily on sporadic school meetings, which tended to be operational in nature as opposed to curriculum content or reform policies. This observation explains why the mean scores registered in communication channels (2.44) and stakeholder involvement (2.35) in the quantitative data were low, indicating that the majority of stakeholders had inconsistent and, in most cases, fragmented access to CBE-related information.</w:t>
      </w:r>
    </w:p>
    <w:p w14:paraId="7247548F" w14:textId="77777777" w:rsidR="006234FC"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The interviews also revealed the flaws in the processes of incorporating the stakeholder input into the policy adaptation and implementation. Education officers recognized that feedback was occasionally gathered during meetings or training sessions but was never recorded systematically, or shared with higher decision-making bodies. In most instances, there was no indication that the concerns of stakeholders were pursued, which created the perception that their opinions did not contribute much to policy formulations. The quantitative results support this issue because the mean score in feedback incorporation was 2.54 indicating that feedback incorporation is not effectively practiced as there is no transparency in the channels.</w:t>
      </w:r>
    </w:p>
    <w:p w14:paraId="563C720C" w14:textId="77777777" w:rsidR="000616CA" w:rsidRPr="000955D4" w:rsidRDefault="006234FC" w:rsidP="00820F58">
      <w:pPr>
        <w:spacing w:after="0" w:line="240" w:lineRule="auto"/>
        <w:jc w:val="both"/>
        <w:rPr>
          <w:rFonts w:ascii="Times New Roman" w:hAnsi="Times New Roman" w:cs="Times New Roman"/>
        </w:rPr>
      </w:pPr>
      <w:r w:rsidRPr="000955D4">
        <w:rPr>
          <w:rFonts w:ascii="Times New Roman" w:hAnsi="Times New Roman" w:cs="Times New Roman"/>
        </w:rPr>
        <w:t>The interviews confirmed the finding that stakeholder awareness in Balambala Sub-County is moderate, divisive, and not well-institutionalized. The results of both the qualitative and the quantitative research findings point toward four key gaps, which include unequal levels of knowledge among the stakeholders, poor communication strategies, inadequate and inconsistent sensitization platforms, and limited stakeholder feedback in decision-making. All these obstacles compromise the possibilities of successful CBE implementation as community members, teachers, and parents should be aware of the changes, involved in the process, and own it. The current gaps will need to be addressed through coordinated awareness-raising activities, systematic capacity building, and the creation of inclusive platforms to communicate regularly, conduct training, and incorporate feedback.</w:t>
      </w:r>
      <w:bookmarkStart w:id="21" w:name="_Toc207009314"/>
    </w:p>
    <w:p w14:paraId="4A650172" w14:textId="277AB05C" w:rsidR="00744FEA" w:rsidRPr="000955D4" w:rsidRDefault="00744FEA" w:rsidP="00820F58">
      <w:pPr>
        <w:spacing w:after="0" w:line="240" w:lineRule="auto"/>
        <w:jc w:val="both"/>
        <w:rPr>
          <w:rFonts w:ascii="Times New Roman" w:hAnsi="Times New Roman" w:cs="Times New Roman"/>
        </w:rPr>
      </w:pPr>
      <w:r w:rsidRPr="000955D4">
        <w:rPr>
          <w:rFonts w:ascii="Times New Roman" w:eastAsia="Times New Roman" w:hAnsi="Times New Roman" w:cs="Times New Roman"/>
          <w:kern w:val="0"/>
          <w:lang w:val="en-GB" w:eastAsia="en-GB"/>
          <w14:ligatures w14:val="none"/>
        </w:rPr>
        <w:t xml:space="preserve">Correlation analysis showed that the awareness of stakeholders (teachers and headteachers) had a strong and positive </w:t>
      </w:r>
      <w:r w:rsidR="004A14F1">
        <w:rPr>
          <w:rFonts w:ascii="Times New Roman" w:eastAsia="Times New Roman" w:hAnsi="Times New Roman" w:cs="Times New Roman"/>
          <w:kern w:val="0"/>
          <w:lang w:val="en-GB" w:eastAsia="en-GB"/>
          <w14:ligatures w14:val="none"/>
        </w:rPr>
        <w:t xml:space="preserve">with </w:t>
      </w:r>
      <w:r w:rsidR="004A14F1" w:rsidRPr="000955D4">
        <w:rPr>
          <w:rFonts w:ascii="Times New Roman" w:eastAsia="Times New Roman" w:hAnsi="Times New Roman" w:cs="Times New Roman"/>
          <w:kern w:val="0"/>
          <w:lang w:val="en-GB" w:eastAsia="en-GB"/>
          <w14:ligatures w14:val="none"/>
        </w:rPr>
        <w:t xml:space="preserve">relation </w:t>
      </w:r>
      <w:r w:rsidR="004340C4">
        <w:rPr>
          <w:rFonts w:ascii="Times New Roman" w:eastAsia="Times New Roman" w:hAnsi="Times New Roman" w:cs="Times New Roman"/>
          <w:kern w:val="0"/>
          <w:lang w:val="en-GB" w:eastAsia="en-GB"/>
          <w14:ligatures w14:val="none"/>
        </w:rPr>
        <w:t xml:space="preserve">with </w:t>
      </w:r>
      <w:r w:rsidR="004A14F1" w:rsidRPr="004A14F1">
        <w:rPr>
          <w:rFonts w:ascii="Times New Roman" w:eastAsia="Times New Roman" w:hAnsi="Times New Roman" w:cs="Times New Roman"/>
          <w:kern w:val="0"/>
          <w:lang w:val="en-GB" w:eastAsia="en-GB"/>
          <w14:ligatures w14:val="none"/>
        </w:rPr>
        <w:t xml:space="preserve">adaptability to </w:t>
      </w:r>
      <w:r w:rsidR="004A14F1">
        <w:rPr>
          <w:rFonts w:ascii="Times New Roman" w:eastAsia="Times New Roman" w:hAnsi="Times New Roman" w:cs="Times New Roman"/>
          <w:kern w:val="0"/>
          <w:lang w:val="en-GB" w:eastAsia="en-GB"/>
          <w14:ligatures w14:val="none"/>
        </w:rPr>
        <w:t>CBC</w:t>
      </w:r>
      <w:r w:rsidR="004A14F1" w:rsidRPr="004A14F1">
        <w:rPr>
          <w:rFonts w:ascii="Times New Roman" w:eastAsia="Times New Roman" w:hAnsi="Times New Roman" w:cs="Times New Roman"/>
          <w:kern w:val="0"/>
          <w:lang w:val="en-GB" w:eastAsia="en-GB"/>
          <w14:ligatures w14:val="none"/>
        </w:rPr>
        <w:t xml:space="preserve"> system in Balambala sub-county, Kenya</w:t>
      </w:r>
      <w:r w:rsidRPr="000955D4">
        <w:rPr>
          <w:rFonts w:ascii="Times New Roman" w:eastAsia="Times New Roman" w:hAnsi="Times New Roman" w:cs="Times New Roman"/>
          <w:kern w:val="0"/>
          <w:lang w:val="en-GB" w:eastAsia="en-GB"/>
          <w14:ligatures w14:val="none"/>
        </w:rPr>
        <w:t xml:space="preserve"> </w:t>
      </w:r>
      <w:r w:rsidR="004A14F1">
        <w:rPr>
          <w:rFonts w:ascii="Times New Roman" w:eastAsia="Times New Roman" w:hAnsi="Times New Roman" w:cs="Times New Roman"/>
          <w:kern w:val="0"/>
          <w:lang w:val="en-GB" w:eastAsia="en-GB"/>
          <w14:ligatures w14:val="none"/>
        </w:rPr>
        <w:t>(</w:t>
      </w:r>
      <w:r w:rsidRPr="000955D4">
        <w:rPr>
          <w:rFonts w:ascii="Times New Roman" w:eastAsia="Times New Roman" w:hAnsi="Times New Roman" w:cs="Times New Roman"/>
          <w:kern w:val="0"/>
          <w:lang w:val="en-GB" w:eastAsia="en-GB"/>
          <w14:ligatures w14:val="none"/>
        </w:rPr>
        <w:t>r = .711 (p &lt;.05). Th</w:t>
      </w:r>
      <w:r w:rsidR="0074698B">
        <w:rPr>
          <w:rFonts w:ascii="Times New Roman" w:eastAsia="Times New Roman" w:hAnsi="Times New Roman" w:cs="Times New Roman"/>
          <w:kern w:val="0"/>
          <w:lang w:val="en-GB" w:eastAsia="en-GB"/>
          <w14:ligatures w14:val="none"/>
        </w:rPr>
        <w:t>e results</w:t>
      </w:r>
      <w:r w:rsidRPr="000955D4">
        <w:rPr>
          <w:rFonts w:ascii="Times New Roman" w:eastAsia="Times New Roman" w:hAnsi="Times New Roman" w:cs="Times New Roman"/>
          <w:kern w:val="0"/>
          <w:lang w:val="en-GB" w:eastAsia="en-GB"/>
          <w14:ligatures w14:val="none"/>
        </w:rPr>
        <w:t xml:space="preserve"> indicate</w:t>
      </w:r>
      <w:r w:rsidR="0074698B">
        <w:rPr>
          <w:rFonts w:ascii="Times New Roman" w:eastAsia="Times New Roman" w:hAnsi="Times New Roman" w:cs="Times New Roman"/>
          <w:kern w:val="0"/>
          <w:lang w:val="en-GB" w:eastAsia="en-GB"/>
          <w14:ligatures w14:val="none"/>
        </w:rPr>
        <w:t>d</w:t>
      </w:r>
      <w:r w:rsidRPr="000955D4">
        <w:rPr>
          <w:rFonts w:ascii="Times New Roman" w:eastAsia="Times New Roman" w:hAnsi="Times New Roman" w:cs="Times New Roman"/>
          <w:kern w:val="0"/>
          <w:lang w:val="en-GB" w:eastAsia="en-GB"/>
          <w14:ligatures w14:val="none"/>
        </w:rPr>
        <w:t xml:space="preserve"> that well-informed educators are better placed to allocate resources (r = .642</w:t>
      </w:r>
      <w:r w:rsidR="004340C4">
        <w:rPr>
          <w:rFonts w:ascii="Times New Roman" w:eastAsia="Times New Roman" w:hAnsi="Times New Roman" w:cs="Times New Roman"/>
          <w:kern w:val="0"/>
          <w:lang w:val="en-GB" w:eastAsia="en-GB"/>
          <w14:ligatures w14:val="none"/>
        </w:rPr>
        <w:t>; p&lt;0.01</w:t>
      </w:r>
      <w:r w:rsidRPr="000955D4">
        <w:rPr>
          <w:rFonts w:ascii="Times New Roman" w:eastAsia="Times New Roman" w:hAnsi="Times New Roman" w:cs="Times New Roman"/>
          <w:kern w:val="0"/>
          <w:lang w:val="en-GB" w:eastAsia="en-GB"/>
          <w14:ligatures w14:val="none"/>
        </w:rPr>
        <w:t>), engage in regular monitoring (r = .587</w:t>
      </w:r>
      <w:r w:rsidR="004340C4">
        <w:rPr>
          <w:rFonts w:ascii="Times New Roman" w:eastAsia="Times New Roman" w:hAnsi="Times New Roman" w:cs="Times New Roman"/>
          <w:kern w:val="0"/>
          <w:lang w:val="en-GB" w:eastAsia="en-GB"/>
          <w14:ligatures w14:val="none"/>
        </w:rPr>
        <w:t>; p&lt;0.01</w:t>
      </w:r>
      <w:r w:rsidRPr="000955D4">
        <w:rPr>
          <w:rFonts w:ascii="Times New Roman" w:eastAsia="Times New Roman" w:hAnsi="Times New Roman" w:cs="Times New Roman"/>
          <w:kern w:val="0"/>
          <w:lang w:val="en-GB" w:eastAsia="en-GB"/>
          <w14:ligatures w14:val="none"/>
        </w:rPr>
        <w:t xml:space="preserve">) and create environments that lead to learner adaptability. The findings of the study show the importance of sensitization of teachers to facilitate an efficient implementation of CBC through resource combination and monitoring of resource use. </w:t>
      </w:r>
      <w:r w:rsidR="004A14F1">
        <w:rPr>
          <w:rFonts w:ascii="Times New Roman" w:eastAsia="Times New Roman" w:hAnsi="Times New Roman" w:cs="Times New Roman"/>
          <w:kern w:val="0"/>
          <w:lang w:val="en-GB" w:eastAsia="en-GB"/>
          <w14:ligatures w14:val="none"/>
        </w:rPr>
        <w:t>The inferential results</w:t>
      </w:r>
      <w:r w:rsidRPr="000955D4">
        <w:rPr>
          <w:rFonts w:ascii="Times New Roman" w:eastAsia="Times New Roman" w:hAnsi="Times New Roman" w:cs="Times New Roman"/>
          <w:kern w:val="0"/>
          <w:lang w:val="en-GB" w:eastAsia="en-GB"/>
          <w14:ligatures w14:val="none"/>
        </w:rPr>
        <w:t xml:space="preserve"> revealed a high positive correlation between </w:t>
      </w:r>
      <w:r w:rsidR="004340C4">
        <w:rPr>
          <w:rFonts w:ascii="Times New Roman" w:eastAsia="Times New Roman" w:hAnsi="Times New Roman" w:cs="Times New Roman"/>
          <w:kern w:val="0"/>
          <w:lang w:val="en-GB" w:eastAsia="en-GB"/>
          <w14:ligatures w14:val="none"/>
        </w:rPr>
        <w:t xml:space="preserve">parents as </w:t>
      </w:r>
      <w:r w:rsidRPr="000955D4">
        <w:rPr>
          <w:rFonts w:ascii="Times New Roman" w:eastAsia="Times New Roman" w:hAnsi="Times New Roman" w:cs="Times New Roman"/>
          <w:kern w:val="0"/>
          <w:lang w:val="en-GB" w:eastAsia="en-GB"/>
          <w14:ligatures w14:val="none"/>
        </w:rPr>
        <w:t xml:space="preserve">stakeholder awareness and </w:t>
      </w:r>
      <w:r w:rsidR="004340C4" w:rsidRPr="004A14F1">
        <w:rPr>
          <w:rFonts w:ascii="Times New Roman" w:eastAsia="Times New Roman" w:hAnsi="Times New Roman" w:cs="Times New Roman"/>
          <w:kern w:val="0"/>
          <w:lang w:val="en-GB" w:eastAsia="en-GB"/>
          <w14:ligatures w14:val="none"/>
        </w:rPr>
        <w:t xml:space="preserve">adaptability to </w:t>
      </w:r>
      <w:r w:rsidR="004340C4">
        <w:rPr>
          <w:rFonts w:ascii="Times New Roman" w:eastAsia="Times New Roman" w:hAnsi="Times New Roman" w:cs="Times New Roman"/>
          <w:kern w:val="0"/>
          <w:lang w:val="en-GB" w:eastAsia="en-GB"/>
          <w14:ligatures w14:val="none"/>
        </w:rPr>
        <w:t>CBC</w:t>
      </w:r>
      <w:r w:rsidR="004340C4" w:rsidRPr="004A14F1">
        <w:rPr>
          <w:rFonts w:ascii="Times New Roman" w:eastAsia="Times New Roman" w:hAnsi="Times New Roman" w:cs="Times New Roman"/>
          <w:kern w:val="0"/>
          <w:lang w:val="en-GB" w:eastAsia="en-GB"/>
          <w14:ligatures w14:val="none"/>
        </w:rPr>
        <w:t xml:space="preserve"> system in Balambala sub-county, Kenya</w:t>
      </w:r>
      <w:r w:rsidR="004340C4" w:rsidRPr="000955D4">
        <w:rPr>
          <w:rFonts w:ascii="Times New Roman" w:eastAsia="Times New Roman" w:hAnsi="Times New Roman" w:cs="Times New Roman"/>
          <w:kern w:val="0"/>
          <w:lang w:val="en-GB" w:eastAsia="en-GB"/>
          <w14:ligatures w14:val="none"/>
        </w:rPr>
        <w:t xml:space="preserve"> </w:t>
      </w:r>
      <w:r w:rsidRPr="000955D4">
        <w:rPr>
          <w:rFonts w:ascii="Times New Roman" w:eastAsia="Times New Roman" w:hAnsi="Times New Roman" w:cs="Times New Roman"/>
          <w:kern w:val="0"/>
          <w:lang w:val="en-GB" w:eastAsia="en-GB"/>
          <w14:ligatures w14:val="none"/>
        </w:rPr>
        <w:t>(r = .771, p =.000</w:t>
      </w:r>
      <w:r w:rsidR="004340C4">
        <w:rPr>
          <w:rFonts w:ascii="Times New Roman" w:eastAsia="Times New Roman" w:hAnsi="Times New Roman" w:cs="Times New Roman"/>
          <w:kern w:val="0"/>
          <w:lang w:val="en-GB" w:eastAsia="en-GB"/>
          <w14:ligatures w14:val="none"/>
        </w:rPr>
        <w:t xml:space="preserve">). Based on </w:t>
      </w:r>
      <w:r w:rsidR="0074698B">
        <w:rPr>
          <w:rFonts w:ascii="Times New Roman" w:eastAsia="Times New Roman" w:hAnsi="Times New Roman" w:cs="Times New Roman"/>
          <w:kern w:val="0"/>
          <w:lang w:val="en-GB" w:eastAsia="en-GB"/>
          <w14:ligatures w14:val="none"/>
        </w:rPr>
        <w:t>results</w:t>
      </w:r>
      <w:r w:rsidRPr="000955D4">
        <w:rPr>
          <w:rFonts w:ascii="Times New Roman" w:eastAsia="Times New Roman" w:hAnsi="Times New Roman" w:cs="Times New Roman"/>
          <w:kern w:val="0"/>
          <w:lang w:val="en-GB" w:eastAsia="en-GB"/>
          <w14:ligatures w14:val="none"/>
        </w:rPr>
        <w:t xml:space="preserve"> informed parents are likely to support resource allocation (r =.552</w:t>
      </w:r>
      <w:r w:rsidR="004340C4">
        <w:rPr>
          <w:rFonts w:ascii="Times New Roman" w:eastAsia="Times New Roman" w:hAnsi="Times New Roman" w:cs="Times New Roman"/>
          <w:kern w:val="0"/>
          <w:lang w:val="en-GB" w:eastAsia="en-GB"/>
          <w14:ligatures w14:val="none"/>
        </w:rPr>
        <w:t>; p&lt;0.01</w:t>
      </w:r>
      <w:r w:rsidRPr="000955D4">
        <w:rPr>
          <w:rFonts w:ascii="Times New Roman" w:eastAsia="Times New Roman" w:hAnsi="Times New Roman" w:cs="Times New Roman"/>
          <w:kern w:val="0"/>
          <w:lang w:val="en-GB" w:eastAsia="en-GB"/>
          <w14:ligatures w14:val="none"/>
        </w:rPr>
        <w:t>), taking part in monitoring (r =.687</w:t>
      </w:r>
      <w:r w:rsidR="004340C4">
        <w:rPr>
          <w:rFonts w:ascii="Times New Roman" w:eastAsia="Times New Roman" w:hAnsi="Times New Roman" w:cs="Times New Roman"/>
          <w:kern w:val="0"/>
          <w:lang w:val="en-GB" w:eastAsia="en-GB"/>
          <w14:ligatures w14:val="none"/>
        </w:rPr>
        <w:t>; p&lt;0.01</w:t>
      </w:r>
      <w:r w:rsidRPr="000955D4">
        <w:rPr>
          <w:rFonts w:ascii="Times New Roman" w:eastAsia="Times New Roman" w:hAnsi="Times New Roman" w:cs="Times New Roman"/>
          <w:kern w:val="0"/>
          <w:lang w:val="en-GB" w:eastAsia="en-GB"/>
          <w14:ligatures w14:val="none"/>
        </w:rPr>
        <w:t>), and perceiving the curriculum as responsive to the needs of learners (r =.798)</w:t>
      </w:r>
      <w:r w:rsidR="004340C4" w:rsidRPr="004340C4">
        <w:rPr>
          <w:rFonts w:ascii="Times New Roman" w:eastAsia="Times New Roman" w:hAnsi="Times New Roman" w:cs="Times New Roman"/>
          <w:kern w:val="0"/>
          <w:lang w:val="en-GB" w:eastAsia="en-GB"/>
          <w14:ligatures w14:val="none"/>
        </w:rPr>
        <w:t xml:space="preserve"> </w:t>
      </w:r>
      <w:r w:rsidR="004340C4">
        <w:rPr>
          <w:rFonts w:ascii="Times New Roman" w:eastAsia="Times New Roman" w:hAnsi="Times New Roman" w:cs="Times New Roman"/>
          <w:kern w:val="0"/>
          <w:lang w:val="en-GB" w:eastAsia="en-GB"/>
          <w14:ligatures w14:val="none"/>
        </w:rPr>
        <w:t>; p&lt;0.01</w:t>
      </w:r>
      <w:r w:rsidR="0074698B">
        <w:rPr>
          <w:rFonts w:ascii="Times New Roman" w:eastAsia="Times New Roman" w:hAnsi="Times New Roman" w:cs="Times New Roman"/>
          <w:kern w:val="0"/>
          <w:lang w:val="en-GB" w:eastAsia="en-GB"/>
          <w14:ligatures w14:val="none"/>
        </w:rPr>
        <w:t xml:space="preserve">). This </w:t>
      </w:r>
      <w:r w:rsidRPr="000955D4">
        <w:rPr>
          <w:rFonts w:ascii="Times New Roman" w:eastAsia="Times New Roman" w:hAnsi="Times New Roman" w:cs="Times New Roman"/>
          <w:kern w:val="0"/>
          <w:lang w:val="en-GB" w:eastAsia="en-GB"/>
          <w14:ligatures w14:val="none"/>
        </w:rPr>
        <w:t>shows that in those cases when parents are actively involved in monitoring progress and providing feedback, they believe that CBC is more flexible and effective. These findings once again strengthen the importance of parental involvement in the validation of curriculum achievement.</w:t>
      </w:r>
    </w:p>
    <w:p w14:paraId="354298C7" w14:textId="77777777" w:rsidR="00473F46" w:rsidRDefault="00473F46" w:rsidP="00820F58">
      <w:pPr>
        <w:pStyle w:val="Heading1"/>
        <w:spacing w:before="0" w:after="0" w:line="240" w:lineRule="auto"/>
        <w:jc w:val="both"/>
        <w:rPr>
          <w:rFonts w:ascii="Times New Roman" w:hAnsi="Times New Roman" w:cs="Times New Roman"/>
          <w:b/>
          <w:bCs/>
          <w:color w:val="auto"/>
          <w:sz w:val="24"/>
          <w:szCs w:val="24"/>
        </w:rPr>
      </w:pPr>
    </w:p>
    <w:p w14:paraId="582C9546" w14:textId="43873680" w:rsidR="00A00496" w:rsidRPr="000955D4" w:rsidRDefault="00A00496" w:rsidP="00820F58">
      <w:pPr>
        <w:pStyle w:val="Heading1"/>
        <w:spacing w:before="0" w:after="0" w:line="240" w:lineRule="auto"/>
        <w:jc w:val="both"/>
        <w:rPr>
          <w:rFonts w:ascii="Times New Roman" w:hAnsi="Times New Roman" w:cs="Times New Roman"/>
          <w:b/>
          <w:bCs/>
          <w:color w:val="auto"/>
          <w:sz w:val="24"/>
          <w:szCs w:val="24"/>
        </w:rPr>
      </w:pPr>
      <w:r w:rsidRPr="000955D4">
        <w:rPr>
          <w:rFonts w:ascii="Times New Roman" w:hAnsi="Times New Roman" w:cs="Times New Roman"/>
          <w:b/>
          <w:bCs/>
          <w:color w:val="auto"/>
          <w:sz w:val="24"/>
          <w:szCs w:val="24"/>
        </w:rPr>
        <w:t>Conclusion</w:t>
      </w:r>
      <w:bookmarkEnd w:id="21"/>
    </w:p>
    <w:p w14:paraId="6CD8F89D" w14:textId="77777777" w:rsidR="008809A5" w:rsidRPr="000955D4" w:rsidRDefault="008809A5" w:rsidP="00820F58">
      <w:pPr>
        <w:spacing w:after="0" w:line="240" w:lineRule="auto"/>
        <w:jc w:val="both"/>
        <w:rPr>
          <w:rFonts w:ascii="Times New Roman" w:hAnsi="Times New Roman" w:cs="Times New Roman"/>
        </w:rPr>
      </w:pPr>
      <w:r w:rsidRPr="000955D4">
        <w:rPr>
          <w:rFonts w:ascii="Times New Roman" w:hAnsi="Times New Roman" w:cs="Times New Roman"/>
        </w:rPr>
        <w:t>As per findings, it was clear that stakeholder awareness was a major factor towards the successful use of the CBE system in the scenario of Balambala Sub-County. Even though certain stakeholders had a rudimentary knowledge of the CBE purpose and their role, the varied level of awareness of the objectives and inadequate engagement in the process of decision making resulted in the creation of serious problems in the way of the smooth implementation. The low scores in the workshops, information access, and communication channels implied that the available arrangements were not good enough to support continued stakeholder participation, which might in turn hamper the success of the entire initiative on curriculum reforms. These positive relationships confirmed the effect of improving the awareness of the stakeholders on the adaptivity of the system, and therefore, supported the conclusion that the key role in the implementation of CBE was played by complete engagement and continuous information sharing. The study concluded that stakeholders’ awareness was moderately evident among parents, with many recognizing the goals of the Competency-Based Curriculum but still demonstrating gaps in understanding its demands and long-term implications. Strengthening sensitization and continuous engagement with parents and the community is therefore critical to enhance their informed participation and support for successful implementation.</w:t>
      </w:r>
    </w:p>
    <w:p w14:paraId="36D5CF87" w14:textId="77777777" w:rsidR="00473F46" w:rsidRDefault="00473F46" w:rsidP="00820F58">
      <w:pPr>
        <w:pStyle w:val="Heading1"/>
        <w:spacing w:before="0" w:after="0" w:line="240" w:lineRule="auto"/>
        <w:jc w:val="both"/>
        <w:rPr>
          <w:rFonts w:ascii="Times New Roman" w:hAnsi="Times New Roman" w:cs="Times New Roman"/>
          <w:b/>
          <w:bCs/>
          <w:color w:val="auto"/>
          <w:sz w:val="24"/>
          <w:szCs w:val="24"/>
        </w:rPr>
      </w:pPr>
      <w:bookmarkStart w:id="22" w:name="_Toc207009315"/>
    </w:p>
    <w:p w14:paraId="1EABC497" w14:textId="2DF54E9E" w:rsidR="00A00496" w:rsidRPr="000955D4" w:rsidRDefault="00A00496" w:rsidP="00820F58">
      <w:pPr>
        <w:pStyle w:val="Heading1"/>
        <w:spacing w:before="0" w:after="0" w:line="240" w:lineRule="auto"/>
        <w:jc w:val="both"/>
        <w:rPr>
          <w:rFonts w:ascii="Times New Roman" w:hAnsi="Times New Roman" w:cs="Times New Roman"/>
          <w:b/>
          <w:bCs/>
          <w:color w:val="auto"/>
          <w:sz w:val="24"/>
          <w:szCs w:val="24"/>
        </w:rPr>
      </w:pPr>
      <w:r w:rsidRPr="000955D4">
        <w:rPr>
          <w:rFonts w:ascii="Times New Roman" w:hAnsi="Times New Roman" w:cs="Times New Roman"/>
          <w:b/>
          <w:bCs/>
          <w:color w:val="auto"/>
          <w:sz w:val="24"/>
          <w:szCs w:val="24"/>
        </w:rPr>
        <w:t>Recommendations</w:t>
      </w:r>
      <w:bookmarkEnd w:id="22"/>
      <w:r w:rsidRPr="000955D4">
        <w:rPr>
          <w:rFonts w:ascii="Times New Roman" w:hAnsi="Times New Roman" w:cs="Times New Roman"/>
          <w:b/>
          <w:bCs/>
          <w:color w:val="auto"/>
          <w:sz w:val="24"/>
          <w:szCs w:val="24"/>
        </w:rPr>
        <w:t xml:space="preserve"> </w:t>
      </w:r>
    </w:p>
    <w:p w14:paraId="1B875507" w14:textId="603C2AF4" w:rsidR="00F57628" w:rsidRPr="000955D4" w:rsidRDefault="007F7D6D" w:rsidP="00820F58">
      <w:pPr>
        <w:spacing w:after="0" w:line="240" w:lineRule="auto"/>
        <w:jc w:val="both"/>
        <w:rPr>
          <w:rFonts w:ascii="Times New Roman" w:hAnsi="Times New Roman" w:cs="Times New Roman"/>
        </w:rPr>
      </w:pPr>
      <w:r w:rsidRPr="000955D4">
        <w:rPr>
          <w:rFonts w:ascii="Times New Roman" w:hAnsi="Times New Roman" w:cs="Times New Roman"/>
        </w:rPr>
        <w:t>I</w:t>
      </w:r>
      <w:r w:rsidR="00E44137" w:rsidRPr="000955D4">
        <w:rPr>
          <w:rFonts w:ascii="Times New Roman" w:hAnsi="Times New Roman" w:cs="Times New Roman"/>
        </w:rPr>
        <w:t>t was proposed that the parents, teachers and headteachers should be actively involved in capacity building programs that are conducted by the Ministry of Education and other organizations. This could incorporate frequent workshops and training programs that would increase awareness and knowledge of the CBE system. Parents ought to be urged to talk and be well informed, teachers and headteachers ought to spearhead in establishing proper communication channels that will enable the easy access of the information in the curriculum by all stakeholders. A participatory process, in which parents, teachers and local leaders contribute equally to the planning and decision making process, was regarded as crucial in the creation of ownership and accountability. In addition, mechanisms of feedback ought to be institutionalized in such a manner that the opinions of parents, teachers, and headteachers can be systematically integrated in the process of policy adaptation and implementation hence building trust, cooperation, and better performance of CBE system in Balambala Sub-County.</w:t>
      </w:r>
      <w:r w:rsidR="003E1F31" w:rsidRPr="000955D4">
        <w:rPr>
          <w:rFonts w:ascii="Times New Roman" w:hAnsi="Times New Roman" w:cs="Times New Roman"/>
        </w:rPr>
        <w:t xml:space="preserve"> Further study should be on the influence of parental involvement on the successful implementation of the competency-based curriculum in Kenyan Primary Schools.</w:t>
      </w:r>
      <w:bookmarkStart w:id="23" w:name="_Toc206306158"/>
    </w:p>
    <w:p w14:paraId="4BED4485" w14:textId="24851B3B" w:rsidR="000955D4" w:rsidRPr="000955D4" w:rsidRDefault="000955D4" w:rsidP="000955D4">
      <w:pPr>
        <w:pStyle w:val="Heading1"/>
        <w:rPr>
          <w:rFonts w:ascii="Times New Roman" w:hAnsi="Times New Roman" w:cs="Times New Roman"/>
          <w:b/>
          <w:bCs/>
          <w:color w:val="auto"/>
          <w:sz w:val="24"/>
          <w:szCs w:val="24"/>
        </w:rPr>
      </w:pPr>
      <w:r w:rsidRPr="000955D4">
        <w:rPr>
          <w:rFonts w:ascii="Times New Roman" w:hAnsi="Times New Roman" w:cs="Times New Roman"/>
          <w:b/>
          <w:bCs/>
          <w:color w:val="auto"/>
          <w:sz w:val="24"/>
          <w:szCs w:val="24"/>
        </w:rPr>
        <w:t>Practical Implications</w:t>
      </w:r>
    </w:p>
    <w:p w14:paraId="686A8D63" w14:textId="174E171B" w:rsidR="000955D4" w:rsidRPr="000955D4" w:rsidRDefault="000955D4" w:rsidP="000955D4">
      <w:p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The findings of this study underscore the practical importance of stakeholder awareness in the effective implementation of the Competency-Based Education (CBE) system in Balambala Sub-County. The strong and statistically significant correlation between stakeholder awareness and curriculum adaptability</w:t>
      </w:r>
      <w:r>
        <w:rPr>
          <w:rFonts w:ascii="Times New Roman" w:eastAsiaTheme="majorEastAsia" w:hAnsi="Times New Roman" w:cs="Times New Roman"/>
        </w:rPr>
        <w:t xml:space="preserve"> </w:t>
      </w:r>
      <w:r w:rsidRPr="000955D4">
        <w:rPr>
          <w:rFonts w:ascii="Times New Roman" w:eastAsiaTheme="majorEastAsia" w:hAnsi="Times New Roman" w:cs="Times New Roman"/>
        </w:rPr>
        <w:t>play a pivotal role in enhancing the responsiveness and success of educational reforms.</w:t>
      </w:r>
    </w:p>
    <w:p w14:paraId="5ABEFE75" w14:textId="59E21FAC" w:rsidR="000955D4" w:rsidRPr="000955D4" w:rsidRDefault="000955D4" w:rsidP="000955D4">
      <w:p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 xml:space="preserve">These results point to the critical need for continuous professional development programs that enhance teacher capacity and facilitate regular engagement with evolving CBE frameworks. </w:t>
      </w:r>
      <w:r>
        <w:rPr>
          <w:rFonts w:ascii="Times New Roman" w:eastAsiaTheme="majorEastAsia" w:hAnsi="Times New Roman" w:cs="Times New Roman"/>
        </w:rPr>
        <w:t>W</w:t>
      </w:r>
      <w:r w:rsidRPr="000955D4">
        <w:rPr>
          <w:rFonts w:ascii="Times New Roman" w:eastAsiaTheme="majorEastAsia" w:hAnsi="Times New Roman" w:cs="Times New Roman"/>
        </w:rPr>
        <w:t>hen parents are informed and engaged, they significantly enhance the curriculum's capacity to meet learner needs.</w:t>
      </w:r>
    </w:p>
    <w:p w14:paraId="6C34B321" w14:textId="77777777" w:rsidR="000955D4" w:rsidRPr="000955D4" w:rsidRDefault="000955D4" w:rsidP="000955D4">
      <w:p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In practice, the findings suggest that stakeholder awareness is not a peripheral concern but a foundational requirement for successful CBE rollout. Implementation strategies must therefore prioritize structured, sustained, and inclusive communication and training efforts at all levels.</w:t>
      </w:r>
    </w:p>
    <w:p w14:paraId="04B94260" w14:textId="77777777" w:rsidR="000955D4" w:rsidRPr="000955D4" w:rsidRDefault="000955D4" w:rsidP="000955D4">
      <w:pPr>
        <w:pStyle w:val="Heading1"/>
        <w:rPr>
          <w:rFonts w:ascii="Times New Roman" w:hAnsi="Times New Roman" w:cs="Times New Roman"/>
          <w:b/>
          <w:bCs/>
          <w:color w:val="auto"/>
          <w:sz w:val="24"/>
          <w:szCs w:val="24"/>
        </w:rPr>
      </w:pPr>
      <w:r w:rsidRPr="000955D4">
        <w:rPr>
          <w:rFonts w:ascii="Times New Roman" w:hAnsi="Times New Roman" w:cs="Times New Roman"/>
          <w:b/>
          <w:bCs/>
          <w:color w:val="auto"/>
          <w:sz w:val="24"/>
          <w:szCs w:val="24"/>
        </w:rPr>
        <w:t>Social Significance</w:t>
      </w:r>
    </w:p>
    <w:p w14:paraId="35131F76" w14:textId="47E826E2" w:rsidR="000955D4" w:rsidRPr="000955D4" w:rsidRDefault="000955D4" w:rsidP="000955D4">
      <w:p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Beyond practical implementation, the study reveals deeper social implications. The gaps in communication, inconsistent sensitization efforts, and exclusion from decision-making processes reflect broader structural inequities in educational governance. The moderate to low awareness levels among parents and community members demonstrate how policy implementation can inadvertently reproduce patterns of marginalization when participation is not equitably structured.</w:t>
      </w:r>
      <w:r>
        <w:rPr>
          <w:rFonts w:ascii="Times New Roman" w:eastAsiaTheme="majorEastAsia" w:hAnsi="Times New Roman" w:cs="Times New Roman"/>
        </w:rPr>
        <w:t xml:space="preserve"> </w:t>
      </w:r>
      <w:r w:rsidRPr="000955D4">
        <w:rPr>
          <w:rFonts w:ascii="Times New Roman" w:eastAsiaTheme="majorEastAsia" w:hAnsi="Times New Roman" w:cs="Times New Roman"/>
        </w:rPr>
        <w:t>When stakeholders are treated as passive recipients rather than active agents, reforms struggle to gain traction. Conversely, participatory models can foster social ownership, build trust, and promote community-based solutions to education challenges. In this light, strengthening stakeholder awareness is not merely a technical need</w:t>
      </w:r>
      <w:r w:rsidR="0074698B">
        <w:rPr>
          <w:rFonts w:ascii="Times New Roman" w:eastAsiaTheme="majorEastAsia" w:hAnsi="Times New Roman" w:cs="Times New Roman"/>
        </w:rPr>
        <w:t xml:space="preserve">, </w:t>
      </w:r>
      <w:r w:rsidRPr="000955D4">
        <w:rPr>
          <w:rFonts w:ascii="Times New Roman" w:eastAsiaTheme="majorEastAsia" w:hAnsi="Times New Roman" w:cs="Times New Roman"/>
        </w:rPr>
        <w:t>it is a vehicle for democratizing education reform and reinforcing inclusive development.</w:t>
      </w:r>
    </w:p>
    <w:p w14:paraId="6464BDD1" w14:textId="77777777" w:rsidR="000955D4" w:rsidRPr="000955D4" w:rsidRDefault="000955D4" w:rsidP="000955D4">
      <w:pPr>
        <w:pStyle w:val="Heading1"/>
        <w:rPr>
          <w:rFonts w:ascii="Times New Roman" w:hAnsi="Times New Roman" w:cs="Times New Roman"/>
          <w:b/>
          <w:bCs/>
          <w:color w:val="auto"/>
          <w:sz w:val="24"/>
          <w:szCs w:val="24"/>
        </w:rPr>
      </w:pPr>
      <w:r w:rsidRPr="000955D4">
        <w:rPr>
          <w:rFonts w:ascii="Times New Roman" w:hAnsi="Times New Roman" w:cs="Times New Roman"/>
          <w:b/>
          <w:bCs/>
          <w:color w:val="auto"/>
          <w:sz w:val="24"/>
          <w:szCs w:val="24"/>
        </w:rPr>
        <w:t>Limitations of the Study</w:t>
      </w:r>
    </w:p>
    <w:p w14:paraId="07D2EF5E" w14:textId="77777777" w:rsidR="000955D4" w:rsidRPr="000955D4" w:rsidRDefault="000955D4" w:rsidP="000955D4">
      <w:p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While the study offers meaningful insights, it is important to recognize several limitations:</w:t>
      </w:r>
    </w:p>
    <w:p w14:paraId="4235A6F7" w14:textId="5F6AC2D4" w:rsidR="000955D4" w:rsidRPr="000955D4" w:rsidRDefault="000955D4" w:rsidP="000955D4">
      <w:pPr>
        <w:numPr>
          <w:ilvl w:val="0"/>
          <w:numId w:val="11"/>
        </w:num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The research was confined to Balambala Sub-County, a rural area with unique socio-economic dynamics. The findings may not fully generalize to urban or more resource-endowed contexts.</w:t>
      </w:r>
    </w:p>
    <w:p w14:paraId="1F5325F4" w14:textId="1DC11C88" w:rsidR="000955D4" w:rsidRPr="000955D4" w:rsidRDefault="000955D4" w:rsidP="000955D4">
      <w:pPr>
        <w:numPr>
          <w:ilvl w:val="0"/>
          <w:numId w:val="11"/>
        </w:num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he parent sample size was relatively small (only eight respondents), which limits the robustness of the quantitative data in that category and may not adequately represent the diverse perspectives within the broader parental community.</w:t>
      </w:r>
    </w:p>
    <w:p w14:paraId="53E3BB69" w14:textId="1470405C" w:rsidR="000955D4" w:rsidRPr="000955D4" w:rsidRDefault="000955D4" w:rsidP="000955D4">
      <w:pPr>
        <w:numPr>
          <w:ilvl w:val="0"/>
          <w:numId w:val="11"/>
        </w:num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As a cross-sectional study, the research captured stakeholder awareness at a single point in time. It does not account for potential shifts over time due to policy changes, training initiatives, or local interventions.</w:t>
      </w:r>
    </w:p>
    <w:p w14:paraId="6AA0E92F" w14:textId="77777777" w:rsidR="000955D4" w:rsidRPr="000955D4" w:rsidRDefault="000955D4" w:rsidP="000955D4">
      <w:pPr>
        <w:pStyle w:val="Heading1"/>
        <w:rPr>
          <w:rFonts w:ascii="Times New Roman" w:hAnsi="Times New Roman" w:cs="Times New Roman"/>
          <w:b/>
          <w:bCs/>
          <w:color w:val="auto"/>
          <w:sz w:val="24"/>
          <w:szCs w:val="24"/>
        </w:rPr>
      </w:pPr>
      <w:r w:rsidRPr="000955D4">
        <w:rPr>
          <w:rFonts w:ascii="Times New Roman" w:hAnsi="Times New Roman" w:cs="Times New Roman"/>
          <w:b/>
          <w:bCs/>
          <w:color w:val="auto"/>
          <w:sz w:val="24"/>
          <w:szCs w:val="24"/>
        </w:rPr>
        <w:t>Suggestions for Further Research</w:t>
      </w:r>
    </w:p>
    <w:p w14:paraId="3A1E9DEB" w14:textId="77777777" w:rsidR="000955D4" w:rsidRPr="000955D4" w:rsidRDefault="000955D4" w:rsidP="000955D4">
      <w:p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Given the identified limitations and the complexity of stakeholder engagement in educational reform, the following areas are recommended for further study:</w:t>
      </w:r>
    </w:p>
    <w:p w14:paraId="439D2526" w14:textId="3161D0AE" w:rsidR="000955D4" w:rsidRPr="000955D4" w:rsidRDefault="000955D4" w:rsidP="000955D4">
      <w:pPr>
        <w:numPr>
          <w:ilvl w:val="0"/>
          <w:numId w:val="12"/>
        </w:num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Future research should adopt a longitudinal approach to track changes in stakeholder awareness and engagement over time, especially in response to targeted interventions.</w:t>
      </w:r>
    </w:p>
    <w:p w14:paraId="7EA70867" w14:textId="108F7316" w:rsidR="000955D4" w:rsidRPr="000955D4" w:rsidRDefault="000955D4" w:rsidP="000955D4">
      <w:pPr>
        <w:numPr>
          <w:ilvl w:val="0"/>
          <w:numId w:val="12"/>
        </w:num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Conduct studies comparing urban and rural contexts to explore how location, infrastructure, and socioeconomic factors shape stakeholder awareness and participation in CBE.</w:t>
      </w:r>
    </w:p>
    <w:p w14:paraId="26E1C4BF" w14:textId="09E36423" w:rsidR="00820F58" w:rsidRDefault="000955D4" w:rsidP="00820F58">
      <w:pPr>
        <w:numPr>
          <w:ilvl w:val="0"/>
          <w:numId w:val="12"/>
        </w:numPr>
        <w:spacing w:after="0" w:line="240" w:lineRule="auto"/>
        <w:jc w:val="both"/>
        <w:rPr>
          <w:rFonts w:ascii="Times New Roman" w:eastAsiaTheme="majorEastAsia" w:hAnsi="Times New Roman" w:cs="Times New Roman"/>
        </w:rPr>
      </w:pPr>
      <w:r w:rsidRPr="000955D4">
        <w:rPr>
          <w:rFonts w:ascii="Times New Roman" w:eastAsiaTheme="majorEastAsia" w:hAnsi="Times New Roman" w:cs="Times New Roman"/>
        </w:rPr>
        <w:t>Investigate the pathways through which stakeholder feedback is (or is not) integrated into policy adaptation, with a focus on identifying bottlenecks and proposing models for inclusive policy development.</w:t>
      </w:r>
    </w:p>
    <w:p w14:paraId="738552DA" w14:textId="246667C3" w:rsidR="00E61EA7" w:rsidRDefault="00E61EA7" w:rsidP="00E61EA7">
      <w:pPr>
        <w:spacing w:after="0" w:line="240" w:lineRule="auto"/>
        <w:jc w:val="both"/>
        <w:rPr>
          <w:rFonts w:ascii="Times New Roman" w:eastAsiaTheme="majorEastAsia" w:hAnsi="Times New Roman" w:cs="Times New Roman"/>
        </w:rPr>
      </w:pPr>
    </w:p>
    <w:p w14:paraId="40E35BDF" w14:textId="77777777" w:rsidR="00E61EA7" w:rsidRPr="009C5487" w:rsidRDefault="00E61EA7" w:rsidP="00E61EA7">
      <w:pPr>
        <w:rPr>
          <w:rFonts w:ascii="Calibri" w:eastAsia="Calibri" w:hAnsi="Calibri" w:cs="Times New Roman"/>
          <w:highlight w:val="yellow"/>
        </w:rPr>
      </w:pPr>
      <w:bookmarkStart w:id="24" w:name="_Hlk197682619"/>
      <w:bookmarkStart w:id="25" w:name="_Hlk180402183"/>
      <w:bookmarkStart w:id="26" w:name="_Hlk183680988"/>
      <w:r w:rsidRPr="009C5487">
        <w:rPr>
          <w:rFonts w:ascii="Calibri" w:eastAsia="Calibri" w:hAnsi="Calibri" w:cs="Times New Roman"/>
          <w:highlight w:val="yellow"/>
        </w:rPr>
        <w:t>Disclaimer (Artificial intelligence)</w:t>
      </w:r>
    </w:p>
    <w:p w14:paraId="6D483FC4" w14:textId="77777777" w:rsidR="00E61EA7" w:rsidRPr="009C5487" w:rsidRDefault="00E61EA7" w:rsidP="00E61EA7">
      <w:pPr>
        <w:rPr>
          <w:rFonts w:ascii="Calibri" w:eastAsia="Calibri" w:hAnsi="Calibri" w:cs="Times New Roman"/>
          <w:highlight w:val="yellow"/>
        </w:rPr>
      </w:pPr>
      <w:r w:rsidRPr="009C5487">
        <w:rPr>
          <w:rFonts w:ascii="Calibri" w:eastAsia="Calibri" w:hAnsi="Calibri" w:cs="Times New Roman"/>
          <w:highlight w:val="yellow"/>
        </w:rPr>
        <w:t xml:space="preserve">Option 1: </w:t>
      </w:r>
    </w:p>
    <w:p w14:paraId="07C34688" w14:textId="77777777" w:rsidR="00E61EA7" w:rsidRPr="009C5487" w:rsidRDefault="00E61EA7" w:rsidP="00E61EA7">
      <w:pPr>
        <w:rPr>
          <w:rFonts w:ascii="Calibri" w:eastAsia="Calibri" w:hAnsi="Calibri" w:cs="Times New Roman"/>
          <w:highlight w:val="yellow"/>
        </w:rPr>
      </w:pPr>
      <w:r w:rsidRPr="009C5487">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p w14:paraId="69757A7D" w14:textId="77777777" w:rsidR="00E61EA7" w:rsidRPr="009C5487" w:rsidRDefault="00E61EA7" w:rsidP="00E61EA7">
      <w:pPr>
        <w:rPr>
          <w:rFonts w:ascii="Calibri" w:eastAsia="Calibri" w:hAnsi="Calibri" w:cs="Times New Roman"/>
          <w:highlight w:val="yellow"/>
        </w:rPr>
      </w:pPr>
      <w:r w:rsidRPr="009C5487">
        <w:rPr>
          <w:rFonts w:ascii="Calibri" w:eastAsia="Calibri" w:hAnsi="Calibri" w:cs="Times New Roman"/>
          <w:highlight w:val="yellow"/>
        </w:rPr>
        <w:t xml:space="preserve">Option 2: </w:t>
      </w:r>
    </w:p>
    <w:p w14:paraId="5AE8F842" w14:textId="77777777" w:rsidR="00E61EA7" w:rsidRPr="009C5487" w:rsidRDefault="00E61EA7" w:rsidP="00E61EA7">
      <w:pPr>
        <w:rPr>
          <w:rFonts w:ascii="Calibri" w:eastAsia="Calibri" w:hAnsi="Calibri" w:cs="Times New Roman"/>
          <w:highlight w:val="yellow"/>
        </w:rPr>
      </w:pPr>
      <w:r w:rsidRPr="009C5487">
        <w:rPr>
          <w:rFonts w:ascii="Calibri" w:eastAsia="Calibri" w:hAnsi="Calibri" w:cs="Times New Roman"/>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688D691" w14:textId="77777777" w:rsidR="00E61EA7" w:rsidRPr="009C5487" w:rsidRDefault="00E61EA7" w:rsidP="00E61EA7">
      <w:pPr>
        <w:rPr>
          <w:rFonts w:ascii="Calibri" w:eastAsia="Calibri" w:hAnsi="Calibri" w:cs="Times New Roman"/>
          <w:highlight w:val="yellow"/>
        </w:rPr>
      </w:pPr>
      <w:r w:rsidRPr="009C5487">
        <w:rPr>
          <w:rFonts w:ascii="Calibri" w:eastAsia="Calibri" w:hAnsi="Calibri" w:cs="Times New Roman"/>
          <w:highlight w:val="yellow"/>
        </w:rPr>
        <w:t>Details of the AI usage are given below:</w:t>
      </w:r>
    </w:p>
    <w:p w14:paraId="3A9C434E" w14:textId="77777777" w:rsidR="00E61EA7" w:rsidRPr="009C5487" w:rsidRDefault="00E61EA7" w:rsidP="00E61EA7">
      <w:pPr>
        <w:rPr>
          <w:rFonts w:ascii="Calibri" w:eastAsia="Calibri" w:hAnsi="Calibri" w:cs="Times New Roman"/>
          <w:highlight w:val="yellow"/>
        </w:rPr>
      </w:pPr>
      <w:r w:rsidRPr="009C5487">
        <w:rPr>
          <w:rFonts w:ascii="Calibri" w:eastAsia="Calibri" w:hAnsi="Calibri" w:cs="Times New Roman"/>
          <w:highlight w:val="yellow"/>
        </w:rPr>
        <w:t>1.</w:t>
      </w:r>
    </w:p>
    <w:p w14:paraId="17CEDDE2" w14:textId="77777777" w:rsidR="00E61EA7" w:rsidRPr="009C5487" w:rsidRDefault="00E61EA7" w:rsidP="00E61EA7">
      <w:pPr>
        <w:rPr>
          <w:rFonts w:ascii="Calibri" w:eastAsia="Calibri" w:hAnsi="Calibri" w:cs="Times New Roman"/>
          <w:highlight w:val="yellow"/>
        </w:rPr>
      </w:pPr>
      <w:r w:rsidRPr="009C5487">
        <w:rPr>
          <w:rFonts w:ascii="Calibri" w:eastAsia="Calibri" w:hAnsi="Calibri" w:cs="Times New Roman"/>
          <w:highlight w:val="yellow"/>
        </w:rPr>
        <w:t>2.</w:t>
      </w:r>
    </w:p>
    <w:p w14:paraId="7622D2B5" w14:textId="77777777" w:rsidR="00E61EA7" w:rsidRPr="009C5487" w:rsidRDefault="00E61EA7" w:rsidP="00E61EA7">
      <w:pPr>
        <w:rPr>
          <w:rFonts w:ascii="Calibri" w:eastAsia="Calibri" w:hAnsi="Calibri" w:cs="Times New Roman"/>
        </w:rPr>
      </w:pPr>
      <w:bookmarkStart w:id="27" w:name="_Hlk197682629"/>
      <w:bookmarkEnd w:id="24"/>
      <w:r w:rsidRPr="009C5487">
        <w:rPr>
          <w:rFonts w:ascii="Calibri" w:eastAsia="Calibri" w:hAnsi="Calibri" w:cs="Times New Roman"/>
          <w:highlight w:val="yellow"/>
        </w:rPr>
        <w:t>3.</w:t>
      </w:r>
    </w:p>
    <w:bookmarkEnd w:id="25"/>
    <w:bookmarkEnd w:id="26"/>
    <w:bookmarkEnd w:id="27"/>
    <w:p w14:paraId="07A76482" w14:textId="77777777" w:rsidR="00E61EA7" w:rsidRPr="000955D4" w:rsidRDefault="00E61EA7" w:rsidP="00E61EA7">
      <w:pPr>
        <w:spacing w:after="0" w:line="240" w:lineRule="auto"/>
        <w:jc w:val="both"/>
        <w:rPr>
          <w:rFonts w:ascii="Times New Roman" w:eastAsiaTheme="majorEastAsia" w:hAnsi="Times New Roman" w:cs="Times New Roman"/>
        </w:rPr>
      </w:pPr>
    </w:p>
    <w:p w14:paraId="227BB7FC" w14:textId="77777777" w:rsidR="00E604FD" w:rsidRPr="000955D4" w:rsidRDefault="00E604FD" w:rsidP="00820F58">
      <w:pPr>
        <w:pStyle w:val="Heading1"/>
        <w:spacing w:before="0" w:after="0" w:line="240" w:lineRule="auto"/>
        <w:jc w:val="center"/>
        <w:rPr>
          <w:rFonts w:ascii="Times New Roman" w:hAnsi="Times New Roman" w:cs="Times New Roman"/>
          <w:b/>
          <w:color w:val="auto"/>
          <w:sz w:val="24"/>
          <w:szCs w:val="24"/>
        </w:rPr>
      </w:pPr>
      <w:bookmarkStart w:id="28" w:name="_Toc206911182"/>
      <w:bookmarkEnd w:id="23"/>
      <w:r w:rsidRPr="000955D4">
        <w:rPr>
          <w:rFonts w:ascii="Times New Roman" w:hAnsi="Times New Roman" w:cs="Times New Roman"/>
          <w:b/>
          <w:color w:val="auto"/>
          <w:sz w:val="24"/>
          <w:szCs w:val="24"/>
        </w:rPr>
        <w:t>REFERENCES</w:t>
      </w:r>
      <w:bookmarkEnd w:id="28"/>
    </w:p>
    <w:p w14:paraId="2C66266E" w14:textId="773FE5F6" w:rsidR="000B2AFF" w:rsidRPr="000955D4" w:rsidRDefault="000B2AFF" w:rsidP="00820F58">
      <w:pPr>
        <w:pStyle w:val="whitespace-normal"/>
        <w:spacing w:before="0" w:beforeAutospacing="0" w:after="0" w:afterAutospacing="0"/>
        <w:jc w:val="both"/>
      </w:pPr>
      <w:r w:rsidRPr="000955D4">
        <w:t xml:space="preserve">Ackoff, R. L. (1999). </w:t>
      </w:r>
      <w:r w:rsidRPr="000955D4">
        <w:rPr>
          <w:rStyle w:val="Emphasis"/>
          <w:rFonts w:eastAsiaTheme="majorEastAsia"/>
        </w:rPr>
        <w:t>Systems thinking and organizational s</w:t>
      </w:r>
      <w:r w:rsidR="007466A1" w:rsidRPr="000955D4">
        <w:rPr>
          <w:rStyle w:val="Emphasis"/>
          <w:rFonts w:eastAsiaTheme="majorEastAsia"/>
        </w:rPr>
        <w:t>ystems: Applications of systems</w:t>
      </w:r>
      <w:r w:rsidR="007466A1" w:rsidRPr="000955D4">
        <w:rPr>
          <w:rStyle w:val="Emphasis"/>
          <w:rFonts w:eastAsiaTheme="majorEastAsia"/>
        </w:rPr>
        <w:tab/>
      </w:r>
      <w:r w:rsidRPr="000955D4">
        <w:rPr>
          <w:rStyle w:val="Emphasis"/>
          <w:rFonts w:eastAsiaTheme="majorEastAsia"/>
        </w:rPr>
        <w:t>concepts</w:t>
      </w:r>
      <w:r w:rsidRPr="000955D4">
        <w:t>. Wiley.</w:t>
      </w:r>
    </w:p>
    <w:p w14:paraId="65DD11D1" w14:textId="77777777" w:rsidR="000B2AFF" w:rsidRPr="000955D4" w:rsidRDefault="000B2AFF" w:rsidP="00820F58">
      <w:pPr>
        <w:pStyle w:val="whitespace-normal"/>
        <w:spacing w:before="0" w:beforeAutospacing="0" w:after="0" w:afterAutospacing="0"/>
        <w:jc w:val="both"/>
      </w:pPr>
      <w:r w:rsidRPr="000955D4">
        <w:t xml:space="preserve">Ajzen, I. (1975). </w:t>
      </w:r>
      <w:r w:rsidRPr="000955D4">
        <w:rPr>
          <w:rStyle w:val="Emphasis"/>
          <w:rFonts w:eastAsiaTheme="majorEastAsia"/>
        </w:rPr>
        <w:t>Theory of reasoned action</w:t>
      </w:r>
      <w:r w:rsidRPr="000955D4">
        <w:t>. Academic Press.</w:t>
      </w:r>
    </w:p>
    <w:p w14:paraId="6D01602E" w14:textId="0A1ED63D" w:rsidR="000B2AFF" w:rsidRPr="000955D4" w:rsidRDefault="000B2AFF" w:rsidP="00820F58">
      <w:pPr>
        <w:pStyle w:val="whitespace-normal"/>
        <w:spacing w:before="0" w:beforeAutospacing="0" w:after="0" w:afterAutospacing="0"/>
        <w:jc w:val="both"/>
      </w:pPr>
      <w:r w:rsidRPr="000955D4">
        <w:t>Akala, B. M. (2021). Revisiting education reform in Ke</w:t>
      </w:r>
      <w:r w:rsidR="007466A1" w:rsidRPr="000955D4">
        <w:t>nya: A case of competency based</w:t>
      </w:r>
      <w:r w:rsidR="007466A1" w:rsidRPr="000955D4">
        <w:tab/>
      </w:r>
      <w:r w:rsidRPr="000955D4">
        <w:t xml:space="preserve">curriculum (CBE). </w:t>
      </w:r>
      <w:r w:rsidRPr="000955D4">
        <w:rPr>
          <w:rStyle w:val="Emphasis"/>
          <w:rFonts w:eastAsiaTheme="majorEastAsia"/>
        </w:rPr>
        <w:t>Social Sciences &amp; Humanities Open</w:t>
      </w:r>
      <w:r w:rsidRPr="000955D4">
        <w:t xml:space="preserve">, </w:t>
      </w:r>
      <w:r w:rsidRPr="000955D4">
        <w:rPr>
          <w:rStyle w:val="Emphasis"/>
          <w:rFonts w:eastAsiaTheme="majorEastAsia"/>
        </w:rPr>
        <w:t>3</w:t>
      </w:r>
      <w:r w:rsidRPr="000955D4">
        <w:t>(1), 100107.</w:t>
      </w:r>
    </w:p>
    <w:p w14:paraId="68D3BC12" w14:textId="12296942" w:rsidR="000B2AFF" w:rsidRPr="000955D4" w:rsidRDefault="000B2AFF" w:rsidP="00820F58">
      <w:pPr>
        <w:pStyle w:val="whitespace-normal"/>
        <w:spacing w:before="0" w:beforeAutospacing="0" w:after="0" w:afterAutospacing="0"/>
        <w:jc w:val="both"/>
      </w:pPr>
      <w:r w:rsidRPr="000955D4">
        <w:t xml:space="preserve">Anderson, P. (1999). </w:t>
      </w:r>
      <w:r w:rsidRPr="000955D4">
        <w:rPr>
          <w:rStyle w:val="Emphasis"/>
          <w:rFonts w:eastAsiaTheme="majorEastAsia"/>
        </w:rPr>
        <w:t>Complex adaptive systems theory: Foundations and applications</w:t>
      </w:r>
      <w:r w:rsidR="007466A1" w:rsidRPr="000955D4">
        <w:t>. Princeton</w:t>
      </w:r>
      <w:r w:rsidR="007466A1" w:rsidRPr="000955D4">
        <w:tab/>
      </w:r>
      <w:r w:rsidRPr="000955D4">
        <w:t>University Press.</w:t>
      </w:r>
    </w:p>
    <w:p w14:paraId="1DE2E604" w14:textId="2584EDB0" w:rsidR="000B2AFF" w:rsidRPr="000955D4" w:rsidRDefault="000B2AFF" w:rsidP="00820F58">
      <w:pPr>
        <w:pStyle w:val="whitespace-normal"/>
        <w:spacing w:before="0" w:beforeAutospacing="0" w:after="0" w:afterAutospacing="0"/>
        <w:jc w:val="both"/>
      </w:pPr>
      <w:r w:rsidRPr="000955D4">
        <w:t xml:space="preserve">Anyona, A. D. (2012). </w:t>
      </w:r>
      <w:r w:rsidRPr="000955D4">
        <w:rPr>
          <w:rStyle w:val="Emphasis"/>
          <w:rFonts w:eastAsiaTheme="majorEastAsia"/>
        </w:rPr>
        <w:t>Factors affecting the implementation of</w:t>
      </w:r>
      <w:r w:rsidR="007466A1" w:rsidRPr="000955D4">
        <w:rPr>
          <w:rStyle w:val="Emphasis"/>
          <w:rFonts w:eastAsiaTheme="majorEastAsia"/>
        </w:rPr>
        <w:t xml:space="preserve"> the 8-4-4 school curriculum in</w:t>
      </w:r>
      <w:r w:rsidR="007466A1" w:rsidRPr="000955D4">
        <w:rPr>
          <w:rStyle w:val="Emphasis"/>
          <w:rFonts w:eastAsiaTheme="majorEastAsia"/>
        </w:rPr>
        <w:tab/>
      </w:r>
      <w:r w:rsidRPr="000955D4">
        <w:rPr>
          <w:rStyle w:val="Emphasis"/>
          <w:rFonts w:eastAsiaTheme="majorEastAsia"/>
        </w:rPr>
        <w:t>primary schools: A survey of Emuhaya division of Vihiga district</w:t>
      </w:r>
      <w:r w:rsidR="007466A1" w:rsidRPr="000955D4">
        <w:t xml:space="preserve"> [Master's thesis,</w:t>
      </w:r>
      <w:r w:rsidR="007466A1" w:rsidRPr="000955D4">
        <w:tab/>
      </w:r>
      <w:r w:rsidRPr="000955D4">
        <w:t>University of Nairobi].</w:t>
      </w:r>
    </w:p>
    <w:p w14:paraId="249EFB60" w14:textId="30FECA1A" w:rsidR="000B2AFF" w:rsidRPr="000955D4" w:rsidRDefault="000B2AFF" w:rsidP="00820F58">
      <w:pPr>
        <w:pStyle w:val="whitespace-normal"/>
        <w:spacing w:before="0" w:beforeAutospacing="0" w:after="0" w:afterAutospacing="0"/>
        <w:jc w:val="both"/>
      </w:pPr>
      <w:r w:rsidRPr="000955D4">
        <w:t xml:space="preserve">Bertalanffy, L. von (1968). </w:t>
      </w:r>
      <w:r w:rsidRPr="000955D4">
        <w:rPr>
          <w:rStyle w:val="Emphasis"/>
          <w:rFonts w:eastAsiaTheme="majorEastAsia"/>
        </w:rPr>
        <w:t>General system theory: Foundations, development, applications</w:t>
      </w:r>
      <w:r w:rsidR="007466A1" w:rsidRPr="000955D4">
        <w:t>.</w:t>
      </w:r>
      <w:r w:rsidR="007466A1" w:rsidRPr="000955D4">
        <w:tab/>
      </w:r>
      <w:r w:rsidRPr="000955D4">
        <w:t>George Braziller.</w:t>
      </w:r>
    </w:p>
    <w:p w14:paraId="021E5624" w14:textId="77777777" w:rsidR="000B2AFF" w:rsidRPr="000955D4" w:rsidRDefault="000B2AFF" w:rsidP="00820F58">
      <w:pPr>
        <w:pStyle w:val="whitespace-normal"/>
        <w:spacing w:before="0" w:beforeAutospacing="0" w:after="0" w:afterAutospacing="0"/>
        <w:jc w:val="both"/>
      </w:pPr>
      <w:r w:rsidRPr="000955D4">
        <w:t xml:space="preserve">Checkland, P. (1981). </w:t>
      </w:r>
      <w:r w:rsidRPr="000955D4">
        <w:rPr>
          <w:rStyle w:val="Emphasis"/>
          <w:rFonts w:eastAsiaTheme="majorEastAsia"/>
        </w:rPr>
        <w:t>Systems thinking, systems practice</w:t>
      </w:r>
      <w:r w:rsidRPr="000955D4">
        <w:t>. John Wiley &amp; Sons.</w:t>
      </w:r>
    </w:p>
    <w:p w14:paraId="60DB4265" w14:textId="355F8312" w:rsidR="000B2AFF" w:rsidRPr="000955D4" w:rsidRDefault="000B2AFF" w:rsidP="00820F58">
      <w:pPr>
        <w:pStyle w:val="whitespace-normal"/>
        <w:spacing w:before="0" w:beforeAutospacing="0" w:after="0" w:afterAutospacing="0"/>
        <w:jc w:val="both"/>
      </w:pPr>
      <w:r w:rsidRPr="000955D4">
        <w:t xml:space="preserve">Cheptoo, R., &amp; Ramdas, V. (2020). Competency-based </w:t>
      </w:r>
      <w:r w:rsidR="007466A1" w:rsidRPr="000955D4">
        <w:t>education in Kenya: A critique.</w:t>
      </w:r>
      <w:r w:rsidR="007466A1" w:rsidRPr="000955D4">
        <w:tab/>
      </w:r>
      <w:r w:rsidRPr="000955D4">
        <w:rPr>
          <w:rStyle w:val="Emphasis"/>
          <w:rFonts w:eastAsiaTheme="majorEastAsia"/>
        </w:rPr>
        <w:t>International Journal of Creative Research Thoughts</w:t>
      </w:r>
      <w:r w:rsidRPr="000955D4">
        <w:t xml:space="preserve">, </w:t>
      </w:r>
      <w:r w:rsidRPr="000955D4">
        <w:rPr>
          <w:rStyle w:val="Emphasis"/>
          <w:rFonts w:eastAsiaTheme="majorEastAsia"/>
        </w:rPr>
        <w:t>8</w:t>
      </w:r>
      <w:r w:rsidRPr="000955D4">
        <w:t>(12), 2320-2882.</w:t>
      </w:r>
    </w:p>
    <w:p w14:paraId="568F1A0C" w14:textId="687483F1" w:rsidR="000B2AFF" w:rsidRPr="000955D4" w:rsidRDefault="000B2AFF" w:rsidP="00820F58">
      <w:pPr>
        <w:pStyle w:val="whitespace-normal"/>
        <w:spacing w:before="0" w:beforeAutospacing="0" w:after="0" w:afterAutospacing="0"/>
        <w:jc w:val="both"/>
      </w:pPr>
      <w:r w:rsidRPr="000955D4">
        <w:t xml:space="preserve">Creswell, J. W., &amp; Creswell, J. D. (2018). </w:t>
      </w:r>
      <w:r w:rsidRPr="000955D4">
        <w:rPr>
          <w:rStyle w:val="Emphasis"/>
          <w:rFonts w:eastAsiaTheme="majorEastAsia"/>
        </w:rPr>
        <w:t>Research design: Quali</w:t>
      </w:r>
      <w:r w:rsidR="007466A1" w:rsidRPr="000955D4">
        <w:rPr>
          <w:rStyle w:val="Emphasis"/>
          <w:rFonts w:eastAsiaTheme="majorEastAsia"/>
        </w:rPr>
        <w:t>tative, quantitative, and mixed</w:t>
      </w:r>
      <w:r w:rsidR="007466A1" w:rsidRPr="000955D4">
        <w:rPr>
          <w:rStyle w:val="Emphasis"/>
          <w:rFonts w:eastAsiaTheme="majorEastAsia"/>
        </w:rPr>
        <w:tab/>
      </w:r>
      <w:r w:rsidRPr="000955D4">
        <w:rPr>
          <w:rStyle w:val="Emphasis"/>
          <w:rFonts w:eastAsiaTheme="majorEastAsia"/>
        </w:rPr>
        <w:t>methods approaches</w:t>
      </w:r>
      <w:r w:rsidRPr="000955D4">
        <w:t xml:space="preserve"> (5th ed.). Sage Publications.</w:t>
      </w:r>
    </w:p>
    <w:p w14:paraId="4AE72AC8" w14:textId="77777777" w:rsidR="000B2AFF" w:rsidRPr="000955D4" w:rsidRDefault="000B2AFF" w:rsidP="00820F58">
      <w:pPr>
        <w:pStyle w:val="whitespace-normal"/>
        <w:spacing w:before="0" w:beforeAutospacing="0" w:after="0" w:afterAutospacing="0"/>
        <w:jc w:val="both"/>
      </w:pPr>
      <w:r w:rsidRPr="000955D4">
        <w:t xml:space="preserve">Daft, R. L. (2021). </w:t>
      </w:r>
      <w:r w:rsidRPr="000955D4">
        <w:rPr>
          <w:rStyle w:val="Emphasis"/>
          <w:rFonts w:eastAsiaTheme="majorEastAsia"/>
        </w:rPr>
        <w:t>Organization theory and design</w:t>
      </w:r>
      <w:r w:rsidRPr="000955D4">
        <w:t xml:space="preserve"> (13th ed.). Cengage Learning.</w:t>
      </w:r>
    </w:p>
    <w:p w14:paraId="21610E21" w14:textId="4BAE2BB3" w:rsidR="000B2AFF" w:rsidRPr="000955D4" w:rsidRDefault="000B2AFF" w:rsidP="00820F58">
      <w:pPr>
        <w:pStyle w:val="whitespace-normal"/>
        <w:spacing w:before="0" w:beforeAutospacing="0" w:after="0" w:afterAutospacing="0"/>
        <w:jc w:val="both"/>
      </w:pPr>
      <w:r w:rsidRPr="000955D4">
        <w:t xml:space="preserve">Davis, F. D. (1986). </w:t>
      </w:r>
      <w:r w:rsidRPr="000955D4">
        <w:rPr>
          <w:rStyle w:val="Emphasis"/>
          <w:rFonts w:eastAsiaTheme="majorEastAsia"/>
        </w:rPr>
        <w:t>A technology acceptance model for e</w:t>
      </w:r>
      <w:r w:rsidR="007466A1" w:rsidRPr="000955D4">
        <w:rPr>
          <w:rStyle w:val="Emphasis"/>
          <w:rFonts w:eastAsiaTheme="majorEastAsia"/>
        </w:rPr>
        <w:t>mpirically testing new end-user</w:t>
      </w:r>
      <w:r w:rsidR="007466A1" w:rsidRPr="000955D4">
        <w:rPr>
          <w:rStyle w:val="Emphasis"/>
          <w:rFonts w:eastAsiaTheme="majorEastAsia"/>
        </w:rPr>
        <w:tab/>
      </w:r>
      <w:r w:rsidRPr="000955D4">
        <w:rPr>
          <w:rStyle w:val="Emphasis"/>
          <w:rFonts w:eastAsiaTheme="majorEastAsia"/>
        </w:rPr>
        <w:t>information systems: Theory and results</w:t>
      </w:r>
      <w:r w:rsidRPr="000955D4">
        <w:t xml:space="preserve"> [Doctoral di</w:t>
      </w:r>
      <w:r w:rsidR="007466A1" w:rsidRPr="000955D4">
        <w:t>ssertation, MIT Sloan School of</w:t>
      </w:r>
      <w:r w:rsidR="007466A1" w:rsidRPr="000955D4">
        <w:tab/>
      </w:r>
      <w:r w:rsidRPr="000955D4">
        <w:t>Management].</w:t>
      </w:r>
    </w:p>
    <w:p w14:paraId="2367C8CE" w14:textId="753EF70E" w:rsidR="000B2AFF" w:rsidRPr="000955D4" w:rsidRDefault="000B2AFF" w:rsidP="00820F58">
      <w:pPr>
        <w:pStyle w:val="whitespace-normal"/>
        <w:spacing w:before="0" w:beforeAutospacing="0" w:after="0" w:afterAutospacing="0"/>
        <w:jc w:val="both"/>
      </w:pPr>
      <w:r w:rsidRPr="000955D4">
        <w:t>Davis, F. D. (1989). Perceived usefulness, perceived ease</w:t>
      </w:r>
      <w:r w:rsidR="007466A1" w:rsidRPr="000955D4">
        <w:t xml:space="preserve"> of use, and user acceptance of</w:t>
      </w:r>
      <w:r w:rsidR="007466A1" w:rsidRPr="000955D4">
        <w:tab/>
      </w:r>
      <w:r w:rsidRPr="000955D4">
        <w:t xml:space="preserve">information technology. </w:t>
      </w:r>
      <w:r w:rsidRPr="000955D4">
        <w:rPr>
          <w:rStyle w:val="Emphasis"/>
          <w:rFonts w:eastAsiaTheme="majorEastAsia"/>
        </w:rPr>
        <w:t>MIS Quarterly</w:t>
      </w:r>
      <w:r w:rsidRPr="000955D4">
        <w:t xml:space="preserve">, </w:t>
      </w:r>
      <w:r w:rsidRPr="000955D4">
        <w:rPr>
          <w:rStyle w:val="Emphasis"/>
          <w:rFonts w:eastAsiaTheme="majorEastAsia"/>
        </w:rPr>
        <w:t>13</w:t>
      </w:r>
      <w:r w:rsidRPr="000955D4">
        <w:t>(3), 319-340.</w:t>
      </w:r>
    </w:p>
    <w:p w14:paraId="5F8F3EE1" w14:textId="003A7676" w:rsidR="000B2AFF" w:rsidRPr="000955D4" w:rsidRDefault="000B2AFF" w:rsidP="00820F58">
      <w:pPr>
        <w:pStyle w:val="whitespace-normal"/>
        <w:spacing w:before="0" w:beforeAutospacing="0" w:after="0" w:afterAutospacing="0"/>
        <w:jc w:val="both"/>
      </w:pPr>
      <w:r w:rsidRPr="000955D4">
        <w:t xml:space="preserve">EAC Secretariat. (2014). </w:t>
      </w:r>
      <w:r w:rsidRPr="000955D4">
        <w:rPr>
          <w:rStyle w:val="Emphasis"/>
          <w:rFonts w:eastAsiaTheme="majorEastAsia"/>
        </w:rPr>
        <w:t>Draft harmonized curriculum struct</w:t>
      </w:r>
      <w:r w:rsidR="007466A1" w:rsidRPr="000955D4">
        <w:rPr>
          <w:rStyle w:val="Emphasis"/>
          <w:rFonts w:eastAsiaTheme="majorEastAsia"/>
        </w:rPr>
        <w:t>ures and framework for the East</w:t>
      </w:r>
      <w:r w:rsidR="007466A1" w:rsidRPr="000955D4">
        <w:rPr>
          <w:rStyle w:val="Emphasis"/>
          <w:rFonts w:eastAsiaTheme="majorEastAsia"/>
        </w:rPr>
        <w:tab/>
      </w:r>
      <w:r w:rsidRPr="000955D4">
        <w:rPr>
          <w:rStyle w:val="Emphasis"/>
          <w:rFonts w:eastAsiaTheme="majorEastAsia"/>
        </w:rPr>
        <w:t>African Community</w:t>
      </w:r>
      <w:r w:rsidRPr="000955D4">
        <w:t>. East African Community.</w:t>
      </w:r>
    </w:p>
    <w:p w14:paraId="156C38D9" w14:textId="5A9FCB87" w:rsidR="000B2AFF" w:rsidRPr="000955D4" w:rsidRDefault="000B2AFF" w:rsidP="00820F58">
      <w:pPr>
        <w:pStyle w:val="whitespace-normal"/>
        <w:spacing w:before="0" w:beforeAutospacing="0" w:after="0" w:afterAutospacing="0"/>
        <w:jc w:val="both"/>
      </w:pPr>
      <w:r w:rsidRPr="000955D4">
        <w:t>Edwards, M. S., &amp; Sanchez-Diaz, C. (2009). Achieving</w:t>
      </w:r>
      <w:r w:rsidR="007466A1" w:rsidRPr="000955D4">
        <w:t xml:space="preserve"> competence-based curriculum in</w:t>
      </w:r>
      <w:r w:rsidR="007466A1" w:rsidRPr="000955D4">
        <w:tab/>
      </w:r>
      <w:r w:rsidRPr="000955D4">
        <w:t xml:space="preserve">engineering education in Spain. </w:t>
      </w:r>
      <w:r w:rsidRPr="000955D4">
        <w:rPr>
          <w:rStyle w:val="Emphasis"/>
          <w:rFonts w:eastAsiaTheme="majorEastAsia"/>
        </w:rPr>
        <w:t>Proceedings of the IEEE</w:t>
      </w:r>
      <w:r w:rsidRPr="000955D4">
        <w:t xml:space="preserve">, </w:t>
      </w:r>
      <w:r w:rsidRPr="000955D4">
        <w:rPr>
          <w:rStyle w:val="Emphasis"/>
          <w:rFonts w:eastAsiaTheme="majorEastAsia"/>
        </w:rPr>
        <w:t>97</w:t>
      </w:r>
      <w:r w:rsidRPr="000955D4">
        <w:t>(10), 1727-1736.</w:t>
      </w:r>
    </w:p>
    <w:p w14:paraId="73CDA104" w14:textId="7477B729" w:rsidR="000B2AFF" w:rsidRPr="000955D4" w:rsidRDefault="000B2AFF" w:rsidP="00820F58">
      <w:pPr>
        <w:pStyle w:val="whitespace-normal"/>
        <w:spacing w:before="0" w:beforeAutospacing="0" w:after="0" w:afterAutospacing="0"/>
        <w:jc w:val="both"/>
      </w:pPr>
      <w:r w:rsidRPr="000955D4">
        <w:t xml:space="preserve">Fishbein, M., &amp; Ajzen, I. (1975). </w:t>
      </w:r>
      <w:r w:rsidRPr="000955D4">
        <w:rPr>
          <w:rStyle w:val="Emphasis"/>
          <w:rFonts w:eastAsiaTheme="majorEastAsia"/>
        </w:rPr>
        <w:t>Belief, attitude, intention, a</w:t>
      </w:r>
      <w:r w:rsidR="007466A1" w:rsidRPr="000955D4">
        <w:rPr>
          <w:rStyle w:val="Emphasis"/>
          <w:rFonts w:eastAsiaTheme="majorEastAsia"/>
        </w:rPr>
        <w:t>nd behavior: An introduction to</w:t>
      </w:r>
      <w:r w:rsidR="007466A1" w:rsidRPr="000955D4">
        <w:rPr>
          <w:rStyle w:val="Emphasis"/>
          <w:rFonts w:eastAsiaTheme="majorEastAsia"/>
        </w:rPr>
        <w:tab/>
      </w:r>
      <w:r w:rsidRPr="000955D4">
        <w:rPr>
          <w:rStyle w:val="Emphasis"/>
          <w:rFonts w:eastAsiaTheme="majorEastAsia"/>
        </w:rPr>
        <w:t>theory and research</w:t>
      </w:r>
      <w:r w:rsidRPr="000955D4">
        <w:t>. Addison-Wesley.</w:t>
      </w:r>
    </w:p>
    <w:p w14:paraId="32A6FB88" w14:textId="77777777" w:rsidR="000B2AFF" w:rsidRPr="000955D4" w:rsidRDefault="000B2AFF" w:rsidP="00820F58">
      <w:pPr>
        <w:pStyle w:val="whitespace-normal"/>
        <w:spacing w:before="0" w:beforeAutospacing="0" w:after="0" w:afterAutospacing="0"/>
        <w:jc w:val="both"/>
      </w:pPr>
      <w:r w:rsidRPr="000955D4">
        <w:t xml:space="preserve">Flood, R. L. (2010). </w:t>
      </w:r>
      <w:r w:rsidRPr="000955D4">
        <w:rPr>
          <w:rStyle w:val="Emphasis"/>
          <w:rFonts w:eastAsiaTheme="majorEastAsia"/>
        </w:rPr>
        <w:t>Systems thinking for organizational learning and change</w:t>
      </w:r>
      <w:r w:rsidRPr="000955D4">
        <w:t>. Routledge.</w:t>
      </w:r>
    </w:p>
    <w:p w14:paraId="4B0C6B98" w14:textId="21A5FE8F" w:rsidR="000B2AFF" w:rsidRPr="000955D4" w:rsidRDefault="000B2AFF" w:rsidP="00820F58">
      <w:pPr>
        <w:pStyle w:val="whitespace-normal"/>
        <w:spacing w:before="0" w:beforeAutospacing="0" w:after="0" w:afterAutospacing="0"/>
        <w:jc w:val="both"/>
      </w:pPr>
      <w:r w:rsidRPr="000955D4">
        <w:t xml:space="preserve">Garissa County Education Office. (2024). </w:t>
      </w:r>
      <w:r w:rsidRPr="000955D4">
        <w:rPr>
          <w:rStyle w:val="Emphasis"/>
          <w:rFonts w:eastAsiaTheme="majorEastAsia"/>
        </w:rPr>
        <w:t>Educational statistics and enrollment data</w:t>
      </w:r>
      <w:r w:rsidR="007466A1" w:rsidRPr="000955D4">
        <w:t>. Garissa</w:t>
      </w:r>
      <w:r w:rsidR="007466A1" w:rsidRPr="000955D4">
        <w:tab/>
      </w:r>
      <w:r w:rsidRPr="000955D4">
        <w:t>County Government.</w:t>
      </w:r>
    </w:p>
    <w:p w14:paraId="3688823B" w14:textId="02D3204C" w:rsidR="000B2AFF" w:rsidRPr="000955D4" w:rsidRDefault="000B2AFF" w:rsidP="00820F58">
      <w:pPr>
        <w:pStyle w:val="whitespace-normal"/>
        <w:spacing w:before="0" w:beforeAutospacing="0" w:after="0" w:afterAutospacing="0"/>
        <w:jc w:val="both"/>
      </w:pPr>
      <w:r w:rsidRPr="000955D4">
        <w:t xml:space="preserve">Government of Kenya. (2019). </w:t>
      </w:r>
      <w:r w:rsidRPr="000955D4">
        <w:rPr>
          <w:rStyle w:val="Emphasis"/>
          <w:rFonts w:eastAsiaTheme="majorEastAsia"/>
        </w:rPr>
        <w:t>Sessional paper No. 1 of 2019 on</w:t>
      </w:r>
      <w:r w:rsidR="007466A1" w:rsidRPr="000955D4">
        <w:rPr>
          <w:rStyle w:val="Emphasis"/>
          <w:rFonts w:eastAsiaTheme="majorEastAsia"/>
        </w:rPr>
        <w:t xml:space="preserve"> policy framework for reforming</w:t>
      </w:r>
      <w:r w:rsidR="007466A1" w:rsidRPr="000955D4">
        <w:rPr>
          <w:rStyle w:val="Emphasis"/>
          <w:rFonts w:eastAsiaTheme="majorEastAsia"/>
        </w:rPr>
        <w:tab/>
      </w:r>
      <w:r w:rsidRPr="000955D4">
        <w:rPr>
          <w:rStyle w:val="Emphasis"/>
          <w:rFonts w:eastAsiaTheme="majorEastAsia"/>
        </w:rPr>
        <w:t>education and training for sustainable development</w:t>
      </w:r>
      <w:r w:rsidRPr="000955D4">
        <w:t>. Government Printer.</w:t>
      </w:r>
    </w:p>
    <w:p w14:paraId="2DF8ED5F" w14:textId="7CF4D4C9" w:rsidR="000B2AFF" w:rsidRPr="000955D4" w:rsidRDefault="000B2AFF" w:rsidP="00820F58">
      <w:pPr>
        <w:pStyle w:val="whitespace-normal"/>
        <w:spacing w:before="0" w:beforeAutospacing="0" w:after="0" w:afterAutospacing="0"/>
        <w:jc w:val="both"/>
      </w:pPr>
      <w:r w:rsidRPr="000955D4">
        <w:t xml:space="preserve">International Bureau of Education: UNESCO. (2017). </w:t>
      </w:r>
      <w:r w:rsidRPr="000955D4">
        <w:rPr>
          <w:rStyle w:val="Emphasis"/>
          <w:rFonts w:eastAsiaTheme="majorEastAsia"/>
        </w:rPr>
        <w:t xml:space="preserve">The </w:t>
      </w:r>
      <w:r w:rsidR="007466A1" w:rsidRPr="000955D4">
        <w:rPr>
          <w:rStyle w:val="Emphasis"/>
          <w:rFonts w:eastAsiaTheme="majorEastAsia"/>
        </w:rPr>
        <w:t>why, what and how of competency</w:t>
      </w:r>
      <w:r w:rsidR="007466A1" w:rsidRPr="000955D4">
        <w:rPr>
          <w:rStyle w:val="Emphasis"/>
          <w:rFonts w:eastAsiaTheme="majorEastAsia"/>
        </w:rPr>
        <w:tab/>
      </w:r>
      <w:r w:rsidRPr="000955D4">
        <w:rPr>
          <w:rStyle w:val="Emphasis"/>
          <w:rFonts w:eastAsiaTheme="majorEastAsia"/>
        </w:rPr>
        <w:t>based curriculum reforms: The Kenyan experience</w:t>
      </w:r>
      <w:r w:rsidRPr="000955D4">
        <w:t>. UNESCO.</w:t>
      </w:r>
    </w:p>
    <w:p w14:paraId="41B72A7B" w14:textId="3D425BE9" w:rsidR="000B2AFF" w:rsidRPr="000955D4" w:rsidRDefault="000B2AFF" w:rsidP="00820F58">
      <w:pPr>
        <w:pStyle w:val="whitespace-normal"/>
        <w:spacing w:before="0" w:beforeAutospacing="0" w:after="0" w:afterAutospacing="0"/>
        <w:jc w:val="both"/>
      </w:pPr>
      <w:r w:rsidRPr="000955D4">
        <w:t>Isaboke, C., Wambiri, G., &amp; Mweru, M. (2021). Assessment of c</w:t>
      </w:r>
      <w:r w:rsidR="007466A1" w:rsidRPr="000955D4">
        <w:t>hallenges facing implementation</w:t>
      </w:r>
      <w:r w:rsidR="007466A1" w:rsidRPr="000955D4">
        <w:tab/>
      </w:r>
      <w:r w:rsidRPr="000955D4">
        <w:t>of competency based curriculum in public primary schools</w:t>
      </w:r>
      <w:r w:rsidR="007466A1" w:rsidRPr="000955D4">
        <w:t xml:space="preserve"> in Nairobi City County, Kenya.</w:t>
      </w:r>
      <w:r w:rsidR="007466A1" w:rsidRPr="000955D4">
        <w:tab/>
      </w:r>
      <w:r w:rsidRPr="000955D4">
        <w:rPr>
          <w:rStyle w:val="Emphasis"/>
          <w:rFonts w:eastAsiaTheme="majorEastAsia"/>
        </w:rPr>
        <w:t>International Academic Journal of Social Sciences and Education</w:t>
      </w:r>
      <w:r w:rsidRPr="000955D4">
        <w:t xml:space="preserve">, </w:t>
      </w:r>
      <w:r w:rsidRPr="000955D4">
        <w:rPr>
          <w:rStyle w:val="Emphasis"/>
          <w:rFonts w:eastAsiaTheme="majorEastAsia"/>
        </w:rPr>
        <w:t>2</w:t>
      </w:r>
      <w:r w:rsidRPr="000955D4">
        <w:t>(1), 61-79.</w:t>
      </w:r>
    </w:p>
    <w:p w14:paraId="2AE589C6" w14:textId="77777777" w:rsidR="000B2AFF" w:rsidRPr="000955D4" w:rsidRDefault="000B2AFF" w:rsidP="00820F58">
      <w:pPr>
        <w:pStyle w:val="whitespace-normal"/>
        <w:spacing w:before="0" w:beforeAutospacing="0" w:after="0" w:afterAutospacing="0"/>
        <w:jc w:val="both"/>
      </w:pPr>
      <w:r w:rsidRPr="000955D4">
        <w:t xml:space="preserve">Jackson, M. C. (2003). </w:t>
      </w:r>
      <w:r w:rsidRPr="000955D4">
        <w:rPr>
          <w:rStyle w:val="Emphasis"/>
          <w:rFonts w:eastAsiaTheme="majorEastAsia"/>
        </w:rPr>
        <w:t>Systems thinking: Creative holism for managers</w:t>
      </w:r>
      <w:r w:rsidRPr="000955D4">
        <w:t>. John Wiley &amp; Sons.</w:t>
      </w:r>
    </w:p>
    <w:p w14:paraId="42E349A5" w14:textId="0A509676" w:rsidR="000B2AFF" w:rsidRPr="000955D4" w:rsidRDefault="000B2AFF" w:rsidP="00820F58">
      <w:pPr>
        <w:pStyle w:val="whitespace-normal"/>
        <w:spacing w:before="0" w:beforeAutospacing="0" w:after="0" w:afterAutospacing="0"/>
        <w:jc w:val="both"/>
      </w:pPr>
      <w:r w:rsidRPr="000955D4">
        <w:t xml:space="preserve">Jin, Y.-L., &amp; Li, L. (2011). A postmodern perspective on current curriculum reform China. </w:t>
      </w:r>
      <w:r w:rsidR="007466A1" w:rsidRPr="000955D4">
        <w:rPr>
          <w:rStyle w:val="Emphasis"/>
          <w:rFonts w:eastAsiaTheme="majorEastAsia"/>
        </w:rPr>
        <w:t>Chinese</w:t>
      </w:r>
      <w:r w:rsidR="007466A1" w:rsidRPr="000955D4">
        <w:rPr>
          <w:rStyle w:val="Emphasis"/>
          <w:rFonts w:eastAsiaTheme="majorEastAsia"/>
        </w:rPr>
        <w:tab/>
      </w:r>
      <w:r w:rsidRPr="000955D4">
        <w:rPr>
          <w:rStyle w:val="Emphasis"/>
          <w:rFonts w:eastAsiaTheme="majorEastAsia"/>
        </w:rPr>
        <w:t>Education and Society</w:t>
      </w:r>
      <w:r w:rsidRPr="000955D4">
        <w:t xml:space="preserve">, </w:t>
      </w:r>
      <w:r w:rsidRPr="000955D4">
        <w:rPr>
          <w:rStyle w:val="Emphasis"/>
          <w:rFonts w:eastAsiaTheme="majorEastAsia"/>
        </w:rPr>
        <w:t>44</w:t>
      </w:r>
      <w:r w:rsidRPr="000955D4">
        <w:t>(4), 25-43.</w:t>
      </w:r>
    </w:p>
    <w:p w14:paraId="248D1B2E" w14:textId="78B38D26" w:rsidR="000B2AFF" w:rsidRPr="000955D4" w:rsidRDefault="000B2AFF" w:rsidP="00820F58">
      <w:pPr>
        <w:pStyle w:val="whitespace-normal"/>
        <w:spacing w:before="0" w:beforeAutospacing="0" w:after="0" w:afterAutospacing="0"/>
        <w:jc w:val="both"/>
      </w:pPr>
      <w:r w:rsidRPr="000955D4">
        <w:t xml:space="preserve">Justus, M., &amp; Inyega, J. (2021). </w:t>
      </w:r>
      <w:r w:rsidRPr="000955D4">
        <w:rPr>
          <w:rStyle w:val="Emphasis"/>
          <w:rFonts w:eastAsiaTheme="majorEastAsia"/>
        </w:rPr>
        <w:t xml:space="preserve">Historical evolution of Kenya's </w:t>
      </w:r>
      <w:r w:rsidR="007466A1" w:rsidRPr="000955D4">
        <w:rPr>
          <w:rStyle w:val="Emphasis"/>
          <w:rFonts w:eastAsiaTheme="majorEastAsia"/>
        </w:rPr>
        <w:t>education system: From colonial</w:t>
      </w:r>
      <w:r w:rsidR="007466A1" w:rsidRPr="000955D4">
        <w:rPr>
          <w:rStyle w:val="Emphasis"/>
          <w:rFonts w:eastAsiaTheme="majorEastAsia"/>
        </w:rPr>
        <w:tab/>
      </w:r>
      <w:r w:rsidRPr="000955D4">
        <w:rPr>
          <w:rStyle w:val="Emphasis"/>
          <w:rFonts w:eastAsiaTheme="majorEastAsia"/>
        </w:rPr>
        <w:t>to competency-based curriculum</w:t>
      </w:r>
      <w:r w:rsidRPr="000955D4">
        <w:t>. Educational Publishers Kenya.</w:t>
      </w:r>
    </w:p>
    <w:p w14:paraId="54587E30" w14:textId="3BBE7B46" w:rsidR="000B2AFF" w:rsidRPr="000955D4" w:rsidRDefault="000B2AFF" w:rsidP="00820F58">
      <w:pPr>
        <w:pStyle w:val="whitespace-normal"/>
        <w:spacing w:before="0" w:beforeAutospacing="0" w:after="0" w:afterAutospacing="0"/>
        <w:jc w:val="both"/>
      </w:pPr>
      <w:r w:rsidRPr="000955D4">
        <w:t xml:space="preserve">Kast, F. E., &amp; Rosenzweig, J. E. (1972). </w:t>
      </w:r>
      <w:r w:rsidRPr="000955D4">
        <w:rPr>
          <w:rStyle w:val="Emphasis"/>
          <w:rFonts w:eastAsiaTheme="majorEastAsia"/>
        </w:rPr>
        <w:t>General systems theory</w:t>
      </w:r>
      <w:r w:rsidR="007466A1" w:rsidRPr="000955D4">
        <w:rPr>
          <w:rStyle w:val="Emphasis"/>
          <w:rFonts w:eastAsiaTheme="majorEastAsia"/>
        </w:rPr>
        <w:t>: Applications for organization</w:t>
      </w:r>
      <w:r w:rsidR="007466A1" w:rsidRPr="000955D4">
        <w:rPr>
          <w:rStyle w:val="Emphasis"/>
          <w:rFonts w:eastAsiaTheme="majorEastAsia"/>
        </w:rPr>
        <w:tab/>
      </w:r>
      <w:r w:rsidRPr="000955D4">
        <w:rPr>
          <w:rStyle w:val="Emphasis"/>
          <w:rFonts w:eastAsiaTheme="majorEastAsia"/>
        </w:rPr>
        <w:t>and management</w:t>
      </w:r>
      <w:r w:rsidRPr="000955D4">
        <w:t>. McGraw-Hill.</w:t>
      </w:r>
    </w:p>
    <w:p w14:paraId="61EDE668" w14:textId="36B703CD" w:rsidR="000B2AFF" w:rsidRPr="000955D4" w:rsidRDefault="000B2AFF" w:rsidP="00820F58">
      <w:pPr>
        <w:pStyle w:val="whitespace-normal"/>
        <w:spacing w:before="0" w:beforeAutospacing="0" w:after="0" w:afterAutospacing="0"/>
        <w:jc w:val="both"/>
      </w:pPr>
      <w:r w:rsidRPr="000955D4">
        <w:t xml:space="preserve">Kenya Institute of Curriculum Development. (2016). </w:t>
      </w:r>
      <w:r w:rsidRPr="000955D4">
        <w:rPr>
          <w:rStyle w:val="Emphasis"/>
          <w:rFonts w:eastAsiaTheme="majorEastAsia"/>
        </w:rPr>
        <w:t>Basic education curriculum framework</w:t>
      </w:r>
      <w:r w:rsidR="007466A1" w:rsidRPr="000955D4">
        <w:t>.</w:t>
      </w:r>
      <w:r w:rsidR="007466A1" w:rsidRPr="000955D4">
        <w:tab/>
      </w:r>
      <w:r w:rsidRPr="000955D4">
        <w:t>KICD.</w:t>
      </w:r>
    </w:p>
    <w:p w14:paraId="7EACFDFE" w14:textId="40929E78" w:rsidR="000B2AFF" w:rsidRPr="000955D4" w:rsidRDefault="000B2AFF" w:rsidP="00820F58">
      <w:pPr>
        <w:pStyle w:val="whitespace-normal"/>
        <w:spacing w:before="0" w:beforeAutospacing="0" w:after="0" w:afterAutospacing="0"/>
        <w:jc w:val="both"/>
      </w:pPr>
      <w:r w:rsidRPr="000955D4">
        <w:t xml:space="preserve">Laszlo, E., &amp; Krippner, S. (1998). </w:t>
      </w:r>
      <w:r w:rsidRPr="000955D4">
        <w:rPr>
          <w:rStyle w:val="Emphasis"/>
          <w:rFonts w:eastAsiaTheme="majorEastAsia"/>
        </w:rPr>
        <w:t>Systems theories: Their origins, foundations, and development</w:t>
      </w:r>
      <w:r w:rsidR="007466A1" w:rsidRPr="000955D4">
        <w:t>.</w:t>
      </w:r>
      <w:r w:rsidR="007466A1" w:rsidRPr="000955D4">
        <w:tab/>
      </w:r>
      <w:r w:rsidRPr="000955D4">
        <w:t>Routledge.</w:t>
      </w:r>
    </w:p>
    <w:p w14:paraId="4D98EDC9" w14:textId="5C260955" w:rsidR="000B2AFF" w:rsidRPr="000955D4" w:rsidRDefault="000B2AFF" w:rsidP="00820F58">
      <w:pPr>
        <w:pStyle w:val="whitespace-normal"/>
        <w:spacing w:before="0" w:beforeAutospacing="0" w:after="0" w:afterAutospacing="0"/>
        <w:jc w:val="both"/>
      </w:pPr>
      <w:r w:rsidRPr="000955D4">
        <w:t xml:space="preserve">Macharia, S. (2011). </w:t>
      </w:r>
      <w:r w:rsidRPr="000955D4">
        <w:rPr>
          <w:rStyle w:val="Emphasis"/>
          <w:rFonts w:eastAsiaTheme="majorEastAsia"/>
        </w:rPr>
        <w:t>Stakeholder involvement in strategy impleme</w:t>
      </w:r>
      <w:r w:rsidR="007466A1" w:rsidRPr="000955D4">
        <w:rPr>
          <w:rStyle w:val="Emphasis"/>
          <w:rFonts w:eastAsiaTheme="majorEastAsia"/>
        </w:rPr>
        <w:t>ntation: A case study of public</w:t>
      </w:r>
      <w:r w:rsidR="007466A1" w:rsidRPr="000955D4">
        <w:rPr>
          <w:rStyle w:val="Emphasis"/>
          <w:rFonts w:eastAsiaTheme="majorEastAsia"/>
        </w:rPr>
        <w:tab/>
      </w:r>
      <w:r w:rsidRPr="000955D4">
        <w:rPr>
          <w:rStyle w:val="Emphasis"/>
          <w:rFonts w:eastAsiaTheme="majorEastAsia"/>
        </w:rPr>
        <w:t>organizations in Nairobi</w:t>
      </w:r>
      <w:r w:rsidRPr="000955D4">
        <w:t xml:space="preserve"> [Master's thesis, University of Nairobi].</w:t>
      </w:r>
    </w:p>
    <w:p w14:paraId="7EE7233D" w14:textId="77777777" w:rsidR="000B2AFF" w:rsidRPr="000955D4" w:rsidRDefault="000B2AFF" w:rsidP="00820F58">
      <w:pPr>
        <w:pStyle w:val="whitespace-normal"/>
        <w:spacing w:before="0" w:beforeAutospacing="0" w:after="0" w:afterAutospacing="0"/>
        <w:jc w:val="both"/>
      </w:pPr>
      <w:r w:rsidRPr="000955D4">
        <w:t xml:space="preserve">Meadows, D. H. (2008). </w:t>
      </w:r>
      <w:r w:rsidRPr="000955D4">
        <w:rPr>
          <w:rStyle w:val="Emphasis"/>
          <w:rFonts w:eastAsiaTheme="majorEastAsia"/>
        </w:rPr>
        <w:t>Thinking in systems: A primer</w:t>
      </w:r>
      <w:r w:rsidRPr="000955D4">
        <w:t>. Chelsea Green Publishing.</w:t>
      </w:r>
    </w:p>
    <w:p w14:paraId="043FD898" w14:textId="66ACC2D5" w:rsidR="000B2AFF" w:rsidRPr="000955D4" w:rsidRDefault="000B2AFF" w:rsidP="00820F58">
      <w:pPr>
        <w:pStyle w:val="whitespace-normal"/>
        <w:spacing w:before="0" w:beforeAutospacing="0" w:after="0" w:afterAutospacing="0"/>
        <w:jc w:val="both"/>
      </w:pPr>
      <w:r w:rsidRPr="000955D4">
        <w:t>Mele, C., Pels, J., &amp; Polese, F. (2010). A brief review of system</w:t>
      </w:r>
      <w:r w:rsidR="007466A1" w:rsidRPr="000955D4">
        <w:t>s theories and their managerial</w:t>
      </w:r>
      <w:r w:rsidR="007466A1" w:rsidRPr="000955D4">
        <w:tab/>
      </w:r>
      <w:r w:rsidRPr="000955D4">
        <w:t xml:space="preserve">applications. </w:t>
      </w:r>
      <w:r w:rsidRPr="000955D4">
        <w:rPr>
          <w:rStyle w:val="Emphasis"/>
          <w:rFonts w:eastAsiaTheme="majorEastAsia"/>
        </w:rPr>
        <w:t>Service Science</w:t>
      </w:r>
      <w:r w:rsidRPr="000955D4">
        <w:t xml:space="preserve">, </w:t>
      </w:r>
      <w:r w:rsidRPr="000955D4">
        <w:rPr>
          <w:rStyle w:val="Emphasis"/>
          <w:rFonts w:eastAsiaTheme="majorEastAsia"/>
        </w:rPr>
        <w:t>2</w:t>
      </w:r>
      <w:r w:rsidRPr="000955D4">
        <w:t>(1-2), 126-135.</w:t>
      </w:r>
    </w:p>
    <w:p w14:paraId="2064F565" w14:textId="0735B05B" w:rsidR="000B2AFF" w:rsidRPr="000955D4" w:rsidRDefault="000B2AFF" w:rsidP="00820F58">
      <w:pPr>
        <w:pStyle w:val="whitespace-normal"/>
        <w:spacing w:before="0" w:beforeAutospacing="0" w:after="0" w:afterAutospacing="0"/>
        <w:jc w:val="both"/>
      </w:pPr>
      <w:r w:rsidRPr="000955D4">
        <w:t xml:space="preserve">Midgley, G. (2000). </w:t>
      </w:r>
      <w:r w:rsidRPr="000955D4">
        <w:rPr>
          <w:rStyle w:val="Emphasis"/>
          <w:rFonts w:eastAsiaTheme="majorEastAsia"/>
        </w:rPr>
        <w:t>Systemic intervention: Philosophy, methodology, and practice</w:t>
      </w:r>
      <w:r w:rsidR="007466A1" w:rsidRPr="000955D4">
        <w:t>. Kluwer</w:t>
      </w:r>
      <w:r w:rsidR="007466A1" w:rsidRPr="000955D4">
        <w:tab/>
      </w:r>
      <w:r w:rsidRPr="000955D4">
        <w:t>Academic Publishers.</w:t>
      </w:r>
    </w:p>
    <w:p w14:paraId="5C26E3AE" w14:textId="4375BAA1" w:rsidR="000B2AFF" w:rsidRPr="000955D4" w:rsidRDefault="000B2AFF" w:rsidP="00820F58">
      <w:pPr>
        <w:pStyle w:val="whitespace-normal"/>
        <w:spacing w:before="0" w:beforeAutospacing="0" w:after="0" w:afterAutospacing="0"/>
        <w:jc w:val="both"/>
      </w:pPr>
      <w:r w:rsidRPr="000955D4">
        <w:t>Momanyi, J. M., &amp; Rop, P. K. (2020). Teacher preparedness for t</w:t>
      </w:r>
      <w:r w:rsidR="007466A1" w:rsidRPr="000955D4">
        <w:t>he implementation of competency</w:t>
      </w:r>
      <w:r w:rsidR="007466A1" w:rsidRPr="000955D4">
        <w:tab/>
      </w:r>
      <w:r w:rsidRPr="000955D4">
        <w:t>based curriculum in Kenya: A survey of early grade primar</w:t>
      </w:r>
      <w:r w:rsidR="007466A1" w:rsidRPr="000955D4">
        <w:t>y school teachers in Bomet East</w:t>
      </w:r>
      <w:r w:rsidR="007466A1" w:rsidRPr="000955D4">
        <w:tab/>
      </w:r>
      <w:r w:rsidRPr="000955D4">
        <w:t xml:space="preserve">Sub-County. </w:t>
      </w:r>
      <w:r w:rsidRPr="000955D4">
        <w:rPr>
          <w:rStyle w:val="Emphasis"/>
          <w:rFonts w:eastAsiaTheme="majorEastAsia"/>
        </w:rPr>
        <w:t>The Cradle of Knowledge: African Journal of</w:t>
      </w:r>
      <w:r w:rsidR="007466A1" w:rsidRPr="000955D4">
        <w:rPr>
          <w:rStyle w:val="Emphasis"/>
          <w:rFonts w:eastAsiaTheme="majorEastAsia"/>
        </w:rPr>
        <w:t xml:space="preserve"> Educational and Social Science</w:t>
      </w:r>
      <w:r w:rsidR="007466A1" w:rsidRPr="000955D4">
        <w:rPr>
          <w:rStyle w:val="Emphasis"/>
          <w:rFonts w:eastAsiaTheme="majorEastAsia"/>
        </w:rPr>
        <w:tab/>
      </w:r>
      <w:r w:rsidRPr="000955D4">
        <w:rPr>
          <w:rStyle w:val="Emphasis"/>
          <w:rFonts w:eastAsiaTheme="majorEastAsia"/>
        </w:rPr>
        <w:t>Research</w:t>
      </w:r>
      <w:r w:rsidRPr="000955D4">
        <w:t xml:space="preserve">, </w:t>
      </w:r>
      <w:r w:rsidRPr="000955D4">
        <w:rPr>
          <w:rStyle w:val="Emphasis"/>
          <w:rFonts w:eastAsiaTheme="majorEastAsia"/>
        </w:rPr>
        <w:t>7</w:t>
      </w:r>
      <w:r w:rsidRPr="000955D4">
        <w:t>(1), 10-15.</w:t>
      </w:r>
    </w:p>
    <w:p w14:paraId="5AF968B2" w14:textId="1C45A59D" w:rsidR="000B2AFF" w:rsidRPr="000955D4" w:rsidRDefault="000B2AFF" w:rsidP="00820F58">
      <w:pPr>
        <w:pStyle w:val="whitespace-normal"/>
        <w:spacing w:before="0" w:beforeAutospacing="0" w:after="0" w:afterAutospacing="0"/>
        <w:jc w:val="both"/>
      </w:pPr>
      <w:r w:rsidRPr="000955D4">
        <w:t xml:space="preserve">Mugenda, O. M., &amp; Mugenda, A. G. (2013). </w:t>
      </w:r>
      <w:r w:rsidRPr="000955D4">
        <w:rPr>
          <w:rStyle w:val="Emphasis"/>
          <w:rFonts w:eastAsiaTheme="majorEastAsia"/>
        </w:rPr>
        <w:t>Research method</w:t>
      </w:r>
      <w:r w:rsidR="007466A1" w:rsidRPr="000955D4">
        <w:rPr>
          <w:rStyle w:val="Emphasis"/>
          <w:rFonts w:eastAsiaTheme="majorEastAsia"/>
        </w:rPr>
        <w:t>s: Quantitative and qualitative</w:t>
      </w:r>
      <w:r w:rsidR="007466A1" w:rsidRPr="000955D4">
        <w:rPr>
          <w:rStyle w:val="Emphasis"/>
          <w:rFonts w:eastAsiaTheme="majorEastAsia"/>
        </w:rPr>
        <w:tab/>
      </w:r>
      <w:r w:rsidRPr="000955D4">
        <w:rPr>
          <w:rStyle w:val="Emphasis"/>
          <w:rFonts w:eastAsiaTheme="majorEastAsia"/>
        </w:rPr>
        <w:t>approaches</w:t>
      </w:r>
      <w:r w:rsidRPr="000955D4">
        <w:t xml:space="preserve"> (3rd ed.). ACTS Press.</w:t>
      </w:r>
    </w:p>
    <w:p w14:paraId="2D325061" w14:textId="62BFAECC" w:rsidR="000B2AFF" w:rsidRPr="000955D4" w:rsidRDefault="000B2AFF" w:rsidP="00820F58">
      <w:pPr>
        <w:pStyle w:val="whitespace-normal"/>
        <w:spacing w:before="0" w:beforeAutospacing="0" w:after="0" w:afterAutospacing="0"/>
        <w:jc w:val="both"/>
      </w:pPr>
      <w:r w:rsidRPr="000955D4">
        <w:t xml:space="preserve">Ogondiek, W. M. (2005). </w:t>
      </w:r>
      <w:r w:rsidRPr="000955D4">
        <w:rPr>
          <w:rStyle w:val="Emphasis"/>
          <w:rFonts w:eastAsiaTheme="majorEastAsia"/>
        </w:rPr>
        <w:t>Innovations in vocational education a</w:t>
      </w:r>
      <w:r w:rsidR="007466A1" w:rsidRPr="000955D4">
        <w:rPr>
          <w:rStyle w:val="Emphasis"/>
          <w:rFonts w:eastAsiaTheme="majorEastAsia"/>
        </w:rPr>
        <w:t>nd training: The implementation</w:t>
      </w:r>
      <w:r w:rsidR="007466A1" w:rsidRPr="000955D4">
        <w:rPr>
          <w:rStyle w:val="Emphasis"/>
          <w:rFonts w:eastAsiaTheme="majorEastAsia"/>
        </w:rPr>
        <w:tab/>
      </w:r>
      <w:r w:rsidRPr="000955D4">
        <w:rPr>
          <w:rStyle w:val="Emphasis"/>
          <w:rFonts w:eastAsiaTheme="majorEastAsia"/>
        </w:rPr>
        <w:t xml:space="preserve">of the competence based education and training in Dar </w:t>
      </w:r>
      <w:r w:rsidR="007466A1" w:rsidRPr="000955D4">
        <w:rPr>
          <w:rStyle w:val="Emphasis"/>
          <w:rFonts w:eastAsiaTheme="majorEastAsia"/>
        </w:rPr>
        <w:t>es Salaam and Dodoma vocational</w:t>
      </w:r>
      <w:r w:rsidR="007466A1" w:rsidRPr="000955D4">
        <w:rPr>
          <w:rStyle w:val="Emphasis"/>
          <w:rFonts w:eastAsiaTheme="majorEastAsia"/>
        </w:rPr>
        <w:tab/>
      </w:r>
      <w:r w:rsidRPr="000955D4">
        <w:rPr>
          <w:rStyle w:val="Emphasis"/>
          <w:rFonts w:eastAsiaTheme="majorEastAsia"/>
        </w:rPr>
        <w:t>training centre</w:t>
      </w:r>
      <w:r w:rsidRPr="000955D4">
        <w:t xml:space="preserve"> [Unpublished master's thesis, University of Dar es Salaam].</w:t>
      </w:r>
    </w:p>
    <w:p w14:paraId="7E42594C" w14:textId="68D2D055" w:rsidR="000B2AFF" w:rsidRPr="000955D4" w:rsidRDefault="000B2AFF" w:rsidP="00820F58">
      <w:pPr>
        <w:pStyle w:val="whitespace-normal"/>
        <w:spacing w:before="0" w:beforeAutospacing="0" w:after="0" w:afterAutospacing="0"/>
        <w:jc w:val="both"/>
      </w:pPr>
      <w:r w:rsidRPr="000955D4">
        <w:t xml:space="preserve">Onyango, G. (2021). </w:t>
      </w:r>
      <w:r w:rsidRPr="000955D4">
        <w:rPr>
          <w:rStyle w:val="Emphasis"/>
          <w:rFonts w:eastAsiaTheme="majorEastAsia"/>
        </w:rPr>
        <w:t xml:space="preserve">Influence of stakeholder involvement on </w:t>
      </w:r>
      <w:r w:rsidR="007466A1" w:rsidRPr="000955D4">
        <w:rPr>
          <w:rStyle w:val="Emphasis"/>
          <w:rFonts w:eastAsiaTheme="majorEastAsia"/>
        </w:rPr>
        <w:t>performance of public secondary</w:t>
      </w:r>
      <w:r w:rsidR="007466A1" w:rsidRPr="000955D4">
        <w:rPr>
          <w:rStyle w:val="Emphasis"/>
          <w:rFonts w:eastAsiaTheme="majorEastAsia"/>
        </w:rPr>
        <w:tab/>
      </w:r>
      <w:r w:rsidRPr="000955D4">
        <w:rPr>
          <w:rStyle w:val="Emphasis"/>
          <w:rFonts w:eastAsiaTheme="majorEastAsia"/>
        </w:rPr>
        <w:t>schools in Kisumu and Uasin Gishu Counties, Kenya</w:t>
      </w:r>
      <w:r w:rsidRPr="000955D4">
        <w:t xml:space="preserve"> [Docto</w:t>
      </w:r>
      <w:r w:rsidR="007466A1" w:rsidRPr="000955D4">
        <w:t>ral dissertation, University of</w:t>
      </w:r>
      <w:r w:rsidR="007466A1" w:rsidRPr="000955D4">
        <w:tab/>
      </w:r>
      <w:r w:rsidRPr="000955D4">
        <w:t>Nairobi].</w:t>
      </w:r>
    </w:p>
    <w:p w14:paraId="5268C46D" w14:textId="619C2934" w:rsidR="000B2AFF" w:rsidRPr="000955D4" w:rsidRDefault="000B2AFF" w:rsidP="00820F58">
      <w:pPr>
        <w:pStyle w:val="whitespace-normal"/>
        <w:spacing w:before="0" w:beforeAutospacing="0" w:after="0" w:afterAutospacing="0"/>
        <w:jc w:val="both"/>
      </w:pPr>
      <w:r w:rsidRPr="000955D4">
        <w:t xml:space="preserve">Republic of Rwanda. (2015). </w:t>
      </w:r>
      <w:r w:rsidRPr="000955D4">
        <w:rPr>
          <w:rStyle w:val="Emphasis"/>
          <w:rFonts w:eastAsiaTheme="majorEastAsia"/>
        </w:rPr>
        <w:t xml:space="preserve">Competence-based curriculum: </w:t>
      </w:r>
      <w:r w:rsidR="007466A1" w:rsidRPr="000955D4">
        <w:rPr>
          <w:rStyle w:val="Emphasis"/>
          <w:rFonts w:eastAsiaTheme="majorEastAsia"/>
        </w:rPr>
        <w:t>Summary of curriculum framework</w:t>
      </w:r>
      <w:r w:rsidR="007466A1" w:rsidRPr="000955D4">
        <w:rPr>
          <w:rStyle w:val="Emphasis"/>
          <w:rFonts w:eastAsiaTheme="majorEastAsia"/>
        </w:rPr>
        <w:tab/>
      </w:r>
      <w:r w:rsidRPr="000955D4">
        <w:rPr>
          <w:rStyle w:val="Emphasis"/>
          <w:rFonts w:eastAsiaTheme="majorEastAsia"/>
        </w:rPr>
        <w:t>pre-primary to upper-secondary</w:t>
      </w:r>
      <w:r w:rsidRPr="000955D4">
        <w:t>. Ministry of Education.</w:t>
      </w:r>
    </w:p>
    <w:p w14:paraId="18446157" w14:textId="085D0B8A" w:rsidR="000B2AFF" w:rsidRPr="000955D4" w:rsidRDefault="000B2AFF" w:rsidP="00820F58">
      <w:pPr>
        <w:pStyle w:val="whitespace-normal"/>
        <w:spacing w:before="0" w:beforeAutospacing="0" w:after="0" w:afterAutospacing="0"/>
        <w:jc w:val="both"/>
      </w:pPr>
      <w:r w:rsidRPr="000955D4">
        <w:t xml:space="preserve">Scott, W. R., &amp; Davis, G. F. (2016). </w:t>
      </w:r>
      <w:r w:rsidRPr="000955D4">
        <w:rPr>
          <w:rStyle w:val="Emphasis"/>
          <w:rFonts w:eastAsiaTheme="majorEastAsia"/>
        </w:rPr>
        <w:t>Organizations and organiz</w:t>
      </w:r>
      <w:r w:rsidR="007466A1" w:rsidRPr="000955D4">
        <w:rPr>
          <w:rStyle w:val="Emphasis"/>
          <w:rFonts w:eastAsiaTheme="majorEastAsia"/>
        </w:rPr>
        <w:t>ing: Rational, natural and open</w:t>
      </w:r>
      <w:r w:rsidR="007466A1" w:rsidRPr="000955D4">
        <w:rPr>
          <w:rStyle w:val="Emphasis"/>
          <w:rFonts w:eastAsiaTheme="majorEastAsia"/>
        </w:rPr>
        <w:tab/>
      </w:r>
      <w:r w:rsidRPr="000955D4">
        <w:rPr>
          <w:rStyle w:val="Emphasis"/>
          <w:rFonts w:eastAsiaTheme="majorEastAsia"/>
        </w:rPr>
        <w:t>systems perspectives</w:t>
      </w:r>
      <w:r w:rsidRPr="000955D4">
        <w:t xml:space="preserve"> (4th ed.). Routledge.</w:t>
      </w:r>
    </w:p>
    <w:p w14:paraId="125714FC" w14:textId="77777777" w:rsidR="000B2AFF" w:rsidRPr="000955D4" w:rsidRDefault="000B2AFF" w:rsidP="00820F58">
      <w:pPr>
        <w:pStyle w:val="whitespace-normal"/>
        <w:spacing w:before="0" w:beforeAutospacing="0" w:after="0" w:afterAutospacing="0"/>
        <w:jc w:val="both"/>
      </w:pPr>
      <w:r w:rsidRPr="000955D4">
        <w:t xml:space="preserve">Secretaría de Educación Pública. (2011). </w:t>
      </w:r>
      <w:r w:rsidRPr="000955D4">
        <w:rPr>
          <w:rStyle w:val="Emphasis"/>
          <w:rFonts w:eastAsiaTheme="majorEastAsia"/>
        </w:rPr>
        <w:t>Plan de estudios 2011: Educación básica</w:t>
      </w:r>
      <w:r w:rsidRPr="000955D4">
        <w:t>. SEP.</w:t>
      </w:r>
    </w:p>
    <w:p w14:paraId="31CCBAE0" w14:textId="60BD5F04" w:rsidR="000B2AFF" w:rsidRPr="000955D4" w:rsidRDefault="000B2AFF" w:rsidP="00820F58">
      <w:pPr>
        <w:pStyle w:val="whitespace-normal"/>
        <w:spacing w:before="0" w:beforeAutospacing="0" w:after="0" w:afterAutospacing="0"/>
        <w:jc w:val="both"/>
      </w:pPr>
      <w:r w:rsidRPr="000955D4">
        <w:t xml:space="preserve">Skyttner, L. (2005). </w:t>
      </w:r>
      <w:r w:rsidRPr="000955D4">
        <w:rPr>
          <w:rStyle w:val="Emphasis"/>
          <w:rFonts w:eastAsiaTheme="majorEastAsia"/>
        </w:rPr>
        <w:t>General systems theory: Problems, perspectives, practice</w:t>
      </w:r>
      <w:r w:rsidRPr="000955D4">
        <w:t xml:space="preserve"> (2nd ed.</w:t>
      </w:r>
      <w:r w:rsidR="007466A1" w:rsidRPr="000955D4">
        <w:t>). World</w:t>
      </w:r>
      <w:r w:rsidR="007466A1" w:rsidRPr="000955D4">
        <w:tab/>
      </w:r>
      <w:r w:rsidRPr="000955D4">
        <w:t>Scientific.</w:t>
      </w:r>
    </w:p>
    <w:p w14:paraId="1629E71D" w14:textId="15D64AC7" w:rsidR="000B2AFF" w:rsidRPr="000955D4" w:rsidRDefault="000B2AFF" w:rsidP="00820F58">
      <w:pPr>
        <w:pStyle w:val="whitespace-normal"/>
        <w:spacing w:before="0" w:beforeAutospacing="0" w:after="0" w:afterAutospacing="0"/>
        <w:jc w:val="both"/>
      </w:pPr>
      <w:r w:rsidRPr="000955D4">
        <w:t>Teece, D. J., Pisano, G., &amp; Shuen, A. (1997). Dynamic capabil</w:t>
      </w:r>
      <w:r w:rsidR="007466A1" w:rsidRPr="000955D4">
        <w:t>ities and strategic management.</w:t>
      </w:r>
      <w:r w:rsidR="007466A1" w:rsidRPr="000955D4">
        <w:tab/>
      </w:r>
      <w:r w:rsidRPr="000955D4">
        <w:rPr>
          <w:rStyle w:val="Emphasis"/>
          <w:rFonts w:eastAsiaTheme="majorEastAsia"/>
        </w:rPr>
        <w:t>Strategic Management Journal</w:t>
      </w:r>
      <w:r w:rsidRPr="000955D4">
        <w:t xml:space="preserve">, </w:t>
      </w:r>
      <w:r w:rsidRPr="000955D4">
        <w:rPr>
          <w:rStyle w:val="Emphasis"/>
          <w:rFonts w:eastAsiaTheme="majorEastAsia"/>
        </w:rPr>
        <w:t>18</w:t>
      </w:r>
      <w:r w:rsidRPr="000955D4">
        <w:t>(7), 509-533.</w:t>
      </w:r>
    </w:p>
    <w:p w14:paraId="6093FECD" w14:textId="5CDA5898" w:rsidR="000B2AFF" w:rsidRPr="000955D4" w:rsidRDefault="000B2AFF" w:rsidP="00820F58">
      <w:pPr>
        <w:pStyle w:val="whitespace-normal"/>
        <w:spacing w:before="0" w:beforeAutospacing="0" w:after="0" w:afterAutospacing="0"/>
        <w:jc w:val="both"/>
      </w:pPr>
      <w:r w:rsidRPr="000955D4">
        <w:t xml:space="preserve">Tilya, F., &amp; Mafumiko, F. (2010). The compatibility between </w:t>
      </w:r>
      <w:r w:rsidR="007466A1" w:rsidRPr="000955D4">
        <w:t>teaching methods and competence</w:t>
      </w:r>
      <w:r w:rsidR="007466A1" w:rsidRPr="000955D4">
        <w:tab/>
      </w:r>
      <w:r w:rsidRPr="000955D4">
        <w:t xml:space="preserve">based curriculum in Tanzania. </w:t>
      </w:r>
      <w:r w:rsidRPr="000955D4">
        <w:rPr>
          <w:rStyle w:val="Emphasis"/>
          <w:rFonts w:eastAsiaTheme="majorEastAsia"/>
        </w:rPr>
        <w:t>Papers in Education and Development</w:t>
      </w:r>
      <w:r w:rsidRPr="000955D4">
        <w:t xml:space="preserve">, </w:t>
      </w:r>
      <w:r w:rsidRPr="000955D4">
        <w:rPr>
          <w:rStyle w:val="Emphasis"/>
          <w:rFonts w:eastAsiaTheme="majorEastAsia"/>
        </w:rPr>
        <w:t>29</w:t>
      </w:r>
      <w:r w:rsidRPr="000955D4">
        <w:t>, 37-56.</w:t>
      </w:r>
    </w:p>
    <w:p w14:paraId="28A2F250" w14:textId="6F89DA41" w:rsidR="000B2AFF" w:rsidRPr="000955D4" w:rsidRDefault="000B2AFF" w:rsidP="00820F58">
      <w:pPr>
        <w:pStyle w:val="whitespace-normal"/>
        <w:spacing w:before="0" w:beforeAutospacing="0" w:after="0" w:afterAutospacing="0"/>
        <w:jc w:val="both"/>
      </w:pPr>
      <w:r w:rsidRPr="000955D4">
        <w:t xml:space="preserve">US Department of Education, National Center for Educational Statistics. (2002). </w:t>
      </w:r>
      <w:r w:rsidR="007466A1" w:rsidRPr="000955D4">
        <w:rPr>
          <w:rStyle w:val="Emphasis"/>
          <w:rFonts w:eastAsiaTheme="majorEastAsia"/>
        </w:rPr>
        <w:t>Defining and</w:t>
      </w:r>
      <w:r w:rsidR="007466A1" w:rsidRPr="000955D4">
        <w:rPr>
          <w:rStyle w:val="Emphasis"/>
          <w:rFonts w:eastAsiaTheme="majorEastAsia"/>
        </w:rPr>
        <w:tab/>
      </w:r>
      <w:r w:rsidRPr="000955D4">
        <w:rPr>
          <w:rStyle w:val="Emphasis"/>
          <w:rFonts w:eastAsiaTheme="majorEastAsia"/>
        </w:rPr>
        <w:t>assessing learning: Exploring competency based initiatives</w:t>
      </w:r>
      <w:r w:rsidR="007466A1" w:rsidRPr="000955D4">
        <w:t>. US Government Printing</w:t>
      </w:r>
      <w:r w:rsidR="007466A1" w:rsidRPr="000955D4">
        <w:tab/>
      </w:r>
      <w:r w:rsidRPr="000955D4">
        <w:t>Office.</w:t>
      </w:r>
    </w:p>
    <w:p w14:paraId="0E36B9DD" w14:textId="5120FCE1" w:rsidR="000B2AFF" w:rsidRPr="000955D4" w:rsidRDefault="000B2AFF" w:rsidP="00820F58">
      <w:pPr>
        <w:pStyle w:val="whitespace-normal"/>
        <w:spacing w:before="0" w:beforeAutospacing="0" w:after="0" w:afterAutospacing="0"/>
        <w:jc w:val="both"/>
      </w:pPr>
      <w:r w:rsidRPr="000955D4">
        <w:t xml:space="preserve">Von Foerster, H. (2003). </w:t>
      </w:r>
      <w:r w:rsidRPr="000955D4">
        <w:rPr>
          <w:rStyle w:val="Emphasis"/>
          <w:rFonts w:eastAsiaTheme="majorEastAsia"/>
        </w:rPr>
        <w:t>Understanding understanding: Essays on cybernetics and cognition</w:t>
      </w:r>
      <w:r w:rsidR="007466A1" w:rsidRPr="000955D4">
        <w:t>.</w:t>
      </w:r>
      <w:r w:rsidR="007466A1" w:rsidRPr="000955D4">
        <w:tab/>
      </w:r>
      <w:r w:rsidRPr="000955D4">
        <w:t>Springer-Verlag.</w:t>
      </w:r>
    </w:p>
    <w:p w14:paraId="6484FBBF" w14:textId="776592D6" w:rsidR="000B2AFF" w:rsidRPr="000955D4" w:rsidRDefault="000B2AFF" w:rsidP="00820F58">
      <w:pPr>
        <w:pStyle w:val="whitespace-normal"/>
        <w:spacing w:before="0" w:beforeAutospacing="0" w:after="0" w:afterAutospacing="0"/>
        <w:jc w:val="both"/>
      </w:pPr>
      <w:r w:rsidRPr="000955D4">
        <w:t>Wang, H. (2010). Translating policies into practice: The role of</w:t>
      </w:r>
      <w:r w:rsidR="007466A1" w:rsidRPr="000955D4">
        <w:t xml:space="preserve"> middle-level administrators in</w:t>
      </w:r>
      <w:r w:rsidR="007466A1" w:rsidRPr="000955D4">
        <w:tab/>
        <w:t>q</w:t>
      </w:r>
      <w:r w:rsidRPr="000955D4">
        <w:t xml:space="preserve">language curriculum implementation. </w:t>
      </w:r>
      <w:r w:rsidRPr="000955D4">
        <w:rPr>
          <w:rStyle w:val="Emphasis"/>
          <w:rFonts w:eastAsiaTheme="majorEastAsia"/>
        </w:rPr>
        <w:t>The Curriculum Journal</w:t>
      </w:r>
      <w:r w:rsidRPr="000955D4">
        <w:t xml:space="preserve">, </w:t>
      </w:r>
      <w:r w:rsidRPr="000955D4">
        <w:rPr>
          <w:rStyle w:val="Emphasis"/>
          <w:rFonts w:eastAsiaTheme="majorEastAsia"/>
        </w:rPr>
        <w:t>21</w:t>
      </w:r>
      <w:r w:rsidRPr="000955D4">
        <w:t>(2), 179-196.</w:t>
      </w:r>
    </w:p>
    <w:p w14:paraId="5CBAAB85" w14:textId="54EAA14C" w:rsidR="000B2AFF" w:rsidRPr="000955D4" w:rsidRDefault="000B2AFF" w:rsidP="00820F58">
      <w:pPr>
        <w:pStyle w:val="whitespace-normal"/>
        <w:spacing w:before="0" w:beforeAutospacing="0" w:after="0" w:afterAutospacing="0"/>
        <w:jc w:val="both"/>
      </w:pPr>
      <w:r w:rsidRPr="000955D4">
        <w:t xml:space="preserve">Wanjohi, A. M. (2011). </w:t>
      </w:r>
      <w:r w:rsidRPr="000955D4">
        <w:rPr>
          <w:rStyle w:val="Emphasis"/>
          <w:rFonts w:eastAsiaTheme="majorEastAsia"/>
        </w:rPr>
        <w:t>Development of education in Kenya since independence</w:t>
      </w:r>
      <w:r w:rsidR="007466A1" w:rsidRPr="000955D4">
        <w:t>. KENPRO</w:t>
      </w:r>
      <w:r w:rsidR="007466A1" w:rsidRPr="000955D4">
        <w:tab/>
      </w:r>
      <w:r w:rsidRPr="000955D4">
        <w:t>Publications.</w:t>
      </w:r>
    </w:p>
    <w:p w14:paraId="27284689" w14:textId="123A667E" w:rsidR="00403199" w:rsidRPr="000955D4" w:rsidRDefault="000B2AFF" w:rsidP="00820F58">
      <w:pPr>
        <w:pStyle w:val="whitespace-normal"/>
        <w:spacing w:before="0" w:beforeAutospacing="0" w:after="0" w:afterAutospacing="0"/>
        <w:jc w:val="both"/>
      </w:pPr>
      <w:r w:rsidRPr="000955D4">
        <w:t>Zhang, C., Li, M., Wang, Y., &amp; Chen, X. (2018). Applications of inf</w:t>
      </w:r>
      <w:r w:rsidR="007466A1" w:rsidRPr="000955D4">
        <w:t>erential statistical methods in</w:t>
      </w:r>
      <w:r w:rsidR="007466A1" w:rsidRPr="000955D4">
        <w:tab/>
      </w:r>
      <w:r w:rsidRPr="000955D4">
        <w:t xml:space="preserve">educational research. </w:t>
      </w:r>
      <w:r w:rsidRPr="000955D4">
        <w:rPr>
          <w:rStyle w:val="Emphasis"/>
          <w:rFonts w:eastAsiaTheme="majorEastAsia"/>
        </w:rPr>
        <w:t>Educational Research Quarterly</w:t>
      </w:r>
      <w:r w:rsidRPr="000955D4">
        <w:t xml:space="preserve">, </w:t>
      </w:r>
      <w:r w:rsidRPr="000955D4">
        <w:rPr>
          <w:rStyle w:val="Emphasis"/>
          <w:rFonts w:eastAsiaTheme="majorEastAsia"/>
        </w:rPr>
        <w:t>42</w:t>
      </w:r>
      <w:r w:rsidRPr="000955D4">
        <w:t>(2), 25-48.</w:t>
      </w:r>
      <w:r w:rsidR="007466A1" w:rsidRPr="000955D4">
        <w:t xml:space="preserve"> </w:t>
      </w:r>
    </w:p>
    <w:sectPr w:rsidR="00403199" w:rsidRPr="000955D4" w:rsidSect="00A14BB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0F8F3" w14:textId="77777777" w:rsidR="006A4B1F" w:rsidRDefault="006A4B1F" w:rsidP="00F57628">
      <w:pPr>
        <w:spacing w:after="0" w:line="240" w:lineRule="auto"/>
      </w:pPr>
      <w:r>
        <w:separator/>
      </w:r>
    </w:p>
  </w:endnote>
  <w:endnote w:type="continuationSeparator" w:id="0">
    <w:p w14:paraId="1BBF86B7" w14:textId="77777777" w:rsidR="006A4B1F" w:rsidRDefault="006A4B1F" w:rsidP="00F576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DF4FBB" w14:textId="77777777" w:rsidR="00473F46" w:rsidRDefault="00473F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982433"/>
      <w:docPartObj>
        <w:docPartGallery w:val="Page Numbers (Bottom of Page)"/>
        <w:docPartUnique/>
      </w:docPartObj>
    </w:sdtPr>
    <w:sdtEndPr>
      <w:rPr>
        <w:rFonts w:ascii="Times New Roman" w:hAnsi="Times New Roman" w:cs="Times New Roman"/>
        <w:noProof/>
      </w:rPr>
    </w:sdtEndPr>
    <w:sdtContent>
      <w:p w14:paraId="37A50005" w14:textId="4363A52B" w:rsidR="00F57628" w:rsidRPr="00F57628" w:rsidRDefault="00F57628">
        <w:pPr>
          <w:pStyle w:val="Footer"/>
          <w:jc w:val="center"/>
          <w:rPr>
            <w:rFonts w:ascii="Times New Roman" w:hAnsi="Times New Roman" w:cs="Times New Roman"/>
          </w:rPr>
        </w:pPr>
        <w:r w:rsidRPr="00F57628">
          <w:rPr>
            <w:rFonts w:ascii="Times New Roman" w:hAnsi="Times New Roman" w:cs="Times New Roman"/>
          </w:rPr>
          <w:fldChar w:fldCharType="begin"/>
        </w:r>
        <w:r w:rsidRPr="00F57628">
          <w:rPr>
            <w:rFonts w:ascii="Times New Roman" w:hAnsi="Times New Roman" w:cs="Times New Roman"/>
          </w:rPr>
          <w:instrText xml:space="preserve"> PAGE   \* MERGEFORMAT </w:instrText>
        </w:r>
        <w:r w:rsidRPr="00F57628">
          <w:rPr>
            <w:rFonts w:ascii="Times New Roman" w:hAnsi="Times New Roman" w:cs="Times New Roman"/>
          </w:rPr>
          <w:fldChar w:fldCharType="separate"/>
        </w:r>
        <w:r w:rsidR="00C30F74">
          <w:rPr>
            <w:rFonts w:ascii="Times New Roman" w:hAnsi="Times New Roman" w:cs="Times New Roman"/>
            <w:noProof/>
          </w:rPr>
          <w:t>3</w:t>
        </w:r>
        <w:r w:rsidRPr="00F57628">
          <w:rPr>
            <w:rFonts w:ascii="Times New Roman" w:hAnsi="Times New Roman" w:cs="Times New Roman"/>
            <w:noProof/>
          </w:rPr>
          <w:fldChar w:fldCharType="end"/>
        </w:r>
      </w:p>
    </w:sdtContent>
  </w:sdt>
  <w:p w14:paraId="4E23ED61" w14:textId="77777777" w:rsidR="00F57628" w:rsidRDefault="00F576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315AB" w14:textId="77777777" w:rsidR="00473F46" w:rsidRDefault="00473F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00080" w14:textId="77777777" w:rsidR="006A4B1F" w:rsidRDefault="006A4B1F" w:rsidP="00F57628">
      <w:pPr>
        <w:spacing w:after="0" w:line="240" w:lineRule="auto"/>
      </w:pPr>
      <w:r>
        <w:separator/>
      </w:r>
    </w:p>
  </w:footnote>
  <w:footnote w:type="continuationSeparator" w:id="0">
    <w:p w14:paraId="7753B1B0" w14:textId="77777777" w:rsidR="006A4B1F" w:rsidRDefault="006A4B1F" w:rsidP="00F576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2D6F0" w14:textId="749167E4" w:rsidR="00473F46" w:rsidRDefault="00000000">
    <w:pPr>
      <w:pStyle w:val="Header"/>
    </w:pPr>
    <w:r>
      <w:rPr>
        <w:noProof/>
      </w:rPr>
      <w:pict w14:anchorId="24ABF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188"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31AC9" w14:textId="66B96C3C" w:rsidR="00473F46" w:rsidRDefault="00000000">
    <w:pPr>
      <w:pStyle w:val="Header"/>
    </w:pPr>
    <w:r>
      <w:rPr>
        <w:noProof/>
      </w:rPr>
      <w:pict w14:anchorId="24763A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189"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82B69" w14:textId="22328506" w:rsidR="00473F46" w:rsidRDefault="00000000">
    <w:pPr>
      <w:pStyle w:val="Header"/>
    </w:pPr>
    <w:r>
      <w:rPr>
        <w:noProof/>
      </w:rPr>
      <w:pict w14:anchorId="3E501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2187"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17C09"/>
    <w:multiLevelType w:val="hybridMultilevel"/>
    <w:tmpl w:val="F49CA94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19039EC"/>
    <w:multiLevelType w:val="multilevel"/>
    <w:tmpl w:val="788C02AC"/>
    <w:lvl w:ilvl="0">
      <w:start w:val="1"/>
      <w:numFmt w:val="decimal"/>
      <w:lvlText w:val="%1."/>
      <w:lvlJc w:val="left"/>
      <w:pPr>
        <w:ind w:left="360" w:hanging="360"/>
      </w:pPr>
      <w:rPr>
        <w:rFonts w:ascii="Times New Roman" w:eastAsia="Calibri" w:hAnsi="Times New Roman" w:cs="Times New Roman"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2F538D1"/>
    <w:multiLevelType w:val="hybridMultilevel"/>
    <w:tmpl w:val="B4E40D7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C04A9A"/>
    <w:multiLevelType w:val="multilevel"/>
    <w:tmpl w:val="69F2D7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4D68BA"/>
    <w:multiLevelType w:val="hybridMultilevel"/>
    <w:tmpl w:val="891A2852"/>
    <w:lvl w:ilvl="0" w:tplc="4AAE52EE">
      <w:start w:val="1"/>
      <w:numFmt w:val="decimal"/>
      <w:lvlText w:val="%1."/>
      <w:lvlJc w:val="left"/>
      <w:pPr>
        <w:ind w:left="360" w:hanging="360"/>
      </w:pPr>
      <w:rPr>
        <w:rFonts w:cs="Times New Roman" w:hint="default"/>
        <w:b w:val="0"/>
        <w:bCs/>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3E344C4"/>
    <w:multiLevelType w:val="multilevel"/>
    <w:tmpl w:val="33E344C4"/>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B113A1E"/>
    <w:multiLevelType w:val="multilevel"/>
    <w:tmpl w:val="3B113A1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52E6777E"/>
    <w:multiLevelType w:val="hybridMultilevel"/>
    <w:tmpl w:val="EBE69FB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EB362E"/>
    <w:multiLevelType w:val="multilevel"/>
    <w:tmpl w:val="9E964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70228A"/>
    <w:multiLevelType w:val="multilevel"/>
    <w:tmpl w:val="6D70228A"/>
    <w:lvl w:ilvl="0">
      <w:start w:val="1"/>
      <w:numFmt w:val="lowerRoman"/>
      <w:lvlText w:val="%1)"/>
      <w:lvlJc w:val="lef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0826CA7"/>
    <w:multiLevelType w:val="multilevel"/>
    <w:tmpl w:val="70826CA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727F41DF"/>
    <w:multiLevelType w:val="multilevel"/>
    <w:tmpl w:val="727F41DF"/>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10457424">
    <w:abstractNumId w:val="7"/>
  </w:num>
  <w:num w:numId="2" w16cid:durableId="1502893025">
    <w:abstractNumId w:val="0"/>
  </w:num>
  <w:num w:numId="3" w16cid:durableId="944121166">
    <w:abstractNumId w:val="4"/>
  </w:num>
  <w:num w:numId="4" w16cid:durableId="510687468">
    <w:abstractNumId w:val="1"/>
  </w:num>
  <w:num w:numId="5" w16cid:durableId="1645232185">
    <w:abstractNumId w:val="9"/>
  </w:num>
  <w:num w:numId="6" w16cid:durableId="2001957625">
    <w:abstractNumId w:val="10"/>
  </w:num>
  <w:num w:numId="7" w16cid:durableId="192887633">
    <w:abstractNumId w:val="5"/>
  </w:num>
  <w:num w:numId="8" w16cid:durableId="238365289">
    <w:abstractNumId w:val="11"/>
  </w:num>
  <w:num w:numId="9" w16cid:durableId="1540165784">
    <w:abstractNumId w:val="6"/>
  </w:num>
  <w:num w:numId="10" w16cid:durableId="1555772072">
    <w:abstractNumId w:val="2"/>
  </w:num>
  <w:num w:numId="11" w16cid:durableId="1890452960">
    <w:abstractNumId w:val="8"/>
  </w:num>
  <w:num w:numId="12" w16cid:durableId="12326142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199"/>
    <w:rsid w:val="00000F84"/>
    <w:rsid w:val="0000304D"/>
    <w:rsid w:val="00010267"/>
    <w:rsid w:val="000166F5"/>
    <w:rsid w:val="000205C0"/>
    <w:rsid w:val="00045FB7"/>
    <w:rsid w:val="000515F8"/>
    <w:rsid w:val="000616CA"/>
    <w:rsid w:val="0008452C"/>
    <w:rsid w:val="000955D4"/>
    <w:rsid w:val="000A6882"/>
    <w:rsid w:val="000B2AFF"/>
    <w:rsid w:val="000E1FCF"/>
    <w:rsid w:val="000F6B09"/>
    <w:rsid w:val="00131666"/>
    <w:rsid w:val="001509C6"/>
    <w:rsid w:val="00163213"/>
    <w:rsid w:val="00166327"/>
    <w:rsid w:val="001710D4"/>
    <w:rsid w:val="00183C53"/>
    <w:rsid w:val="00184F6D"/>
    <w:rsid w:val="0019163F"/>
    <w:rsid w:val="001C4A40"/>
    <w:rsid w:val="001C643F"/>
    <w:rsid w:val="001D2A4C"/>
    <w:rsid w:val="001D6D90"/>
    <w:rsid w:val="00234ECE"/>
    <w:rsid w:val="00251EF1"/>
    <w:rsid w:val="002643CB"/>
    <w:rsid w:val="002649C6"/>
    <w:rsid w:val="00280F06"/>
    <w:rsid w:val="00283849"/>
    <w:rsid w:val="002B486B"/>
    <w:rsid w:val="00323877"/>
    <w:rsid w:val="0032496D"/>
    <w:rsid w:val="003369EF"/>
    <w:rsid w:val="00356101"/>
    <w:rsid w:val="00362ACE"/>
    <w:rsid w:val="0038254C"/>
    <w:rsid w:val="003D17F1"/>
    <w:rsid w:val="003E1F31"/>
    <w:rsid w:val="003F5D5A"/>
    <w:rsid w:val="003F6D68"/>
    <w:rsid w:val="00403199"/>
    <w:rsid w:val="00417197"/>
    <w:rsid w:val="00421F02"/>
    <w:rsid w:val="004340C4"/>
    <w:rsid w:val="00434AA5"/>
    <w:rsid w:val="00473F46"/>
    <w:rsid w:val="00477A6A"/>
    <w:rsid w:val="00491D08"/>
    <w:rsid w:val="004A11E7"/>
    <w:rsid w:val="004A14F1"/>
    <w:rsid w:val="0050483D"/>
    <w:rsid w:val="0055565A"/>
    <w:rsid w:val="005A4397"/>
    <w:rsid w:val="005B4670"/>
    <w:rsid w:val="005D273C"/>
    <w:rsid w:val="005F2C11"/>
    <w:rsid w:val="00614F46"/>
    <w:rsid w:val="006234FC"/>
    <w:rsid w:val="00632073"/>
    <w:rsid w:val="006417CF"/>
    <w:rsid w:val="00641A79"/>
    <w:rsid w:val="00655963"/>
    <w:rsid w:val="0068175B"/>
    <w:rsid w:val="006918D3"/>
    <w:rsid w:val="006A4B1F"/>
    <w:rsid w:val="006A525D"/>
    <w:rsid w:val="006D28A8"/>
    <w:rsid w:val="006F2D30"/>
    <w:rsid w:val="00730267"/>
    <w:rsid w:val="00730B20"/>
    <w:rsid w:val="007332F4"/>
    <w:rsid w:val="00744FEA"/>
    <w:rsid w:val="007466A1"/>
    <w:rsid w:val="0074698B"/>
    <w:rsid w:val="00786CB2"/>
    <w:rsid w:val="007919F8"/>
    <w:rsid w:val="007A66A5"/>
    <w:rsid w:val="007C3D4B"/>
    <w:rsid w:val="007C6BBE"/>
    <w:rsid w:val="007D2C96"/>
    <w:rsid w:val="007E0E0F"/>
    <w:rsid w:val="007E4367"/>
    <w:rsid w:val="007E7DD9"/>
    <w:rsid w:val="007F7D6D"/>
    <w:rsid w:val="00805BCF"/>
    <w:rsid w:val="0080601F"/>
    <w:rsid w:val="008160C9"/>
    <w:rsid w:val="00820F58"/>
    <w:rsid w:val="0083625D"/>
    <w:rsid w:val="008721AA"/>
    <w:rsid w:val="008809A5"/>
    <w:rsid w:val="00885891"/>
    <w:rsid w:val="00895C41"/>
    <w:rsid w:val="008D2BAC"/>
    <w:rsid w:val="008F00EB"/>
    <w:rsid w:val="008F462D"/>
    <w:rsid w:val="008F6B60"/>
    <w:rsid w:val="009061F0"/>
    <w:rsid w:val="00980124"/>
    <w:rsid w:val="00995CDF"/>
    <w:rsid w:val="009D5645"/>
    <w:rsid w:val="00A00496"/>
    <w:rsid w:val="00A01A4A"/>
    <w:rsid w:val="00A14BB1"/>
    <w:rsid w:val="00A30763"/>
    <w:rsid w:val="00A36CF5"/>
    <w:rsid w:val="00A701C9"/>
    <w:rsid w:val="00AB29B1"/>
    <w:rsid w:val="00AC338A"/>
    <w:rsid w:val="00AD232C"/>
    <w:rsid w:val="00AD7BFE"/>
    <w:rsid w:val="00AF371D"/>
    <w:rsid w:val="00B63216"/>
    <w:rsid w:val="00B97056"/>
    <w:rsid w:val="00BA2F78"/>
    <w:rsid w:val="00BB56C1"/>
    <w:rsid w:val="00BB6B7E"/>
    <w:rsid w:val="00BC6AFF"/>
    <w:rsid w:val="00BE03E1"/>
    <w:rsid w:val="00BE6085"/>
    <w:rsid w:val="00C00138"/>
    <w:rsid w:val="00C1045F"/>
    <w:rsid w:val="00C217A6"/>
    <w:rsid w:val="00C30F74"/>
    <w:rsid w:val="00C5263C"/>
    <w:rsid w:val="00CD43DC"/>
    <w:rsid w:val="00CE5A1A"/>
    <w:rsid w:val="00CF4B50"/>
    <w:rsid w:val="00D04742"/>
    <w:rsid w:val="00D54626"/>
    <w:rsid w:val="00D61028"/>
    <w:rsid w:val="00D964B8"/>
    <w:rsid w:val="00DB107A"/>
    <w:rsid w:val="00DC1FB0"/>
    <w:rsid w:val="00DD171A"/>
    <w:rsid w:val="00DE2E9B"/>
    <w:rsid w:val="00DE51A1"/>
    <w:rsid w:val="00E245EA"/>
    <w:rsid w:val="00E30D9A"/>
    <w:rsid w:val="00E44137"/>
    <w:rsid w:val="00E604FD"/>
    <w:rsid w:val="00E61EA7"/>
    <w:rsid w:val="00EA19DB"/>
    <w:rsid w:val="00EA31CF"/>
    <w:rsid w:val="00EC1AE8"/>
    <w:rsid w:val="00EC76A9"/>
    <w:rsid w:val="00F024BA"/>
    <w:rsid w:val="00F05FF7"/>
    <w:rsid w:val="00F3252F"/>
    <w:rsid w:val="00F37855"/>
    <w:rsid w:val="00F5325D"/>
    <w:rsid w:val="00F544FE"/>
    <w:rsid w:val="00F57628"/>
    <w:rsid w:val="00F67B95"/>
    <w:rsid w:val="00F84A80"/>
    <w:rsid w:val="00F9689A"/>
    <w:rsid w:val="00FA71D2"/>
    <w:rsid w:val="00FC2D4D"/>
    <w:rsid w:val="00FF3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2B3CC0"/>
  <w15:chartTrackingRefBased/>
  <w15:docId w15:val="{C64DA8B7-6D2C-404B-A174-AE324667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31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31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31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31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31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3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3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3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3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31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31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31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31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31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3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3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3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3199"/>
    <w:rPr>
      <w:rFonts w:eastAsiaTheme="majorEastAsia" w:cstheme="majorBidi"/>
      <w:color w:val="272727" w:themeColor="text1" w:themeTint="D8"/>
    </w:rPr>
  </w:style>
  <w:style w:type="paragraph" w:styleId="Title">
    <w:name w:val="Title"/>
    <w:basedOn w:val="Normal"/>
    <w:next w:val="Normal"/>
    <w:link w:val="TitleChar"/>
    <w:uiPriority w:val="10"/>
    <w:qFormat/>
    <w:rsid w:val="00403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3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3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3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3199"/>
    <w:pPr>
      <w:spacing w:before="160"/>
      <w:jc w:val="center"/>
    </w:pPr>
    <w:rPr>
      <w:i/>
      <w:iCs/>
      <w:color w:val="404040" w:themeColor="text1" w:themeTint="BF"/>
    </w:rPr>
  </w:style>
  <w:style w:type="character" w:customStyle="1" w:styleId="QuoteChar">
    <w:name w:val="Quote Char"/>
    <w:basedOn w:val="DefaultParagraphFont"/>
    <w:link w:val="Quote"/>
    <w:uiPriority w:val="29"/>
    <w:rsid w:val="00403199"/>
    <w:rPr>
      <w:i/>
      <w:iCs/>
      <w:color w:val="404040" w:themeColor="text1" w:themeTint="BF"/>
    </w:rPr>
  </w:style>
  <w:style w:type="paragraph" w:styleId="ListParagraph">
    <w:name w:val="List Paragraph"/>
    <w:basedOn w:val="Normal"/>
    <w:link w:val="ListParagraphChar"/>
    <w:uiPriority w:val="34"/>
    <w:qFormat/>
    <w:rsid w:val="00403199"/>
    <w:pPr>
      <w:ind w:left="720"/>
      <w:contextualSpacing/>
    </w:pPr>
  </w:style>
  <w:style w:type="character" w:styleId="IntenseEmphasis">
    <w:name w:val="Intense Emphasis"/>
    <w:basedOn w:val="DefaultParagraphFont"/>
    <w:uiPriority w:val="21"/>
    <w:qFormat/>
    <w:rsid w:val="00403199"/>
    <w:rPr>
      <w:i/>
      <w:iCs/>
      <w:color w:val="2F5496" w:themeColor="accent1" w:themeShade="BF"/>
    </w:rPr>
  </w:style>
  <w:style w:type="paragraph" w:styleId="IntenseQuote">
    <w:name w:val="Intense Quote"/>
    <w:basedOn w:val="Normal"/>
    <w:next w:val="Normal"/>
    <w:link w:val="IntenseQuoteChar"/>
    <w:uiPriority w:val="30"/>
    <w:qFormat/>
    <w:rsid w:val="004031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3199"/>
    <w:rPr>
      <w:i/>
      <w:iCs/>
      <w:color w:val="2F5496" w:themeColor="accent1" w:themeShade="BF"/>
    </w:rPr>
  </w:style>
  <w:style w:type="character" w:styleId="IntenseReference">
    <w:name w:val="Intense Reference"/>
    <w:basedOn w:val="DefaultParagraphFont"/>
    <w:uiPriority w:val="32"/>
    <w:qFormat/>
    <w:rsid w:val="00403199"/>
    <w:rPr>
      <w:b/>
      <w:bCs/>
      <w:smallCaps/>
      <w:color w:val="2F5496" w:themeColor="accent1" w:themeShade="BF"/>
      <w:spacing w:val="5"/>
    </w:rPr>
  </w:style>
  <w:style w:type="paragraph" w:styleId="NoSpacing">
    <w:name w:val="No Spacing"/>
    <w:link w:val="NoSpacingChar"/>
    <w:uiPriority w:val="1"/>
    <w:qFormat/>
    <w:rsid w:val="0050483D"/>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50483D"/>
    <w:rPr>
      <w:rFonts w:eastAsiaTheme="minorEastAsia"/>
      <w:kern w:val="0"/>
      <w:sz w:val="22"/>
      <w:szCs w:val="22"/>
      <w14:ligatures w14:val="none"/>
    </w:rPr>
  </w:style>
  <w:style w:type="character" w:styleId="SubtleEmphasis">
    <w:name w:val="Subtle Emphasis"/>
    <w:basedOn w:val="DefaultParagraphFont"/>
    <w:uiPriority w:val="19"/>
    <w:qFormat/>
    <w:rsid w:val="0038254C"/>
    <w:rPr>
      <w:i/>
      <w:iCs/>
      <w:color w:val="404040" w:themeColor="text1" w:themeTint="BF"/>
    </w:rPr>
  </w:style>
  <w:style w:type="table" w:styleId="TableGrid">
    <w:name w:val="Table Grid"/>
    <w:basedOn w:val="TableNormal"/>
    <w:uiPriority w:val="99"/>
    <w:rsid w:val="0032496D"/>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
    <w:name w:val="Tables"/>
    <w:basedOn w:val="Caption"/>
    <w:next w:val="Caption"/>
    <w:qFormat/>
    <w:rsid w:val="0032496D"/>
    <w:pPr>
      <w:spacing w:before="240" w:after="240" w:line="360" w:lineRule="auto"/>
      <w:jc w:val="both"/>
    </w:pPr>
    <w:rPr>
      <w:rFonts w:ascii="Times New Roman" w:eastAsia="Calibri" w:hAnsi="Times New Roman" w:cs="Times New Roman"/>
      <w:b/>
      <w:bCs/>
      <w:iCs w:val="0"/>
      <w:color w:val="000000" w:themeColor="text1"/>
      <w:kern w:val="0"/>
      <w:sz w:val="24"/>
      <w:szCs w:val="24"/>
      <w14:ligatures w14:val="none"/>
    </w:rPr>
  </w:style>
  <w:style w:type="paragraph" w:styleId="Caption">
    <w:name w:val="caption"/>
    <w:basedOn w:val="Normal"/>
    <w:next w:val="Normal"/>
    <w:uiPriority w:val="35"/>
    <w:semiHidden/>
    <w:unhideWhenUsed/>
    <w:qFormat/>
    <w:rsid w:val="0032496D"/>
    <w:pPr>
      <w:spacing w:after="200" w:line="240" w:lineRule="auto"/>
    </w:pPr>
    <w:rPr>
      <w:i/>
      <w:iCs/>
      <w:color w:val="44546A" w:themeColor="text2"/>
      <w:sz w:val="18"/>
      <w:szCs w:val="18"/>
    </w:rPr>
  </w:style>
  <w:style w:type="paragraph" w:styleId="NormalWeb">
    <w:name w:val="Normal (Web)"/>
    <w:basedOn w:val="Normal"/>
    <w:link w:val="NormalWebChar"/>
    <w:uiPriority w:val="99"/>
    <w:unhideWhenUsed/>
    <w:qFormat/>
    <w:rsid w:val="00614F46"/>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lWebChar">
    <w:name w:val="Normal (Web) Char"/>
    <w:link w:val="NormalWeb"/>
    <w:uiPriority w:val="99"/>
    <w:rsid w:val="00614F46"/>
    <w:rPr>
      <w:rFonts w:ascii="Times New Roman" w:eastAsia="Times New Roman" w:hAnsi="Times New Roman" w:cs="Times New Roman"/>
      <w:kern w:val="0"/>
      <w:lang w:val="en-GB" w:eastAsia="en-GB"/>
      <w14:ligatures w14:val="none"/>
    </w:rPr>
  </w:style>
  <w:style w:type="character" w:styleId="Emphasis">
    <w:name w:val="Emphasis"/>
    <w:basedOn w:val="DefaultParagraphFont"/>
    <w:uiPriority w:val="20"/>
    <w:qFormat/>
    <w:rsid w:val="00614F46"/>
    <w:rPr>
      <w:i/>
      <w:iCs/>
    </w:rPr>
  </w:style>
  <w:style w:type="paragraph" w:styleId="Header">
    <w:name w:val="header"/>
    <w:basedOn w:val="Normal"/>
    <w:link w:val="HeaderChar"/>
    <w:uiPriority w:val="99"/>
    <w:unhideWhenUsed/>
    <w:rsid w:val="00F576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7628"/>
  </w:style>
  <w:style w:type="paragraph" w:styleId="Footer">
    <w:name w:val="footer"/>
    <w:basedOn w:val="Normal"/>
    <w:link w:val="FooterChar"/>
    <w:uiPriority w:val="99"/>
    <w:unhideWhenUsed/>
    <w:rsid w:val="00F576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7628"/>
  </w:style>
  <w:style w:type="paragraph" w:styleId="TOCHeading">
    <w:name w:val="TOC Heading"/>
    <w:basedOn w:val="Heading1"/>
    <w:next w:val="Normal"/>
    <w:uiPriority w:val="39"/>
    <w:unhideWhenUsed/>
    <w:qFormat/>
    <w:rsid w:val="00BA2F78"/>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A2F78"/>
    <w:pPr>
      <w:spacing w:after="100"/>
    </w:pPr>
  </w:style>
  <w:style w:type="paragraph" w:styleId="TOC2">
    <w:name w:val="toc 2"/>
    <w:basedOn w:val="Normal"/>
    <w:next w:val="Normal"/>
    <w:autoRedefine/>
    <w:uiPriority w:val="39"/>
    <w:unhideWhenUsed/>
    <w:rsid w:val="00BA2F78"/>
    <w:pPr>
      <w:spacing w:after="100"/>
      <w:ind w:left="240"/>
    </w:pPr>
  </w:style>
  <w:style w:type="character" w:styleId="Hyperlink">
    <w:name w:val="Hyperlink"/>
    <w:basedOn w:val="DefaultParagraphFont"/>
    <w:uiPriority w:val="99"/>
    <w:unhideWhenUsed/>
    <w:rsid w:val="00BA2F78"/>
    <w:rPr>
      <w:color w:val="0563C1" w:themeColor="hyperlink"/>
      <w:u w:val="single"/>
    </w:rPr>
  </w:style>
  <w:style w:type="character" w:customStyle="1" w:styleId="ListParagraphChar">
    <w:name w:val="List Paragraph Char"/>
    <w:link w:val="ListParagraph"/>
    <w:qFormat/>
    <w:locked/>
    <w:rsid w:val="00F544FE"/>
  </w:style>
  <w:style w:type="paragraph" w:customStyle="1" w:styleId="TABLES0">
    <w:name w:val="TABLES"/>
    <w:basedOn w:val="Caption"/>
    <w:next w:val="Caption"/>
    <w:qFormat/>
    <w:rsid w:val="008F462D"/>
    <w:pPr>
      <w:spacing w:before="240" w:after="240" w:line="360" w:lineRule="auto"/>
      <w:jc w:val="both"/>
    </w:pPr>
    <w:rPr>
      <w:rFonts w:ascii="Times New Roman" w:hAnsi="Times New Roman" w:cs="Times New Roman"/>
      <w:b/>
      <w:color w:val="000000" w:themeColor="text1"/>
      <w:kern w:val="0"/>
      <w:sz w:val="24"/>
      <w:szCs w:val="24"/>
      <w14:ligatures w14:val="none"/>
    </w:rPr>
  </w:style>
  <w:style w:type="paragraph" w:styleId="BodyText">
    <w:name w:val="Body Text"/>
    <w:basedOn w:val="Normal"/>
    <w:link w:val="BodyTextChar"/>
    <w:uiPriority w:val="99"/>
    <w:unhideWhenUsed/>
    <w:rsid w:val="00F67B95"/>
    <w:pPr>
      <w:spacing w:before="100" w:beforeAutospacing="1" w:after="120" w:line="240" w:lineRule="auto"/>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99"/>
    <w:rsid w:val="00F67B95"/>
    <w:rPr>
      <w:rFonts w:ascii="Times New Roman" w:eastAsia="Times New Roman" w:hAnsi="Times New Roman" w:cs="Times New Roman"/>
      <w:kern w:val="0"/>
      <w:sz w:val="28"/>
      <w:szCs w:val="28"/>
      <w14:ligatures w14:val="none"/>
    </w:rPr>
  </w:style>
  <w:style w:type="character" w:styleId="Strong">
    <w:name w:val="Strong"/>
    <w:basedOn w:val="DefaultParagraphFont"/>
    <w:uiPriority w:val="22"/>
    <w:qFormat/>
    <w:rsid w:val="000F6B09"/>
    <w:rPr>
      <w:b/>
      <w:bCs/>
    </w:rPr>
  </w:style>
  <w:style w:type="paragraph" w:customStyle="1" w:styleId="whitespace-pre-wrap">
    <w:name w:val="whitespace-pre-wrap"/>
    <w:basedOn w:val="Normal"/>
    <w:rsid w:val="000515F8"/>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IGURES">
    <w:name w:val="FIGURES"/>
    <w:basedOn w:val="Caption"/>
    <w:next w:val="Caption"/>
    <w:qFormat/>
    <w:rsid w:val="00AD232C"/>
    <w:pPr>
      <w:spacing w:before="240" w:after="240" w:line="360" w:lineRule="auto"/>
      <w:jc w:val="both"/>
    </w:pPr>
    <w:rPr>
      <w:rFonts w:ascii="Times New Roman" w:hAnsi="Times New Roman" w:cs="Times New Roman"/>
      <w:b/>
      <w:color w:val="000000" w:themeColor="text1"/>
      <w:kern w:val="0"/>
      <w:sz w:val="24"/>
      <w:szCs w:val="24"/>
      <w14:ligatures w14:val="none"/>
    </w:rPr>
  </w:style>
  <w:style w:type="paragraph" w:customStyle="1" w:styleId="whitespace-normal">
    <w:name w:val="whitespace-normal"/>
    <w:basedOn w:val="Normal"/>
    <w:rsid w:val="004A11E7"/>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AC33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037695">
      <w:bodyDiv w:val="1"/>
      <w:marLeft w:val="0"/>
      <w:marRight w:val="0"/>
      <w:marTop w:val="0"/>
      <w:marBottom w:val="0"/>
      <w:divBdr>
        <w:top w:val="none" w:sz="0" w:space="0" w:color="auto"/>
        <w:left w:val="none" w:sz="0" w:space="0" w:color="auto"/>
        <w:bottom w:val="none" w:sz="0" w:space="0" w:color="auto"/>
        <w:right w:val="none" w:sz="0" w:space="0" w:color="auto"/>
      </w:divBdr>
    </w:div>
    <w:div w:id="1236282549">
      <w:bodyDiv w:val="1"/>
      <w:marLeft w:val="0"/>
      <w:marRight w:val="0"/>
      <w:marTop w:val="0"/>
      <w:marBottom w:val="0"/>
      <w:divBdr>
        <w:top w:val="none" w:sz="0" w:space="0" w:color="auto"/>
        <w:left w:val="none" w:sz="0" w:space="0" w:color="auto"/>
        <w:bottom w:val="none" w:sz="0" w:space="0" w:color="auto"/>
        <w:right w:val="none" w:sz="0" w:space="0" w:color="auto"/>
      </w:divBdr>
    </w:div>
    <w:div w:id="2008826395">
      <w:bodyDiv w:val="1"/>
      <w:marLeft w:val="0"/>
      <w:marRight w:val="0"/>
      <w:marTop w:val="0"/>
      <w:marBottom w:val="0"/>
      <w:divBdr>
        <w:top w:val="none" w:sz="0" w:space="0" w:color="auto"/>
        <w:left w:val="none" w:sz="0" w:space="0" w:color="auto"/>
        <w:bottom w:val="none" w:sz="0" w:space="0" w:color="auto"/>
        <w:right w:val="none" w:sz="0" w:space="0" w:color="auto"/>
      </w:divBdr>
      <w:divsChild>
        <w:div w:id="568928499">
          <w:marLeft w:val="0"/>
          <w:marRight w:val="0"/>
          <w:marTop w:val="0"/>
          <w:marBottom w:val="0"/>
          <w:divBdr>
            <w:top w:val="none" w:sz="0" w:space="0" w:color="auto"/>
            <w:left w:val="none" w:sz="0" w:space="0" w:color="auto"/>
            <w:bottom w:val="none" w:sz="0" w:space="0" w:color="auto"/>
            <w:right w:val="none" w:sz="0" w:space="0" w:color="auto"/>
          </w:divBdr>
          <w:divsChild>
            <w:div w:id="17388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7C4BB-ACD0-462D-908B-BB553F575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15</Pages>
  <Words>7068</Words>
  <Characters>40290</Characters>
  <Application>Microsoft Office Word</Application>
  <DocSecurity>0</DocSecurity>
  <Lines>335</Lines>
  <Paragraphs>94</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ABSTRACT</vt:lpstr>
      <vt:lpstr>    Statement of the Problem</vt:lpstr>
      <vt:lpstr>    Objective of the Study</vt:lpstr>
      <vt:lpstr>    Theoretical Framework</vt:lpstr>
      <vt:lpstr>    Technology Acceptance Model (TAM)</vt:lpstr>
      <vt:lpstr>    Conceptual Framework</vt:lpstr>
      <vt:lpstr>    Research Methodology</vt:lpstr>
      <vt:lpstr>Findings and Discussion </vt:lpstr>
      <vt:lpstr>    Results on Stakeholders Awareness on Parents</vt:lpstr>
      <vt:lpstr/>
      <vt:lpstr>Conclusion</vt:lpstr>
      <vt:lpstr/>
      <vt:lpstr>Recommendations </vt:lpstr>
      <vt:lpstr>Practical Implications</vt:lpstr>
      <vt:lpstr>Social Significance</vt:lpstr>
      <vt:lpstr>Limitations of the Study</vt:lpstr>
      <vt:lpstr>Suggestions for Further Research</vt:lpstr>
      <vt:lpstr>REFERENCES</vt:lpstr>
    </vt:vector>
  </TitlesOfParts>
  <Company/>
  <LinksUpToDate>false</LinksUpToDate>
  <CharactersWithSpaces>47264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Muinde Kimuyu</cp:lastModifiedBy>
  <cp:revision>4</cp:revision>
  <dcterms:created xsi:type="dcterms:W3CDTF">2025-09-15T13:14:00Z</dcterms:created>
  <dcterms:modified xsi:type="dcterms:W3CDTF">2025-09-16T07:16:00Z</dcterms:modified>
</cp:coreProperties>
</file>