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9AF93" w14:textId="0240D1CE" w:rsidR="0026756A" w:rsidRDefault="000F5957" w:rsidP="003F4CD6">
      <w:pPr>
        <w:spacing w:after="0" w:line="276" w:lineRule="auto"/>
        <w:rPr>
          <w:rFonts w:ascii="Times New Roman" w:hAnsi="Times New Roman" w:cs="Times New Roman"/>
          <w:b/>
          <w:bCs/>
          <w:sz w:val="32"/>
          <w:szCs w:val="32"/>
        </w:rPr>
      </w:pPr>
      <w:bookmarkStart w:id="0" w:name="_Hlk202361783"/>
      <w:r>
        <w:rPr>
          <w:rFonts w:ascii="Times New Roman" w:hAnsi="Times New Roman" w:cs="Times New Roman"/>
          <w:b/>
          <w:bCs/>
          <w:sz w:val="32"/>
          <w:szCs w:val="32"/>
        </w:rPr>
        <w:t>Recalibrating Inflation Targeting Frameworks in Developing Economies: Empirical Evidence</w:t>
      </w:r>
      <w:r w:rsidR="009759F2">
        <w:rPr>
          <w:rFonts w:ascii="Times New Roman" w:hAnsi="Times New Roman" w:cs="Times New Roman"/>
          <w:b/>
          <w:bCs/>
          <w:sz w:val="32"/>
          <w:szCs w:val="32"/>
        </w:rPr>
        <w:t xml:space="preserve"> from Zambia </w:t>
      </w:r>
    </w:p>
    <w:p w14:paraId="62E082CC" w14:textId="77777777" w:rsidR="000F5957" w:rsidRDefault="00896FCA" w:rsidP="003F4CD6">
      <w:pPr>
        <w:spacing w:after="0" w:line="276" w:lineRule="auto"/>
        <w:rPr>
          <w:rFonts w:ascii="Times New Roman" w:hAnsi="Times New Roman" w:cs="Times New Roman"/>
          <w:b/>
          <w:bCs/>
          <w:sz w:val="32"/>
          <w:szCs w:val="32"/>
        </w:rPr>
      </w:pPr>
      <w:r>
        <w:rPr>
          <w:rFonts w:ascii="Times New Roman" w:hAnsi="Times New Roman" w:cs="Times New Roman"/>
          <w:b/>
          <w:bCs/>
          <w:sz w:val="32"/>
          <w:szCs w:val="32"/>
        </w:rPr>
        <w:t xml:space="preserve"> </w:t>
      </w:r>
    </w:p>
    <w:p w14:paraId="065B1A46" w14:textId="77777777" w:rsidR="000F5957" w:rsidRDefault="000F5957" w:rsidP="003F4CD6">
      <w:pPr>
        <w:spacing w:after="0" w:line="276" w:lineRule="auto"/>
        <w:rPr>
          <w:rFonts w:ascii="Times New Roman" w:hAnsi="Times New Roman" w:cs="Times New Roman"/>
          <w:b/>
          <w:bCs/>
          <w:sz w:val="32"/>
          <w:szCs w:val="32"/>
        </w:rPr>
      </w:pPr>
    </w:p>
    <w:p w14:paraId="1CB6607C" w14:textId="19A4E249" w:rsidR="00DB5196" w:rsidRPr="00E44483" w:rsidRDefault="00DB5196" w:rsidP="003F4CD6">
      <w:pPr>
        <w:spacing w:after="0" w:line="276" w:lineRule="auto"/>
        <w:rPr>
          <w:rFonts w:ascii="Times New Roman" w:hAnsi="Times New Roman" w:cs="Times New Roman"/>
          <w:b/>
          <w:bCs/>
          <w:color w:val="EE0000"/>
        </w:rPr>
      </w:pPr>
      <w:r w:rsidRPr="00E44483">
        <w:rPr>
          <w:rFonts w:ascii="Times New Roman" w:hAnsi="Times New Roman" w:cs="Times New Roman"/>
          <w:b/>
          <w:bCs/>
          <w:color w:val="EE0000"/>
        </w:rPr>
        <w:t>Original Research Article</w:t>
      </w:r>
    </w:p>
    <w:p w14:paraId="1F14BF73" w14:textId="58CF9C24" w:rsidR="002C3DA8" w:rsidRPr="00601C6A" w:rsidRDefault="00601C6A" w:rsidP="00AC6F4F">
      <w:pPr>
        <w:spacing w:after="0" w:line="480" w:lineRule="auto"/>
        <w:rPr>
          <w:rFonts w:ascii="Times New Roman" w:eastAsia="Times New Roman" w:hAnsi="Times New Roman" w:cs="Times New Roman"/>
          <w:b/>
          <w:bCs/>
          <w:kern w:val="0"/>
          <w:sz w:val="28"/>
          <w:szCs w:val="28"/>
          <w14:ligatures w14:val="none"/>
        </w:rPr>
      </w:pPr>
      <w:r w:rsidRPr="00601C6A">
        <w:rPr>
          <w:rFonts w:ascii="Times New Roman" w:hAnsi="Times New Roman" w:cs="Times New Roman"/>
          <w:b/>
          <w:bCs/>
          <w:sz w:val="28"/>
          <w:szCs w:val="28"/>
        </w:rPr>
        <w:t>ABSTRACT</w:t>
      </w:r>
    </w:p>
    <w:p w14:paraId="1651D6F1" w14:textId="70E4CB09" w:rsidR="002313B8" w:rsidRDefault="002313B8" w:rsidP="002313B8">
      <w:pPr>
        <w:jc w:val="both"/>
        <w:rPr>
          <w:rFonts w:ascii="Times New Roman" w:hAnsi="Times New Roman" w:cs="Times New Roman"/>
        </w:rPr>
      </w:pPr>
      <w:r w:rsidRPr="002313B8">
        <w:rPr>
          <w:rFonts w:ascii="Times New Roman" w:hAnsi="Times New Roman" w:cs="Times New Roman"/>
        </w:rPr>
        <w:t xml:space="preserve">This </w:t>
      </w:r>
      <w:r>
        <w:rPr>
          <w:rFonts w:ascii="Times New Roman" w:hAnsi="Times New Roman" w:cs="Times New Roman"/>
        </w:rPr>
        <w:t>study</w:t>
      </w:r>
      <w:r w:rsidRPr="002313B8">
        <w:rPr>
          <w:rFonts w:ascii="Times New Roman" w:hAnsi="Times New Roman" w:cs="Times New Roman"/>
        </w:rPr>
        <w:t xml:space="preserve"> </w:t>
      </w:r>
      <w:r>
        <w:rPr>
          <w:rFonts w:ascii="Times New Roman" w:hAnsi="Times New Roman" w:cs="Times New Roman"/>
        </w:rPr>
        <w:t>examines</w:t>
      </w:r>
      <w:r w:rsidRPr="002313B8">
        <w:rPr>
          <w:rFonts w:ascii="Times New Roman" w:hAnsi="Times New Roman" w:cs="Times New Roman"/>
        </w:rPr>
        <w:t xml:space="preserve"> the eff</w:t>
      </w:r>
      <w:r>
        <w:rPr>
          <w:rFonts w:ascii="Times New Roman" w:hAnsi="Times New Roman" w:cs="Times New Roman"/>
        </w:rPr>
        <w:t>ectiveness</w:t>
      </w:r>
      <w:r w:rsidRPr="002313B8">
        <w:rPr>
          <w:rFonts w:ascii="Times New Roman" w:hAnsi="Times New Roman" w:cs="Times New Roman"/>
        </w:rPr>
        <w:t xml:space="preserve"> of Zambia's inflation targeting (IT) framework from 2015 to 2024</w:t>
      </w:r>
      <w:r>
        <w:rPr>
          <w:rFonts w:ascii="Times New Roman" w:hAnsi="Times New Roman" w:cs="Times New Roman"/>
        </w:rPr>
        <w:t xml:space="preserve"> focusing</w:t>
      </w:r>
      <w:r w:rsidRPr="002313B8">
        <w:rPr>
          <w:rFonts w:ascii="Times New Roman" w:hAnsi="Times New Roman" w:cs="Times New Roman"/>
        </w:rPr>
        <w:t xml:space="preserve"> on how deviations from the target range affected policy credibility, macroeconomic stability, and investment inflows. Using quarterly data spanning the decade and employing a Vector Error Correction Model (VECM), the study investigates both the short- and long-term effects of the monetary policy rate (MPR), real GDP, foreign direct investment (FDI), trade flows, and the real effective exchange rate (REER) on the performance of the inflation gap. The findings reveal that Zambia achieved its inflation target in merely 12.5% of the quarters, with substantial deviations occurring in 87.5% of the periods, predominantly during times of fiscal expansion and external shocks. Long-term estimates indicate that increasing the target reduces the inflation gap by 4%, while higher inflation and GDP growth exacerbate it by 12% and 14%, respectively. Additionally, FDI inflows and export growth have contributed to inflationary pressures, compromising price stability and </w:t>
      </w:r>
      <w:r>
        <w:rPr>
          <w:rFonts w:ascii="Times New Roman" w:hAnsi="Times New Roman" w:cs="Times New Roman"/>
        </w:rPr>
        <w:t>undermining</w:t>
      </w:r>
      <w:r w:rsidRPr="002313B8">
        <w:rPr>
          <w:rFonts w:ascii="Times New Roman" w:hAnsi="Times New Roman" w:cs="Times New Roman"/>
        </w:rPr>
        <w:t xml:space="preserve"> </w:t>
      </w:r>
      <w:r>
        <w:rPr>
          <w:rFonts w:ascii="Times New Roman" w:hAnsi="Times New Roman" w:cs="Times New Roman"/>
        </w:rPr>
        <w:t>FDI inflows</w:t>
      </w:r>
      <w:r w:rsidRPr="002313B8">
        <w:rPr>
          <w:rFonts w:ascii="Times New Roman" w:hAnsi="Times New Roman" w:cs="Times New Roman"/>
        </w:rPr>
        <w:t xml:space="preserve">. These results underscore the presence of weak monetary transmission mechanisms and highlight that restoring credibility cannot be accomplished </w:t>
      </w:r>
      <w:r>
        <w:rPr>
          <w:rFonts w:ascii="Times New Roman" w:hAnsi="Times New Roman" w:cs="Times New Roman"/>
        </w:rPr>
        <w:t>only</w:t>
      </w:r>
      <w:r w:rsidRPr="002313B8">
        <w:rPr>
          <w:rFonts w:ascii="Times New Roman" w:hAnsi="Times New Roman" w:cs="Times New Roman"/>
        </w:rPr>
        <w:t xml:space="preserve"> through monetary tightening.</w:t>
      </w:r>
      <w:r w:rsidR="00583F82">
        <w:rPr>
          <w:rFonts w:ascii="Times New Roman" w:hAnsi="Times New Roman" w:cs="Times New Roman"/>
        </w:rPr>
        <w:t xml:space="preserve"> The findings broaden the debate on whether IT frameworks require recalibration in developing and shock-prone economies.</w:t>
      </w:r>
      <w:r w:rsidRPr="002313B8">
        <w:rPr>
          <w:rFonts w:ascii="Times New Roman" w:hAnsi="Times New Roman" w:cs="Times New Roman"/>
        </w:rPr>
        <w:t xml:space="preserve"> </w:t>
      </w:r>
      <w:r w:rsidR="00583F82">
        <w:rPr>
          <w:rFonts w:ascii="Times New Roman" w:hAnsi="Times New Roman" w:cs="Times New Roman"/>
        </w:rPr>
        <w:t xml:space="preserve"> Therefore, the study recommends that, t</w:t>
      </w:r>
      <w:r w:rsidRPr="009331FD">
        <w:rPr>
          <w:rFonts w:ascii="Times New Roman" w:hAnsi="Times New Roman" w:cs="Times New Roman"/>
          <w:highlight w:val="yellow"/>
        </w:rPr>
        <w:t>o restore credibility and attract sustainable investment, reforms must go beyond the narrow scope of monetary tightening and adopt a more flexible and adaptive IT strategy appropriate for Zambia and similar developing economies.</w:t>
      </w:r>
      <w:r w:rsidR="00583F82">
        <w:rPr>
          <w:rFonts w:ascii="Times New Roman" w:hAnsi="Times New Roman" w:cs="Times New Roman"/>
          <w:highlight w:val="yellow"/>
        </w:rPr>
        <w:t xml:space="preserve"> Developing countries should adopt</w:t>
      </w:r>
      <w:r w:rsidRPr="009331FD">
        <w:rPr>
          <w:rFonts w:ascii="Times New Roman" w:hAnsi="Times New Roman" w:cs="Times New Roman"/>
          <w:highlight w:val="yellow"/>
        </w:rPr>
        <w:t xml:space="preserve"> integrated, flexible, recalibrated macroeconomic strategies that align monetary, fiscal and structural policies for long-term</w:t>
      </w:r>
      <w:r>
        <w:rPr>
          <w:rFonts w:ascii="Times New Roman" w:hAnsi="Times New Roman" w:cs="Times New Roman"/>
        </w:rPr>
        <w:t xml:space="preserve"> stability.</w:t>
      </w:r>
    </w:p>
    <w:p w14:paraId="4EB59D14" w14:textId="5CAF8EBA" w:rsidR="002313B8" w:rsidRDefault="002313B8" w:rsidP="002313B8">
      <w:pPr>
        <w:jc w:val="both"/>
        <w:rPr>
          <w:rFonts w:ascii="Times New Roman" w:hAnsi="Times New Roman" w:cs="Times New Roman"/>
        </w:rPr>
      </w:pPr>
    </w:p>
    <w:p w14:paraId="4CC98BA8" w14:textId="77777777" w:rsidR="002313B8" w:rsidRDefault="002313B8" w:rsidP="002313B8">
      <w:pPr>
        <w:jc w:val="both"/>
        <w:rPr>
          <w:rFonts w:ascii="Times New Roman" w:hAnsi="Times New Roman" w:cs="Times New Roman"/>
        </w:rPr>
      </w:pPr>
    </w:p>
    <w:p w14:paraId="04C69F69" w14:textId="6BA3EBAA" w:rsidR="002C3DA8" w:rsidRDefault="002C3DA8" w:rsidP="002C3DA8">
      <w:pPr>
        <w:rPr>
          <w:rFonts w:ascii="Times New Roman" w:hAnsi="Times New Roman" w:cs="Times New Roman"/>
        </w:rPr>
      </w:pPr>
      <w:r w:rsidRPr="005C5184">
        <w:rPr>
          <w:rFonts w:ascii="Times New Roman" w:hAnsi="Times New Roman" w:cs="Times New Roman"/>
          <w:b/>
          <w:bCs/>
        </w:rPr>
        <w:t>Keywords</w:t>
      </w:r>
      <w:r w:rsidRPr="005C5184">
        <w:t xml:space="preserve">:  </w:t>
      </w:r>
      <w:r w:rsidRPr="005C5184">
        <w:rPr>
          <w:rFonts w:ascii="Times New Roman" w:hAnsi="Times New Roman" w:cs="Times New Roman"/>
        </w:rPr>
        <w:t>Inflation Targeting</w:t>
      </w:r>
      <w:r w:rsidR="00226169">
        <w:rPr>
          <w:rFonts w:ascii="Times New Roman" w:hAnsi="Times New Roman" w:cs="Times New Roman"/>
        </w:rPr>
        <w:t xml:space="preserve">; </w:t>
      </w:r>
      <w:r w:rsidRPr="005C5184">
        <w:rPr>
          <w:rFonts w:ascii="Times New Roman" w:hAnsi="Times New Roman" w:cs="Times New Roman"/>
        </w:rPr>
        <w:t>Monetary Policy</w:t>
      </w:r>
      <w:r w:rsidR="00226169">
        <w:rPr>
          <w:rFonts w:ascii="Times New Roman" w:hAnsi="Times New Roman" w:cs="Times New Roman"/>
        </w:rPr>
        <w:t>;</w:t>
      </w:r>
      <w:r w:rsidRPr="005C5184">
        <w:rPr>
          <w:rFonts w:ascii="Times New Roman" w:hAnsi="Times New Roman" w:cs="Times New Roman"/>
        </w:rPr>
        <w:t xml:space="preserve"> Price Stability</w:t>
      </w:r>
      <w:r w:rsidR="00226169">
        <w:rPr>
          <w:rFonts w:ascii="Times New Roman" w:hAnsi="Times New Roman" w:cs="Times New Roman"/>
        </w:rPr>
        <w:t>;</w:t>
      </w:r>
      <w:r w:rsidR="001841AC" w:rsidRPr="005C5184">
        <w:rPr>
          <w:rFonts w:ascii="Times New Roman" w:hAnsi="Times New Roman" w:cs="Times New Roman"/>
        </w:rPr>
        <w:t xml:space="preserve"> Developing </w:t>
      </w:r>
      <w:r w:rsidR="00FB03F1">
        <w:rPr>
          <w:rFonts w:ascii="Times New Roman" w:hAnsi="Times New Roman" w:cs="Times New Roman"/>
        </w:rPr>
        <w:t>Economies</w:t>
      </w:r>
      <w:r w:rsidR="00226169">
        <w:rPr>
          <w:rFonts w:ascii="Times New Roman" w:hAnsi="Times New Roman" w:cs="Times New Roman"/>
        </w:rPr>
        <w:t>;</w:t>
      </w:r>
      <w:r w:rsidRPr="005C5184">
        <w:rPr>
          <w:rFonts w:ascii="Times New Roman" w:hAnsi="Times New Roman" w:cs="Times New Roman"/>
        </w:rPr>
        <w:t xml:space="preserve"> Zambia</w:t>
      </w:r>
      <w:bookmarkEnd w:id="0"/>
    </w:p>
    <w:p w14:paraId="0EFC3BD0" w14:textId="77777777" w:rsidR="008B1CDD" w:rsidRPr="00481012" w:rsidRDefault="008B1CDD" w:rsidP="008B1CDD">
      <w:pPr>
        <w:jc w:val="both"/>
        <w:rPr>
          <w:rFonts w:ascii="Times New Roman" w:hAnsi="Times New Roman" w:cs="Times New Roman"/>
        </w:rPr>
      </w:pPr>
      <w:r w:rsidRPr="005C5184">
        <w:rPr>
          <w:rFonts w:ascii="Times New Roman" w:hAnsi="Times New Roman" w:cs="Times New Roman"/>
          <w:b/>
          <w:bCs/>
        </w:rPr>
        <w:t>JEL Classifications</w:t>
      </w:r>
      <w:r w:rsidRPr="005C5184">
        <w:t>:</w:t>
      </w:r>
      <w:r>
        <w:t xml:space="preserve"> </w:t>
      </w:r>
      <w:r w:rsidRPr="00481012">
        <w:rPr>
          <w:rFonts w:ascii="Times New Roman" w:hAnsi="Times New Roman" w:cs="Times New Roman"/>
        </w:rPr>
        <w:t>E58, G28, 055</w:t>
      </w:r>
    </w:p>
    <w:p w14:paraId="6672CCCD" w14:textId="77777777" w:rsidR="00071B8D" w:rsidRDefault="00071B8D" w:rsidP="002C3DA8">
      <w:pPr>
        <w:rPr>
          <w:rFonts w:ascii="Times New Roman" w:hAnsi="Times New Roman" w:cs="Times New Roman"/>
        </w:rPr>
      </w:pPr>
    </w:p>
    <w:p w14:paraId="5BAF472D" w14:textId="77777777" w:rsidR="00071B8D" w:rsidRDefault="00071B8D" w:rsidP="002C3DA8">
      <w:pPr>
        <w:rPr>
          <w:rFonts w:ascii="Times New Roman" w:hAnsi="Times New Roman" w:cs="Times New Roman"/>
        </w:rPr>
      </w:pPr>
    </w:p>
    <w:p w14:paraId="1F9B0223" w14:textId="77777777" w:rsidR="004556ED" w:rsidRDefault="004556ED" w:rsidP="002C3DA8">
      <w:pPr>
        <w:rPr>
          <w:rFonts w:ascii="Times New Roman" w:hAnsi="Times New Roman" w:cs="Times New Roman"/>
        </w:rPr>
      </w:pPr>
    </w:p>
    <w:p w14:paraId="266EF428" w14:textId="77777777" w:rsidR="00EB5D72" w:rsidRDefault="00EB5D72" w:rsidP="002C3DA8">
      <w:pPr>
        <w:rPr>
          <w:rFonts w:ascii="Times New Roman" w:hAnsi="Times New Roman" w:cs="Times New Roman"/>
        </w:rPr>
      </w:pPr>
    </w:p>
    <w:p w14:paraId="5BC18E2C" w14:textId="77777777" w:rsidR="00EB5D72" w:rsidRDefault="00EB5D72" w:rsidP="002C3DA8">
      <w:pPr>
        <w:rPr>
          <w:rFonts w:ascii="Times New Roman" w:hAnsi="Times New Roman" w:cs="Times New Roman"/>
        </w:rPr>
      </w:pPr>
    </w:p>
    <w:p w14:paraId="5DE3D53C" w14:textId="77777777" w:rsidR="004556ED" w:rsidRDefault="004556ED" w:rsidP="002C3DA8">
      <w:pPr>
        <w:rPr>
          <w:rFonts w:ascii="Times New Roman" w:hAnsi="Times New Roman" w:cs="Times New Roman"/>
        </w:rPr>
      </w:pPr>
    </w:p>
    <w:p w14:paraId="06ABBC31" w14:textId="77777777" w:rsidR="004556ED" w:rsidRPr="005C5184" w:rsidRDefault="004556ED" w:rsidP="002C3DA8">
      <w:pPr>
        <w:rPr>
          <w:rFonts w:ascii="Times New Roman" w:hAnsi="Times New Roman" w:cs="Times New Roman"/>
        </w:rPr>
      </w:pPr>
    </w:p>
    <w:p w14:paraId="031AAD4B" w14:textId="38B874F4" w:rsidR="00BE43D5" w:rsidRPr="005C5184" w:rsidRDefault="00DB5196" w:rsidP="00AC6F4F">
      <w:pPr>
        <w:pStyle w:val="ListParagraph"/>
        <w:numPr>
          <w:ilvl w:val="0"/>
          <w:numId w:val="1"/>
        </w:numPr>
        <w:spacing w:line="276" w:lineRule="auto"/>
        <w:rPr>
          <w:rFonts w:ascii="Times New Roman" w:hAnsi="Times New Roman" w:cs="Times New Roman"/>
          <w:b/>
          <w:bCs/>
        </w:rPr>
      </w:pPr>
      <w:r w:rsidRPr="005C5184">
        <w:rPr>
          <w:rFonts w:ascii="Times New Roman" w:hAnsi="Times New Roman" w:cs="Times New Roman"/>
          <w:b/>
          <w:bCs/>
        </w:rPr>
        <w:t>INTRODUCTION AND BACKGROUND</w:t>
      </w:r>
    </w:p>
    <w:p w14:paraId="5DE00EEB" w14:textId="49EEA3B0" w:rsidR="009645D2" w:rsidRDefault="00C1082E" w:rsidP="009645D2">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lastRenderedPageBreak/>
        <w:t>Inflation targeting (IT</w:t>
      </w:r>
      <w:r w:rsidR="00C356DD" w:rsidRPr="005C5184">
        <w:rPr>
          <w:rFonts w:ascii="Times New Roman" w:hAnsi="Times New Roman" w:cs="Times New Roman"/>
          <w:sz w:val="22"/>
          <w:szCs w:val="22"/>
        </w:rPr>
        <w:t>, hereafter</w:t>
      </w:r>
      <w:r w:rsidRPr="005C5184">
        <w:rPr>
          <w:rFonts w:ascii="Times New Roman" w:hAnsi="Times New Roman" w:cs="Times New Roman"/>
          <w:sz w:val="22"/>
          <w:szCs w:val="22"/>
        </w:rPr>
        <w:t xml:space="preserve">) emerged in the early 1990s as a framework for monetary policy aimed at establishing a transparent and rules-based method for achieving </w:t>
      </w:r>
      <w:r w:rsidR="004E406B" w:rsidRPr="005C5184">
        <w:rPr>
          <w:rFonts w:ascii="Times New Roman" w:hAnsi="Times New Roman" w:cs="Times New Roman"/>
          <w:sz w:val="22"/>
          <w:szCs w:val="22"/>
        </w:rPr>
        <w:t>stability in price</w:t>
      </w:r>
      <w:r w:rsidRPr="005C5184">
        <w:rPr>
          <w:rFonts w:ascii="Times New Roman" w:hAnsi="Times New Roman" w:cs="Times New Roman"/>
          <w:sz w:val="22"/>
          <w:szCs w:val="22"/>
        </w:rPr>
        <w:t>.</w:t>
      </w:r>
      <w:r w:rsidR="009645D2">
        <w:rPr>
          <w:rFonts w:ascii="Times New Roman" w:hAnsi="Times New Roman" w:cs="Times New Roman"/>
          <w:sz w:val="22"/>
          <w:szCs w:val="22"/>
        </w:rPr>
        <w:t xml:space="preserve"> </w:t>
      </w:r>
      <w:r w:rsidR="009645D2" w:rsidRPr="009645D2">
        <w:rPr>
          <w:rFonts w:ascii="Times New Roman" w:hAnsi="Times New Roman" w:cs="Times New Roman"/>
          <w:sz w:val="22"/>
          <w:szCs w:val="22"/>
          <w:highlight w:val="yellow"/>
        </w:rPr>
        <w:t>Inflation targeting constitutes a monetary policy framework wherein a central bank publicly declares a specific inflation range as its objective, employing interest rate modifications and various instruments to guide actual inflation towards that designated target (Mishkin, 2019). Monetary policy encompasses the measures undertaken by a central bank to regulate the money supply and interest rates, aiming to fulfill macroeconomic goals such as price stability, full employment, and economic growth (Blanchard &amp; Johnson, 2013). Price stability refers to a state in which prices within the economy do not experience excessive fluctuations over time, enabling households and businesses to make decisions without the anxiety of unpredictable inflation or deflation (European Central Bank, 2020).</w:t>
      </w:r>
    </w:p>
    <w:p w14:paraId="7E1FA885" w14:textId="422A8472" w:rsidR="00E2619F" w:rsidRPr="005C5184" w:rsidRDefault="00C1082E" w:rsidP="00004641">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t xml:space="preserve"> New Zealand was the first to implement IT, officially adopting it in 1990 via the Reserve Bank Act, which established clear inflation targets to stabilize expectations (Bernanke &amp; Mishkin, 1997). Shortly ther</w:t>
      </w:r>
      <w:r w:rsidR="004556ED" w:rsidRPr="005C5184">
        <w:rPr>
          <w:rFonts w:ascii="Times New Roman" w:hAnsi="Times New Roman" w:cs="Times New Roman"/>
          <w:sz w:val="22"/>
          <w:szCs w:val="22"/>
        </w:rPr>
        <w:t>e</w:t>
      </w:r>
      <w:r w:rsidR="00266F50">
        <w:rPr>
          <w:rFonts w:ascii="Times New Roman" w:hAnsi="Times New Roman" w:cs="Times New Roman"/>
          <w:sz w:val="22"/>
          <w:szCs w:val="22"/>
        </w:rPr>
        <w:t xml:space="preserve">after, </w:t>
      </w:r>
      <w:r w:rsidRPr="005C5184">
        <w:rPr>
          <w:rFonts w:ascii="Times New Roman" w:hAnsi="Times New Roman" w:cs="Times New Roman"/>
          <w:sz w:val="22"/>
          <w:szCs w:val="22"/>
        </w:rPr>
        <w:t>advanced economies, including Canada, the United Kingdom,</w:t>
      </w:r>
      <w:r w:rsidR="008C0157" w:rsidRPr="005C5184">
        <w:rPr>
          <w:rFonts w:ascii="Times New Roman" w:hAnsi="Times New Roman" w:cs="Times New Roman"/>
          <w:sz w:val="22"/>
          <w:szCs w:val="22"/>
        </w:rPr>
        <w:t xml:space="preserve"> the US,</w:t>
      </w:r>
      <w:r w:rsidRPr="005C5184">
        <w:rPr>
          <w:rFonts w:ascii="Times New Roman" w:hAnsi="Times New Roman" w:cs="Times New Roman"/>
          <w:sz w:val="22"/>
          <w:szCs w:val="22"/>
        </w:rPr>
        <w:t xml:space="preserve"> and Sweden, adopted similar strategies, especially as traditional monetary anchors such as exchange rate pegs and monetary aggregates were found to be less dependable during the financial crises of the 1980s (Svensson, 1997). The rationale for Inflation Targeting (IT) is based on the necessity for reliability and predictability in monetary policy. The worldwide implementation of IT signifies not only its historical function as a reaction to unstable policy anchors but also its purpose as a mechanism that enhances credibility, thereby promoting sustainable growth, low inflation, and macroeconomic stability. In advanced economies </w:t>
      </w:r>
      <w:r w:rsidR="008C0157" w:rsidRPr="005C5184">
        <w:rPr>
          <w:rFonts w:ascii="Times New Roman" w:hAnsi="Times New Roman" w:cs="Times New Roman"/>
          <w:sz w:val="22"/>
          <w:szCs w:val="22"/>
        </w:rPr>
        <w:t xml:space="preserve">that already had relatively strong institutions, </w:t>
      </w:r>
      <w:r w:rsidR="00D50F7B">
        <w:rPr>
          <w:rFonts w:ascii="Times New Roman" w:hAnsi="Times New Roman" w:cs="Times New Roman"/>
          <w:sz w:val="22"/>
          <w:szCs w:val="22"/>
        </w:rPr>
        <w:t xml:space="preserve">an independent central bank and sophisticated financial systems, IT provided a transparent anchor for expectations while preserving policy autonomy, especially in the wake of </w:t>
      </w:r>
      <w:proofErr w:type="spellStart"/>
      <w:r w:rsidR="00D50F7B">
        <w:rPr>
          <w:rFonts w:ascii="Times New Roman" w:hAnsi="Times New Roman" w:cs="Times New Roman"/>
          <w:sz w:val="22"/>
          <w:szCs w:val="22"/>
        </w:rPr>
        <w:t>globalisation</w:t>
      </w:r>
      <w:proofErr w:type="spellEnd"/>
      <w:r w:rsidR="00D50F7B">
        <w:rPr>
          <w:rFonts w:ascii="Times New Roman" w:hAnsi="Times New Roman" w:cs="Times New Roman"/>
          <w:sz w:val="22"/>
          <w:szCs w:val="22"/>
        </w:rPr>
        <w:t>,</w:t>
      </w:r>
      <w:r w:rsidR="008C0157" w:rsidRPr="005C5184">
        <w:rPr>
          <w:rFonts w:ascii="Times New Roman" w:hAnsi="Times New Roman" w:cs="Times New Roman"/>
          <w:sz w:val="22"/>
          <w:szCs w:val="22"/>
        </w:rPr>
        <w:t xml:space="preserve"> which increased capital mobility (Svensson, 1997). By the mid-1990s and into the 2000s, IT adoption spread to the developing</w:t>
      </w:r>
      <w:r w:rsidR="00AF34F4">
        <w:rPr>
          <w:rStyle w:val="FootnoteReference"/>
          <w:rFonts w:ascii="Times New Roman" w:hAnsi="Times New Roman" w:cs="Times New Roman"/>
          <w:sz w:val="22"/>
          <w:szCs w:val="22"/>
        </w:rPr>
        <w:footnoteReference w:id="1"/>
      </w:r>
      <w:r w:rsidR="008C0157" w:rsidRPr="005C5184">
        <w:rPr>
          <w:rFonts w:ascii="Times New Roman" w:hAnsi="Times New Roman" w:cs="Times New Roman"/>
          <w:sz w:val="22"/>
          <w:szCs w:val="22"/>
        </w:rPr>
        <w:t xml:space="preserve"> and emerging economies such as Chile, Brazil, South Africa, and subsequently Zambia. In these regions, the underlying rationale changed. IT was implemented not only to manage inflation but also to stabilize economies that were susceptible to external shocks and </w:t>
      </w:r>
      <w:r w:rsidR="00FD7005" w:rsidRPr="005C5184">
        <w:rPr>
          <w:rFonts w:ascii="Times New Roman" w:hAnsi="Times New Roman" w:cs="Times New Roman"/>
          <w:sz w:val="22"/>
          <w:szCs w:val="22"/>
        </w:rPr>
        <w:t>volatile</w:t>
      </w:r>
      <w:r w:rsidR="008C0157" w:rsidRPr="005C5184">
        <w:rPr>
          <w:rFonts w:ascii="Times New Roman" w:hAnsi="Times New Roman" w:cs="Times New Roman"/>
          <w:sz w:val="22"/>
          <w:szCs w:val="22"/>
        </w:rPr>
        <w:t xml:space="preserve"> capital flows (IMF, 2006). In contrast to advanced economies, these nations encountered challenges such as diminished credibility in monetary policy, fiscal dominance, and vulnerability to </w:t>
      </w:r>
      <w:r w:rsidR="00FD7005" w:rsidRPr="005C5184">
        <w:rPr>
          <w:rFonts w:ascii="Times New Roman" w:hAnsi="Times New Roman" w:cs="Times New Roman"/>
          <w:sz w:val="22"/>
          <w:szCs w:val="22"/>
        </w:rPr>
        <w:t>swings</w:t>
      </w:r>
      <w:r w:rsidR="008C0157" w:rsidRPr="005C5184">
        <w:rPr>
          <w:rFonts w:ascii="Times New Roman" w:hAnsi="Times New Roman" w:cs="Times New Roman"/>
          <w:sz w:val="22"/>
          <w:szCs w:val="22"/>
        </w:rPr>
        <w:t xml:space="preserve"> in commodity prices. Consequently, </w:t>
      </w:r>
      <w:r w:rsidR="00FD7005" w:rsidRPr="005C5184">
        <w:rPr>
          <w:rFonts w:ascii="Times New Roman" w:hAnsi="Times New Roman" w:cs="Times New Roman"/>
          <w:sz w:val="22"/>
          <w:szCs w:val="22"/>
        </w:rPr>
        <w:t xml:space="preserve">IT </w:t>
      </w:r>
      <w:r w:rsidR="008C0157" w:rsidRPr="005C5184">
        <w:rPr>
          <w:rFonts w:ascii="Times New Roman" w:hAnsi="Times New Roman" w:cs="Times New Roman"/>
          <w:sz w:val="22"/>
          <w:szCs w:val="22"/>
        </w:rPr>
        <w:t xml:space="preserve">in these </w:t>
      </w:r>
      <w:r w:rsidR="00FD7005" w:rsidRPr="005C5184">
        <w:rPr>
          <w:rFonts w:ascii="Times New Roman" w:hAnsi="Times New Roman" w:cs="Times New Roman"/>
          <w:sz w:val="22"/>
          <w:szCs w:val="22"/>
        </w:rPr>
        <w:t>countries</w:t>
      </w:r>
      <w:r w:rsidR="008C0157" w:rsidRPr="005C5184">
        <w:rPr>
          <w:rFonts w:ascii="Times New Roman" w:hAnsi="Times New Roman" w:cs="Times New Roman"/>
          <w:sz w:val="22"/>
          <w:szCs w:val="22"/>
        </w:rPr>
        <w:t xml:space="preserve"> was perceived as </w:t>
      </w:r>
      <w:r w:rsidR="004E406B" w:rsidRPr="005C5184">
        <w:rPr>
          <w:rFonts w:ascii="Times New Roman" w:hAnsi="Times New Roman" w:cs="Times New Roman"/>
          <w:sz w:val="22"/>
          <w:szCs w:val="22"/>
        </w:rPr>
        <w:t>a</w:t>
      </w:r>
      <w:r w:rsidR="008C0157" w:rsidRPr="005C5184">
        <w:rPr>
          <w:rFonts w:ascii="Times New Roman" w:hAnsi="Times New Roman" w:cs="Times New Roman"/>
          <w:sz w:val="22"/>
          <w:szCs w:val="22"/>
        </w:rPr>
        <w:t xml:space="preserve"> strategy to </w:t>
      </w:r>
      <w:proofErr w:type="spellStart"/>
      <w:r w:rsidR="00D50F7B">
        <w:rPr>
          <w:rFonts w:ascii="Times New Roman" w:hAnsi="Times New Roman" w:cs="Times New Roman"/>
          <w:sz w:val="22"/>
          <w:szCs w:val="22"/>
        </w:rPr>
        <w:t>instil</w:t>
      </w:r>
      <w:proofErr w:type="spellEnd"/>
      <w:r w:rsidR="00D50F7B">
        <w:rPr>
          <w:rFonts w:ascii="Times New Roman" w:hAnsi="Times New Roman" w:cs="Times New Roman"/>
          <w:sz w:val="22"/>
          <w:szCs w:val="22"/>
        </w:rPr>
        <w:t xml:space="preserve"> confidence in markets, </w:t>
      </w:r>
      <w:proofErr w:type="spellStart"/>
      <w:r w:rsidR="00D50F7B">
        <w:rPr>
          <w:rFonts w:ascii="Times New Roman" w:hAnsi="Times New Roman" w:cs="Times New Roman"/>
          <w:sz w:val="22"/>
          <w:szCs w:val="22"/>
        </w:rPr>
        <w:t>stabilise</w:t>
      </w:r>
      <w:proofErr w:type="spellEnd"/>
      <w:r w:rsidR="008C0157" w:rsidRPr="005C5184">
        <w:rPr>
          <w:rFonts w:ascii="Times New Roman" w:hAnsi="Times New Roman" w:cs="Times New Roman"/>
          <w:sz w:val="22"/>
          <w:szCs w:val="22"/>
        </w:rPr>
        <w:t xml:space="preserve"> inflation expectations, and </w:t>
      </w:r>
      <w:r w:rsidR="00FD7005" w:rsidRPr="005C5184">
        <w:rPr>
          <w:rFonts w:ascii="Times New Roman" w:hAnsi="Times New Roman" w:cs="Times New Roman"/>
          <w:sz w:val="22"/>
          <w:szCs w:val="22"/>
        </w:rPr>
        <w:t>encourage the inflow of</w:t>
      </w:r>
      <w:r w:rsidR="008C0157" w:rsidRPr="005C5184">
        <w:rPr>
          <w:rFonts w:ascii="Times New Roman" w:hAnsi="Times New Roman" w:cs="Times New Roman"/>
          <w:sz w:val="22"/>
          <w:szCs w:val="22"/>
        </w:rPr>
        <w:t xml:space="preserve"> investment (Mishkin, 2004).</w:t>
      </w:r>
    </w:p>
    <w:p w14:paraId="3C68DA78" w14:textId="1C4114F7" w:rsidR="00E17E49" w:rsidRDefault="007A3B7B" w:rsidP="00004641">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t>Zambia’s Central Bank, the</w:t>
      </w:r>
      <w:r w:rsidR="006D5C7F" w:rsidRPr="005C5184">
        <w:rPr>
          <w:rFonts w:ascii="Times New Roman" w:hAnsi="Times New Roman" w:cs="Times New Roman"/>
          <w:sz w:val="22"/>
          <w:szCs w:val="22"/>
        </w:rPr>
        <w:t xml:space="preserve"> Bank of Zambia (B</w:t>
      </w:r>
      <w:r w:rsidRPr="005C5184">
        <w:rPr>
          <w:rFonts w:ascii="Times New Roman" w:hAnsi="Times New Roman" w:cs="Times New Roman"/>
          <w:sz w:val="22"/>
          <w:szCs w:val="22"/>
        </w:rPr>
        <w:t>O</w:t>
      </w:r>
      <w:r w:rsidR="006D5C7F" w:rsidRPr="005C5184">
        <w:rPr>
          <w:rFonts w:ascii="Times New Roman" w:hAnsi="Times New Roman" w:cs="Times New Roman"/>
          <w:sz w:val="22"/>
          <w:szCs w:val="22"/>
        </w:rPr>
        <w:t>Z</w:t>
      </w:r>
      <w:r w:rsidRPr="005C5184">
        <w:rPr>
          <w:rFonts w:ascii="Times New Roman" w:hAnsi="Times New Roman" w:cs="Times New Roman"/>
          <w:sz w:val="22"/>
          <w:szCs w:val="22"/>
        </w:rPr>
        <w:t>, hereafter</w:t>
      </w:r>
      <w:r w:rsidR="006D5C7F" w:rsidRPr="005C5184">
        <w:rPr>
          <w:rFonts w:ascii="Times New Roman" w:hAnsi="Times New Roman" w:cs="Times New Roman"/>
          <w:sz w:val="22"/>
          <w:szCs w:val="22"/>
        </w:rPr>
        <w:t xml:space="preserve">) has set and maintained a formal inflation target range of 6 to 8% from 2015 to 2024. However, the analysis </w:t>
      </w:r>
      <w:bookmarkStart w:id="1" w:name="_Hlk206826957"/>
      <w:r w:rsidR="00D50F7B">
        <w:rPr>
          <w:rFonts w:ascii="Times New Roman" w:hAnsi="Times New Roman" w:cs="Times New Roman"/>
          <w:sz w:val="22"/>
          <w:szCs w:val="22"/>
        </w:rPr>
        <w:t>of IT implementation in Zambia indicates that nearly 88% of the time (as deduced from Figure 1),</w:t>
      </w:r>
      <w:r w:rsidR="00E2619F" w:rsidRPr="005C5184">
        <w:rPr>
          <w:rFonts w:ascii="Times New Roman" w:hAnsi="Times New Roman" w:cs="Times New Roman"/>
          <w:sz w:val="22"/>
          <w:szCs w:val="22"/>
        </w:rPr>
        <w:t xml:space="preserve"> </w:t>
      </w:r>
      <w:r w:rsidR="006D5C7F" w:rsidRPr="005C5184">
        <w:rPr>
          <w:rFonts w:ascii="Times New Roman" w:hAnsi="Times New Roman" w:cs="Times New Roman"/>
          <w:sz w:val="22"/>
          <w:szCs w:val="22"/>
        </w:rPr>
        <w:t>Zambia did not achieve its inflation target in the 10 years under review</w:t>
      </w:r>
      <w:bookmarkEnd w:id="1"/>
      <w:r w:rsidR="006D5C7F" w:rsidRPr="005C5184">
        <w:rPr>
          <w:rFonts w:ascii="Times New Roman" w:hAnsi="Times New Roman" w:cs="Times New Roman"/>
          <w:sz w:val="22"/>
          <w:szCs w:val="22"/>
        </w:rPr>
        <w:t>. Literature indicates that among the reasons</w:t>
      </w:r>
      <w:r w:rsidR="00E2619F" w:rsidRPr="005C5184">
        <w:rPr>
          <w:rFonts w:ascii="Times New Roman" w:hAnsi="Times New Roman" w:cs="Times New Roman"/>
          <w:sz w:val="22"/>
          <w:szCs w:val="22"/>
        </w:rPr>
        <w:t xml:space="preserve"> why the IT</w:t>
      </w:r>
      <w:r w:rsidR="006D5C7F" w:rsidRPr="005C5184">
        <w:rPr>
          <w:rFonts w:ascii="Times New Roman" w:hAnsi="Times New Roman" w:cs="Times New Roman"/>
          <w:sz w:val="22"/>
          <w:szCs w:val="22"/>
        </w:rPr>
        <w:t xml:space="preserve"> has been deviating from the set target in </w:t>
      </w:r>
      <w:r w:rsidR="006D5C7F" w:rsidRPr="005C5184">
        <w:rPr>
          <w:rStyle w:val="Strong"/>
          <w:rFonts w:ascii="Times New Roman" w:hAnsi="Times New Roman" w:cs="Times New Roman"/>
          <w:b w:val="0"/>
          <w:bCs w:val="0"/>
          <w:sz w:val="22"/>
          <w:szCs w:val="22"/>
        </w:rPr>
        <w:t>Zambia is</w:t>
      </w:r>
      <w:r w:rsidR="006D5C7F" w:rsidRPr="005C5184">
        <w:rPr>
          <w:rFonts w:ascii="Times New Roman" w:hAnsi="Times New Roman" w:cs="Times New Roman"/>
          <w:sz w:val="22"/>
          <w:szCs w:val="22"/>
        </w:rPr>
        <w:t xml:space="preserve"> weak anchoring, often linked to exchange rate instability and inconsistent monetary policy (</w:t>
      </w:r>
      <w:r w:rsidR="006D5C7F" w:rsidRPr="005C5184">
        <w:rPr>
          <w:rFonts w:ascii="Times New Roman" w:eastAsia="Times New Roman" w:hAnsi="Times New Roman" w:cs="Times New Roman"/>
          <w:kern w:val="0"/>
          <w:sz w:val="22"/>
          <w:szCs w:val="22"/>
          <w14:ligatures w14:val="none"/>
        </w:rPr>
        <w:t xml:space="preserve">Chileshe,2018; Mwansa </w:t>
      </w:r>
      <w:r w:rsidR="00624294">
        <w:rPr>
          <w:rFonts w:ascii="Times New Roman" w:eastAsia="Times New Roman" w:hAnsi="Times New Roman" w:cs="Times New Roman"/>
          <w:kern w:val="0"/>
          <w:sz w:val="22"/>
          <w:szCs w:val="22"/>
          <w14:ligatures w14:val="none"/>
        </w:rPr>
        <w:t>&amp;</w:t>
      </w:r>
      <w:r w:rsidR="006D5C7F" w:rsidRPr="005C5184">
        <w:rPr>
          <w:rFonts w:ascii="Times New Roman" w:eastAsia="Times New Roman" w:hAnsi="Times New Roman" w:cs="Times New Roman"/>
          <w:kern w:val="0"/>
          <w:sz w:val="22"/>
          <w:szCs w:val="22"/>
          <w14:ligatures w14:val="none"/>
        </w:rPr>
        <w:t xml:space="preserve"> Phiri,2020; </w:t>
      </w:r>
      <w:r w:rsidR="006D5C7F" w:rsidRPr="005C5184">
        <w:rPr>
          <w:rFonts w:ascii="Times New Roman" w:hAnsi="Times New Roman" w:cs="Times New Roman"/>
          <w:sz w:val="22"/>
          <w:szCs w:val="22"/>
        </w:rPr>
        <w:t>The International Monetary Fund, IMF ,2023).</w:t>
      </w:r>
      <w:r w:rsidR="00E2619F" w:rsidRPr="005C5184">
        <w:rPr>
          <w:rFonts w:ascii="Times New Roman" w:hAnsi="Times New Roman" w:cs="Times New Roman"/>
          <w:sz w:val="22"/>
          <w:szCs w:val="22"/>
        </w:rPr>
        <w:t xml:space="preserve"> It is against this background that </w:t>
      </w:r>
      <w:bookmarkStart w:id="2" w:name="_Hlk202344035"/>
      <w:r w:rsidR="00E2619F" w:rsidRPr="005C5184">
        <w:rPr>
          <w:rFonts w:ascii="Times New Roman" w:hAnsi="Times New Roman" w:cs="Times New Roman"/>
          <w:sz w:val="22"/>
          <w:szCs w:val="22"/>
        </w:rPr>
        <w:t>t</w:t>
      </w:r>
      <w:r w:rsidR="005A4C37" w:rsidRPr="005C5184">
        <w:rPr>
          <w:rFonts w:ascii="Times New Roman" w:hAnsi="Times New Roman" w:cs="Times New Roman"/>
          <w:sz w:val="22"/>
          <w:szCs w:val="22"/>
        </w:rPr>
        <w:t>his study examines the effectiveness of IT</w:t>
      </w:r>
      <w:r w:rsidR="004E406B" w:rsidRPr="005C5184">
        <w:rPr>
          <w:rFonts w:ascii="Times New Roman" w:hAnsi="Times New Roman" w:cs="Times New Roman"/>
          <w:sz w:val="22"/>
          <w:szCs w:val="22"/>
        </w:rPr>
        <w:t xml:space="preserve"> from the developing country perspective</w:t>
      </w:r>
      <w:r w:rsidR="00624294">
        <w:rPr>
          <w:rFonts w:ascii="Times New Roman" w:hAnsi="Times New Roman" w:cs="Times New Roman"/>
          <w:sz w:val="22"/>
          <w:szCs w:val="22"/>
        </w:rPr>
        <w:t>,</w:t>
      </w:r>
      <w:r w:rsidR="004E406B" w:rsidRPr="005C5184">
        <w:rPr>
          <w:rFonts w:ascii="Times New Roman" w:hAnsi="Times New Roman" w:cs="Times New Roman"/>
          <w:sz w:val="22"/>
          <w:szCs w:val="22"/>
        </w:rPr>
        <w:t xml:space="preserve"> using Zambia from the African region as a case study </w:t>
      </w:r>
      <w:r w:rsidR="005A4C37" w:rsidRPr="005C5184">
        <w:rPr>
          <w:rFonts w:ascii="Times New Roman" w:hAnsi="Times New Roman" w:cs="Times New Roman"/>
          <w:sz w:val="22"/>
          <w:szCs w:val="22"/>
        </w:rPr>
        <w:t>over the period of ten years, from 2015 to 2024.</w:t>
      </w:r>
      <w:r w:rsidR="005A4C37" w:rsidRPr="005C5184">
        <w:rPr>
          <w:rFonts w:ascii="Times New Roman" w:eastAsia="Times New Roman" w:hAnsi="Times New Roman" w:cs="Times New Roman"/>
          <w:kern w:val="0"/>
          <w:sz w:val="22"/>
          <w:szCs w:val="22"/>
          <w14:ligatures w14:val="none"/>
        </w:rPr>
        <w:t xml:space="preserve"> The study employs a vector-error correction (VEC) model to evaluate how the </w:t>
      </w:r>
      <w:r w:rsidR="005A4C37" w:rsidRPr="005C5184">
        <w:rPr>
          <w:rFonts w:ascii="Times New Roman" w:eastAsia="Times New Roman" w:hAnsi="Times New Roman" w:cs="Times New Roman"/>
          <w:sz w:val="22"/>
          <w:szCs w:val="22"/>
        </w:rPr>
        <w:t>inflation target, monetary policy rate (MPR) and real gross domestic product (GDP)</w:t>
      </w:r>
      <w:r w:rsidR="005A4C37" w:rsidRPr="005C5184">
        <w:rPr>
          <w:rFonts w:ascii="Times New Roman" w:eastAsia="Times New Roman" w:hAnsi="Times New Roman" w:cs="Times New Roman"/>
          <w:kern w:val="0"/>
          <w:sz w:val="22"/>
          <w:szCs w:val="22"/>
          <w14:ligatures w14:val="none"/>
        </w:rPr>
        <w:t xml:space="preserve"> impacted inflation targeting </w:t>
      </w:r>
      <w:r w:rsidR="005A4C37" w:rsidRPr="005C5184">
        <w:rPr>
          <w:rFonts w:ascii="Times New Roman" w:eastAsia="Times New Roman" w:hAnsi="Times New Roman" w:cs="Times New Roman"/>
          <w:kern w:val="0"/>
          <w:sz w:val="22"/>
          <w:szCs w:val="22"/>
          <w14:ligatures w14:val="none"/>
        </w:rPr>
        <w:lastRenderedPageBreak/>
        <w:t>performance</w:t>
      </w:r>
      <w:r w:rsidR="00352AA3" w:rsidRPr="005C5184">
        <w:rPr>
          <w:rFonts w:ascii="Times New Roman" w:eastAsia="Times New Roman" w:hAnsi="Times New Roman" w:cs="Times New Roman"/>
          <w:kern w:val="0"/>
          <w:sz w:val="22"/>
          <w:szCs w:val="22"/>
          <w14:ligatures w14:val="none"/>
        </w:rPr>
        <w:t>.</w:t>
      </w:r>
      <w:bookmarkEnd w:id="2"/>
      <w:r w:rsidR="001841AC" w:rsidRPr="005C5184">
        <w:rPr>
          <w:rFonts w:ascii="Times New Roman" w:hAnsi="Times New Roman" w:cs="Times New Roman"/>
          <w:sz w:val="22"/>
          <w:szCs w:val="22"/>
        </w:rPr>
        <w:t xml:space="preserve"> </w:t>
      </w:r>
      <w:r w:rsidRPr="005C5184">
        <w:rPr>
          <w:rFonts w:ascii="Times New Roman" w:hAnsi="Times New Roman" w:cs="Times New Roman"/>
          <w:sz w:val="22"/>
          <w:szCs w:val="22"/>
        </w:rPr>
        <w:t xml:space="preserve">This paper evaluates the effectiveness of inflation targeting in Zambia during the period under review and compares the established target ranges with the actual inflation rates observed, assesses the credibility of the </w:t>
      </w:r>
      <w:proofErr w:type="spellStart"/>
      <w:r w:rsidRPr="005C5184">
        <w:rPr>
          <w:rFonts w:ascii="Times New Roman" w:hAnsi="Times New Roman" w:cs="Times New Roman"/>
          <w:sz w:val="22"/>
          <w:szCs w:val="22"/>
        </w:rPr>
        <w:t>BoZ's</w:t>
      </w:r>
      <w:proofErr w:type="spellEnd"/>
      <w:r w:rsidRPr="005C5184">
        <w:rPr>
          <w:rFonts w:ascii="Times New Roman" w:hAnsi="Times New Roman" w:cs="Times New Roman"/>
          <w:sz w:val="22"/>
          <w:szCs w:val="22"/>
        </w:rPr>
        <w:t xml:space="preserve"> inflation targets, analyses the impact of these targets on inflation volatility, and explores the broader policy implications of these findings</w:t>
      </w:r>
      <w:r w:rsidRPr="005C5184">
        <w:rPr>
          <w:rFonts w:ascii="Times New Roman" w:hAnsi="Times New Roman" w:cs="Times New Roman"/>
          <w:b/>
          <w:bCs/>
          <w:sz w:val="22"/>
          <w:szCs w:val="22"/>
        </w:rPr>
        <w:t xml:space="preserve">. </w:t>
      </w:r>
      <w:r w:rsidRPr="005C5184">
        <w:rPr>
          <w:rFonts w:ascii="Times New Roman" w:hAnsi="Times New Roman" w:cs="Times New Roman"/>
          <w:sz w:val="22"/>
          <w:szCs w:val="22"/>
        </w:rPr>
        <w:t>By analyzing quarterly data on actual inflation rates against the backdrop of the BOZ’s target range of 6–8%, the study examines the extent and causes of deviations from this target. The research employs descriptive statistics, graphical analysis, and econometric regression techniques to quantify inflation gaps and identify trends.</w:t>
      </w:r>
    </w:p>
    <w:p w14:paraId="2C7DA311" w14:textId="77777777" w:rsidR="00624294" w:rsidRDefault="00624294" w:rsidP="00004641">
      <w:pPr>
        <w:pStyle w:val="FootnoteText"/>
        <w:spacing w:line="276" w:lineRule="auto"/>
        <w:ind w:firstLine="720"/>
        <w:jc w:val="both"/>
        <w:rPr>
          <w:rFonts w:ascii="Times New Roman" w:hAnsi="Times New Roman" w:cs="Times New Roman"/>
          <w:sz w:val="22"/>
          <w:szCs w:val="22"/>
        </w:rPr>
      </w:pPr>
    </w:p>
    <w:p w14:paraId="3BAFE886" w14:textId="27E55159" w:rsidR="006D5C7F" w:rsidRPr="006829A5" w:rsidRDefault="006D5C7F" w:rsidP="00004641">
      <w:pPr>
        <w:pStyle w:val="FootnoteText"/>
        <w:spacing w:line="276" w:lineRule="auto"/>
        <w:ind w:firstLine="720"/>
        <w:jc w:val="both"/>
        <w:rPr>
          <w:rFonts w:ascii="Times New Roman" w:eastAsia="Times New Roman" w:hAnsi="Times New Roman" w:cs="Times New Roman"/>
          <w:sz w:val="22"/>
          <w:szCs w:val="22"/>
        </w:rPr>
      </w:pPr>
      <w:r w:rsidRPr="006829A5">
        <w:rPr>
          <w:rFonts w:ascii="Times New Roman" w:hAnsi="Times New Roman" w:cs="Times New Roman"/>
          <w:sz w:val="22"/>
          <w:szCs w:val="22"/>
        </w:rPr>
        <w:t>F</w:t>
      </w:r>
      <w:r w:rsidRPr="006829A5">
        <w:rPr>
          <w:rFonts w:ascii="Times New Roman" w:eastAsia="Times New Roman" w:hAnsi="Times New Roman" w:cs="Times New Roman"/>
          <w:sz w:val="22"/>
          <w:szCs w:val="22"/>
        </w:rPr>
        <w:t xml:space="preserve">igure 1 shows a plot of the quarterly inflation gap and actual inflation from 2015 to 2024 </w:t>
      </w:r>
      <w:r w:rsidRPr="006829A5">
        <w:rPr>
          <w:rFonts w:ascii="Times New Roman" w:hAnsi="Times New Roman" w:cs="Times New Roman"/>
          <w:sz w:val="22"/>
          <w:szCs w:val="22"/>
        </w:rPr>
        <w:t xml:space="preserve">interpolated from annual data. The </w:t>
      </w:r>
      <w:r w:rsidRPr="006829A5">
        <w:rPr>
          <w:rStyle w:val="Strong"/>
          <w:rFonts w:ascii="Times New Roman" w:hAnsi="Times New Roman" w:cs="Times New Roman"/>
          <w:b w:val="0"/>
          <w:bCs w:val="0"/>
          <w:sz w:val="22"/>
          <w:szCs w:val="22"/>
        </w:rPr>
        <w:t>blue dashed line</w:t>
      </w:r>
      <w:r w:rsidRPr="006829A5">
        <w:rPr>
          <w:rFonts w:ascii="Times New Roman" w:hAnsi="Times New Roman" w:cs="Times New Roman"/>
          <w:sz w:val="22"/>
          <w:szCs w:val="22"/>
        </w:rPr>
        <w:t xml:space="preserve"> represents the </w:t>
      </w:r>
      <w:r w:rsidRPr="006829A5">
        <w:rPr>
          <w:rStyle w:val="Strong"/>
          <w:rFonts w:ascii="Times New Roman" w:hAnsi="Times New Roman" w:cs="Times New Roman"/>
          <w:b w:val="0"/>
          <w:bCs w:val="0"/>
          <w:sz w:val="22"/>
          <w:szCs w:val="22"/>
        </w:rPr>
        <w:t>inflation target midpoint of</w:t>
      </w:r>
      <w:r w:rsidRPr="006829A5">
        <w:rPr>
          <w:rStyle w:val="Strong"/>
          <w:rFonts w:ascii="Times New Roman" w:hAnsi="Times New Roman" w:cs="Times New Roman"/>
          <w:sz w:val="22"/>
          <w:szCs w:val="22"/>
        </w:rPr>
        <w:t xml:space="preserve"> </w:t>
      </w:r>
      <w:r w:rsidRPr="006829A5">
        <w:rPr>
          <w:rStyle w:val="Strong"/>
          <w:rFonts w:ascii="Times New Roman" w:hAnsi="Times New Roman" w:cs="Times New Roman"/>
          <w:b w:val="0"/>
          <w:bCs w:val="0"/>
          <w:sz w:val="22"/>
          <w:szCs w:val="22"/>
        </w:rPr>
        <w:t>7%</w:t>
      </w:r>
      <w:r w:rsidRPr="006829A5">
        <w:rPr>
          <w:rFonts w:ascii="Times New Roman" w:hAnsi="Times New Roman" w:cs="Times New Roman"/>
          <w:b/>
          <w:bCs/>
          <w:sz w:val="22"/>
          <w:szCs w:val="22"/>
        </w:rPr>
        <w:t>,</w:t>
      </w:r>
      <w:r w:rsidRPr="006829A5">
        <w:rPr>
          <w:rFonts w:ascii="Times New Roman" w:hAnsi="Times New Roman" w:cs="Times New Roman"/>
          <w:sz w:val="22"/>
          <w:szCs w:val="22"/>
        </w:rPr>
        <w:t xml:space="preserve"> and the red line shows quarterly trends.</w:t>
      </w:r>
    </w:p>
    <w:p w14:paraId="66784308" w14:textId="77777777" w:rsidR="006D5C7F" w:rsidRPr="009647EB" w:rsidRDefault="006D5C7F" w:rsidP="009647EB">
      <w:pPr>
        <w:pStyle w:val="ListParagraph"/>
        <w:numPr>
          <w:ilvl w:val="0"/>
          <w:numId w:val="15"/>
        </w:numPr>
        <w:tabs>
          <w:tab w:val="left" w:pos="1701"/>
        </w:tabs>
        <w:spacing w:before="100" w:beforeAutospacing="1" w:after="100" w:afterAutospacing="1" w:line="276" w:lineRule="auto"/>
        <w:jc w:val="both"/>
        <w:outlineLvl w:val="1"/>
        <w:rPr>
          <w:rFonts w:ascii="Times New Roman" w:eastAsia="Times New Roman" w:hAnsi="Times New Roman" w:cs="Times New Roman"/>
          <w:kern w:val="0"/>
          <w14:ligatures w14:val="none"/>
        </w:rPr>
      </w:pPr>
      <w:r w:rsidRPr="005C5184">
        <w:rPr>
          <w:noProof/>
        </w:rPr>
        <w:drawing>
          <wp:inline distT="0" distB="0" distL="0" distR="0" wp14:anchorId="13858610" wp14:editId="47974684">
            <wp:extent cx="5920740" cy="4099560"/>
            <wp:effectExtent l="0" t="0" r="3810" b="5080"/>
            <wp:docPr id="177062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0740" cy="4099560"/>
                    </a:xfrm>
                    <a:prstGeom prst="rect">
                      <a:avLst/>
                    </a:prstGeom>
                    <a:noFill/>
                  </pic:spPr>
                </pic:pic>
              </a:graphicData>
            </a:graphic>
          </wp:inline>
        </w:drawing>
      </w:r>
    </w:p>
    <w:p w14:paraId="3B8537A4" w14:textId="27A9055C" w:rsidR="000D6F98" w:rsidRPr="002B3D89" w:rsidRDefault="000D6F98" w:rsidP="000D6F98">
      <w:pPr>
        <w:spacing w:after="0" w:line="276" w:lineRule="auto"/>
        <w:jc w:val="center"/>
        <w:outlineLvl w:val="1"/>
        <w:rPr>
          <w:rFonts w:ascii="Times New Roman" w:eastAsia="Times New Roman" w:hAnsi="Times New Roman" w:cs="Times New Roman"/>
          <w:b/>
          <w:bCs/>
          <w:i/>
          <w:iCs/>
          <w:kern w:val="0"/>
          <w:sz w:val="20"/>
          <w:szCs w:val="20"/>
          <w14:ligatures w14:val="none"/>
        </w:rPr>
      </w:pPr>
      <w:r w:rsidRPr="002B3D89">
        <w:rPr>
          <w:rFonts w:ascii="Times New Roman" w:hAnsi="Times New Roman" w:cs="Times New Roman"/>
          <w:b/>
          <w:bCs/>
          <w:i/>
          <w:iCs/>
          <w:sz w:val="20"/>
          <w:szCs w:val="20"/>
        </w:rPr>
        <w:t>F</w:t>
      </w:r>
      <w:r w:rsidRPr="002B3D89">
        <w:rPr>
          <w:rFonts w:ascii="Times New Roman" w:eastAsia="Times New Roman" w:hAnsi="Times New Roman" w:cs="Times New Roman"/>
          <w:b/>
          <w:bCs/>
          <w:i/>
          <w:iCs/>
          <w:sz w:val="20"/>
          <w:szCs w:val="20"/>
        </w:rPr>
        <w:t xml:space="preserve">igure 1: Plot of the Quarterly Inflation Gap and Actual Inflation from 2015 to 2024 </w:t>
      </w:r>
    </w:p>
    <w:p w14:paraId="2EB06864" w14:textId="2B69D772" w:rsidR="006D5C7F" w:rsidRPr="000D6F98" w:rsidRDefault="000D6F98" w:rsidP="000D6F98">
      <w:pPr>
        <w:spacing w:after="0" w:line="276" w:lineRule="auto"/>
        <w:outlineLvl w:val="1"/>
        <w:rPr>
          <w:rFonts w:ascii="Times New Roman" w:eastAsia="Times New Roman" w:hAnsi="Times New Roman" w:cs="Times New Roman"/>
          <w:kern w:val="0"/>
          <w14:ligatures w14:val="none"/>
        </w:rPr>
      </w:pPr>
      <w:r w:rsidRPr="000D6F98">
        <w:rPr>
          <w:rFonts w:ascii="Times New Roman" w:eastAsia="Times New Roman" w:hAnsi="Times New Roman" w:cs="Times New Roman"/>
          <w:kern w:val="0"/>
          <w14:ligatures w14:val="none"/>
        </w:rPr>
        <w:t xml:space="preserve">                    </w:t>
      </w:r>
      <w:r w:rsidR="006D5C7F" w:rsidRPr="000D6F98">
        <w:rPr>
          <w:rFonts w:ascii="Times New Roman" w:eastAsia="Times New Roman" w:hAnsi="Times New Roman" w:cs="Times New Roman"/>
          <w:kern w:val="0"/>
          <w14:ligatures w14:val="none"/>
        </w:rPr>
        <w:t>Source: Author’s elaboration on data</w:t>
      </w:r>
      <w:r w:rsidRPr="000D6F98">
        <w:rPr>
          <w:rFonts w:ascii="Times New Roman" w:eastAsia="Times New Roman" w:hAnsi="Times New Roman" w:cs="Times New Roman"/>
          <w:kern w:val="0"/>
          <w14:ligatures w14:val="none"/>
        </w:rPr>
        <w:t xml:space="preserve"> from WDI and the Bank of Zambia Databases </w:t>
      </w:r>
    </w:p>
    <w:p w14:paraId="48EB4FCD" w14:textId="77777777" w:rsidR="00395BB0" w:rsidRDefault="00395BB0" w:rsidP="00395BB0">
      <w:pPr>
        <w:spacing w:after="0" w:line="276" w:lineRule="auto"/>
        <w:ind w:firstLine="720"/>
        <w:jc w:val="both"/>
        <w:outlineLvl w:val="1"/>
        <w:rPr>
          <w:rFonts w:ascii="Times New Roman" w:eastAsia="Times New Roman" w:hAnsi="Times New Roman" w:cs="Times New Roman"/>
          <w:kern w:val="0"/>
          <w14:ligatures w14:val="none"/>
        </w:rPr>
      </w:pPr>
    </w:p>
    <w:p w14:paraId="3CCAC1A3" w14:textId="1D5585D9" w:rsidR="00EF4AE2" w:rsidRDefault="006D5C7F" w:rsidP="00395BB0">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From Figure 1, it is easy to observe that inflation targeting in Zambia has been elusive from 2015 to 2024 in general.</w:t>
      </w:r>
      <w:r w:rsidR="00E2619F" w:rsidRPr="005C5184">
        <w:rPr>
          <w:rFonts w:ascii="Times New Roman" w:eastAsia="Times New Roman" w:hAnsi="Times New Roman" w:cs="Times New Roman"/>
          <w:kern w:val="0"/>
          <w14:ligatures w14:val="none"/>
        </w:rPr>
        <w:t xml:space="preserve"> Specifically, Figure 1 indicates that</w:t>
      </w:r>
      <w:r w:rsidR="00E2619F" w:rsidRPr="005C5184">
        <w:rPr>
          <w:rFonts w:ascii="Times New Roman" w:hAnsi="Times New Roman" w:cs="Times New Roman"/>
        </w:rPr>
        <w:t xml:space="preserve"> nearly 88% of the 10 years under review, Zambia did not achieve its inflation target. </w:t>
      </w:r>
      <w:r w:rsidRPr="005C5184">
        <w:rPr>
          <w:rFonts w:ascii="Times New Roman" w:eastAsia="Times New Roman" w:hAnsi="Times New Roman" w:cs="Times New Roman"/>
          <w:kern w:val="0"/>
          <w14:ligatures w14:val="none"/>
        </w:rPr>
        <w:t xml:space="preserve">Inflation consistently exceeded the 7% target for most of the observed period, with significant peaks noted in 2016, 2020, and a dramatic increase in 2021 (surpassing 20%). This surge is likely attributable to factors such as exchange rate depreciation, shocks in food prices, and disruptions related to COVID-19. A short interval between 2017 and 2018 was the only time inflation </w:t>
      </w:r>
      <w:r w:rsidRPr="005C5184">
        <w:rPr>
          <w:rFonts w:ascii="Times New Roman" w:eastAsia="Times New Roman" w:hAnsi="Times New Roman" w:cs="Times New Roman"/>
          <w:kern w:val="0"/>
          <w14:ligatures w14:val="none"/>
        </w:rPr>
        <w:lastRenderedPageBreak/>
        <w:t xml:space="preserve">approached the target, indicating that periods of stability were limited. Following its peak in 2021, inflation showed a gradual decline; however, it did not reach the target by 2024. This situation illustrates persistent inflation and potentially ineffective monetary policy transmission. The quarterly data reveals considerable volatility, suggesting that inflation expectations remain unanchored and that the economy is susceptible to supply-side shocks, particularly in fuel and food prices, which significantly impact on an economy heavily reliant on imports. The deviation of inflation from the target inflation indicates a necessity to </w:t>
      </w:r>
      <w:r w:rsidR="00EF4AE2">
        <w:rPr>
          <w:rFonts w:ascii="Times New Roman" w:eastAsia="Times New Roman" w:hAnsi="Times New Roman" w:cs="Times New Roman"/>
          <w:kern w:val="0"/>
          <w14:ligatures w14:val="none"/>
        </w:rPr>
        <w:t>leverage</w:t>
      </w:r>
      <w:r w:rsidRPr="005C5184">
        <w:rPr>
          <w:rFonts w:ascii="Times New Roman" w:eastAsia="Times New Roman" w:hAnsi="Times New Roman" w:cs="Times New Roman"/>
          <w:kern w:val="0"/>
          <w14:ligatures w14:val="none"/>
        </w:rPr>
        <w:t xml:space="preserve"> policy credibility through consistent communication, transparency, and a demonstrated readiness to implement corrective measures (for instance, tightening policy when required). </w:t>
      </w:r>
      <w:r w:rsidR="00EF4AE2">
        <w:rPr>
          <w:rFonts w:ascii="Times New Roman" w:eastAsia="Times New Roman" w:hAnsi="Times New Roman" w:cs="Times New Roman"/>
          <w:kern w:val="0"/>
          <w14:ligatures w14:val="none"/>
        </w:rPr>
        <w:t>The persistent inflation gaps reflect credibility issues, consistent with the time consistency theory (Kydland &amp; Prescott, 1977; Barro &amp; Gordon, 1983). This theory asserts that central banks that fail to commit to targets credibly face higher inflationary expectations.</w:t>
      </w:r>
    </w:p>
    <w:p w14:paraId="5243FD70" w14:textId="155EA5E7" w:rsidR="004556ED" w:rsidRDefault="00A1007F" w:rsidP="00395BB0">
      <w:pPr>
        <w:spacing w:after="0" w:line="276" w:lineRule="auto"/>
        <w:ind w:firstLine="720"/>
        <w:jc w:val="both"/>
        <w:outlineLvl w:val="1"/>
        <w:rPr>
          <w:rFonts w:ascii="Times New Roman" w:hAnsi="Times New Roman" w:cs="Times New Roman"/>
        </w:rPr>
      </w:pPr>
      <w:r w:rsidRPr="005C5184">
        <w:rPr>
          <w:rFonts w:ascii="Times New Roman" w:hAnsi="Times New Roman" w:cs="Times New Roman"/>
        </w:rPr>
        <w:t>T</w:t>
      </w:r>
      <w:r w:rsidR="003D69C6" w:rsidRPr="005C5184">
        <w:rPr>
          <w:rFonts w:ascii="Times New Roman" w:hAnsi="Times New Roman" w:cs="Times New Roman"/>
        </w:rPr>
        <w:t>he benefits of targeting inflation include</w:t>
      </w:r>
      <w:r w:rsidR="004556ED">
        <w:rPr>
          <w:rFonts w:ascii="Times New Roman" w:hAnsi="Times New Roman" w:cs="Times New Roman"/>
        </w:rPr>
        <w:t>:</w:t>
      </w:r>
    </w:p>
    <w:p w14:paraId="479D5E62" w14:textId="77777777" w:rsidR="004556ED" w:rsidRPr="009331FD" w:rsidRDefault="00D009A9" w:rsidP="00395BB0">
      <w:pPr>
        <w:spacing w:after="0" w:line="276" w:lineRule="auto"/>
        <w:ind w:firstLine="720"/>
        <w:jc w:val="both"/>
        <w:outlineLvl w:val="1"/>
        <w:rPr>
          <w:rFonts w:ascii="Times New Roman" w:hAnsi="Times New Roman" w:cs="Times New Roman"/>
          <w:highlight w:val="yellow"/>
        </w:rPr>
      </w:pPr>
      <w:r w:rsidRPr="005C5184">
        <w:rPr>
          <w:rFonts w:ascii="Times New Roman" w:hAnsi="Times New Roman" w:cs="Times New Roman"/>
        </w:rPr>
        <w:t xml:space="preserve"> </w:t>
      </w:r>
      <w:r w:rsidR="003D69C6" w:rsidRPr="009331FD">
        <w:rPr>
          <w:rFonts w:ascii="Times New Roman" w:hAnsi="Times New Roman" w:cs="Times New Roman"/>
          <w:i/>
          <w:iCs/>
          <w:highlight w:val="yellow"/>
        </w:rPr>
        <w:t>Enhanced Price Stability</w:t>
      </w:r>
      <w:r w:rsidRPr="009331FD">
        <w:rPr>
          <w:rFonts w:ascii="Times New Roman" w:hAnsi="Times New Roman" w:cs="Times New Roman"/>
          <w:b/>
          <w:bCs/>
          <w:highlight w:val="yellow"/>
        </w:rPr>
        <w:t>.</w:t>
      </w:r>
      <w:r w:rsidR="003D69C6" w:rsidRPr="009331FD">
        <w:rPr>
          <w:rFonts w:ascii="Times New Roman" w:hAnsi="Times New Roman" w:cs="Times New Roman"/>
          <w:b/>
          <w:bCs/>
          <w:highlight w:val="yellow"/>
        </w:rPr>
        <w:t xml:space="preserve"> </w:t>
      </w:r>
      <w:r w:rsidR="003D69C6" w:rsidRPr="009331FD">
        <w:rPr>
          <w:rFonts w:ascii="Times New Roman" w:hAnsi="Times New Roman" w:cs="Times New Roman"/>
          <w:highlight w:val="yellow"/>
        </w:rPr>
        <w:t xml:space="preserve">Inflation </w:t>
      </w:r>
      <w:r w:rsidR="0057637C" w:rsidRPr="009331FD">
        <w:rPr>
          <w:rFonts w:ascii="Times New Roman" w:hAnsi="Times New Roman" w:cs="Times New Roman"/>
          <w:highlight w:val="yellow"/>
        </w:rPr>
        <w:t>targets</w:t>
      </w:r>
      <w:r w:rsidR="003D69C6" w:rsidRPr="009331FD">
        <w:rPr>
          <w:rFonts w:ascii="Times New Roman" w:hAnsi="Times New Roman" w:cs="Times New Roman"/>
          <w:highlight w:val="yellow"/>
        </w:rPr>
        <w:t xml:space="preserve"> </w:t>
      </w:r>
      <w:r w:rsidR="00EF4AE2" w:rsidRPr="009331FD">
        <w:rPr>
          <w:rFonts w:ascii="Times New Roman" w:hAnsi="Times New Roman" w:cs="Times New Roman"/>
          <w:highlight w:val="yellow"/>
        </w:rPr>
        <w:t>anchor inflation expectations and foster rice</w:t>
      </w:r>
      <w:r w:rsidR="003D69C6" w:rsidRPr="009331FD">
        <w:rPr>
          <w:rFonts w:ascii="Times New Roman" w:hAnsi="Times New Roman" w:cs="Times New Roman"/>
          <w:highlight w:val="yellow"/>
        </w:rPr>
        <w:t xml:space="preserve"> stability, which is essential for long-term economic planning and investment (Mishkin, 2007). It mitigates inflation volatility, thereby creating a more predictable macroeconomic landscape</w:t>
      </w:r>
      <w:r w:rsidRPr="009331FD">
        <w:rPr>
          <w:rFonts w:ascii="Times New Roman" w:hAnsi="Times New Roman" w:cs="Times New Roman"/>
          <w:highlight w:val="yellow"/>
        </w:rPr>
        <w:t>.</w:t>
      </w:r>
    </w:p>
    <w:p w14:paraId="4A4F3635" w14:textId="3D187385" w:rsidR="004556ED" w:rsidRPr="009331FD" w:rsidRDefault="00D009A9" w:rsidP="00395BB0">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003D69C6" w:rsidRPr="009331FD">
        <w:rPr>
          <w:rFonts w:ascii="Times New Roman" w:hAnsi="Times New Roman" w:cs="Times New Roman"/>
          <w:i/>
          <w:iCs/>
          <w:highlight w:val="yellow"/>
        </w:rPr>
        <w:t>Increased Transparency and Accountability</w:t>
      </w:r>
      <w:r w:rsidR="0085611C" w:rsidRPr="009331FD">
        <w:rPr>
          <w:rFonts w:ascii="Times New Roman" w:hAnsi="Times New Roman" w:cs="Times New Roman"/>
          <w:b/>
          <w:bCs/>
          <w:highlight w:val="yellow"/>
        </w:rPr>
        <w:t xml:space="preserve">: </w:t>
      </w:r>
      <w:r w:rsidR="003D69C6" w:rsidRPr="009331FD">
        <w:rPr>
          <w:rFonts w:ascii="Times New Roman" w:hAnsi="Times New Roman" w:cs="Times New Roman"/>
          <w:highlight w:val="yellow"/>
        </w:rPr>
        <w:t>Central banks that operate under inflation targeting frameworks are generally more open about their policy objectives and decisions. This transparency fosters public trust and enhances the credibility of monetary policy (Svensson, 1997).</w:t>
      </w:r>
      <w:r w:rsidRPr="009331FD">
        <w:rPr>
          <w:rFonts w:ascii="Times New Roman" w:hAnsi="Times New Roman" w:cs="Times New Roman"/>
          <w:highlight w:val="yellow"/>
        </w:rPr>
        <w:t xml:space="preserve"> </w:t>
      </w:r>
    </w:p>
    <w:p w14:paraId="27A6CEAC" w14:textId="77777777" w:rsidR="004556ED" w:rsidRPr="009331FD" w:rsidRDefault="00D009A9" w:rsidP="00395BB0">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003D69C6" w:rsidRPr="009331FD">
        <w:rPr>
          <w:rFonts w:ascii="Times New Roman" w:hAnsi="Times New Roman" w:cs="Times New Roman"/>
          <w:i/>
          <w:iCs/>
          <w:highlight w:val="yellow"/>
        </w:rPr>
        <w:t>Reduced Inflation Bias</w:t>
      </w:r>
      <w:r w:rsidR="0085611C" w:rsidRPr="009331FD">
        <w:rPr>
          <w:rFonts w:ascii="Times New Roman" w:hAnsi="Times New Roman" w:cs="Times New Roman"/>
          <w:highlight w:val="yellow"/>
        </w:rPr>
        <w:t>:</w:t>
      </w:r>
      <w:r w:rsidR="0085611C" w:rsidRPr="009331FD">
        <w:rPr>
          <w:rFonts w:ascii="Times New Roman" w:hAnsi="Times New Roman" w:cs="Times New Roman"/>
          <w:b/>
          <w:bCs/>
          <w:highlight w:val="yellow"/>
        </w:rPr>
        <w:t xml:space="preserve"> </w:t>
      </w:r>
      <w:r w:rsidR="003D69C6" w:rsidRPr="009331FD">
        <w:rPr>
          <w:rFonts w:ascii="Times New Roman" w:hAnsi="Times New Roman" w:cs="Times New Roman"/>
          <w:highlight w:val="yellow"/>
        </w:rPr>
        <w:t>Implementing inflation targeting can diminish the inflationary bias linked to discretionary monetary policy by establishing a clear standard against which the central bank's performance can be evaluated (Bernanke et al., 1999).</w:t>
      </w:r>
    </w:p>
    <w:p w14:paraId="6C95EC0F" w14:textId="6730256B" w:rsidR="00004641" w:rsidRPr="009331FD" w:rsidRDefault="00D009A9" w:rsidP="00395BB0">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003D69C6" w:rsidRPr="009331FD">
        <w:rPr>
          <w:rFonts w:ascii="Times New Roman" w:hAnsi="Times New Roman" w:cs="Times New Roman"/>
          <w:b/>
          <w:bCs/>
          <w:highlight w:val="yellow"/>
        </w:rPr>
        <w:t xml:space="preserve"> </w:t>
      </w:r>
      <w:r w:rsidR="003D69C6" w:rsidRPr="009331FD">
        <w:rPr>
          <w:rFonts w:ascii="Times New Roman" w:hAnsi="Times New Roman" w:cs="Times New Roman"/>
          <w:i/>
          <w:iCs/>
          <w:highlight w:val="yellow"/>
        </w:rPr>
        <w:t>Improved Policy Credibility</w:t>
      </w:r>
      <w:r w:rsidR="0085611C" w:rsidRPr="009331FD">
        <w:rPr>
          <w:rFonts w:ascii="Times New Roman" w:hAnsi="Times New Roman" w:cs="Times New Roman"/>
          <w:b/>
          <w:bCs/>
          <w:highlight w:val="yellow"/>
        </w:rPr>
        <w:t xml:space="preserve">: </w:t>
      </w:r>
      <w:r w:rsidR="003D69C6" w:rsidRPr="009331FD">
        <w:rPr>
          <w:rFonts w:ascii="Times New Roman" w:hAnsi="Times New Roman" w:cs="Times New Roman"/>
          <w:highlight w:val="yellow"/>
        </w:rPr>
        <w:t xml:space="preserve">The adoption of inflation targeting conveys a robust commitment to managing inflation, </w:t>
      </w:r>
      <w:r w:rsidR="0085611C" w:rsidRPr="009331FD">
        <w:rPr>
          <w:rFonts w:ascii="Times New Roman" w:hAnsi="Times New Roman" w:cs="Times New Roman"/>
          <w:highlight w:val="yellow"/>
        </w:rPr>
        <w:t>bolstering the central bank's credibility and lowering</w:t>
      </w:r>
      <w:r w:rsidR="003D69C6" w:rsidRPr="009331FD">
        <w:rPr>
          <w:rFonts w:ascii="Times New Roman" w:hAnsi="Times New Roman" w:cs="Times New Roman"/>
          <w:highlight w:val="yellow"/>
        </w:rPr>
        <w:t xml:space="preserve"> inflation expectations and interest rates (Roger &amp; Stone, 2005)</w:t>
      </w:r>
      <w:r w:rsidRPr="009331FD">
        <w:rPr>
          <w:rFonts w:ascii="Times New Roman" w:hAnsi="Times New Roman" w:cs="Times New Roman"/>
          <w:highlight w:val="yellow"/>
        </w:rPr>
        <w:t xml:space="preserve">, and (v) </w:t>
      </w:r>
      <w:r w:rsidR="003D69C6" w:rsidRPr="009331FD">
        <w:rPr>
          <w:rFonts w:ascii="Times New Roman" w:hAnsi="Times New Roman" w:cs="Times New Roman"/>
          <w:i/>
          <w:iCs/>
          <w:highlight w:val="yellow"/>
        </w:rPr>
        <w:t>Flexibility in Policy Implementation</w:t>
      </w:r>
      <w:r w:rsidR="0085611C" w:rsidRPr="009331FD">
        <w:rPr>
          <w:rFonts w:ascii="Times New Roman" w:hAnsi="Times New Roman" w:cs="Times New Roman"/>
          <w:b/>
          <w:bCs/>
          <w:highlight w:val="yellow"/>
        </w:rPr>
        <w:t xml:space="preserve">: </w:t>
      </w:r>
      <w:r w:rsidR="003D69C6" w:rsidRPr="009331FD">
        <w:rPr>
          <w:rFonts w:ascii="Times New Roman" w:hAnsi="Times New Roman" w:cs="Times New Roman"/>
          <w:highlight w:val="yellow"/>
        </w:rPr>
        <w:t>Although inflation remains the primary objective, many regimes embrace a "flexible" inflation targeting strategy, permitting adjustments to stabilize output and employment in the short term (Mishkin &amp; Schmidt-Hebbel, 2007).</w:t>
      </w:r>
      <w:r w:rsidR="00004641" w:rsidRPr="009331FD">
        <w:rPr>
          <w:rFonts w:ascii="Times New Roman" w:hAnsi="Times New Roman" w:cs="Times New Roman"/>
          <w:highlight w:val="yellow"/>
        </w:rPr>
        <w:t xml:space="preserve"> </w:t>
      </w:r>
    </w:p>
    <w:p w14:paraId="2246CB6D" w14:textId="77777777" w:rsidR="004556ED" w:rsidRPr="009331FD" w:rsidRDefault="00D009A9" w:rsidP="00AB0E6A">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However, inflation targeting has downsides. These include the following, among others:</w:t>
      </w:r>
    </w:p>
    <w:p w14:paraId="4E287382" w14:textId="77777777" w:rsidR="004556ED" w:rsidRPr="009331FD" w:rsidRDefault="00D009A9" w:rsidP="00AB0E6A">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Pr="009331FD">
        <w:rPr>
          <w:rFonts w:ascii="Times New Roman" w:hAnsi="Times New Roman" w:cs="Times New Roman"/>
          <w:i/>
          <w:iCs/>
          <w:highlight w:val="yellow"/>
        </w:rPr>
        <w:t>Overlooking Other Macroeconomic Goals</w:t>
      </w:r>
      <w:r w:rsidRPr="009331FD">
        <w:rPr>
          <w:rFonts w:ascii="Times New Roman" w:hAnsi="Times New Roman" w:cs="Times New Roman"/>
          <w:highlight w:val="yellow"/>
        </w:rPr>
        <w:t xml:space="preserve">: Concentrating solely on inflation can result in the oversight of other critical objectives such as economic growth, employment, and exchange rate stability (Stiglitz, 2008). This issue is especially significant for developing nations facing various economic </w:t>
      </w:r>
      <w:r w:rsidR="007045FF" w:rsidRPr="009331FD">
        <w:rPr>
          <w:rFonts w:ascii="Times New Roman" w:hAnsi="Times New Roman" w:cs="Times New Roman"/>
          <w:highlight w:val="yellow"/>
        </w:rPr>
        <w:t>challenges</w:t>
      </w:r>
      <w:r w:rsidRPr="009331FD">
        <w:rPr>
          <w:rFonts w:ascii="Times New Roman" w:hAnsi="Times New Roman" w:cs="Times New Roman"/>
          <w:highlight w:val="yellow"/>
        </w:rPr>
        <w:t xml:space="preserve"> </w:t>
      </w:r>
    </w:p>
    <w:p w14:paraId="465DD01A" w14:textId="1A4C3EA0" w:rsidR="004556ED" w:rsidRPr="009331FD" w:rsidRDefault="00D009A9" w:rsidP="00AB0E6A">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Pr="009331FD">
        <w:rPr>
          <w:rFonts w:ascii="Times New Roman" w:hAnsi="Times New Roman" w:cs="Times New Roman"/>
          <w:b/>
          <w:bCs/>
          <w:highlight w:val="yellow"/>
        </w:rPr>
        <w:t xml:space="preserve"> </w:t>
      </w:r>
      <w:r w:rsidRPr="009331FD">
        <w:rPr>
          <w:rFonts w:ascii="Times New Roman" w:hAnsi="Times New Roman" w:cs="Times New Roman"/>
          <w:i/>
          <w:iCs/>
          <w:highlight w:val="yellow"/>
        </w:rPr>
        <w:t>Rigidity in Response to Supply Shocks</w:t>
      </w:r>
      <w:r w:rsidRPr="009331FD">
        <w:rPr>
          <w:rFonts w:ascii="Times New Roman" w:hAnsi="Times New Roman" w:cs="Times New Roman"/>
          <w:highlight w:val="yellow"/>
        </w:rPr>
        <w:t>: Inflation targeting may not be adequately equipped to address supply-side shocks like increases in oil prices or droughts, which can drive inflation but are not easily mitigated through monetary policy (Ball, 1999)</w:t>
      </w:r>
      <w:r w:rsidR="004556ED" w:rsidRPr="009331FD">
        <w:rPr>
          <w:rFonts w:ascii="Times New Roman" w:hAnsi="Times New Roman" w:cs="Times New Roman"/>
          <w:highlight w:val="yellow"/>
        </w:rPr>
        <w:t>.</w:t>
      </w:r>
    </w:p>
    <w:p w14:paraId="6A9ADABF" w14:textId="1985E138" w:rsidR="004556ED" w:rsidRPr="009331FD" w:rsidRDefault="00D009A9" w:rsidP="00AB0E6A">
      <w:pPr>
        <w:spacing w:after="0" w:line="276" w:lineRule="auto"/>
        <w:ind w:firstLine="720"/>
        <w:jc w:val="both"/>
        <w:outlineLvl w:val="1"/>
        <w:rPr>
          <w:rFonts w:ascii="Times New Roman" w:hAnsi="Times New Roman" w:cs="Times New Roman"/>
          <w:highlight w:val="yellow"/>
        </w:rPr>
      </w:pPr>
      <w:r w:rsidRPr="009331FD">
        <w:rPr>
          <w:rFonts w:ascii="Times New Roman" w:hAnsi="Times New Roman" w:cs="Times New Roman"/>
          <w:highlight w:val="yellow"/>
        </w:rPr>
        <w:t xml:space="preserve"> </w:t>
      </w:r>
      <w:r w:rsidRPr="009331FD">
        <w:rPr>
          <w:rFonts w:ascii="Times New Roman" w:hAnsi="Times New Roman" w:cs="Times New Roman"/>
          <w:i/>
          <w:iCs/>
          <w:highlight w:val="yellow"/>
        </w:rPr>
        <w:t>Reliance on Data and Forecasting Errors:</w:t>
      </w:r>
      <w:r w:rsidRPr="009331FD">
        <w:rPr>
          <w:rFonts w:ascii="Times New Roman" w:hAnsi="Times New Roman" w:cs="Times New Roman"/>
          <w:highlight w:val="yellow"/>
        </w:rPr>
        <w:t xml:space="preserve"> The inflation targeting approach is heavily dependent on forecasts and real-time data, which can be flawed or subject to changes. This reliance can result in misguided policy choices (Orphanides, 2001)</w:t>
      </w:r>
      <w:r w:rsidR="004556ED" w:rsidRPr="009331FD">
        <w:rPr>
          <w:rFonts w:ascii="Times New Roman" w:hAnsi="Times New Roman" w:cs="Times New Roman"/>
          <w:highlight w:val="yellow"/>
        </w:rPr>
        <w:t>.</w:t>
      </w:r>
    </w:p>
    <w:p w14:paraId="7BD74742" w14:textId="682D9159" w:rsidR="00D009A9" w:rsidRDefault="00D009A9" w:rsidP="00AB0E6A">
      <w:pPr>
        <w:spacing w:after="0" w:line="276" w:lineRule="auto"/>
        <w:ind w:firstLine="720"/>
        <w:jc w:val="both"/>
        <w:outlineLvl w:val="1"/>
        <w:rPr>
          <w:rFonts w:ascii="Times New Roman" w:hAnsi="Times New Roman" w:cs="Times New Roman"/>
        </w:rPr>
      </w:pPr>
      <w:r w:rsidRPr="009331FD">
        <w:rPr>
          <w:rFonts w:ascii="Times New Roman" w:hAnsi="Times New Roman" w:cs="Times New Roman"/>
          <w:i/>
          <w:iCs/>
          <w:highlight w:val="yellow"/>
        </w:rPr>
        <w:t xml:space="preserve"> Challenges in Assessing the Output Gap</w:t>
      </w:r>
      <w:r w:rsidR="007045FF" w:rsidRPr="009331FD">
        <w:rPr>
          <w:rFonts w:ascii="Times New Roman" w:hAnsi="Times New Roman" w:cs="Times New Roman"/>
          <w:highlight w:val="yellow"/>
        </w:rPr>
        <w:t xml:space="preserve">. </w:t>
      </w:r>
      <w:r w:rsidRPr="009331FD">
        <w:rPr>
          <w:rFonts w:ascii="Times New Roman" w:hAnsi="Times New Roman" w:cs="Times New Roman"/>
          <w:highlight w:val="yellow"/>
        </w:rPr>
        <w:t>Flexible inflation targeting necessitates precise evaluation of the output gap, a task that is complex</w:t>
      </w:r>
      <w:r w:rsidRPr="005C5184">
        <w:rPr>
          <w:rFonts w:ascii="Times New Roman" w:hAnsi="Times New Roman" w:cs="Times New Roman"/>
        </w:rPr>
        <w:t xml:space="preserve"> and prone to estimation inaccuracies, thereby diminishing the effectiveness of monetary policy (</w:t>
      </w:r>
      <w:proofErr w:type="spellStart"/>
      <w:r w:rsidRPr="005C5184">
        <w:rPr>
          <w:rFonts w:ascii="Times New Roman" w:hAnsi="Times New Roman" w:cs="Times New Roman"/>
        </w:rPr>
        <w:t>Batini</w:t>
      </w:r>
      <w:proofErr w:type="spellEnd"/>
      <w:r w:rsidRPr="005C5184">
        <w:rPr>
          <w:rFonts w:ascii="Times New Roman" w:hAnsi="Times New Roman" w:cs="Times New Roman"/>
        </w:rPr>
        <w:t xml:space="preserve"> &amp; Nelson, 2001)</w:t>
      </w:r>
      <w:r w:rsidR="007045FF" w:rsidRPr="005C5184">
        <w:rPr>
          <w:rFonts w:ascii="Times New Roman" w:hAnsi="Times New Roman" w:cs="Times New Roman"/>
        </w:rPr>
        <w:t>, and (v</w:t>
      </w:r>
      <w:r w:rsidR="007045FF" w:rsidRPr="005C5184">
        <w:rPr>
          <w:rFonts w:ascii="Times New Roman" w:hAnsi="Times New Roman" w:cs="Times New Roman"/>
          <w:i/>
          <w:iCs/>
        </w:rPr>
        <w:t xml:space="preserve">) </w:t>
      </w:r>
      <w:r w:rsidRPr="005C5184">
        <w:rPr>
          <w:rFonts w:ascii="Times New Roman" w:hAnsi="Times New Roman" w:cs="Times New Roman"/>
          <w:i/>
          <w:iCs/>
        </w:rPr>
        <w:t xml:space="preserve"> Risks to Financial Stability</w:t>
      </w:r>
      <w:r w:rsidR="007045FF" w:rsidRPr="005C5184">
        <w:rPr>
          <w:rFonts w:ascii="Times New Roman" w:hAnsi="Times New Roman" w:cs="Times New Roman"/>
        </w:rPr>
        <w:t xml:space="preserve">: </w:t>
      </w:r>
      <w:r w:rsidRPr="005C5184">
        <w:rPr>
          <w:rFonts w:ascii="Times New Roman" w:hAnsi="Times New Roman" w:cs="Times New Roman"/>
        </w:rPr>
        <w:t>A concentrated emphasis on inflation may lead policymakers to overlook asset bubbles and financial imbalances, which could ultimately result in financial crises (Borio &amp; Lowe, 2002).</w:t>
      </w:r>
    </w:p>
    <w:p w14:paraId="721D4D08" w14:textId="77777777" w:rsidR="00AB0E6A" w:rsidRPr="005C5184" w:rsidRDefault="00AB0E6A" w:rsidP="00AB0E6A">
      <w:pPr>
        <w:spacing w:after="0" w:line="276" w:lineRule="auto"/>
        <w:ind w:firstLine="720"/>
        <w:jc w:val="both"/>
        <w:outlineLvl w:val="1"/>
        <w:rPr>
          <w:rFonts w:ascii="Times New Roman" w:hAnsi="Times New Roman" w:cs="Times New Roman"/>
        </w:rPr>
      </w:pPr>
    </w:p>
    <w:p w14:paraId="44D9F31B" w14:textId="15A76674" w:rsidR="0020341C" w:rsidRPr="005C5184" w:rsidRDefault="00DB5196" w:rsidP="00AC6F4F">
      <w:pPr>
        <w:pStyle w:val="ListParagraph"/>
        <w:numPr>
          <w:ilvl w:val="0"/>
          <w:numId w:val="1"/>
        </w:numPr>
        <w:spacing w:line="276" w:lineRule="auto"/>
        <w:jc w:val="both"/>
        <w:rPr>
          <w:rFonts w:ascii="Times New Roman" w:hAnsi="Times New Roman" w:cs="Times New Roman"/>
          <w:b/>
          <w:bCs/>
        </w:rPr>
      </w:pPr>
      <w:r w:rsidRPr="005C5184">
        <w:rPr>
          <w:rFonts w:ascii="Times New Roman" w:hAnsi="Times New Roman" w:cs="Times New Roman"/>
          <w:b/>
          <w:bCs/>
        </w:rPr>
        <w:t>LITERATURE REVIEW</w:t>
      </w:r>
    </w:p>
    <w:p w14:paraId="5FE85540" w14:textId="1F64EB96" w:rsidR="0020341C" w:rsidRPr="005C5184" w:rsidRDefault="0020341C" w:rsidP="00AC6F4F">
      <w:pPr>
        <w:pStyle w:val="ListParagraph"/>
        <w:numPr>
          <w:ilvl w:val="1"/>
          <w:numId w:val="1"/>
        </w:numPr>
        <w:spacing w:line="276" w:lineRule="auto"/>
        <w:jc w:val="both"/>
        <w:rPr>
          <w:rFonts w:ascii="Times New Roman" w:hAnsi="Times New Roman" w:cs="Times New Roman"/>
          <w:b/>
          <w:bCs/>
        </w:rPr>
      </w:pPr>
      <w:r w:rsidRPr="005C5184">
        <w:rPr>
          <w:rFonts w:ascii="Times New Roman" w:hAnsi="Times New Roman" w:cs="Times New Roman"/>
          <w:b/>
          <w:bCs/>
        </w:rPr>
        <w:lastRenderedPageBreak/>
        <w:t>Theories Underpinning Inflation Targeting</w:t>
      </w:r>
    </w:p>
    <w:p w14:paraId="047BE09F" w14:textId="2F6D4595" w:rsidR="0020341C" w:rsidRDefault="0020341C" w:rsidP="00AB0E6A">
      <w:pPr>
        <w:spacing w:line="276" w:lineRule="auto"/>
        <w:ind w:firstLine="720"/>
        <w:jc w:val="both"/>
        <w:rPr>
          <w:rFonts w:ascii="Times New Roman" w:hAnsi="Times New Roman" w:cs="Times New Roman"/>
          <w:b/>
          <w:bCs/>
        </w:rPr>
      </w:pPr>
      <w:r w:rsidRPr="005C5184">
        <w:rPr>
          <w:rFonts w:ascii="Times New Roman" w:hAnsi="Times New Roman" w:cs="Times New Roman"/>
        </w:rPr>
        <w:t>The theoretical underpinnings of inflation targeting are firmly established in contemporary macroeconomic theory</w:t>
      </w:r>
      <w:r w:rsidR="00923421" w:rsidRPr="005C5184">
        <w:rPr>
          <w:rFonts w:ascii="Times New Roman" w:hAnsi="Times New Roman" w:cs="Times New Roman"/>
        </w:rPr>
        <w:t xml:space="preserve"> (Kydland &amp; Prescott,1977; Muth, 1961; Sargent &amp; Wallace, 1975; Taylor,1993).</w:t>
      </w:r>
      <w:r w:rsidRPr="005C5184">
        <w:rPr>
          <w:rFonts w:ascii="Times New Roman" w:hAnsi="Times New Roman" w:cs="Times New Roman"/>
        </w:rPr>
        <w:t xml:space="preserve"> </w:t>
      </w:r>
      <w:r w:rsidR="00923421" w:rsidRPr="005C5184">
        <w:rPr>
          <w:rFonts w:ascii="Times New Roman" w:hAnsi="Times New Roman" w:cs="Times New Roman"/>
        </w:rPr>
        <w:t xml:space="preserve">Collectively, these theories highlight the significance of credibility, expectations, and proactive policy frameworks. These theoretical models support inflation targeting as a viable approach to </w:t>
      </w:r>
      <w:proofErr w:type="spellStart"/>
      <w:r w:rsidR="00923421" w:rsidRPr="005C5184">
        <w:rPr>
          <w:rFonts w:ascii="Times New Roman" w:hAnsi="Times New Roman" w:cs="Times New Roman"/>
        </w:rPr>
        <w:t>stabilising</w:t>
      </w:r>
      <w:proofErr w:type="spellEnd"/>
      <w:r w:rsidR="00923421" w:rsidRPr="005C5184">
        <w:rPr>
          <w:rFonts w:ascii="Times New Roman" w:hAnsi="Times New Roman" w:cs="Times New Roman"/>
        </w:rPr>
        <w:t xml:space="preserve"> expectations, diminishing inflation fluctuations, and improving</w:t>
      </w:r>
      <w:r w:rsidRPr="005C5184">
        <w:rPr>
          <w:rFonts w:ascii="Times New Roman" w:hAnsi="Times New Roman" w:cs="Times New Roman"/>
        </w:rPr>
        <w:t xml:space="preserve"> macroeconomic stability</w:t>
      </w:r>
      <w:r w:rsidRPr="005C5184">
        <w:rPr>
          <w:rFonts w:ascii="Times New Roman" w:hAnsi="Times New Roman" w:cs="Times New Roman"/>
          <w:b/>
          <w:bCs/>
        </w:rPr>
        <w:t>.</w:t>
      </w:r>
    </w:p>
    <w:p w14:paraId="688C07C9" w14:textId="54BF17E9" w:rsidR="00923421" w:rsidRPr="005C5184" w:rsidRDefault="00923421" w:rsidP="00AC6F4F">
      <w:pPr>
        <w:pStyle w:val="ListParagraph"/>
        <w:numPr>
          <w:ilvl w:val="2"/>
          <w:numId w:val="1"/>
        </w:numPr>
        <w:spacing w:line="276" w:lineRule="auto"/>
        <w:jc w:val="both"/>
        <w:rPr>
          <w:rFonts w:ascii="Times New Roman" w:hAnsi="Times New Roman" w:cs="Times New Roman"/>
          <w:b/>
          <w:bCs/>
        </w:rPr>
      </w:pPr>
      <w:r w:rsidRPr="005C5184">
        <w:rPr>
          <w:rFonts w:ascii="Times New Roman" w:hAnsi="Times New Roman" w:cs="Times New Roman"/>
          <w:b/>
          <w:bCs/>
        </w:rPr>
        <w:t>Time Inconsistency and Central Bank Credibility</w:t>
      </w:r>
    </w:p>
    <w:p w14:paraId="2C6E3DE7" w14:textId="62F5ED95" w:rsidR="007045FF" w:rsidRPr="005C5184" w:rsidRDefault="00923421" w:rsidP="00AB0E6A">
      <w:pPr>
        <w:spacing w:line="276" w:lineRule="auto"/>
        <w:ind w:firstLine="720"/>
        <w:jc w:val="both"/>
        <w:rPr>
          <w:rFonts w:ascii="Times New Roman" w:hAnsi="Times New Roman" w:cs="Times New Roman"/>
        </w:rPr>
      </w:pPr>
      <w:r w:rsidRPr="005C5184">
        <w:rPr>
          <w:rFonts w:ascii="Times New Roman" w:hAnsi="Times New Roman" w:cs="Times New Roman"/>
        </w:rPr>
        <w:t>Kydland and Prescott (1977) and Barro and Gordon (1983) emphasized the issue of time inconsistency in discretionary monetary policy. They argued that central banks might be tempted to deviate from their targeted inflation targets to stimulate output. However, this approach compromises their credibility and elevates long-term inflation expectations. According to this theory, the proposed solution would be to implement rules-based policies like inflation targeting to strengthen credibility.</w:t>
      </w:r>
      <w:r w:rsidR="00E36EA7" w:rsidRPr="005C5184">
        <w:rPr>
          <w:rFonts w:ascii="Times New Roman" w:hAnsi="Times New Roman" w:cs="Times New Roman"/>
        </w:rPr>
        <w:t xml:space="preserve"> Accordingly, the </w:t>
      </w:r>
      <w:r w:rsidRPr="005C5184">
        <w:rPr>
          <w:rFonts w:ascii="Times New Roman" w:hAnsi="Times New Roman" w:cs="Times New Roman"/>
        </w:rPr>
        <w:t>Loss Function Equation</w:t>
      </w:r>
      <w:r w:rsidR="00E36EA7" w:rsidRPr="005C5184">
        <w:rPr>
          <w:rFonts w:ascii="Times New Roman" w:hAnsi="Times New Roman" w:cs="Times New Roman"/>
        </w:rPr>
        <w:t xml:space="preserve"> can be expressed as:</w:t>
      </w:r>
    </w:p>
    <w:p w14:paraId="75F7C8AC" w14:textId="42697804" w:rsidR="00E36EA7" w:rsidRPr="005C5184" w:rsidRDefault="00E36EA7" w:rsidP="00AC6F4F">
      <w:pPr>
        <w:spacing w:line="276" w:lineRule="auto"/>
        <w:jc w:val="both"/>
        <w:rPr>
          <w:rFonts w:ascii="Times New Roman" w:eastAsiaTheme="minorEastAsia" w:hAnsi="Times New Roman" w:cs="Times New Roman"/>
        </w:rPr>
      </w:pPr>
      <w:r w:rsidRPr="005C5184">
        <w:rPr>
          <w:rFonts w:ascii="Times New Roman" w:eastAsiaTheme="minorEastAsia" w:hAnsi="Times New Roman" w:cs="Times New Roman"/>
        </w:rPr>
        <w:t xml:space="preserve">                                   </w:t>
      </w:r>
      <m:oMath>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λ(</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oMath>
      <w:r w:rsidRPr="005C5184">
        <w:rPr>
          <w:rFonts w:ascii="Times New Roman" w:eastAsiaTheme="minorEastAsia" w:hAnsi="Times New Roman" w:cs="Times New Roman"/>
        </w:rPr>
        <w:t xml:space="preserve">      </w:t>
      </w:r>
      <m:oMath>
        <m:r>
          <w:rPr>
            <w:rFonts w:ascii="Cambria Math" w:eastAsiaTheme="minorEastAsia" w:hAnsi="Cambria Math" w:cs="Times New Roman"/>
          </w:rPr>
          <m:t>(1)</m:t>
        </m:r>
      </m:oMath>
    </w:p>
    <w:p w14:paraId="21A4FC47" w14:textId="4E835E57" w:rsidR="00E36EA7" w:rsidRPr="005C5184" w:rsidRDefault="00E36EA7"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Where; </w:t>
      </w:r>
      <m:oMath>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m:t>
            </m:r>
          </m:sup>
        </m:sSup>
      </m:oMath>
      <w:r w:rsidRPr="005C5184">
        <w:rPr>
          <w:rFonts w:ascii="Times New Roman" w:eastAsiaTheme="minorEastAsia" w:hAnsi="Times New Roman" w:cs="Times New Roman"/>
        </w:rPr>
        <w:t xml:space="preserve"> denotes the inflation target,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is </w:t>
      </w:r>
      <w:r w:rsidR="00F17E87"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actual national output in period </w:t>
      </w:r>
      <m:oMath>
        <m:r>
          <w:rPr>
            <w:rFonts w:ascii="Cambria Math" w:eastAsiaTheme="minorEastAsia" w:hAnsi="Cambria Math" w:cs="Times New Roman"/>
          </w:rPr>
          <m:t>t</m:t>
        </m:r>
      </m:oMath>
      <w:r w:rsidRPr="005C5184">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m:t>
            </m:r>
          </m:sup>
        </m:sSup>
      </m:oMath>
      <w:r w:rsidRPr="005C5184">
        <w:rPr>
          <w:rFonts w:ascii="Times New Roman" w:eastAsiaTheme="minorEastAsia" w:hAnsi="Times New Roman" w:cs="Times New Roman"/>
        </w:rPr>
        <w:t xml:space="preserve"> is </w:t>
      </w:r>
      <w:r w:rsidR="00F17E87"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potential output, and </w:t>
      </w:r>
      <m:oMath>
        <m:r>
          <w:rPr>
            <w:rFonts w:ascii="Cambria Math" w:eastAsiaTheme="minorEastAsia" w:hAnsi="Cambria Math" w:cs="Times New Roman"/>
          </w:rPr>
          <m:t>λ</m:t>
        </m:r>
      </m:oMath>
      <w:r w:rsidRPr="005C5184">
        <w:rPr>
          <w:rFonts w:ascii="Times New Roman" w:eastAsiaTheme="minorEastAsia" w:hAnsi="Times New Roman" w:cs="Times New Roman"/>
        </w:rPr>
        <w:t xml:space="preserve"> denotes the relative weight on output stabilisation.</w:t>
      </w:r>
      <w:r w:rsidR="00C02019" w:rsidRPr="005C5184">
        <w:rPr>
          <w:rFonts w:ascii="Times New Roman" w:eastAsiaTheme="minorEastAsia" w:hAnsi="Times New Roman" w:cs="Times New Roman"/>
        </w:rPr>
        <w:t xml:space="preserve"> </w:t>
      </w:r>
      <w:r w:rsidRPr="005C5184">
        <w:rPr>
          <w:rFonts w:ascii="Times New Roman" w:hAnsi="Times New Roman" w:cs="Times New Roman"/>
        </w:rPr>
        <w:t>The time inconsistency theory contends that inflation targeting reduces the Central Bank’s loss function by committing to a known, stable</w:t>
      </w:r>
      <w:r w:rsidR="00F17E87" w:rsidRPr="005C5184">
        <w:rPr>
          <w:rFonts w:ascii="Times New Roman" w:hAnsi="Times New Roman" w:cs="Times New Roman"/>
        </w:rPr>
        <w:t xml:space="preserve"> inflation path.</w:t>
      </w:r>
    </w:p>
    <w:p w14:paraId="31E0FF43" w14:textId="12950BE1" w:rsidR="00F17E87" w:rsidRPr="005C5184" w:rsidRDefault="00F17E87" w:rsidP="00AC6F4F">
      <w:pPr>
        <w:spacing w:line="276" w:lineRule="auto"/>
        <w:jc w:val="both"/>
        <w:rPr>
          <w:rFonts w:ascii="Times New Roman" w:hAnsi="Times New Roman" w:cs="Times New Roman"/>
          <w:b/>
          <w:bCs/>
        </w:rPr>
      </w:pPr>
      <w:r w:rsidRPr="005C5184">
        <w:rPr>
          <w:rFonts w:ascii="Times New Roman" w:hAnsi="Times New Roman" w:cs="Times New Roman"/>
        </w:rPr>
        <w:t xml:space="preserve">                 </w:t>
      </w:r>
      <w:r w:rsidRPr="005C5184">
        <w:rPr>
          <w:rFonts w:ascii="Times New Roman" w:hAnsi="Times New Roman" w:cs="Times New Roman"/>
          <w:b/>
          <w:bCs/>
        </w:rPr>
        <w:t>2.1.2 The Rational Expectations Theory</w:t>
      </w:r>
    </w:p>
    <w:p w14:paraId="4D6CFDE2" w14:textId="0CB86318" w:rsidR="007045FF" w:rsidRPr="005C5184" w:rsidRDefault="00F17E87" w:rsidP="00AB0E6A">
      <w:pPr>
        <w:spacing w:line="276" w:lineRule="auto"/>
        <w:ind w:firstLine="720"/>
        <w:jc w:val="both"/>
        <w:rPr>
          <w:rFonts w:ascii="Times New Roman" w:hAnsi="Times New Roman" w:cs="Times New Roman"/>
        </w:rPr>
      </w:pPr>
      <w:r w:rsidRPr="005C5184">
        <w:rPr>
          <w:rFonts w:ascii="Times New Roman" w:hAnsi="Times New Roman" w:cs="Times New Roman"/>
        </w:rPr>
        <w:t xml:space="preserve">According to the rational expectations theory, individuals form their expectations about inflation by </w:t>
      </w:r>
      <w:proofErr w:type="spellStart"/>
      <w:r w:rsidRPr="005C5184">
        <w:rPr>
          <w:rFonts w:ascii="Times New Roman" w:hAnsi="Times New Roman" w:cs="Times New Roman"/>
        </w:rPr>
        <w:t>analysing</w:t>
      </w:r>
      <w:proofErr w:type="spellEnd"/>
      <w:r w:rsidRPr="005C5184">
        <w:rPr>
          <w:rFonts w:ascii="Times New Roman" w:hAnsi="Times New Roman" w:cs="Times New Roman"/>
        </w:rPr>
        <w:t xml:space="preserve"> all available information, which includes both the current economic conditions and anticipated policy actions. When a central bank consistently adheres to a defined inflation target, individuals acting rationally will adjust their expectations accordingly. This adjustment reduces the actual fluctuations of inflation rates, as people begin to trust the central bank's commitment to maintaining stability in prices (</w:t>
      </w:r>
      <w:bookmarkStart w:id="3" w:name="_Hlk202348748"/>
      <w:r w:rsidRPr="005C5184">
        <w:rPr>
          <w:rFonts w:ascii="Times New Roman" w:hAnsi="Times New Roman" w:cs="Times New Roman"/>
        </w:rPr>
        <w:t>Muth, 1961; Sargent &amp; Wallace, 1975</w:t>
      </w:r>
      <w:bookmarkEnd w:id="3"/>
      <w:r w:rsidRPr="005C5184">
        <w:rPr>
          <w:rFonts w:ascii="Times New Roman" w:hAnsi="Times New Roman" w:cs="Times New Roman"/>
        </w:rPr>
        <w:t>). Mathematically, this theory can be expressed as shown in equation 2:</w:t>
      </w:r>
    </w:p>
    <w:p w14:paraId="40B7C4A6" w14:textId="05D9B821" w:rsidR="00F17E87" w:rsidRPr="005C5184" w:rsidRDefault="00F17E87"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                           </w:t>
      </w:r>
      <w:r w:rsidR="0058616D" w:rsidRPr="005C5184">
        <w:rPr>
          <w:rFonts w:ascii="Times New Roman" w:eastAsiaTheme="minorEastAsia" w:hAnsi="Times New Roman" w:cs="Times New Roman"/>
        </w:rPr>
        <w:t xml:space="preserve">    </w:t>
      </w:r>
      <w:r w:rsidRPr="005C51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Ε</m:t>
            </m:r>
          </m:e>
          <m:sub>
            <m:r>
              <w:rPr>
                <w:rFonts w:ascii="Cambria Math" w:hAnsi="Cambria Math" w:cs="Times New Roman"/>
              </w:rPr>
              <m:t>t</m:t>
            </m:r>
          </m:sub>
        </m:sSub>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sidRPr="005C5184">
        <w:rPr>
          <w:rFonts w:ascii="Times New Roman" w:eastAsiaTheme="minorEastAsia" w:hAnsi="Times New Roman" w:cs="Times New Roman"/>
        </w:rPr>
        <w:t xml:space="preserve">                 </w:t>
      </w:r>
      <m:oMath>
        <m:r>
          <w:rPr>
            <w:rFonts w:ascii="Cambria Math" w:eastAsiaTheme="minorEastAsia" w:hAnsi="Cambria Math" w:cs="Times New Roman"/>
          </w:rPr>
          <m:t>(2)</m:t>
        </m:r>
      </m:oMath>
    </w:p>
    <w:p w14:paraId="1129D40B" w14:textId="15C1289E" w:rsidR="00F17E87" w:rsidRPr="005C5184" w:rsidRDefault="00F17E87" w:rsidP="00AC6F4F">
      <w:pPr>
        <w:spacing w:line="276" w:lineRule="auto"/>
        <w:jc w:val="both"/>
        <w:rPr>
          <w:rFonts w:ascii="Times New Roman" w:eastAsiaTheme="minorEastAsia" w:hAnsi="Times New Roman" w:cs="Times New Roman"/>
        </w:rPr>
      </w:pPr>
      <w:r w:rsidRPr="005C5184">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oMath>
      <w:r w:rsidRPr="005C5184">
        <w:rPr>
          <w:rFonts w:ascii="Times New Roman" w:eastAsiaTheme="minorEastAsia" w:hAnsi="Times New Roman" w:cs="Times New Roman"/>
        </w:rPr>
        <w:t xml:space="preserve"> represents the actual inflation, </w:t>
      </w:r>
      <m:oMath>
        <m:sSub>
          <m:sSubPr>
            <m:ctrlPr>
              <w:rPr>
                <w:rFonts w:ascii="Cambria Math" w:eastAsiaTheme="minorEastAsia" w:hAnsi="Cambria Math" w:cs="Times New Roman"/>
                <w:i/>
              </w:rPr>
            </m:ctrlPr>
          </m:sSubPr>
          <m:e>
            <m:r>
              <m:rPr>
                <m:sty m:val="p"/>
              </m:rPr>
              <w:rPr>
                <w:rFonts w:ascii="Cambria Math" w:eastAsiaTheme="minorEastAsia" w:hAnsi="Cambria Math" w:cs="Times New Roman"/>
              </w:rPr>
              <m:t>Ε</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refers to the expected inflation for </w:t>
      </w:r>
      <w:r w:rsidR="00A86E6C" w:rsidRPr="005C5184">
        <w:rPr>
          <w:rFonts w:ascii="Times New Roman" w:eastAsiaTheme="minorEastAsia" w:hAnsi="Times New Roman" w:cs="Times New Roman"/>
        </w:rPr>
        <w:t xml:space="preserve">a </w:t>
      </w:r>
      <w:r w:rsidRPr="005C5184">
        <w:rPr>
          <w:rFonts w:ascii="Times New Roman" w:eastAsiaTheme="minorEastAsia" w:hAnsi="Times New Roman" w:cs="Times New Roman"/>
        </w:rPr>
        <w:t xml:space="preserve">time </w:t>
      </w:r>
      <m:oMath>
        <m:r>
          <w:rPr>
            <w:rFonts w:ascii="Cambria Math" w:eastAsiaTheme="minorEastAsia" w:hAnsi="Cambria Math" w:cs="Times New Roman"/>
          </w:rPr>
          <m:t>t+1</m:t>
        </m:r>
      </m:oMath>
      <w:r w:rsidRPr="005C5184">
        <w:rPr>
          <w:rFonts w:ascii="Times New Roman" w:eastAsiaTheme="minorEastAsia" w:hAnsi="Times New Roman" w:cs="Times New Roman"/>
        </w:rPr>
        <w:t xml:space="preserve"> formed at time </w:t>
      </w:r>
      <m:oMath>
        <m:r>
          <w:rPr>
            <w:rFonts w:ascii="Cambria Math" w:eastAsiaTheme="minorEastAsia" w:hAnsi="Cambria Math" w:cs="Times New Roman"/>
          </w:rPr>
          <m:t>t</m:t>
        </m:r>
      </m:oMath>
      <w:r w:rsidRPr="005C5184">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represents the shock to inflation.</w:t>
      </w:r>
    </w:p>
    <w:p w14:paraId="2B34A965" w14:textId="021DCE24" w:rsidR="00A86E6C" w:rsidRPr="005C5184" w:rsidRDefault="00A86E6C" w:rsidP="00AB0E6A">
      <w:pPr>
        <w:spacing w:line="276" w:lineRule="auto"/>
        <w:ind w:firstLine="720"/>
        <w:jc w:val="both"/>
        <w:rPr>
          <w:rFonts w:ascii="Times New Roman" w:hAnsi="Times New Roman" w:cs="Times New Roman"/>
        </w:rPr>
      </w:pPr>
      <w:r w:rsidRPr="005C5184">
        <w:rPr>
          <w:rFonts w:ascii="Times New Roman" w:hAnsi="Times New Roman" w:cs="Times New Roman"/>
        </w:rPr>
        <w:t>Muth (1961) and later Sargent &amp; Wallace (1975) argued that targeting inflation insulates inflation from skyrocketing amidst shocks. Specifically, the theory asserts that when expectations are well-anchored</w:t>
      </w:r>
      <w:r w:rsidRPr="005C5184">
        <w:rPr>
          <w:rStyle w:val="FootnoteReference"/>
          <w:rFonts w:ascii="Times New Roman" w:hAnsi="Times New Roman" w:cs="Times New Roman"/>
        </w:rPr>
        <w:footnoteReference w:id="2"/>
      </w:r>
      <w:r w:rsidRPr="005C5184">
        <w:rPr>
          <w:rFonts w:ascii="Times New Roman" w:hAnsi="Times New Roman" w:cs="Times New Roman"/>
        </w:rPr>
        <w:t>, even short-term supply shocks do not translate into sustained inflation increases.</w:t>
      </w:r>
    </w:p>
    <w:p w14:paraId="2DB9F267" w14:textId="212EE8FC" w:rsidR="00F17E87" w:rsidRPr="005C5184" w:rsidRDefault="00004641" w:rsidP="00AC6F4F">
      <w:pPr>
        <w:spacing w:line="276" w:lineRule="auto"/>
        <w:jc w:val="both"/>
        <w:rPr>
          <w:rFonts w:ascii="Times New Roman" w:hAnsi="Times New Roman" w:cs="Times New Roman"/>
        </w:rPr>
      </w:pPr>
      <w:r>
        <w:rPr>
          <w:rFonts w:ascii="Times New Roman" w:hAnsi="Times New Roman" w:cs="Times New Roman"/>
          <w:b/>
          <w:bCs/>
        </w:rPr>
        <w:lastRenderedPageBreak/>
        <w:t xml:space="preserve">              </w:t>
      </w:r>
      <w:r w:rsidR="00F9528A" w:rsidRPr="005C5184">
        <w:rPr>
          <w:rFonts w:ascii="Times New Roman" w:hAnsi="Times New Roman" w:cs="Times New Roman"/>
          <w:b/>
          <w:bCs/>
        </w:rPr>
        <w:t>2.1.3 The Taylor Rule and Interest Rate Policy</w:t>
      </w:r>
    </w:p>
    <w:p w14:paraId="0C365191" w14:textId="5FB1B408" w:rsidR="00A86E6C" w:rsidRPr="005C5184" w:rsidRDefault="00B802C8" w:rsidP="00AB0E6A">
      <w:pPr>
        <w:spacing w:line="276" w:lineRule="auto"/>
        <w:ind w:firstLine="630"/>
        <w:jc w:val="both"/>
        <w:rPr>
          <w:rFonts w:ascii="Times New Roman" w:hAnsi="Times New Roman" w:cs="Times New Roman"/>
        </w:rPr>
      </w:pPr>
      <w:r w:rsidRPr="005C5184">
        <w:rPr>
          <w:rFonts w:ascii="Times New Roman" w:hAnsi="Times New Roman" w:cs="Times New Roman"/>
        </w:rPr>
        <w:t xml:space="preserve">The </w:t>
      </w:r>
      <w:bookmarkStart w:id="4" w:name="_Hlk202348784"/>
      <w:r w:rsidRPr="005C5184">
        <w:rPr>
          <w:rFonts w:ascii="Times New Roman" w:hAnsi="Times New Roman" w:cs="Times New Roman"/>
        </w:rPr>
        <w:t>Taylor Rule</w:t>
      </w:r>
      <w:r w:rsidR="00D653A2" w:rsidRPr="005C5184">
        <w:rPr>
          <w:rFonts w:ascii="Times New Roman" w:hAnsi="Times New Roman" w:cs="Times New Roman"/>
        </w:rPr>
        <w:t xml:space="preserve"> (1993)</w:t>
      </w:r>
      <w:r w:rsidRPr="005C5184">
        <w:rPr>
          <w:rFonts w:ascii="Times New Roman" w:hAnsi="Times New Roman" w:cs="Times New Roman"/>
        </w:rPr>
        <w:t xml:space="preserve"> </w:t>
      </w:r>
      <w:bookmarkEnd w:id="4"/>
      <w:r w:rsidRPr="005C5184">
        <w:rPr>
          <w:rFonts w:ascii="Times New Roman" w:hAnsi="Times New Roman" w:cs="Times New Roman"/>
        </w:rPr>
        <w:t xml:space="preserve">describes how central banks adjust interest rates in response to deviations from set inflation and output goals. This principle is often </w:t>
      </w:r>
      <w:proofErr w:type="spellStart"/>
      <w:r w:rsidRPr="005C5184">
        <w:rPr>
          <w:rFonts w:ascii="Times New Roman" w:hAnsi="Times New Roman" w:cs="Times New Roman"/>
        </w:rPr>
        <w:t>utilised</w:t>
      </w:r>
      <w:proofErr w:type="spellEnd"/>
      <w:r w:rsidRPr="005C5184">
        <w:rPr>
          <w:rFonts w:ascii="Times New Roman" w:hAnsi="Times New Roman" w:cs="Times New Roman"/>
        </w:rPr>
        <w:t xml:space="preserve"> in inflation-targeting strategies. The Taylor Rule Equation can be expressed as shown in equation 3:</w:t>
      </w:r>
    </w:p>
    <w:p w14:paraId="2CC1EF57" w14:textId="156BA591" w:rsidR="00B802C8" w:rsidRPr="005C5184" w:rsidRDefault="00D90219"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+α</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r>
          <w:rPr>
            <w:rFonts w:ascii="Cambria Math" w:hAnsi="Cambria Math" w:cs="Times New Roman"/>
          </w:rPr>
          <m:t>+β</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r>
          <w:rPr>
            <w:rFonts w:ascii="Cambria Math" w:hAnsi="Cambria Math" w:cs="Times New Roman"/>
          </w:rPr>
          <m:t xml:space="preserve">      </m:t>
        </m:r>
      </m:oMath>
      <w:r w:rsidRPr="005C5184">
        <w:rPr>
          <w:rFonts w:ascii="Times New Roman" w:eastAsiaTheme="minorEastAsia" w:hAnsi="Times New Roman" w:cs="Times New Roman"/>
        </w:rPr>
        <w:t xml:space="preserve"> </w:t>
      </w:r>
      <m:oMath>
        <m:r>
          <w:rPr>
            <w:rFonts w:ascii="Cambria Math" w:eastAsiaTheme="minorEastAsia" w:hAnsi="Cambria Math" w:cs="Times New Roman"/>
          </w:rPr>
          <m:t>(3)</m:t>
        </m:r>
      </m:oMath>
    </w:p>
    <w:p w14:paraId="2EA0E736" w14:textId="43FF18E2" w:rsidR="00B802C8" w:rsidRPr="005C5184" w:rsidRDefault="00687A6B" w:rsidP="00AC6F4F">
      <w:pPr>
        <w:spacing w:line="276" w:lineRule="auto"/>
        <w:jc w:val="both"/>
        <w:rPr>
          <w:rFonts w:ascii="Times New Roman" w:eastAsiaTheme="minorEastAsia" w:hAnsi="Times New Roman" w:cs="Times New Roman"/>
        </w:rPr>
      </w:pPr>
      <w:r w:rsidRPr="005C5184">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oMath>
      <w:r w:rsidRPr="005C5184">
        <w:rPr>
          <w:rFonts w:ascii="Times New Roman" w:eastAsiaTheme="minorEastAsia" w:hAnsi="Times New Roman" w:cs="Times New Roman"/>
        </w:rPr>
        <w:t xml:space="preserve"> denotes nominal interest rate,</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oMath>
      <w:r w:rsidRPr="005C5184">
        <w:rPr>
          <w:rFonts w:ascii="Times New Roman" w:eastAsiaTheme="minorEastAsia" w:hAnsi="Times New Roman" w:cs="Times New Roman"/>
        </w:rPr>
        <w:t xml:space="preserve"> denotes the real equilibrium interest rate,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oMath>
      <w:r w:rsidRPr="005C5184">
        <w:rPr>
          <w:rFonts w:ascii="Times New Roman" w:eastAsiaTheme="minorEastAsia" w:hAnsi="Times New Roman" w:cs="Times New Roman"/>
        </w:rPr>
        <w:t xml:space="preserve"> is the current inflation, </w:t>
      </w:r>
      <m:oMath>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oMath>
      <w:r w:rsidRPr="005C5184">
        <w:rPr>
          <w:rFonts w:ascii="Times New Roman" w:eastAsiaTheme="minorEastAsia" w:hAnsi="Times New Roman" w:cs="Times New Roman"/>
        </w:rPr>
        <w:t xml:space="preserve"> is </w:t>
      </w:r>
      <w:r w:rsidR="00D653A2"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inflation target,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oMath>
      <w:r w:rsidRPr="005C5184">
        <w:rPr>
          <w:rFonts w:ascii="Times New Roman" w:eastAsiaTheme="minorEastAsia" w:hAnsi="Times New Roman" w:cs="Times New Roman"/>
        </w:rPr>
        <w:t xml:space="preserve"> denotes the output gap</w:t>
      </w:r>
      <w:r w:rsidR="00D653A2" w:rsidRPr="005C5184">
        <w:rPr>
          <w:rFonts w:ascii="Times New Roman" w:eastAsiaTheme="minorEastAsia" w:hAnsi="Times New Roman" w:cs="Times New Roman"/>
        </w:rPr>
        <w:t xml:space="preserve">, </w:t>
      </w:r>
      <m:oMath>
        <m:r>
          <w:rPr>
            <w:rFonts w:ascii="Cambria Math" w:eastAsiaTheme="minorEastAsia" w:hAnsi="Cambria Math" w:cs="Times New Roman"/>
          </w:rPr>
          <m:t>α,β</m:t>
        </m:r>
      </m:oMath>
      <w:r w:rsidR="00D653A2" w:rsidRPr="005C5184">
        <w:rPr>
          <w:rFonts w:ascii="Times New Roman" w:eastAsiaTheme="minorEastAsia" w:hAnsi="Times New Roman" w:cs="Times New Roman"/>
        </w:rPr>
        <w:t xml:space="preserve"> are weights on inflation and output stabilisation. This theory or rule asserts that, under inflation targeting, the Central Bank sets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t</m:t>
            </m:r>
          </m:sub>
        </m:sSub>
      </m:oMath>
      <w:r w:rsidR="00D653A2" w:rsidRPr="005C5184">
        <w:rPr>
          <w:rFonts w:ascii="Times New Roman" w:eastAsiaTheme="minorEastAsia" w:hAnsi="Times New Roman" w:cs="Times New Roman"/>
        </w:rPr>
        <w:t xml:space="preserve"> such that inflation converges to </w:t>
      </w:r>
      <m:oMath>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m:t>
            </m:r>
          </m:sup>
        </m:sSup>
      </m:oMath>
      <w:r w:rsidR="00D653A2" w:rsidRPr="005C5184">
        <w:rPr>
          <w:rFonts w:ascii="Times New Roman" w:eastAsiaTheme="minorEastAsia" w:hAnsi="Times New Roman" w:cs="Times New Roman"/>
        </w:rPr>
        <w:t xml:space="preserve"> over time (Taylor, 1993; </w:t>
      </w:r>
      <w:r w:rsidR="00D653A2" w:rsidRPr="005C5184">
        <w:rPr>
          <w:rStyle w:val="Strong"/>
          <w:rFonts w:ascii="Times New Roman" w:hAnsi="Times New Roman" w:cs="Times New Roman"/>
          <w:b w:val="0"/>
          <w:bCs w:val="0"/>
        </w:rPr>
        <w:t>Bernanke et al.,1999</w:t>
      </w:r>
      <w:r w:rsidR="00D653A2" w:rsidRPr="005C5184">
        <w:rPr>
          <w:rStyle w:val="Strong"/>
          <w:rFonts w:ascii="Times New Roman" w:hAnsi="Times New Roman" w:cs="Times New Roman"/>
        </w:rPr>
        <w:t>)</w:t>
      </w:r>
      <w:r w:rsidR="00D653A2" w:rsidRPr="005C5184">
        <w:rPr>
          <w:rFonts w:ascii="Times New Roman" w:hAnsi="Times New Roman" w:cs="Times New Roman"/>
        </w:rPr>
        <w:t xml:space="preserve"> </w:t>
      </w:r>
    </w:p>
    <w:p w14:paraId="48F78B78" w14:textId="77777777" w:rsidR="00004641" w:rsidRDefault="00D653A2" w:rsidP="00004641">
      <w:pPr>
        <w:spacing w:after="0" w:line="276" w:lineRule="auto"/>
        <w:jc w:val="both"/>
        <w:rPr>
          <w:rFonts w:ascii="Times New Roman" w:hAnsi="Times New Roman" w:cs="Times New Roman"/>
          <w:b/>
          <w:bCs/>
        </w:rPr>
      </w:pPr>
      <w:r w:rsidRPr="005C5184">
        <w:rPr>
          <w:rFonts w:ascii="Times New Roman" w:hAnsi="Times New Roman" w:cs="Times New Roman"/>
          <w:b/>
          <w:bCs/>
        </w:rPr>
        <w:t>2.3 Empirical Literature Review-Inflation Targeting in Zambia (2015-2024)</w:t>
      </w:r>
      <w:r w:rsidR="00004641">
        <w:rPr>
          <w:rFonts w:ascii="Times New Roman" w:hAnsi="Times New Roman" w:cs="Times New Roman"/>
          <w:b/>
          <w:bCs/>
        </w:rPr>
        <w:t xml:space="preserve"> </w:t>
      </w:r>
    </w:p>
    <w:p w14:paraId="714AE4B6" w14:textId="77777777" w:rsidR="00AB0E6A" w:rsidRDefault="00EB3C64"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Inflation targeting (IT) has become increasingly popular in emerging and developing economies as a strategy to </w:t>
      </w:r>
      <w:proofErr w:type="spellStart"/>
      <w:r w:rsidRPr="005C5184">
        <w:rPr>
          <w:rFonts w:ascii="Times New Roman" w:eastAsia="Times New Roman" w:hAnsi="Times New Roman" w:cs="Times New Roman"/>
          <w:kern w:val="0"/>
          <w14:ligatures w14:val="none"/>
        </w:rPr>
        <w:t>stabilise</w:t>
      </w:r>
      <w:proofErr w:type="spellEnd"/>
      <w:r w:rsidRPr="005C5184">
        <w:rPr>
          <w:rFonts w:ascii="Times New Roman" w:eastAsia="Times New Roman" w:hAnsi="Times New Roman" w:cs="Times New Roman"/>
          <w:kern w:val="0"/>
          <w14:ligatures w14:val="none"/>
        </w:rPr>
        <w:t xml:space="preserve"> inflation expectations and enhance macroeconomic stability. The implementation of inflation targeting in Zambia was aimed at demonstrating a commitment to maintaining price stability and establishing policy credibility. Nevertheless, both empirical and policy-focused research indicate mixed results. This section outlines a literature review about inflation targeting and its significant contributions from Zambian and regional literature from 2015 to 2024.</w:t>
      </w:r>
      <w:r w:rsidR="00AB0E6A">
        <w:rPr>
          <w:rFonts w:ascii="Times New Roman" w:eastAsia="Times New Roman" w:hAnsi="Times New Roman" w:cs="Times New Roman"/>
          <w:kern w:val="0"/>
          <w14:ligatures w14:val="none"/>
        </w:rPr>
        <w:t xml:space="preserve"> </w:t>
      </w:r>
    </w:p>
    <w:p w14:paraId="08B90459" w14:textId="6AE849AB" w:rsidR="00F62BCD" w:rsidRPr="00BA3D35" w:rsidRDefault="00F62BCD" w:rsidP="00AB0E6A">
      <w:pPr>
        <w:spacing w:after="0" w:line="276" w:lineRule="auto"/>
        <w:ind w:firstLine="720"/>
        <w:jc w:val="both"/>
        <w:rPr>
          <w:rFonts w:ascii="Times New Roman" w:eastAsia="Times New Roman" w:hAnsi="Times New Roman" w:cs="Times New Roman"/>
          <w:kern w:val="0"/>
          <w14:ligatures w14:val="none"/>
        </w:rPr>
      </w:pPr>
      <w:r w:rsidRPr="00BA3D35">
        <w:rPr>
          <w:rFonts w:ascii="Times New Roman" w:hAnsi="Times New Roman" w:cs="Times New Roman"/>
        </w:rPr>
        <w:t>Mwange (2022) utilizes quarterly time-series data and applies Johansen cointegration, an Error Correction Model (ECM), and Granger causality tests to investigate the impact of various monetary policy instruments on Zambia's economic growth. The findings indicate that elevated lending rates and inflation adversely affect GDP growth, while exchange rates and deposit rates contribute positively. Additionally, the research reveals that an increase in private sector credit correlates negatively with growth, implying that credit expansion can occasionally be counterproductive. The results affirm that Zambia possesses effective monetary policy transmission channels, especially through the exchange rate and credit mechanisms. Mwange advises policymakers to meticulously regulate interest rates and inflation, maintain stable exchange rate policies, and enhance the efficiency of the credit sector to foster sustainable economic growth.</w:t>
      </w:r>
    </w:p>
    <w:p w14:paraId="3BC316BF" w14:textId="4CA5B2D5" w:rsidR="00AB0E6A" w:rsidRDefault="00B01FBF"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w:t>
      </w:r>
      <w:r w:rsidR="00EB3C64" w:rsidRPr="005C5184">
        <w:rPr>
          <w:rFonts w:ascii="Times New Roman" w:eastAsia="Times New Roman" w:hAnsi="Times New Roman" w:cs="Times New Roman"/>
          <w:kern w:val="0"/>
          <w14:ligatures w14:val="none"/>
        </w:rPr>
        <w:t xml:space="preserve"> </w:t>
      </w:r>
      <w:bookmarkStart w:id="5" w:name="_Hlk202344349"/>
      <w:proofErr w:type="spellStart"/>
      <w:r w:rsidR="00EB3C64" w:rsidRPr="005C5184">
        <w:rPr>
          <w:rFonts w:ascii="Times New Roman" w:eastAsia="Times New Roman" w:hAnsi="Times New Roman" w:cs="Times New Roman"/>
          <w:kern w:val="0"/>
          <w14:ligatures w14:val="none"/>
        </w:rPr>
        <w:t>Chileshe</w:t>
      </w:r>
      <w:proofErr w:type="spellEnd"/>
      <w:r w:rsidR="0080020A" w:rsidRPr="005C5184">
        <w:rPr>
          <w:rFonts w:ascii="Times New Roman" w:eastAsia="Times New Roman" w:hAnsi="Times New Roman" w:cs="Times New Roman"/>
          <w:kern w:val="0"/>
          <w14:ligatures w14:val="none"/>
        </w:rPr>
        <w:t xml:space="preserve">, </w:t>
      </w:r>
      <w:proofErr w:type="spellStart"/>
      <w:r w:rsidR="0080020A" w:rsidRPr="005C5184">
        <w:rPr>
          <w:rFonts w:ascii="Times New Roman" w:eastAsia="Times New Roman" w:hAnsi="Times New Roman" w:cs="Times New Roman"/>
          <w:kern w:val="0"/>
          <w14:ligatures w14:val="none"/>
        </w:rPr>
        <w:t>etal</w:t>
      </w:r>
      <w:proofErr w:type="spellEnd"/>
      <w:r w:rsidR="0080020A" w:rsidRPr="005C5184">
        <w:rPr>
          <w:rFonts w:ascii="Times New Roman" w:eastAsia="Times New Roman" w:hAnsi="Times New Roman" w:cs="Times New Roman"/>
          <w:kern w:val="0"/>
          <w14:ligatures w14:val="none"/>
        </w:rPr>
        <w:t>.</w:t>
      </w:r>
      <w:r w:rsidR="00EB3C64" w:rsidRPr="005C5184">
        <w:rPr>
          <w:rFonts w:ascii="Times New Roman" w:eastAsia="Times New Roman" w:hAnsi="Times New Roman" w:cs="Times New Roman"/>
          <w:kern w:val="0"/>
          <w14:ligatures w14:val="none"/>
        </w:rPr>
        <w:t xml:space="preserve"> (2018) </w:t>
      </w:r>
      <w:bookmarkEnd w:id="5"/>
      <w:r w:rsidR="00EB3C64" w:rsidRPr="005C5184">
        <w:rPr>
          <w:rFonts w:ascii="Times New Roman" w:eastAsia="Times New Roman" w:hAnsi="Times New Roman" w:cs="Times New Roman"/>
          <w:kern w:val="0"/>
          <w14:ligatures w14:val="none"/>
        </w:rPr>
        <w:t>did a study titled “Fiscal Dominance and Inflation Instability in Zambia.”  This study focused on the structural misalignment between Zambia's fiscal policy and monetary goals.  Chileshe</w:t>
      </w:r>
      <w:r w:rsidR="0080020A" w:rsidRPr="005C5184">
        <w:rPr>
          <w:rFonts w:ascii="Times New Roman" w:eastAsia="Times New Roman" w:hAnsi="Times New Roman" w:cs="Times New Roman"/>
          <w:kern w:val="0"/>
          <w14:ligatures w14:val="none"/>
        </w:rPr>
        <w:t>, et. al.</w:t>
      </w:r>
      <w:r w:rsidR="00EB3C64" w:rsidRPr="005C5184">
        <w:rPr>
          <w:rFonts w:ascii="Times New Roman" w:eastAsia="Times New Roman" w:hAnsi="Times New Roman" w:cs="Times New Roman"/>
          <w:kern w:val="0"/>
          <w14:ligatures w14:val="none"/>
        </w:rPr>
        <w:t xml:space="preserve"> (2018) discovered that inflation targeting was frequently undermined by ongoing fiscal deficits, which resulted in heightened domestic borrowing and pressures for </w:t>
      </w:r>
      <w:r w:rsidR="00CC5A1D" w:rsidRPr="005C5184">
        <w:rPr>
          <w:rFonts w:ascii="Times New Roman" w:eastAsia="Times New Roman" w:hAnsi="Times New Roman" w:cs="Times New Roman"/>
          <w:kern w:val="0"/>
          <w14:ligatures w14:val="none"/>
        </w:rPr>
        <w:t>monetization</w:t>
      </w:r>
      <w:r w:rsidR="00EB3C64" w:rsidRPr="005C5184">
        <w:rPr>
          <w:rFonts w:ascii="Times New Roman" w:eastAsia="Times New Roman" w:hAnsi="Times New Roman" w:cs="Times New Roman"/>
          <w:kern w:val="0"/>
          <w14:ligatures w14:val="none"/>
        </w:rPr>
        <w:t>. Through regression analysis of inflation determinants, the study concluded that fiscal dominance weakened the efficacy of IT, particularly during times of global commodity price fluctuations. Key insight derived from this study is that inflation targeting alone is inadequate when fiscal policy is expansive and poorly aligned with the monetary authorities' objectives.</w:t>
      </w:r>
      <w:r w:rsidR="00AB0E6A">
        <w:rPr>
          <w:rFonts w:ascii="Times New Roman" w:eastAsia="Times New Roman" w:hAnsi="Times New Roman" w:cs="Times New Roman"/>
          <w:kern w:val="0"/>
          <w14:ligatures w14:val="none"/>
        </w:rPr>
        <w:t xml:space="preserve"> </w:t>
      </w:r>
      <w:bookmarkStart w:id="6" w:name="_Hlk202344369"/>
    </w:p>
    <w:p w14:paraId="032915FB" w14:textId="3A4A0E93" w:rsidR="000B5BBC" w:rsidRDefault="00501DB3" w:rsidP="00AB0E6A">
      <w:pPr>
        <w:spacing w:after="0" w:line="276" w:lineRule="auto"/>
        <w:ind w:firstLine="720"/>
        <w:jc w:val="both"/>
        <w:rPr>
          <w:rFonts w:ascii="Times New Roman" w:eastAsia="Times New Roman" w:hAnsi="Times New Roman" w:cs="Times New Roman"/>
          <w:kern w:val="0"/>
          <w14:ligatures w14:val="none"/>
        </w:rPr>
      </w:pPr>
      <w:r w:rsidRPr="009647EB">
        <w:rPr>
          <w:rFonts w:ascii="Times New Roman" w:eastAsia="Times New Roman" w:hAnsi="Times New Roman" w:cs="Times New Roman"/>
          <w:kern w:val="0"/>
          <w:highlight w:val="yellow"/>
          <w14:ligatures w14:val="none"/>
        </w:rPr>
        <w:t xml:space="preserve">Duke et al. (2024) examine the impact of incorporating the exchange rate into a Taylor-type policy rule on the effectiveness of monetary policy guidance for a small open African economy, specifically focusing on Nigeria as the main case study and using South Africa for comparative analysis. Utilizing quarterly data from 2010Q1 to 2023Q2 and employing Dynamic OLS estimation techniques, they assess both the traditional Taylor rule and an enhanced version that integrates the nominal effective exchange rate, with forecast evaluations conducted using RMSE, MAE, MAPE, and Theil’s index. The findings indicate that inflation, the output gap, and policy inertia are significant determinants of the policy rate in both models, whereas the effects of the exchange rate are notable in Nigeria but not in South </w:t>
      </w:r>
      <w:proofErr w:type="spellStart"/>
      <w:r w:rsidRPr="009647EB">
        <w:rPr>
          <w:rFonts w:ascii="Times New Roman" w:eastAsia="Times New Roman" w:hAnsi="Times New Roman" w:cs="Times New Roman"/>
          <w:kern w:val="0"/>
          <w:highlight w:val="yellow"/>
          <w14:ligatures w14:val="none"/>
        </w:rPr>
        <w:t>Africa</w:t>
      </w:r>
      <w:r w:rsidR="000B5BBC">
        <w:rPr>
          <w:rFonts w:ascii="Times New Roman" w:eastAsia="Times New Roman" w:hAnsi="Times New Roman" w:cs="Times New Roman"/>
          <w:kern w:val="0"/>
          <w:highlight w:val="yellow"/>
          <w14:ligatures w14:val="none"/>
        </w:rPr>
        <w:t>.A</w:t>
      </w:r>
      <w:r w:rsidRPr="009647EB">
        <w:rPr>
          <w:rFonts w:ascii="Times New Roman" w:eastAsia="Times New Roman" w:hAnsi="Times New Roman" w:cs="Times New Roman"/>
          <w:kern w:val="0"/>
          <w:highlight w:val="yellow"/>
          <w14:ligatures w14:val="none"/>
        </w:rPr>
        <w:t>dditionally</w:t>
      </w:r>
      <w:proofErr w:type="spellEnd"/>
      <w:r w:rsidRPr="009647EB">
        <w:rPr>
          <w:rFonts w:ascii="Times New Roman" w:eastAsia="Times New Roman" w:hAnsi="Times New Roman" w:cs="Times New Roman"/>
          <w:kern w:val="0"/>
          <w:highlight w:val="yellow"/>
          <w14:ligatures w14:val="none"/>
        </w:rPr>
        <w:t xml:space="preserve">, </w:t>
      </w:r>
      <w:r w:rsidRPr="009647EB">
        <w:rPr>
          <w:rFonts w:ascii="Times New Roman" w:eastAsia="Times New Roman" w:hAnsi="Times New Roman" w:cs="Times New Roman"/>
          <w:kern w:val="0"/>
          <w:highlight w:val="yellow"/>
          <w14:ligatures w14:val="none"/>
        </w:rPr>
        <w:lastRenderedPageBreak/>
        <w:t>the augmented model demonstrates a superior fit and reduced forecast errors. The authors advocate for the Central Bank of Nigeria to integrate exchange-rate factors into its policy framework to enhance transparency, credibility, and stabilization outcomes. They also emphasize the necessity of precise output-gap assessments, vigilant observation of exchange-rate fluctuations, and gradual policy modifications to mitigate unnecessary volatility.</w:t>
      </w:r>
    </w:p>
    <w:p w14:paraId="4BB535E8" w14:textId="37B0D22E" w:rsidR="000B5BBC" w:rsidRDefault="000B5BBC" w:rsidP="00AB0E6A">
      <w:pPr>
        <w:spacing w:after="0" w:line="276" w:lineRule="auto"/>
        <w:ind w:firstLine="720"/>
        <w:jc w:val="both"/>
        <w:rPr>
          <w:rFonts w:ascii="Times New Roman" w:eastAsia="Times New Roman" w:hAnsi="Times New Roman" w:cs="Times New Roman"/>
          <w:kern w:val="0"/>
          <w14:ligatures w14:val="none"/>
        </w:rPr>
      </w:pPr>
      <w:r w:rsidRPr="000B5BBC">
        <w:t xml:space="preserve"> </w:t>
      </w:r>
      <w:r w:rsidRPr="000B5BBC">
        <w:rPr>
          <w:rFonts w:ascii="Times New Roman" w:hAnsi="Times New Roman" w:cs="Times New Roman"/>
          <w:highlight w:val="yellow"/>
        </w:rPr>
        <w:t>du Rand et al. (2021) employ text-mining techniques on public speeches and Monetary Policy Committee (MPC) statements from the South African Reserve Bank (SARB) covering the years 1994 to 2020 to examine the evolution of its communication over time. Their analysis centers on four key dimensions of communication: volume (the amount of information conveyed), complexity (the level of difficulty in comprehension), scope (the range of topics addressed), and sentiment (the tone, including optimism and pessimism). The results indicate that MPC statements generally maintain a narrow focus on the SARB’s primary mandate, whereas speeches encompass a wider array of topics, reflecting the evolution of thought and policy framing over time. Throughout the studied period, communication has increasingly aimed to mitigate uncertainty and enhance institutional credibility, although there are variations in complexity as newer technical terminology is introduced. They advise that central banks should prioritize clarity and consistency in their communication, utilize speeches and other public speaking platforms to provide contextual elaboration, and ensure that their communication fosters transparency to strengthen credibility and effectively manage public expectations</w:t>
      </w:r>
      <w:r>
        <w:t>.</w:t>
      </w:r>
    </w:p>
    <w:bookmarkEnd w:id="6"/>
    <w:p w14:paraId="5E0B2464" w14:textId="33935F03" w:rsidR="00AB0E6A" w:rsidRDefault="009647EB" w:rsidP="00AB0E6A">
      <w:pPr>
        <w:spacing w:after="0" w:line="276" w:lineRule="auto"/>
        <w:ind w:firstLine="720"/>
        <w:jc w:val="both"/>
        <w:rPr>
          <w:rFonts w:ascii="Times New Roman" w:eastAsia="Times New Roman" w:hAnsi="Times New Roman" w:cs="Times New Roman"/>
          <w:kern w:val="0"/>
          <w14:ligatures w14:val="none"/>
        </w:rPr>
      </w:pPr>
      <w:r w:rsidRPr="009647EB">
        <w:rPr>
          <w:rFonts w:ascii="Times New Roman" w:eastAsia="Times New Roman" w:hAnsi="Times New Roman" w:cs="Times New Roman"/>
          <w:kern w:val="0"/>
          <w:highlight w:val="yellow"/>
          <w14:ligatures w14:val="none"/>
        </w:rPr>
        <w:t>Chipili (2021) examines the inflation dynamics in Zambia by utilizing quarterly data spanning from 1994 to 2019, employing an error-correction model that distinguishes between food and non-food inflation. The research concludes that, over the long term, fluctuations in the exchange rate and global producer prices serve as the primary catalysts for inflation. In the short term, factors such as currency depreciation, energy costs, maize price shocks, and imported inflation from South Africa significantly impact inflation rates. Food inflation exhibits greater seasonality and is more susceptible to supply shocks, whereas non-food inflation is more responsive to monetary and energy-related variables. The study advocates for measures to stabilize the exchange rate, enhance domestic production capabilities, and implement agricultural reforms to diminish dependence on rain-fed agriculture and imports</w:t>
      </w:r>
      <w:r w:rsidRPr="009647EB">
        <w:rPr>
          <w:rFonts w:ascii="Times New Roman" w:eastAsia="Times New Roman" w:hAnsi="Times New Roman" w:cs="Times New Roman"/>
          <w:kern w:val="0"/>
          <w14:ligatures w14:val="none"/>
        </w:rPr>
        <w:t>.</w:t>
      </w:r>
    </w:p>
    <w:p w14:paraId="04C22550" w14:textId="77777777" w:rsidR="00AB0E6A" w:rsidRDefault="0030406E"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International </w:t>
      </w:r>
      <w:proofErr w:type="spellStart"/>
      <w:r w:rsidRPr="005C5184">
        <w:rPr>
          <w:rFonts w:ascii="Times New Roman" w:eastAsia="Times New Roman" w:hAnsi="Times New Roman" w:cs="Times New Roman"/>
          <w:kern w:val="0"/>
          <w14:ligatures w14:val="none"/>
        </w:rPr>
        <w:t>organisations</w:t>
      </w:r>
      <w:proofErr w:type="spellEnd"/>
      <w:r w:rsidRPr="005C5184">
        <w:rPr>
          <w:rFonts w:ascii="Times New Roman" w:eastAsia="Times New Roman" w:hAnsi="Times New Roman" w:cs="Times New Roman"/>
          <w:kern w:val="0"/>
          <w14:ligatures w14:val="none"/>
        </w:rPr>
        <w:t xml:space="preserve"> have also contributed to the discussion regarding Zambia's inflation framework. </w:t>
      </w:r>
      <w:bookmarkStart w:id="7" w:name="_Hlk202348942"/>
      <w:r w:rsidRPr="005C5184">
        <w:rPr>
          <w:rFonts w:ascii="Times New Roman" w:eastAsia="Times New Roman" w:hAnsi="Times New Roman" w:cs="Times New Roman"/>
          <w:kern w:val="0"/>
          <w14:ligatures w14:val="none"/>
        </w:rPr>
        <w:t xml:space="preserve">The IMF (2024) </w:t>
      </w:r>
      <w:bookmarkEnd w:id="7"/>
      <w:r w:rsidRPr="005C5184">
        <w:rPr>
          <w:rFonts w:ascii="Times New Roman" w:eastAsia="Times New Roman" w:hAnsi="Times New Roman" w:cs="Times New Roman"/>
          <w:kern w:val="0"/>
          <w14:ligatures w14:val="none"/>
        </w:rPr>
        <w:t xml:space="preserve">remarked that "strict monetary policy by itself is insufficient to control inflation" unless it is accompanied by supportive fiscal and structural measures. </w:t>
      </w:r>
      <w:bookmarkStart w:id="8" w:name="_Hlk202348961"/>
      <w:r w:rsidRPr="005C5184">
        <w:rPr>
          <w:rFonts w:ascii="Times New Roman" w:eastAsia="Times New Roman" w:hAnsi="Times New Roman" w:cs="Times New Roman"/>
          <w:kern w:val="0"/>
          <w14:ligatures w14:val="none"/>
        </w:rPr>
        <w:t xml:space="preserve">The World Bank (2023) </w:t>
      </w:r>
      <w:bookmarkStart w:id="9" w:name="_Hlk202348980"/>
      <w:bookmarkEnd w:id="8"/>
      <w:r w:rsidRPr="005C5184">
        <w:rPr>
          <w:rFonts w:ascii="Times New Roman" w:eastAsia="Times New Roman" w:hAnsi="Times New Roman" w:cs="Times New Roman"/>
          <w:kern w:val="0"/>
          <w14:ligatures w14:val="none"/>
        </w:rPr>
        <w:t>highlighted that macro-fiscal discrepancies, such as subsidies and inadequate revenue generation, undermined the credibility of the inflation targeting (IT) regime.</w:t>
      </w:r>
      <w:bookmarkEnd w:id="9"/>
      <w:r w:rsidRPr="005C5184">
        <w:rPr>
          <w:rFonts w:ascii="Times New Roman" w:eastAsia="Times New Roman" w:hAnsi="Times New Roman" w:cs="Times New Roman"/>
          <w:kern w:val="0"/>
          <w14:ligatures w14:val="none"/>
        </w:rPr>
        <w:t xml:space="preserve"> Both the IMF (2024) and World Bank (2023) reports called for enhanced policy coordination and greater institutional autonomy. These studies posit that inflation targeting regime based on rules and operating independently must be bolstered by fiscal consolidation and resilience in the real sector.</w:t>
      </w:r>
      <w:r w:rsidR="00AB0E6A">
        <w:rPr>
          <w:rFonts w:ascii="Times New Roman" w:eastAsia="Times New Roman" w:hAnsi="Times New Roman" w:cs="Times New Roman"/>
          <w:kern w:val="0"/>
          <w14:ligatures w14:val="none"/>
        </w:rPr>
        <w:t xml:space="preserve"> </w:t>
      </w:r>
    </w:p>
    <w:p w14:paraId="355E7EA6" w14:textId="11FF78F6" w:rsidR="009F255C" w:rsidRDefault="0030406E"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w:t>
      </w:r>
      <w:r w:rsidR="009F255C" w:rsidRPr="005C5184">
        <w:rPr>
          <w:rFonts w:ascii="Times New Roman" w:eastAsia="Times New Roman" w:hAnsi="Times New Roman" w:cs="Times New Roman"/>
          <w:kern w:val="0"/>
          <w14:ligatures w14:val="none"/>
        </w:rPr>
        <w:t xml:space="preserve">In summary, the review of empirical literature reveals three main limitations or challenges </w:t>
      </w:r>
      <w:r w:rsidR="00337F94" w:rsidRPr="005C5184">
        <w:rPr>
          <w:rFonts w:ascii="Times New Roman" w:eastAsia="Times New Roman" w:hAnsi="Times New Roman" w:cs="Times New Roman"/>
          <w:kern w:val="0"/>
          <w14:ligatures w14:val="none"/>
        </w:rPr>
        <w:t>of implementing</w:t>
      </w:r>
      <w:r w:rsidR="009F255C" w:rsidRPr="005C5184">
        <w:rPr>
          <w:rFonts w:ascii="Times New Roman" w:eastAsia="Times New Roman" w:hAnsi="Times New Roman" w:cs="Times New Roman"/>
          <w:kern w:val="0"/>
          <w14:ligatures w14:val="none"/>
        </w:rPr>
        <w:t xml:space="preserve"> IT in Zambia from 2015-2024: The first limitation pertains to discrepancies in fiscal policy. This indicates that the persistent deficits and expenditures not included in the budget have constrained the efficacy of monetary policy (See, for instance, Mwansa and Phiri, 2020; Kalaluka, 2020). The second limitation is attributed to structural deficiencies. The underdeveloped nature of financial markets, elevated levels of informality, and dependence on external factors have weakened the transmission of the inflation targeting policy (See Chileshe, 2018). Lastly, trust deficits tend to erode the confidence of economic agents in the policy. The frequent inability to achieve targets has diminished public trust, although recent reforms suggest a possibility for rebuilding confidence (World Bank, 2023; IMF, 2024)</w:t>
      </w:r>
    </w:p>
    <w:p w14:paraId="290F746F" w14:textId="77777777" w:rsidR="00AB0E6A" w:rsidRPr="005C5184" w:rsidRDefault="00AB0E6A" w:rsidP="00AB0E6A">
      <w:pPr>
        <w:spacing w:after="0" w:line="276" w:lineRule="auto"/>
        <w:ind w:firstLine="720"/>
        <w:jc w:val="both"/>
        <w:rPr>
          <w:rFonts w:ascii="Times New Roman" w:eastAsia="Times New Roman" w:hAnsi="Times New Roman" w:cs="Times New Roman"/>
          <w:kern w:val="0"/>
          <w14:ligatures w14:val="none"/>
        </w:rPr>
      </w:pPr>
    </w:p>
    <w:p w14:paraId="58541492" w14:textId="1BA2A4F2" w:rsidR="007046D8" w:rsidRPr="005C5184" w:rsidRDefault="00DB5196" w:rsidP="00AB0E6A">
      <w:pPr>
        <w:pStyle w:val="ListParagraph"/>
        <w:numPr>
          <w:ilvl w:val="0"/>
          <w:numId w:val="1"/>
        </w:numPr>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METHODOLOGY AND DATA</w:t>
      </w:r>
    </w:p>
    <w:p w14:paraId="371191EC" w14:textId="1204D376" w:rsidR="00184EDE" w:rsidRPr="005C5184" w:rsidRDefault="00184EDE" w:rsidP="00AB0E6A">
      <w:pPr>
        <w:pStyle w:val="ListParagraph"/>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3.1 Data descriptions</w:t>
      </w:r>
    </w:p>
    <w:p w14:paraId="11592B7F" w14:textId="2E70CE78" w:rsidR="00DD3395" w:rsidRDefault="00A10BCF" w:rsidP="00AB0E6A">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Data was sourced from various reports</w:t>
      </w:r>
      <w:r w:rsidR="00706DC0" w:rsidRPr="005C5184">
        <w:rPr>
          <w:rFonts w:ascii="Times New Roman" w:eastAsia="Times New Roman" w:hAnsi="Times New Roman" w:cs="Times New Roman"/>
          <w:kern w:val="0"/>
          <w14:ligatures w14:val="none"/>
        </w:rPr>
        <w:t xml:space="preserve"> and databases.</w:t>
      </w:r>
      <w:r w:rsidR="006E0176" w:rsidRPr="005C5184">
        <w:rPr>
          <w:rFonts w:ascii="Times New Roman" w:eastAsia="Times New Roman" w:hAnsi="Times New Roman" w:cs="Times New Roman"/>
          <w:kern w:val="0"/>
          <w14:ligatures w14:val="none"/>
        </w:rPr>
        <w:t xml:space="preserve"> Specifically, t</w:t>
      </w:r>
      <w:r w:rsidR="00706DC0" w:rsidRPr="005C5184">
        <w:rPr>
          <w:rFonts w:ascii="Times New Roman" w:eastAsia="Times New Roman" w:hAnsi="Times New Roman" w:cs="Times New Roman"/>
          <w:kern w:val="0"/>
          <w14:ligatures w14:val="none"/>
        </w:rPr>
        <w:t>he time series</w:t>
      </w:r>
      <w:r w:rsidR="0058616D" w:rsidRPr="005C5184">
        <w:rPr>
          <w:rFonts w:ascii="Times New Roman" w:eastAsia="Times New Roman" w:hAnsi="Times New Roman" w:cs="Times New Roman"/>
          <w:kern w:val="0"/>
          <w14:ligatures w14:val="none"/>
        </w:rPr>
        <w:t xml:space="preserve"> secondary</w:t>
      </w:r>
      <w:r w:rsidR="006E0176" w:rsidRPr="005C5184">
        <w:rPr>
          <w:rFonts w:ascii="Times New Roman" w:eastAsia="Times New Roman" w:hAnsi="Times New Roman" w:cs="Times New Roman"/>
          <w:kern w:val="0"/>
          <w14:ligatures w14:val="none"/>
        </w:rPr>
        <w:t xml:space="preserve"> data for inflation (</w:t>
      </w:r>
      <w:r w:rsidR="00C356DD" w:rsidRPr="005C5184">
        <w:rPr>
          <w:rFonts w:ascii="Times New Roman" w:eastAsia="Times New Roman" w:hAnsi="Times New Roman" w:cs="Times New Roman"/>
          <w:kern w:val="0"/>
          <w14:ligatures w14:val="none"/>
        </w:rPr>
        <w:t xml:space="preserve">whose proxy is </w:t>
      </w:r>
      <w:r w:rsidR="006E0176" w:rsidRPr="005C5184">
        <w:rPr>
          <w:rFonts w:ascii="Times New Roman" w:eastAsia="Times New Roman" w:hAnsi="Times New Roman" w:cs="Times New Roman"/>
          <w:kern w:val="0"/>
          <w14:ligatures w14:val="none"/>
        </w:rPr>
        <w:t xml:space="preserve">consumer price index), target inflation and monetary policy rate (MPR, hereafter policy rate) in percentages were obtained from </w:t>
      </w:r>
      <w:r w:rsidR="00C356DD" w:rsidRPr="005C5184">
        <w:rPr>
          <w:rFonts w:ascii="Times New Roman" w:eastAsia="Times New Roman" w:hAnsi="Times New Roman" w:cs="Times New Roman"/>
          <w:kern w:val="0"/>
          <w14:ligatures w14:val="none"/>
        </w:rPr>
        <w:t xml:space="preserve">the </w:t>
      </w:r>
      <w:r w:rsidR="006E0176" w:rsidRPr="005C5184">
        <w:rPr>
          <w:rFonts w:ascii="Times New Roman" w:eastAsia="Times New Roman" w:hAnsi="Times New Roman" w:cs="Times New Roman"/>
          <w:kern w:val="0"/>
          <w14:ligatures w14:val="none"/>
        </w:rPr>
        <w:t>Bank of Zambia</w:t>
      </w:r>
      <w:r w:rsidR="009A4445" w:rsidRPr="005C5184">
        <w:rPr>
          <w:rFonts w:ascii="Times New Roman" w:eastAsia="Times New Roman" w:hAnsi="Times New Roman" w:cs="Times New Roman"/>
          <w:kern w:val="0"/>
          <w14:ligatures w14:val="none"/>
        </w:rPr>
        <w:t xml:space="preserve"> (</w:t>
      </w:r>
      <w:proofErr w:type="spellStart"/>
      <w:r w:rsidR="009A4445" w:rsidRPr="005C5184">
        <w:rPr>
          <w:rFonts w:ascii="Times New Roman" w:eastAsia="Times New Roman" w:hAnsi="Times New Roman" w:cs="Times New Roman"/>
          <w:kern w:val="0"/>
          <w14:ligatures w14:val="none"/>
        </w:rPr>
        <w:t>BoZ</w:t>
      </w:r>
      <w:proofErr w:type="spellEnd"/>
      <w:r w:rsidR="009A4445" w:rsidRPr="005C5184">
        <w:rPr>
          <w:rFonts w:ascii="Times New Roman" w:eastAsia="Times New Roman" w:hAnsi="Times New Roman" w:cs="Times New Roman"/>
          <w:kern w:val="0"/>
          <w14:ligatures w14:val="none"/>
        </w:rPr>
        <w:t>)</w:t>
      </w:r>
      <w:r w:rsidR="006E0176" w:rsidRPr="005C5184">
        <w:rPr>
          <w:rFonts w:ascii="Times New Roman" w:eastAsia="Times New Roman" w:hAnsi="Times New Roman" w:cs="Times New Roman"/>
          <w:kern w:val="0"/>
          <w14:ligatures w14:val="none"/>
        </w:rPr>
        <w:t xml:space="preserve"> monthly bulletin reports</w:t>
      </w:r>
      <w:r w:rsidR="009A4445" w:rsidRPr="005C5184">
        <w:rPr>
          <w:rFonts w:ascii="Times New Roman" w:eastAsia="Times New Roman" w:hAnsi="Times New Roman" w:cs="Times New Roman"/>
          <w:kern w:val="0"/>
          <w14:ligatures w14:val="none"/>
        </w:rPr>
        <w:t xml:space="preserve"> published on </w:t>
      </w:r>
      <w:proofErr w:type="spellStart"/>
      <w:r w:rsidR="009A4445" w:rsidRPr="005C5184">
        <w:rPr>
          <w:rFonts w:ascii="Times New Roman" w:eastAsia="Times New Roman" w:hAnsi="Times New Roman" w:cs="Times New Roman"/>
          <w:kern w:val="0"/>
          <w14:ligatures w14:val="none"/>
        </w:rPr>
        <w:t>BoZ</w:t>
      </w:r>
      <w:proofErr w:type="spellEnd"/>
      <w:r w:rsidR="009A4445" w:rsidRPr="005C5184">
        <w:rPr>
          <w:rFonts w:ascii="Times New Roman" w:eastAsia="Times New Roman" w:hAnsi="Times New Roman" w:cs="Times New Roman"/>
          <w:kern w:val="0"/>
          <w14:ligatures w14:val="none"/>
        </w:rPr>
        <w:t xml:space="preserve"> website. According to the </w:t>
      </w:r>
      <w:proofErr w:type="spellStart"/>
      <w:r w:rsidR="009A4445" w:rsidRPr="005C5184">
        <w:rPr>
          <w:rFonts w:ascii="Times New Roman" w:eastAsia="Times New Roman" w:hAnsi="Times New Roman" w:cs="Times New Roman"/>
          <w:kern w:val="0"/>
          <w14:ligatures w14:val="none"/>
        </w:rPr>
        <w:t>BoZ</w:t>
      </w:r>
      <w:proofErr w:type="spellEnd"/>
      <w:r w:rsidR="009A4445" w:rsidRPr="005C5184">
        <w:rPr>
          <w:rFonts w:ascii="Times New Roman" w:eastAsia="Times New Roman" w:hAnsi="Times New Roman" w:cs="Times New Roman"/>
          <w:kern w:val="0"/>
          <w14:ligatures w14:val="none"/>
        </w:rPr>
        <w:t xml:space="preserve"> reports, the 6% to 8% inflation target range was maintained over the decade, 2015-2024 (</w:t>
      </w:r>
      <w:bookmarkStart w:id="10" w:name="_Hlk202349031"/>
      <w:proofErr w:type="spellStart"/>
      <w:r w:rsidR="009A4445" w:rsidRPr="005C5184">
        <w:rPr>
          <w:rFonts w:ascii="Times New Roman" w:eastAsia="Times New Roman" w:hAnsi="Times New Roman" w:cs="Times New Roman"/>
          <w:kern w:val="0"/>
          <w14:ligatures w14:val="none"/>
        </w:rPr>
        <w:t>BoZ</w:t>
      </w:r>
      <w:proofErr w:type="spellEnd"/>
      <w:r w:rsidR="009A4445" w:rsidRPr="005C5184">
        <w:rPr>
          <w:rFonts w:ascii="Times New Roman" w:eastAsia="Times New Roman" w:hAnsi="Times New Roman" w:cs="Times New Roman"/>
          <w:kern w:val="0"/>
          <w14:ligatures w14:val="none"/>
        </w:rPr>
        <w:t xml:space="preserve"> Reports, 2015-2024</w:t>
      </w:r>
      <w:bookmarkEnd w:id="10"/>
      <w:r w:rsidR="009A4445" w:rsidRPr="005C5184">
        <w:rPr>
          <w:rFonts w:ascii="Times New Roman" w:eastAsia="Times New Roman" w:hAnsi="Times New Roman" w:cs="Times New Roman"/>
          <w:kern w:val="0"/>
          <w14:ligatures w14:val="none"/>
        </w:rPr>
        <w:t xml:space="preserve">). The </w:t>
      </w:r>
      <w:r w:rsidR="006E0176" w:rsidRPr="005C5184">
        <w:rPr>
          <w:rFonts w:ascii="Times New Roman" w:eastAsia="Times New Roman" w:hAnsi="Times New Roman" w:cs="Times New Roman"/>
          <w:kern w:val="0"/>
          <w14:ligatures w14:val="none"/>
        </w:rPr>
        <w:t>real GDP</w:t>
      </w:r>
      <w:r w:rsidR="009A4445" w:rsidRPr="005C5184">
        <w:rPr>
          <w:rFonts w:ascii="Times New Roman" w:eastAsia="Times New Roman" w:hAnsi="Times New Roman" w:cs="Times New Roman"/>
          <w:kern w:val="0"/>
          <w14:ligatures w14:val="none"/>
        </w:rPr>
        <w:t xml:space="preserve"> in millions of </w:t>
      </w:r>
      <w:proofErr w:type="gramStart"/>
      <w:r w:rsidR="009A4445" w:rsidRPr="005C5184">
        <w:rPr>
          <w:rFonts w:ascii="Times New Roman" w:eastAsia="Times New Roman" w:hAnsi="Times New Roman" w:cs="Times New Roman"/>
          <w:kern w:val="0"/>
          <w14:ligatures w14:val="none"/>
        </w:rPr>
        <w:t>Kwacha</w:t>
      </w:r>
      <w:proofErr w:type="gramEnd"/>
      <w:r w:rsidR="009A4445" w:rsidRPr="005C5184">
        <w:rPr>
          <w:rFonts w:ascii="Times New Roman" w:eastAsia="Times New Roman" w:hAnsi="Times New Roman" w:cs="Times New Roman"/>
          <w:kern w:val="0"/>
          <w14:ligatures w14:val="none"/>
        </w:rPr>
        <w:t xml:space="preserve"> (denoted ZMW)</w:t>
      </w:r>
      <w:r w:rsidR="006E0176" w:rsidRPr="005C5184">
        <w:rPr>
          <w:rFonts w:ascii="Times New Roman" w:eastAsia="Times New Roman" w:hAnsi="Times New Roman" w:cs="Times New Roman"/>
          <w:kern w:val="0"/>
          <w14:ligatures w14:val="none"/>
        </w:rPr>
        <w:t xml:space="preserve"> data in 2015 constant prices, Net inflow foreign direct investment (FDI), export of goods and services as a % of GDP, import of goods and services as </w:t>
      </w:r>
      <w:r w:rsidR="009A4445" w:rsidRPr="005C5184">
        <w:rPr>
          <w:rFonts w:ascii="Times New Roman" w:eastAsia="Times New Roman" w:hAnsi="Times New Roman" w:cs="Times New Roman"/>
          <w:kern w:val="0"/>
          <w14:ligatures w14:val="none"/>
        </w:rPr>
        <w:t>a</w:t>
      </w:r>
      <w:r w:rsidR="006E0176" w:rsidRPr="005C5184">
        <w:rPr>
          <w:rFonts w:ascii="Times New Roman" w:eastAsia="Times New Roman" w:hAnsi="Times New Roman" w:cs="Times New Roman"/>
          <w:kern w:val="0"/>
          <w14:ligatures w14:val="none"/>
        </w:rPr>
        <w:t xml:space="preserve"> % of GDP were obtained from the </w:t>
      </w:r>
      <w:bookmarkStart w:id="11" w:name="_Hlk202349062"/>
      <w:r w:rsidR="006E0176" w:rsidRPr="005C5184">
        <w:rPr>
          <w:rFonts w:ascii="Times New Roman" w:eastAsia="Times New Roman" w:hAnsi="Times New Roman" w:cs="Times New Roman"/>
          <w:kern w:val="0"/>
          <w14:ligatures w14:val="none"/>
        </w:rPr>
        <w:t xml:space="preserve">World Bank’s </w:t>
      </w:r>
      <w:r w:rsidR="009A4445" w:rsidRPr="005C5184">
        <w:rPr>
          <w:rFonts w:ascii="Times New Roman" w:eastAsia="Times New Roman" w:hAnsi="Times New Roman" w:cs="Times New Roman"/>
          <w:kern w:val="0"/>
          <w14:ligatures w14:val="none"/>
        </w:rPr>
        <w:t>D</w:t>
      </w:r>
      <w:r w:rsidR="006E0176" w:rsidRPr="005C5184">
        <w:rPr>
          <w:rFonts w:ascii="Times New Roman" w:eastAsia="Times New Roman" w:hAnsi="Times New Roman" w:cs="Times New Roman"/>
          <w:kern w:val="0"/>
          <w14:ligatures w14:val="none"/>
        </w:rPr>
        <w:t xml:space="preserve">evelopment </w:t>
      </w:r>
      <w:r w:rsidR="009A4445" w:rsidRPr="005C5184">
        <w:rPr>
          <w:rFonts w:ascii="Times New Roman" w:eastAsia="Times New Roman" w:hAnsi="Times New Roman" w:cs="Times New Roman"/>
          <w:kern w:val="0"/>
          <w14:ligatures w14:val="none"/>
        </w:rPr>
        <w:t>I</w:t>
      </w:r>
      <w:r w:rsidR="006E0176" w:rsidRPr="005C5184">
        <w:rPr>
          <w:rFonts w:ascii="Times New Roman" w:eastAsia="Times New Roman" w:hAnsi="Times New Roman" w:cs="Times New Roman"/>
          <w:kern w:val="0"/>
          <w14:ligatures w14:val="none"/>
        </w:rPr>
        <w:t>ndicators (WDIs)</w:t>
      </w:r>
      <w:bookmarkEnd w:id="11"/>
      <w:r w:rsidR="009A4445" w:rsidRPr="005C5184">
        <w:rPr>
          <w:rFonts w:ascii="Times New Roman" w:eastAsia="Times New Roman" w:hAnsi="Times New Roman" w:cs="Times New Roman"/>
          <w:kern w:val="0"/>
          <w14:ligatures w14:val="none"/>
        </w:rPr>
        <w:t xml:space="preserve"> published on the World Bank website. Data on real effective exchange rate (REER) were obtained from Brugel database.</w:t>
      </w:r>
      <w:r w:rsidRPr="005C5184">
        <w:rPr>
          <w:rFonts w:ascii="Times New Roman" w:eastAsia="Times New Roman" w:hAnsi="Times New Roman" w:cs="Times New Roman"/>
          <w:kern w:val="0"/>
          <w14:ligatures w14:val="none"/>
        </w:rPr>
        <w:t xml:space="preserve"> To assess the effectiveness of this target, </w:t>
      </w:r>
      <w:r w:rsidR="00D90219" w:rsidRPr="005C5184">
        <w:rPr>
          <w:rFonts w:ascii="Times New Roman" w:eastAsia="Times New Roman" w:hAnsi="Times New Roman" w:cs="Times New Roman"/>
          <w:kern w:val="0"/>
          <w14:ligatures w14:val="none"/>
        </w:rPr>
        <w:t>first,</w:t>
      </w:r>
      <w:r w:rsidRPr="005C5184">
        <w:rPr>
          <w:rFonts w:ascii="Times New Roman" w:eastAsia="Times New Roman" w:hAnsi="Times New Roman" w:cs="Times New Roman"/>
          <w:kern w:val="0"/>
          <w14:ligatures w14:val="none"/>
        </w:rPr>
        <w:t xml:space="preserve"> the inflation gap</w:t>
      </w:r>
      <w:r w:rsidR="00D90219" w:rsidRPr="005C5184">
        <w:rPr>
          <w:rFonts w:ascii="Times New Roman" w:eastAsia="Times New Roman" w:hAnsi="Times New Roman" w:cs="Times New Roman"/>
          <w:kern w:val="0"/>
          <w14:ligatures w14:val="none"/>
        </w:rPr>
        <w:t xml:space="preserve"> was calculated,</w:t>
      </w:r>
      <w:r w:rsidRPr="005C5184">
        <w:rPr>
          <w:rFonts w:ascii="Times New Roman" w:eastAsia="Times New Roman" w:hAnsi="Times New Roman" w:cs="Times New Roman"/>
          <w:kern w:val="0"/>
          <w14:ligatures w14:val="none"/>
        </w:rPr>
        <w:t xml:space="preserve"> which represents the difference between the actual inflation rate and the target midpoint.</w:t>
      </w:r>
      <w:r w:rsidR="00CC5A1D" w:rsidRPr="005C5184">
        <w:rPr>
          <w:rFonts w:ascii="Times New Roman" w:eastAsia="Times New Roman" w:hAnsi="Times New Roman" w:cs="Times New Roman"/>
          <w:kern w:val="0"/>
          <w14:ligatures w14:val="none"/>
        </w:rPr>
        <w:t xml:space="preserve"> </w:t>
      </w:r>
    </w:p>
    <w:p w14:paraId="204E6710" w14:textId="2675D42B" w:rsidR="00A10BCF" w:rsidRPr="005C5184" w:rsidRDefault="00A10BCF" w:rsidP="00004641">
      <w:pPr>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 xml:space="preserve">  3.2 Empirical Econometric Model</w:t>
      </w:r>
    </w:p>
    <w:p w14:paraId="155C3A6A" w14:textId="4DC7F82C" w:rsidR="00A10BCF" w:rsidRPr="005C5184" w:rsidRDefault="00A10BCF" w:rsidP="00AB0E6A">
      <w:pPr>
        <w:spacing w:after="0" w:line="276" w:lineRule="auto"/>
        <w:ind w:firstLine="720"/>
        <w:jc w:val="both"/>
        <w:outlineLvl w:val="1"/>
        <w:rPr>
          <w:rFonts w:ascii="Times New Roman" w:eastAsia="Times New Roman" w:hAnsi="Times New Roman" w:cs="Times New Roman"/>
          <w:kern w:val="0"/>
          <w14:ligatures w14:val="none"/>
        </w:rPr>
      </w:pPr>
      <w:bookmarkStart w:id="12" w:name="_Hlk202340486"/>
      <w:r w:rsidRPr="005C5184">
        <w:rPr>
          <w:rFonts w:ascii="Times New Roman" w:eastAsia="Times New Roman" w:hAnsi="Times New Roman" w:cs="Times New Roman"/>
          <w:kern w:val="0"/>
          <w14:ligatures w14:val="none"/>
        </w:rPr>
        <w:t xml:space="preserve">The study employed </w:t>
      </w:r>
      <w:r w:rsidR="00EE1C2B" w:rsidRPr="005C5184">
        <w:rPr>
          <w:rFonts w:ascii="Times New Roman" w:eastAsia="Times New Roman" w:hAnsi="Times New Roman" w:cs="Times New Roman"/>
          <w:kern w:val="0"/>
          <w14:ligatures w14:val="none"/>
        </w:rPr>
        <w:t xml:space="preserve">a vector-autoregression (VAR) model </w:t>
      </w:r>
      <w:r w:rsidRPr="005C5184">
        <w:rPr>
          <w:rFonts w:ascii="Times New Roman" w:eastAsia="Times New Roman" w:hAnsi="Times New Roman" w:cs="Times New Roman"/>
          <w:kern w:val="0"/>
          <w14:ligatures w14:val="none"/>
        </w:rPr>
        <w:t>to evaluate</w:t>
      </w:r>
      <w:r w:rsidR="00CC5A1D" w:rsidRPr="005C5184">
        <w:rPr>
          <w:rFonts w:ascii="Times New Roman" w:eastAsia="Times New Roman" w:hAnsi="Times New Roman" w:cs="Times New Roman"/>
          <w:kern w:val="0"/>
          <w14:ligatures w14:val="none"/>
        </w:rPr>
        <w:t xml:space="preserve"> how the</w:t>
      </w:r>
      <w:r w:rsidR="00955A09" w:rsidRPr="005C5184">
        <w:rPr>
          <w:rFonts w:ascii="Times New Roman" w:eastAsia="Times New Roman" w:hAnsi="Times New Roman" w:cs="Times New Roman"/>
          <w:kern w:val="0"/>
          <w14:ligatures w14:val="none"/>
        </w:rPr>
        <w:t xml:space="preserve"> </w:t>
      </w:r>
      <w:r w:rsidR="00955A09" w:rsidRPr="005C5184">
        <w:rPr>
          <w:rFonts w:ascii="Times New Roman" w:eastAsia="Times New Roman" w:hAnsi="Times New Roman" w:cs="Times New Roman"/>
        </w:rPr>
        <w:t>inflation target, policy rate and real GDP</w:t>
      </w:r>
      <w:r w:rsidR="00CC5A1D" w:rsidRPr="005C5184">
        <w:rPr>
          <w:rFonts w:ascii="Times New Roman" w:eastAsia="Times New Roman" w:hAnsi="Times New Roman" w:cs="Times New Roman"/>
          <w:kern w:val="0"/>
          <w14:ligatures w14:val="none"/>
        </w:rPr>
        <w:t xml:space="preserve"> </w:t>
      </w:r>
      <w:r w:rsidR="00F61CAA" w:rsidRPr="005C5184">
        <w:rPr>
          <w:rFonts w:ascii="Times New Roman" w:eastAsia="Times New Roman" w:hAnsi="Times New Roman" w:cs="Times New Roman"/>
          <w:kern w:val="0"/>
          <w14:ligatures w14:val="none"/>
        </w:rPr>
        <w:t xml:space="preserve">inflation </w:t>
      </w:r>
      <w:r w:rsidR="00CC5A1D" w:rsidRPr="005C5184">
        <w:rPr>
          <w:rFonts w:ascii="Times New Roman" w:eastAsia="Times New Roman" w:hAnsi="Times New Roman" w:cs="Times New Roman"/>
          <w:kern w:val="0"/>
          <w14:ligatures w14:val="none"/>
        </w:rPr>
        <w:t>as the</w:t>
      </w:r>
      <w:r w:rsidR="00657BC9" w:rsidRPr="005C5184">
        <w:rPr>
          <w:rFonts w:ascii="Times New Roman" w:eastAsia="Times New Roman" w:hAnsi="Times New Roman" w:cs="Times New Roman"/>
          <w:kern w:val="0"/>
          <w14:ligatures w14:val="none"/>
        </w:rPr>
        <w:t xml:space="preserve"> main</w:t>
      </w:r>
      <w:r w:rsidR="00CC5A1D" w:rsidRPr="005C5184">
        <w:rPr>
          <w:rFonts w:ascii="Times New Roman" w:eastAsia="Times New Roman" w:hAnsi="Times New Roman" w:cs="Times New Roman"/>
          <w:kern w:val="0"/>
          <w14:ligatures w14:val="none"/>
        </w:rPr>
        <w:t xml:space="preserve"> independent </w:t>
      </w:r>
      <w:r w:rsidR="00C37D06" w:rsidRPr="005C5184">
        <w:rPr>
          <w:rFonts w:ascii="Times New Roman" w:eastAsia="Times New Roman" w:hAnsi="Times New Roman" w:cs="Times New Roman"/>
          <w:kern w:val="0"/>
          <w14:ligatures w14:val="none"/>
        </w:rPr>
        <w:t>variables</w:t>
      </w:r>
      <w:r w:rsidR="00CC5A1D" w:rsidRPr="005C5184">
        <w:rPr>
          <w:rFonts w:ascii="Times New Roman" w:eastAsia="Times New Roman" w:hAnsi="Times New Roman" w:cs="Times New Roman"/>
          <w:kern w:val="0"/>
          <w14:ligatures w14:val="none"/>
        </w:rPr>
        <w:t xml:space="preserve"> impacted inflation targeting performance</w:t>
      </w:r>
      <w:bookmarkEnd w:id="12"/>
      <w:r w:rsidR="00D90219" w:rsidRPr="005C5184">
        <w:rPr>
          <w:rFonts w:ascii="Times New Roman" w:eastAsia="Times New Roman" w:hAnsi="Times New Roman" w:cs="Times New Roman"/>
          <w:kern w:val="0"/>
          <w14:ligatures w14:val="none"/>
        </w:rPr>
        <w:t>.</w:t>
      </w:r>
      <w:r w:rsidR="00AF6A74" w:rsidRPr="005C5184">
        <w:rPr>
          <w:rFonts w:ascii="Times New Roman" w:eastAsia="Times New Roman" w:hAnsi="Times New Roman" w:cs="Times New Roman"/>
          <w:kern w:val="0"/>
          <w14:ligatures w14:val="none"/>
        </w:rPr>
        <w:t xml:space="preserve"> Equation 4 shows the general multipl</w:t>
      </w:r>
      <w:r w:rsidR="009246EA" w:rsidRPr="005C5184">
        <w:rPr>
          <w:rFonts w:ascii="Times New Roman" w:eastAsia="Times New Roman" w:hAnsi="Times New Roman" w:cs="Times New Roman"/>
          <w:kern w:val="0"/>
          <w14:ligatures w14:val="none"/>
        </w:rPr>
        <w:t>e</w:t>
      </w:r>
      <w:r w:rsidR="00AF6A74" w:rsidRPr="005C5184">
        <w:rPr>
          <w:rFonts w:ascii="Times New Roman" w:eastAsia="Times New Roman" w:hAnsi="Times New Roman" w:cs="Times New Roman"/>
          <w:kern w:val="0"/>
          <w14:ligatures w14:val="none"/>
        </w:rPr>
        <w:t xml:space="preserve"> regression model.</w:t>
      </w:r>
    </w:p>
    <w:p w14:paraId="5AFD0C48" w14:textId="0777E1F7" w:rsidR="00CC5A1D" w:rsidRPr="005C5184" w:rsidRDefault="00DD3395" w:rsidP="00AC6F4F">
      <w:pPr>
        <w:spacing w:before="100" w:beforeAutospacing="1" w:after="100" w:afterAutospacing="1" w:line="276" w:lineRule="auto"/>
        <w:jc w:val="both"/>
        <w:outlineLvl w:val="1"/>
        <w:rPr>
          <w:rFonts w:ascii="Times New Roman" w:eastAsia="Times New Roman"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Inf_Gap</m:t>
            </m:r>
          </m:e>
          <m:sub>
            <m:r>
              <w:rPr>
                <w:rFonts w:ascii="Cambria Math" w:hAnsi="Cambria Math" w:cs="Times New Roman"/>
              </w:rPr>
              <m:t>t</m:t>
            </m:r>
          </m:sub>
        </m:sSub>
        <m:r>
          <w:rPr>
            <w:rFonts w:ascii="Cambria Math" w:hAnsi="Cambria Math" w:cs="Times New Roman"/>
          </w:rPr>
          <m:t xml:space="preserve"> (Inflation- Target-Performance)=</m:t>
        </m:r>
        <m:sSub>
          <m:sSubPr>
            <m:ctrlPr>
              <w:rPr>
                <w:rFonts w:ascii="Cambria Math" w:hAnsi="Cambria Math" w:cs="Times New Roman"/>
                <w:i/>
              </w:rPr>
            </m:ctrlPr>
          </m:sSubPr>
          <m:e>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logInf_rate(CPI)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Inf_Target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logFDI_Inflows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logExports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Imports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Policy_Rate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logREER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855987" w:rsidRPr="005C5184">
        <w:rPr>
          <w:rFonts w:ascii="Times New Roman" w:eastAsia="Times New Roman" w:hAnsi="Times New Roman" w:cs="Times New Roman"/>
        </w:rPr>
        <w:t xml:space="preserve"> </w:t>
      </w:r>
      <w:r w:rsidR="0026615F" w:rsidRPr="005C5184">
        <w:rPr>
          <w:rFonts w:ascii="Times New Roman" w:eastAsia="Times New Roman" w:hAnsi="Times New Roman" w:cs="Times New Roman"/>
        </w:rPr>
        <w:t xml:space="preserve">                      </w:t>
      </w:r>
      <m:oMath>
        <m:r>
          <w:rPr>
            <w:rFonts w:ascii="Cambria Math" w:eastAsia="Times New Roman" w:hAnsi="Cambria Math" w:cs="Times New Roman"/>
          </w:rPr>
          <m:t>(4)</m:t>
        </m:r>
      </m:oMath>
    </w:p>
    <w:p w14:paraId="746B2594" w14:textId="77777777" w:rsidR="00AB0E6A" w:rsidRDefault="00D90219" w:rsidP="00AB0E6A">
      <w:pPr>
        <w:spacing w:after="0" w:line="276" w:lineRule="auto"/>
        <w:jc w:val="both"/>
        <w:outlineLvl w:val="1"/>
        <w:rPr>
          <w:rFonts w:ascii="Times New Roman" w:eastAsia="Times New Roman" w:hAnsi="Times New Roman" w:cs="Times New Roman"/>
        </w:rPr>
      </w:pPr>
      <w:r w:rsidRPr="005C5184">
        <w:rPr>
          <w:rFonts w:ascii="Times New Roman" w:eastAsia="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Inf_Gap</m:t>
            </m:r>
          </m:e>
          <m:sub>
            <m:r>
              <w:rPr>
                <w:rFonts w:ascii="Cambria Math" w:hAnsi="Cambria Math" w:cs="Times New Roman"/>
              </w:rPr>
              <m:t>t</m:t>
            </m:r>
          </m:sub>
        </m:sSub>
      </m:oMath>
      <w:r w:rsidRPr="005C5184">
        <w:rPr>
          <w:rFonts w:ascii="Times New Roman" w:eastAsia="Times New Roman" w:hAnsi="Times New Roman" w:cs="Times New Roman"/>
        </w:rPr>
        <w:t xml:space="preserve"> denotes </w:t>
      </w:r>
      <w:r w:rsidR="0026615F" w:rsidRPr="005C5184">
        <w:rPr>
          <w:rFonts w:ascii="Times New Roman" w:eastAsia="Times New Roman" w:hAnsi="Times New Roman" w:cs="Times New Roman"/>
        </w:rPr>
        <w:t>gap</w:t>
      </w:r>
      <w:r w:rsidR="00657BC9" w:rsidRPr="005C5184">
        <w:rPr>
          <w:rFonts w:ascii="Times New Roman" w:eastAsia="Times New Roman" w:hAnsi="Times New Roman" w:cs="Times New Roman"/>
        </w:rPr>
        <w:t xml:space="preserve"> at time </w:t>
      </w:r>
      <m:oMath>
        <m:r>
          <w:rPr>
            <w:rFonts w:ascii="Cambria Math" w:eastAsia="Times New Roman" w:hAnsi="Cambria Math" w:cs="Times New Roman"/>
          </w:rPr>
          <m:t>t</m:t>
        </m:r>
      </m:oMath>
      <w:r w:rsidR="00657BC9" w:rsidRPr="005C5184">
        <w:rPr>
          <w:rFonts w:ascii="Times New Roman" w:eastAsia="Times New Roman" w:hAnsi="Times New Roman" w:cs="Times New Roman"/>
        </w:rPr>
        <w:t xml:space="preserve"> </w:t>
      </w:r>
      <w:r w:rsidR="00EE1C2B" w:rsidRPr="005C5184">
        <w:rPr>
          <w:rFonts w:ascii="Times New Roman" w:eastAsia="Times New Roman" w:hAnsi="Times New Roman" w:cs="Times New Roman"/>
        </w:rPr>
        <w:t xml:space="preserve"> which represents the inflation gap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oMath>
      <w:r w:rsidR="00657BC9" w:rsidRPr="005C5184">
        <w:rPr>
          <w:rFonts w:ascii="Times New Roman" w:eastAsia="Times New Roman" w:hAnsi="Times New Roman" w:cs="Times New Roman"/>
        </w:rPr>
        <w:t xml:space="preserve"> </w:t>
      </w:r>
      <w:r w:rsidR="00657BC9" w:rsidRPr="005C5184">
        <w:rPr>
          <w:rFonts w:ascii="Times New Roman" w:eastAsia="Times New Roman" w:hAnsi="Times New Roman" w:cs="Times New Roman"/>
          <w:kern w:val="0"/>
          <w14:ligatures w14:val="none"/>
        </w:rPr>
        <w:t xml:space="preserve"> which is  the difference between the actual inflation</w:t>
      </w:r>
      <w:r w:rsidR="0026615F" w:rsidRPr="005C5184">
        <w:rPr>
          <w:rFonts w:ascii="Times New Roman" w:eastAsia="Times New Roman" w:hAnsi="Times New Roman" w:cs="Times New Roman"/>
          <w:kern w:val="0"/>
          <w14:ligatures w14:val="none"/>
        </w:rPr>
        <w:t xml:space="preserve"> (CPI)</w:t>
      </w:r>
      <w:r w:rsidR="00657BC9" w:rsidRPr="005C5184">
        <w:rPr>
          <w:rFonts w:ascii="Times New Roman" w:eastAsia="Times New Roman" w:hAnsi="Times New Roman" w:cs="Times New Roman"/>
          <w:kern w:val="0"/>
          <w14:ligatures w14:val="none"/>
        </w:rPr>
        <w:t xml:space="preserve"> and the target mid-point per </w:t>
      </w:r>
      <w:r w:rsidR="00AD6DD7" w:rsidRPr="005C5184">
        <w:rPr>
          <w:rFonts w:ascii="Times New Roman" w:eastAsia="Times New Roman" w:hAnsi="Times New Roman" w:cs="Times New Roman"/>
          <w:kern w:val="0"/>
          <w14:ligatures w14:val="none"/>
        </w:rPr>
        <w:t>quarter</w:t>
      </w:r>
      <w:r w:rsidR="00657BC9" w:rsidRPr="005C5184">
        <w:rPr>
          <w:rFonts w:ascii="Times New Roman" w:eastAsia="Times New Roman" w:hAnsi="Times New Roman" w:cs="Times New Roman"/>
          <w:kern w:val="0"/>
          <w14:ligatures w14:val="none"/>
        </w:rPr>
        <w:t xml:space="preserve">,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oMath>
      <w:r w:rsidR="00657BC9" w:rsidRPr="005C5184">
        <w:rPr>
          <w:rFonts w:ascii="Times New Roman" w:eastAsia="Times New Roman" w:hAnsi="Times New Roman" w:cs="Times New Roman"/>
        </w:rPr>
        <w:t xml:space="preserve">  </w:t>
      </w:r>
      <w:r w:rsidR="0026615F" w:rsidRPr="005C5184">
        <w:rPr>
          <w:rFonts w:ascii="Times New Roman" w:eastAsia="Times New Roman" w:hAnsi="Times New Roman" w:cs="Times New Roman"/>
        </w:rPr>
        <w:t>quarterly</w:t>
      </w:r>
      <w:r w:rsidR="00657BC9" w:rsidRPr="005C5184">
        <w:rPr>
          <w:rFonts w:ascii="Times New Roman" w:eastAsia="Times New Roman" w:hAnsi="Times New Roman" w:cs="Times New Roman"/>
        </w:rPr>
        <w:t xml:space="preserve"> real</w:t>
      </w:r>
      <w:r w:rsidR="001C5916" w:rsidRPr="005C5184">
        <w:rPr>
          <w:rFonts w:ascii="Times New Roman" w:eastAsia="Times New Roman" w:hAnsi="Times New Roman" w:cs="Times New Roman"/>
        </w:rPr>
        <w:t xml:space="preserve"> gross domestic product (</w:t>
      </w:r>
      <w:r w:rsidR="001C5916" w:rsidRPr="005C5184">
        <w:rPr>
          <w:rFonts w:ascii="Times New Roman" w:eastAsia="Times New Roman" w:hAnsi="Times New Roman" w:cs="Times New Roman"/>
          <w:i/>
          <w:iCs/>
        </w:rPr>
        <w:t>real</w:t>
      </w:r>
      <w:r w:rsidR="00657BC9" w:rsidRPr="005C5184">
        <w:rPr>
          <w:rFonts w:ascii="Times New Roman" w:eastAsia="Times New Roman" w:hAnsi="Times New Roman" w:cs="Times New Roman"/>
          <w:i/>
          <w:iCs/>
        </w:rPr>
        <w:t xml:space="preserve"> GDP</w:t>
      </w:r>
      <w:r w:rsidR="001C5916" w:rsidRPr="005C5184">
        <w:rPr>
          <w:rFonts w:ascii="Times New Roman" w:eastAsia="Times New Roman" w:hAnsi="Times New Roman" w:cs="Times New Roman"/>
        </w:rPr>
        <w:t>)</w:t>
      </w:r>
      <w:r w:rsidR="00657BC9" w:rsidRPr="005C5184">
        <w:rPr>
          <w:rFonts w:ascii="Times New Roman" w:eastAsia="Times New Roman" w:hAnsi="Times New Roman" w:cs="Times New Roman"/>
        </w:rPr>
        <w:t xml:space="preserve"> as a proxy for the output gap</w:t>
      </w:r>
      <w:r w:rsidR="00834A55" w:rsidRPr="005C5184">
        <w:rPr>
          <w:rStyle w:val="FootnoteReference"/>
          <w:rFonts w:ascii="Times New Roman" w:eastAsia="Times New Roman" w:hAnsi="Times New Roman" w:cs="Times New Roman"/>
        </w:rPr>
        <w:footnoteReference w:id="3"/>
      </w:r>
      <w:r w:rsidR="00657BC9" w:rsidRPr="005C5184">
        <w:rPr>
          <w:rFonts w:ascii="Times New Roman" w:eastAsia="Times New Roman" w:hAnsi="Times New Roman" w:cs="Times New Roman"/>
        </w:rPr>
        <w:t>,</w:t>
      </w:r>
      <w:r w:rsidR="00706DC0" w:rsidRPr="005C5184">
        <w:rPr>
          <w:rFonts w:ascii="Times New Roman" w:eastAsia="Times New Roman" w:hAnsi="Times New Roman" w:cs="Times New Roman"/>
        </w:rPr>
        <w:t xml:space="preserve"> </w:t>
      </w:r>
      <w:proofErr w:type="spellStart"/>
      <w:r w:rsidR="0026615F" w:rsidRPr="005C5184">
        <w:rPr>
          <w:rFonts w:ascii="Times New Roman" w:eastAsia="Times New Roman" w:hAnsi="Times New Roman" w:cs="Times New Roman"/>
        </w:rPr>
        <w:t>Inf_rate</w:t>
      </w:r>
      <w:proofErr w:type="spellEnd"/>
      <w:r w:rsidR="0026615F" w:rsidRPr="005C5184">
        <w:rPr>
          <w:rFonts w:ascii="Times New Roman" w:eastAsia="Times New Roman" w:hAnsi="Times New Roman" w:cs="Times New Roman"/>
        </w:rPr>
        <w:t xml:space="preserve"> is the inflation rate, </w:t>
      </w:r>
      <w:proofErr w:type="spellStart"/>
      <w:r w:rsidR="0026615F" w:rsidRPr="005C5184">
        <w:rPr>
          <w:rFonts w:ascii="Times New Roman" w:eastAsia="Times New Roman" w:hAnsi="Times New Roman" w:cs="Times New Roman"/>
        </w:rPr>
        <w:t>Inf_Target</w:t>
      </w:r>
      <w:proofErr w:type="spellEnd"/>
      <w:r w:rsidR="0026615F" w:rsidRPr="005C5184">
        <w:rPr>
          <w:rFonts w:ascii="Times New Roman" w:eastAsia="Times New Roman" w:hAnsi="Times New Roman" w:cs="Times New Roman"/>
        </w:rPr>
        <w:t xml:space="preserve"> is inflation target at time t, </w:t>
      </w:r>
      <w:proofErr w:type="spellStart"/>
      <w:r w:rsidR="0026615F" w:rsidRPr="005C5184">
        <w:rPr>
          <w:rFonts w:ascii="Times New Roman" w:eastAsia="Times New Roman" w:hAnsi="Times New Roman" w:cs="Times New Roman"/>
          <w:i/>
          <w:iCs/>
        </w:rPr>
        <w:t>FDI_Inflows</w:t>
      </w:r>
      <w:proofErr w:type="spellEnd"/>
      <w:r w:rsidR="0026615F" w:rsidRPr="005C5184">
        <w:rPr>
          <w:rFonts w:ascii="Times New Roman" w:eastAsia="Times New Roman" w:hAnsi="Times New Roman" w:cs="Times New Roman"/>
        </w:rPr>
        <w:t xml:space="preserve"> is foreign direct investment at time t, </w:t>
      </w:r>
      <w:r w:rsidR="0026615F" w:rsidRPr="005C5184">
        <w:rPr>
          <w:rFonts w:ascii="Times New Roman" w:eastAsia="Times New Roman" w:hAnsi="Times New Roman" w:cs="Times New Roman"/>
          <w:i/>
          <w:iCs/>
        </w:rPr>
        <w:t>Exports</w:t>
      </w:r>
      <w:r w:rsidR="0026615F" w:rsidRPr="005C5184">
        <w:rPr>
          <w:rFonts w:ascii="Times New Roman" w:eastAsia="Times New Roman" w:hAnsi="Times New Roman" w:cs="Times New Roman"/>
        </w:rPr>
        <w:t xml:space="preserve"> denote exports of goods and services at time t, </w:t>
      </w:r>
      <w:r w:rsidR="0026615F" w:rsidRPr="005C5184">
        <w:rPr>
          <w:rFonts w:ascii="Times New Roman" w:eastAsia="Times New Roman" w:hAnsi="Times New Roman" w:cs="Times New Roman"/>
          <w:i/>
          <w:iCs/>
        </w:rPr>
        <w:t>Imports</w:t>
      </w:r>
      <w:r w:rsidR="0026615F" w:rsidRPr="005C5184">
        <w:rPr>
          <w:rFonts w:ascii="Times New Roman" w:eastAsia="Times New Roman" w:hAnsi="Times New Roman" w:cs="Times New Roman"/>
        </w:rPr>
        <w:t xml:space="preserve"> denotes import of </w:t>
      </w:r>
      <w:r w:rsidR="00706DC0" w:rsidRPr="005C5184">
        <w:rPr>
          <w:rFonts w:ascii="Times New Roman" w:eastAsia="Times New Roman" w:hAnsi="Times New Roman" w:cs="Times New Roman"/>
        </w:rPr>
        <w:t xml:space="preserve">value of goods and services at time </w:t>
      </w:r>
      <w:r w:rsidR="001C5916" w:rsidRPr="005C5184">
        <w:rPr>
          <w:rFonts w:ascii="Times New Roman" w:eastAsia="Times New Roman" w:hAnsi="Times New Roman" w:cs="Times New Roman"/>
        </w:rPr>
        <w:t xml:space="preserve">t, </w:t>
      </w:r>
      <w:r w:rsidR="001C5916" w:rsidRPr="005C5184">
        <w:rPr>
          <w:rFonts w:ascii="Times New Roman" w:eastAsia="Times New Roman" w:hAnsi="Times New Roman" w:cs="Times New Roman"/>
          <w:i/>
          <w:iCs/>
        </w:rPr>
        <w:t>Policy</w:t>
      </w:r>
      <w:r w:rsidR="00706DC0" w:rsidRPr="005C5184">
        <w:rPr>
          <w:rFonts w:ascii="Times New Roman" w:eastAsia="Times New Roman" w:hAnsi="Times New Roman" w:cs="Times New Roman"/>
          <w:i/>
          <w:iCs/>
        </w:rPr>
        <w:t xml:space="preserve"> rate</w:t>
      </w:r>
      <w:r w:rsidR="00706DC0" w:rsidRPr="005C5184">
        <w:rPr>
          <w:rFonts w:ascii="Times New Roman" w:eastAsia="Times New Roman" w:hAnsi="Times New Roman" w:cs="Times New Roman"/>
        </w:rPr>
        <w:t xml:space="preserve"> denotes the monetary policy </w:t>
      </w:r>
      <w:proofErr w:type="spellStart"/>
      <w:r w:rsidR="00706DC0" w:rsidRPr="005C5184">
        <w:rPr>
          <w:rFonts w:ascii="Times New Roman" w:eastAsia="Times New Roman" w:hAnsi="Times New Roman" w:cs="Times New Roman"/>
        </w:rPr>
        <w:t>rateat</w:t>
      </w:r>
      <w:proofErr w:type="spellEnd"/>
      <w:r w:rsidR="00706DC0" w:rsidRPr="005C5184">
        <w:rPr>
          <w:rFonts w:ascii="Times New Roman" w:eastAsia="Times New Roman" w:hAnsi="Times New Roman" w:cs="Times New Roman"/>
        </w:rPr>
        <w:t xml:space="preserve"> time t, and </w:t>
      </w:r>
      <w:r w:rsidR="00706DC0" w:rsidRPr="005C5184">
        <w:rPr>
          <w:rFonts w:ascii="Times New Roman" w:eastAsia="Times New Roman" w:hAnsi="Times New Roman" w:cs="Times New Roman"/>
          <w:i/>
          <w:iCs/>
        </w:rPr>
        <w:t xml:space="preserve">REER </w:t>
      </w:r>
      <w:r w:rsidR="00706DC0" w:rsidRPr="005C5184">
        <w:rPr>
          <w:rFonts w:ascii="Times New Roman" w:eastAsia="Times New Roman" w:hAnsi="Times New Roman" w:cs="Times New Roman"/>
        </w:rPr>
        <w:t xml:space="preserve">represent the real effective exchange rate at time t whereas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657BC9" w:rsidRPr="005C5184">
        <w:rPr>
          <w:rFonts w:ascii="Times New Roman" w:eastAsia="Times New Roman" w:hAnsi="Times New Roman" w:cs="Times New Roman"/>
        </w:rPr>
        <w:t xml:space="preserve"> is the white noise disturbance term</w:t>
      </w:r>
      <w:r w:rsidR="00706DC0" w:rsidRPr="005C5184">
        <w:rPr>
          <w:rFonts w:ascii="Times New Roman" w:eastAsia="Times New Roman" w:hAnsi="Times New Roman" w:cs="Times New Roman"/>
        </w:rPr>
        <w:t>. The</w:t>
      </w:r>
      <w:r w:rsidR="00657BC9" w:rsidRPr="005C518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oMath>
      <w:r w:rsidR="00706DC0" w:rsidRPr="005C5184">
        <w:rPr>
          <w:rFonts w:ascii="Times New Roman" w:eastAsia="Times New Roman" w:hAnsi="Times New Roman" w:cs="Times New Roman"/>
        </w:rPr>
        <w:t xml:space="preserve"> to</w:t>
      </w:r>
      <w:r w:rsidR="00657BC9" w:rsidRPr="005C518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 xml:space="preserve">8 </m:t>
            </m:r>
          </m:sub>
        </m:sSub>
      </m:oMath>
      <w:r w:rsidR="00657BC9" w:rsidRPr="005C5184">
        <w:rPr>
          <w:rFonts w:ascii="Times New Roman" w:eastAsia="Times New Roman" w:hAnsi="Times New Roman" w:cs="Times New Roman"/>
        </w:rPr>
        <w:t xml:space="preserve"> </w:t>
      </w:r>
      <w:r w:rsidR="00706DC0" w:rsidRPr="005C5184">
        <w:rPr>
          <w:rFonts w:ascii="Times New Roman" w:eastAsia="Times New Roman" w:hAnsi="Times New Roman" w:cs="Times New Roman"/>
        </w:rPr>
        <w:t xml:space="preserve">represent the coefficients of the constant and the respective regressors included in this model. </w:t>
      </w:r>
      <w:r w:rsidR="001C5916" w:rsidRPr="005C5184">
        <w:rPr>
          <w:rFonts w:ascii="Times New Roman" w:eastAsia="Times New Roman" w:hAnsi="Times New Roman" w:cs="Times New Roman"/>
        </w:rPr>
        <w:t xml:space="preserve">The main regressors are </w:t>
      </w:r>
      <w:bookmarkStart w:id="14" w:name="_Hlk202340443"/>
      <w:r w:rsidR="001C5916" w:rsidRPr="005C5184">
        <w:rPr>
          <w:rFonts w:ascii="Times New Roman" w:eastAsia="Times New Roman" w:hAnsi="Times New Roman" w:cs="Times New Roman"/>
        </w:rPr>
        <w:t>inflation target,</w:t>
      </w:r>
      <w:r w:rsidR="00F875CD" w:rsidRPr="005C5184">
        <w:rPr>
          <w:rFonts w:ascii="Times New Roman" w:eastAsia="Times New Roman" w:hAnsi="Times New Roman" w:cs="Times New Roman"/>
        </w:rPr>
        <w:t xml:space="preserve"> policy rate and</w:t>
      </w:r>
      <w:r w:rsidR="001C5916" w:rsidRPr="005C5184">
        <w:rPr>
          <w:rFonts w:ascii="Times New Roman" w:eastAsia="Times New Roman" w:hAnsi="Times New Roman" w:cs="Times New Roman"/>
        </w:rPr>
        <w:t xml:space="preserve"> real GDP</w:t>
      </w:r>
      <w:bookmarkEnd w:id="14"/>
      <w:r w:rsidR="00F875CD" w:rsidRPr="005C5184">
        <w:rPr>
          <w:rFonts w:ascii="Times New Roman" w:eastAsia="Times New Roman" w:hAnsi="Times New Roman" w:cs="Times New Roman"/>
        </w:rPr>
        <w:t xml:space="preserve">. </w:t>
      </w:r>
      <w:r w:rsidR="001C5916" w:rsidRPr="005C5184">
        <w:rPr>
          <w:rFonts w:ascii="Times New Roman" w:eastAsia="Times New Roman" w:hAnsi="Times New Roman" w:cs="Times New Roman"/>
        </w:rPr>
        <w:t xml:space="preserve"> FDI inflows, Exports, Imports and REER </w:t>
      </w:r>
      <w:r w:rsidR="00F875CD" w:rsidRPr="005C5184">
        <w:rPr>
          <w:rFonts w:ascii="Times New Roman" w:eastAsia="Times New Roman" w:hAnsi="Times New Roman" w:cs="Times New Roman"/>
        </w:rPr>
        <w:t>are included</w:t>
      </w:r>
      <w:r w:rsidR="001C5916" w:rsidRPr="005C5184">
        <w:rPr>
          <w:rFonts w:ascii="Times New Roman" w:eastAsia="Times New Roman" w:hAnsi="Times New Roman" w:cs="Times New Roman"/>
        </w:rPr>
        <w:t xml:space="preserve"> </w:t>
      </w:r>
      <w:r w:rsidR="00112C72" w:rsidRPr="005C5184">
        <w:rPr>
          <w:rFonts w:ascii="Times New Roman" w:eastAsia="Times New Roman" w:hAnsi="Times New Roman" w:cs="Times New Roman"/>
        </w:rPr>
        <w:t xml:space="preserve">as </w:t>
      </w:r>
      <w:r w:rsidR="001C5916" w:rsidRPr="005C5184">
        <w:rPr>
          <w:rFonts w:ascii="Times New Roman" w:eastAsia="Times New Roman" w:hAnsi="Times New Roman" w:cs="Times New Roman"/>
        </w:rPr>
        <w:t>control variables</w:t>
      </w:r>
      <w:r w:rsidR="00AB0E6A">
        <w:rPr>
          <w:rFonts w:ascii="Times New Roman" w:eastAsia="Times New Roman" w:hAnsi="Times New Roman" w:cs="Times New Roman"/>
        </w:rPr>
        <w:t xml:space="preserve">. </w:t>
      </w:r>
    </w:p>
    <w:p w14:paraId="5F651B3E" w14:textId="777591E6" w:rsidR="00591FE1" w:rsidRPr="005C5184" w:rsidRDefault="004470BC" w:rsidP="00AB0E6A">
      <w:pPr>
        <w:spacing w:after="0" w:line="276" w:lineRule="auto"/>
        <w:ind w:firstLine="720"/>
        <w:jc w:val="both"/>
        <w:outlineLvl w:val="1"/>
        <w:rPr>
          <w:rFonts w:ascii="Times New Roman" w:hAnsi="Times New Roman" w:cs="Times New Roman"/>
        </w:rPr>
      </w:pPr>
      <w:r w:rsidRPr="005C5184">
        <w:rPr>
          <w:rFonts w:ascii="Times New Roman" w:eastAsia="Times New Roman" w:hAnsi="Times New Roman" w:cs="Times New Roman"/>
        </w:rPr>
        <w:t xml:space="preserve">Specifically, </w:t>
      </w:r>
      <w:r w:rsidR="008426FF" w:rsidRPr="005C5184">
        <w:rPr>
          <w:rFonts w:ascii="Times New Roman" w:hAnsi="Times New Roman" w:cs="Times New Roman"/>
        </w:rPr>
        <w:t xml:space="preserve">this study employs the Vector Error Correction Models (VECMs) to </w:t>
      </w:r>
      <w:proofErr w:type="spellStart"/>
      <w:r w:rsidR="008426FF" w:rsidRPr="005C5184">
        <w:rPr>
          <w:rFonts w:ascii="Times New Roman" w:hAnsi="Times New Roman" w:cs="Times New Roman"/>
        </w:rPr>
        <w:t>analyse</w:t>
      </w:r>
      <w:proofErr w:type="spellEnd"/>
      <w:r w:rsidRPr="005C5184">
        <w:rPr>
          <w:rFonts w:ascii="Times New Roman" w:hAnsi="Times New Roman" w:cs="Times New Roman"/>
        </w:rPr>
        <w:t xml:space="preserve"> cointegrated time series macroeconomic variables</w:t>
      </w:r>
      <w:r w:rsidR="009246EA" w:rsidRPr="005C5184">
        <w:rPr>
          <w:rFonts w:ascii="Times New Roman" w:hAnsi="Times New Roman" w:cs="Times New Roman"/>
        </w:rPr>
        <w:t xml:space="preserve"> in this study</w:t>
      </w:r>
      <w:r w:rsidRPr="005C5184">
        <w:rPr>
          <w:rFonts w:ascii="Times New Roman" w:hAnsi="Times New Roman" w:cs="Times New Roman"/>
        </w:rPr>
        <w:t xml:space="preserve">. </w:t>
      </w:r>
      <w:r w:rsidR="00706DC0" w:rsidRPr="005C5184">
        <w:rPr>
          <w:rFonts w:ascii="Times New Roman" w:hAnsi="Times New Roman" w:cs="Times New Roman"/>
        </w:rPr>
        <w:t>The Vector Error Correction Models (VECMs)</w:t>
      </w:r>
      <w:r w:rsidR="008426FF" w:rsidRPr="005C5184">
        <w:rPr>
          <w:rFonts w:ascii="Times New Roman" w:hAnsi="Times New Roman" w:cs="Times New Roman"/>
        </w:rPr>
        <w:t xml:space="preserve"> </w:t>
      </w:r>
      <w:r w:rsidR="005125CA" w:rsidRPr="005C5184">
        <w:rPr>
          <w:rFonts w:ascii="Times New Roman" w:hAnsi="Times New Roman" w:cs="Times New Roman"/>
        </w:rPr>
        <w:t>are</w:t>
      </w:r>
      <w:r w:rsidR="00706DC0" w:rsidRPr="005C5184">
        <w:rPr>
          <w:rFonts w:ascii="Times New Roman" w:hAnsi="Times New Roman" w:cs="Times New Roman"/>
        </w:rPr>
        <w:t xml:space="preserve"> essentially</w:t>
      </w:r>
      <w:r w:rsidR="008426FF" w:rsidRPr="005C5184">
        <w:rPr>
          <w:rFonts w:ascii="Times New Roman" w:hAnsi="Times New Roman" w:cs="Times New Roman"/>
        </w:rPr>
        <w:t xml:space="preserve"> restricted variants of vector regression (VAR) models</w:t>
      </w:r>
      <w:r w:rsidR="008426FF" w:rsidRPr="005C5184">
        <w:rPr>
          <w:rStyle w:val="FootnoteReference"/>
          <w:rFonts w:ascii="Times New Roman" w:hAnsi="Times New Roman" w:cs="Times New Roman"/>
        </w:rPr>
        <w:footnoteReference w:id="4"/>
      </w:r>
      <w:r w:rsidR="008426FF" w:rsidRPr="005C5184">
        <w:rPr>
          <w:rFonts w:ascii="Times New Roman" w:hAnsi="Times New Roman" w:cs="Times New Roman"/>
        </w:rPr>
        <w:t xml:space="preserve">. </w:t>
      </w:r>
      <w:r w:rsidR="00591FE1" w:rsidRPr="005C5184">
        <w:rPr>
          <w:rFonts w:ascii="Times New Roman" w:hAnsi="Times New Roman" w:cs="Times New Roman"/>
        </w:rPr>
        <w:t xml:space="preserve"> It is presumed that when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00591FE1" w:rsidRPr="005C5184">
        <w:rPr>
          <w:rFonts w:ascii="Times New Roman" w:eastAsia="Malgun Gothic" w:hAnsi="Times New Roman" w:cs="Times New Roman"/>
        </w:rPr>
        <w:t xml:space="preserve"> </w:t>
      </w:r>
      <w:r w:rsidR="00591FE1" w:rsidRPr="005C5184">
        <w:rPr>
          <w:rFonts w:ascii="Times New Roman" w:hAnsi="Times New Roman" w:cs="Times New Roman"/>
        </w:rPr>
        <w:t xml:space="preserve"> lacks stochastic trends, all variables will be integrated of order 1, denoted as (I (1)). The existence of cointegration is indicated by the term </w:t>
      </w:r>
      <w:r w:rsidR="00591FE1" w:rsidRPr="005C5184">
        <w:rPr>
          <w:rFonts w:ascii="Times New Roman" w:eastAsia="Malgun Gothic"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yt-1</m:t>
            </m:r>
          </m:sub>
        </m:sSub>
      </m:oMath>
      <w:r w:rsidR="00591FE1" w:rsidRPr="005C5184">
        <w:rPr>
          <w:rFonts w:ascii="Times New Roman" w:hAnsi="Times New Roman" w:cs="Times New Roman"/>
        </w:rPr>
        <w:t xml:space="preserve"> , which is an integration of order 0, represented as (I (0)). </w:t>
      </w:r>
      <w:r w:rsidR="00591FE1" w:rsidRPr="005C5184">
        <w:rPr>
          <w:rFonts w:ascii="Times New Roman" w:hAnsi="Times New Roman" w:cs="Times New Roman"/>
        </w:rPr>
        <w:lastRenderedPageBreak/>
        <w:t xml:space="preserve">When </w:t>
      </w:r>
      <m:oMath>
        <m:sSub>
          <m:sSubPr>
            <m:ctrlPr>
              <w:rPr>
                <w:rFonts w:ascii="Cambria Math" w:eastAsia="Malgun Gothic" w:hAnsi="Cambria Math" w:cs="Times New Roman"/>
                <w:i/>
              </w:rPr>
            </m:ctrlPr>
          </m:sSubPr>
          <m:e>
            <m:r>
              <w:rPr>
                <w:rFonts w:ascii="Cambria Math" w:eastAsia="Malgun Gothic" w:hAnsi="Cambria Math" w:cs="Times New Roman"/>
              </w:rPr>
              <m:t>y</m:t>
            </m:r>
          </m:e>
          <m:sub>
            <m:r>
              <w:rPr>
                <w:rFonts w:ascii="Cambria Math" w:eastAsia="Malgun Gothic" w:hAnsi="Cambria Math" w:cs="Times New Roman"/>
              </w:rPr>
              <m:t>t</m:t>
            </m:r>
          </m:sub>
        </m:sSub>
      </m:oMath>
      <w:r w:rsidR="00591FE1" w:rsidRPr="005C5184">
        <w:rPr>
          <w:rFonts w:ascii="Times New Roman" w:eastAsia="Malgun Gothic" w:hAnsi="Times New Roman" w:cs="Times New Roman"/>
        </w:rPr>
        <w:t xml:space="preserve"> </w:t>
      </w:r>
      <w:r w:rsidR="00591FE1" w:rsidRPr="005C5184">
        <w:rPr>
          <w:rFonts w:ascii="Times New Roman" w:hAnsi="Times New Roman" w:cs="Times New Roman"/>
        </w:rPr>
        <w:t xml:space="preserve"> is cointegrated with a cointegration rank, r, </w:t>
      </w:r>
      <w:r w:rsidR="00591FE1" w:rsidRPr="005C5184">
        <w:rPr>
          <w:rFonts w:ascii="Times New Roman" w:eastAsia="Malgun Gothic" w:hAnsi="Times New Roman" w:cs="Times New Roman"/>
        </w:rPr>
        <w:t>rank (</w:t>
      </w:r>
      <m:oMath>
        <m:r>
          <w:rPr>
            <w:rFonts w:ascii="Cambria Math" w:hAnsi="Cambria Math" w:cs="Times New Roman"/>
          </w:rPr>
          <m:t>φ)</m:t>
        </m:r>
      </m:oMath>
      <w:r w:rsidR="00591FE1" w:rsidRPr="005C5184">
        <w:rPr>
          <w:rFonts w:ascii="Times New Roman" w:eastAsia="Malgun Gothic" w:hAnsi="Times New Roman" w:cs="Times New Roman"/>
        </w:rPr>
        <w:t xml:space="preserve"> = r</w:t>
      </w:r>
      <m:oMath>
        <m:r>
          <w:rPr>
            <w:rFonts w:ascii="Cambria Math" w:eastAsia="Malgun Gothic" w:hAnsi="Cambria Math" w:cs="Times New Roman"/>
          </w:rPr>
          <m:t>&lt;</m:t>
        </m:r>
      </m:oMath>
      <w:r w:rsidR="00591FE1" w:rsidRPr="005C5184">
        <w:rPr>
          <w:rFonts w:ascii="Times New Roman" w:eastAsia="Malgun Gothic" w:hAnsi="Times New Roman" w:cs="Times New Roman"/>
        </w:rPr>
        <w:t>K and</w:t>
      </w:r>
      <w:r w:rsidR="00591FE1" w:rsidRPr="005C5184">
        <w:rPr>
          <w:rFonts w:ascii="Cambria Math" w:hAnsi="Cambria Math" w:cs="Times New Roman"/>
          <w:i/>
        </w:rPr>
        <w:t xml:space="preserve"> </w:t>
      </w:r>
      <m:oMath>
        <m:r>
          <w:rPr>
            <w:rFonts w:ascii="Cambria Math" w:hAnsi="Cambria Math" w:cs="Times New Roman"/>
          </w:rPr>
          <m:t>φ=α</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oMath>
      <w:r w:rsidR="00591FE1" w:rsidRPr="005C5184">
        <w:rPr>
          <w:rFonts w:ascii="Times New Roman" w:eastAsia="Malgun Gothic" w:hAnsi="Times New Roman" w:cs="Times New Roman"/>
        </w:rPr>
        <w:t xml:space="preserve"> where </w:t>
      </w:r>
      <m:oMath>
        <m:r>
          <w:rPr>
            <w:rFonts w:ascii="Cambria Math" w:eastAsia="Malgun Gothic" w:hAnsi="Cambria Math" w:cs="Times New Roman"/>
          </w:rPr>
          <m:t>α and A</m:t>
        </m:r>
      </m:oMath>
      <w:r w:rsidR="00591FE1" w:rsidRPr="005C5184">
        <w:rPr>
          <w:rFonts w:ascii="Times New Roman" w:eastAsia="Malgun Gothic" w:hAnsi="Times New Roman" w:cs="Times New Roman"/>
        </w:rPr>
        <w:t xml:space="preserve"> are </w:t>
      </w:r>
      <m:oMath>
        <m:r>
          <w:rPr>
            <w:rFonts w:ascii="Cambria Math" w:eastAsia="Malgun Gothic" w:hAnsi="Cambria Math" w:cs="Times New Roman"/>
          </w:rPr>
          <m:t>K x r</m:t>
        </m:r>
      </m:oMath>
      <w:r w:rsidR="00591FE1" w:rsidRPr="005C5184">
        <w:rPr>
          <w:rFonts w:ascii="Times New Roman" w:eastAsia="Malgun Gothic" w:hAnsi="Times New Roman" w:cs="Times New Roman"/>
        </w:rPr>
        <w:t xml:space="preserve">  Vectors. The term </w:t>
      </w:r>
      <m:oMath>
        <m:sSub>
          <m:sSubPr>
            <m:ctrlPr>
              <w:rPr>
                <w:rFonts w:ascii="Cambria Math" w:eastAsia="Malgun Gothic" w:hAnsi="Cambria Math" w:cs="Times New Roman"/>
                <w:i/>
              </w:rPr>
            </m:ctrlPr>
          </m:sSubPr>
          <m:e>
            <m:r>
              <m:rPr>
                <m:sty m:val="p"/>
              </m:rPr>
              <w:rPr>
                <w:rFonts w:ascii="Cambria Math" w:eastAsia="Malgun Gothic" w:hAnsi="Cambria Math" w:cs="Times New Roman"/>
              </w:rPr>
              <m:t>Γ</m:t>
            </m:r>
          </m:e>
          <m:sub>
            <m:r>
              <w:rPr>
                <w:rFonts w:ascii="Cambria Math" w:eastAsia="Malgun Gothic" w:hAnsi="Cambria Math" w:cs="Times New Roman"/>
              </w:rPr>
              <m:t>j</m:t>
            </m:r>
          </m:sub>
        </m:sSub>
        <m:d>
          <m:dPr>
            <m:ctrlPr>
              <w:rPr>
                <w:rFonts w:ascii="Cambria Math" w:eastAsia="Malgun Gothic" w:hAnsi="Cambria Math" w:cs="Times New Roman"/>
                <w:i/>
              </w:rPr>
            </m:ctrlPr>
          </m:dPr>
          <m:e>
            <m:r>
              <w:rPr>
                <w:rFonts w:ascii="Cambria Math" w:eastAsia="Malgun Gothic" w:hAnsi="Cambria Math" w:cs="Times New Roman"/>
              </w:rPr>
              <m:t>j=1,2, …p-1</m:t>
            </m:r>
          </m:e>
        </m:d>
      </m:oMath>
      <w:r w:rsidR="00591FE1" w:rsidRPr="005C5184">
        <w:rPr>
          <w:rFonts w:ascii="Times New Roman" w:eastAsia="Malgun Gothic" w:hAnsi="Times New Roman" w:cs="Times New Roman"/>
        </w:rPr>
        <w:t xml:space="preserve"> is interpreted as the short-run parameters. The term </w:t>
      </w: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yt-1</m:t>
            </m:r>
          </m:sub>
        </m:sSub>
      </m:oMath>
      <w:r w:rsidR="00591FE1" w:rsidRPr="005C5184">
        <w:rPr>
          <w:rFonts w:ascii="Times New Roman" w:eastAsia="Malgun Gothic" w:hAnsi="Times New Roman" w:cs="Times New Roman"/>
        </w:rPr>
        <w:t xml:space="preserve"> is interpreted as the long-run effects or association of the VECM. The unknown order, </w:t>
      </w:r>
      <m:oMath>
        <m:r>
          <w:rPr>
            <w:rFonts w:ascii="Cambria Math" w:eastAsia="Malgun Gothic" w:hAnsi="Cambria Math" w:cs="Times New Roman"/>
          </w:rPr>
          <m:t>p</m:t>
        </m:r>
      </m:oMath>
      <w:r w:rsidR="00591FE1" w:rsidRPr="005C5184">
        <w:rPr>
          <w:rFonts w:ascii="Times New Roman" w:eastAsia="Malgun Gothic" w:hAnsi="Times New Roman" w:cs="Times New Roman"/>
        </w:rPr>
        <w:t xml:space="preserve">, in equation 5 is estimated using the Bayesian Information Criterion (BIC). </w:t>
      </w:r>
      <w:r w:rsidR="00AF6A74" w:rsidRPr="005C5184">
        <w:rPr>
          <w:rFonts w:ascii="Times New Roman" w:hAnsi="Times New Roman" w:cs="Times New Roman"/>
        </w:rPr>
        <w:t xml:space="preserve">According to </w:t>
      </w:r>
      <w:bookmarkStart w:id="17" w:name="_Hlk202349092"/>
      <w:proofErr w:type="spellStart"/>
      <w:r w:rsidR="00AF6A74" w:rsidRPr="005C5184">
        <w:rPr>
          <w:rFonts w:ascii="Times New Roman" w:hAnsi="Times New Roman" w:cs="Times New Roman"/>
        </w:rPr>
        <w:t>Lutkepohl</w:t>
      </w:r>
      <w:proofErr w:type="spellEnd"/>
      <w:r w:rsidR="00AF6A74" w:rsidRPr="005C5184">
        <w:rPr>
          <w:rFonts w:ascii="Times New Roman" w:hAnsi="Times New Roman" w:cs="Times New Roman"/>
        </w:rPr>
        <w:t xml:space="preserve"> (1999</w:t>
      </w:r>
      <w:bookmarkEnd w:id="17"/>
      <w:r w:rsidR="00AF6A74" w:rsidRPr="005C5184">
        <w:rPr>
          <w:rFonts w:ascii="Times New Roman" w:hAnsi="Times New Roman" w:cs="Times New Roman"/>
        </w:rPr>
        <w:t xml:space="preserve">), the VECM can be modelled, as shown in equation 5. </w:t>
      </w:r>
    </w:p>
    <w:p w14:paraId="44D3159B" w14:textId="77777777" w:rsidR="00591FE1" w:rsidRPr="005C5184" w:rsidRDefault="00591FE1" w:rsidP="00AC6F4F">
      <w:pPr>
        <w:spacing w:after="0" w:line="276" w:lineRule="auto"/>
        <w:jc w:val="both"/>
        <w:rPr>
          <w:rFonts w:ascii="Times New Roman" w:hAnsi="Times New Roman" w:cs="Times New Roman"/>
        </w:rPr>
      </w:pPr>
    </w:p>
    <w:p w14:paraId="2298BA8C" w14:textId="36DAC204" w:rsidR="004470BC" w:rsidRPr="005C5184" w:rsidRDefault="0092751A" w:rsidP="00AC6F4F">
      <w:pPr>
        <w:spacing w:line="276"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p</m:t>
            </m:r>
            <m:r>
              <w:rPr>
                <w:rFonts w:ascii="Cambria Math" w:hAnsi="Cambria Math" w:cs="Times New Roman"/>
              </w:rPr>
              <m:t>-</m:t>
            </m:r>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p</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591FE1" w:rsidRPr="005C5184">
        <w:rPr>
          <w:rFonts w:ascii="Times New Roman" w:eastAsiaTheme="minorEastAsia" w:hAnsi="Times New Roman" w:cs="Times New Roman"/>
        </w:rPr>
        <w:t xml:space="preserve">               </w:t>
      </w:r>
      <w:r w:rsidR="00AF6A74" w:rsidRPr="005C5184">
        <w:rPr>
          <w:rFonts w:ascii="Times New Roman" w:eastAsiaTheme="minorEastAsia" w:hAnsi="Times New Roman" w:cs="Times New Roman"/>
        </w:rPr>
        <w:t xml:space="preserve">     </w:t>
      </w:r>
      <m:oMath>
        <m:r>
          <w:rPr>
            <w:rFonts w:ascii="Cambria Math" w:eastAsiaTheme="minorEastAsia" w:hAnsi="Cambria Math" w:cs="Times New Roman"/>
          </w:rPr>
          <m:t>(5)</m:t>
        </m:r>
      </m:oMath>
    </w:p>
    <w:p w14:paraId="29D5B8DA" w14:textId="44D9D980" w:rsidR="004470BC" w:rsidRPr="00F62BCD" w:rsidRDefault="004470BC" w:rsidP="00F62BCD">
      <w:pPr>
        <w:pStyle w:val="ListParagraph"/>
        <w:numPr>
          <w:ilvl w:val="0"/>
          <w:numId w:val="16"/>
        </w:numPr>
        <w:tabs>
          <w:tab w:val="left" w:pos="5145"/>
        </w:tabs>
        <w:spacing w:line="276" w:lineRule="auto"/>
        <w:rPr>
          <w:rFonts w:ascii="Times New Roman" w:eastAsia="Malgun Gothic" w:hAnsi="Times New Roman" w:cs="Times New Roman"/>
        </w:rPr>
      </w:pPr>
      <w:r w:rsidRPr="00F62BCD">
        <w:rPr>
          <w:rFonts w:ascii="Times New Roman" w:eastAsia="Malgun Gothic" w:hAnsi="Times New Roman" w:cs="Times New Roman"/>
          <w:kern w:val="0"/>
          <w:lang w:eastAsia="ja-JP"/>
          <w14:ligatures w14:val="none"/>
        </w:rPr>
        <w:t xml:space="preserve">Where </w:t>
      </w:r>
      <m:oMath>
        <m:r>
          <w:rPr>
            <w:rFonts w:ascii="Cambria Math" w:hAnsi="Cambria Math" w:cs="Times New Roman"/>
          </w:rPr>
          <m:t>φ=-(</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p, </m:t>
            </m:r>
          </m:sub>
        </m:sSub>
      </m:oMath>
      <w:r w:rsidRPr="00F62BCD">
        <w:rPr>
          <w:rFonts w:ascii="Times New Roman" w:eastAsia="Malgun Gothic" w:hAnsi="Times New Roman" w:cs="Times New Roman"/>
        </w:rPr>
        <w:t xml:space="preserve"> and </w:t>
      </w:r>
      <m:oMath>
        <m:sSub>
          <m:sSubPr>
            <m:ctrlPr>
              <w:rPr>
                <w:rFonts w:ascii="Cambria Math" w:eastAsia="Malgun Gothic" w:hAnsi="Cambria Math" w:cs="Times New Roman"/>
                <w:i/>
              </w:rPr>
            </m:ctrlPr>
          </m:sSubPr>
          <m:e>
            <m:r>
              <m:rPr>
                <m:sty m:val="p"/>
              </m:rPr>
              <w:rPr>
                <w:rFonts w:ascii="Cambria Math" w:eastAsia="Malgun Gothic" w:hAnsi="Cambria Math" w:cs="Times New Roman"/>
              </w:rPr>
              <m:t>Γ</m:t>
            </m:r>
          </m:e>
          <m:sub>
            <m:r>
              <w:rPr>
                <w:rFonts w:ascii="Cambria Math" w:eastAsia="Malgun Gothic" w:hAnsi="Cambria Math" w:cs="Times New Roman"/>
              </w:rPr>
              <m:t>i</m:t>
            </m:r>
          </m:sub>
        </m:sSub>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A</m:t>
            </m:r>
          </m:e>
          <m:sub>
            <m:r>
              <w:rPr>
                <w:rFonts w:ascii="Cambria Math" w:eastAsia="Malgun Gothic" w:hAnsi="Cambria Math" w:cs="Times New Roman"/>
              </w:rPr>
              <m:t>i+1</m:t>
            </m:r>
          </m:sub>
        </m:sSub>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A</m:t>
            </m:r>
          </m:e>
          <m:sub>
            <m:r>
              <w:rPr>
                <w:rFonts w:ascii="Cambria Math" w:eastAsia="Malgun Gothic" w:hAnsi="Cambria Math" w:cs="Times New Roman"/>
              </w:rPr>
              <m:t>p</m:t>
            </m:r>
          </m:sub>
        </m:sSub>
        <m:r>
          <w:rPr>
            <w:rFonts w:ascii="Cambria Math" w:eastAsia="Malgun Gothic" w:hAnsi="Cambria Math" w:cs="Times New Roman"/>
          </w:rPr>
          <m:t>)</m:t>
        </m:r>
      </m:oMath>
      <w:r w:rsidRPr="00F62BCD">
        <w:rPr>
          <w:rFonts w:ascii="Times New Roman" w:eastAsia="Malgun Gothic" w:hAnsi="Times New Roman" w:cs="Times New Roman"/>
        </w:rPr>
        <w:t xml:space="preserve"> for I = 1, 2, …p-1</w:t>
      </w:r>
    </w:p>
    <w:p w14:paraId="541A203A" w14:textId="644D565E" w:rsidR="00AD6DD7" w:rsidRPr="005C5184" w:rsidRDefault="00AF6A74" w:rsidP="00AC6F4F">
      <w:pPr>
        <w:spacing w:before="100" w:beforeAutospacing="1" w:after="100" w:afterAutospacing="1" w:line="276" w:lineRule="auto"/>
        <w:jc w:val="both"/>
        <w:outlineLvl w:val="1"/>
        <w:rPr>
          <w:rFonts w:ascii="Times New Roman" w:eastAsia="Times New Roman" w:hAnsi="Times New Roman" w:cs="Times New Roman"/>
          <w:b/>
          <w:bCs/>
        </w:rPr>
      </w:pPr>
      <w:r w:rsidRPr="005C5184">
        <w:rPr>
          <w:rFonts w:ascii="Times New Roman" w:eastAsia="Times New Roman" w:hAnsi="Times New Roman" w:cs="Times New Roman"/>
          <w:b/>
          <w:bCs/>
        </w:rPr>
        <w:t xml:space="preserve">4. </w:t>
      </w:r>
      <w:r w:rsidR="00DB5196" w:rsidRPr="005C5184">
        <w:rPr>
          <w:rFonts w:ascii="Times New Roman" w:eastAsia="Times New Roman" w:hAnsi="Times New Roman" w:cs="Times New Roman"/>
          <w:b/>
          <w:bCs/>
        </w:rPr>
        <w:t>RESULTS AND DISCUSSIONS</w:t>
      </w:r>
    </w:p>
    <w:p w14:paraId="69EE8F61" w14:textId="77777777" w:rsidR="00FB21A2" w:rsidRDefault="00814C05" w:rsidP="00FB21A2">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Table 1 reports summary sta</w:t>
      </w:r>
      <w:r w:rsidR="00B75521" w:rsidRPr="005C5184">
        <w:rPr>
          <w:rFonts w:ascii="Times New Roman" w:eastAsia="Times New Roman" w:hAnsi="Times New Roman" w:cs="Times New Roman"/>
          <w:kern w:val="0"/>
          <w14:ligatures w14:val="none"/>
        </w:rPr>
        <w:t xml:space="preserve">tistics. </w:t>
      </w:r>
      <w:r w:rsidRPr="005C5184">
        <w:rPr>
          <w:rFonts w:ascii="Times New Roman" w:eastAsia="Times New Roman" w:hAnsi="Times New Roman" w:cs="Times New Roman"/>
          <w:kern w:val="0"/>
          <w14:ligatures w14:val="none"/>
        </w:rPr>
        <w:t>The summary statistics concerning Zambia's quarterly inflation and economic performance from 2015 to 2024 indicate ongoing difficulties in attaining price stability.  The average inflation rate during this period was 12.22%, which is considerably higher than the target of 7%, leading to a mean inflation gap of 5.22 percentage points.  The peak inflation rate reached 21.90%, whereas the lowest rate fell below the target of 6.74%.</w:t>
      </w:r>
      <w:r w:rsidR="00FB21A2">
        <w:rPr>
          <w:rFonts w:ascii="Times New Roman" w:eastAsia="Times New Roman" w:hAnsi="Times New Roman" w:cs="Times New Roman"/>
          <w:kern w:val="0"/>
          <w14:ligatures w14:val="none"/>
        </w:rPr>
        <w:t xml:space="preserve"> </w:t>
      </w:r>
    </w:p>
    <w:p w14:paraId="368C21C3" w14:textId="2D81DC56" w:rsidR="00FB21A2" w:rsidRPr="005C5184" w:rsidRDefault="00FB21A2" w:rsidP="00FB21A2">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The average real GDP was ZMW 245.7 million, demonstrating a relatively positive growth in the period under review. However, the volatility of inflation may have diminished the real value of income and adversely affected consumer purchasing power. The standard deviation of the inflation gap of 4.08% indicates considerable policy inconsistency, implying that expectations were not firmly anchored and that the mechanisms for monetary transmission were ineffective.</w:t>
      </w:r>
    </w:p>
    <w:p w14:paraId="297065C0" w14:textId="77777777" w:rsidR="006F13EB" w:rsidRDefault="006F13EB" w:rsidP="000D6F98">
      <w:pPr>
        <w:spacing w:after="0" w:line="276" w:lineRule="auto"/>
        <w:jc w:val="center"/>
        <w:outlineLvl w:val="1"/>
        <w:rPr>
          <w:rFonts w:ascii="Times New Roman" w:eastAsia="Times New Roman" w:hAnsi="Times New Roman" w:cs="Times New Roman"/>
          <w:b/>
          <w:bCs/>
          <w:kern w:val="0"/>
          <w14:ligatures w14:val="none"/>
        </w:rPr>
      </w:pPr>
    </w:p>
    <w:p w14:paraId="6402C740" w14:textId="2438931C" w:rsidR="006316AB" w:rsidRPr="002B3D89" w:rsidRDefault="006316AB" w:rsidP="000D6F98">
      <w:pPr>
        <w:spacing w:after="0" w:line="276" w:lineRule="auto"/>
        <w:jc w:val="center"/>
        <w:outlineLvl w:val="1"/>
        <w:rPr>
          <w:rFonts w:ascii="Times New Roman" w:eastAsia="Times New Roman" w:hAnsi="Times New Roman" w:cs="Times New Roman"/>
          <w:b/>
          <w:bCs/>
          <w:i/>
          <w:iCs/>
          <w:kern w:val="0"/>
          <w14:ligatures w14:val="none"/>
        </w:rPr>
      </w:pPr>
      <w:r w:rsidRPr="00E906FB">
        <w:rPr>
          <w:rFonts w:ascii="Times New Roman" w:eastAsia="Times New Roman" w:hAnsi="Times New Roman" w:cs="Times New Roman"/>
          <w:b/>
          <w:bCs/>
          <w:i/>
          <w:iCs/>
          <w:kern w:val="0"/>
          <w:highlight w:val="yellow"/>
          <w14:ligatures w14:val="none"/>
        </w:rPr>
        <w:t>Table 1: Summary Statistics</w:t>
      </w:r>
    </w:p>
    <w:tbl>
      <w:tblPr>
        <w:tblW w:w="10511" w:type="dxa"/>
        <w:tblInd w:w="-30" w:type="dxa"/>
        <w:tblLayout w:type="fixed"/>
        <w:tblLook w:val="0000" w:firstRow="0" w:lastRow="0" w:firstColumn="0" w:lastColumn="0" w:noHBand="0" w:noVBand="0"/>
      </w:tblPr>
      <w:tblGrid>
        <w:gridCol w:w="1005"/>
        <w:gridCol w:w="1066"/>
        <w:gridCol w:w="1141"/>
        <w:gridCol w:w="812"/>
        <w:gridCol w:w="1242"/>
        <w:gridCol w:w="172"/>
        <w:gridCol w:w="983"/>
        <w:gridCol w:w="824"/>
        <w:gridCol w:w="1159"/>
        <w:gridCol w:w="1212"/>
        <w:gridCol w:w="895"/>
      </w:tblGrid>
      <w:tr w:rsidR="008277AB" w:rsidRPr="005C5184" w14:paraId="5C1A07B7" w14:textId="77777777" w:rsidTr="00AB3722">
        <w:trPr>
          <w:trHeight w:val="245"/>
        </w:trPr>
        <w:tc>
          <w:tcPr>
            <w:tcW w:w="1005" w:type="dxa"/>
            <w:tcBorders>
              <w:top w:val="nil"/>
              <w:left w:val="nil"/>
              <w:bottom w:val="single" w:sz="12" w:space="0" w:color="auto"/>
              <w:right w:val="nil"/>
            </w:tcBorders>
          </w:tcPr>
          <w:p w14:paraId="55482DF4"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066" w:type="dxa"/>
            <w:tcBorders>
              <w:top w:val="nil"/>
              <w:left w:val="nil"/>
              <w:bottom w:val="single" w:sz="12" w:space="0" w:color="auto"/>
              <w:right w:val="nil"/>
            </w:tcBorders>
          </w:tcPr>
          <w:p w14:paraId="4D17CE32"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141" w:type="dxa"/>
            <w:tcBorders>
              <w:top w:val="nil"/>
              <w:left w:val="nil"/>
              <w:bottom w:val="single" w:sz="12" w:space="0" w:color="auto"/>
              <w:right w:val="nil"/>
            </w:tcBorders>
          </w:tcPr>
          <w:p w14:paraId="254E24DD"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12" w:type="dxa"/>
            <w:tcBorders>
              <w:top w:val="nil"/>
              <w:left w:val="nil"/>
              <w:bottom w:val="single" w:sz="12" w:space="0" w:color="auto"/>
              <w:right w:val="nil"/>
            </w:tcBorders>
          </w:tcPr>
          <w:p w14:paraId="41E8FDD0"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414" w:type="dxa"/>
            <w:gridSpan w:val="2"/>
            <w:tcBorders>
              <w:top w:val="nil"/>
              <w:left w:val="nil"/>
              <w:bottom w:val="single" w:sz="12" w:space="0" w:color="auto"/>
              <w:right w:val="nil"/>
            </w:tcBorders>
          </w:tcPr>
          <w:p w14:paraId="225DF200"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983" w:type="dxa"/>
            <w:tcBorders>
              <w:top w:val="nil"/>
              <w:left w:val="nil"/>
              <w:bottom w:val="single" w:sz="12" w:space="0" w:color="auto"/>
              <w:right w:val="nil"/>
            </w:tcBorders>
          </w:tcPr>
          <w:p w14:paraId="0919B0E3"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24" w:type="dxa"/>
            <w:tcBorders>
              <w:top w:val="nil"/>
              <w:left w:val="nil"/>
              <w:bottom w:val="single" w:sz="12" w:space="0" w:color="auto"/>
              <w:right w:val="nil"/>
            </w:tcBorders>
          </w:tcPr>
          <w:p w14:paraId="39A3A17F"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159" w:type="dxa"/>
            <w:tcBorders>
              <w:top w:val="nil"/>
              <w:left w:val="nil"/>
              <w:bottom w:val="single" w:sz="12" w:space="0" w:color="auto"/>
              <w:right w:val="nil"/>
            </w:tcBorders>
          </w:tcPr>
          <w:p w14:paraId="55776558"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212" w:type="dxa"/>
            <w:tcBorders>
              <w:top w:val="nil"/>
              <w:left w:val="nil"/>
              <w:bottom w:val="single" w:sz="12" w:space="0" w:color="auto"/>
              <w:right w:val="nil"/>
            </w:tcBorders>
          </w:tcPr>
          <w:p w14:paraId="6077C37F"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90" w:type="dxa"/>
            <w:tcBorders>
              <w:top w:val="nil"/>
              <w:left w:val="nil"/>
              <w:bottom w:val="single" w:sz="12" w:space="0" w:color="auto"/>
              <w:right w:val="nil"/>
            </w:tcBorders>
          </w:tcPr>
          <w:p w14:paraId="6D93D9DE"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r>
      <w:tr w:rsidR="008277AB" w:rsidRPr="005C5184" w14:paraId="542E684A" w14:textId="77777777" w:rsidTr="00AB3722">
        <w:trPr>
          <w:trHeight w:val="245"/>
        </w:trPr>
        <w:tc>
          <w:tcPr>
            <w:tcW w:w="1005" w:type="dxa"/>
            <w:tcBorders>
              <w:top w:val="nil"/>
              <w:left w:val="nil"/>
              <w:bottom w:val="single" w:sz="12" w:space="0" w:color="auto"/>
              <w:right w:val="nil"/>
            </w:tcBorders>
          </w:tcPr>
          <w:p w14:paraId="6DA6F13D"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066" w:type="dxa"/>
            <w:tcBorders>
              <w:top w:val="nil"/>
              <w:left w:val="nil"/>
              <w:bottom w:val="single" w:sz="12" w:space="0" w:color="auto"/>
              <w:right w:val="nil"/>
            </w:tcBorders>
          </w:tcPr>
          <w:p w14:paraId="44C4A80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INFLATION</w:t>
            </w:r>
          </w:p>
          <w:p w14:paraId="3881915E" w14:textId="03407E37"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1141" w:type="dxa"/>
            <w:tcBorders>
              <w:top w:val="nil"/>
              <w:left w:val="nil"/>
              <w:bottom w:val="single" w:sz="12" w:space="0" w:color="auto"/>
              <w:right w:val="nil"/>
            </w:tcBorders>
          </w:tcPr>
          <w:p w14:paraId="7E7D358C" w14:textId="77777777"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w:t>
            </w:r>
          </w:p>
          <w:p w14:paraId="5251A0DD" w14:textId="69D3D41C"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TARGET</w:t>
            </w:r>
          </w:p>
          <w:p w14:paraId="5DB2A5AD" w14:textId="5F26E097"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812" w:type="dxa"/>
            <w:tcBorders>
              <w:top w:val="nil"/>
              <w:left w:val="nil"/>
              <w:bottom w:val="single" w:sz="12" w:space="0" w:color="auto"/>
              <w:right w:val="nil"/>
            </w:tcBorders>
          </w:tcPr>
          <w:p w14:paraId="4A102E7A" w14:textId="77777777"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w:t>
            </w:r>
          </w:p>
          <w:p w14:paraId="0DCF784B" w14:textId="28867A5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GAP</w:t>
            </w:r>
          </w:p>
          <w:p w14:paraId="298AD895" w14:textId="22E56E6F"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w:t>
            </w:r>
          </w:p>
        </w:tc>
        <w:tc>
          <w:tcPr>
            <w:tcW w:w="1242" w:type="dxa"/>
            <w:tcBorders>
              <w:top w:val="nil"/>
              <w:left w:val="nil"/>
              <w:bottom w:val="single" w:sz="12" w:space="0" w:color="auto"/>
              <w:right w:val="nil"/>
            </w:tcBorders>
          </w:tcPr>
          <w:p w14:paraId="468625F7"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FDI_INFLOWS</w:t>
            </w:r>
          </w:p>
          <w:p w14:paraId="4EA393D6" w14:textId="585C56D8"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p>
        </w:tc>
        <w:tc>
          <w:tcPr>
            <w:tcW w:w="1155" w:type="dxa"/>
            <w:gridSpan w:val="2"/>
            <w:tcBorders>
              <w:top w:val="nil"/>
              <w:left w:val="nil"/>
              <w:bottom w:val="single" w:sz="12" w:space="0" w:color="auto"/>
              <w:right w:val="nil"/>
            </w:tcBorders>
          </w:tcPr>
          <w:p w14:paraId="746B4C0F" w14:textId="21CE8F2B"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proofErr w:type="spellStart"/>
            <w:r w:rsidRPr="000D6F98">
              <w:rPr>
                <w:rFonts w:ascii="Times New Roman" w:hAnsi="Times New Roman" w:cs="Times New Roman"/>
                <w:b/>
                <w:bCs/>
                <w:color w:val="000000"/>
                <w:kern w:val="0"/>
                <w:sz w:val="20"/>
                <w:szCs w:val="20"/>
              </w:rPr>
              <w:t>Real_GDP</w:t>
            </w:r>
            <w:proofErr w:type="spellEnd"/>
            <w:r w:rsidRPr="000D6F98">
              <w:rPr>
                <w:rFonts w:ascii="Times New Roman" w:hAnsi="Times New Roman" w:cs="Times New Roman"/>
                <w:b/>
                <w:bCs/>
                <w:color w:val="000000"/>
                <w:kern w:val="0"/>
                <w:sz w:val="20"/>
                <w:szCs w:val="20"/>
              </w:rPr>
              <w:t xml:space="preserve"> (</w:t>
            </w:r>
            <w:r w:rsidR="0041402E" w:rsidRPr="000D6F98">
              <w:rPr>
                <w:rFonts w:ascii="Times New Roman" w:hAnsi="Times New Roman" w:cs="Times New Roman"/>
                <w:b/>
                <w:bCs/>
                <w:color w:val="000000"/>
                <w:kern w:val="0"/>
                <w:sz w:val="20"/>
                <w:szCs w:val="20"/>
              </w:rPr>
              <w:t xml:space="preserve">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r w:rsidR="0041402E" w:rsidRPr="000D6F98">
              <w:rPr>
                <w:rFonts w:ascii="Times New Roman" w:hAnsi="Times New Roman" w:cs="Times New Roman"/>
                <w:b/>
                <w:bCs/>
                <w:color w:val="000000"/>
                <w:kern w:val="0"/>
                <w:sz w:val="20"/>
                <w:szCs w:val="20"/>
              </w:rPr>
              <w:t>)</w:t>
            </w:r>
          </w:p>
        </w:tc>
        <w:tc>
          <w:tcPr>
            <w:tcW w:w="824" w:type="dxa"/>
            <w:tcBorders>
              <w:top w:val="nil"/>
              <w:left w:val="nil"/>
              <w:bottom w:val="single" w:sz="12" w:space="0" w:color="auto"/>
              <w:right w:val="nil"/>
            </w:tcBorders>
          </w:tcPr>
          <w:p w14:paraId="5122638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EXPORTS</w:t>
            </w:r>
          </w:p>
          <w:p w14:paraId="5351DB0D" w14:textId="06B40CB2"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p>
        </w:tc>
        <w:tc>
          <w:tcPr>
            <w:tcW w:w="1159" w:type="dxa"/>
            <w:tcBorders>
              <w:top w:val="nil"/>
              <w:left w:val="nil"/>
              <w:bottom w:val="single" w:sz="12" w:space="0" w:color="auto"/>
              <w:right w:val="nil"/>
            </w:tcBorders>
          </w:tcPr>
          <w:p w14:paraId="49977DD6" w14:textId="77777777" w:rsidR="00D47C44"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IMPORTS</w:t>
            </w:r>
          </w:p>
          <w:p w14:paraId="4BE29187" w14:textId="77777777" w:rsidR="000D6F98" w:rsidRDefault="00D47C44"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w:t>
            </w:r>
            <w:r w:rsidR="00014199" w:rsidRPr="000D6F98">
              <w:rPr>
                <w:rFonts w:ascii="Times New Roman" w:hAnsi="Times New Roman" w:cs="Times New Roman"/>
                <w:b/>
                <w:bCs/>
                <w:color w:val="000000"/>
                <w:kern w:val="0"/>
                <w:sz w:val="20"/>
                <w:szCs w:val="20"/>
              </w:rPr>
              <w:t>ZMW</w:t>
            </w:r>
          </w:p>
          <w:p w14:paraId="064D6874" w14:textId="247C33F9" w:rsidR="0041402E" w:rsidRPr="000D6F98" w:rsidRDefault="00893C19"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m</w:t>
            </w:r>
            <w:r w:rsidR="0041402E" w:rsidRPr="000D6F98">
              <w:rPr>
                <w:rFonts w:ascii="Times New Roman" w:hAnsi="Times New Roman" w:cs="Times New Roman"/>
                <w:b/>
                <w:bCs/>
                <w:color w:val="000000"/>
                <w:kern w:val="0"/>
                <w:sz w:val="20"/>
                <w:szCs w:val="20"/>
              </w:rPr>
              <w:t>illions</w:t>
            </w:r>
            <w:r w:rsidR="00D47C44" w:rsidRPr="000D6F98">
              <w:rPr>
                <w:rFonts w:ascii="Times New Roman" w:hAnsi="Times New Roman" w:cs="Times New Roman"/>
                <w:b/>
                <w:bCs/>
                <w:color w:val="000000"/>
                <w:kern w:val="0"/>
                <w:sz w:val="20"/>
                <w:szCs w:val="20"/>
              </w:rPr>
              <w:t>)</w:t>
            </w:r>
          </w:p>
        </w:tc>
        <w:tc>
          <w:tcPr>
            <w:tcW w:w="1212" w:type="dxa"/>
            <w:tcBorders>
              <w:top w:val="nil"/>
              <w:left w:val="nil"/>
              <w:bottom w:val="single" w:sz="12" w:space="0" w:color="auto"/>
              <w:right w:val="nil"/>
            </w:tcBorders>
          </w:tcPr>
          <w:p w14:paraId="243533E2" w14:textId="28142970"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POLIC</w:t>
            </w:r>
            <w:r w:rsidR="000D6F98">
              <w:rPr>
                <w:rFonts w:ascii="Times New Roman" w:hAnsi="Times New Roman" w:cs="Times New Roman"/>
                <w:b/>
                <w:bCs/>
                <w:color w:val="000000"/>
                <w:kern w:val="0"/>
                <w:sz w:val="20"/>
                <w:szCs w:val="20"/>
              </w:rPr>
              <w:t>Y</w:t>
            </w:r>
          </w:p>
          <w:p w14:paraId="7C30703B" w14:textId="5ADB255C"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RATE</w:t>
            </w:r>
          </w:p>
          <w:p w14:paraId="62ACDEBD" w14:textId="0927963F"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890" w:type="dxa"/>
            <w:tcBorders>
              <w:top w:val="nil"/>
              <w:left w:val="nil"/>
              <w:bottom w:val="single" w:sz="12" w:space="0" w:color="auto"/>
              <w:right w:val="nil"/>
            </w:tcBorders>
          </w:tcPr>
          <w:p w14:paraId="1CE9E622"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REER</w:t>
            </w:r>
          </w:p>
        </w:tc>
      </w:tr>
      <w:tr w:rsidR="008277AB" w:rsidRPr="005C5184" w14:paraId="70BD8625" w14:textId="77777777" w:rsidTr="00AB3722">
        <w:trPr>
          <w:trHeight w:val="235"/>
        </w:trPr>
        <w:tc>
          <w:tcPr>
            <w:tcW w:w="1005" w:type="dxa"/>
            <w:tcBorders>
              <w:top w:val="nil"/>
              <w:left w:val="nil"/>
              <w:bottom w:val="nil"/>
              <w:right w:val="nil"/>
            </w:tcBorders>
          </w:tcPr>
          <w:p w14:paraId="1363B2BB"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Mean</w:t>
            </w:r>
          </w:p>
        </w:tc>
        <w:tc>
          <w:tcPr>
            <w:tcW w:w="1066" w:type="dxa"/>
            <w:tcBorders>
              <w:top w:val="nil"/>
              <w:left w:val="nil"/>
              <w:bottom w:val="nil"/>
              <w:right w:val="nil"/>
            </w:tcBorders>
          </w:tcPr>
          <w:p w14:paraId="72CC6D3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12.22</w:t>
            </w:r>
          </w:p>
        </w:tc>
        <w:tc>
          <w:tcPr>
            <w:tcW w:w="1141" w:type="dxa"/>
            <w:tcBorders>
              <w:top w:val="nil"/>
              <w:left w:val="nil"/>
              <w:bottom w:val="nil"/>
              <w:right w:val="nil"/>
            </w:tcBorders>
          </w:tcPr>
          <w:p w14:paraId="278713E0"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04124F12"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5.22</w:t>
            </w:r>
          </w:p>
        </w:tc>
        <w:tc>
          <w:tcPr>
            <w:tcW w:w="1414" w:type="dxa"/>
            <w:gridSpan w:val="2"/>
            <w:tcBorders>
              <w:top w:val="nil"/>
              <w:left w:val="nil"/>
              <w:bottom w:val="nil"/>
              <w:right w:val="nil"/>
            </w:tcBorders>
          </w:tcPr>
          <w:p w14:paraId="4D701F15" w14:textId="31B64B0A"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5.14</w:t>
            </w:r>
          </w:p>
        </w:tc>
        <w:tc>
          <w:tcPr>
            <w:tcW w:w="983" w:type="dxa"/>
            <w:tcBorders>
              <w:top w:val="nil"/>
              <w:left w:val="nil"/>
              <w:bottom w:val="nil"/>
              <w:right w:val="nil"/>
            </w:tcBorders>
          </w:tcPr>
          <w:p w14:paraId="616555A6" w14:textId="7B77FDE0"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245</w:t>
            </w:r>
            <w:r w:rsidR="0041402E" w:rsidRPr="000D6F98">
              <w:rPr>
                <w:rFonts w:ascii="Times New Roman" w:hAnsi="Times New Roman" w:cs="Times New Roman"/>
                <w:color w:val="000000"/>
                <w:kern w:val="0"/>
                <w:sz w:val="20"/>
                <w:szCs w:val="20"/>
              </w:rPr>
              <w:t>.67</w:t>
            </w:r>
          </w:p>
        </w:tc>
        <w:tc>
          <w:tcPr>
            <w:tcW w:w="824" w:type="dxa"/>
            <w:tcBorders>
              <w:top w:val="nil"/>
              <w:left w:val="nil"/>
              <w:bottom w:val="nil"/>
              <w:right w:val="nil"/>
            </w:tcBorders>
          </w:tcPr>
          <w:p w14:paraId="0793A629" w14:textId="628A18F6"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40.19</w:t>
            </w:r>
          </w:p>
        </w:tc>
        <w:tc>
          <w:tcPr>
            <w:tcW w:w="1159" w:type="dxa"/>
            <w:tcBorders>
              <w:top w:val="nil"/>
              <w:left w:val="nil"/>
              <w:bottom w:val="nil"/>
              <w:right w:val="nil"/>
            </w:tcBorders>
          </w:tcPr>
          <w:p w14:paraId="465A391A" w14:textId="75AA7AE1"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35.52</w:t>
            </w:r>
          </w:p>
        </w:tc>
        <w:tc>
          <w:tcPr>
            <w:tcW w:w="1212" w:type="dxa"/>
            <w:tcBorders>
              <w:top w:val="nil"/>
              <w:left w:val="nil"/>
              <w:bottom w:val="nil"/>
              <w:right w:val="nil"/>
            </w:tcBorders>
          </w:tcPr>
          <w:p w14:paraId="0E4D7BDB" w14:textId="0EA770E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11.66</w:t>
            </w:r>
          </w:p>
        </w:tc>
        <w:tc>
          <w:tcPr>
            <w:tcW w:w="890" w:type="dxa"/>
            <w:tcBorders>
              <w:top w:val="nil"/>
              <w:left w:val="nil"/>
              <w:bottom w:val="nil"/>
              <w:right w:val="nil"/>
            </w:tcBorders>
          </w:tcPr>
          <w:p w14:paraId="4D953921"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89.8</w:t>
            </w:r>
          </w:p>
        </w:tc>
      </w:tr>
      <w:tr w:rsidR="008277AB" w:rsidRPr="005C5184" w14:paraId="741DC7BB" w14:textId="77777777" w:rsidTr="00AB3722">
        <w:trPr>
          <w:trHeight w:val="255"/>
        </w:trPr>
        <w:tc>
          <w:tcPr>
            <w:tcW w:w="1005" w:type="dxa"/>
            <w:tcBorders>
              <w:top w:val="nil"/>
              <w:left w:val="nil"/>
              <w:bottom w:val="nil"/>
              <w:right w:val="nil"/>
            </w:tcBorders>
          </w:tcPr>
          <w:p w14:paraId="31D02D82"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Max</w:t>
            </w:r>
          </w:p>
        </w:tc>
        <w:tc>
          <w:tcPr>
            <w:tcW w:w="1066" w:type="dxa"/>
            <w:tcBorders>
              <w:top w:val="nil"/>
              <w:left w:val="nil"/>
              <w:bottom w:val="nil"/>
              <w:right w:val="nil"/>
            </w:tcBorders>
          </w:tcPr>
          <w:p w14:paraId="1A6E95A4"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6.74</w:t>
            </w:r>
          </w:p>
        </w:tc>
        <w:tc>
          <w:tcPr>
            <w:tcW w:w="1141" w:type="dxa"/>
            <w:tcBorders>
              <w:top w:val="nil"/>
              <w:left w:val="nil"/>
              <w:bottom w:val="nil"/>
              <w:right w:val="nil"/>
            </w:tcBorders>
          </w:tcPr>
          <w:p w14:paraId="1F6F7E03"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1341ECD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14.09</w:t>
            </w:r>
          </w:p>
        </w:tc>
        <w:tc>
          <w:tcPr>
            <w:tcW w:w="1414" w:type="dxa"/>
            <w:gridSpan w:val="2"/>
            <w:tcBorders>
              <w:top w:val="nil"/>
              <w:left w:val="nil"/>
              <w:bottom w:val="nil"/>
              <w:right w:val="nil"/>
            </w:tcBorders>
          </w:tcPr>
          <w:p w14:paraId="6328C7D4" w14:textId="543A7AB2"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1.58</w:t>
            </w:r>
          </w:p>
        </w:tc>
        <w:tc>
          <w:tcPr>
            <w:tcW w:w="983" w:type="dxa"/>
            <w:tcBorders>
              <w:top w:val="nil"/>
              <w:left w:val="nil"/>
              <w:bottom w:val="nil"/>
              <w:right w:val="nil"/>
            </w:tcBorders>
          </w:tcPr>
          <w:p w14:paraId="2E86FF49" w14:textId="0DF5102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287</w:t>
            </w:r>
            <w:r w:rsidR="0041402E" w:rsidRPr="000D6F98">
              <w:rPr>
                <w:rFonts w:ascii="Times New Roman" w:hAnsi="Times New Roman" w:cs="Times New Roman"/>
                <w:color w:val="000000"/>
                <w:kern w:val="0"/>
                <w:sz w:val="20"/>
                <w:szCs w:val="20"/>
              </w:rPr>
              <w:t>.62</w:t>
            </w:r>
          </w:p>
        </w:tc>
        <w:tc>
          <w:tcPr>
            <w:tcW w:w="824" w:type="dxa"/>
            <w:tcBorders>
              <w:top w:val="nil"/>
              <w:left w:val="nil"/>
              <w:bottom w:val="nil"/>
              <w:right w:val="nil"/>
            </w:tcBorders>
          </w:tcPr>
          <w:p w14:paraId="0BFC633F" w14:textId="0673707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52.2</w:t>
            </w:r>
            <w:r w:rsidR="004B37ED" w:rsidRPr="000D6F98">
              <w:rPr>
                <w:rFonts w:ascii="Times New Roman" w:hAnsi="Times New Roman" w:cs="Times New Roman"/>
                <w:color w:val="000000"/>
                <w:kern w:val="0"/>
                <w:sz w:val="20"/>
                <w:szCs w:val="20"/>
              </w:rPr>
              <w:t>2</w:t>
            </w:r>
          </w:p>
        </w:tc>
        <w:tc>
          <w:tcPr>
            <w:tcW w:w="1159" w:type="dxa"/>
            <w:tcBorders>
              <w:top w:val="nil"/>
              <w:left w:val="nil"/>
              <w:bottom w:val="nil"/>
              <w:right w:val="nil"/>
            </w:tcBorders>
          </w:tcPr>
          <w:p w14:paraId="6C78258D" w14:textId="07B9758B"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42.26</w:t>
            </w:r>
          </w:p>
        </w:tc>
        <w:tc>
          <w:tcPr>
            <w:tcW w:w="1212" w:type="dxa"/>
            <w:tcBorders>
              <w:top w:val="nil"/>
              <w:left w:val="nil"/>
              <w:bottom w:val="nil"/>
              <w:right w:val="nil"/>
            </w:tcBorders>
          </w:tcPr>
          <w:p w14:paraId="58457EDE" w14:textId="4A208B59"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w:t>
            </w:r>
            <w:r w:rsidR="00D47C44" w:rsidRPr="000D6F98">
              <w:rPr>
                <w:rFonts w:ascii="Times New Roman" w:hAnsi="Times New Roman" w:cs="Times New Roman"/>
                <w:color w:val="000000"/>
                <w:kern w:val="0"/>
                <w:sz w:val="20"/>
                <w:szCs w:val="20"/>
              </w:rPr>
              <w:t>.03</w:t>
            </w:r>
          </w:p>
        </w:tc>
        <w:tc>
          <w:tcPr>
            <w:tcW w:w="890" w:type="dxa"/>
            <w:tcBorders>
              <w:top w:val="nil"/>
              <w:left w:val="nil"/>
              <w:bottom w:val="nil"/>
              <w:right w:val="nil"/>
            </w:tcBorders>
          </w:tcPr>
          <w:p w14:paraId="7D20F32C"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104</w:t>
            </w:r>
          </w:p>
        </w:tc>
      </w:tr>
      <w:tr w:rsidR="008277AB" w:rsidRPr="005C5184" w14:paraId="533A37A0" w14:textId="77777777" w:rsidTr="00AB3722">
        <w:trPr>
          <w:trHeight w:val="255"/>
        </w:trPr>
        <w:tc>
          <w:tcPr>
            <w:tcW w:w="1005" w:type="dxa"/>
            <w:tcBorders>
              <w:top w:val="nil"/>
              <w:left w:val="nil"/>
              <w:bottom w:val="nil"/>
              <w:right w:val="nil"/>
            </w:tcBorders>
          </w:tcPr>
          <w:p w14:paraId="35844EBD"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Min.</w:t>
            </w:r>
          </w:p>
        </w:tc>
        <w:tc>
          <w:tcPr>
            <w:tcW w:w="1066" w:type="dxa"/>
            <w:tcBorders>
              <w:top w:val="nil"/>
              <w:left w:val="nil"/>
              <w:bottom w:val="nil"/>
              <w:right w:val="nil"/>
            </w:tcBorders>
          </w:tcPr>
          <w:p w14:paraId="2FCD819A"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21.9</w:t>
            </w:r>
          </w:p>
        </w:tc>
        <w:tc>
          <w:tcPr>
            <w:tcW w:w="1141" w:type="dxa"/>
            <w:tcBorders>
              <w:top w:val="nil"/>
              <w:left w:val="nil"/>
              <w:bottom w:val="nil"/>
              <w:right w:val="nil"/>
            </w:tcBorders>
          </w:tcPr>
          <w:p w14:paraId="79F1BBB8"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49BB8CB0" w14:textId="0B978D98" w:rsidR="008277AB" w:rsidRPr="000D6F98" w:rsidRDefault="00893C19"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-0.35</w:t>
            </w:r>
          </w:p>
        </w:tc>
        <w:tc>
          <w:tcPr>
            <w:tcW w:w="1414" w:type="dxa"/>
            <w:gridSpan w:val="2"/>
            <w:tcBorders>
              <w:top w:val="nil"/>
              <w:left w:val="nil"/>
              <w:bottom w:val="nil"/>
              <w:right w:val="nil"/>
            </w:tcBorders>
          </w:tcPr>
          <w:p w14:paraId="3B1105BE" w14:textId="60AC8E73"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w:t>
            </w:r>
            <w:r w:rsidR="004B37ED" w:rsidRPr="000D6F98">
              <w:rPr>
                <w:rFonts w:ascii="Times New Roman" w:hAnsi="Times New Roman" w:cs="Times New Roman"/>
                <w:color w:val="000000"/>
                <w:kern w:val="0"/>
                <w:sz w:val="20"/>
                <w:szCs w:val="20"/>
              </w:rPr>
              <w:t>.</w:t>
            </w:r>
            <w:r w:rsidRPr="000D6F98">
              <w:rPr>
                <w:rFonts w:ascii="Times New Roman" w:hAnsi="Times New Roman" w:cs="Times New Roman"/>
                <w:color w:val="000000"/>
                <w:kern w:val="0"/>
                <w:sz w:val="20"/>
                <w:szCs w:val="20"/>
              </w:rPr>
              <w:t>18</w:t>
            </w:r>
          </w:p>
        </w:tc>
        <w:tc>
          <w:tcPr>
            <w:tcW w:w="983" w:type="dxa"/>
            <w:tcBorders>
              <w:top w:val="nil"/>
              <w:left w:val="nil"/>
              <w:bottom w:val="nil"/>
              <w:right w:val="nil"/>
            </w:tcBorders>
          </w:tcPr>
          <w:p w14:paraId="171620A5" w14:textId="0B7A0F08"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213</w:t>
            </w:r>
            <w:r w:rsidR="0041402E" w:rsidRPr="000D6F98">
              <w:rPr>
                <w:rFonts w:ascii="Times New Roman" w:hAnsi="Times New Roman" w:cs="Times New Roman"/>
                <w:color w:val="000000"/>
                <w:kern w:val="0"/>
                <w:sz w:val="20"/>
                <w:szCs w:val="20"/>
              </w:rPr>
              <w:t>.12</w:t>
            </w:r>
          </w:p>
        </w:tc>
        <w:tc>
          <w:tcPr>
            <w:tcW w:w="824" w:type="dxa"/>
            <w:tcBorders>
              <w:top w:val="nil"/>
              <w:left w:val="nil"/>
              <w:bottom w:val="nil"/>
              <w:right w:val="nil"/>
            </w:tcBorders>
          </w:tcPr>
          <w:p w14:paraId="46EF0C85" w14:textId="4A7D906C"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34.6</w:t>
            </w:r>
            <w:r w:rsidR="004B37ED" w:rsidRPr="000D6F98">
              <w:rPr>
                <w:rFonts w:ascii="Times New Roman" w:hAnsi="Times New Roman" w:cs="Times New Roman"/>
                <w:color w:val="000000"/>
                <w:kern w:val="0"/>
                <w:sz w:val="20"/>
                <w:szCs w:val="20"/>
              </w:rPr>
              <w:t>4</w:t>
            </w:r>
          </w:p>
        </w:tc>
        <w:tc>
          <w:tcPr>
            <w:tcW w:w="1159" w:type="dxa"/>
            <w:tcBorders>
              <w:top w:val="nil"/>
              <w:left w:val="nil"/>
              <w:bottom w:val="nil"/>
              <w:right w:val="nil"/>
            </w:tcBorders>
          </w:tcPr>
          <w:p w14:paraId="5BC01518" w14:textId="39D0D1A1"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29.</w:t>
            </w:r>
            <w:r w:rsidR="00814C05" w:rsidRPr="000D6F98">
              <w:rPr>
                <w:rFonts w:ascii="Times New Roman" w:hAnsi="Times New Roman" w:cs="Times New Roman"/>
                <w:color w:val="000000"/>
                <w:kern w:val="0"/>
                <w:sz w:val="20"/>
                <w:szCs w:val="20"/>
              </w:rPr>
              <w:t>1</w:t>
            </w:r>
            <w:r w:rsidRPr="000D6F98">
              <w:rPr>
                <w:rFonts w:ascii="Times New Roman" w:hAnsi="Times New Roman" w:cs="Times New Roman"/>
                <w:color w:val="000000"/>
                <w:kern w:val="0"/>
                <w:sz w:val="20"/>
                <w:szCs w:val="20"/>
              </w:rPr>
              <w:t>3</w:t>
            </w:r>
          </w:p>
        </w:tc>
        <w:tc>
          <w:tcPr>
            <w:tcW w:w="1212" w:type="dxa"/>
            <w:tcBorders>
              <w:top w:val="nil"/>
              <w:left w:val="nil"/>
              <w:bottom w:val="nil"/>
              <w:right w:val="nil"/>
            </w:tcBorders>
          </w:tcPr>
          <w:p w14:paraId="72F61E32" w14:textId="039DD2D1"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8.51</w:t>
            </w:r>
          </w:p>
        </w:tc>
        <w:tc>
          <w:tcPr>
            <w:tcW w:w="890" w:type="dxa"/>
            <w:tcBorders>
              <w:top w:val="nil"/>
              <w:left w:val="nil"/>
              <w:bottom w:val="nil"/>
              <w:right w:val="nil"/>
            </w:tcBorders>
          </w:tcPr>
          <w:p w14:paraId="66F15441" w14:textId="31D655C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64</w:t>
            </w:r>
            <w:r w:rsidR="00E54B1F" w:rsidRPr="000D6F98">
              <w:rPr>
                <w:rFonts w:ascii="Times New Roman" w:hAnsi="Times New Roman" w:cs="Times New Roman"/>
                <w:color w:val="000000"/>
                <w:kern w:val="0"/>
                <w:sz w:val="20"/>
                <w:szCs w:val="20"/>
              </w:rPr>
              <w:t>.1</w:t>
            </w:r>
          </w:p>
        </w:tc>
      </w:tr>
      <w:tr w:rsidR="008277AB" w:rsidRPr="005C5184" w14:paraId="12393AF8" w14:textId="77777777" w:rsidTr="00AB3722">
        <w:trPr>
          <w:trHeight w:val="255"/>
        </w:trPr>
        <w:tc>
          <w:tcPr>
            <w:tcW w:w="1005" w:type="dxa"/>
            <w:tcBorders>
              <w:top w:val="nil"/>
              <w:left w:val="nil"/>
              <w:bottom w:val="nil"/>
              <w:right w:val="nil"/>
            </w:tcBorders>
          </w:tcPr>
          <w:p w14:paraId="7B74D22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Std. Dev.</w:t>
            </w:r>
          </w:p>
        </w:tc>
        <w:tc>
          <w:tcPr>
            <w:tcW w:w="1066" w:type="dxa"/>
            <w:tcBorders>
              <w:top w:val="nil"/>
              <w:left w:val="nil"/>
              <w:bottom w:val="nil"/>
              <w:right w:val="nil"/>
            </w:tcBorders>
          </w:tcPr>
          <w:p w14:paraId="4BB045D7"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4.08</w:t>
            </w:r>
          </w:p>
        </w:tc>
        <w:tc>
          <w:tcPr>
            <w:tcW w:w="1141" w:type="dxa"/>
            <w:tcBorders>
              <w:top w:val="nil"/>
              <w:left w:val="nil"/>
              <w:bottom w:val="nil"/>
              <w:right w:val="nil"/>
            </w:tcBorders>
          </w:tcPr>
          <w:p w14:paraId="4474312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w:t>
            </w:r>
          </w:p>
        </w:tc>
        <w:tc>
          <w:tcPr>
            <w:tcW w:w="812" w:type="dxa"/>
            <w:tcBorders>
              <w:top w:val="nil"/>
              <w:left w:val="nil"/>
              <w:bottom w:val="nil"/>
              <w:right w:val="nil"/>
            </w:tcBorders>
          </w:tcPr>
          <w:p w14:paraId="388F9704" w14:textId="1574DCCA" w:rsidR="008277AB" w:rsidRPr="000D6F98" w:rsidRDefault="00893C19"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4.08</w:t>
            </w:r>
            <w:r w:rsidR="008277AB" w:rsidRPr="000D6F98">
              <w:rPr>
                <w:rFonts w:ascii="Times New Roman" w:hAnsi="Times New Roman" w:cs="Times New Roman"/>
                <w:color w:val="000000"/>
                <w:kern w:val="0"/>
                <w:sz w:val="20"/>
                <w:szCs w:val="20"/>
              </w:rPr>
              <w:t xml:space="preserve">               </w:t>
            </w:r>
          </w:p>
        </w:tc>
        <w:tc>
          <w:tcPr>
            <w:tcW w:w="1414" w:type="dxa"/>
            <w:gridSpan w:val="2"/>
            <w:tcBorders>
              <w:top w:val="nil"/>
              <w:left w:val="nil"/>
              <w:bottom w:val="nil"/>
              <w:right w:val="nil"/>
            </w:tcBorders>
          </w:tcPr>
          <w:p w14:paraId="77A13E1B" w14:textId="3CDD2D73"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4.81</w:t>
            </w:r>
          </w:p>
        </w:tc>
        <w:tc>
          <w:tcPr>
            <w:tcW w:w="983" w:type="dxa"/>
            <w:tcBorders>
              <w:top w:val="nil"/>
              <w:left w:val="nil"/>
              <w:bottom w:val="nil"/>
              <w:right w:val="nil"/>
            </w:tcBorders>
          </w:tcPr>
          <w:p w14:paraId="7FD880D9" w14:textId="18AD3EF1"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29</w:t>
            </w:r>
            <w:r w:rsidR="0041402E" w:rsidRPr="000D6F98">
              <w:rPr>
                <w:rFonts w:ascii="Times New Roman" w:hAnsi="Times New Roman" w:cs="Times New Roman"/>
                <w:color w:val="000000"/>
                <w:kern w:val="0"/>
                <w:sz w:val="20"/>
                <w:szCs w:val="20"/>
              </w:rPr>
              <w:t>.0</w:t>
            </w:r>
            <w:r w:rsidR="00814C05" w:rsidRPr="000D6F98">
              <w:rPr>
                <w:rFonts w:ascii="Times New Roman" w:hAnsi="Times New Roman" w:cs="Times New Roman"/>
                <w:color w:val="000000"/>
                <w:kern w:val="0"/>
                <w:sz w:val="20"/>
                <w:szCs w:val="20"/>
              </w:rPr>
              <w:t>1</w:t>
            </w:r>
          </w:p>
        </w:tc>
        <w:tc>
          <w:tcPr>
            <w:tcW w:w="824" w:type="dxa"/>
            <w:tcBorders>
              <w:top w:val="nil"/>
              <w:left w:val="nil"/>
              <w:bottom w:val="nil"/>
              <w:right w:val="nil"/>
            </w:tcBorders>
          </w:tcPr>
          <w:p w14:paraId="2FD40C87" w14:textId="268E392C"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5.4</w:t>
            </w:r>
            <w:r w:rsidR="004B37ED" w:rsidRPr="000D6F98">
              <w:rPr>
                <w:rFonts w:ascii="Times New Roman" w:hAnsi="Times New Roman" w:cs="Times New Roman"/>
                <w:color w:val="000000"/>
                <w:kern w:val="0"/>
                <w:sz w:val="20"/>
                <w:szCs w:val="20"/>
              </w:rPr>
              <w:t>4</w:t>
            </w:r>
          </w:p>
        </w:tc>
        <w:tc>
          <w:tcPr>
            <w:tcW w:w="1159" w:type="dxa"/>
            <w:tcBorders>
              <w:top w:val="nil"/>
              <w:left w:val="nil"/>
              <w:bottom w:val="nil"/>
              <w:right w:val="nil"/>
            </w:tcBorders>
          </w:tcPr>
          <w:p w14:paraId="74F16F15" w14:textId="6DB99A90"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3.74</w:t>
            </w:r>
          </w:p>
        </w:tc>
        <w:tc>
          <w:tcPr>
            <w:tcW w:w="1212" w:type="dxa"/>
            <w:tcBorders>
              <w:top w:val="nil"/>
              <w:left w:val="nil"/>
              <w:bottom w:val="nil"/>
              <w:right w:val="nil"/>
            </w:tcBorders>
          </w:tcPr>
          <w:p w14:paraId="6D3F62E0" w14:textId="60A70CAA"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2.25</w:t>
            </w:r>
          </w:p>
        </w:tc>
        <w:tc>
          <w:tcPr>
            <w:tcW w:w="890" w:type="dxa"/>
            <w:tcBorders>
              <w:top w:val="nil"/>
              <w:left w:val="nil"/>
              <w:bottom w:val="nil"/>
              <w:right w:val="nil"/>
            </w:tcBorders>
          </w:tcPr>
          <w:p w14:paraId="33C11B18" w14:textId="06F9B9DF"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10.49</w:t>
            </w:r>
          </w:p>
        </w:tc>
      </w:tr>
      <w:tr w:rsidR="008277AB" w:rsidRPr="005C5184" w14:paraId="70CFC5D6" w14:textId="77777777" w:rsidTr="00AB3722">
        <w:trPr>
          <w:trHeight w:val="255"/>
        </w:trPr>
        <w:tc>
          <w:tcPr>
            <w:tcW w:w="1005" w:type="dxa"/>
            <w:tcBorders>
              <w:top w:val="nil"/>
              <w:left w:val="nil"/>
              <w:bottom w:val="nil"/>
              <w:right w:val="nil"/>
            </w:tcBorders>
          </w:tcPr>
          <w:p w14:paraId="3897E801"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25 </w:t>
            </w:r>
            <w:proofErr w:type="gramStart"/>
            <w:r w:rsidRPr="000D6F98">
              <w:rPr>
                <w:rFonts w:ascii="Times New Roman" w:hAnsi="Times New Roman" w:cs="Times New Roman"/>
                <w:b/>
                <w:bCs/>
                <w:color w:val="000000"/>
                <w:kern w:val="0"/>
                <w:sz w:val="20"/>
                <w:szCs w:val="20"/>
              </w:rPr>
              <w:t>percentile</w:t>
            </w:r>
            <w:proofErr w:type="gramEnd"/>
          </w:p>
        </w:tc>
        <w:tc>
          <w:tcPr>
            <w:tcW w:w="1066" w:type="dxa"/>
            <w:tcBorders>
              <w:top w:val="nil"/>
              <w:left w:val="nil"/>
              <w:bottom w:val="nil"/>
              <w:right w:val="nil"/>
            </w:tcBorders>
          </w:tcPr>
          <w:p w14:paraId="36AC32C6"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9.36</w:t>
            </w:r>
          </w:p>
        </w:tc>
        <w:tc>
          <w:tcPr>
            <w:tcW w:w="1141" w:type="dxa"/>
            <w:tcBorders>
              <w:top w:val="nil"/>
              <w:left w:val="nil"/>
              <w:bottom w:val="nil"/>
              <w:right w:val="nil"/>
            </w:tcBorders>
          </w:tcPr>
          <w:p w14:paraId="0724A98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248954F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2.36</w:t>
            </w:r>
          </w:p>
        </w:tc>
        <w:tc>
          <w:tcPr>
            <w:tcW w:w="1414" w:type="dxa"/>
            <w:gridSpan w:val="2"/>
            <w:tcBorders>
              <w:top w:val="nil"/>
              <w:left w:val="nil"/>
              <w:bottom w:val="nil"/>
              <w:right w:val="nil"/>
            </w:tcBorders>
          </w:tcPr>
          <w:p w14:paraId="438DAAA0" w14:textId="4BAD952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1.56</w:t>
            </w:r>
          </w:p>
        </w:tc>
        <w:tc>
          <w:tcPr>
            <w:tcW w:w="983" w:type="dxa"/>
            <w:tcBorders>
              <w:top w:val="nil"/>
              <w:left w:val="nil"/>
              <w:bottom w:val="nil"/>
              <w:right w:val="nil"/>
            </w:tcBorders>
          </w:tcPr>
          <w:p w14:paraId="2CD7919F" w14:textId="652B6F2E"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16</w:t>
            </w:r>
            <w:r w:rsidR="0041402E" w:rsidRPr="000D6F98">
              <w:rPr>
                <w:rFonts w:ascii="Times New Roman" w:hAnsi="Times New Roman" w:cs="Times New Roman"/>
                <w:color w:val="000000"/>
                <w:kern w:val="0"/>
                <w:sz w:val="20"/>
                <w:szCs w:val="20"/>
              </w:rPr>
              <w:t>.</w:t>
            </w:r>
            <w:r w:rsidRPr="000D6F98">
              <w:rPr>
                <w:rFonts w:ascii="Times New Roman" w:hAnsi="Times New Roman" w:cs="Times New Roman"/>
                <w:color w:val="000000"/>
                <w:kern w:val="0"/>
                <w:sz w:val="20"/>
                <w:szCs w:val="20"/>
              </w:rPr>
              <w:t>5</w:t>
            </w:r>
            <w:r w:rsidR="00814C05" w:rsidRPr="000D6F98">
              <w:rPr>
                <w:rFonts w:ascii="Times New Roman" w:hAnsi="Times New Roman" w:cs="Times New Roman"/>
                <w:color w:val="000000"/>
                <w:kern w:val="0"/>
                <w:sz w:val="20"/>
                <w:szCs w:val="20"/>
              </w:rPr>
              <w:t>5</w:t>
            </w:r>
          </w:p>
        </w:tc>
        <w:tc>
          <w:tcPr>
            <w:tcW w:w="824" w:type="dxa"/>
            <w:tcBorders>
              <w:top w:val="nil"/>
              <w:left w:val="nil"/>
              <w:bottom w:val="nil"/>
              <w:right w:val="nil"/>
            </w:tcBorders>
          </w:tcPr>
          <w:p w14:paraId="64FA3DE7" w14:textId="2FBD50BB"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27.</w:t>
            </w:r>
            <w:r w:rsidR="004B37ED" w:rsidRPr="000D6F98">
              <w:rPr>
                <w:rFonts w:ascii="Times New Roman" w:hAnsi="Times New Roman" w:cs="Times New Roman"/>
                <w:color w:val="000000"/>
                <w:kern w:val="0"/>
                <w:sz w:val="20"/>
                <w:szCs w:val="20"/>
              </w:rPr>
              <w:t>61</w:t>
            </w:r>
          </w:p>
        </w:tc>
        <w:tc>
          <w:tcPr>
            <w:tcW w:w="1159" w:type="dxa"/>
            <w:tcBorders>
              <w:top w:val="nil"/>
              <w:left w:val="nil"/>
              <w:bottom w:val="nil"/>
              <w:right w:val="nil"/>
            </w:tcBorders>
          </w:tcPr>
          <w:p w14:paraId="6F25A925" w14:textId="2981FA85"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22.76</w:t>
            </w:r>
          </w:p>
        </w:tc>
        <w:tc>
          <w:tcPr>
            <w:tcW w:w="1212" w:type="dxa"/>
            <w:tcBorders>
              <w:top w:val="nil"/>
              <w:left w:val="nil"/>
              <w:bottom w:val="nil"/>
              <w:right w:val="nil"/>
            </w:tcBorders>
          </w:tcPr>
          <w:p w14:paraId="12D6F5AB"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6.94</w:t>
            </w:r>
          </w:p>
        </w:tc>
        <w:tc>
          <w:tcPr>
            <w:tcW w:w="890" w:type="dxa"/>
            <w:tcBorders>
              <w:top w:val="nil"/>
              <w:left w:val="nil"/>
              <w:bottom w:val="nil"/>
              <w:right w:val="nil"/>
            </w:tcBorders>
          </w:tcPr>
          <w:p w14:paraId="5B9B531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50.62</w:t>
            </w:r>
          </w:p>
        </w:tc>
      </w:tr>
      <w:tr w:rsidR="008277AB" w:rsidRPr="005C5184" w14:paraId="1B71DECD" w14:textId="77777777" w:rsidTr="00AB3722">
        <w:trPr>
          <w:trHeight w:val="255"/>
        </w:trPr>
        <w:tc>
          <w:tcPr>
            <w:tcW w:w="1005" w:type="dxa"/>
            <w:tcBorders>
              <w:top w:val="nil"/>
              <w:left w:val="nil"/>
              <w:bottom w:val="single" w:sz="4" w:space="0" w:color="auto"/>
              <w:right w:val="nil"/>
            </w:tcBorders>
          </w:tcPr>
          <w:p w14:paraId="6DE5A830"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75th percentile</w:t>
            </w:r>
          </w:p>
        </w:tc>
        <w:tc>
          <w:tcPr>
            <w:tcW w:w="1066" w:type="dxa"/>
            <w:tcBorders>
              <w:top w:val="nil"/>
              <w:left w:val="nil"/>
              <w:bottom w:val="single" w:sz="4" w:space="0" w:color="auto"/>
              <w:right w:val="nil"/>
            </w:tcBorders>
          </w:tcPr>
          <w:p w14:paraId="1E72269C"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14.89</w:t>
            </w:r>
          </w:p>
        </w:tc>
        <w:tc>
          <w:tcPr>
            <w:tcW w:w="1141" w:type="dxa"/>
            <w:tcBorders>
              <w:top w:val="nil"/>
              <w:left w:val="nil"/>
              <w:bottom w:val="single" w:sz="4" w:space="0" w:color="auto"/>
              <w:right w:val="nil"/>
            </w:tcBorders>
          </w:tcPr>
          <w:p w14:paraId="1C3FFB2D"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single" w:sz="4" w:space="0" w:color="auto"/>
              <w:right w:val="nil"/>
            </w:tcBorders>
          </w:tcPr>
          <w:p w14:paraId="5D93B248"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7.89</w:t>
            </w:r>
          </w:p>
        </w:tc>
        <w:tc>
          <w:tcPr>
            <w:tcW w:w="1414" w:type="dxa"/>
            <w:gridSpan w:val="2"/>
            <w:tcBorders>
              <w:top w:val="nil"/>
              <w:left w:val="nil"/>
              <w:bottom w:val="single" w:sz="4" w:space="0" w:color="auto"/>
              <w:right w:val="nil"/>
            </w:tcBorders>
          </w:tcPr>
          <w:p w14:paraId="062B5232" w14:textId="619B978F"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4.23</w:t>
            </w:r>
          </w:p>
        </w:tc>
        <w:tc>
          <w:tcPr>
            <w:tcW w:w="983" w:type="dxa"/>
            <w:tcBorders>
              <w:top w:val="nil"/>
              <w:left w:val="nil"/>
              <w:bottom w:val="single" w:sz="4" w:space="0" w:color="auto"/>
              <w:right w:val="nil"/>
            </w:tcBorders>
          </w:tcPr>
          <w:p w14:paraId="46FCFA11" w14:textId="58664A9B"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25</w:t>
            </w:r>
            <w:r w:rsidR="0041402E" w:rsidRPr="000D6F98">
              <w:rPr>
                <w:rFonts w:ascii="Times New Roman" w:hAnsi="Times New Roman" w:cs="Times New Roman"/>
                <w:color w:val="000000"/>
                <w:kern w:val="0"/>
                <w:sz w:val="20"/>
                <w:szCs w:val="20"/>
              </w:rPr>
              <w:t>.</w:t>
            </w:r>
            <w:r w:rsidR="00814C05" w:rsidRPr="000D6F98">
              <w:rPr>
                <w:rFonts w:ascii="Times New Roman" w:hAnsi="Times New Roman" w:cs="Times New Roman"/>
                <w:color w:val="000000"/>
                <w:kern w:val="0"/>
                <w:sz w:val="20"/>
                <w:szCs w:val="20"/>
              </w:rPr>
              <w:t>83</w:t>
            </w:r>
          </w:p>
        </w:tc>
        <w:tc>
          <w:tcPr>
            <w:tcW w:w="824" w:type="dxa"/>
            <w:tcBorders>
              <w:top w:val="nil"/>
              <w:left w:val="nil"/>
              <w:bottom w:val="single" w:sz="4" w:space="0" w:color="auto"/>
              <w:right w:val="nil"/>
            </w:tcBorders>
          </w:tcPr>
          <w:p w14:paraId="721236F7" w14:textId="54516F62"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43.2</w:t>
            </w:r>
            <w:r w:rsidR="004B37ED" w:rsidRPr="000D6F98">
              <w:rPr>
                <w:rFonts w:ascii="Times New Roman" w:hAnsi="Times New Roman" w:cs="Times New Roman"/>
                <w:color w:val="000000"/>
                <w:kern w:val="0"/>
                <w:sz w:val="20"/>
                <w:szCs w:val="20"/>
              </w:rPr>
              <w:t>7</w:t>
            </w:r>
          </w:p>
        </w:tc>
        <w:tc>
          <w:tcPr>
            <w:tcW w:w="1159" w:type="dxa"/>
            <w:tcBorders>
              <w:top w:val="nil"/>
              <w:left w:val="nil"/>
              <w:bottom w:val="single" w:sz="4" w:space="0" w:color="auto"/>
              <w:right w:val="nil"/>
            </w:tcBorders>
          </w:tcPr>
          <w:p w14:paraId="3FD384F0" w14:textId="1B39DF27"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37.2</w:t>
            </w:r>
            <w:r w:rsidR="00814C05" w:rsidRPr="000D6F98">
              <w:rPr>
                <w:rFonts w:ascii="Times New Roman" w:hAnsi="Times New Roman" w:cs="Times New Roman"/>
                <w:color w:val="000000"/>
                <w:kern w:val="0"/>
                <w:sz w:val="20"/>
                <w:szCs w:val="20"/>
              </w:rPr>
              <w:t>8</w:t>
            </w:r>
          </w:p>
        </w:tc>
        <w:tc>
          <w:tcPr>
            <w:tcW w:w="1212" w:type="dxa"/>
            <w:tcBorders>
              <w:top w:val="nil"/>
              <w:left w:val="nil"/>
              <w:bottom w:val="single" w:sz="4" w:space="0" w:color="auto"/>
              <w:right w:val="nil"/>
            </w:tcBorders>
          </w:tcPr>
          <w:p w14:paraId="309FB18C" w14:textId="4BA241A5"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13.00</w:t>
            </w:r>
          </w:p>
        </w:tc>
        <w:tc>
          <w:tcPr>
            <w:tcW w:w="890" w:type="dxa"/>
            <w:tcBorders>
              <w:top w:val="nil"/>
              <w:left w:val="nil"/>
              <w:bottom w:val="single" w:sz="4" w:space="0" w:color="auto"/>
              <w:right w:val="nil"/>
            </w:tcBorders>
          </w:tcPr>
          <w:p w14:paraId="796B10D6"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93.35</w:t>
            </w:r>
          </w:p>
        </w:tc>
      </w:tr>
      <w:tr w:rsidR="008277AB" w:rsidRPr="005C5184" w14:paraId="3DB6B2F4" w14:textId="77777777" w:rsidTr="00AB3722">
        <w:trPr>
          <w:trHeight w:val="245"/>
        </w:trPr>
        <w:tc>
          <w:tcPr>
            <w:tcW w:w="1005" w:type="dxa"/>
            <w:tcBorders>
              <w:top w:val="single" w:sz="4" w:space="0" w:color="auto"/>
              <w:left w:val="nil"/>
              <w:bottom w:val="single" w:sz="12" w:space="0" w:color="auto"/>
              <w:right w:val="nil"/>
            </w:tcBorders>
          </w:tcPr>
          <w:p w14:paraId="7A7D1817"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Obs.</w:t>
            </w:r>
          </w:p>
        </w:tc>
        <w:tc>
          <w:tcPr>
            <w:tcW w:w="1066" w:type="dxa"/>
            <w:tcBorders>
              <w:top w:val="single" w:sz="4" w:space="0" w:color="auto"/>
              <w:left w:val="nil"/>
              <w:bottom w:val="single" w:sz="12" w:space="0" w:color="auto"/>
              <w:right w:val="nil"/>
            </w:tcBorders>
          </w:tcPr>
          <w:p w14:paraId="2C121E59"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141" w:type="dxa"/>
            <w:tcBorders>
              <w:top w:val="single" w:sz="4" w:space="0" w:color="auto"/>
              <w:left w:val="nil"/>
              <w:bottom w:val="single" w:sz="12" w:space="0" w:color="auto"/>
              <w:right w:val="nil"/>
            </w:tcBorders>
          </w:tcPr>
          <w:p w14:paraId="4E22F6B3"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812" w:type="dxa"/>
            <w:tcBorders>
              <w:top w:val="single" w:sz="4" w:space="0" w:color="auto"/>
              <w:left w:val="nil"/>
              <w:bottom w:val="single" w:sz="12" w:space="0" w:color="auto"/>
              <w:right w:val="nil"/>
            </w:tcBorders>
          </w:tcPr>
          <w:p w14:paraId="2E5F1DF9"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414" w:type="dxa"/>
            <w:gridSpan w:val="2"/>
            <w:tcBorders>
              <w:top w:val="single" w:sz="4" w:space="0" w:color="auto"/>
              <w:left w:val="nil"/>
              <w:bottom w:val="single" w:sz="12" w:space="0" w:color="auto"/>
              <w:right w:val="nil"/>
            </w:tcBorders>
          </w:tcPr>
          <w:p w14:paraId="120DB758"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983" w:type="dxa"/>
            <w:tcBorders>
              <w:top w:val="single" w:sz="4" w:space="0" w:color="auto"/>
              <w:left w:val="nil"/>
              <w:bottom w:val="single" w:sz="12" w:space="0" w:color="auto"/>
              <w:right w:val="nil"/>
            </w:tcBorders>
          </w:tcPr>
          <w:p w14:paraId="333F754C"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824" w:type="dxa"/>
            <w:tcBorders>
              <w:top w:val="single" w:sz="4" w:space="0" w:color="auto"/>
              <w:left w:val="nil"/>
              <w:bottom w:val="single" w:sz="12" w:space="0" w:color="auto"/>
              <w:right w:val="nil"/>
            </w:tcBorders>
          </w:tcPr>
          <w:p w14:paraId="2483C5A5" w14:textId="4AD824A6"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c>
          <w:tcPr>
            <w:tcW w:w="1159" w:type="dxa"/>
            <w:tcBorders>
              <w:top w:val="single" w:sz="4" w:space="0" w:color="auto"/>
              <w:left w:val="nil"/>
              <w:bottom w:val="single" w:sz="12" w:space="0" w:color="auto"/>
              <w:right w:val="nil"/>
            </w:tcBorders>
          </w:tcPr>
          <w:p w14:paraId="6E420708"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212" w:type="dxa"/>
            <w:tcBorders>
              <w:top w:val="single" w:sz="4" w:space="0" w:color="auto"/>
              <w:left w:val="nil"/>
              <w:bottom w:val="single" w:sz="12" w:space="0" w:color="auto"/>
              <w:right w:val="nil"/>
            </w:tcBorders>
          </w:tcPr>
          <w:p w14:paraId="7614B1AB" w14:textId="62E89977"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c>
          <w:tcPr>
            <w:tcW w:w="890" w:type="dxa"/>
            <w:tcBorders>
              <w:top w:val="single" w:sz="4" w:space="0" w:color="auto"/>
              <w:left w:val="nil"/>
              <w:bottom w:val="single" w:sz="12" w:space="0" w:color="auto"/>
              <w:right w:val="nil"/>
            </w:tcBorders>
          </w:tcPr>
          <w:p w14:paraId="12F0DF64" w14:textId="13C7A0DC"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r>
      <w:tr w:rsidR="00004641" w:rsidRPr="005C5184" w14:paraId="4611919B" w14:textId="77777777" w:rsidTr="00AB3722">
        <w:trPr>
          <w:trHeight w:val="235"/>
        </w:trPr>
        <w:tc>
          <w:tcPr>
            <w:tcW w:w="10511" w:type="dxa"/>
            <w:gridSpan w:val="11"/>
            <w:tcBorders>
              <w:top w:val="nil"/>
              <w:left w:val="nil"/>
              <w:bottom w:val="nil"/>
              <w:right w:val="nil"/>
            </w:tcBorders>
          </w:tcPr>
          <w:p w14:paraId="492C5DA6" w14:textId="77777777" w:rsidR="00004641" w:rsidRPr="005C5184" w:rsidRDefault="00004641" w:rsidP="00004641">
            <w:pPr>
              <w:autoSpaceDE w:val="0"/>
              <w:autoSpaceDN w:val="0"/>
              <w:adjustRightInd w:val="0"/>
              <w:spacing w:after="0" w:line="240" w:lineRule="auto"/>
              <w:jc w:val="right"/>
              <w:rPr>
                <w:rFonts w:ascii="Aptos Narrow" w:hAnsi="Aptos Narrow" w:cs="Aptos Narrow"/>
                <w:color w:val="000000"/>
                <w:kern w:val="0"/>
              </w:rPr>
            </w:pPr>
          </w:p>
        </w:tc>
      </w:tr>
    </w:tbl>
    <w:p w14:paraId="5522CB98" w14:textId="7AC89500" w:rsidR="00004641" w:rsidRPr="00004641" w:rsidRDefault="00004641" w:rsidP="00004641">
      <w:pPr>
        <w:spacing w:after="0" w:line="240" w:lineRule="auto"/>
        <w:jc w:val="center"/>
        <w:outlineLvl w:val="1"/>
        <w:rPr>
          <w:rFonts w:ascii="Times New Roman" w:eastAsia="Times New Roman" w:hAnsi="Times New Roman" w:cs="Times New Roman"/>
          <w:b/>
          <w:bCs/>
          <w:kern w:val="0"/>
          <w14:ligatures w14:val="none"/>
        </w:rPr>
      </w:pPr>
      <w:r w:rsidRPr="002B3D89">
        <w:rPr>
          <w:rFonts w:ascii="Times New Roman" w:eastAsia="Times New Roman" w:hAnsi="Times New Roman" w:cs="Times New Roman"/>
          <w:b/>
          <w:bCs/>
          <w:i/>
          <w:iCs/>
          <w:kern w:val="0"/>
          <w14:ligatures w14:val="none"/>
        </w:rPr>
        <w:t xml:space="preserve">Source: </w:t>
      </w:r>
      <w:r w:rsidR="002B3D89" w:rsidRPr="002B3D89">
        <w:rPr>
          <w:rFonts w:ascii="Times New Roman" w:eastAsia="Times New Roman" w:hAnsi="Times New Roman" w:cs="Times New Roman"/>
          <w:b/>
          <w:bCs/>
          <w:i/>
          <w:iCs/>
          <w:kern w:val="0"/>
          <w14:ligatures w14:val="none"/>
        </w:rPr>
        <w:t>Authors’</w:t>
      </w:r>
      <w:r w:rsidRPr="002B3D89">
        <w:rPr>
          <w:rFonts w:ascii="Times New Roman" w:eastAsia="Times New Roman" w:hAnsi="Times New Roman" w:cs="Times New Roman"/>
          <w:b/>
          <w:bCs/>
          <w:i/>
          <w:iCs/>
          <w:kern w:val="0"/>
          <w14:ligatures w14:val="none"/>
        </w:rPr>
        <w:t xml:space="preserve"> elaboration on data</w:t>
      </w:r>
      <w:r w:rsidRPr="00004641">
        <w:rPr>
          <w:rFonts w:ascii="Times New Roman" w:eastAsia="Times New Roman" w:hAnsi="Times New Roman" w:cs="Times New Roman"/>
          <w:b/>
          <w:bCs/>
          <w:kern w:val="0"/>
          <w14:ligatures w14:val="none"/>
        </w:rPr>
        <w:t>.</w:t>
      </w:r>
    </w:p>
    <w:p w14:paraId="66DB7397" w14:textId="51729AA7" w:rsidR="000D6F98" w:rsidRPr="005C5184" w:rsidRDefault="00B25A6D" w:rsidP="00FB21A2">
      <w:pPr>
        <w:spacing w:before="100" w:beforeAutospacing="1" w:after="100" w:afterAutospacing="1" w:line="276" w:lineRule="auto"/>
        <w:ind w:firstLine="720"/>
        <w:jc w:val="both"/>
        <w:outlineLvl w:val="1"/>
        <w:rPr>
          <w:rFonts w:ascii="Times New Roman" w:hAnsi="Times New Roman" w:cs="Times New Roman"/>
        </w:rPr>
      </w:pPr>
      <w:r w:rsidRPr="005C5184">
        <w:rPr>
          <w:rFonts w:ascii="Times New Roman" w:eastAsia="Times New Roman" w:hAnsi="Times New Roman" w:cs="Times New Roman"/>
          <w:kern w:val="0"/>
          <w14:ligatures w14:val="none"/>
        </w:rPr>
        <w:lastRenderedPageBreak/>
        <w:t xml:space="preserve">Table 2 reports summaries of </w:t>
      </w:r>
      <w:r w:rsidR="009F3F65" w:rsidRPr="005C5184">
        <w:rPr>
          <w:rFonts w:ascii="Times New Roman" w:eastAsia="Times New Roman" w:hAnsi="Times New Roman" w:cs="Times New Roman"/>
          <w:kern w:val="0"/>
          <w14:ligatures w14:val="none"/>
        </w:rPr>
        <w:t xml:space="preserve">the </w:t>
      </w:r>
      <w:r w:rsidRPr="005C5184">
        <w:rPr>
          <w:rFonts w:ascii="Times New Roman" w:eastAsia="Times New Roman" w:hAnsi="Times New Roman" w:cs="Times New Roman"/>
          <w:kern w:val="0"/>
          <w14:ligatures w14:val="none"/>
        </w:rPr>
        <w:t>Augmented Dickey-Fuller (ADF) test for data stationarity.</w:t>
      </w:r>
      <w:r w:rsidR="00B75521" w:rsidRPr="005C5184">
        <w:rPr>
          <w:rFonts w:ascii="Times New Roman" w:eastAsia="Times New Roman" w:hAnsi="Times New Roman" w:cs="Times New Roman"/>
          <w:kern w:val="0"/>
          <w14:ligatures w14:val="none"/>
        </w:rPr>
        <w:t xml:space="preserve"> </w:t>
      </w:r>
      <w:r w:rsidR="000D6F98">
        <w:rPr>
          <w:rFonts w:ascii="Times New Roman" w:hAnsi="Times New Roman" w:cs="Times New Roman"/>
        </w:rPr>
        <w:t xml:space="preserve"> From Table 2, it is easy to note that a</w:t>
      </w:r>
      <w:r w:rsidR="000D6F98" w:rsidRPr="005C5184">
        <w:rPr>
          <w:rFonts w:ascii="Times New Roman" w:hAnsi="Times New Roman" w:cs="Times New Roman"/>
        </w:rPr>
        <w:t>ll the variables were non-stationary at levels but became stationary at first difference. This resulted in the cointegration of order 1 for all the variables in the sample.</w:t>
      </w:r>
    </w:p>
    <w:p w14:paraId="234CA7C4" w14:textId="2CB7B517" w:rsidR="006962A4" w:rsidRPr="002B3D89" w:rsidRDefault="006962A4" w:rsidP="000D6F98">
      <w:pPr>
        <w:spacing w:before="100" w:beforeAutospacing="1" w:after="100" w:afterAutospacing="1" w:line="276" w:lineRule="auto"/>
        <w:jc w:val="center"/>
        <w:outlineLvl w:val="1"/>
        <w:rPr>
          <w:rFonts w:ascii="Times New Roman" w:hAnsi="Times New Roman" w:cs="Times New Roman"/>
          <w:i/>
          <w:iCs/>
        </w:rPr>
      </w:pPr>
      <w:r w:rsidRPr="00E906FB">
        <w:rPr>
          <w:rFonts w:ascii="Times New Roman" w:hAnsi="Times New Roman" w:cs="Times New Roman"/>
          <w:b/>
          <w:bCs/>
          <w:i/>
          <w:iCs/>
          <w:highlight w:val="yellow"/>
        </w:rPr>
        <w:t>Table 2</w:t>
      </w:r>
      <w:r w:rsidR="0097010E" w:rsidRPr="00E906FB">
        <w:rPr>
          <w:rFonts w:ascii="Times New Roman" w:hAnsi="Times New Roman" w:cs="Times New Roman"/>
          <w:b/>
          <w:bCs/>
          <w:i/>
          <w:iCs/>
          <w:highlight w:val="yellow"/>
        </w:rPr>
        <w:t>:</w:t>
      </w:r>
      <w:r w:rsidRPr="00E906FB">
        <w:rPr>
          <w:rFonts w:ascii="Times New Roman" w:hAnsi="Times New Roman" w:cs="Times New Roman"/>
          <w:b/>
          <w:bCs/>
          <w:i/>
          <w:iCs/>
          <w:highlight w:val="yellow"/>
        </w:rPr>
        <w:t xml:space="preserve"> Summary of ADF Unit Root Test Procedures</w:t>
      </w:r>
      <w:r w:rsidRPr="00E906FB">
        <w:rPr>
          <w:rFonts w:ascii="Times New Roman" w:hAnsi="Times New Roman" w:cs="Times New Roman"/>
          <w:i/>
          <w:iCs/>
          <w:highlight w:val="yellow"/>
        </w:rPr>
        <w:t>.</w:t>
      </w:r>
    </w:p>
    <w:tbl>
      <w:tblPr>
        <w:tblW w:w="9806" w:type="dxa"/>
        <w:tblInd w:w="-30" w:type="dxa"/>
        <w:tblLayout w:type="fixed"/>
        <w:tblLook w:val="0000" w:firstRow="0" w:lastRow="0" w:firstColumn="0" w:lastColumn="0" w:noHBand="0" w:noVBand="0"/>
      </w:tblPr>
      <w:tblGrid>
        <w:gridCol w:w="2130"/>
        <w:gridCol w:w="1619"/>
        <w:gridCol w:w="1718"/>
        <w:gridCol w:w="1763"/>
        <w:gridCol w:w="2576"/>
      </w:tblGrid>
      <w:tr w:rsidR="00B25A6D" w:rsidRPr="005C5184" w14:paraId="7BA7F274" w14:textId="77777777" w:rsidTr="00B633A1">
        <w:trPr>
          <w:trHeight w:val="907"/>
        </w:trPr>
        <w:tc>
          <w:tcPr>
            <w:tcW w:w="2130" w:type="dxa"/>
            <w:tcBorders>
              <w:top w:val="single" w:sz="12" w:space="0" w:color="auto"/>
              <w:left w:val="nil"/>
              <w:bottom w:val="double" w:sz="6" w:space="0" w:color="auto"/>
              <w:right w:val="nil"/>
            </w:tcBorders>
          </w:tcPr>
          <w:p w14:paraId="3D52C2B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Variable</w:t>
            </w:r>
          </w:p>
        </w:tc>
        <w:tc>
          <w:tcPr>
            <w:tcW w:w="1619" w:type="dxa"/>
            <w:tcBorders>
              <w:top w:val="single" w:sz="12" w:space="0" w:color="auto"/>
              <w:left w:val="nil"/>
              <w:bottom w:val="double" w:sz="6" w:space="0" w:color="auto"/>
              <w:right w:val="nil"/>
            </w:tcBorders>
          </w:tcPr>
          <w:p w14:paraId="2B0477CA"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t-test at Levels</w:t>
            </w:r>
          </w:p>
        </w:tc>
        <w:tc>
          <w:tcPr>
            <w:tcW w:w="1718" w:type="dxa"/>
            <w:tcBorders>
              <w:top w:val="single" w:sz="12" w:space="0" w:color="auto"/>
              <w:left w:val="nil"/>
              <w:bottom w:val="double" w:sz="6" w:space="0" w:color="auto"/>
              <w:right w:val="nil"/>
            </w:tcBorders>
          </w:tcPr>
          <w:p w14:paraId="657458A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t-test at 1st Difference</w:t>
            </w:r>
          </w:p>
        </w:tc>
        <w:tc>
          <w:tcPr>
            <w:tcW w:w="1763" w:type="dxa"/>
            <w:tcBorders>
              <w:top w:val="single" w:sz="12" w:space="0" w:color="auto"/>
              <w:left w:val="nil"/>
              <w:bottom w:val="double" w:sz="6" w:space="0" w:color="auto"/>
              <w:right w:val="nil"/>
            </w:tcBorders>
          </w:tcPr>
          <w:p w14:paraId="3B79B118"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P-Value at 1</w:t>
            </w:r>
            <w:r w:rsidRPr="000D6F98">
              <w:rPr>
                <w:rFonts w:ascii="Times New Roman" w:hAnsi="Times New Roman" w:cs="Times New Roman"/>
                <w:b/>
                <w:bCs/>
                <w:color w:val="000000"/>
                <w:kern w:val="0"/>
                <w:sz w:val="20"/>
                <w:szCs w:val="20"/>
                <w:vertAlign w:val="superscript"/>
              </w:rPr>
              <w:t>st</w:t>
            </w:r>
            <w:r w:rsidRPr="000D6F98">
              <w:rPr>
                <w:rFonts w:ascii="Times New Roman" w:hAnsi="Times New Roman" w:cs="Times New Roman"/>
                <w:b/>
                <w:bCs/>
                <w:color w:val="000000"/>
                <w:kern w:val="0"/>
                <w:sz w:val="20"/>
                <w:szCs w:val="20"/>
              </w:rPr>
              <w:t xml:space="preserve"> Difference</w:t>
            </w:r>
          </w:p>
        </w:tc>
        <w:tc>
          <w:tcPr>
            <w:tcW w:w="2576" w:type="dxa"/>
            <w:tcBorders>
              <w:top w:val="single" w:sz="12" w:space="0" w:color="auto"/>
              <w:left w:val="nil"/>
              <w:bottom w:val="double" w:sz="6" w:space="0" w:color="auto"/>
              <w:right w:val="nil"/>
            </w:tcBorders>
          </w:tcPr>
          <w:p w14:paraId="468BC8EC"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Order of Integration</w:t>
            </w:r>
          </w:p>
        </w:tc>
      </w:tr>
      <w:tr w:rsidR="00B25A6D" w:rsidRPr="005C5184" w14:paraId="29397377" w14:textId="77777777" w:rsidTr="00B633A1">
        <w:trPr>
          <w:trHeight w:val="285"/>
        </w:trPr>
        <w:tc>
          <w:tcPr>
            <w:tcW w:w="2130" w:type="dxa"/>
            <w:tcBorders>
              <w:top w:val="nil"/>
              <w:left w:val="nil"/>
              <w:bottom w:val="nil"/>
              <w:right w:val="nil"/>
            </w:tcBorders>
          </w:tcPr>
          <w:p w14:paraId="750D3B7B"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INFLATION</w:t>
            </w:r>
          </w:p>
        </w:tc>
        <w:tc>
          <w:tcPr>
            <w:tcW w:w="1619" w:type="dxa"/>
            <w:tcBorders>
              <w:top w:val="nil"/>
              <w:left w:val="nil"/>
              <w:bottom w:val="nil"/>
              <w:right w:val="nil"/>
            </w:tcBorders>
          </w:tcPr>
          <w:p w14:paraId="17AFDAE4"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1.33</w:t>
            </w:r>
          </w:p>
        </w:tc>
        <w:tc>
          <w:tcPr>
            <w:tcW w:w="1718" w:type="dxa"/>
            <w:tcBorders>
              <w:top w:val="nil"/>
              <w:left w:val="nil"/>
              <w:bottom w:val="nil"/>
              <w:right w:val="nil"/>
            </w:tcBorders>
          </w:tcPr>
          <w:p w14:paraId="506D2462" w14:textId="573D8FD6"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2.76**</w:t>
            </w:r>
          </w:p>
        </w:tc>
        <w:tc>
          <w:tcPr>
            <w:tcW w:w="1763" w:type="dxa"/>
            <w:tcBorders>
              <w:top w:val="nil"/>
              <w:left w:val="nil"/>
              <w:bottom w:val="nil"/>
              <w:right w:val="nil"/>
            </w:tcBorders>
          </w:tcPr>
          <w:p w14:paraId="0619AF5A"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0.001</w:t>
            </w:r>
          </w:p>
        </w:tc>
        <w:tc>
          <w:tcPr>
            <w:tcW w:w="2576" w:type="dxa"/>
            <w:tcBorders>
              <w:top w:val="nil"/>
              <w:left w:val="nil"/>
              <w:bottom w:val="nil"/>
              <w:right w:val="nil"/>
            </w:tcBorders>
          </w:tcPr>
          <w:p w14:paraId="2268CAD1" w14:textId="619FF341"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0B01AA2D" w14:textId="77777777" w:rsidTr="00B633A1">
        <w:trPr>
          <w:trHeight w:val="275"/>
        </w:trPr>
        <w:tc>
          <w:tcPr>
            <w:tcW w:w="2130" w:type="dxa"/>
            <w:tcBorders>
              <w:top w:val="nil"/>
              <w:left w:val="nil"/>
              <w:bottom w:val="nil"/>
              <w:right w:val="nil"/>
            </w:tcBorders>
          </w:tcPr>
          <w:p w14:paraId="1C0F774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INF_TARGET</w:t>
            </w:r>
          </w:p>
        </w:tc>
        <w:tc>
          <w:tcPr>
            <w:tcW w:w="1619" w:type="dxa"/>
            <w:tcBorders>
              <w:top w:val="nil"/>
              <w:left w:val="nil"/>
              <w:bottom w:val="nil"/>
              <w:right w:val="nil"/>
            </w:tcBorders>
          </w:tcPr>
          <w:p w14:paraId="185F602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1.94</w:t>
            </w:r>
          </w:p>
        </w:tc>
        <w:tc>
          <w:tcPr>
            <w:tcW w:w="1718" w:type="dxa"/>
            <w:tcBorders>
              <w:top w:val="nil"/>
              <w:left w:val="nil"/>
              <w:bottom w:val="nil"/>
              <w:right w:val="nil"/>
            </w:tcBorders>
          </w:tcPr>
          <w:p w14:paraId="1DF82942" w14:textId="475E95E3"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5.76**</w:t>
            </w:r>
          </w:p>
        </w:tc>
        <w:tc>
          <w:tcPr>
            <w:tcW w:w="1763" w:type="dxa"/>
            <w:tcBorders>
              <w:top w:val="nil"/>
              <w:left w:val="nil"/>
              <w:bottom w:val="nil"/>
              <w:right w:val="nil"/>
            </w:tcBorders>
          </w:tcPr>
          <w:p w14:paraId="54539D32"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0.003</w:t>
            </w:r>
          </w:p>
        </w:tc>
        <w:tc>
          <w:tcPr>
            <w:tcW w:w="2576" w:type="dxa"/>
            <w:tcBorders>
              <w:top w:val="nil"/>
              <w:left w:val="nil"/>
              <w:bottom w:val="nil"/>
              <w:right w:val="nil"/>
            </w:tcBorders>
          </w:tcPr>
          <w:p w14:paraId="26C2674D" w14:textId="2B0C0F7C"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4E762F1A" w14:textId="77777777" w:rsidTr="00B633A1">
        <w:trPr>
          <w:trHeight w:val="275"/>
        </w:trPr>
        <w:tc>
          <w:tcPr>
            <w:tcW w:w="2130" w:type="dxa"/>
            <w:tcBorders>
              <w:top w:val="nil"/>
              <w:left w:val="nil"/>
              <w:bottom w:val="nil"/>
              <w:right w:val="nil"/>
            </w:tcBorders>
          </w:tcPr>
          <w:p w14:paraId="59EA3279"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INF_GAP</w:t>
            </w:r>
          </w:p>
        </w:tc>
        <w:tc>
          <w:tcPr>
            <w:tcW w:w="1619" w:type="dxa"/>
            <w:tcBorders>
              <w:top w:val="nil"/>
              <w:left w:val="nil"/>
              <w:bottom w:val="nil"/>
              <w:right w:val="nil"/>
            </w:tcBorders>
          </w:tcPr>
          <w:p w14:paraId="089F39A8"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1.22</w:t>
            </w:r>
          </w:p>
        </w:tc>
        <w:tc>
          <w:tcPr>
            <w:tcW w:w="1718" w:type="dxa"/>
            <w:tcBorders>
              <w:top w:val="nil"/>
              <w:left w:val="nil"/>
              <w:bottom w:val="nil"/>
              <w:right w:val="nil"/>
            </w:tcBorders>
          </w:tcPr>
          <w:p w14:paraId="5F739282" w14:textId="7A738CB1"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2.61**</w:t>
            </w:r>
          </w:p>
        </w:tc>
        <w:tc>
          <w:tcPr>
            <w:tcW w:w="1763" w:type="dxa"/>
            <w:tcBorders>
              <w:top w:val="nil"/>
              <w:left w:val="nil"/>
              <w:bottom w:val="nil"/>
              <w:right w:val="nil"/>
            </w:tcBorders>
          </w:tcPr>
          <w:p w14:paraId="6FC87312"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0.012</w:t>
            </w:r>
          </w:p>
        </w:tc>
        <w:tc>
          <w:tcPr>
            <w:tcW w:w="2576" w:type="dxa"/>
            <w:tcBorders>
              <w:top w:val="nil"/>
              <w:left w:val="nil"/>
              <w:bottom w:val="nil"/>
              <w:right w:val="nil"/>
            </w:tcBorders>
          </w:tcPr>
          <w:p w14:paraId="77F35E51" w14:textId="34CE6DB5"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138C9533" w14:textId="77777777" w:rsidTr="00B633A1">
        <w:trPr>
          <w:trHeight w:val="275"/>
        </w:trPr>
        <w:tc>
          <w:tcPr>
            <w:tcW w:w="2130" w:type="dxa"/>
            <w:tcBorders>
              <w:top w:val="nil"/>
              <w:left w:val="nil"/>
              <w:bottom w:val="nil"/>
              <w:right w:val="nil"/>
            </w:tcBorders>
          </w:tcPr>
          <w:p w14:paraId="26F9E50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FDI_INFLOWS</w:t>
            </w:r>
          </w:p>
        </w:tc>
        <w:tc>
          <w:tcPr>
            <w:tcW w:w="1619" w:type="dxa"/>
            <w:tcBorders>
              <w:top w:val="nil"/>
              <w:left w:val="nil"/>
              <w:bottom w:val="nil"/>
              <w:right w:val="nil"/>
            </w:tcBorders>
          </w:tcPr>
          <w:p w14:paraId="5BD3ABDC"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1.79</w:t>
            </w:r>
          </w:p>
        </w:tc>
        <w:tc>
          <w:tcPr>
            <w:tcW w:w="1718" w:type="dxa"/>
            <w:tcBorders>
              <w:top w:val="nil"/>
              <w:left w:val="nil"/>
              <w:bottom w:val="nil"/>
              <w:right w:val="nil"/>
            </w:tcBorders>
          </w:tcPr>
          <w:p w14:paraId="6274F5DB" w14:textId="3C440E52"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3.22**</w:t>
            </w:r>
          </w:p>
        </w:tc>
        <w:tc>
          <w:tcPr>
            <w:tcW w:w="1763" w:type="dxa"/>
            <w:tcBorders>
              <w:top w:val="nil"/>
              <w:left w:val="nil"/>
              <w:bottom w:val="nil"/>
              <w:right w:val="nil"/>
            </w:tcBorders>
          </w:tcPr>
          <w:p w14:paraId="3C08B1B8"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0.011</w:t>
            </w:r>
          </w:p>
        </w:tc>
        <w:tc>
          <w:tcPr>
            <w:tcW w:w="2576" w:type="dxa"/>
            <w:tcBorders>
              <w:top w:val="nil"/>
              <w:left w:val="nil"/>
              <w:bottom w:val="nil"/>
              <w:right w:val="nil"/>
            </w:tcBorders>
          </w:tcPr>
          <w:p w14:paraId="3496AD8C" w14:textId="3D1D7295"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0C2EFC39" w14:textId="77777777" w:rsidTr="00B633A1">
        <w:trPr>
          <w:trHeight w:val="275"/>
        </w:trPr>
        <w:tc>
          <w:tcPr>
            <w:tcW w:w="2130" w:type="dxa"/>
            <w:tcBorders>
              <w:top w:val="nil"/>
              <w:left w:val="nil"/>
              <w:bottom w:val="nil"/>
              <w:right w:val="nil"/>
            </w:tcBorders>
          </w:tcPr>
          <w:p w14:paraId="134487FE"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proofErr w:type="spellStart"/>
            <w:r w:rsidRPr="000D6F98">
              <w:rPr>
                <w:rFonts w:ascii="Times New Roman" w:hAnsi="Times New Roman" w:cs="Times New Roman"/>
                <w:b/>
                <w:bCs/>
                <w:color w:val="000000"/>
                <w:kern w:val="0"/>
                <w:sz w:val="20"/>
                <w:szCs w:val="20"/>
              </w:rPr>
              <w:t>Real_GDP</w:t>
            </w:r>
            <w:proofErr w:type="spellEnd"/>
            <w:r w:rsidRPr="000D6F98">
              <w:rPr>
                <w:rFonts w:ascii="Times New Roman" w:hAnsi="Times New Roman" w:cs="Times New Roman"/>
                <w:b/>
                <w:bCs/>
                <w:color w:val="000000"/>
                <w:kern w:val="0"/>
                <w:sz w:val="20"/>
                <w:szCs w:val="20"/>
              </w:rPr>
              <w:t xml:space="preserve"> </w:t>
            </w:r>
          </w:p>
        </w:tc>
        <w:tc>
          <w:tcPr>
            <w:tcW w:w="1619" w:type="dxa"/>
            <w:tcBorders>
              <w:top w:val="nil"/>
              <w:left w:val="nil"/>
              <w:bottom w:val="nil"/>
              <w:right w:val="nil"/>
            </w:tcBorders>
          </w:tcPr>
          <w:p w14:paraId="4721D32B"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2.01</w:t>
            </w:r>
          </w:p>
        </w:tc>
        <w:tc>
          <w:tcPr>
            <w:tcW w:w="1718" w:type="dxa"/>
            <w:tcBorders>
              <w:top w:val="nil"/>
              <w:left w:val="nil"/>
              <w:bottom w:val="nil"/>
              <w:right w:val="nil"/>
            </w:tcBorders>
          </w:tcPr>
          <w:p w14:paraId="77AF05CA" w14:textId="2DB12485"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5.05**</w:t>
            </w:r>
          </w:p>
        </w:tc>
        <w:tc>
          <w:tcPr>
            <w:tcW w:w="1763" w:type="dxa"/>
            <w:tcBorders>
              <w:top w:val="nil"/>
              <w:left w:val="nil"/>
              <w:bottom w:val="nil"/>
              <w:right w:val="nil"/>
            </w:tcBorders>
          </w:tcPr>
          <w:p w14:paraId="107E092D"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0.047</w:t>
            </w:r>
          </w:p>
        </w:tc>
        <w:tc>
          <w:tcPr>
            <w:tcW w:w="2576" w:type="dxa"/>
            <w:tcBorders>
              <w:top w:val="nil"/>
              <w:left w:val="nil"/>
              <w:bottom w:val="nil"/>
              <w:right w:val="nil"/>
            </w:tcBorders>
          </w:tcPr>
          <w:p w14:paraId="4E32C150" w14:textId="6692C558"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67186F" w:rsidRPr="000D6F98">
              <w:rPr>
                <w:rFonts w:ascii="Times New Roman" w:hAnsi="Times New Roman" w:cs="Times New Roman"/>
                <w:color w:val="000000"/>
                <w:kern w:val="0"/>
                <w:sz w:val="20"/>
                <w:szCs w:val="20"/>
              </w:rPr>
              <w:t>1))</w:t>
            </w:r>
          </w:p>
        </w:tc>
      </w:tr>
      <w:tr w:rsidR="00B25A6D" w:rsidRPr="005C5184" w14:paraId="13AC2460" w14:textId="77777777" w:rsidTr="00B633A1">
        <w:trPr>
          <w:trHeight w:val="275"/>
        </w:trPr>
        <w:tc>
          <w:tcPr>
            <w:tcW w:w="2130" w:type="dxa"/>
            <w:tcBorders>
              <w:top w:val="nil"/>
              <w:left w:val="nil"/>
              <w:bottom w:val="nil"/>
              <w:right w:val="nil"/>
            </w:tcBorders>
          </w:tcPr>
          <w:p w14:paraId="018EC83D"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EXPORTS</w:t>
            </w:r>
          </w:p>
        </w:tc>
        <w:tc>
          <w:tcPr>
            <w:tcW w:w="1619" w:type="dxa"/>
            <w:tcBorders>
              <w:top w:val="nil"/>
              <w:left w:val="nil"/>
              <w:bottom w:val="nil"/>
              <w:right w:val="nil"/>
            </w:tcBorders>
          </w:tcPr>
          <w:p w14:paraId="5DA4821B"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2.18</w:t>
            </w:r>
          </w:p>
        </w:tc>
        <w:tc>
          <w:tcPr>
            <w:tcW w:w="1718" w:type="dxa"/>
            <w:tcBorders>
              <w:top w:val="nil"/>
              <w:left w:val="nil"/>
              <w:bottom w:val="nil"/>
              <w:right w:val="nil"/>
            </w:tcBorders>
          </w:tcPr>
          <w:p w14:paraId="0B203DA0" w14:textId="53BA05B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4.98**</w:t>
            </w:r>
          </w:p>
        </w:tc>
        <w:tc>
          <w:tcPr>
            <w:tcW w:w="1763" w:type="dxa"/>
            <w:tcBorders>
              <w:top w:val="nil"/>
              <w:left w:val="nil"/>
              <w:bottom w:val="nil"/>
              <w:right w:val="nil"/>
            </w:tcBorders>
          </w:tcPr>
          <w:p w14:paraId="6EE8CCB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0.033</w:t>
            </w:r>
          </w:p>
        </w:tc>
        <w:tc>
          <w:tcPr>
            <w:tcW w:w="2576" w:type="dxa"/>
            <w:tcBorders>
              <w:top w:val="nil"/>
              <w:left w:val="nil"/>
              <w:bottom w:val="nil"/>
              <w:right w:val="nil"/>
            </w:tcBorders>
          </w:tcPr>
          <w:p w14:paraId="740234AF" w14:textId="6FC29073"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13BEF141" w14:textId="77777777" w:rsidTr="00B633A1">
        <w:trPr>
          <w:trHeight w:val="275"/>
        </w:trPr>
        <w:tc>
          <w:tcPr>
            <w:tcW w:w="2130" w:type="dxa"/>
            <w:tcBorders>
              <w:top w:val="nil"/>
              <w:left w:val="nil"/>
              <w:bottom w:val="nil"/>
              <w:right w:val="nil"/>
            </w:tcBorders>
          </w:tcPr>
          <w:p w14:paraId="4DFC21A9"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IMPORTS</w:t>
            </w:r>
          </w:p>
        </w:tc>
        <w:tc>
          <w:tcPr>
            <w:tcW w:w="1619" w:type="dxa"/>
            <w:tcBorders>
              <w:top w:val="nil"/>
              <w:left w:val="nil"/>
              <w:bottom w:val="nil"/>
              <w:right w:val="nil"/>
            </w:tcBorders>
          </w:tcPr>
          <w:p w14:paraId="5CA41F5E" w14:textId="313A5CA8"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2.20</w:t>
            </w:r>
          </w:p>
        </w:tc>
        <w:tc>
          <w:tcPr>
            <w:tcW w:w="1718" w:type="dxa"/>
            <w:tcBorders>
              <w:top w:val="nil"/>
              <w:left w:val="nil"/>
              <w:bottom w:val="nil"/>
              <w:right w:val="nil"/>
            </w:tcBorders>
          </w:tcPr>
          <w:p w14:paraId="1F544439" w14:textId="4395172A"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4.33**</w:t>
            </w:r>
          </w:p>
        </w:tc>
        <w:tc>
          <w:tcPr>
            <w:tcW w:w="1763" w:type="dxa"/>
            <w:tcBorders>
              <w:top w:val="nil"/>
              <w:left w:val="nil"/>
              <w:bottom w:val="nil"/>
              <w:right w:val="nil"/>
            </w:tcBorders>
          </w:tcPr>
          <w:p w14:paraId="7ECA07D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0.013</w:t>
            </w:r>
          </w:p>
        </w:tc>
        <w:tc>
          <w:tcPr>
            <w:tcW w:w="2576" w:type="dxa"/>
            <w:tcBorders>
              <w:top w:val="nil"/>
              <w:left w:val="nil"/>
              <w:bottom w:val="nil"/>
              <w:right w:val="nil"/>
            </w:tcBorders>
          </w:tcPr>
          <w:p w14:paraId="279B815F" w14:textId="271EF300"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6EAEE7B5" w14:textId="77777777" w:rsidTr="00B633A1">
        <w:trPr>
          <w:trHeight w:val="275"/>
        </w:trPr>
        <w:tc>
          <w:tcPr>
            <w:tcW w:w="2130" w:type="dxa"/>
            <w:tcBorders>
              <w:top w:val="nil"/>
              <w:left w:val="nil"/>
              <w:bottom w:val="nil"/>
              <w:right w:val="nil"/>
            </w:tcBorders>
          </w:tcPr>
          <w:p w14:paraId="1F3A18FE"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POLICY__RATE</w:t>
            </w:r>
          </w:p>
        </w:tc>
        <w:tc>
          <w:tcPr>
            <w:tcW w:w="1619" w:type="dxa"/>
            <w:tcBorders>
              <w:top w:val="nil"/>
              <w:left w:val="nil"/>
              <w:bottom w:val="nil"/>
              <w:right w:val="nil"/>
            </w:tcBorders>
          </w:tcPr>
          <w:p w14:paraId="12DD7B9A" w14:textId="2701787E"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2.44</w:t>
            </w:r>
          </w:p>
        </w:tc>
        <w:tc>
          <w:tcPr>
            <w:tcW w:w="1718" w:type="dxa"/>
            <w:tcBorders>
              <w:top w:val="nil"/>
              <w:left w:val="nil"/>
              <w:bottom w:val="nil"/>
              <w:right w:val="nil"/>
            </w:tcBorders>
          </w:tcPr>
          <w:p w14:paraId="55DB86AE" w14:textId="13819146"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3.33**</w:t>
            </w:r>
          </w:p>
        </w:tc>
        <w:tc>
          <w:tcPr>
            <w:tcW w:w="1763" w:type="dxa"/>
            <w:tcBorders>
              <w:top w:val="nil"/>
              <w:left w:val="nil"/>
              <w:bottom w:val="nil"/>
              <w:right w:val="nil"/>
            </w:tcBorders>
          </w:tcPr>
          <w:p w14:paraId="61CAA2D7"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0.022</w:t>
            </w:r>
          </w:p>
        </w:tc>
        <w:tc>
          <w:tcPr>
            <w:tcW w:w="2576" w:type="dxa"/>
            <w:tcBorders>
              <w:top w:val="nil"/>
              <w:left w:val="nil"/>
              <w:bottom w:val="nil"/>
              <w:right w:val="nil"/>
            </w:tcBorders>
          </w:tcPr>
          <w:p w14:paraId="35D605F2" w14:textId="6D63AA73"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0B3CB9" w:rsidRPr="000D6F98">
              <w:rPr>
                <w:rFonts w:ascii="Times New Roman" w:hAnsi="Times New Roman" w:cs="Times New Roman"/>
                <w:color w:val="000000"/>
                <w:kern w:val="0"/>
                <w:sz w:val="20"/>
                <w:szCs w:val="20"/>
              </w:rPr>
              <w:t>(</w:t>
            </w:r>
            <w:r w:rsidR="00B25A6D" w:rsidRPr="000D6F98">
              <w:rPr>
                <w:rFonts w:ascii="Times New Roman" w:hAnsi="Times New Roman" w:cs="Times New Roman"/>
                <w:color w:val="000000"/>
                <w:kern w:val="0"/>
                <w:sz w:val="20"/>
                <w:szCs w:val="20"/>
              </w:rPr>
              <w:t>1</w:t>
            </w:r>
            <w:r w:rsidR="000B3CB9" w:rsidRPr="000D6F98">
              <w:rPr>
                <w:rFonts w:ascii="Times New Roman" w:hAnsi="Times New Roman" w:cs="Times New Roman"/>
                <w:color w:val="000000"/>
                <w:kern w:val="0"/>
                <w:sz w:val="20"/>
                <w:szCs w:val="20"/>
              </w:rPr>
              <w:t>(1))</w:t>
            </w:r>
          </w:p>
        </w:tc>
      </w:tr>
      <w:tr w:rsidR="00B25A6D" w:rsidRPr="005C5184" w14:paraId="418B9A93" w14:textId="77777777" w:rsidTr="00B633A1">
        <w:trPr>
          <w:trHeight w:val="285"/>
        </w:trPr>
        <w:tc>
          <w:tcPr>
            <w:tcW w:w="2130" w:type="dxa"/>
            <w:tcBorders>
              <w:top w:val="nil"/>
              <w:left w:val="nil"/>
              <w:bottom w:val="single" w:sz="12" w:space="0" w:color="auto"/>
              <w:right w:val="nil"/>
            </w:tcBorders>
          </w:tcPr>
          <w:p w14:paraId="46FBFFF1"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REER</w:t>
            </w:r>
          </w:p>
        </w:tc>
        <w:tc>
          <w:tcPr>
            <w:tcW w:w="1619" w:type="dxa"/>
            <w:tcBorders>
              <w:top w:val="nil"/>
              <w:left w:val="nil"/>
              <w:bottom w:val="single" w:sz="12" w:space="0" w:color="auto"/>
              <w:right w:val="nil"/>
            </w:tcBorders>
          </w:tcPr>
          <w:p w14:paraId="4C969DB0"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1.76</w:t>
            </w:r>
          </w:p>
        </w:tc>
        <w:tc>
          <w:tcPr>
            <w:tcW w:w="1718" w:type="dxa"/>
            <w:tcBorders>
              <w:top w:val="nil"/>
              <w:left w:val="nil"/>
              <w:bottom w:val="single" w:sz="12" w:space="0" w:color="auto"/>
              <w:right w:val="nil"/>
            </w:tcBorders>
          </w:tcPr>
          <w:p w14:paraId="492C3A4F" w14:textId="0DEB0348"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2.62**</w:t>
            </w:r>
          </w:p>
        </w:tc>
        <w:tc>
          <w:tcPr>
            <w:tcW w:w="1763" w:type="dxa"/>
            <w:tcBorders>
              <w:top w:val="nil"/>
              <w:left w:val="nil"/>
              <w:bottom w:val="single" w:sz="12" w:space="0" w:color="auto"/>
              <w:right w:val="nil"/>
            </w:tcBorders>
          </w:tcPr>
          <w:p w14:paraId="40C5CC94"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0.021</w:t>
            </w:r>
          </w:p>
        </w:tc>
        <w:tc>
          <w:tcPr>
            <w:tcW w:w="2576" w:type="dxa"/>
            <w:tcBorders>
              <w:top w:val="nil"/>
              <w:left w:val="nil"/>
              <w:bottom w:val="single" w:sz="12" w:space="0" w:color="auto"/>
              <w:right w:val="nil"/>
            </w:tcBorders>
          </w:tcPr>
          <w:p w14:paraId="7F462879" w14:textId="605D88C7"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0B3CB9" w:rsidRPr="000D6F98">
              <w:rPr>
                <w:rFonts w:ascii="Times New Roman" w:hAnsi="Times New Roman" w:cs="Times New Roman"/>
                <w:color w:val="000000"/>
                <w:kern w:val="0"/>
                <w:sz w:val="20"/>
                <w:szCs w:val="20"/>
              </w:rPr>
              <w:t>(</w:t>
            </w:r>
            <w:proofErr w:type="gramStart"/>
            <w:r w:rsidR="000B3CB9" w:rsidRPr="000D6F98">
              <w:rPr>
                <w:rFonts w:ascii="Times New Roman" w:hAnsi="Times New Roman" w:cs="Times New Roman"/>
                <w:color w:val="000000"/>
                <w:kern w:val="0"/>
                <w:sz w:val="20"/>
                <w:szCs w:val="20"/>
              </w:rPr>
              <w:t>I(</w:t>
            </w:r>
            <w:proofErr w:type="gramEnd"/>
            <w:r w:rsidR="00B25A6D" w:rsidRPr="000D6F98">
              <w:rPr>
                <w:rFonts w:ascii="Times New Roman" w:hAnsi="Times New Roman" w:cs="Times New Roman"/>
                <w:color w:val="000000"/>
                <w:kern w:val="0"/>
                <w:sz w:val="20"/>
                <w:szCs w:val="20"/>
              </w:rPr>
              <w:t>1</w:t>
            </w:r>
            <w:r w:rsidR="000B3CB9" w:rsidRPr="000D6F98">
              <w:rPr>
                <w:rFonts w:ascii="Times New Roman" w:hAnsi="Times New Roman" w:cs="Times New Roman"/>
                <w:color w:val="000000"/>
                <w:kern w:val="0"/>
                <w:sz w:val="20"/>
                <w:szCs w:val="20"/>
              </w:rPr>
              <w:t>))</w:t>
            </w:r>
          </w:p>
        </w:tc>
      </w:tr>
      <w:tr w:rsidR="00B25A6D" w:rsidRPr="005C5184" w14:paraId="678F1907" w14:textId="77777777" w:rsidTr="00B633A1">
        <w:trPr>
          <w:trHeight w:val="275"/>
        </w:trPr>
        <w:tc>
          <w:tcPr>
            <w:tcW w:w="2130" w:type="dxa"/>
            <w:tcBorders>
              <w:top w:val="nil"/>
              <w:left w:val="nil"/>
              <w:bottom w:val="nil"/>
              <w:right w:val="nil"/>
            </w:tcBorders>
          </w:tcPr>
          <w:p w14:paraId="23B5D38B"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619" w:type="dxa"/>
            <w:tcBorders>
              <w:top w:val="nil"/>
              <w:left w:val="nil"/>
              <w:bottom w:val="nil"/>
              <w:right w:val="nil"/>
            </w:tcBorders>
          </w:tcPr>
          <w:p w14:paraId="118142AE"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718" w:type="dxa"/>
            <w:tcBorders>
              <w:top w:val="nil"/>
              <w:left w:val="nil"/>
              <w:bottom w:val="nil"/>
              <w:right w:val="nil"/>
            </w:tcBorders>
          </w:tcPr>
          <w:p w14:paraId="26E7D61E"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763" w:type="dxa"/>
            <w:tcBorders>
              <w:top w:val="nil"/>
              <w:left w:val="nil"/>
              <w:bottom w:val="nil"/>
              <w:right w:val="nil"/>
            </w:tcBorders>
          </w:tcPr>
          <w:p w14:paraId="270E0CA0"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2576" w:type="dxa"/>
            <w:tcBorders>
              <w:top w:val="nil"/>
              <w:left w:val="nil"/>
              <w:bottom w:val="nil"/>
              <w:right w:val="nil"/>
            </w:tcBorders>
          </w:tcPr>
          <w:p w14:paraId="610713CA"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r>
    </w:tbl>
    <w:p w14:paraId="0D545446" w14:textId="636AAA25" w:rsidR="00846AA9" w:rsidRPr="00004641" w:rsidRDefault="0097010E" w:rsidP="00004641">
      <w:pPr>
        <w:spacing w:after="0" w:line="276" w:lineRule="auto"/>
        <w:jc w:val="center"/>
        <w:rPr>
          <w:rFonts w:ascii="Times New Roman" w:hAnsi="Times New Roman" w:cs="Times New Roman"/>
          <w:b/>
          <w:bCs/>
          <w:i/>
          <w:iCs/>
          <w:sz w:val="20"/>
          <w:szCs w:val="20"/>
        </w:rPr>
      </w:pPr>
      <w:r w:rsidRPr="00004641">
        <w:rPr>
          <w:rFonts w:ascii="Times New Roman" w:hAnsi="Times New Roman" w:cs="Times New Roman"/>
          <w:b/>
          <w:bCs/>
          <w:i/>
          <w:iCs/>
          <w:sz w:val="20"/>
          <w:szCs w:val="20"/>
        </w:rPr>
        <w:t>Source: Author</w:t>
      </w:r>
      <w:r w:rsidR="002B3D89">
        <w:rPr>
          <w:rFonts w:ascii="Times New Roman" w:hAnsi="Times New Roman" w:cs="Times New Roman"/>
          <w:b/>
          <w:bCs/>
          <w:i/>
          <w:iCs/>
          <w:sz w:val="20"/>
          <w:szCs w:val="20"/>
        </w:rPr>
        <w:t>s’</w:t>
      </w:r>
      <w:r w:rsidRPr="00004641">
        <w:rPr>
          <w:rFonts w:ascii="Times New Roman" w:hAnsi="Times New Roman" w:cs="Times New Roman"/>
          <w:b/>
          <w:bCs/>
          <w:i/>
          <w:iCs/>
          <w:sz w:val="20"/>
          <w:szCs w:val="20"/>
        </w:rPr>
        <w:t xml:space="preserve"> elaboration on data</w:t>
      </w:r>
      <w:r w:rsidR="00004641" w:rsidRPr="00004641">
        <w:rPr>
          <w:rFonts w:ascii="Times New Roman" w:hAnsi="Times New Roman" w:cs="Times New Roman"/>
          <w:b/>
          <w:bCs/>
          <w:i/>
          <w:iCs/>
          <w:sz w:val="20"/>
          <w:szCs w:val="20"/>
        </w:rPr>
        <w:t xml:space="preserve"> from various sources</w:t>
      </w:r>
    </w:p>
    <w:p w14:paraId="4C214027" w14:textId="5E677925" w:rsidR="0097010E" w:rsidRPr="00004641" w:rsidRDefault="0097010E" w:rsidP="00004641">
      <w:pPr>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The null hypothesis assumes a common unit root process.</w:t>
      </w:r>
    </w:p>
    <w:p w14:paraId="2E2E51BB" w14:textId="23D81546" w:rsidR="00540475" w:rsidRPr="00004641" w:rsidRDefault="0097010E" w:rsidP="00004641">
      <w:pPr>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 xml:space="preserve">Notes: ** denotes that the time series data were stationary at 5% significance level. ADF denotes </w:t>
      </w:r>
      <w:r w:rsidR="00540475" w:rsidRPr="00004641">
        <w:rPr>
          <w:rFonts w:ascii="Times New Roman" w:hAnsi="Times New Roman" w:cs="Times New Roman"/>
          <w:i/>
          <w:iCs/>
          <w:sz w:val="20"/>
          <w:szCs w:val="20"/>
        </w:rPr>
        <w:t>the Augmented Dickey-Fuller test.</w:t>
      </w:r>
    </w:p>
    <w:p w14:paraId="0EF247A0" w14:textId="72CD2737" w:rsidR="002C39D4" w:rsidRPr="005C5184" w:rsidRDefault="002C39D4" w:rsidP="00AC6F4F">
      <w:pPr>
        <w:spacing w:after="0" w:line="276" w:lineRule="auto"/>
        <w:jc w:val="both"/>
        <w:rPr>
          <w:rFonts w:ascii="Times New Roman" w:hAnsi="Times New Roman" w:cs="Times New Roman"/>
        </w:rPr>
      </w:pPr>
      <w:r w:rsidRPr="005C5184">
        <w:rPr>
          <w:rFonts w:ascii="Times New Roman" w:hAnsi="Times New Roman" w:cs="Times New Roman"/>
        </w:rPr>
        <w:t xml:space="preserve"> Table </w:t>
      </w:r>
      <w:r w:rsidR="00EB5F57" w:rsidRPr="005C5184">
        <w:rPr>
          <w:rFonts w:ascii="Times New Roman" w:hAnsi="Times New Roman" w:cs="Times New Roman"/>
        </w:rPr>
        <w:t>3</w:t>
      </w:r>
      <w:r w:rsidRPr="005C5184">
        <w:rPr>
          <w:rFonts w:ascii="Times New Roman" w:hAnsi="Times New Roman" w:cs="Times New Roman"/>
        </w:rPr>
        <w:t xml:space="preserve"> reports on the Johansen (1988) cointegration test results. </w:t>
      </w:r>
    </w:p>
    <w:p w14:paraId="5D4A03D6" w14:textId="03DE9732" w:rsidR="002C39D4" w:rsidRPr="002B3D89" w:rsidRDefault="002C39D4" w:rsidP="00004641">
      <w:pPr>
        <w:spacing w:after="0" w:line="276" w:lineRule="auto"/>
        <w:jc w:val="center"/>
        <w:rPr>
          <w:rFonts w:ascii="Times New Roman" w:hAnsi="Times New Roman" w:cs="Times New Roman"/>
          <w:b/>
          <w:bCs/>
          <w:i/>
          <w:iCs/>
        </w:rPr>
      </w:pPr>
      <w:r w:rsidRPr="00E906FB">
        <w:rPr>
          <w:rFonts w:ascii="Times New Roman" w:hAnsi="Times New Roman" w:cs="Times New Roman"/>
          <w:b/>
          <w:bCs/>
          <w:i/>
          <w:iCs/>
          <w:highlight w:val="yellow"/>
        </w:rPr>
        <w:t xml:space="preserve">Table </w:t>
      </w:r>
      <w:r w:rsidR="00EB5F57" w:rsidRPr="00E906FB">
        <w:rPr>
          <w:rFonts w:ascii="Times New Roman" w:hAnsi="Times New Roman" w:cs="Times New Roman"/>
          <w:b/>
          <w:bCs/>
          <w:i/>
          <w:iCs/>
          <w:highlight w:val="yellow"/>
        </w:rPr>
        <w:t>3</w:t>
      </w:r>
      <w:r w:rsidRPr="00E906FB">
        <w:rPr>
          <w:rFonts w:ascii="Times New Roman" w:hAnsi="Times New Roman" w:cs="Times New Roman"/>
          <w:b/>
          <w:bCs/>
          <w:i/>
          <w:iCs/>
          <w:highlight w:val="yellow"/>
        </w:rPr>
        <w:t>: Summary of Johansen Cointegration Tests</w:t>
      </w:r>
    </w:p>
    <w:tbl>
      <w:tblPr>
        <w:tblW w:w="8647" w:type="dxa"/>
        <w:tblInd w:w="-108" w:type="dxa"/>
        <w:tblLook w:val="04A0" w:firstRow="1" w:lastRow="0" w:firstColumn="1" w:lastColumn="0" w:noHBand="0" w:noVBand="1"/>
      </w:tblPr>
      <w:tblGrid>
        <w:gridCol w:w="1170"/>
        <w:gridCol w:w="819"/>
        <w:gridCol w:w="3213"/>
        <w:gridCol w:w="418"/>
        <w:gridCol w:w="3027"/>
      </w:tblGrid>
      <w:tr w:rsidR="00EB5F57" w:rsidRPr="005C5184" w14:paraId="28EC4258" w14:textId="77777777" w:rsidTr="00EB5F57">
        <w:trPr>
          <w:trHeight w:val="190"/>
        </w:trPr>
        <w:tc>
          <w:tcPr>
            <w:tcW w:w="1989" w:type="dxa"/>
            <w:gridSpan w:val="2"/>
            <w:tcBorders>
              <w:top w:val="single" w:sz="4" w:space="0" w:color="auto"/>
              <w:left w:val="nil"/>
              <w:bottom w:val="double" w:sz="6" w:space="0" w:color="auto"/>
              <w:right w:val="nil"/>
            </w:tcBorders>
            <w:noWrap/>
            <w:vAlign w:val="bottom"/>
            <w:hideMark/>
          </w:tcPr>
          <w:p w14:paraId="01BD712B" w14:textId="77777777" w:rsidR="00EB5F57" w:rsidRPr="005C5184" w:rsidRDefault="00EB5F57" w:rsidP="00AC6F4F">
            <w:pPr>
              <w:spacing w:after="0" w:line="276" w:lineRule="auto"/>
              <w:rPr>
                <w:rFonts w:ascii="Times New Roman" w:eastAsia="Times New Roman" w:hAnsi="Times New Roman" w:cs="Times New Roman"/>
                <w:color w:val="000000"/>
                <w:kern w:val="0"/>
                <w14:ligatures w14:val="none"/>
              </w:rPr>
            </w:pPr>
            <w:r w:rsidRPr="005C5184">
              <w:rPr>
                <w:rFonts w:ascii="Times New Roman" w:eastAsia="Times New Roman" w:hAnsi="Times New Roman" w:cs="Times New Roman"/>
                <w:color w:val="000000"/>
                <w:kern w:val="0"/>
                <w14:ligatures w14:val="none"/>
              </w:rPr>
              <w:t> </w:t>
            </w:r>
          </w:p>
        </w:tc>
        <w:tc>
          <w:tcPr>
            <w:tcW w:w="3631" w:type="dxa"/>
            <w:gridSpan w:val="2"/>
            <w:tcBorders>
              <w:top w:val="single" w:sz="4" w:space="0" w:color="auto"/>
              <w:left w:val="nil"/>
              <w:bottom w:val="double" w:sz="6" w:space="0" w:color="auto"/>
              <w:right w:val="nil"/>
            </w:tcBorders>
            <w:noWrap/>
            <w:vAlign w:val="bottom"/>
            <w:hideMark/>
          </w:tcPr>
          <w:p w14:paraId="5BAB21C3" w14:textId="3BA00D92" w:rsidR="00EB5F57" w:rsidRPr="005C5184" w:rsidRDefault="00EB5F57" w:rsidP="00AC6F4F">
            <w:pPr>
              <w:spacing w:after="0" w:line="276" w:lineRule="auto"/>
              <w:rPr>
                <w:rFonts w:ascii="Times New Roman" w:eastAsia="Times New Roman" w:hAnsi="Times New Roman" w:cs="Times New Roman"/>
                <w:b/>
                <w:bCs/>
                <w:color w:val="000000"/>
                <w:kern w:val="0"/>
                <w14:ligatures w14:val="none"/>
              </w:rPr>
            </w:pPr>
            <w:r w:rsidRPr="005C5184">
              <w:rPr>
                <w:rFonts w:ascii="Times New Roman" w:eastAsia="Times New Roman" w:hAnsi="Times New Roman" w:cs="Times New Roman"/>
                <w:b/>
                <w:bCs/>
                <w:color w:val="000000"/>
                <w:kern w:val="0"/>
                <w14:ligatures w14:val="none"/>
              </w:rPr>
              <w:t xml:space="preserve">                  Trace</w:t>
            </w:r>
          </w:p>
        </w:tc>
        <w:tc>
          <w:tcPr>
            <w:tcW w:w="3027" w:type="dxa"/>
            <w:tcBorders>
              <w:top w:val="single" w:sz="4" w:space="0" w:color="auto"/>
              <w:left w:val="nil"/>
              <w:bottom w:val="double" w:sz="6" w:space="0" w:color="auto"/>
              <w:right w:val="nil"/>
            </w:tcBorders>
            <w:noWrap/>
            <w:vAlign w:val="bottom"/>
            <w:hideMark/>
          </w:tcPr>
          <w:p w14:paraId="4F3B16F3" w14:textId="7655547E" w:rsidR="00EB5F57" w:rsidRPr="005C5184" w:rsidRDefault="00EB5F57" w:rsidP="00AC6F4F">
            <w:pPr>
              <w:spacing w:after="0" w:line="276" w:lineRule="auto"/>
              <w:rPr>
                <w:rFonts w:ascii="Times New Roman" w:eastAsia="Times New Roman" w:hAnsi="Times New Roman" w:cs="Times New Roman"/>
                <w:b/>
                <w:bCs/>
                <w:color w:val="000000"/>
                <w:kern w:val="0"/>
                <w14:ligatures w14:val="none"/>
              </w:rPr>
            </w:pPr>
            <w:r w:rsidRPr="005C5184">
              <w:rPr>
                <w:rFonts w:ascii="Times New Roman" w:eastAsia="Times New Roman" w:hAnsi="Times New Roman" w:cs="Times New Roman"/>
                <w:b/>
                <w:bCs/>
                <w:color w:val="000000"/>
                <w:kern w:val="0"/>
                <w14:ligatures w14:val="none"/>
              </w:rPr>
              <w:t xml:space="preserve"> Max Eigen</w:t>
            </w:r>
          </w:p>
        </w:tc>
      </w:tr>
      <w:tr w:rsidR="008F2BF7" w:rsidRPr="005C5184" w14:paraId="284F21A9" w14:textId="77777777" w:rsidTr="00EB5F57">
        <w:tblPrEx>
          <w:tblLook w:val="0000" w:firstRow="0" w:lastRow="0" w:firstColumn="0" w:lastColumn="0" w:noHBand="0" w:noVBand="0"/>
        </w:tblPrEx>
        <w:trPr>
          <w:trHeight w:val="289"/>
        </w:trPr>
        <w:tc>
          <w:tcPr>
            <w:tcW w:w="1170" w:type="dxa"/>
            <w:tcBorders>
              <w:top w:val="nil"/>
              <w:left w:val="nil"/>
              <w:bottom w:val="nil"/>
              <w:right w:val="nil"/>
            </w:tcBorders>
          </w:tcPr>
          <w:p w14:paraId="14D31562" w14:textId="77777777"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r=0</w:t>
            </w:r>
          </w:p>
        </w:tc>
        <w:tc>
          <w:tcPr>
            <w:tcW w:w="4032" w:type="dxa"/>
            <w:gridSpan w:val="2"/>
            <w:tcBorders>
              <w:top w:val="nil"/>
              <w:left w:val="nil"/>
              <w:bottom w:val="nil"/>
              <w:right w:val="nil"/>
            </w:tcBorders>
          </w:tcPr>
          <w:p w14:paraId="00E80774" w14:textId="73FCCDF3"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19.66</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2"/>
            <w:tcBorders>
              <w:top w:val="nil"/>
              <w:left w:val="nil"/>
              <w:bottom w:val="nil"/>
              <w:right w:val="nil"/>
            </w:tcBorders>
          </w:tcPr>
          <w:p w14:paraId="60729F1E" w14:textId="125E611E"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42.03</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6F74440A"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7ECB1493" w14:textId="514A1D6B"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1</w:t>
            </w:r>
          </w:p>
        </w:tc>
        <w:tc>
          <w:tcPr>
            <w:tcW w:w="4032" w:type="dxa"/>
            <w:gridSpan w:val="2"/>
            <w:tcBorders>
              <w:top w:val="nil"/>
              <w:left w:val="nil"/>
              <w:bottom w:val="nil"/>
              <w:right w:val="nil"/>
            </w:tcBorders>
          </w:tcPr>
          <w:p w14:paraId="4FE156D8" w14:textId="325EA0A3"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44.4</w:t>
            </w:r>
            <w:r w:rsidR="000C62DD" w:rsidRPr="005C5184">
              <w:rPr>
                <w:rFonts w:ascii="Aptos Narrow" w:hAnsi="Aptos Narrow" w:cs="Aptos Narrow"/>
                <w:color w:val="000000"/>
                <w:kern w:val="0"/>
              </w:rPr>
              <w:t>**</w:t>
            </w:r>
          </w:p>
        </w:tc>
        <w:tc>
          <w:tcPr>
            <w:tcW w:w="3381" w:type="dxa"/>
            <w:gridSpan w:val="2"/>
            <w:tcBorders>
              <w:top w:val="nil"/>
              <w:left w:val="nil"/>
              <w:bottom w:val="nil"/>
              <w:right w:val="nil"/>
            </w:tcBorders>
          </w:tcPr>
          <w:p w14:paraId="12CD77A9" w14:textId="47F80ED8"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19.54</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269D9E5A"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5A6335EF" w14:textId="5E4E14B6"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2</w:t>
            </w:r>
          </w:p>
        </w:tc>
        <w:tc>
          <w:tcPr>
            <w:tcW w:w="4032" w:type="dxa"/>
            <w:gridSpan w:val="2"/>
            <w:tcBorders>
              <w:top w:val="nil"/>
              <w:left w:val="nil"/>
              <w:bottom w:val="nil"/>
              <w:right w:val="nil"/>
            </w:tcBorders>
          </w:tcPr>
          <w:p w14:paraId="2B18E6DF" w14:textId="73455E49"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9.78</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2"/>
            <w:tcBorders>
              <w:top w:val="nil"/>
              <w:left w:val="nil"/>
              <w:bottom w:val="nil"/>
              <w:right w:val="nil"/>
            </w:tcBorders>
          </w:tcPr>
          <w:p w14:paraId="755DB2B4" w14:textId="65B76705"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23.33</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462A722A"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07D09906" w14:textId="350578DA"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008F2BF7" w:rsidRPr="005C5184">
              <w:rPr>
                <w:rFonts w:ascii="Aptos Narrow" w:hAnsi="Aptos Narrow" w:cs="Aptos Narrow"/>
                <w:color w:val="000000"/>
                <w:kern w:val="0"/>
              </w:rPr>
              <w:t>4</w:t>
            </w:r>
          </w:p>
        </w:tc>
        <w:tc>
          <w:tcPr>
            <w:tcW w:w="4032" w:type="dxa"/>
            <w:gridSpan w:val="2"/>
            <w:tcBorders>
              <w:top w:val="nil"/>
              <w:left w:val="nil"/>
              <w:bottom w:val="nil"/>
              <w:right w:val="nil"/>
            </w:tcBorders>
          </w:tcPr>
          <w:p w14:paraId="688B22BD" w14:textId="473F04E4"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27.88</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2"/>
            <w:tcBorders>
              <w:top w:val="nil"/>
              <w:left w:val="nil"/>
              <w:bottom w:val="nil"/>
              <w:right w:val="nil"/>
            </w:tcBorders>
          </w:tcPr>
          <w:p w14:paraId="3CC0A944" w14:textId="57AB67BB"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41.25</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22B7BE18"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656A94A4" w14:textId="7EB2EC9C"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5</w:t>
            </w:r>
          </w:p>
        </w:tc>
        <w:tc>
          <w:tcPr>
            <w:tcW w:w="4032" w:type="dxa"/>
            <w:gridSpan w:val="2"/>
            <w:tcBorders>
              <w:top w:val="nil"/>
              <w:left w:val="nil"/>
              <w:bottom w:val="nil"/>
              <w:right w:val="nil"/>
            </w:tcBorders>
          </w:tcPr>
          <w:p w14:paraId="44D53A2F" w14:textId="25587882"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51.76</w:t>
            </w:r>
          </w:p>
        </w:tc>
        <w:tc>
          <w:tcPr>
            <w:tcW w:w="3381" w:type="dxa"/>
            <w:gridSpan w:val="2"/>
            <w:tcBorders>
              <w:top w:val="nil"/>
              <w:left w:val="nil"/>
              <w:bottom w:val="nil"/>
              <w:right w:val="nil"/>
            </w:tcBorders>
          </w:tcPr>
          <w:p w14:paraId="4325F869" w14:textId="3C78887D"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80.31</w:t>
            </w:r>
          </w:p>
        </w:tc>
      </w:tr>
      <w:tr w:rsidR="008F2BF7" w:rsidRPr="005C5184" w14:paraId="4DDE9DC4"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7E047269" w14:textId="05B29FD0"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6</w:t>
            </w:r>
          </w:p>
        </w:tc>
        <w:tc>
          <w:tcPr>
            <w:tcW w:w="4032" w:type="dxa"/>
            <w:gridSpan w:val="2"/>
            <w:tcBorders>
              <w:top w:val="nil"/>
              <w:left w:val="nil"/>
              <w:bottom w:val="nil"/>
              <w:right w:val="nil"/>
            </w:tcBorders>
          </w:tcPr>
          <w:p w14:paraId="0BA6223B" w14:textId="24BD3FC4"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19.44</w:t>
            </w:r>
          </w:p>
        </w:tc>
        <w:tc>
          <w:tcPr>
            <w:tcW w:w="3381" w:type="dxa"/>
            <w:gridSpan w:val="2"/>
            <w:tcBorders>
              <w:top w:val="nil"/>
              <w:left w:val="nil"/>
              <w:bottom w:val="nil"/>
              <w:right w:val="nil"/>
            </w:tcBorders>
          </w:tcPr>
          <w:p w14:paraId="7F7BDD1D" w14:textId="7718F395"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9.34</w:t>
            </w:r>
          </w:p>
        </w:tc>
      </w:tr>
      <w:tr w:rsidR="008F2BF7" w:rsidRPr="005C5184" w14:paraId="3B9B2E97" w14:textId="77777777" w:rsidTr="00EB5F57">
        <w:tblPrEx>
          <w:tblLook w:val="0000" w:firstRow="0" w:lastRow="0" w:firstColumn="0" w:lastColumn="0" w:noHBand="0" w:noVBand="0"/>
        </w:tblPrEx>
        <w:trPr>
          <w:trHeight w:val="277"/>
        </w:trPr>
        <w:tc>
          <w:tcPr>
            <w:tcW w:w="1170" w:type="dxa"/>
            <w:tcBorders>
              <w:top w:val="nil"/>
              <w:left w:val="nil"/>
              <w:bottom w:val="nil"/>
              <w:right w:val="nil"/>
            </w:tcBorders>
          </w:tcPr>
          <w:p w14:paraId="70574855" w14:textId="743EE7E2"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7</w:t>
            </w:r>
          </w:p>
        </w:tc>
        <w:tc>
          <w:tcPr>
            <w:tcW w:w="4032" w:type="dxa"/>
            <w:gridSpan w:val="2"/>
            <w:tcBorders>
              <w:top w:val="nil"/>
              <w:left w:val="nil"/>
              <w:bottom w:val="nil"/>
              <w:right w:val="nil"/>
            </w:tcBorders>
          </w:tcPr>
          <w:p w14:paraId="5F7EE6CE" w14:textId="1D635C8A"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32.63</w:t>
            </w:r>
          </w:p>
        </w:tc>
        <w:tc>
          <w:tcPr>
            <w:tcW w:w="3381" w:type="dxa"/>
            <w:gridSpan w:val="2"/>
            <w:tcBorders>
              <w:top w:val="nil"/>
              <w:left w:val="nil"/>
              <w:bottom w:val="nil"/>
              <w:right w:val="nil"/>
            </w:tcBorders>
          </w:tcPr>
          <w:p w14:paraId="2269457A" w14:textId="5623ED8E"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23.65</w:t>
            </w:r>
          </w:p>
        </w:tc>
      </w:tr>
      <w:tr w:rsidR="008F2BF7" w:rsidRPr="005C5184" w14:paraId="78EB40A9" w14:textId="77777777" w:rsidTr="00EB5F57">
        <w:tblPrEx>
          <w:tblLook w:val="0000" w:firstRow="0" w:lastRow="0" w:firstColumn="0" w:lastColumn="0" w:noHBand="0" w:noVBand="0"/>
        </w:tblPrEx>
        <w:trPr>
          <w:trHeight w:val="289"/>
        </w:trPr>
        <w:tc>
          <w:tcPr>
            <w:tcW w:w="1170" w:type="dxa"/>
            <w:tcBorders>
              <w:top w:val="nil"/>
              <w:left w:val="nil"/>
              <w:bottom w:val="single" w:sz="12" w:space="0" w:color="auto"/>
              <w:right w:val="nil"/>
            </w:tcBorders>
          </w:tcPr>
          <w:p w14:paraId="4B572574" w14:textId="7D71F8FB"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8</w:t>
            </w:r>
          </w:p>
        </w:tc>
        <w:tc>
          <w:tcPr>
            <w:tcW w:w="4032" w:type="dxa"/>
            <w:gridSpan w:val="2"/>
            <w:tcBorders>
              <w:top w:val="nil"/>
              <w:left w:val="nil"/>
              <w:bottom w:val="single" w:sz="12" w:space="0" w:color="auto"/>
              <w:right w:val="nil"/>
            </w:tcBorders>
          </w:tcPr>
          <w:p w14:paraId="6944C1BC" w14:textId="773783BD"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24.11</w:t>
            </w:r>
          </w:p>
        </w:tc>
        <w:tc>
          <w:tcPr>
            <w:tcW w:w="3381" w:type="dxa"/>
            <w:gridSpan w:val="2"/>
            <w:tcBorders>
              <w:top w:val="nil"/>
              <w:left w:val="nil"/>
              <w:bottom w:val="single" w:sz="12" w:space="0" w:color="auto"/>
              <w:right w:val="nil"/>
            </w:tcBorders>
          </w:tcPr>
          <w:p w14:paraId="0DC92709" w14:textId="27C5DAE1"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004641">
              <w:rPr>
                <w:rFonts w:ascii="Aptos Narrow" w:hAnsi="Aptos Narrow" w:cs="Aptos Narrow"/>
                <w:color w:val="000000"/>
                <w:kern w:val="0"/>
              </w:rPr>
              <w:t xml:space="preserve"> </w:t>
            </w: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34.01</w:t>
            </w:r>
          </w:p>
        </w:tc>
      </w:tr>
    </w:tbl>
    <w:p w14:paraId="72E07772" w14:textId="77777777" w:rsidR="008F2BF7" w:rsidRPr="005C5184" w:rsidRDefault="008F2BF7" w:rsidP="00AC6F4F">
      <w:pPr>
        <w:spacing w:after="0" w:line="276" w:lineRule="auto"/>
        <w:rPr>
          <w:rFonts w:ascii="Times New Roman" w:hAnsi="Times New Roman" w:cs="Times New Roman"/>
          <w:b/>
          <w:bCs/>
        </w:rPr>
      </w:pPr>
    </w:p>
    <w:p w14:paraId="2ABC32F5" w14:textId="6C6AAEE5" w:rsidR="002C39D4" w:rsidRPr="00004641" w:rsidRDefault="003D0958" w:rsidP="00AC6F4F">
      <w:pPr>
        <w:tabs>
          <w:tab w:val="left" w:pos="1363"/>
        </w:tabs>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Results are based on the VAR model with lag order 2 as guided by the Bayesian Information Criterion</w:t>
      </w:r>
      <w:r w:rsidR="000C62DD" w:rsidRPr="00004641">
        <w:rPr>
          <w:rFonts w:ascii="Times New Roman" w:hAnsi="Times New Roman" w:cs="Times New Roman"/>
          <w:i/>
          <w:iCs/>
          <w:sz w:val="20"/>
          <w:szCs w:val="20"/>
        </w:rPr>
        <w:t xml:space="preserve"> (BIC)</w:t>
      </w:r>
      <w:r w:rsidRPr="00004641">
        <w:rPr>
          <w:rFonts w:ascii="Times New Roman" w:hAnsi="Times New Roman" w:cs="Times New Roman"/>
          <w:i/>
          <w:iCs/>
          <w:sz w:val="20"/>
          <w:szCs w:val="20"/>
        </w:rPr>
        <w:t xml:space="preserve">. Trace denotes Johansen’s Trace </w:t>
      </w:r>
      <w:r w:rsidR="00EE1C2B" w:rsidRPr="00004641">
        <w:rPr>
          <w:rFonts w:ascii="Times New Roman" w:hAnsi="Times New Roman" w:cs="Times New Roman"/>
          <w:i/>
          <w:iCs/>
          <w:sz w:val="20"/>
          <w:szCs w:val="20"/>
        </w:rPr>
        <w:t>Statistic;</w:t>
      </w:r>
      <w:r w:rsidRPr="00004641">
        <w:rPr>
          <w:rFonts w:ascii="Times New Roman" w:hAnsi="Times New Roman" w:cs="Times New Roman"/>
          <w:i/>
          <w:iCs/>
          <w:sz w:val="20"/>
          <w:szCs w:val="20"/>
        </w:rPr>
        <w:t xml:space="preserve"> Max denotes Johansen’s Max-Eigen value rank test statistic. </w:t>
      </w:r>
      <w:r w:rsidR="00553E74" w:rsidRPr="00004641">
        <w:rPr>
          <w:rFonts w:ascii="Times New Roman" w:hAnsi="Times New Roman" w:cs="Times New Roman"/>
          <w:i/>
          <w:iCs/>
          <w:sz w:val="20"/>
          <w:szCs w:val="20"/>
        </w:rPr>
        <w:t xml:space="preserve"> </w:t>
      </w:r>
      <w:r w:rsidR="002C39D4" w:rsidRPr="00004641">
        <w:rPr>
          <w:rFonts w:ascii="Times New Roman" w:hAnsi="Times New Roman" w:cs="Times New Roman"/>
          <w:i/>
          <w:iCs/>
          <w:sz w:val="20"/>
          <w:szCs w:val="20"/>
        </w:rPr>
        <w:t>* Denotes rejection of the null hypothesis at 5% level</w:t>
      </w:r>
      <w:r w:rsidR="00553E74" w:rsidRPr="00004641">
        <w:rPr>
          <w:rFonts w:ascii="Times New Roman" w:hAnsi="Times New Roman" w:cs="Times New Roman"/>
          <w:i/>
          <w:iCs/>
          <w:sz w:val="20"/>
          <w:szCs w:val="20"/>
        </w:rPr>
        <w:t>.</w:t>
      </w:r>
    </w:p>
    <w:p w14:paraId="24ABDD19" w14:textId="77777777" w:rsidR="002C39D4" w:rsidRPr="00004641" w:rsidRDefault="002C39D4" w:rsidP="00AC6F4F">
      <w:pPr>
        <w:spacing w:after="0" w:line="276" w:lineRule="auto"/>
        <w:jc w:val="both"/>
        <w:rPr>
          <w:rFonts w:ascii="Times New Roman" w:hAnsi="Times New Roman" w:cs="Times New Roman"/>
          <w:i/>
          <w:iCs/>
          <w:sz w:val="20"/>
          <w:szCs w:val="20"/>
        </w:rPr>
      </w:pPr>
    </w:p>
    <w:p w14:paraId="195503CF" w14:textId="70F8C5C9" w:rsidR="00AB3722" w:rsidRPr="00AB3722" w:rsidRDefault="00EE1C2B" w:rsidP="00AB3722">
      <w:pPr>
        <w:spacing w:after="0" w:line="276" w:lineRule="auto"/>
        <w:ind w:firstLine="720"/>
        <w:jc w:val="both"/>
        <w:rPr>
          <w:rFonts w:ascii="Times New Roman" w:hAnsi="Times New Roman" w:cs="Times New Roman"/>
        </w:rPr>
      </w:pPr>
      <w:r w:rsidRPr="00AB3722">
        <w:rPr>
          <w:rFonts w:ascii="Times New Roman" w:hAnsi="Times New Roman" w:cs="Times New Roman"/>
        </w:rPr>
        <w:t xml:space="preserve">The </w:t>
      </w:r>
      <w:r w:rsidR="00591FE1" w:rsidRPr="00AB3722">
        <w:rPr>
          <w:rFonts w:ascii="Times New Roman" w:hAnsi="Times New Roman" w:cs="Times New Roman"/>
        </w:rPr>
        <w:t>cointegration test results</w:t>
      </w:r>
      <w:r w:rsidRPr="00AB3722">
        <w:rPr>
          <w:rFonts w:ascii="Times New Roman" w:hAnsi="Times New Roman" w:cs="Times New Roman"/>
        </w:rPr>
        <w:t xml:space="preserve"> presented in Table </w:t>
      </w:r>
      <w:r w:rsidR="00EB5F57" w:rsidRPr="00AB3722">
        <w:rPr>
          <w:rFonts w:ascii="Times New Roman" w:hAnsi="Times New Roman" w:cs="Times New Roman"/>
        </w:rPr>
        <w:t>3</w:t>
      </w:r>
      <w:r w:rsidRPr="00AB3722">
        <w:rPr>
          <w:rFonts w:ascii="Times New Roman" w:hAnsi="Times New Roman" w:cs="Times New Roman"/>
        </w:rPr>
        <w:t xml:space="preserve"> indicate the presence of </w:t>
      </w:r>
      <w:r w:rsidR="00EB5F57" w:rsidRPr="00AB3722">
        <w:rPr>
          <w:rFonts w:ascii="Times New Roman" w:hAnsi="Times New Roman" w:cs="Times New Roman"/>
        </w:rPr>
        <w:t>four</w:t>
      </w:r>
      <w:r w:rsidRPr="00AB3722">
        <w:rPr>
          <w:rFonts w:ascii="Times New Roman" w:hAnsi="Times New Roman" w:cs="Times New Roman"/>
        </w:rPr>
        <w:t xml:space="preserve"> cointegrating vectors among the variables. This suggests</w:t>
      </w:r>
      <w:r w:rsidR="00B633A1" w:rsidRPr="00AB3722">
        <w:rPr>
          <w:rFonts w:ascii="Times New Roman" w:hAnsi="Times New Roman" w:cs="Times New Roman"/>
        </w:rPr>
        <w:t xml:space="preserve"> that</w:t>
      </w:r>
      <w:r w:rsidRPr="00AB3722">
        <w:rPr>
          <w:rFonts w:ascii="Times New Roman" w:hAnsi="Times New Roman" w:cs="Times New Roman"/>
        </w:rPr>
        <w:t xml:space="preserve"> a long-term relationship or </w:t>
      </w:r>
      <w:r w:rsidR="00B75521" w:rsidRPr="00AB3722">
        <w:rPr>
          <w:rFonts w:ascii="Times New Roman" w:hAnsi="Times New Roman" w:cs="Times New Roman"/>
        </w:rPr>
        <w:t>association</w:t>
      </w:r>
      <w:r w:rsidRPr="00AB3722">
        <w:rPr>
          <w:rFonts w:ascii="Times New Roman" w:hAnsi="Times New Roman" w:cs="Times New Roman"/>
        </w:rPr>
        <w:t xml:space="preserve"> exists among these variables. As </w:t>
      </w:r>
      <w:r w:rsidR="00B75521" w:rsidRPr="00AB3722">
        <w:rPr>
          <w:rFonts w:ascii="Times New Roman" w:hAnsi="Times New Roman" w:cs="Times New Roman"/>
        </w:rPr>
        <w:t>guided by the literature, the</w:t>
      </w:r>
      <w:r w:rsidRPr="00AB3722">
        <w:rPr>
          <w:rFonts w:ascii="Times New Roman" w:hAnsi="Times New Roman" w:cs="Times New Roman"/>
        </w:rPr>
        <w:t xml:space="preserve"> VECM</w:t>
      </w:r>
      <w:r w:rsidR="00B75521" w:rsidRPr="00AB3722">
        <w:rPr>
          <w:rFonts w:ascii="Times New Roman" w:hAnsi="Times New Roman" w:cs="Times New Roman"/>
        </w:rPr>
        <w:t xml:space="preserve"> model</w:t>
      </w:r>
      <w:r w:rsidR="005A7E07">
        <w:rPr>
          <w:rFonts w:ascii="Times New Roman" w:hAnsi="Times New Roman" w:cs="Times New Roman"/>
        </w:rPr>
        <w:t>, as per equation 5,</w:t>
      </w:r>
      <w:r w:rsidR="00B75521" w:rsidRPr="00AB3722">
        <w:rPr>
          <w:rFonts w:ascii="Times New Roman" w:hAnsi="Times New Roman" w:cs="Times New Roman"/>
        </w:rPr>
        <w:t xml:space="preserve"> is estimated</w:t>
      </w:r>
      <w:r w:rsidRPr="00AB3722">
        <w:rPr>
          <w:rFonts w:ascii="Times New Roman" w:hAnsi="Times New Roman" w:cs="Times New Roman"/>
        </w:rPr>
        <w:t>, given that VAR models applied at levels are not appropriate for estimating cointegrated vectors (</w:t>
      </w:r>
      <w:proofErr w:type="spellStart"/>
      <w:r w:rsidRPr="00AB3722">
        <w:rPr>
          <w:rFonts w:ascii="Times New Roman" w:hAnsi="Times New Roman" w:cs="Times New Roman"/>
        </w:rPr>
        <w:t>Luitkepohl</w:t>
      </w:r>
      <w:proofErr w:type="spellEnd"/>
      <w:r w:rsidRPr="00AB3722">
        <w:rPr>
          <w:rFonts w:ascii="Times New Roman" w:hAnsi="Times New Roman" w:cs="Times New Roman"/>
        </w:rPr>
        <w:t>, 1999).</w:t>
      </w:r>
      <w:r w:rsidR="00B75521" w:rsidRPr="00AB3722">
        <w:rPr>
          <w:rFonts w:ascii="Times New Roman" w:hAnsi="Times New Roman" w:cs="Times New Roman"/>
        </w:rPr>
        <w:t xml:space="preserve"> </w:t>
      </w:r>
      <w:r w:rsidR="00B633A1" w:rsidRPr="00AB3722">
        <w:rPr>
          <w:rFonts w:ascii="Times New Roman" w:hAnsi="Times New Roman" w:cs="Times New Roman"/>
        </w:rPr>
        <w:t>This study employs data in natural logarithmic form</w:t>
      </w:r>
      <w:r w:rsidR="008C3259" w:rsidRPr="00AB3722">
        <w:rPr>
          <w:rFonts w:ascii="Times New Roman" w:hAnsi="Times New Roman" w:cs="Times New Roman"/>
        </w:rPr>
        <w:t xml:space="preserve">, with </w:t>
      </w:r>
      <w:r w:rsidR="005A7E07">
        <w:rPr>
          <w:rFonts w:ascii="Times New Roman" w:hAnsi="Times New Roman" w:cs="Times New Roman"/>
        </w:rPr>
        <w:t xml:space="preserve">the </w:t>
      </w:r>
      <w:r w:rsidR="008C3259" w:rsidRPr="00AB3722">
        <w:rPr>
          <w:rFonts w:ascii="Times New Roman" w:hAnsi="Times New Roman" w:cs="Times New Roman"/>
        </w:rPr>
        <w:t xml:space="preserve">exception of </w:t>
      </w:r>
      <w:r w:rsidR="005A7E07">
        <w:rPr>
          <w:rFonts w:ascii="Times New Roman" w:hAnsi="Times New Roman" w:cs="Times New Roman"/>
        </w:rPr>
        <w:t xml:space="preserve">the </w:t>
      </w:r>
      <w:r w:rsidR="008C3259" w:rsidRPr="00AB3722">
        <w:rPr>
          <w:rFonts w:ascii="Times New Roman" w:hAnsi="Times New Roman" w:cs="Times New Roman"/>
        </w:rPr>
        <w:t>inflation gap,</w:t>
      </w:r>
      <w:r w:rsidR="00546285" w:rsidRPr="00AB3722">
        <w:rPr>
          <w:rFonts w:ascii="Times New Roman" w:hAnsi="Times New Roman" w:cs="Times New Roman"/>
        </w:rPr>
        <w:t xml:space="preserve"> </w:t>
      </w:r>
      <w:r w:rsidR="00B633A1" w:rsidRPr="00AB3722">
        <w:rPr>
          <w:rFonts w:ascii="Times New Roman" w:hAnsi="Times New Roman" w:cs="Times New Roman"/>
        </w:rPr>
        <w:t xml:space="preserve">to mitigate the </w:t>
      </w:r>
      <w:r w:rsidR="00B633A1" w:rsidRPr="00AB3722">
        <w:rPr>
          <w:rFonts w:ascii="Times New Roman" w:hAnsi="Times New Roman" w:cs="Times New Roman"/>
        </w:rPr>
        <w:lastRenderedPageBreak/>
        <w:t>effects of skewed data and maintain constant variance. Additionally, coefficients presented on the natural log scale can be interpreted directly as elasticities or percentages (Green, 2003).</w:t>
      </w:r>
      <w:r w:rsidR="00AB3722" w:rsidRPr="00AB3722">
        <w:rPr>
          <w:rFonts w:ascii="Times New Roman" w:hAnsi="Times New Roman" w:cs="Times New Roman"/>
        </w:rPr>
        <w:t xml:space="preserve"> </w:t>
      </w:r>
    </w:p>
    <w:p w14:paraId="4C267D1B" w14:textId="77777777" w:rsidR="00AB3722" w:rsidRDefault="00AF6A74" w:rsidP="00AB3722">
      <w:pPr>
        <w:spacing w:after="0" w:line="276" w:lineRule="auto"/>
        <w:ind w:firstLine="720"/>
        <w:jc w:val="both"/>
        <w:rPr>
          <w:rFonts w:ascii="Times New Roman" w:hAnsi="Times New Roman" w:cs="Times New Roman"/>
        </w:rPr>
      </w:pPr>
      <w:r w:rsidRPr="00AB3722">
        <w:rPr>
          <w:rFonts w:ascii="Times New Roman" w:hAnsi="Times New Roman" w:cs="Times New Roman"/>
        </w:rPr>
        <w:t xml:space="preserve">Table </w:t>
      </w:r>
      <w:r w:rsidR="00F223A6" w:rsidRPr="00AB3722">
        <w:rPr>
          <w:rFonts w:ascii="Times New Roman" w:hAnsi="Times New Roman" w:cs="Times New Roman"/>
        </w:rPr>
        <w:t>4</w:t>
      </w:r>
      <w:r w:rsidRPr="00AB3722">
        <w:rPr>
          <w:rFonts w:ascii="Times New Roman" w:hAnsi="Times New Roman" w:cs="Times New Roman"/>
        </w:rPr>
        <w:t xml:space="preserve"> presents </w:t>
      </w:r>
      <w:r w:rsidR="00B633A1" w:rsidRPr="00AB3722">
        <w:rPr>
          <w:rFonts w:ascii="Times New Roman" w:hAnsi="Times New Roman" w:cs="Times New Roman"/>
        </w:rPr>
        <w:t>summary</w:t>
      </w:r>
      <w:r w:rsidRPr="00AB3722">
        <w:rPr>
          <w:rFonts w:ascii="Times New Roman" w:hAnsi="Times New Roman" w:cs="Times New Roman"/>
        </w:rPr>
        <w:t xml:space="preserve"> estimates of the VECM long-run (LR) and short-run (SR) cointegration (adjustment speeds) for our data variables. </w:t>
      </w:r>
      <w:r w:rsidR="00B633A1" w:rsidRPr="00AB3722">
        <w:rPr>
          <w:rFonts w:ascii="Times New Roman" w:hAnsi="Times New Roman" w:cs="Times New Roman"/>
        </w:rPr>
        <w:t xml:space="preserve">The results </w:t>
      </w:r>
      <w:r w:rsidR="00BB2455" w:rsidRPr="00AB3722">
        <w:rPr>
          <w:rFonts w:ascii="Times New Roman" w:hAnsi="Times New Roman" w:cs="Times New Roman"/>
        </w:rPr>
        <w:t xml:space="preserve">allow us to evaluate each variable's </w:t>
      </w:r>
      <w:r w:rsidR="00553E74" w:rsidRPr="00AB3722">
        <w:rPr>
          <w:rFonts w:ascii="Times New Roman" w:hAnsi="Times New Roman" w:cs="Times New Roman"/>
        </w:rPr>
        <w:t>effect</w:t>
      </w:r>
      <w:r w:rsidR="00BB2455" w:rsidRPr="00AB3722">
        <w:rPr>
          <w:rFonts w:ascii="Times New Roman" w:hAnsi="Times New Roman" w:cs="Times New Roman"/>
        </w:rPr>
        <w:t xml:space="preserve"> on the inflation gap </w:t>
      </w:r>
      <w:r w:rsidR="00B633A1" w:rsidRPr="00AB3722">
        <w:rPr>
          <w:rFonts w:ascii="Times New Roman" w:hAnsi="Times New Roman" w:cs="Times New Roman"/>
        </w:rPr>
        <w:t>(</w:t>
      </w:r>
      <w:proofErr w:type="spellStart"/>
      <w:r w:rsidR="00B633A1" w:rsidRPr="00AB3722">
        <w:rPr>
          <w:rFonts w:ascii="Times New Roman" w:hAnsi="Times New Roman" w:cs="Times New Roman"/>
        </w:rPr>
        <w:t>inf_gap</w:t>
      </w:r>
      <w:proofErr w:type="spellEnd"/>
      <w:r w:rsidR="00B633A1" w:rsidRPr="00AB3722">
        <w:rPr>
          <w:rFonts w:ascii="Times New Roman" w:hAnsi="Times New Roman" w:cs="Times New Roman"/>
        </w:rPr>
        <w:t>) or inflation targeting performance</w:t>
      </w:r>
      <w:r w:rsidR="00BB2455" w:rsidRPr="00AB3722">
        <w:rPr>
          <w:rFonts w:ascii="Times New Roman" w:hAnsi="Times New Roman" w:cs="Times New Roman"/>
        </w:rPr>
        <w:t xml:space="preserve">, </w:t>
      </w:r>
      <w:r w:rsidR="00B633A1" w:rsidRPr="00AB3722">
        <w:rPr>
          <w:rFonts w:ascii="Times New Roman" w:hAnsi="Times New Roman" w:cs="Times New Roman"/>
        </w:rPr>
        <w:t>its statistical significance, policy implications, and the speed at which inflation reverts to long-run equilibrium after</w:t>
      </w:r>
      <w:r w:rsidR="00553E74" w:rsidRPr="00AB3722">
        <w:rPr>
          <w:rFonts w:ascii="Times New Roman" w:hAnsi="Times New Roman" w:cs="Times New Roman"/>
        </w:rPr>
        <w:t xml:space="preserve"> experiencing</w:t>
      </w:r>
      <w:r w:rsidR="00B633A1" w:rsidRPr="00AB3722">
        <w:rPr>
          <w:rFonts w:ascii="Times New Roman" w:hAnsi="Times New Roman" w:cs="Times New Roman"/>
        </w:rPr>
        <w:t xml:space="preserve"> a shock.</w:t>
      </w:r>
      <w:r w:rsidR="00AB3722">
        <w:rPr>
          <w:rFonts w:ascii="Times New Roman" w:hAnsi="Times New Roman" w:cs="Times New Roman"/>
        </w:rPr>
        <w:t xml:space="preserve"> </w:t>
      </w:r>
    </w:p>
    <w:p w14:paraId="53A68B64" w14:textId="6F2487B2" w:rsidR="00014199" w:rsidRPr="005C5184" w:rsidRDefault="005A7E07" w:rsidP="00AB3722">
      <w:pPr>
        <w:spacing w:after="0" w:line="276" w:lineRule="auto"/>
        <w:ind w:firstLine="720"/>
        <w:jc w:val="both"/>
        <w:rPr>
          <w:rFonts w:ascii="Times New Roman" w:hAnsi="Times New Roman" w:cs="Times New Roman"/>
        </w:rPr>
      </w:pPr>
      <w:proofErr w:type="spellStart"/>
      <w:proofErr w:type="gramStart"/>
      <w:r>
        <w:rPr>
          <w:rFonts w:ascii="Times New Roman" w:hAnsi="Times New Roman" w:cs="Times New Roman"/>
        </w:rPr>
        <w:t>Overall,Table</w:t>
      </w:r>
      <w:proofErr w:type="spellEnd"/>
      <w:proofErr w:type="gramEnd"/>
      <w:r>
        <w:rPr>
          <w:rFonts w:ascii="Times New Roman" w:hAnsi="Times New Roman" w:cs="Times New Roman"/>
        </w:rPr>
        <w:t xml:space="preserve"> 4 indicates that the error correction term (ECT) has a coefficient of -0.07 and a t-statistic of 5.03. This means that deviations from the long-run equilibrium are corrected at the rate of 7% per quarter. In other words, the system corrects to a long-run</w:t>
      </w:r>
      <w:r w:rsidR="00014199" w:rsidRPr="005C5184">
        <w:rPr>
          <w:rFonts w:ascii="Times New Roman" w:hAnsi="Times New Roman" w:cs="Times New Roman"/>
        </w:rPr>
        <w:t xml:space="preserve"> equilibrium at the speed of 7% per quarter.</w:t>
      </w:r>
    </w:p>
    <w:p w14:paraId="6606AAF1" w14:textId="3245559A" w:rsidR="00FA4B98" w:rsidRPr="002B3D89" w:rsidRDefault="00FA4B98" w:rsidP="00AB3722">
      <w:pPr>
        <w:pStyle w:val="css-16z797f"/>
        <w:spacing w:line="276" w:lineRule="auto"/>
        <w:jc w:val="center"/>
        <w:rPr>
          <w:b/>
          <w:bCs/>
          <w:i/>
          <w:iCs/>
          <w:sz w:val="20"/>
          <w:szCs w:val="20"/>
        </w:rPr>
      </w:pPr>
      <w:r w:rsidRPr="00E906FB">
        <w:rPr>
          <w:b/>
          <w:bCs/>
          <w:i/>
          <w:iCs/>
          <w:sz w:val="20"/>
          <w:szCs w:val="20"/>
          <w:highlight w:val="yellow"/>
        </w:rPr>
        <w:t>Table 4: VECM LR and SR Cointegration Estimates</w:t>
      </w:r>
    </w:p>
    <w:tbl>
      <w:tblPr>
        <w:tblW w:w="10321" w:type="dxa"/>
        <w:tblInd w:w="-30" w:type="dxa"/>
        <w:tblLayout w:type="fixed"/>
        <w:tblLook w:val="0000" w:firstRow="0" w:lastRow="0" w:firstColumn="0" w:lastColumn="0" w:noHBand="0" w:noVBand="0"/>
      </w:tblPr>
      <w:tblGrid>
        <w:gridCol w:w="1747"/>
        <w:gridCol w:w="1243"/>
        <w:gridCol w:w="1081"/>
        <w:gridCol w:w="1676"/>
        <w:gridCol w:w="1080"/>
        <w:gridCol w:w="943"/>
        <w:gridCol w:w="1371"/>
        <w:gridCol w:w="1180"/>
      </w:tblGrid>
      <w:tr w:rsidR="00FA4B98" w:rsidRPr="00AB3722" w14:paraId="2DBA04C4" w14:textId="77777777" w:rsidTr="00E86F47">
        <w:trPr>
          <w:trHeight w:val="489"/>
        </w:trPr>
        <w:tc>
          <w:tcPr>
            <w:tcW w:w="1747" w:type="dxa"/>
            <w:tcBorders>
              <w:top w:val="single" w:sz="4" w:space="0" w:color="auto"/>
              <w:left w:val="nil"/>
              <w:bottom w:val="single" w:sz="4" w:space="0" w:color="auto"/>
              <w:right w:val="nil"/>
            </w:tcBorders>
          </w:tcPr>
          <w:p w14:paraId="257FE962"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p>
        </w:tc>
        <w:tc>
          <w:tcPr>
            <w:tcW w:w="4000" w:type="dxa"/>
            <w:gridSpan w:val="3"/>
            <w:tcBorders>
              <w:top w:val="single" w:sz="4" w:space="0" w:color="auto"/>
              <w:left w:val="nil"/>
              <w:bottom w:val="single" w:sz="4" w:space="0" w:color="auto"/>
              <w:right w:val="single" w:sz="6" w:space="0" w:color="auto"/>
            </w:tcBorders>
          </w:tcPr>
          <w:p w14:paraId="37290934" w14:textId="64C6698E" w:rsidR="00FA4B98" w:rsidRPr="00AB3722" w:rsidRDefault="009470E6" w:rsidP="00AB3722">
            <w:pPr>
              <w:autoSpaceDE w:val="0"/>
              <w:autoSpaceDN w:val="0"/>
              <w:adjustRightInd w:val="0"/>
              <w:spacing w:after="0" w:line="276" w:lineRule="auto"/>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Long-Run</w:t>
            </w:r>
            <w:r w:rsidR="00FA4B98" w:rsidRPr="00AB3722">
              <w:rPr>
                <w:rFonts w:ascii="Times New Roman" w:hAnsi="Times New Roman" w:cs="Times New Roman"/>
                <w:b/>
                <w:bCs/>
                <w:color w:val="000000"/>
                <w:kern w:val="0"/>
                <w:sz w:val="20"/>
                <w:szCs w:val="20"/>
              </w:rPr>
              <w:t xml:space="preserve"> Cointegration Estimates ECT</w:t>
            </w:r>
          </w:p>
        </w:tc>
        <w:tc>
          <w:tcPr>
            <w:tcW w:w="3394" w:type="dxa"/>
            <w:gridSpan w:val="3"/>
            <w:tcBorders>
              <w:top w:val="single" w:sz="4" w:space="0" w:color="auto"/>
              <w:left w:val="nil"/>
              <w:bottom w:val="single" w:sz="6" w:space="0" w:color="auto"/>
              <w:right w:val="nil"/>
            </w:tcBorders>
          </w:tcPr>
          <w:p w14:paraId="423EB708" w14:textId="77777777" w:rsidR="00FA4B98" w:rsidRPr="00AB3722" w:rsidRDefault="00FA4B98" w:rsidP="00AB3722">
            <w:pPr>
              <w:autoSpaceDE w:val="0"/>
              <w:autoSpaceDN w:val="0"/>
              <w:adjustRightInd w:val="0"/>
              <w:spacing w:after="0" w:line="276" w:lineRule="auto"/>
              <w:rPr>
                <w:rFonts w:ascii="Times New Roman" w:hAnsi="Times New Roman" w:cs="Times New Roman"/>
                <w:b/>
                <w:bCs/>
                <w:color w:val="000000"/>
                <w:kern w:val="0"/>
                <w:sz w:val="20"/>
                <w:szCs w:val="20"/>
              </w:rPr>
            </w:pPr>
            <w:r w:rsidRPr="00AB3722">
              <w:rPr>
                <w:rFonts w:ascii="Times New Roman" w:hAnsi="Times New Roman" w:cs="Times New Roman"/>
                <w:b/>
                <w:bCs/>
                <w:color w:val="000000"/>
                <w:kern w:val="0"/>
                <w:sz w:val="20"/>
                <w:szCs w:val="20"/>
              </w:rPr>
              <w:t>Speed of Adjustment Estimates</w:t>
            </w:r>
          </w:p>
        </w:tc>
        <w:tc>
          <w:tcPr>
            <w:tcW w:w="1180" w:type="dxa"/>
            <w:tcBorders>
              <w:top w:val="single" w:sz="4" w:space="0" w:color="auto"/>
              <w:left w:val="nil"/>
              <w:bottom w:val="nil"/>
              <w:right w:val="nil"/>
            </w:tcBorders>
          </w:tcPr>
          <w:p w14:paraId="3E005497"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p>
        </w:tc>
      </w:tr>
      <w:tr w:rsidR="00FA4B98" w:rsidRPr="00AB3722" w14:paraId="2CF92338" w14:textId="77777777" w:rsidTr="00E86F47">
        <w:trPr>
          <w:trHeight w:val="489"/>
        </w:trPr>
        <w:tc>
          <w:tcPr>
            <w:tcW w:w="1747" w:type="dxa"/>
            <w:tcBorders>
              <w:top w:val="single" w:sz="4" w:space="0" w:color="auto"/>
              <w:left w:val="nil"/>
              <w:bottom w:val="double" w:sz="6" w:space="0" w:color="auto"/>
              <w:right w:val="nil"/>
            </w:tcBorders>
          </w:tcPr>
          <w:p w14:paraId="545599D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Variable</w:t>
            </w:r>
          </w:p>
        </w:tc>
        <w:tc>
          <w:tcPr>
            <w:tcW w:w="1243" w:type="dxa"/>
            <w:tcBorders>
              <w:top w:val="single" w:sz="4" w:space="0" w:color="auto"/>
              <w:left w:val="nil"/>
              <w:bottom w:val="double" w:sz="6" w:space="0" w:color="auto"/>
              <w:right w:val="nil"/>
            </w:tcBorders>
          </w:tcPr>
          <w:p w14:paraId="72FC71C6"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Coeff</w:t>
            </w:r>
          </w:p>
        </w:tc>
        <w:tc>
          <w:tcPr>
            <w:tcW w:w="1081" w:type="dxa"/>
            <w:tcBorders>
              <w:top w:val="single" w:sz="4" w:space="0" w:color="auto"/>
              <w:left w:val="nil"/>
              <w:bottom w:val="double" w:sz="6" w:space="0" w:color="auto"/>
              <w:right w:val="nil"/>
            </w:tcBorders>
          </w:tcPr>
          <w:p w14:paraId="59A5A580"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t-stats</w:t>
            </w:r>
          </w:p>
        </w:tc>
        <w:tc>
          <w:tcPr>
            <w:tcW w:w="1674" w:type="dxa"/>
            <w:tcBorders>
              <w:top w:val="single" w:sz="4" w:space="0" w:color="auto"/>
              <w:left w:val="nil"/>
              <w:bottom w:val="double" w:sz="6" w:space="0" w:color="auto"/>
              <w:right w:val="single" w:sz="6" w:space="0" w:color="auto"/>
            </w:tcBorders>
          </w:tcPr>
          <w:p w14:paraId="42CB00FB"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Std. Errors</w:t>
            </w:r>
          </w:p>
        </w:tc>
        <w:tc>
          <w:tcPr>
            <w:tcW w:w="1080" w:type="dxa"/>
            <w:tcBorders>
              <w:top w:val="nil"/>
              <w:left w:val="nil"/>
              <w:bottom w:val="double" w:sz="6" w:space="0" w:color="auto"/>
              <w:right w:val="nil"/>
            </w:tcBorders>
          </w:tcPr>
          <w:p w14:paraId="00F1831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Coeff</w:t>
            </w:r>
          </w:p>
        </w:tc>
        <w:tc>
          <w:tcPr>
            <w:tcW w:w="943" w:type="dxa"/>
            <w:tcBorders>
              <w:top w:val="nil"/>
              <w:left w:val="nil"/>
              <w:bottom w:val="double" w:sz="6" w:space="0" w:color="auto"/>
              <w:right w:val="nil"/>
            </w:tcBorders>
          </w:tcPr>
          <w:p w14:paraId="4C3EBE08"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t-stats</w:t>
            </w:r>
          </w:p>
        </w:tc>
        <w:tc>
          <w:tcPr>
            <w:tcW w:w="1370" w:type="dxa"/>
            <w:tcBorders>
              <w:top w:val="nil"/>
              <w:left w:val="nil"/>
              <w:bottom w:val="double" w:sz="6" w:space="0" w:color="auto"/>
              <w:right w:val="nil"/>
            </w:tcBorders>
          </w:tcPr>
          <w:p w14:paraId="1E0D06F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Std.Errors</w:t>
            </w:r>
            <w:proofErr w:type="spellEnd"/>
          </w:p>
        </w:tc>
        <w:tc>
          <w:tcPr>
            <w:tcW w:w="1180" w:type="dxa"/>
            <w:tcBorders>
              <w:top w:val="single" w:sz="12" w:space="0" w:color="auto"/>
              <w:left w:val="nil"/>
              <w:bottom w:val="single" w:sz="6" w:space="0" w:color="auto"/>
              <w:right w:val="nil"/>
            </w:tcBorders>
          </w:tcPr>
          <w:p w14:paraId="74D1BAD3" w14:textId="15145ABA" w:rsidR="00FA4B98" w:rsidRPr="00AB3722" w:rsidRDefault="00F5505A" w:rsidP="00AB3722">
            <w:pPr>
              <w:autoSpaceDE w:val="0"/>
              <w:autoSpaceDN w:val="0"/>
              <w:adjustRightInd w:val="0"/>
              <w:spacing w:after="0" w:line="276" w:lineRule="auto"/>
              <w:rPr>
                <w:rFonts w:ascii="Times New Roman" w:hAnsi="Times New Roman" w:cs="Times New Roman"/>
                <w:color w:val="000000"/>
                <w:kern w:val="0"/>
                <w:sz w:val="20"/>
                <w:szCs w:val="20"/>
                <w:vertAlign w:val="superscript"/>
              </w:rPr>
            </w:pPr>
            <w:r w:rsidRPr="00AB3722">
              <w:rPr>
                <w:rFonts w:ascii="Times New Roman" w:hAnsi="Times New Roman" w:cs="Times New Roman"/>
                <w:color w:val="000000"/>
                <w:kern w:val="0"/>
                <w:sz w:val="20"/>
                <w:szCs w:val="20"/>
              </w:rPr>
              <w:t xml:space="preserve">      </w:t>
            </w:r>
            <w:r w:rsidR="00FA4B98" w:rsidRPr="00AB3722">
              <w:rPr>
                <w:rFonts w:ascii="Times New Roman" w:hAnsi="Times New Roman" w:cs="Times New Roman"/>
                <w:color w:val="000000"/>
                <w:kern w:val="0"/>
                <w:sz w:val="20"/>
                <w:szCs w:val="20"/>
              </w:rPr>
              <w:t>R</w:t>
            </w:r>
            <w:r w:rsidRPr="00AB3722">
              <w:rPr>
                <w:rFonts w:ascii="Times New Roman" w:hAnsi="Times New Roman" w:cs="Times New Roman"/>
                <w:color w:val="000000"/>
                <w:kern w:val="0"/>
                <w:sz w:val="20"/>
                <w:szCs w:val="20"/>
                <w:vertAlign w:val="superscript"/>
              </w:rPr>
              <w:t>2</w:t>
            </w:r>
          </w:p>
        </w:tc>
      </w:tr>
      <w:tr w:rsidR="00FA4B98" w:rsidRPr="00AB3722" w14:paraId="028EA233" w14:textId="77777777" w:rsidTr="00E86F47">
        <w:trPr>
          <w:trHeight w:val="489"/>
        </w:trPr>
        <w:tc>
          <w:tcPr>
            <w:tcW w:w="1747" w:type="dxa"/>
            <w:tcBorders>
              <w:top w:val="nil"/>
              <w:left w:val="nil"/>
              <w:bottom w:val="nil"/>
              <w:right w:val="nil"/>
            </w:tcBorders>
          </w:tcPr>
          <w:p w14:paraId="6CC8EAD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InF_GAP</w:t>
            </w:r>
            <w:proofErr w:type="spellEnd"/>
          </w:p>
        </w:tc>
        <w:tc>
          <w:tcPr>
            <w:tcW w:w="1243" w:type="dxa"/>
            <w:tcBorders>
              <w:top w:val="nil"/>
              <w:left w:val="nil"/>
              <w:bottom w:val="nil"/>
              <w:right w:val="nil"/>
            </w:tcBorders>
          </w:tcPr>
          <w:p w14:paraId="72E62F97"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w:t>
            </w:r>
          </w:p>
        </w:tc>
        <w:tc>
          <w:tcPr>
            <w:tcW w:w="1081" w:type="dxa"/>
            <w:tcBorders>
              <w:top w:val="nil"/>
              <w:left w:val="nil"/>
              <w:bottom w:val="nil"/>
              <w:right w:val="nil"/>
            </w:tcBorders>
          </w:tcPr>
          <w:p w14:paraId="03BCACDE" w14:textId="1F159EA4"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2.62**</w:t>
            </w:r>
          </w:p>
        </w:tc>
        <w:tc>
          <w:tcPr>
            <w:tcW w:w="1674" w:type="dxa"/>
            <w:tcBorders>
              <w:top w:val="nil"/>
              <w:left w:val="nil"/>
              <w:bottom w:val="nil"/>
              <w:right w:val="single" w:sz="6" w:space="0" w:color="auto"/>
            </w:tcBorders>
          </w:tcPr>
          <w:p w14:paraId="7840819C"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0.312</w:t>
            </w:r>
          </w:p>
        </w:tc>
        <w:tc>
          <w:tcPr>
            <w:tcW w:w="1080" w:type="dxa"/>
            <w:tcBorders>
              <w:top w:val="nil"/>
              <w:left w:val="nil"/>
              <w:bottom w:val="nil"/>
              <w:right w:val="nil"/>
            </w:tcBorders>
          </w:tcPr>
          <w:p w14:paraId="5DB92A04" w14:textId="4D1BFB1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-0.072</w:t>
            </w:r>
          </w:p>
        </w:tc>
        <w:tc>
          <w:tcPr>
            <w:tcW w:w="943" w:type="dxa"/>
            <w:tcBorders>
              <w:top w:val="nil"/>
              <w:left w:val="nil"/>
              <w:bottom w:val="nil"/>
              <w:right w:val="nil"/>
            </w:tcBorders>
          </w:tcPr>
          <w:p w14:paraId="238DCE78" w14:textId="5765F9BC"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5.03</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236A47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0.053</w:t>
            </w:r>
          </w:p>
        </w:tc>
        <w:tc>
          <w:tcPr>
            <w:tcW w:w="1180" w:type="dxa"/>
            <w:tcBorders>
              <w:top w:val="nil"/>
              <w:left w:val="nil"/>
              <w:bottom w:val="nil"/>
              <w:right w:val="nil"/>
            </w:tcBorders>
          </w:tcPr>
          <w:p w14:paraId="55503F06"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0.61</w:t>
            </w:r>
          </w:p>
        </w:tc>
      </w:tr>
      <w:tr w:rsidR="00FA4B98" w:rsidRPr="00AB3722" w14:paraId="0FF68C4F" w14:textId="77777777" w:rsidTr="00E86F47">
        <w:trPr>
          <w:trHeight w:val="471"/>
        </w:trPr>
        <w:tc>
          <w:tcPr>
            <w:tcW w:w="1747" w:type="dxa"/>
            <w:tcBorders>
              <w:top w:val="nil"/>
              <w:left w:val="nil"/>
              <w:bottom w:val="nil"/>
              <w:right w:val="nil"/>
            </w:tcBorders>
          </w:tcPr>
          <w:p w14:paraId="34F129E9"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InINFLATION</w:t>
            </w:r>
            <w:proofErr w:type="spellEnd"/>
          </w:p>
        </w:tc>
        <w:tc>
          <w:tcPr>
            <w:tcW w:w="1243" w:type="dxa"/>
            <w:tcBorders>
              <w:top w:val="nil"/>
              <w:left w:val="nil"/>
              <w:bottom w:val="nil"/>
              <w:right w:val="nil"/>
            </w:tcBorders>
          </w:tcPr>
          <w:p w14:paraId="22E1B002"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0.02</w:t>
            </w:r>
          </w:p>
        </w:tc>
        <w:tc>
          <w:tcPr>
            <w:tcW w:w="1081" w:type="dxa"/>
            <w:tcBorders>
              <w:top w:val="nil"/>
              <w:left w:val="nil"/>
              <w:bottom w:val="nil"/>
              <w:right w:val="nil"/>
            </w:tcBorders>
          </w:tcPr>
          <w:p w14:paraId="4729F778" w14:textId="43495B26"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3.39**</w:t>
            </w:r>
          </w:p>
        </w:tc>
        <w:tc>
          <w:tcPr>
            <w:tcW w:w="1674" w:type="dxa"/>
            <w:tcBorders>
              <w:top w:val="nil"/>
              <w:left w:val="nil"/>
              <w:bottom w:val="nil"/>
              <w:right w:val="single" w:sz="6" w:space="0" w:color="auto"/>
            </w:tcBorders>
          </w:tcPr>
          <w:p w14:paraId="3007A005" w14:textId="39A2DCAB"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1</w:t>
            </w:r>
            <w:r w:rsidRPr="00AB3722">
              <w:rPr>
                <w:rFonts w:ascii="Times New Roman" w:hAnsi="Times New Roman" w:cs="Times New Roman"/>
                <w:color w:val="000000"/>
                <w:kern w:val="0"/>
                <w:sz w:val="20"/>
                <w:szCs w:val="20"/>
              </w:rPr>
              <w:t>06</w:t>
            </w:r>
          </w:p>
        </w:tc>
        <w:tc>
          <w:tcPr>
            <w:tcW w:w="1080" w:type="dxa"/>
            <w:tcBorders>
              <w:top w:val="nil"/>
              <w:left w:val="nil"/>
              <w:bottom w:val="nil"/>
              <w:right w:val="nil"/>
            </w:tcBorders>
          </w:tcPr>
          <w:p w14:paraId="2F92A919"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0.045</w:t>
            </w:r>
          </w:p>
        </w:tc>
        <w:tc>
          <w:tcPr>
            <w:tcW w:w="943" w:type="dxa"/>
            <w:tcBorders>
              <w:top w:val="nil"/>
              <w:left w:val="nil"/>
              <w:bottom w:val="nil"/>
              <w:right w:val="nil"/>
            </w:tcBorders>
          </w:tcPr>
          <w:p w14:paraId="286DF049" w14:textId="410A452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2.89</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CA7EFF2"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0.233</w:t>
            </w:r>
          </w:p>
        </w:tc>
        <w:tc>
          <w:tcPr>
            <w:tcW w:w="1180" w:type="dxa"/>
            <w:tcBorders>
              <w:top w:val="nil"/>
              <w:left w:val="nil"/>
              <w:bottom w:val="nil"/>
              <w:right w:val="nil"/>
            </w:tcBorders>
          </w:tcPr>
          <w:p w14:paraId="71ACDF11"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0.34</w:t>
            </w:r>
          </w:p>
        </w:tc>
      </w:tr>
      <w:tr w:rsidR="00FA4B98" w:rsidRPr="00AB3722" w14:paraId="0215ADAD" w14:textId="77777777" w:rsidTr="00E86F47">
        <w:trPr>
          <w:trHeight w:val="471"/>
        </w:trPr>
        <w:tc>
          <w:tcPr>
            <w:tcW w:w="1747" w:type="dxa"/>
            <w:tcBorders>
              <w:top w:val="nil"/>
              <w:left w:val="nil"/>
              <w:bottom w:val="nil"/>
              <w:right w:val="nil"/>
            </w:tcBorders>
          </w:tcPr>
          <w:p w14:paraId="0071735E"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InINF_TARGET</w:t>
            </w:r>
            <w:proofErr w:type="spellEnd"/>
          </w:p>
        </w:tc>
        <w:tc>
          <w:tcPr>
            <w:tcW w:w="1243" w:type="dxa"/>
            <w:tcBorders>
              <w:top w:val="nil"/>
              <w:left w:val="nil"/>
              <w:bottom w:val="nil"/>
              <w:right w:val="nil"/>
            </w:tcBorders>
          </w:tcPr>
          <w:p w14:paraId="1B638743" w14:textId="016E39A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-0.04</w:t>
            </w:r>
          </w:p>
        </w:tc>
        <w:tc>
          <w:tcPr>
            <w:tcW w:w="1081" w:type="dxa"/>
            <w:tcBorders>
              <w:top w:val="nil"/>
              <w:left w:val="nil"/>
              <w:bottom w:val="nil"/>
              <w:right w:val="nil"/>
            </w:tcBorders>
          </w:tcPr>
          <w:p w14:paraId="5448CBF6" w14:textId="14C6EC8C"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6.13**</w:t>
            </w:r>
          </w:p>
        </w:tc>
        <w:tc>
          <w:tcPr>
            <w:tcW w:w="1674" w:type="dxa"/>
            <w:tcBorders>
              <w:top w:val="nil"/>
              <w:left w:val="nil"/>
              <w:bottom w:val="nil"/>
              <w:right w:val="single" w:sz="6" w:space="0" w:color="auto"/>
            </w:tcBorders>
          </w:tcPr>
          <w:p w14:paraId="07C591AC"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0.221</w:t>
            </w:r>
          </w:p>
        </w:tc>
        <w:tc>
          <w:tcPr>
            <w:tcW w:w="1080" w:type="dxa"/>
            <w:tcBorders>
              <w:top w:val="nil"/>
              <w:left w:val="nil"/>
              <w:bottom w:val="nil"/>
              <w:right w:val="nil"/>
            </w:tcBorders>
          </w:tcPr>
          <w:p w14:paraId="4172217E"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0.161</w:t>
            </w:r>
          </w:p>
        </w:tc>
        <w:tc>
          <w:tcPr>
            <w:tcW w:w="943" w:type="dxa"/>
            <w:tcBorders>
              <w:top w:val="nil"/>
              <w:left w:val="nil"/>
              <w:bottom w:val="nil"/>
              <w:right w:val="nil"/>
            </w:tcBorders>
          </w:tcPr>
          <w:p w14:paraId="527BA67B"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1.94</w:t>
            </w:r>
          </w:p>
        </w:tc>
        <w:tc>
          <w:tcPr>
            <w:tcW w:w="1370" w:type="dxa"/>
            <w:tcBorders>
              <w:top w:val="nil"/>
              <w:left w:val="nil"/>
              <w:bottom w:val="nil"/>
              <w:right w:val="nil"/>
            </w:tcBorders>
          </w:tcPr>
          <w:p w14:paraId="6CAE9000"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0.217</w:t>
            </w:r>
          </w:p>
        </w:tc>
        <w:tc>
          <w:tcPr>
            <w:tcW w:w="1180" w:type="dxa"/>
            <w:tcBorders>
              <w:top w:val="nil"/>
              <w:left w:val="nil"/>
              <w:bottom w:val="nil"/>
              <w:right w:val="nil"/>
            </w:tcBorders>
          </w:tcPr>
          <w:p w14:paraId="7FD74F99"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0.29</w:t>
            </w:r>
          </w:p>
        </w:tc>
      </w:tr>
      <w:tr w:rsidR="00FA4B98" w:rsidRPr="00AB3722" w14:paraId="1474E5CF" w14:textId="77777777" w:rsidTr="00E86F47">
        <w:trPr>
          <w:trHeight w:val="471"/>
        </w:trPr>
        <w:tc>
          <w:tcPr>
            <w:tcW w:w="1747" w:type="dxa"/>
            <w:tcBorders>
              <w:top w:val="nil"/>
              <w:left w:val="nil"/>
              <w:bottom w:val="nil"/>
              <w:right w:val="nil"/>
            </w:tcBorders>
          </w:tcPr>
          <w:p w14:paraId="14B47A86"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InFDI_INFLOWS</w:t>
            </w:r>
            <w:proofErr w:type="spellEnd"/>
          </w:p>
        </w:tc>
        <w:tc>
          <w:tcPr>
            <w:tcW w:w="1243" w:type="dxa"/>
            <w:tcBorders>
              <w:top w:val="nil"/>
              <w:left w:val="nil"/>
              <w:bottom w:val="nil"/>
              <w:right w:val="nil"/>
            </w:tcBorders>
          </w:tcPr>
          <w:p w14:paraId="6ACD34C1"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0.06</w:t>
            </w:r>
          </w:p>
        </w:tc>
        <w:tc>
          <w:tcPr>
            <w:tcW w:w="1081" w:type="dxa"/>
            <w:tcBorders>
              <w:top w:val="nil"/>
              <w:left w:val="nil"/>
              <w:bottom w:val="nil"/>
              <w:right w:val="nil"/>
            </w:tcBorders>
          </w:tcPr>
          <w:p w14:paraId="5D6DCB4B" w14:textId="35814355"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3.05**</w:t>
            </w:r>
          </w:p>
        </w:tc>
        <w:tc>
          <w:tcPr>
            <w:tcW w:w="1674" w:type="dxa"/>
            <w:tcBorders>
              <w:top w:val="nil"/>
              <w:left w:val="nil"/>
              <w:bottom w:val="nil"/>
              <w:right w:val="single" w:sz="6" w:space="0" w:color="auto"/>
            </w:tcBorders>
          </w:tcPr>
          <w:p w14:paraId="581CEDC3" w14:textId="4DE571A0"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1</w:t>
            </w:r>
            <w:r w:rsidRPr="00AB3722">
              <w:rPr>
                <w:rFonts w:ascii="Times New Roman" w:hAnsi="Times New Roman" w:cs="Times New Roman"/>
                <w:color w:val="000000"/>
                <w:kern w:val="0"/>
                <w:sz w:val="20"/>
                <w:szCs w:val="20"/>
              </w:rPr>
              <w:t>63</w:t>
            </w:r>
          </w:p>
        </w:tc>
        <w:tc>
          <w:tcPr>
            <w:tcW w:w="1080" w:type="dxa"/>
            <w:tcBorders>
              <w:top w:val="nil"/>
              <w:left w:val="nil"/>
              <w:bottom w:val="nil"/>
              <w:right w:val="nil"/>
            </w:tcBorders>
          </w:tcPr>
          <w:p w14:paraId="68DA32CB" w14:textId="457D1F5D"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-0.423</w:t>
            </w:r>
          </w:p>
        </w:tc>
        <w:tc>
          <w:tcPr>
            <w:tcW w:w="943" w:type="dxa"/>
            <w:tcBorders>
              <w:top w:val="nil"/>
              <w:left w:val="nil"/>
              <w:bottom w:val="nil"/>
              <w:right w:val="nil"/>
            </w:tcBorders>
          </w:tcPr>
          <w:p w14:paraId="15DB979A" w14:textId="3C947451"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5.42</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24539A1B"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0.11</w:t>
            </w:r>
          </w:p>
        </w:tc>
        <w:tc>
          <w:tcPr>
            <w:tcW w:w="1180" w:type="dxa"/>
            <w:tcBorders>
              <w:top w:val="nil"/>
              <w:left w:val="nil"/>
              <w:bottom w:val="nil"/>
              <w:right w:val="nil"/>
            </w:tcBorders>
          </w:tcPr>
          <w:p w14:paraId="364BC943"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0.53</w:t>
            </w:r>
          </w:p>
        </w:tc>
      </w:tr>
      <w:tr w:rsidR="00FA4B98" w:rsidRPr="00AB3722" w14:paraId="6D7E8EBE" w14:textId="77777777" w:rsidTr="00E86F47">
        <w:trPr>
          <w:trHeight w:val="471"/>
        </w:trPr>
        <w:tc>
          <w:tcPr>
            <w:tcW w:w="1747" w:type="dxa"/>
            <w:tcBorders>
              <w:top w:val="nil"/>
              <w:left w:val="nil"/>
              <w:bottom w:val="nil"/>
              <w:right w:val="nil"/>
            </w:tcBorders>
          </w:tcPr>
          <w:p w14:paraId="63A10133"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InReal_GDP</w:t>
            </w:r>
            <w:proofErr w:type="spellEnd"/>
          </w:p>
        </w:tc>
        <w:tc>
          <w:tcPr>
            <w:tcW w:w="1243" w:type="dxa"/>
            <w:tcBorders>
              <w:top w:val="nil"/>
              <w:left w:val="nil"/>
              <w:bottom w:val="nil"/>
              <w:right w:val="nil"/>
            </w:tcBorders>
          </w:tcPr>
          <w:p w14:paraId="32B7FAEA"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0.14</w:t>
            </w:r>
          </w:p>
        </w:tc>
        <w:tc>
          <w:tcPr>
            <w:tcW w:w="1081" w:type="dxa"/>
            <w:tcBorders>
              <w:top w:val="nil"/>
              <w:left w:val="nil"/>
              <w:bottom w:val="nil"/>
              <w:right w:val="nil"/>
            </w:tcBorders>
          </w:tcPr>
          <w:p w14:paraId="5721A05F" w14:textId="29A76BD1"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12.02**</w:t>
            </w:r>
          </w:p>
        </w:tc>
        <w:tc>
          <w:tcPr>
            <w:tcW w:w="1674" w:type="dxa"/>
            <w:tcBorders>
              <w:top w:val="nil"/>
              <w:left w:val="nil"/>
              <w:bottom w:val="nil"/>
              <w:right w:val="single" w:sz="6" w:space="0" w:color="auto"/>
            </w:tcBorders>
          </w:tcPr>
          <w:p w14:paraId="401253A6" w14:textId="4EE6CDD4"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2</w:t>
            </w:r>
            <w:r w:rsidRPr="00AB3722">
              <w:rPr>
                <w:rFonts w:ascii="Times New Roman" w:hAnsi="Times New Roman" w:cs="Times New Roman"/>
                <w:color w:val="000000"/>
                <w:kern w:val="0"/>
                <w:sz w:val="20"/>
                <w:szCs w:val="20"/>
              </w:rPr>
              <w:t>42</w:t>
            </w:r>
          </w:p>
        </w:tc>
        <w:tc>
          <w:tcPr>
            <w:tcW w:w="1080" w:type="dxa"/>
            <w:tcBorders>
              <w:top w:val="nil"/>
              <w:left w:val="nil"/>
              <w:bottom w:val="nil"/>
              <w:right w:val="nil"/>
            </w:tcBorders>
          </w:tcPr>
          <w:p w14:paraId="1A1FD9CE"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0.331</w:t>
            </w:r>
          </w:p>
        </w:tc>
        <w:tc>
          <w:tcPr>
            <w:tcW w:w="943" w:type="dxa"/>
            <w:tcBorders>
              <w:top w:val="nil"/>
              <w:left w:val="nil"/>
              <w:bottom w:val="nil"/>
              <w:right w:val="nil"/>
            </w:tcBorders>
          </w:tcPr>
          <w:p w14:paraId="52F366C9" w14:textId="12F9D009"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w:t>
            </w:r>
            <w:r w:rsidR="00F5505A" w:rsidRPr="00AB3722">
              <w:rPr>
                <w:rFonts w:ascii="Times New Roman" w:hAnsi="Times New Roman" w:cs="Times New Roman"/>
                <w:color w:val="000000"/>
                <w:kern w:val="0"/>
                <w:sz w:val="20"/>
                <w:szCs w:val="20"/>
              </w:rPr>
              <w:t>4</w:t>
            </w:r>
            <w:r w:rsidRPr="00AB3722">
              <w:rPr>
                <w:rFonts w:ascii="Times New Roman" w:hAnsi="Times New Roman" w:cs="Times New Roman"/>
                <w:color w:val="000000"/>
                <w:kern w:val="0"/>
                <w:sz w:val="20"/>
                <w:szCs w:val="20"/>
              </w:rPr>
              <w:t>4</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5EBB1AA3"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0.036</w:t>
            </w:r>
          </w:p>
        </w:tc>
        <w:tc>
          <w:tcPr>
            <w:tcW w:w="1180" w:type="dxa"/>
            <w:tcBorders>
              <w:top w:val="nil"/>
              <w:left w:val="nil"/>
              <w:bottom w:val="nil"/>
              <w:right w:val="nil"/>
            </w:tcBorders>
          </w:tcPr>
          <w:p w14:paraId="4AF9D574"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0.57</w:t>
            </w:r>
          </w:p>
        </w:tc>
      </w:tr>
      <w:tr w:rsidR="00FA4B98" w:rsidRPr="00AB3722" w14:paraId="23D9C6B9" w14:textId="77777777" w:rsidTr="00E86F47">
        <w:trPr>
          <w:trHeight w:val="471"/>
        </w:trPr>
        <w:tc>
          <w:tcPr>
            <w:tcW w:w="1747" w:type="dxa"/>
            <w:tcBorders>
              <w:top w:val="nil"/>
              <w:left w:val="nil"/>
              <w:bottom w:val="nil"/>
              <w:right w:val="nil"/>
            </w:tcBorders>
          </w:tcPr>
          <w:p w14:paraId="2B36F36E"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InEXPORTS</w:t>
            </w:r>
            <w:proofErr w:type="spellEnd"/>
          </w:p>
        </w:tc>
        <w:tc>
          <w:tcPr>
            <w:tcW w:w="1243" w:type="dxa"/>
            <w:tcBorders>
              <w:top w:val="nil"/>
              <w:left w:val="nil"/>
              <w:bottom w:val="nil"/>
              <w:right w:val="nil"/>
            </w:tcBorders>
          </w:tcPr>
          <w:p w14:paraId="762585B8"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0.18</w:t>
            </w:r>
          </w:p>
        </w:tc>
        <w:tc>
          <w:tcPr>
            <w:tcW w:w="1081" w:type="dxa"/>
            <w:tcBorders>
              <w:top w:val="nil"/>
              <w:left w:val="nil"/>
              <w:bottom w:val="nil"/>
              <w:right w:val="nil"/>
            </w:tcBorders>
          </w:tcPr>
          <w:p w14:paraId="1887DDFB" w14:textId="28D9779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2.51**</w:t>
            </w:r>
          </w:p>
        </w:tc>
        <w:tc>
          <w:tcPr>
            <w:tcW w:w="1674" w:type="dxa"/>
            <w:tcBorders>
              <w:top w:val="nil"/>
              <w:left w:val="nil"/>
              <w:bottom w:val="nil"/>
              <w:right w:val="single" w:sz="6" w:space="0" w:color="auto"/>
            </w:tcBorders>
          </w:tcPr>
          <w:p w14:paraId="2F5B9CA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0.109</w:t>
            </w:r>
          </w:p>
        </w:tc>
        <w:tc>
          <w:tcPr>
            <w:tcW w:w="1080" w:type="dxa"/>
            <w:tcBorders>
              <w:top w:val="nil"/>
              <w:left w:val="nil"/>
              <w:bottom w:val="nil"/>
              <w:right w:val="nil"/>
            </w:tcBorders>
          </w:tcPr>
          <w:p w14:paraId="6895B4E4" w14:textId="6C29037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-0.414</w:t>
            </w:r>
          </w:p>
        </w:tc>
        <w:tc>
          <w:tcPr>
            <w:tcW w:w="943" w:type="dxa"/>
            <w:tcBorders>
              <w:top w:val="nil"/>
              <w:left w:val="nil"/>
              <w:bottom w:val="nil"/>
              <w:right w:val="nil"/>
            </w:tcBorders>
          </w:tcPr>
          <w:p w14:paraId="52498331" w14:textId="49C07693"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3.66</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693ACC0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0.151</w:t>
            </w:r>
          </w:p>
        </w:tc>
        <w:tc>
          <w:tcPr>
            <w:tcW w:w="1180" w:type="dxa"/>
            <w:tcBorders>
              <w:top w:val="nil"/>
              <w:left w:val="nil"/>
              <w:bottom w:val="nil"/>
              <w:right w:val="nil"/>
            </w:tcBorders>
          </w:tcPr>
          <w:p w14:paraId="0FB1676F"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0.66</w:t>
            </w:r>
          </w:p>
        </w:tc>
      </w:tr>
      <w:tr w:rsidR="00FA4B98" w:rsidRPr="00AB3722" w14:paraId="124E4A56" w14:textId="77777777" w:rsidTr="00E86F47">
        <w:trPr>
          <w:trHeight w:val="471"/>
        </w:trPr>
        <w:tc>
          <w:tcPr>
            <w:tcW w:w="1747" w:type="dxa"/>
            <w:tcBorders>
              <w:top w:val="nil"/>
              <w:left w:val="nil"/>
              <w:bottom w:val="nil"/>
              <w:right w:val="nil"/>
            </w:tcBorders>
          </w:tcPr>
          <w:p w14:paraId="74A95FED"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InIMPORTS</w:t>
            </w:r>
            <w:proofErr w:type="spellEnd"/>
          </w:p>
        </w:tc>
        <w:tc>
          <w:tcPr>
            <w:tcW w:w="1243" w:type="dxa"/>
            <w:tcBorders>
              <w:top w:val="nil"/>
              <w:left w:val="nil"/>
              <w:bottom w:val="nil"/>
              <w:right w:val="nil"/>
            </w:tcBorders>
          </w:tcPr>
          <w:p w14:paraId="20D1F432" w14:textId="5EE7E5F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-0.15</w:t>
            </w:r>
          </w:p>
        </w:tc>
        <w:tc>
          <w:tcPr>
            <w:tcW w:w="1081" w:type="dxa"/>
            <w:tcBorders>
              <w:top w:val="nil"/>
              <w:left w:val="nil"/>
              <w:bottom w:val="nil"/>
              <w:right w:val="nil"/>
            </w:tcBorders>
          </w:tcPr>
          <w:p w14:paraId="3191E7A0" w14:textId="37D997D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3.39**</w:t>
            </w:r>
          </w:p>
        </w:tc>
        <w:tc>
          <w:tcPr>
            <w:tcW w:w="1674" w:type="dxa"/>
            <w:tcBorders>
              <w:top w:val="nil"/>
              <w:left w:val="nil"/>
              <w:bottom w:val="nil"/>
              <w:right w:val="single" w:sz="6" w:space="0" w:color="auto"/>
            </w:tcBorders>
          </w:tcPr>
          <w:p w14:paraId="456FA736"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0.454</w:t>
            </w:r>
          </w:p>
        </w:tc>
        <w:tc>
          <w:tcPr>
            <w:tcW w:w="1080" w:type="dxa"/>
            <w:tcBorders>
              <w:top w:val="nil"/>
              <w:left w:val="nil"/>
              <w:bottom w:val="nil"/>
              <w:right w:val="nil"/>
            </w:tcBorders>
          </w:tcPr>
          <w:p w14:paraId="676EA466" w14:textId="7C77779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-0.713</w:t>
            </w:r>
          </w:p>
        </w:tc>
        <w:tc>
          <w:tcPr>
            <w:tcW w:w="943" w:type="dxa"/>
            <w:tcBorders>
              <w:top w:val="nil"/>
              <w:left w:val="nil"/>
              <w:bottom w:val="nil"/>
              <w:right w:val="nil"/>
            </w:tcBorders>
          </w:tcPr>
          <w:p w14:paraId="1AA5B878"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1.06</w:t>
            </w:r>
          </w:p>
        </w:tc>
        <w:tc>
          <w:tcPr>
            <w:tcW w:w="1370" w:type="dxa"/>
            <w:tcBorders>
              <w:top w:val="nil"/>
              <w:left w:val="nil"/>
              <w:bottom w:val="nil"/>
              <w:right w:val="nil"/>
            </w:tcBorders>
          </w:tcPr>
          <w:p w14:paraId="62A29E25"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0.206</w:t>
            </w:r>
          </w:p>
        </w:tc>
        <w:tc>
          <w:tcPr>
            <w:tcW w:w="1180" w:type="dxa"/>
            <w:tcBorders>
              <w:top w:val="nil"/>
              <w:left w:val="nil"/>
              <w:bottom w:val="nil"/>
              <w:right w:val="nil"/>
            </w:tcBorders>
          </w:tcPr>
          <w:p w14:paraId="1399E76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0.24</w:t>
            </w:r>
          </w:p>
        </w:tc>
      </w:tr>
      <w:tr w:rsidR="00FA4B98" w:rsidRPr="00AB3722" w14:paraId="79A464AB" w14:textId="77777777" w:rsidTr="00E86F47">
        <w:trPr>
          <w:trHeight w:val="471"/>
        </w:trPr>
        <w:tc>
          <w:tcPr>
            <w:tcW w:w="1747" w:type="dxa"/>
            <w:tcBorders>
              <w:top w:val="nil"/>
              <w:left w:val="nil"/>
              <w:bottom w:val="nil"/>
              <w:right w:val="nil"/>
            </w:tcBorders>
          </w:tcPr>
          <w:p w14:paraId="60866D6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InPOLICY_RATE</w:t>
            </w:r>
            <w:proofErr w:type="spellEnd"/>
          </w:p>
        </w:tc>
        <w:tc>
          <w:tcPr>
            <w:tcW w:w="1243" w:type="dxa"/>
            <w:tcBorders>
              <w:top w:val="nil"/>
              <w:left w:val="nil"/>
              <w:bottom w:val="nil"/>
              <w:right w:val="nil"/>
            </w:tcBorders>
          </w:tcPr>
          <w:p w14:paraId="201FF00C"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0.12</w:t>
            </w:r>
          </w:p>
        </w:tc>
        <w:tc>
          <w:tcPr>
            <w:tcW w:w="1081" w:type="dxa"/>
            <w:tcBorders>
              <w:top w:val="nil"/>
              <w:left w:val="nil"/>
              <w:bottom w:val="nil"/>
              <w:right w:val="nil"/>
            </w:tcBorders>
          </w:tcPr>
          <w:p w14:paraId="0448B7DB" w14:textId="5673A30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6.07**</w:t>
            </w:r>
          </w:p>
        </w:tc>
        <w:tc>
          <w:tcPr>
            <w:tcW w:w="1674" w:type="dxa"/>
            <w:tcBorders>
              <w:top w:val="nil"/>
              <w:left w:val="nil"/>
              <w:bottom w:val="nil"/>
              <w:right w:val="single" w:sz="6" w:space="0" w:color="auto"/>
            </w:tcBorders>
          </w:tcPr>
          <w:p w14:paraId="74C20893"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0.133</w:t>
            </w:r>
          </w:p>
        </w:tc>
        <w:tc>
          <w:tcPr>
            <w:tcW w:w="1080" w:type="dxa"/>
            <w:tcBorders>
              <w:top w:val="nil"/>
              <w:left w:val="nil"/>
              <w:bottom w:val="nil"/>
              <w:right w:val="nil"/>
            </w:tcBorders>
          </w:tcPr>
          <w:p w14:paraId="52CFDC33" w14:textId="0E331FD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-0.322</w:t>
            </w:r>
          </w:p>
        </w:tc>
        <w:tc>
          <w:tcPr>
            <w:tcW w:w="943" w:type="dxa"/>
            <w:tcBorders>
              <w:top w:val="nil"/>
              <w:left w:val="nil"/>
              <w:bottom w:val="nil"/>
              <w:right w:val="nil"/>
            </w:tcBorders>
          </w:tcPr>
          <w:p w14:paraId="0B3F607B" w14:textId="2C150E33"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3.44</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964FAE5"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0.013</w:t>
            </w:r>
          </w:p>
        </w:tc>
        <w:tc>
          <w:tcPr>
            <w:tcW w:w="1180" w:type="dxa"/>
            <w:tcBorders>
              <w:top w:val="nil"/>
              <w:left w:val="nil"/>
              <w:bottom w:val="nil"/>
              <w:right w:val="nil"/>
            </w:tcBorders>
          </w:tcPr>
          <w:p w14:paraId="51F9DD1C"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0.45</w:t>
            </w:r>
          </w:p>
        </w:tc>
      </w:tr>
      <w:tr w:rsidR="00FA4B98" w:rsidRPr="00AB3722" w14:paraId="525912CB" w14:textId="77777777" w:rsidTr="00E86F47">
        <w:trPr>
          <w:trHeight w:val="489"/>
        </w:trPr>
        <w:tc>
          <w:tcPr>
            <w:tcW w:w="1747" w:type="dxa"/>
            <w:tcBorders>
              <w:top w:val="nil"/>
              <w:left w:val="nil"/>
              <w:bottom w:val="single" w:sz="12" w:space="0" w:color="auto"/>
              <w:right w:val="nil"/>
            </w:tcBorders>
          </w:tcPr>
          <w:p w14:paraId="32B6EAB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proofErr w:type="spellStart"/>
            <w:r w:rsidRPr="00AB3722">
              <w:rPr>
                <w:rFonts w:ascii="Times New Roman" w:hAnsi="Times New Roman" w:cs="Times New Roman"/>
                <w:color w:val="000000"/>
                <w:kern w:val="0"/>
                <w:sz w:val="20"/>
                <w:szCs w:val="20"/>
              </w:rPr>
              <w:t>InREER</w:t>
            </w:r>
            <w:proofErr w:type="spellEnd"/>
          </w:p>
        </w:tc>
        <w:tc>
          <w:tcPr>
            <w:tcW w:w="1243" w:type="dxa"/>
            <w:tcBorders>
              <w:top w:val="nil"/>
              <w:left w:val="nil"/>
              <w:bottom w:val="single" w:sz="12" w:space="0" w:color="auto"/>
              <w:right w:val="nil"/>
            </w:tcBorders>
          </w:tcPr>
          <w:p w14:paraId="2E57F674" w14:textId="0649F926"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-0.19</w:t>
            </w:r>
          </w:p>
        </w:tc>
        <w:tc>
          <w:tcPr>
            <w:tcW w:w="1081" w:type="dxa"/>
            <w:tcBorders>
              <w:top w:val="nil"/>
              <w:left w:val="nil"/>
              <w:bottom w:val="single" w:sz="12" w:space="0" w:color="auto"/>
              <w:right w:val="nil"/>
            </w:tcBorders>
          </w:tcPr>
          <w:p w14:paraId="7F9696E7" w14:textId="5E3FB55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8.06**</w:t>
            </w:r>
          </w:p>
        </w:tc>
        <w:tc>
          <w:tcPr>
            <w:tcW w:w="1674" w:type="dxa"/>
            <w:tcBorders>
              <w:top w:val="nil"/>
              <w:left w:val="nil"/>
              <w:bottom w:val="single" w:sz="12" w:space="0" w:color="auto"/>
              <w:right w:val="single" w:sz="6" w:space="0" w:color="auto"/>
            </w:tcBorders>
          </w:tcPr>
          <w:p w14:paraId="4F28292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0.247</w:t>
            </w:r>
          </w:p>
        </w:tc>
        <w:tc>
          <w:tcPr>
            <w:tcW w:w="1080" w:type="dxa"/>
            <w:tcBorders>
              <w:top w:val="nil"/>
              <w:left w:val="nil"/>
              <w:bottom w:val="single" w:sz="12" w:space="0" w:color="auto"/>
              <w:right w:val="nil"/>
            </w:tcBorders>
          </w:tcPr>
          <w:p w14:paraId="52BFCC81" w14:textId="5A594210"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-0.029</w:t>
            </w:r>
          </w:p>
        </w:tc>
        <w:tc>
          <w:tcPr>
            <w:tcW w:w="943" w:type="dxa"/>
            <w:tcBorders>
              <w:top w:val="nil"/>
              <w:left w:val="nil"/>
              <w:bottom w:val="single" w:sz="12" w:space="0" w:color="auto"/>
              <w:right w:val="nil"/>
            </w:tcBorders>
          </w:tcPr>
          <w:p w14:paraId="23155D10" w14:textId="0A21D8AA"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6.02</w:t>
            </w:r>
            <w:r w:rsidR="00F5505A" w:rsidRPr="00AB3722">
              <w:rPr>
                <w:rFonts w:ascii="Times New Roman" w:hAnsi="Times New Roman" w:cs="Times New Roman"/>
                <w:color w:val="000000"/>
                <w:kern w:val="0"/>
                <w:sz w:val="20"/>
                <w:szCs w:val="20"/>
              </w:rPr>
              <w:t>**</w:t>
            </w:r>
          </w:p>
        </w:tc>
        <w:tc>
          <w:tcPr>
            <w:tcW w:w="1370" w:type="dxa"/>
            <w:tcBorders>
              <w:top w:val="nil"/>
              <w:left w:val="nil"/>
              <w:bottom w:val="single" w:sz="12" w:space="0" w:color="auto"/>
              <w:right w:val="nil"/>
            </w:tcBorders>
          </w:tcPr>
          <w:p w14:paraId="059FED6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0.313</w:t>
            </w:r>
          </w:p>
        </w:tc>
        <w:tc>
          <w:tcPr>
            <w:tcW w:w="1180" w:type="dxa"/>
            <w:tcBorders>
              <w:top w:val="nil"/>
              <w:left w:val="nil"/>
              <w:bottom w:val="single" w:sz="12" w:space="0" w:color="auto"/>
              <w:right w:val="nil"/>
            </w:tcBorders>
          </w:tcPr>
          <w:p w14:paraId="63626F6A"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0.44</w:t>
            </w:r>
          </w:p>
        </w:tc>
      </w:tr>
    </w:tbl>
    <w:p w14:paraId="41073875" w14:textId="1FFAD3C4" w:rsidR="00575021" w:rsidRPr="00004641" w:rsidRDefault="00DE649E" w:rsidP="00004641">
      <w:pPr>
        <w:spacing w:after="0" w:line="276" w:lineRule="auto"/>
        <w:jc w:val="center"/>
        <w:rPr>
          <w:rFonts w:ascii="Times New Roman" w:hAnsi="Times New Roman" w:cs="Times New Roman"/>
          <w:b/>
          <w:bCs/>
          <w:i/>
          <w:iCs/>
        </w:rPr>
      </w:pPr>
      <w:r w:rsidRPr="00E906FB">
        <w:rPr>
          <w:rFonts w:ascii="Times New Roman" w:hAnsi="Times New Roman" w:cs="Times New Roman"/>
          <w:b/>
          <w:bCs/>
          <w:i/>
          <w:iCs/>
          <w:highlight w:val="yellow"/>
        </w:rPr>
        <w:t>Source: Author’s elaboration on data.</w:t>
      </w:r>
    </w:p>
    <w:p w14:paraId="5774410E" w14:textId="18A1DE49" w:rsidR="00E86F47" w:rsidRPr="005C5184" w:rsidRDefault="00DE649E" w:rsidP="00AC6F4F">
      <w:pPr>
        <w:spacing w:after="0" w:line="276" w:lineRule="auto"/>
        <w:jc w:val="both"/>
        <w:rPr>
          <w:rFonts w:ascii="Times New Roman" w:hAnsi="Times New Roman" w:cs="Times New Roman"/>
          <w:i/>
          <w:iCs/>
        </w:rPr>
      </w:pPr>
      <w:r w:rsidRPr="005C5184">
        <w:rPr>
          <w:rFonts w:ascii="Times New Roman" w:hAnsi="Times New Roman" w:cs="Times New Roman"/>
          <w:i/>
          <w:iCs/>
        </w:rPr>
        <w:t>** denotes statistically significant at 5% level</w:t>
      </w:r>
      <w:r w:rsidR="00575021" w:rsidRPr="005C5184">
        <w:rPr>
          <w:rFonts w:ascii="Times New Roman" w:hAnsi="Times New Roman" w:cs="Times New Roman"/>
          <w:i/>
          <w:iCs/>
        </w:rPr>
        <w:t>, LR denotes Long-run,</w:t>
      </w:r>
      <w:r w:rsidRPr="005C5184">
        <w:rPr>
          <w:rFonts w:ascii="Times New Roman" w:hAnsi="Times New Roman" w:cs="Times New Roman"/>
          <w:i/>
          <w:iCs/>
        </w:rPr>
        <w:t xml:space="preserve"> ECT denotes error correction term</w:t>
      </w:r>
      <w:r w:rsidR="00E86F47" w:rsidRPr="005C5184">
        <w:rPr>
          <w:rFonts w:ascii="Times New Roman" w:hAnsi="Times New Roman" w:cs="Times New Roman"/>
          <w:i/>
          <w:iCs/>
        </w:rPr>
        <w:t>, Policy Rate refers to Monetary Policy Rate</w:t>
      </w:r>
      <w:r w:rsidR="00004641">
        <w:rPr>
          <w:rFonts w:ascii="Times New Roman" w:hAnsi="Times New Roman" w:cs="Times New Roman"/>
          <w:i/>
          <w:iCs/>
        </w:rPr>
        <w:t>,</w:t>
      </w:r>
      <w:r w:rsidR="00E86F47" w:rsidRPr="005C5184">
        <w:rPr>
          <w:rFonts w:ascii="Times New Roman" w:hAnsi="Times New Roman" w:cs="Times New Roman"/>
          <w:i/>
          <w:iCs/>
        </w:rPr>
        <w:t xml:space="preserve"> and REER denotes Real Effective Exchange rate.</w:t>
      </w:r>
    </w:p>
    <w:p w14:paraId="664007AD" w14:textId="7081467B" w:rsidR="00DE649E" w:rsidRPr="005C5184" w:rsidRDefault="00DE649E" w:rsidP="00AC6F4F">
      <w:pPr>
        <w:spacing w:after="0" w:line="276" w:lineRule="auto"/>
        <w:jc w:val="both"/>
        <w:rPr>
          <w:rFonts w:ascii="Times New Roman" w:hAnsi="Times New Roman" w:cs="Times New Roman"/>
          <w:i/>
          <w:iCs/>
        </w:rPr>
      </w:pPr>
      <w:r w:rsidRPr="005C5184">
        <w:rPr>
          <w:rFonts w:ascii="Times New Roman" w:hAnsi="Times New Roman" w:cs="Times New Roman"/>
          <w:i/>
          <w:iCs/>
        </w:rPr>
        <w:t xml:space="preserve">VECM includes the intercept only. </w:t>
      </w:r>
      <w:r w:rsidR="00004641">
        <w:rPr>
          <w:rFonts w:ascii="Times New Roman" w:hAnsi="Times New Roman" w:cs="Times New Roman"/>
          <w:i/>
          <w:iCs/>
        </w:rPr>
        <w:t>According to VEC modelling, the appropriate lag length is 2 less 1, as guided by the Bayesian Information Criterion (BIC)</w:t>
      </w:r>
      <w:r w:rsidRPr="005C5184">
        <w:rPr>
          <w:rFonts w:ascii="Times New Roman" w:hAnsi="Times New Roman" w:cs="Times New Roman"/>
          <w:i/>
          <w:iCs/>
        </w:rPr>
        <w:t>.</w:t>
      </w:r>
    </w:p>
    <w:p w14:paraId="6B815F87" w14:textId="77777777" w:rsidR="00694BF4" w:rsidRPr="005C5184" w:rsidRDefault="00694BF4" w:rsidP="00AC6F4F">
      <w:pPr>
        <w:spacing w:after="0" w:line="276" w:lineRule="auto"/>
        <w:jc w:val="both"/>
        <w:rPr>
          <w:rFonts w:ascii="Times New Roman" w:hAnsi="Times New Roman" w:cs="Times New Roman"/>
          <w:i/>
          <w:iCs/>
        </w:rPr>
      </w:pPr>
    </w:p>
    <w:p w14:paraId="49A74B03" w14:textId="77777777" w:rsidR="00AB3722" w:rsidRDefault="00BB2455" w:rsidP="00AB3722">
      <w:pPr>
        <w:spacing w:after="0" w:line="276" w:lineRule="auto"/>
        <w:ind w:firstLine="720"/>
        <w:jc w:val="both"/>
        <w:rPr>
          <w:rFonts w:ascii="Times New Roman" w:hAnsi="Times New Roman" w:cs="Times New Roman"/>
        </w:rPr>
      </w:pPr>
      <w:bookmarkStart w:id="18" w:name="_Hlk202341455"/>
      <w:r w:rsidRPr="005C5184">
        <w:rPr>
          <w:rFonts w:ascii="Times New Roman" w:hAnsi="Times New Roman" w:cs="Times New Roman"/>
        </w:rPr>
        <w:t>Inflation targeting has a long-run significant negative effect on inflation targeting (inflation gap performance</w:t>
      </w:r>
      <w:r w:rsidR="001F483F" w:rsidRPr="005C5184">
        <w:rPr>
          <w:rFonts w:ascii="Times New Roman" w:hAnsi="Times New Roman" w:cs="Times New Roman"/>
        </w:rPr>
        <w:t>)</w:t>
      </w:r>
      <w:r w:rsidR="008B0367" w:rsidRPr="005C5184">
        <w:rPr>
          <w:rFonts w:ascii="Times New Roman" w:hAnsi="Times New Roman" w:cs="Times New Roman"/>
        </w:rPr>
        <w:t xml:space="preserve">. </w:t>
      </w:r>
      <w:proofErr w:type="spellStart"/>
      <w:r w:rsidR="008B0367" w:rsidRPr="005C5184">
        <w:rPr>
          <w:rFonts w:ascii="Times New Roman" w:hAnsi="Times New Roman" w:cs="Times New Roman"/>
        </w:rPr>
        <w:t>Ceteri</w:t>
      </w:r>
      <w:proofErr w:type="spellEnd"/>
      <w:r w:rsidR="008B0367" w:rsidRPr="005C5184">
        <w:rPr>
          <w:rFonts w:ascii="Times New Roman" w:hAnsi="Times New Roman" w:cs="Times New Roman"/>
        </w:rPr>
        <w:t xml:space="preserve"> paribus, a one-unit</w:t>
      </w:r>
      <w:r w:rsidRPr="005C5184">
        <w:rPr>
          <w:rFonts w:ascii="Times New Roman" w:hAnsi="Times New Roman" w:cs="Times New Roman"/>
        </w:rPr>
        <w:t xml:space="preserve"> increase in the inflation target variable</w:t>
      </w:r>
      <w:r w:rsidR="000C62DD" w:rsidRPr="005C5184">
        <w:rPr>
          <w:rFonts w:ascii="Times New Roman" w:hAnsi="Times New Roman" w:cs="Times New Roman"/>
        </w:rPr>
        <w:t xml:space="preserve"> significantly</w:t>
      </w:r>
      <w:r w:rsidRPr="005C5184">
        <w:rPr>
          <w:rFonts w:ascii="Times New Roman" w:hAnsi="Times New Roman" w:cs="Times New Roman"/>
        </w:rPr>
        <w:t xml:space="preserve"> improve</w:t>
      </w:r>
      <w:r w:rsidR="000C62DD" w:rsidRPr="005C5184">
        <w:rPr>
          <w:rFonts w:ascii="Times New Roman" w:hAnsi="Times New Roman" w:cs="Times New Roman"/>
        </w:rPr>
        <w:t>s</w:t>
      </w:r>
      <w:r w:rsidRPr="005C5184">
        <w:rPr>
          <w:rFonts w:ascii="Times New Roman" w:hAnsi="Times New Roman" w:cs="Times New Roman"/>
        </w:rPr>
        <w:t xml:space="preserve"> the inflation target policy by reducing the inflation gap</w:t>
      </w:r>
      <w:r w:rsidR="008B0367" w:rsidRPr="005C5184">
        <w:rPr>
          <w:rFonts w:ascii="Times New Roman" w:hAnsi="Times New Roman" w:cs="Times New Roman"/>
        </w:rPr>
        <w:t xml:space="preserve"> by 4%</w:t>
      </w:r>
      <w:r w:rsidR="002B607E" w:rsidRPr="005C5184">
        <w:rPr>
          <w:rFonts w:ascii="Times New Roman" w:hAnsi="Times New Roman" w:cs="Times New Roman"/>
        </w:rPr>
        <w:t xml:space="preserve"> in the long run</w:t>
      </w:r>
      <w:r w:rsidRPr="005C5184">
        <w:rPr>
          <w:rFonts w:ascii="Times New Roman" w:hAnsi="Times New Roman" w:cs="Times New Roman"/>
        </w:rPr>
        <w:t xml:space="preserve">. </w:t>
      </w:r>
      <w:bookmarkStart w:id="19" w:name="_Hlk202341640"/>
      <w:r w:rsidRPr="005C5184">
        <w:rPr>
          <w:rFonts w:ascii="Times New Roman" w:hAnsi="Times New Roman" w:cs="Times New Roman"/>
        </w:rPr>
        <w:t xml:space="preserve">This implies that increasing </w:t>
      </w:r>
      <w:r w:rsidR="008B0367" w:rsidRPr="005C5184">
        <w:rPr>
          <w:rFonts w:ascii="Times New Roman" w:hAnsi="Times New Roman" w:cs="Times New Roman"/>
        </w:rPr>
        <w:t xml:space="preserve">the inflation </w:t>
      </w:r>
      <w:r w:rsidRPr="005C5184">
        <w:rPr>
          <w:rFonts w:ascii="Times New Roman" w:hAnsi="Times New Roman" w:cs="Times New Roman"/>
        </w:rPr>
        <w:t xml:space="preserve">target </w:t>
      </w:r>
      <w:r w:rsidR="008B0367" w:rsidRPr="005C5184">
        <w:rPr>
          <w:rFonts w:ascii="Times New Roman" w:hAnsi="Times New Roman" w:cs="Times New Roman"/>
        </w:rPr>
        <w:t>narrows the gap if inflation is constant in the long run</w:t>
      </w:r>
      <w:bookmarkEnd w:id="18"/>
      <w:r w:rsidR="008B0367" w:rsidRPr="005C5184">
        <w:rPr>
          <w:rFonts w:ascii="Times New Roman" w:hAnsi="Times New Roman" w:cs="Times New Roman"/>
        </w:rPr>
        <w:t xml:space="preserve">. However, adjustments in inflation targets should be </w:t>
      </w:r>
      <w:r w:rsidR="000C62DD" w:rsidRPr="005C5184">
        <w:rPr>
          <w:rFonts w:ascii="Times New Roman" w:hAnsi="Times New Roman" w:cs="Times New Roman"/>
        </w:rPr>
        <w:t>made</w:t>
      </w:r>
      <w:r w:rsidR="008B0367" w:rsidRPr="005C5184">
        <w:rPr>
          <w:rFonts w:ascii="Times New Roman" w:hAnsi="Times New Roman" w:cs="Times New Roman"/>
        </w:rPr>
        <w:t xml:space="preserve"> cautiously, as raising inflation targets may temporarily </w:t>
      </w:r>
      <w:proofErr w:type="spellStart"/>
      <w:r w:rsidR="008B0367" w:rsidRPr="005C5184">
        <w:rPr>
          <w:rFonts w:ascii="Times New Roman" w:hAnsi="Times New Roman" w:cs="Times New Roman"/>
        </w:rPr>
        <w:t>stabilise</w:t>
      </w:r>
      <w:proofErr w:type="spellEnd"/>
      <w:r w:rsidR="008B0367" w:rsidRPr="005C5184">
        <w:rPr>
          <w:rFonts w:ascii="Times New Roman" w:hAnsi="Times New Roman" w:cs="Times New Roman"/>
        </w:rPr>
        <w:t xml:space="preserve"> deviations in the short run from the target but may also anchor higher expectations if not supported by fundamentals</w:t>
      </w:r>
      <w:bookmarkEnd w:id="19"/>
      <w:r w:rsidR="000C62DD" w:rsidRPr="005C5184">
        <w:rPr>
          <w:rFonts w:ascii="Times New Roman" w:hAnsi="Times New Roman" w:cs="Times New Roman"/>
        </w:rPr>
        <w:t xml:space="preserve"> (IMF, 2023)</w:t>
      </w:r>
      <w:r w:rsidR="008B0367" w:rsidRPr="005C5184">
        <w:rPr>
          <w:rFonts w:ascii="Times New Roman" w:hAnsi="Times New Roman" w:cs="Times New Roman"/>
        </w:rPr>
        <w:t>. A shock to the inflation target does not seem to return to equilibrium as the speed of adjustment coefficient is positive with a borderline significant t-statistic of 1.94.</w:t>
      </w:r>
      <w:r w:rsidR="000C62DD" w:rsidRPr="005C5184">
        <w:rPr>
          <w:rFonts w:ascii="Times New Roman" w:hAnsi="Times New Roman" w:cs="Times New Roman"/>
        </w:rPr>
        <w:t xml:space="preserve"> There is</w:t>
      </w:r>
      <w:r w:rsidR="00DA53E2" w:rsidRPr="005C5184">
        <w:rPr>
          <w:rFonts w:ascii="Times New Roman" w:hAnsi="Times New Roman" w:cs="Times New Roman"/>
        </w:rPr>
        <w:t xml:space="preserve"> a significant long-run positive </w:t>
      </w:r>
      <w:r w:rsidR="00DA53E2" w:rsidRPr="005C5184">
        <w:rPr>
          <w:rFonts w:ascii="Times New Roman" w:hAnsi="Times New Roman" w:cs="Times New Roman"/>
        </w:rPr>
        <w:lastRenderedPageBreak/>
        <w:t>effect</w:t>
      </w:r>
      <w:r w:rsidR="00AE33C0" w:rsidRPr="005C5184">
        <w:rPr>
          <w:rFonts w:ascii="Times New Roman" w:hAnsi="Times New Roman" w:cs="Times New Roman"/>
        </w:rPr>
        <w:t xml:space="preserve"> of </w:t>
      </w:r>
      <w:r w:rsidR="000C62DD" w:rsidRPr="005C5184">
        <w:rPr>
          <w:rFonts w:ascii="Times New Roman" w:hAnsi="Times New Roman" w:cs="Times New Roman"/>
        </w:rPr>
        <w:t>(</w:t>
      </w:r>
      <w:r w:rsidR="00AE33C0" w:rsidRPr="005C5184">
        <w:rPr>
          <w:rFonts w:ascii="Times New Roman" w:hAnsi="Times New Roman" w:cs="Times New Roman"/>
        </w:rPr>
        <w:t>monetary</w:t>
      </w:r>
      <w:r w:rsidR="000C62DD" w:rsidRPr="005C5184">
        <w:rPr>
          <w:rFonts w:ascii="Times New Roman" w:hAnsi="Times New Roman" w:cs="Times New Roman"/>
        </w:rPr>
        <w:t>)</w:t>
      </w:r>
      <w:r w:rsidR="00AE33C0" w:rsidRPr="005C5184">
        <w:rPr>
          <w:rFonts w:ascii="Times New Roman" w:hAnsi="Times New Roman" w:cs="Times New Roman"/>
        </w:rPr>
        <w:t xml:space="preserve"> policy rate</w:t>
      </w:r>
      <w:r w:rsidR="00DA53E2" w:rsidRPr="005C5184">
        <w:rPr>
          <w:rFonts w:ascii="Times New Roman" w:hAnsi="Times New Roman" w:cs="Times New Roman"/>
        </w:rPr>
        <w:t xml:space="preserve"> on inflation targeting performance</w:t>
      </w:r>
      <w:r w:rsidR="00AE33C0" w:rsidRPr="005C5184">
        <w:rPr>
          <w:rFonts w:ascii="Times New Roman" w:hAnsi="Times New Roman" w:cs="Times New Roman"/>
        </w:rPr>
        <w:t>.</w:t>
      </w:r>
      <w:r w:rsidR="00DA53E2" w:rsidRPr="005C5184">
        <w:rPr>
          <w:rFonts w:ascii="Times New Roman" w:hAnsi="Times New Roman" w:cs="Times New Roman"/>
        </w:rPr>
        <w:t xml:space="preserve"> This implies that higher inflation </w:t>
      </w:r>
      <w:r w:rsidR="00960D43" w:rsidRPr="005C5184">
        <w:rPr>
          <w:rFonts w:ascii="Times New Roman" w:hAnsi="Times New Roman" w:cs="Times New Roman"/>
        </w:rPr>
        <w:t>rates</w:t>
      </w:r>
      <w:r w:rsidR="00AE33C0" w:rsidRPr="005C5184">
        <w:rPr>
          <w:rFonts w:ascii="Times New Roman" w:hAnsi="Times New Roman" w:cs="Times New Roman"/>
        </w:rPr>
        <w:t xml:space="preserve"> </w:t>
      </w:r>
      <w:r w:rsidR="00DA53E2" w:rsidRPr="005C5184">
        <w:rPr>
          <w:rFonts w:ascii="Times New Roman" w:hAnsi="Times New Roman" w:cs="Times New Roman"/>
        </w:rPr>
        <w:t xml:space="preserve">tend to widen the inflation gap in the long run. Specifically, </w:t>
      </w:r>
      <w:bookmarkStart w:id="20" w:name="_Hlk202341531"/>
      <w:r w:rsidR="00DA53E2" w:rsidRPr="005C5184">
        <w:rPr>
          <w:rFonts w:ascii="Times New Roman" w:hAnsi="Times New Roman" w:cs="Times New Roman"/>
        </w:rPr>
        <w:t xml:space="preserve">a unit increase in the inflation rate widens the inflation gap by 12 </w:t>
      </w:r>
      <w:r w:rsidR="002B607E" w:rsidRPr="005C5184">
        <w:rPr>
          <w:rFonts w:ascii="Times New Roman" w:hAnsi="Times New Roman" w:cs="Times New Roman"/>
        </w:rPr>
        <w:t>% in the long run,</w:t>
      </w:r>
      <w:r w:rsidR="00DA53E2" w:rsidRPr="005C5184">
        <w:rPr>
          <w:rFonts w:ascii="Times New Roman" w:hAnsi="Times New Roman" w:cs="Times New Roman"/>
        </w:rPr>
        <w:t xml:space="preserve"> ceteris paribus</w:t>
      </w:r>
      <w:r w:rsidR="001F483F" w:rsidRPr="005C5184">
        <w:rPr>
          <w:rFonts w:ascii="Times New Roman" w:hAnsi="Times New Roman" w:cs="Times New Roman"/>
        </w:rPr>
        <w:t>.</w:t>
      </w:r>
      <w:r w:rsidR="00DA53E2" w:rsidRPr="005C5184">
        <w:rPr>
          <w:rFonts w:ascii="Times New Roman" w:hAnsi="Times New Roman" w:cs="Times New Roman"/>
        </w:rPr>
        <w:t xml:space="preserve"> </w:t>
      </w:r>
      <w:bookmarkStart w:id="21" w:name="_Hlk202341684"/>
      <w:r w:rsidR="00DA53E2" w:rsidRPr="005C5184">
        <w:rPr>
          <w:rFonts w:ascii="Times New Roman" w:hAnsi="Times New Roman" w:cs="Times New Roman"/>
        </w:rPr>
        <w:t xml:space="preserve">This may seem </w:t>
      </w:r>
      <w:r w:rsidR="00AE33C0" w:rsidRPr="005C5184">
        <w:rPr>
          <w:rFonts w:ascii="Times New Roman" w:hAnsi="Times New Roman" w:cs="Times New Roman"/>
        </w:rPr>
        <w:t>counterintuitive, but</w:t>
      </w:r>
      <w:r w:rsidR="00DA53E2" w:rsidRPr="005C5184">
        <w:rPr>
          <w:rFonts w:ascii="Times New Roman" w:hAnsi="Times New Roman" w:cs="Times New Roman"/>
        </w:rPr>
        <w:t xml:space="preserve"> </w:t>
      </w:r>
      <w:r w:rsidR="00AE33C0" w:rsidRPr="005C5184">
        <w:rPr>
          <w:rFonts w:ascii="Times New Roman" w:hAnsi="Times New Roman" w:cs="Times New Roman"/>
        </w:rPr>
        <w:t xml:space="preserve">it </w:t>
      </w:r>
      <w:r w:rsidR="00DA53E2" w:rsidRPr="005C5184">
        <w:rPr>
          <w:rFonts w:ascii="Times New Roman" w:hAnsi="Times New Roman" w:cs="Times New Roman"/>
        </w:rPr>
        <w:t>could reflect lagged policy responses to rising inflation in Zambi</w:t>
      </w:r>
      <w:bookmarkEnd w:id="21"/>
      <w:r w:rsidR="00DA53E2" w:rsidRPr="005C5184">
        <w:rPr>
          <w:rFonts w:ascii="Times New Roman" w:hAnsi="Times New Roman" w:cs="Times New Roman"/>
        </w:rPr>
        <w:t>a</w:t>
      </w:r>
      <w:bookmarkEnd w:id="20"/>
      <w:r w:rsidR="00DA53E2" w:rsidRPr="005C5184">
        <w:rPr>
          <w:rFonts w:ascii="Times New Roman" w:hAnsi="Times New Roman" w:cs="Times New Roman"/>
        </w:rPr>
        <w:t xml:space="preserve">. </w:t>
      </w:r>
      <w:r w:rsidR="00886177" w:rsidRPr="005C5184">
        <w:rPr>
          <w:rFonts w:ascii="Times New Roman" w:hAnsi="Times New Roman" w:cs="Times New Roman"/>
        </w:rPr>
        <w:t xml:space="preserve">Regarding </w:t>
      </w:r>
      <w:r w:rsidR="000C62DD" w:rsidRPr="005C5184">
        <w:rPr>
          <w:rFonts w:ascii="Times New Roman" w:hAnsi="Times New Roman" w:cs="Times New Roman"/>
        </w:rPr>
        <w:t>speed</w:t>
      </w:r>
      <w:r w:rsidR="00886177" w:rsidRPr="005C5184">
        <w:rPr>
          <w:rFonts w:ascii="Times New Roman" w:hAnsi="Times New Roman" w:cs="Times New Roman"/>
        </w:rPr>
        <w:t xml:space="preserve"> adjustment, the coefficient is negative (-0.32) and </w:t>
      </w:r>
      <w:r w:rsidR="00D20022" w:rsidRPr="005C5184">
        <w:rPr>
          <w:rFonts w:ascii="Times New Roman" w:hAnsi="Times New Roman" w:cs="Times New Roman"/>
        </w:rPr>
        <w:t>statistically significant</w:t>
      </w:r>
      <w:r w:rsidR="00886177" w:rsidRPr="005C5184">
        <w:rPr>
          <w:rFonts w:ascii="Times New Roman" w:hAnsi="Times New Roman" w:cs="Times New Roman"/>
        </w:rPr>
        <w:t xml:space="preserve">. This implies </w:t>
      </w:r>
      <w:r w:rsidR="00910386" w:rsidRPr="005C5184">
        <w:rPr>
          <w:rFonts w:ascii="Times New Roman" w:hAnsi="Times New Roman" w:cs="Times New Roman"/>
        </w:rPr>
        <w:t>that</w:t>
      </w:r>
      <w:r w:rsidR="00886177" w:rsidRPr="005C5184">
        <w:rPr>
          <w:rFonts w:ascii="Times New Roman" w:hAnsi="Times New Roman" w:cs="Times New Roman"/>
        </w:rPr>
        <w:t xml:space="preserve"> it is possible to correct inflationary shocks by monetary tightening at the </w:t>
      </w:r>
      <w:r w:rsidR="002B607E" w:rsidRPr="005C5184">
        <w:rPr>
          <w:rFonts w:ascii="Times New Roman" w:hAnsi="Times New Roman" w:cs="Times New Roman"/>
        </w:rPr>
        <w:t>speed</w:t>
      </w:r>
      <w:r w:rsidR="00886177" w:rsidRPr="005C5184">
        <w:rPr>
          <w:rFonts w:ascii="Times New Roman" w:hAnsi="Times New Roman" w:cs="Times New Roman"/>
        </w:rPr>
        <w:t xml:space="preserve"> of 32%</w:t>
      </w:r>
      <w:r w:rsidR="002B607E" w:rsidRPr="005C5184">
        <w:rPr>
          <w:rFonts w:ascii="Times New Roman" w:hAnsi="Times New Roman" w:cs="Times New Roman"/>
        </w:rPr>
        <w:t xml:space="preserve"> per quarter</w:t>
      </w:r>
      <w:r w:rsidR="00886177" w:rsidRPr="005C5184">
        <w:rPr>
          <w:rFonts w:ascii="Times New Roman" w:hAnsi="Times New Roman" w:cs="Times New Roman"/>
        </w:rPr>
        <w:t>. However, this is relatively slow</w:t>
      </w:r>
      <w:r w:rsidR="00910386" w:rsidRPr="005C5184">
        <w:rPr>
          <w:rFonts w:ascii="Times New Roman" w:hAnsi="Times New Roman" w:cs="Times New Roman"/>
        </w:rPr>
        <w:t>, so</w:t>
      </w:r>
      <w:r w:rsidR="00886177" w:rsidRPr="005C5184">
        <w:rPr>
          <w:rFonts w:ascii="Times New Roman" w:hAnsi="Times New Roman" w:cs="Times New Roman"/>
        </w:rPr>
        <w:t xml:space="preserve"> it may take time to manifest or be effective. </w:t>
      </w:r>
      <w:bookmarkStart w:id="22" w:name="_Hlk202341725"/>
      <w:r w:rsidR="00886177" w:rsidRPr="005C5184">
        <w:rPr>
          <w:rFonts w:ascii="Times New Roman" w:hAnsi="Times New Roman" w:cs="Times New Roman"/>
        </w:rPr>
        <w:t>This should be supplemented by c</w:t>
      </w:r>
      <w:r w:rsidR="00DA53E2" w:rsidRPr="005C5184">
        <w:rPr>
          <w:rFonts w:ascii="Times New Roman" w:hAnsi="Times New Roman" w:cs="Times New Roman"/>
        </w:rPr>
        <w:t>ommunication of policy intent to shape</w:t>
      </w:r>
      <w:r w:rsidR="00886177" w:rsidRPr="005C5184">
        <w:rPr>
          <w:rFonts w:ascii="Times New Roman" w:hAnsi="Times New Roman" w:cs="Times New Roman"/>
        </w:rPr>
        <w:t xml:space="preserve"> and influence</w:t>
      </w:r>
      <w:r w:rsidR="00DA53E2" w:rsidRPr="005C5184">
        <w:rPr>
          <w:rFonts w:ascii="Times New Roman" w:hAnsi="Times New Roman" w:cs="Times New Roman"/>
        </w:rPr>
        <w:t xml:space="preserve"> expectations</w:t>
      </w:r>
      <w:r w:rsidR="00886177" w:rsidRPr="005C5184">
        <w:rPr>
          <w:rFonts w:ascii="Times New Roman" w:hAnsi="Times New Roman" w:cs="Times New Roman"/>
        </w:rPr>
        <w:t>.</w:t>
      </w:r>
      <w:r w:rsidR="00AB3722">
        <w:rPr>
          <w:rFonts w:ascii="Times New Roman" w:hAnsi="Times New Roman" w:cs="Times New Roman"/>
        </w:rPr>
        <w:t xml:space="preserve"> </w:t>
      </w:r>
      <w:bookmarkEnd w:id="22"/>
    </w:p>
    <w:p w14:paraId="0F83C004" w14:textId="77777777" w:rsidR="00AB3722" w:rsidRDefault="00112C72" w:rsidP="00AB3722">
      <w:pPr>
        <w:spacing w:after="0" w:line="276" w:lineRule="auto"/>
        <w:ind w:firstLine="720"/>
        <w:jc w:val="both"/>
        <w:rPr>
          <w:rFonts w:ascii="Times New Roman" w:hAnsi="Times New Roman" w:cs="Times New Roman"/>
        </w:rPr>
      </w:pPr>
      <w:r w:rsidRPr="005C5184">
        <w:rPr>
          <w:rFonts w:ascii="Times New Roman" w:hAnsi="Times New Roman" w:cs="Times New Roman"/>
        </w:rPr>
        <w:t xml:space="preserve">Real GDP has a significant positive effect on the inflation gap. Specifically, </w:t>
      </w:r>
      <w:bookmarkStart w:id="23" w:name="_Hlk202341580"/>
      <w:r w:rsidRPr="005C5184">
        <w:rPr>
          <w:rFonts w:ascii="Times New Roman" w:hAnsi="Times New Roman" w:cs="Times New Roman"/>
        </w:rPr>
        <w:t>a one-unit increase in real GDP increases the inflation gap by</w:t>
      </w:r>
      <w:r w:rsidR="002B607E" w:rsidRPr="005C5184">
        <w:rPr>
          <w:rFonts w:ascii="Times New Roman" w:hAnsi="Times New Roman" w:cs="Times New Roman"/>
        </w:rPr>
        <w:t xml:space="preserve"> </w:t>
      </w:r>
      <w:r w:rsidRPr="005C5184">
        <w:rPr>
          <w:rFonts w:ascii="Times New Roman" w:hAnsi="Times New Roman" w:cs="Times New Roman"/>
        </w:rPr>
        <w:t>14%</w:t>
      </w:r>
      <w:r w:rsidR="002B607E" w:rsidRPr="005C5184">
        <w:rPr>
          <w:rFonts w:ascii="Times New Roman" w:hAnsi="Times New Roman" w:cs="Times New Roman"/>
        </w:rPr>
        <w:t xml:space="preserve"> in the long run,</w:t>
      </w:r>
      <w:r w:rsidRPr="005C5184">
        <w:rPr>
          <w:rFonts w:ascii="Times New Roman" w:hAnsi="Times New Roman" w:cs="Times New Roman"/>
        </w:rPr>
        <w:t xml:space="preserve"> holding other factors constant. This finding implies that an increase in real GDP is inflationary and undermines the performance of the </w:t>
      </w:r>
      <w:r w:rsidR="00AE33C0" w:rsidRPr="005C5184">
        <w:rPr>
          <w:rFonts w:ascii="Times New Roman" w:hAnsi="Times New Roman" w:cs="Times New Roman"/>
        </w:rPr>
        <w:t>target</w:t>
      </w:r>
      <w:r w:rsidRPr="005C5184">
        <w:rPr>
          <w:rFonts w:ascii="Times New Roman" w:hAnsi="Times New Roman" w:cs="Times New Roman"/>
        </w:rPr>
        <w:t xml:space="preserve"> inflation policy</w:t>
      </w:r>
      <w:bookmarkEnd w:id="23"/>
      <w:r w:rsidRPr="005C5184">
        <w:rPr>
          <w:rFonts w:ascii="Times New Roman" w:hAnsi="Times New Roman" w:cs="Times New Roman"/>
        </w:rPr>
        <w:t>.</w:t>
      </w:r>
      <w:r w:rsidR="004F3E17" w:rsidRPr="005C5184">
        <w:rPr>
          <w:rFonts w:ascii="Times New Roman" w:hAnsi="Times New Roman" w:cs="Times New Roman"/>
        </w:rPr>
        <w:t xml:space="preserve"> In terms of speed of adjustment, a shock to real GDP does not seem to be corrected in that quarter or time period in general. </w:t>
      </w:r>
      <w:bookmarkStart w:id="24" w:name="_Hlk202341802"/>
      <w:r w:rsidR="004F3E17" w:rsidRPr="005C5184">
        <w:rPr>
          <w:rFonts w:ascii="Times New Roman" w:hAnsi="Times New Roman" w:cs="Times New Roman"/>
        </w:rPr>
        <w:t>The policy implication is that e</w:t>
      </w:r>
      <w:r w:rsidRPr="005C5184">
        <w:rPr>
          <w:rFonts w:ascii="Times New Roman" w:hAnsi="Times New Roman" w:cs="Times New Roman"/>
        </w:rPr>
        <w:t>xpansionary growth strategies should be implemented in conjunction with inflation management</w:t>
      </w:r>
      <w:r w:rsidR="00AE33C0" w:rsidRPr="005C5184">
        <w:rPr>
          <w:rFonts w:ascii="Times New Roman" w:hAnsi="Times New Roman" w:cs="Times New Roman"/>
        </w:rPr>
        <w:t>,</w:t>
      </w:r>
      <w:r w:rsidRPr="005C5184">
        <w:rPr>
          <w:rFonts w:ascii="Times New Roman" w:hAnsi="Times New Roman" w:cs="Times New Roman"/>
        </w:rPr>
        <w:t xml:space="preserve"> supply-side measures (</w:t>
      </w:r>
      <w:r w:rsidR="004F3E17" w:rsidRPr="005C5184">
        <w:rPr>
          <w:rFonts w:ascii="Times New Roman" w:hAnsi="Times New Roman" w:cs="Times New Roman"/>
        </w:rPr>
        <w:t xml:space="preserve">such as </w:t>
      </w:r>
      <w:r w:rsidR="00AE33C0" w:rsidRPr="005C5184">
        <w:rPr>
          <w:rFonts w:ascii="Times New Roman" w:hAnsi="Times New Roman" w:cs="Times New Roman"/>
        </w:rPr>
        <w:t xml:space="preserve">an </w:t>
      </w:r>
      <w:r w:rsidR="004F3E17" w:rsidRPr="005C5184">
        <w:rPr>
          <w:rFonts w:ascii="Times New Roman" w:hAnsi="Times New Roman" w:cs="Times New Roman"/>
        </w:rPr>
        <w:t xml:space="preserve">increase in </w:t>
      </w:r>
      <w:r w:rsidRPr="005C5184">
        <w:rPr>
          <w:rFonts w:ascii="Times New Roman" w:hAnsi="Times New Roman" w:cs="Times New Roman"/>
        </w:rPr>
        <w:t>infrastructure</w:t>
      </w:r>
      <w:r w:rsidR="004F3E17" w:rsidRPr="005C5184">
        <w:rPr>
          <w:rFonts w:ascii="Times New Roman" w:hAnsi="Times New Roman" w:cs="Times New Roman"/>
        </w:rPr>
        <w:t xml:space="preserve"> development or public </w:t>
      </w:r>
      <w:r w:rsidR="00AE33C0" w:rsidRPr="005C5184">
        <w:rPr>
          <w:rFonts w:ascii="Times New Roman" w:hAnsi="Times New Roman" w:cs="Times New Roman"/>
        </w:rPr>
        <w:t>works, increased</w:t>
      </w:r>
      <w:r w:rsidR="004F3E17" w:rsidRPr="005C5184">
        <w:rPr>
          <w:rFonts w:ascii="Times New Roman" w:hAnsi="Times New Roman" w:cs="Times New Roman"/>
        </w:rPr>
        <w:t xml:space="preserve"> </w:t>
      </w:r>
      <w:r w:rsidRPr="005C5184">
        <w:rPr>
          <w:rFonts w:ascii="Times New Roman" w:hAnsi="Times New Roman" w:cs="Times New Roman"/>
        </w:rPr>
        <w:t>productivity) could mitigate the inflationary impacts of</w:t>
      </w:r>
      <w:r w:rsidR="004F3E17" w:rsidRPr="005C5184">
        <w:rPr>
          <w:rFonts w:ascii="Times New Roman" w:hAnsi="Times New Roman" w:cs="Times New Roman"/>
        </w:rPr>
        <w:t xml:space="preserve"> real economic</w:t>
      </w:r>
      <w:r w:rsidRPr="005C5184">
        <w:rPr>
          <w:rFonts w:ascii="Times New Roman" w:hAnsi="Times New Roman" w:cs="Times New Roman"/>
        </w:rPr>
        <w:t xml:space="preserve"> growth</w:t>
      </w:r>
      <w:bookmarkEnd w:id="24"/>
      <w:r w:rsidRPr="005C5184">
        <w:rPr>
          <w:rFonts w:ascii="Times New Roman" w:hAnsi="Times New Roman" w:cs="Times New Roman"/>
        </w:rPr>
        <w:t>.</w:t>
      </w:r>
      <w:r w:rsidR="00AB3722">
        <w:rPr>
          <w:rFonts w:ascii="Times New Roman" w:hAnsi="Times New Roman" w:cs="Times New Roman"/>
        </w:rPr>
        <w:t xml:space="preserve"> </w:t>
      </w:r>
    </w:p>
    <w:p w14:paraId="2CC03F10" w14:textId="1E6756A4" w:rsidR="00DE649E" w:rsidRPr="005C5184" w:rsidRDefault="00AB3722" w:rsidP="00AB3722">
      <w:pPr>
        <w:spacing w:after="0" w:line="276" w:lineRule="auto"/>
        <w:ind w:firstLine="720"/>
        <w:jc w:val="both"/>
        <w:rPr>
          <w:rFonts w:ascii="Times New Roman" w:hAnsi="Times New Roman" w:cs="Times New Roman"/>
        </w:rPr>
      </w:pPr>
      <w:r>
        <w:rPr>
          <w:rFonts w:ascii="Times New Roman" w:hAnsi="Times New Roman" w:cs="Times New Roman"/>
        </w:rPr>
        <w:t>I</w:t>
      </w:r>
      <w:r w:rsidR="00AE33C0" w:rsidRPr="005C5184">
        <w:rPr>
          <w:rFonts w:ascii="Times New Roman" w:hAnsi="Times New Roman" w:cs="Times New Roman"/>
        </w:rPr>
        <w:t xml:space="preserve">nflation, or the consumer price </w:t>
      </w:r>
      <w:r w:rsidR="006F7A5E" w:rsidRPr="005C5184">
        <w:rPr>
          <w:rFonts w:ascii="Times New Roman" w:hAnsi="Times New Roman" w:cs="Times New Roman"/>
        </w:rPr>
        <w:t>index (CPI),</w:t>
      </w:r>
      <w:r w:rsidR="00AE33C0" w:rsidRPr="005C5184">
        <w:rPr>
          <w:rFonts w:ascii="Times New Roman" w:hAnsi="Times New Roman" w:cs="Times New Roman"/>
        </w:rPr>
        <w:t xml:space="preserve"> has a positive, significant effect on the inflation gap. According to the findings, a unit increase in inflation widens the inflation gap by 2% in the long run, ceteris paribus.</w:t>
      </w:r>
      <w:r w:rsidR="006F7A5E" w:rsidRPr="005C5184">
        <w:rPr>
          <w:rFonts w:ascii="Times New Roman" w:hAnsi="Times New Roman" w:cs="Times New Roman"/>
        </w:rPr>
        <w:t xml:space="preserve"> When actual inflation rises, it increases the deviation from the target. A positive shock to inflation is not corrected in the given quarter.  This implies that monetary policy must tightly control inflation expectations, as loose inflationary conditions tend to feed and widen the inflation gap relatively faster. </w:t>
      </w:r>
    </w:p>
    <w:p w14:paraId="7503EAFA" w14:textId="77777777" w:rsidR="00AB3722" w:rsidRDefault="006F7A5E" w:rsidP="00AB3722">
      <w:pPr>
        <w:spacing w:after="0" w:line="276" w:lineRule="auto"/>
        <w:jc w:val="both"/>
        <w:rPr>
          <w:rFonts w:ascii="Times New Roman" w:hAnsi="Times New Roman" w:cs="Times New Roman"/>
        </w:rPr>
      </w:pPr>
      <w:bookmarkStart w:id="25" w:name="_Hlk202345070"/>
      <w:r w:rsidRPr="005C5184">
        <w:rPr>
          <w:rFonts w:ascii="Times New Roman" w:hAnsi="Times New Roman" w:cs="Times New Roman"/>
        </w:rPr>
        <w:t>FDI inflows have a significant positive effect on the inflation gap. A 1% increase in FDI inflows increases the inflation gap by 6%</w:t>
      </w:r>
      <w:r w:rsidR="002B607E" w:rsidRPr="005C5184">
        <w:rPr>
          <w:rFonts w:ascii="Times New Roman" w:hAnsi="Times New Roman" w:cs="Times New Roman"/>
        </w:rPr>
        <w:t>, ceteris paribus, in the long run</w:t>
      </w:r>
      <w:bookmarkEnd w:id="25"/>
      <w:r w:rsidRPr="005C5184">
        <w:rPr>
          <w:rFonts w:ascii="Times New Roman" w:hAnsi="Times New Roman" w:cs="Times New Roman"/>
        </w:rPr>
        <w:t>. It appears that higher FDI inflows into Zambia positively correlate with a rising inflation gap.</w:t>
      </w:r>
      <w:r w:rsidR="00DD3395" w:rsidRPr="005C5184">
        <w:rPr>
          <w:rFonts w:ascii="Times New Roman" w:hAnsi="Times New Roman" w:cs="Times New Roman"/>
        </w:rPr>
        <w:t xml:space="preserve"> A shock to </w:t>
      </w:r>
      <w:r w:rsidR="00427513" w:rsidRPr="005C5184">
        <w:rPr>
          <w:rFonts w:ascii="Times New Roman" w:hAnsi="Times New Roman" w:cs="Times New Roman"/>
        </w:rPr>
        <w:t>the FDI inflows</w:t>
      </w:r>
      <w:r w:rsidR="00DD3395" w:rsidRPr="005C5184">
        <w:rPr>
          <w:rFonts w:ascii="Times New Roman" w:hAnsi="Times New Roman" w:cs="Times New Roman"/>
        </w:rPr>
        <w:t xml:space="preserve"> returns to equilibrium at the speed of adjustment of 42%</w:t>
      </w:r>
      <w:r w:rsidR="002B607E" w:rsidRPr="005C5184">
        <w:rPr>
          <w:rFonts w:ascii="Times New Roman" w:hAnsi="Times New Roman" w:cs="Times New Roman"/>
        </w:rPr>
        <w:t xml:space="preserve"> per quarter</w:t>
      </w:r>
      <w:r w:rsidR="00DD3395" w:rsidRPr="005C5184">
        <w:rPr>
          <w:rFonts w:ascii="Times New Roman" w:hAnsi="Times New Roman" w:cs="Times New Roman"/>
        </w:rPr>
        <w:t xml:space="preserve">. </w:t>
      </w:r>
      <w:bookmarkStart w:id="26" w:name="_Hlk202345118"/>
      <w:r w:rsidR="00427513" w:rsidRPr="005C5184">
        <w:rPr>
          <w:rFonts w:ascii="Times New Roman" w:hAnsi="Times New Roman" w:cs="Times New Roman"/>
        </w:rPr>
        <w:t>FDI inflows may spur demand-</w:t>
      </w:r>
      <w:r w:rsidR="00575A0B" w:rsidRPr="005C5184">
        <w:rPr>
          <w:rFonts w:ascii="Times New Roman" w:hAnsi="Times New Roman" w:cs="Times New Roman"/>
        </w:rPr>
        <w:t xml:space="preserve">side inflationary </w:t>
      </w:r>
      <w:r w:rsidR="00427513" w:rsidRPr="005C5184">
        <w:rPr>
          <w:rFonts w:ascii="Times New Roman" w:hAnsi="Times New Roman" w:cs="Times New Roman"/>
        </w:rPr>
        <w:t>pressures that widen the inflation gap. However, its relatively strong speed of correction suggests the economy recovers quickly, possibly due to improved productivity or monetary policy response.</w:t>
      </w:r>
      <w:r w:rsidR="00AB3722">
        <w:rPr>
          <w:rFonts w:ascii="Times New Roman" w:hAnsi="Times New Roman" w:cs="Times New Roman"/>
        </w:rPr>
        <w:t xml:space="preserve"> </w:t>
      </w:r>
      <w:bookmarkEnd w:id="26"/>
    </w:p>
    <w:p w14:paraId="78EC9438" w14:textId="759ACFD4" w:rsidR="00AB3722" w:rsidRDefault="00960D43" w:rsidP="00AB3722">
      <w:pPr>
        <w:spacing w:after="0" w:line="276" w:lineRule="auto"/>
        <w:ind w:firstLine="720"/>
        <w:jc w:val="both"/>
        <w:rPr>
          <w:rFonts w:ascii="Times New Roman" w:hAnsi="Times New Roman" w:cs="Times New Roman"/>
        </w:rPr>
      </w:pPr>
      <w:r w:rsidRPr="005C5184">
        <w:rPr>
          <w:rFonts w:ascii="Times New Roman" w:hAnsi="Times New Roman" w:cs="Times New Roman"/>
        </w:rPr>
        <w:t xml:space="preserve">The export of goods and services revenue into Zambia has a positive but marginally statistically significant effect on </w:t>
      </w:r>
      <w:r w:rsidR="00015E74">
        <w:rPr>
          <w:rFonts w:ascii="Times New Roman" w:hAnsi="Times New Roman" w:cs="Times New Roman"/>
        </w:rPr>
        <w:t xml:space="preserve">the </w:t>
      </w:r>
      <w:r w:rsidRPr="005C5184">
        <w:rPr>
          <w:rFonts w:ascii="Times New Roman" w:hAnsi="Times New Roman" w:cs="Times New Roman"/>
        </w:rPr>
        <w:t xml:space="preserve">inflation gap in the long run, all things equal. </w:t>
      </w:r>
      <w:bookmarkStart w:id="27" w:name="_Hlk202345157"/>
      <w:r w:rsidRPr="005C5184">
        <w:rPr>
          <w:rFonts w:ascii="Times New Roman" w:hAnsi="Times New Roman" w:cs="Times New Roman"/>
        </w:rPr>
        <w:t xml:space="preserve">Increased exports have the potential to drive domestic demand and inflationary pressures (demand-pull inflation). A 1% increase in export revenue increases or widens the inflation gap by 18%. </w:t>
      </w:r>
      <w:bookmarkEnd w:id="27"/>
      <w:r w:rsidRPr="005C5184">
        <w:rPr>
          <w:rFonts w:ascii="Times New Roman" w:hAnsi="Times New Roman" w:cs="Times New Roman"/>
        </w:rPr>
        <w:t xml:space="preserve">The shock to the export of goods and services is corrected within the quarter at the speed of 41%. This implies that export booms must be paired with </w:t>
      </w:r>
      <w:proofErr w:type="spellStart"/>
      <w:r w:rsidR="00015E74">
        <w:rPr>
          <w:rFonts w:ascii="Times New Roman" w:hAnsi="Times New Roman" w:cs="Times New Roman"/>
        </w:rPr>
        <w:t>stabilisation</w:t>
      </w:r>
      <w:proofErr w:type="spellEnd"/>
      <w:r w:rsidRPr="005C5184">
        <w:rPr>
          <w:rFonts w:ascii="Times New Roman" w:hAnsi="Times New Roman" w:cs="Times New Roman"/>
        </w:rPr>
        <w:t xml:space="preserve"> tools. However, the strong adjustment suggests that these may be temporary inflationary pressures that may be corrected within the quarter.</w:t>
      </w:r>
      <w:r w:rsidR="00AB3722">
        <w:rPr>
          <w:rFonts w:ascii="Times New Roman" w:hAnsi="Times New Roman" w:cs="Times New Roman"/>
        </w:rPr>
        <w:t xml:space="preserve"> </w:t>
      </w:r>
      <w:bookmarkStart w:id="28" w:name="_Hlk202345237"/>
    </w:p>
    <w:p w14:paraId="1CAFA17F" w14:textId="43DBAE14" w:rsidR="00AB3722" w:rsidRDefault="00960D43" w:rsidP="00AB3722">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hAnsi="Times New Roman" w:cs="Times New Roman"/>
        </w:rPr>
        <w:t xml:space="preserve">The import of goods and services expenditure has a </w:t>
      </w:r>
      <w:r w:rsidR="001C674A" w:rsidRPr="005C5184">
        <w:rPr>
          <w:rFonts w:ascii="Times New Roman" w:hAnsi="Times New Roman" w:cs="Times New Roman"/>
        </w:rPr>
        <w:t xml:space="preserve">significant </w:t>
      </w:r>
      <w:r w:rsidR="00015E74">
        <w:rPr>
          <w:rFonts w:ascii="Times New Roman" w:hAnsi="Times New Roman" w:cs="Times New Roman"/>
        </w:rPr>
        <w:t xml:space="preserve">long-run negative effect on the </w:t>
      </w:r>
      <w:r w:rsidR="001C674A" w:rsidRPr="005C5184">
        <w:rPr>
          <w:rFonts w:ascii="Times New Roman" w:hAnsi="Times New Roman" w:cs="Times New Roman"/>
        </w:rPr>
        <w:t xml:space="preserve">inflation gap.  </w:t>
      </w:r>
      <w:r w:rsidR="001C674A" w:rsidRPr="005C5184">
        <w:rPr>
          <w:rFonts w:ascii="Times New Roman" w:eastAsia="Times New Roman" w:hAnsi="Times New Roman" w:cs="Times New Roman"/>
          <w:kern w:val="0"/>
          <w14:ligatures w14:val="none"/>
        </w:rPr>
        <w:t xml:space="preserve">Specifically, a unit increase in </w:t>
      </w:r>
      <w:r w:rsidR="00015E74">
        <w:rPr>
          <w:rFonts w:ascii="Times New Roman" w:eastAsia="Times New Roman" w:hAnsi="Times New Roman" w:cs="Times New Roman"/>
          <w:kern w:val="0"/>
          <w14:ligatures w14:val="none"/>
        </w:rPr>
        <w:t xml:space="preserve">the </w:t>
      </w:r>
      <w:r w:rsidR="001C674A" w:rsidRPr="005C5184">
        <w:rPr>
          <w:rFonts w:ascii="Times New Roman" w:eastAsia="Times New Roman" w:hAnsi="Times New Roman" w:cs="Times New Roman"/>
          <w:kern w:val="0"/>
          <w14:ligatures w14:val="none"/>
        </w:rPr>
        <w:t>import of goods and services into Zambia</w:t>
      </w:r>
      <w:r w:rsidR="00575A0B" w:rsidRPr="005C5184">
        <w:rPr>
          <w:rFonts w:ascii="Times New Roman" w:eastAsia="Times New Roman" w:hAnsi="Times New Roman" w:cs="Times New Roman"/>
          <w:kern w:val="0"/>
          <w14:ligatures w14:val="none"/>
        </w:rPr>
        <w:t xml:space="preserve"> d</w:t>
      </w:r>
      <w:r w:rsidR="001C674A" w:rsidRPr="005C5184">
        <w:rPr>
          <w:rFonts w:ascii="Times New Roman" w:eastAsia="Times New Roman" w:hAnsi="Times New Roman" w:cs="Times New Roman"/>
          <w:kern w:val="0"/>
          <w14:ligatures w14:val="none"/>
        </w:rPr>
        <w:t>ecreases the inflation gap by 15% in the long run, ceteris paribus. The findings suggest that more imports reduce the inflation gap. This is likely to happen due to increased supply of goods and services into Zambia, and price competition</w:t>
      </w:r>
      <w:bookmarkEnd w:id="28"/>
      <w:r w:rsidR="001C674A" w:rsidRPr="005C5184">
        <w:rPr>
          <w:rFonts w:ascii="Times New Roman" w:eastAsia="Times New Roman" w:hAnsi="Times New Roman" w:cs="Times New Roman"/>
          <w:kern w:val="0"/>
          <w14:ligatures w14:val="none"/>
        </w:rPr>
        <w:t xml:space="preserve">. The speed of adjustment, though not significant, occurs at the speed of 71% per quarter. The implication of this result is that openness to trade, especially imports, serves as an inflation </w:t>
      </w:r>
      <w:proofErr w:type="spellStart"/>
      <w:r w:rsidR="00015E74">
        <w:rPr>
          <w:rFonts w:ascii="Times New Roman" w:eastAsia="Times New Roman" w:hAnsi="Times New Roman" w:cs="Times New Roman"/>
          <w:kern w:val="0"/>
          <w14:ligatures w14:val="none"/>
        </w:rPr>
        <w:t>stabiliser</w:t>
      </w:r>
      <w:proofErr w:type="spellEnd"/>
      <w:r w:rsidR="001C674A" w:rsidRPr="005C5184">
        <w:rPr>
          <w:rFonts w:ascii="Times New Roman" w:eastAsia="Times New Roman" w:hAnsi="Times New Roman" w:cs="Times New Roman"/>
          <w:kern w:val="0"/>
          <w14:ligatures w14:val="none"/>
        </w:rPr>
        <w:t>. Promoting imports, especially essential commodities and services</w:t>
      </w:r>
      <w:r w:rsidR="00015E74">
        <w:rPr>
          <w:rFonts w:ascii="Times New Roman" w:eastAsia="Times New Roman" w:hAnsi="Times New Roman" w:cs="Times New Roman"/>
          <w:kern w:val="0"/>
          <w14:ligatures w14:val="none"/>
        </w:rPr>
        <w:t xml:space="preserve">, puts </w:t>
      </w:r>
      <w:r w:rsidR="001C674A" w:rsidRPr="005C5184">
        <w:rPr>
          <w:rFonts w:ascii="Times New Roman" w:eastAsia="Times New Roman" w:hAnsi="Times New Roman" w:cs="Times New Roman"/>
          <w:kern w:val="0"/>
          <w14:ligatures w14:val="none"/>
        </w:rPr>
        <w:t>downward pressure on inflation.</w:t>
      </w:r>
      <w:r w:rsidR="00AB3722">
        <w:rPr>
          <w:rFonts w:ascii="Times New Roman" w:eastAsia="Times New Roman" w:hAnsi="Times New Roman" w:cs="Times New Roman"/>
          <w:kern w:val="0"/>
          <w14:ligatures w14:val="none"/>
        </w:rPr>
        <w:t xml:space="preserve"> </w:t>
      </w:r>
    </w:p>
    <w:p w14:paraId="48A3C8C8" w14:textId="2CE72CC6" w:rsidR="001C674A" w:rsidRDefault="001C674A" w:rsidP="00AB3722">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Finally, </w:t>
      </w:r>
      <w:bookmarkStart w:id="29" w:name="_Hlk202345272"/>
      <w:r w:rsidRPr="005C5184">
        <w:rPr>
          <w:rFonts w:ascii="Times New Roman" w:eastAsia="Times New Roman" w:hAnsi="Times New Roman" w:cs="Times New Roman"/>
          <w:kern w:val="0"/>
          <w14:ligatures w14:val="none"/>
        </w:rPr>
        <w:t xml:space="preserve">the effective exchange rate, REER, </w:t>
      </w:r>
      <w:r w:rsidR="00015E74">
        <w:rPr>
          <w:rFonts w:ascii="Times New Roman" w:eastAsia="Times New Roman" w:hAnsi="Times New Roman" w:cs="Times New Roman"/>
          <w:kern w:val="0"/>
          <w14:ligatures w14:val="none"/>
        </w:rPr>
        <w:t>significantly negatively affects</w:t>
      </w:r>
      <w:r w:rsidRPr="005C5184">
        <w:rPr>
          <w:rFonts w:ascii="Times New Roman" w:eastAsia="Times New Roman" w:hAnsi="Times New Roman" w:cs="Times New Roman"/>
          <w:kern w:val="0"/>
          <w14:ligatures w14:val="none"/>
        </w:rPr>
        <w:t xml:space="preserve"> </w:t>
      </w:r>
      <w:r w:rsidR="00240C27" w:rsidRPr="005C5184">
        <w:rPr>
          <w:rFonts w:ascii="Times New Roman" w:eastAsia="Times New Roman" w:hAnsi="Times New Roman" w:cs="Times New Roman"/>
          <w:kern w:val="0"/>
          <w14:ligatures w14:val="none"/>
        </w:rPr>
        <w:t>the inflation</w:t>
      </w:r>
      <w:r w:rsidRPr="005C5184">
        <w:rPr>
          <w:rFonts w:ascii="Times New Roman" w:eastAsia="Times New Roman" w:hAnsi="Times New Roman" w:cs="Times New Roman"/>
          <w:kern w:val="0"/>
          <w14:ligatures w14:val="none"/>
        </w:rPr>
        <w:t xml:space="preserve"> gap. This is likely caused by cheaper imports and improved purchasing power arising from a stronger domestic currency</w:t>
      </w:r>
      <w:bookmarkEnd w:id="29"/>
      <w:r w:rsidRPr="005C5184">
        <w:rPr>
          <w:rFonts w:ascii="Times New Roman" w:eastAsia="Times New Roman" w:hAnsi="Times New Roman" w:cs="Times New Roman"/>
          <w:kern w:val="0"/>
          <w14:ligatures w14:val="none"/>
        </w:rPr>
        <w:t xml:space="preserve">, the Kwacha (ZMW). </w:t>
      </w:r>
      <w:r w:rsidR="00240C27" w:rsidRPr="005C5184">
        <w:rPr>
          <w:rFonts w:ascii="Times New Roman" w:eastAsia="Times New Roman" w:hAnsi="Times New Roman" w:cs="Times New Roman"/>
          <w:kern w:val="0"/>
          <w14:ligatures w14:val="none"/>
        </w:rPr>
        <w:t xml:space="preserve"> In the long run, holding other factors constant, </w:t>
      </w:r>
      <w:r w:rsidR="003F0DDA" w:rsidRPr="005C5184">
        <w:rPr>
          <w:rFonts w:ascii="Times New Roman" w:eastAsia="Times New Roman" w:hAnsi="Times New Roman" w:cs="Times New Roman"/>
          <w:kern w:val="0"/>
          <w14:ligatures w14:val="none"/>
        </w:rPr>
        <w:t xml:space="preserve">a 1% increase or appreciation </w:t>
      </w:r>
      <w:r w:rsidR="003F0DDA" w:rsidRPr="005C5184">
        <w:rPr>
          <w:rFonts w:ascii="Times New Roman" w:eastAsia="Times New Roman" w:hAnsi="Times New Roman" w:cs="Times New Roman"/>
          <w:kern w:val="0"/>
          <w14:ligatures w14:val="none"/>
        </w:rPr>
        <w:lastRenderedPageBreak/>
        <w:t xml:space="preserve">of the Kwacha causes the inflation gap </w:t>
      </w:r>
      <w:r w:rsidR="00575A0B" w:rsidRPr="005C5184">
        <w:rPr>
          <w:rFonts w:ascii="Times New Roman" w:eastAsia="Times New Roman" w:hAnsi="Times New Roman" w:cs="Times New Roman"/>
          <w:kern w:val="0"/>
          <w14:ligatures w14:val="none"/>
        </w:rPr>
        <w:t>to</w:t>
      </w:r>
      <w:r w:rsidR="003F0DDA" w:rsidRPr="005C5184">
        <w:rPr>
          <w:rFonts w:ascii="Times New Roman" w:eastAsia="Times New Roman" w:hAnsi="Times New Roman" w:cs="Times New Roman"/>
          <w:kern w:val="0"/>
          <w14:ligatures w14:val="none"/>
        </w:rPr>
        <w:t xml:space="preserve"> reduce by 19%. However, the speed of </w:t>
      </w:r>
      <w:r w:rsidR="00881611" w:rsidRPr="005C5184">
        <w:rPr>
          <w:rFonts w:ascii="Times New Roman" w:eastAsia="Times New Roman" w:hAnsi="Times New Roman" w:cs="Times New Roman"/>
          <w:kern w:val="0"/>
          <w14:ligatures w14:val="none"/>
        </w:rPr>
        <w:t>adjustment</w:t>
      </w:r>
      <w:r w:rsidR="003F0DDA" w:rsidRPr="005C5184">
        <w:rPr>
          <w:rFonts w:ascii="Times New Roman" w:eastAsia="Times New Roman" w:hAnsi="Times New Roman" w:cs="Times New Roman"/>
          <w:kern w:val="0"/>
          <w14:ligatures w14:val="none"/>
        </w:rPr>
        <w:t xml:space="preserve"> per quarter is relatively slow at 2%. </w:t>
      </w:r>
      <w:bookmarkStart w:id="30" w:name="_Hlk202345333"/>
      <w:r w:rsidR="003F0DDA" w:rsidRPr="005C5184">
        <w:rPr>
          <w:rFonts w:ascii="Times New Roman" w:eastAsia="Times New Roman" w:hAnsi="Times New Roman" w:cs="Times New Roman"/>
          <w:kern w:val="0"/>
          <w14:ligatures w14:val="none"/>
        </w:rPr>
        <w:t xml:space="preserve">The policy implication of this finding is that a strong domestic currency, </w:t>
      </w:r>
      <w:r w:rsidR="00015E74">
        <w:rPr>
          <w:rFonts w:ascii="Times New Roman" w:eastAsia="Times New Roman" w:hAnsi="Times New Roman" w:cs="Times New Roman"/>
          <w:kern w:val="0"/>
          <w14:ligatures w14:val="none"/>
        </w:rPr>
        <w:t xml:space="preserve">the Zambian Kwacha (ZMW), helps </w:t>
      </w:r>
      <w:proofErr w:type="spellStart"/>
      <w:r w:rsidR="00015E74">
        <w:rPr>
          <w:rFonts w:ascii="Times New Roman" w:eastAsia="Times New Roman" w:hAnsi="Times New Roman" w:cs="Times New Roman"/>
          <w:kern w:val="0"/>
          <w14:ligatures w14:val="none"/>
        </w:rPr>
        <w:t>stabilise</w:t>
      </w:r>
      <w:proofErr w:type="spellEnd"/>
      <w:r w:rsidR="003F0DDA" w:rsidRPr="005C5184">
        <w:rPr>
          <w:rFonts w:ascii="Times New Roman" w:eastAsia="Times New Roman" w:hAnsi="Times New Roman" w:cs="Times New Roman"/>
          <w:kern w:val="0"/>
          <w14:ligatures w14:val="none"/>
        </w:rPr>
        <w:t xml:space="preserve"> inflation. Exchange rate management</w:t>
      </w:r>
      <w:r w:rsidR="00015E74">
        <w:rPr>
          <w:rFonts w:ascii="Times New Roman" w:eastAsia="Times New Roman" w:hAnsi="Times New Roman" w:cs="Times New Roman"/>
          <w:kern w:val="0"/>
          <w14:ligatures w14:val="none"/>
        </w:rPr>
        <w:t>, such as forex reserves and increased competitiveness in the capital markets,</w:t>
      </w:r>
      <w:r w:rsidR="00881611" w:rsidRPr="005C5184">
        <w:rPr>
          <w:rFonts w:ascii="Times New Roman" w:eastAsia="Times New Roman" w:hAnsi="Times New Roman" w:cs="Times New Roman"/>
          <w:kern w:val="0"/>
          <w14:ligatures w14:val="none"/>
        </w:rPr>
        <w:t xml:space="preserve"> </w:t>
      </w:r>
      <w:r w:rsidR="00015E74">
        <w:rPr>
          <w:rFonts w:ascii="Times New Roman" w:eastAsia="Times New Roman" w:hAnsi="Times New Roman" w:cs="Times New Roman"/>
          <w:kern w:val="0"/>
          <w14:ligatures w14:val="none"/>
        </w:rPr>
        <w:t>supports</w:t>
      </w:r>
      <w:r w:rsidR="003F0DDA" w:rsidRPr="005C5184">
        <w:rPr>
          <w:rFonts w:ascii="Times New Roman" w:eastAsia="Times New Roman" w:hAnsi="Times New Roman" w:cs="Times New Roman"/>
          <w:kern w:val="0"/>
          <w14:ligatures w14:val="none"/>
        </w:rPr>
        <w:t xml:space="preserve"> inflation targeting goals and financial industries or markets</w:t>
      </w:r>
      <w:bookmarkEnd w:id="30"/>
      <w:r w:rsidR="005A4C37" w:rsidRPr="005C5184">
        <w:rPr>
          <w:rFonts w:ascii="Times New Roman" w:eastAsia="Times New Roman" w:hAnsi="Times New Roman" w:cs="Times New Roman"/>
          <w:kern w:val="0"/>
          <w14:ligatures w14:val="none"/>
        </w:rPr>
        <w:t>.</w:t>
      </w:r>
      <w:r w:rsidR="003F0DDA" w:rsidRPr="005C5184">
        <w:rPr>
          <w:rFonts w:ascii="Times New Roman" w:eastAsia="Times New Roman" w:hAnsi="Times New Roman" w:cs="Times New Roman"/>
          <w:kern w:val="0"/>
          <w14:ligatures w14:val="none"/>
        </w:rPr>
        <w:t xml:space="preserve"> </w:t>
      </w:r>
    </w:p>
    <w:p w14:paraId="20C78713" w14:textId="47993112" w:rsidR="002B3D89" w:rsidRDefault="00563121" w:rsidP="00FB702B">
      <w:pPr>
        <w:pStyle w:val="FootnoteText"/>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While earlier studies, such as Kalaluka (2021), highlighted improvements in </w:t>
      </w:r>
      <w:proofErr w:type="spellStart"/>
      <w:r>
        <w:rPr>
          <w:rFonts w:ascii="Times New Roman" w:hAnsi="Times New Roman" w:cs="Times New Roman"/>
          <w:sz w:val="22"/>
          <w:szCs w:val="22"/>
        </w:rPr>
        <w:t>BoZ’s</w:t>
      </w:r>
      <w:proofErr w:type="spellEnd"/>
      <w:r>
        <w:rPr>
          <w:rFonts w:ascii="Times New Roman" w:hAnsi="Times New Roman" w:cs="Times New Roman"/>
          <w:sz w:val="22"/>
          <w:szCs w:val="22"/>
        </w:rPr>
        <w:t xml:space="preserve"> communication, this study finds that transparency alone has not sufficed to </w:t>
      </w:r>
      <w:proofErr w:type="spellStart"/>
      <w:r>
        <w:rPr>
          <w:rFonts w:ascii="Times New Roman" w:hAnsi="Times New Roman" w:cs="Times New Roman"/>
          <w:sz w:val="22"/>
          <w:szCs w:val="22"/>
        </w:rPr>
        <w:t>stabilise</w:t>
      </w:r>
      <w:proofErr w:type="spellEnd"/>
      <w:r>
        <w:rPr>
          <w:rFonts w:ascii="Times New Roman" w:hAnsi="Times New Roman" w:cs="Times New Roman"/>
          <w:sz w:val="22"/>
          <w:szCs w:val="22"/>
        </w:rPr>
        <w:t xml:space="preserve"> inflation expectations in the presence of fiscal dominance and external shocks. The study also reveals that higher inflation widened the inflation gap by 12% in the long run, implying ineffective policy transmission consistent with </w:t>
      </w:r>
      <w:proofErr w:type="spellStart"/>
      <w:r>
        <w:rPr>
          <w:rFonts w:ascii="Times New Roman" w:hAnsi="Times New Roman" w:cs="Times New Roman"/>
          <w:sz w:val="22"/>
          <w:szCs w:val="22"/>
        </w:rPr>
        <w:t>Funjika</w:t>
      </w:r>
      <w:proofErr w:type="spellEnd"/>
      <w:r>
        <w:rPr>
          <w:rFonts w:ascii="Times New Roman" w:hAnsi="Times New Roman" w:cs="Times New Roman"/>
          <w:sz w:val="22"/>
          <w:szCs w:val="22"/>
        </w:rPr>
        <w:t xml:space="preserve"> et al (2022). However, this study is different from </w:t>
      </w:r>
      <w:proofErr w:type="spellStart"/>
      <w:r>
        <w:rPr>
          <w:rFonts w:ascii="Times New Roman" w:hAnsi="Times New Roman" w:cs="Times New Roman"/>
          <w:sz w:val="22"/>
          <w:szCs w:val="22"/>
        </w:rPr>
        <w:t>Funjika</w:t>
      </w:r>
      <w:proofErr w:type="spellEnd"/>
      <w:r>
        <w:rPr>
          <w:rFonts w:ascii="Times New Roman" w:hAnsi="Times New Roman" w:cs="Times New Roman"/>
          <w:sz w:val="22"/>
          <w:szCs w:val="22"/>
        </w:rPr>
        <w:t xml:space="preserve"> et al (2022) by showing that even when policy adjustments occur, their impact is not strong enough to narrow the inflation gap.  One of the key contributions of this study is the finding that GDP growth widened the inflation gap by 14%. This contrasts with Chileshe et al (2019)</w:t>
      </w:r>
      <w:r w:rsidR="009470E6">
        <w:rPr>
          <w:rFonts w:ascii="Times New Roman" w:hAnsi="Times New Roman" w:cs="Times New Roman"/>
          <w:sz w:val="22"/>
          <w:szCs w:val="22"/>
        </w:rPr>
        <w:t>,</w:t>
      </w:r>
      <w:r>
        <w:rPr>
          <w:rFonts w:ascii="Times New Roman" w:hAnsi="Times New Roman" w:cs="Times New Roman"/>
          <w:sz w:val="22"/>
          <w:szCs w:val="22"/>
        </w:rPr>
        <w:t xml:space="preserve"> who stressed fiscal dominance as the main threat to IT, and Mwansa and Phiri</w:t>
      </w:r>
      <w:r w:rsidR="002B3D89">
        <w:rPr>
          <w:rFonts w:ascii="Times New Roman" w:hAnsi="Times New Roman" w:cs="Times New Roman"/>
          <w:sz w:val="22"/>
          <w:szCs w:val="22"/>
        </w:rPr>
        <w:t xml:space="preserve"> </w:t>
      </w:r>
      <w:r>
        <w:rPr>
          <w:rFonts w:ascii="Times New Roman" w:hAnsi="Times New Roman" w:cs="Times New Roman"/>
          <w:sz w:val="22"/>
          <w:szCs w:val="22"/>
        </w:rPr>
        <w:t>(2020</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who focused on supply shocks and policy rate responses.</w:t>
      </w:r>
      <w:r w:rsidR="009470E6">
        <w:rPr>
          <w:rFonts w:ascii="Times New Roman" w:hAnsi="Times New Roman" w:cs="Times New Roman"/>
          <w:sz w:val="22"/>
          <w:szCs w:val="22"/>
        </w:rPr>
        <w:t xml:space="preserve"> </w:t>
      </w:r>
      <w:bookmarkStart w:id="31" w:name="_Hlk208131542"/>
      <w:r w:rsidR="009470E6">
        <w:rPr>
          <w:rFonts w:ascii="Times New Roman" w:hAnsi="Times New Roman" w:cs="Times New Roman"/>
          <w:sz w:val="22"/>
          <w:szCs w:val="22"/>
        </w:rPr>
        <w:t>This study advances the literature by moving beyond descriptive or short-run analyses of inflation targeting</w:t>
      </w:r>
      <w:bookmarkEnd w:id="31"/>
      <w:r w:rsidR="009470E6">
        <w:rPr>
          <w:rFonts w:ascii="Times New Roman" w:hAnsi="Times New Roman" w:cs="Times New Roman"/>
          <w:sz w:val="22"/>
          <w:szCs w:val="22"/>
        </w:rPr>
        <w:t xml:space="preserve"> in Zambia. </w:t>
      </w:r>
      <w:bookmarkStart w:id="32" w:name="_Hlk208131579"/>
      <w:r w:rsidR="009470E6">
        <w:rPr>
          <w:rFonts w:ascii="Times New Roman" w:hAnsi="Times New Roman" w:cs="Times New Roman"/>
          <w:sz w:val="22"/>
          <w:szCs w:val="22"/>
        </w:rPr>
        <w:t>By integrating FDI, trade flows, and real GDP into a VECM framework, this study provides a holistic, long-run analysis that explains not just why IT failed, but also what Zambia lost in terms of growth and investment opportunities</w:t>
      </w:r>
      <w:bookmarkEnd w:id="32"/>
      <w:r w:rsidR="009470E6">
        <w:rPr>
          <w:rFonts w:ascii="Times New Roman" w:hAnsi="Times New Roman" w:cs="Times New Roman"/>
          <w:sz w:val="22"/>
          <w:szCs w:val="22"/>
        </w:rPr>
        <w:t>.</w:t>
      </w:r>
      <w:r w:rsidR="00FB702B">
        <w:rPr>
          <w:rFonts w:ascii="Times New Roman" w:hAnsi="Times New Roman" w:cs="Times New Roman"/>
          <w:sz w:val="22"/>
          <w:szCs w:val="22"/>
        </w:rPr>
        <w:t xml:space="preserve"> </w:t>
      </w:r>
    </w:p>
    <w:p w14:paraId="1BBEC9C7" w14:textId="77777777" w:rsidR="00FB702B" w:rsidRDefault="00FB702B" w:rsidP="00FB702B">
      <w:pPr>
        <w:pStyle w:val="FootnoteText"/>
        <w:spacing w:line="276" w:lineRule="auto"/>
        <w:ind w:firstLine="720"/>
        <w:jc w:val="both"/>
        <w:rPr>
          <w:rFonts w:ascii="Times New Roman" w:hAnsi="Times New Roman" w:cs="Times New Roman"/>
          <w:b/>
          <w:bCs/>
        </w:rPr>
      </w:pPr>
    </w:p>
    <w:p w14:paraId="04060E2C" w14:textId="77C2E809" w:rsidR="00A35A4E" w:rsidRPr="006829A5" w:rsidRDefault="00DB5196" w:rsidP="00AA0E2F">
      <w:pPr>
        <w:pStyle w:val="ListParagraph"/>
        <w:numPr>
          <w:ilvl w:val="0"/>
          <w:numId w:val="14"/>
        </w:numPr>
        <w:spacing w:line="276" w:lineRule="auto"/>
        <w:rPr>
          <w:rFonts w:ascii="Times New Roman" w:hAnsi="Times New Roman" w:cs="Times New Roman"/>
          <w:b/>
          <w:bCs/>
          <w:highlight w:val="yellow"/>
        </w:rPr>
      </w:pPr>
      <w:r w:rsidRPr="006829A5">
        <w:rPr>
          <w:rFonts w:ascii="Times New Roman" w:hAnsi="Times New Roman" w:cs="Times New Roman"/>
          <w:b/>
          <w:bCs/>
          <w:highlight w:val="yellow"/>
        </w:rPr>
        <w:t>CONCLUSIONS AND RECOMMENDATIONS</w:t>
      </w:r>
    </w:p>
    <w:p w14:paraId="14E2B6A6" w14:textId="77777777" w:rsidR="00266F50" w:rsidRDefault="00FB097A" w:rsidP="00563121">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t>This research investigates the efficacy of inflation targeting (IT) in Zambia</w:t>
      </w:r>
      <w:r w:rsidR="00A1007F" w:rsidRPr="005C5184">
        <w:rPr>
          <w:rFonts w:ascii="Times New Roman" w:hAnsi="Times New Roman" w:cs="Times New Roman"/>
          <w:sz w:val="22"/>
          <w:szCs w:val="22"/>
        </w:rPr>
        <w:t>, a developing country,</w:t>
      </w:r>
      <w:r w:rsidRPr="005C5184">
        <w:rPr>
          <w:rFonts w:ascii="Times New Roman" w:hAnsi="Times New Roman" w:cs="Times New Roman"/>
          <w:sz w:val="22"/>
          <w:szCs w:val="22"/>
        </w:rPr>
        <w:t xml:space="preserve"> over a decade, specifically from 2015 to 2024. This analysis is </w:t>
      </w:r>
      <w:proofErr w:type="spellStart"/>
      <w:r w:rsidR="005A7E07">
        <w:rPr>
          <w:rFonts w:ascii="Times New Roman" w:hAnsi="Times New Roman" w:cs="Times New Roman"/>
          <w:sz w:val="22"/>
          <w:szCs w:val="22"/>
        </w:rPr>
        <w:t>contextualised</w:t>
      </w:r>
      <w:proofErr w:type="spellEnd"/>
      <w:r w:rsidRPr="005C5184">
        <w:rPr>
          <w:rFonts w:ascii="Times New Roman" w:hAnsi="Times New Roman" w:cs="Times New Roman"/>
          <w:sz w:val="22"/>
          <w:szCs w:val="22"/>
        </w:rPr>
        <w:t xml:space="preserve"> by the observation that inflation targeting (IT) has emerged as a prevalent strategy among numerous central banks globally, with the objective of </w:t>
      </w:r>
      <w:proofErr w:type="spellStart"/>
      <w:r w:rsidR="005A7E07">
        <w:rPr>
          <w:rFonts w:ascii="Times New Roman" w:hAnsi="Times New Roman" w:cs="Times New Roman"/>
          <w:sz w:val="22"/>
          <w:szCs w:val="22"/>
        </w:rPr>
        <w:t>stabilising</w:t>
      </w:r>
      <w:proofErr w:type="spellEnd"/>
      <w:r w:rsidRPr="005C5184">
        <w:rPr>
          <w:rFonts w:ascii="Times New Roman" w:hAnsi="Times New Roman" w:cs="Times New Roman"/>
          <w:sz w:val="22"/>
          <w:szCs w:val="22"/>
        </w:rPr>
        <w:t xml:space="preserve"> prices and managing public expectations concerning inflation. The study </w:t>
      </w:r>
      <w:proofErr w:type="spellStart"/>
      <w:r w:rsidR="005A7E07">
        <w:rPr>
          <w:rFonts w:ascii="Times New Roman" w:hAnsi="Times New Roman" w:cs="Times New Roman"/>
          <w:sz w:val="22"/>
          <w:szCs w:val="22"/>
        </w:rPr>
        <w:t>utilised</w:t>
      </w:r>
      <w:proofErr w:type="spellEnd"/>
      <w:r w:rsidRPr="005C5184">
        <w:rPr>
          <w:rFonts w:ascii="Times New Roman" w:hAnsi="Times New Roman" w:cs="Times New Roman"/>
          <w:sz w:val="22"/>
          <w:szCs w:val="22"/>
        </w:rPr>
        <w:t xml:space="preserve"> a vector-error correction (VEC) model to evaluate the influence of the inflation target, monetary policy rate (MPR), and real gross domestic product (GDP) as primary regressors on the performance of inflation targeting. </w:t>
      </w:r>
      <w:bookmarkStart w:id="33" w:name="_Hlk202344307"/>
      <w:r w:rsidR="00A1007F" w:rsidRPr="005C5184">
        <w:rPr>
          <w:rFonts w:ascii="Times New Roman" w:hAnsi="Times New Roman" w:cs="Times New Roman"/>
          <w:sz w:val="22"/>
          <w:szCs w:val="22"/>
        </w:rPr>
        <w:t>The findings reveal that the Bank of Zambia (</w:t>
      </w:r>
      <w:proofErr w:type="spellStart"/>
      <w:r w:rsidR="00A1007F" w:rsidRPr="005C5184">
        <w:rPr>
          <w:rFonts w:ascii="Times New Roman" w:hAnsi="Times New Roman" w:cs="Times New Roman"/>
          <w:sz w:val="22"/>
          <w:szCs w:val="22"/>
        </w:rPr>
        <w:t>BoZ</w:t>
      </w:r>
      <w:proofErr w:type="spellEnd"/>
      <w:r w:rsidR="00A1007F" w:rsidRPr="005C5184">
        <w:rPr>
          <w:rFonts w:ascii="Times New Roman" w:hAnsi="Times New Roman" w:cs="Times New Roman"/>
          <w:sz w:val="22"/>
          <w:szCs w:val="22"/>
        </w:rPr>
        <w:t>) did not achieve its inflation target to the tune of 87.5% with significant deviations occurring during times of fiscal expansion and external shocks.</w:t>
      </w:r>
      <w:r w:rsidR="00EF4AE2">
        <w:rPr>
          <w:rFonts w:ascii="Times New Roman" w:hAnsi="Times New Roman" w:cs="Times New Roman"/>
          <w:sz w:val="22"/>
          <w:szCs w:val="22"/>
        </w:rPr>
        <w:t xml:space="preserve"> </w:t>
      </w:r>
      <w:bookmarkEnd w:id="33"/>
      <w:r w:rsidR="009470E6">
        <w:rPr>
          <w:rFonts w:ascii="Times New Roman" w:hAnsi="Times New Roman" w:cs="Times New Roman"/>
          <w:sz w:val="22"/>
          <w:szCs w:val="22"/>
        </w:rPr>
        <w:t xml:space="preserve">This study shows that even positive economic growth can be inflationary when structural supply shocks exist. </w:t>
      </w:r>
      <w:r w:rsidR="009470E6" w:rsidRPr="005C5184">
        <w:rPr>
          <w:rFonts w:ascii="Times New Roman" w:hAnsi="Times New Roman" w:cs="Times New Roman"/>
          <w:sz w:val="22"/>
          <w:szCs w:val="22"/>
        </w:rPr>
        <w:t xml:space="preserve"> The widening of </w:t>
      </w:r>
      <w:r w:rsidR="009470E6">
        <w:rPr>
          <w:rFonts w:ascii="Times New Roman" w:hAnsi="Times New Roman" w:cs="Times New Roman"/>
          <w:sz w:val="22"/>
          <w:szCs w:val="22"/>
        </w:rPr>
        <w:t xml:space="preserve">the </w:t>
      </w:r>
      <w:r w:rsidR="009470E6" w:rsidRPr="005C5184">
        <w:rPr>
          <w:rFonts w:ascii="Times New Roman" w:hAnsi="Times New Roman" w:cs="Times New Roman"/>
          <w:sz w:val="22"/>
          <w:szCs w:val="22"/>
        </w:rPr>
        <w:t xml:space="preserve">inflation gap effect of the rising inflation seems counterintuitive, but it also reflects lagged policy responses to rising inflation in Zambia. This should be supplemented by communication of policy with adequate intent to shape and influence expectations. Expansionary growth strategies should be implemented in conjunction with inflation management and supply-side measures to mitigate the inflationary impacts of real economic growth. </w:t>
      </w:r>
      <w:r w:rsidR="009470E6">
        <w:rPr>
          <w:rFonts w:ascii="Times New Roman" w:hAnsi="Times New Roman" w:cs="Times New Roman"/>
          <w:sz w:val="22"/>
          <w:szCs w:val="22"/>
        </w:rPr>
        <w:t>To restore credibility and attract sustainable investment, reforms must go beyond the narrow scope of monetary tightening and</w:t>
      </w:r>
      <w:r w:rsidR="009470E6" w:rsidRPr="005C5184">
        <w:rPr>
          <w:rFonts w:ascii="Times New Roman" w:hAnsi="Times New Roman" w:cs="Times New Roman"/>
          <w:sz w:val="22"/>
          <w:szCs w:val="22"/>
        </w:rPr>
        <w:t xml:space="preserve"> adopt a more flexible and adaptive </w:t>
      </w:r>
      <w:r w:rsidR="009470E6">
        <w:rPr>
          <w:rFonts w:ascii="Times New Roman" w:hAnsi="Times New Roman" w:cs="Times New Roman"/>
          <w:sz w:val="22"/>
          <w:szCs w:val="22"/>
        </w:rPr>
        <w:t>IT</w:t>
      </w:r>
      <w:r w:rsidR="009470E6" w:rsidRPr="005C5184">
        <w:rPr>
          <w:rFonts w:ascii="Times New Roman" w:hAnsi="Times New Roman" w:cs="Times New Roman"/>
          <w:sz w:val="22"/>
          <w:szCs w:val="22"/>
        </w:rPr>
        <w:t xml:space="preserve"> strategy appropriate for Zambia</w:t>
      </w:r>
      <w:r w:rsidR="009470E6">
        <w:rPr>
          <w:rFonts w:ascii="Times New Roman" w:hAnsi="Times New Roman" w:cs="Times New Roman"/>
          <w:sz w:val="22"/>
          <w:szCs w:val="22"/>
        </w:rPr>
        <w:t xml:space="preserve"> and other similar developing economies.</w:t>
      </w:r>
      <w:r w:rsidR="009470E6" w:rsidRPr="005C5184">
        <w:rPr>
          <w:rFonts w:ascii="Times New Roman" w:hAnsi="Times New Roman" w:cs="Times New Roman"/>
          <w:sz w:val="22"/>
          <w:szCs w:val="22"/>
        </w:rPr>
        <w:t xml:space="preserve"> </w:t>
      </w:r>
    </w:p>
    <w:p w14:paraId="0DEA12EA" w14:textId="1CA8DAE8" w:rsidR="002475D8" w:rsidRPr="005C5184" w:rsidRDefault="009470E6" w:rsidP="00563121">
      <w:pPr>
        <w:pStyle w:val="FootnoteText"/>
        <w:spacing w:line="276" w:lineRule="auto"/>
        <w:ind w:firstLine="720"/>
        <w:jc w:val="both"/>
        <w:rPr>
          <w:rFonts w:ascii="Times New Roman" w:hAnsi="Times New Roman" w:cs="Times New Roman"/>
        </w:rPr>
      </w:pPr>
      <w:r w:rsidRPr="005C5184">
        <w:rPr>
          <w:rFonts w:ascii="Times New Roman" w:hAnsi="Times New Roman" w:cs="Times New Roman"/>
          <w:sz w:val="22"/>
          <w:szCs w:val="22"/>
        </w:rPr>
        <w:t xml:space="preserve"> </w:t>
      </w:r>
      <w:r w:rsidRPr="00266F50">
        <w:rPr>
          <w:rFonts w:ascii="Times New Roman" w:hAnsi="Times New Roman" w:cs="Times New Roman"/>
          <w:sz w:val="22"/>
          <w:szCs w:val="22"/>
          <w:highlight w:val="yellow"/>
        </w:rPr>
        <w:t>The study recommends embracing integrated, flexible, recalibrated macroeconomic strategies that align monetary, fiscal and structural policies for long-term stability. Adjustments in IT should be made cautiously, as raising inflation targets could also anchor higher expectations if not supported by fundamentals</w:t>
      </w:r>
      <w:bookmarkStart w:id="34" w:name="_Hlk208131603"/>
      <w:r w:rsidRPr="00266F50">
        <w:rPr>
          <w:rFonts w:ascii="Times New Roman" w:hAnsi="Times New Roman" w:cs="Times New Roman"/>
          <w:sz w:val="22"/>
          <w:szCs w:val="22"/>
          <w:highlight w:val="yellow"/>
        </w:rPr>
        <w:t>. Academically, the study contributes by situating IT not only as a monetary tool but also as a determinant of investment climate and macro-financial stability in developing economies. This dual lens makes the findings highly relevant for policymakers and scholars in examining IT in similar contexts.</w:t>
      </w:r>
    </w:p>
    <w:bookmarkEnd w:id="34"/>
    <w:p w14:paraId="04DCCB93" w14:textId="77777777" w:rsidR="00BD2C2E" w:rsidRDefault="00BD2C2E" w:rsidP="00ED23CF">
      <w:pPr>
        <w:rPr>
          <w:rFonts w:ascii="Times New Roman" w:hAnsi="Times New Roman" w:cs="Times New Roman"/>
          <w:b/>
          <w:bCs/>
          <w:sz w:val="24"/>
          <w:szCs w:val="24"/>
          <w:highlight w:val="yellow"/>
        </w:rPr>
      </w:pPr>
    </w:p>
    <w:p w14:paraId="6D18115D" w14:textId="53B6A06F" w:rsidR="007510D9" w:rsidRPr="00FB702B" w:rsidRDefault="007510D9" w:rsidP="00ED23CF">
      <w:pPr>
        <w:rPr>
          <w:rFonts w:ascii="Times New Roman" w:hAnsi="Times New Roman" w:cs="Times New Roman"/>
          <w:b/>
          <w:bCs/>
          <w:sz w:val="20"/>
          <w:szCs w:val="20"/>
        </w:rPr>
      </w:pPr>
      <w:r w:rsidRPr="00FB702B">
        <w:rPr>
          <w:rFonts w:ascii="Times New Roman" w:hAnsi="Times New Roman" w:cs="Times New Roman"/>
          <w:b/>
          <w:bCs/>
          <w:sz w:val="20"/>
          <w:szCs w:val="20"/>
        </w:rPr>
        <w:t>ACKNOWLEDGEMENT</w:t>
      </w:r>
    </w:p>
    <w:p w14:paraId="0C27A76C" w14:textId="11BFC0DD" w:rsidR="007510D9" w:rsidRPr="00FB702B" w:rsidRDefault="007510D9" w:rsidP="007510D9">
      <w:pPr>
        <w:jc w:val="both"/>
        <w:rPr>
          <w:rFonts w:ascii="Times New Roman" w:hAnsi="Times New Roman" w:cs="Times New Roman"/>
          <w:b/>
          <w:bCs/>
          <w:sz w:val="20"/>
          <w:szCs w:val="20"/>
        </w:rPr>
      </w:pPr>
      <w:r w:rsidRPr="00FB702B">
        <w:rPr>
          <w:rFonts w:ascii="Times New Roman" w:hAnsi="Times New Roman" w:cs="Times New Roman"/>
          <w:sz w:val="20"/>
          <w:szCs w:val="20"/>
        </w:rPr>
        <w:lastRenderedPageBreak/>
        <w:t>The authors gratefully acknowledge the valuable feedback and rigorous critique provided by four anonymous reviewers. Their detailed comments and constructive suggestions have greatly enhanced the scholarly quality and clarity of this work</w:t>
      </w:r>
      <w:r w:rsidRPr="00FB702B">
        <w:rPr>
          <w:rFonts w:ascii="Times New Roman" w:hAnsi="Times New Roman" w:cs="Times New Roman"/>
          <w:b/>
          <w:bCs/>
          <w:sz w:val="20"/>
          <w:szCs w:val="20"/>
        </w:rPr>
        <w:t>.</w:t>
      </w:r>
    </w:p>
    <w:p w14:paraId="26BB3910" w14:textId="77777777" w:rsidR="00FB702B" w:rsidRDefault="00FB702B" w:rsidP="00ED23CF">
      <w:pPr>
        <w:rPr>
          <w:rFonts w:ascii="Times New Roman" w:hAnsi="Times New Roman" w:cs="Times New Roman"/>
          <w:b/>
          <w:bCs/>
          <w:sz w:val="20"/>
          <w:szCs w:val="20"/>
          <w:highlight w:val="yellow"/>
        </w:rPr>
      </w:pPr>
    </w:p>
    <w:p w14:paraId="510FFBAF" w14:textId="7BC3EF2B" w:rsidR="00ED23CF" w:rsidRPr="00FB702B" w:rsidRDefault="00BD2C2E" w:rsidP="00ED23CF">
      <w:pPr>
        <w:rPr>
          <w:rFonts w:ascii="Times New Roman" w:hAnsi="Times New Roman" w:cs="Times New Roman"/>
          <w:b/>
          <w:bCs/>
          <w:sz w:val="20"/>
          <w:szCs w:val="20"/>
          <w:highlight w:val="yellow"/>
        </w:rPr>
      </w:pPr>
      <w:r w:rsidRPr="00FB702B">
        <w:rPr>
          <w:rFonts w:ascii="Times New Roman" w:hAnsi="Times New Roman" w:cs="Times New Roman"/>
          <w:b/>
          <w:bCs/>
          <w:sz w:val="20"/>
          <w:szCs w:val="20"/>
          <w:highlight w:val="yellow"/>
        </w:rPr>
        <w:t>DISCLAIMER (ARTIFICIAL INTELLIGENCE)</w:t>
      </w:r>
    </w:p>
    <w:p w14:paraId="399C6CDF" w14:textId="75C17651" w:rsidR="00ED23CF" w:rsidRPr="00FB702B" w:rsidRDefault="00BD2C2E" w:rsidP="00BD2C2E">
      <w:pPr>
        <w:jc w:val="both"/>
        <w:rPr>
          <w:rFonts w:ascii="Times New Roman" w:hAnsi="Times New Roman" w:cs="Times New Roman"/>
          <w:sz w:val="20"/>
          <w:szCs w:val="20"/>
          <w:highlight w:val="yellow"/>
        </w:rPr>
      </w:pPr>
      <w:r w:rsidRPr="00FB702B">
        <w:rPr>
          <w:rFonts w:ascii="Times New Roman" w:hAnsi="Times New Roman" w:cs="Times New Roman"/>
          <w:sz w:val="20"/>
          <w:szCs w:val="20"/>
          <w:highlight w:val="yellow"/>
        </w:rPr>
        <w:t xml:space="preserve"> The A</w:t>
      </w:r>
      <w:r w:rsidR="00ED23CF" w:rsidRPr="00FB702B">
        <w:rPr>
          <w:rFonts w:ascii="Times New Roman" w:hAnsi="Times New Roman" w:cs="Times New Roman"/>
          <w:sz w:val="20"/>
          <w:szCs w:val="20"/>
          <w:highlight w:val="yellow"/>
        </w:rPr>
        <w:t>uthor</w:t>
      </w:r>
      <w:r w:rsidRPr="00FB702B">
        <w:rPr>
          <w:rFonts w:ascii="Times New Roman" w:hAnsi="Times New Roman" w:cs="Times New Roman"/>
          <w:sz w:val="20"/>
          <w:szCs w:val="20"/>
          <w:highlight w:val="yellow"/>
        </w:rPr>
        <w:t>s</w:t>
      </w:r>
      <w:r w:rsidR="00ED23CF" w:rsidRPr="00FB702B">
        <w:rPr>
          <w:rFonts w:ascii="Times New Roman" w:hAnsi="Times New Roman" w:cs="Times New Roman"/>
          <w:sz w:val="20"/>
          <w:szCs w:val="20"/>
          <w:highlight w:val="yellow"/>
        </w:rPr>
        <w:t xml:space="preserve"> hereby declare that NO generative AI technologies such as Large Language Models (ChatGPT, COPILOT, etc.) and text-to-image generators have been used during the writing or editing of this manuscript. </w:t>
      </w:r>
    </w:p>
    <w:p w14:paraId="410977C9" w14:textId="77777777" w:rsidR="00ED23CF" w:rsidRDefault="00ED23CF" w:rsidP="00ED23CF">
      <w:pPr>
        <w:rPr>
          <w:highlight w:val="yellow"/>
        </w:rPr>
      </w:pPr>
    </w:p>
    <w:p w14:paraId="4B7464CD" w14:textId="5F028D45" w:rsidR="00BD2C2E" w:rsidRPr="00FB702B" w:rsidRDefault="00BD2C2E" w:rsidP="00ED23CF">
      <w:pPr>
        <w:rPr>
          <w:rFonts w:ascii="Times New Roman" w:hAnsi="Times New Roman" w:cs="Times New Roman"/>
          <w:b/>
          <w:bCs/>
          <w:sz w:val="20"/>
          <w:szCs w:val="20"/>
        </w:rPr>
      </w:pPr>
      <w:r w:rsidRPr="00FB702B">
        <w:rPr>
          <w:rFonts w:ascii="Times New Roman" w:hAnsi="Times New Roman" w:cs="Times New Roman"/>
          <w:b/>
          <w:bCs/>
          <w:sz w:val="20"/>
          <w:szCs w:val="20"/>
        </w:rPr>
        <w:t>DECLARATION OF COMPETING INTEREST</w:t>
      </w:r>
    </w:p>
    <w:p w14:paraId="797E900B" w14:textId="3F5817DA" w:rsidR="00004641" w:rsidRPr="00FB702B" w:rsidRDefault="00BD2C2E" w:rsidP="000C62DD">
      <w:pPr>
        <w:spacing w:line="276" w:lineRule="auto"/>
        <w:jc w:val="both"/>
        <w:rPr>
          <w:rFonts w:ascii="Times New Roman" w:hAnsi="Times New Roman" w:cs="Times New Roman"/>
        </w:rPr>
      </w:pPr>
      <w:r w:rsidRPr="00FB702B">
        <w:rPr>
          <w:rFonts w:ascii="Times New Roman" w:hAnsi="Times New Roman" w:cs="Times New Roman"/>
        </w:rPr>
        <w:t xml:space="preserve">The authors declare that there is no known financial or non-financial conflict to declare. Additionally, the authors declare that this study was </w:t>
      </w:r>
      <w:r w:rsidR="00075094" w:rsidRPr="00FB702B">
        <w:rPr>
          <w:rFonts w:ascii="Times New Roman" w:hAnsi="Times New Roman" w:cs="Times New Roman"/>
        </w:rPr>
        <w:t>supported through the personal efforts of the authors.</w:t>
      </w:r>
    </w:p>
    <w:p w14:paraId="4E5E5D2F" w14:textId="4115F0E2" w:rsidR="00C37D06" w:rsidRPr="00004641" w:rsidRDefault="00C37D06" w:rsidP="00FB097A">
      <w:pPr>
        <w:jc w:val="both"/>
        <w:rPr>
          <w:rFonts w:ascii="Times New Roman" w:hAnsi="Times New Roman" w:cs="Times New Roman"/>
          <w:b/>
          <w:bCs/>
          <w:sz w:val="20"/>
          <w:szCs w:val="20"/>
        </w:rPr>
      </w:pPr>
      <w:r w:rsidRPr="00004641">
        <w:rPr>
          <w:rFonts w:ascii="Times New Roman" w:hAnsi="Times New Roman" w:cs="Times New Roman"/>
          <w:b/>
          <w:bCs/>
          <w:sz w:val="20"/>
          <w:szCs w:val="20"/>
        </w:rPr>
        <w:t>REFERENCES</w:t>
      </w:r>
    </w:p>
    <w:p w14:paraId="223CD8CD"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Ball, L. (1999). </w:t>
      </w:r>
      <w:r w:rsidRPr="00004641">
        <w:rPr>
          <w:rFonts w:ascii="Times New Roman" w:eastAsia="Times New Roman" w:hAnsi="Times New Roman" w:cs="Times New Roman"/>
          <w:i/>
          <w:iCs/>
          <w:kern w:val="0"/>
          <w:sz w:val="20"/>
          <w:szCs w:val="20"/>
          <w14:ligatures w14:val="none"/>
        </w:rPr>
        <w:t>Policy rules for open economies</w:t>
      </w:r>
      <w:r w:rsidRPr="00004641">
        <w:rPr>
          <w:rFonts w:ascii="Times New Roman" w:eastAsia="Times New Roman" w:hAnsi="Times New Roman" w:cs="Times New Roman"/>
          <w:kern w:val="0"/>
          <w:sz w:val="20"/>
          <w:szCs w:val="20"/>
          <w14:ligatures w14:val="none"/>
        </w:rPr>
        <w:t xml:space="preserve">. In J. B. Taylor (Ed.), </w:t>
      </w:r>
      <w:r w:rsidRPr="00004641">
        <w:rPr>
          <w:rFonts w:ascii="Times New Roman" w:eastAsia="Times New Roman" w:hAnsi="Times New Roman" w:cs="Times New Roman"/>
          <w:i/>
          <w:iCs/>
          <w:kern w:val="0"/>
          <w:sz w:val="20"/>
          <w:szCs w:val="20"/>
          <w14:ligatures w14:val="none"/>
        </w:rPr>
        <w:t>Monetary policy rules</w:t>
      </w:r>
      <w:r w:rsidRPr="00004641">
        <w:rPr>
          <w:rFonts w:ascii="Times New Roman" w:eastAsia="Times New Roman" w:hAnsi="Times New Roman" w:cs="Times New Roman"/>
          <w:kern w:val="0"/>
          <w:sz w:val="20"/>
          <w:szCs w:val="20"/>
          <w14:ligatures w14:val="none"/>
        </w:rPr>
        <w:t xml:space="preserve"> (pp. 127–156). University of Chicago Press.</w:t>
      </w:r>
      <w:r w:rsidR="0029625A" w:rsidRPr="00004641">
        <w:rPr>
          <w:rFonts w:ascii="Times New Roman" w:eastAsia="Times New Roman" w:hAnsi="Times New Roman" w:cs="Times New Roman"/>
          <w:kern w:val="0"/>
          <w:sz w:val="20"/>
          <w:szCs w:val="20"/>
          <w14:ligatures w14:val="none"/>
        </w:rPr>
        <w:t xml:space="preserve"> </w:t>
      </w:r>
    </w:p>
    <w:p w14:paraId="381EA7DD" w14:textId="77777777" w:rsidR="0029625A" w:rsidRPr="00004641" w:rsidRDefault="00F849D7" w:rsidP="0029625A">
      <w:pPr>
        <w:spacing w:before="100" w:beforeAutospacing="1" w:after="100" w:afterAutospacing="1" w:line="240" w:lineRule="auto"/>
        <w:ind w:hanging="426"/>
        <w:rPr>
          <w:rFonts w:ascii="Times New Roman" w:eastAsia="Times New Roman" w:hAnsi="Times New Roman" w:cs="Times New Roman"/>
          <w:kern w:val="0"/>
          <w:sz w:val="20"/>
          <w:szCs w:val="20"/>
          <w:shd w:val="clear" w:color="auto" w:fill="FFFFFF"/>
          <w14:ligatures w14:val="none"/>
        </w:rPr>
      </w:pPr>
      <w:r w:rsidRPr="00004641">
        <w:rPr>
          <w:rFonts w:ascii="Times New Roman" w:hAnsi="Times New Roman" w:cs="Times New Roman"/>
          <w:sz w:val="20"/>
          <w:szCs w:val="20"/>
        </w:rPr>
        <w:t xml:space="preserve">Banda, K., &amp; Mphande, T. (2023). </w:t>
      </w:r>
      <w:r w:rsidRPr="00004641">
        <w:rPr>
          <w:rStyle w:val="Emphasis"/>
          <w:rFonts w:ascii="Times New Roman" w:hAnsi="Times New Roman" w:cs="Times New Roman"/>
          <w:sz w:val="20"/>
          <w:szCs w:val="20"/>
        </w:rPr>
        <w:t xml:space="preserve">A VAR analysis of inflation anchoring and monetary policy responsiveness in Zambia post-2022 </w:t>
      </w:r>
      <w:proofErr w:type="gramStart"/>
      <w:r w:rsidRPr="00004641">
        <w:rPr>
          <w:rStyle w:val="Emphasis"/>
          <w:rFonts w:ascii="Times New Roman" w:hAnsi="Times New Roman" w:cs="Times New Roman"/>
          <w:sz w:val="20"/>
          <w:szCs w:val="20"/>
        </w:rPr>
        <w:t>reforms</w:t>
      </w:r>
      <w:r w:rsidRPr="00004641">
        <w:rPr>
          <w:rFonts w:ascii="Times New Roman" w:hAnsi="Times New Roman" w:cs="Times New Roman"/>
          <w:sz w:val="20"/>
          <w:szCs w:val="20"/>
        </w:rPr>
        <w:t xml:space="preserve"> .</w:t>
      </w:r>
      <w:proofErr w:type="gramEnd"/>
      <w:r w:rsidRPr="00004641">
        <w:rPr>
          <w:rFonts w:ascii="Times New Roman" w:hAnsi="Times New Roman" w:cs="Times New Roman"/>
          <w:sz w:val="20"/>
          <w:szCs w:val="20"/>
        </w:rPr>
        <w:t xml:space="preserve"> Bank of Zambia.</w:t>
      </w:r>
      <w:r w:rsidRPr="00004641">
        <w:rPr>
          <w:rFonts w:ascii="Times New Roman" w:eastAsia="Times New Roman" w:hAnsi="Times New Roman" w:cs="Times New Roman"/>
          <w:kern w:val="0"/>
          <w:sz w:val="20"/>
          <w:szCs w:val="20"/>
          <w:shd w:val="clear" w:color="auto" w:fill="FFFFFF"/>
          <w14:ligatures w14:val="none"/>
        </w:rPr>
        <w:t xml:space="preserve"> Monetary Policy Committee Statement November 2023</w:t>
      </w:r>
      <w:r w:rsidR="0029625A" w:rsidRPr="00004641">
        <w:rPr>
          <w:rFonts w:ascii="Times New Roman" w:eastAsia="Times New Roman" w:hAnsi="Times New Roman" w:cs="Times New Roman"/>
          <w:kern w:val="0"/>
          <w:sz w:val="20"/>
          <w:szCs w:val="20"/>
          <w:shd w:val="clear" w:color="auto" w:fill="FFFFFF"/>
          <w14:ligatures w14:val="none"/>
        </w:rPr>
        <w:t xml:space="preserve"> </w:t>
      </w:r>
    </w:p>
    <w:p w14:paraId="66F964BC" w14:textId="77777777" w:rsidR="0029625A" w:rsidRPr="00004641" w:rsidRDefault="005B08BA" w:rsidP="0029625A">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Bank of Zambia. (2014-2024). Monetary Policy Statements. </w:t>
      </w:r>
      <w:hyperlink r:id="rId9" w:history="1">
        <w:r w:rsidRPr="00004641">
          <w:rPr>
            <w:rStyle w:val="Hyperlink"/>
            <w:rFonts w:ascii="Times New Roman" w:hAnsi="Times New Roman" w:cs="Times New Roman"/>
            <w:sz w:val="20"/>
            <w:szCs w:val="20"/>
          </w:rPr>
          <w:t>https://www.boz.zm</w:t>
        </w:r>
      </w:hyperlink>
      <w:r w:rsidR="0029625A" w:rsidRPr="00004641">
        <w:rPr>
          <w:rFonts w:ascii="Times New Roman" w:hAnsi="Times New Roman" w:cs="Times New Roman"/>
          <w:sz w:val="20"/>
          <w:szCs w:val="20"/>
        </w:rPr>
        <w:t xml:space="preserve"> </w:t>
      </w:r>
    </w:p>
    <w:p w14:paraId="54355973"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Barro, R. J., &amp; Gordon, D. B. (1983). A positive theory of monetary policy in a natural rate model. </w:t>
      </w:r>
      <w:r w:rsidRPr="00004641">
        <w:rPr>
          <w:rFonts w:ascii="Times New Roman" w:eastAsia="Times New Roman" w:hAnsi="Times New Roman" w:cs="Times New Roman"/>
          <w:i/>
          <w:iCs/>
          <w:kern w:val="0"/>
          <w:sz w:val="20"/>
          <w:szCs w:val="20"/>
          <w14:ligatures w14:val="none"/>
        </w:rPr>
        <w:t>Journal of Political Economy, 91</w:t>
      </w:r>
      <w:r w:rsidRPr="00004641">
        <w:rPr>
          <w:rFonts w:ascii="Times New Roman" w:eastAsia="Times New Roman" w:hAnsi="Times New Roman" w:cs="Times New Roman"/>
          <w:kern w:val="0"/>
          <w:sz w:val="20"/>
          <w:szCs w:val="20"/>
          <w14:ligatures w14:val="none"/>
        </w:rPr>
        <w:t xml:space="preserve">(4), 589–610. </w:t>
      </w:r>
      <w:hyperlink r:id="rId10" w:history="1">
        <w:r w:rsidR="0029625A" w:rsidRPr="00004641">
          <w:rPr>
            <w:rStyle w:val="Hyperlink"/>
            <w:rFonts w:ascii="Times New Roman" w:eastAsia="Times New Roman" w:hAnsi="Times New Roman" w:cs="Times New Roman"/>
            <w:kern w:val="0"/>
            <w:sz w:val="20"/>
            <w:szCs w:val="20"/>
            <w14:ligatures w14:val="none"/>
          </w:rPr>
          <w:t>https://doi.org/10.1086/261167</w:t>
        </w:r>
      </w:hyperlink>
      <w:r w:rsidR="0029625A" w:rsidRPr="00004641">
        <w:rPr>
          <w:rFonts w:ascii="Times New Roman" w:eastAsia="Times New Roman" w:hAnsi="Times New Roman" w:cs="Times New Roman"/>
          <w:kern w:val="0"/>
          <w:sz w:val="20"/>
          <w:szCs w:val="20"/>
          <w14:ligatures w14:val="none"/>
        </w:rPr>
        <w:t xml:space="preserve"> </w:t>
      </w:r>
    </w:p>
    <w:p w14:paraId="3409C483" w14:textId="77777777" w:rsidR="009645D2" w:rsidRDefault="00C37D06" w:rsidP="0004477D">
      <w:pPr>
        <w:spacing w:before="100" w:beforeAutospacing="1" w:after="100" w:afterAutospacing="1" w:line="240" w:lineRule="auto"/>
        <w:ind w:hanging="426"/>
        <w:rPr>
          <w:rFonts w:ascii="Times New Roman" w:eastAsia="Times New Roman" w:hAnsi="Times New Roman" w:cs="Times New Roman"/>
          <w:kern w:val="0"/>
          <w:sz w:val="24"/>
          <w:szCs w:val="24"/>
          <w:lang/>
          <w14:ligatures w14:val="none"/>
        </w:rPr>
      </w:pPr>
      <w:proofErr w:type="spellStart"/>
      <w:r w:rsidRPr="00004641">
        <w:rPr>
          <w:rFonts w:ascii="Times New Roman" w:eastAsia="Times New Roman" w:hAnsi="Times New Roman" w:cs="Times New Roman"/>
          <w:kern w:val="0"/>
          <w:sz w:val="20"/>
          <w:szCs w:val="20"/>
          <w14:ligatures w14:val="none"/>
        </w:rPr>
        <w:t>Batini</w:t>
      </w:r>
      <w:proofErr w:type="spellEnd"/>
      <w:r w:rsidRPr="00004641">
        <w:rPr>
          <w:rFonts w:ascii="Times New Roman" w:eastAsia="Times New Roman" w:hAnsi="Times New Roman" w:cs="Times New Roman"/>
          <w:kern w:val="0"/>
          <w:sz w:val="20"/>
          <w:szCs w:val="20"/>
          <w14:ligatures w14:val="none"/>
        </w:rPr>
        <w:t xml:space="preserve">, N., &amp; Nelson, E. (2001). Optimal horizons for inflation targeting. </w:t>
      </w:r>
      <w:r w:rsidRPr="00004641">
        <w:rPr>
          <w:rFonts w:ascii="Times New Roman" w:eastAsia="Times New Roman" w:hAnsi="Times New Roman" w:cs="Times New Roman"/>
          <w:i/>
          <w:iCs/>
          <w:kern w:val="0"/>
          <w:sz w:val="20"/>
          <w:szCs w:val="20"/>
          <w14:ligatures w14:val="none"/>
        </w:rPr>
        <w:t>Journal of Economic Dynamics and Control, 25</w:t>
      </w:r>
      <w:r w:rsidRPr="00004641">
        <w:rPr>
          <w:rFonts w:ascii="Times New Roman" w:eastAsia="Times New Roman" w:hAnsi="Times New Roman" w:cs="Times New Roman"/>
          <w:kern w:val="0"/>
          <w:sz w:val="20"/>
          <w:szCs w:val="20"/>
          <w14:ligatures w14:val="none"/>
        </w:rPr>
        <w:t xml:space="preserve">(6–7), 891–910. </w:t>
      </w:r>
      <w:hyperlink r:id="rId11" w:history="1">
        <w:r w:rsidR="0029625A" w:rsidRPr="00004641">
          <w:rPr>
            <w:rStyle w:val="Hyperlink"/>
            <w:rFonts w:ascii="Times New Roman" w:eastAsia="Times New Roman" w:hAnsi="Times New Roman" w:cs="Times New Roman"/>
            <w:kern w:val="0"/>
            <w:sz w:val="20"/>
            <w:szCs w:val="20"/>
            <w14:ligatures w14:val="none"/>
          </w:rPr>
          <w:t>https://doi.org/10.1016/S0165-1889(00)00042-1</w:t>
        </w:r>
      </w:hyperlink>
      <w:r w:rsidR="009645D2" w:rsidRPr="009645D2">
        <w:rPr>
          <w:rFonts w:ascii="Times New Roman" w:eastAsia="Times New Roman" w:hAnsi="Times New Roman" w:cs="Times New Roman"/>
          <w:kern w:val="0"/>
          <w:sz w:val="24"/>
          <w:szCs w:val="24"/>
          <w:lang/>
          <w14:ligatures w14:val="none"/>
        </w:rPr>
        <w:t xml:space="preserve"> </w:t>
      </w:r>
    </w:p>
    <w:p w14:paraId="421DE5A6" w14:textId="2DF1E5CD" w:rsidR="0004477D" w:rsidRDefault="009645D2" w:rsidP="0004477D">
      <w:pPr>
        <w:spacing w:before="100" w:beforeAutospacing="1" w:after="100" w:afterAutospacing="1" w:line="240" w:lineRule="auto"/>
        <w:ind w:hanging="426"/>
      </w:pPr>
      <w:r w:rsidRPr="009645D2">
        <w:rPr>
          <w:rFonts w:ascii="Times New Roman" w:eastAsia="Times New Roman" w:hAnsi="Times New Roman" w:cs="Times New Roman"/>
          <w:kern w:val="0"/>
          <w:sz w:val="24"/>
          <w:szCs w:val="24"/>
          <w:lang/>
          <w14:ligatures w14:val="none"/>
        </w:rPr>
        <w:t xml:space="preserve">Blanchard, O., &amp; Johnson, D. R. (2013). </w:t>
      </w:r>
      <w:r w:rsidRPr="009645D2">
        <w:rPr>
          <w:rFonts w:ascii="Times New Roman" w:eastAsia="Times New Roman" w:hAnsi="Times New Roman" w:cs="Times New Roman"/>
          <w:i/>
          <w:iCs/>
          <w:kern w:val="0"/>
          <w:sz w:val="24"/>
          <w:szCs w:val="24"/>
          <w:lang/>
          <w14:ligatures w14:val="none"/>
        </w:rPr>
        <w:t>Macroeconomics</w:t>
      </w:r>
      <w:r w:rsidRPr="009645D2">
        <w:rPr>
          <w:rFonts w:ascii="Times New Roman" w:eastAsia="Times New Roman" w:hAnsi="Times New Roman" w:cs="Times New Roman"/>
          <w:kern w:val="0"/>
          <w:sz w:val="24"/>
          <w:szCs w:val="24"/>
          <w:lang/>
          <w14:ligatures w14:val="none"/>
        </w:rPr>
        <w:t xml:space="preserve"> (6th ed.). Pearson</w:t>
      </w:r>
      <w:r w:rsidR="0004477D">
        <w:t xml:space="preserve"> </w:t>
      </w:r>
      <w:r>
        <w:t xml:space="preserve"> </w:t>
      </w:r>
    </w:p>
    <w:p w14:paraId="38102F69"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Bernanke, B. S., Laubach, T., Mishkin, F. S., &amp; Posen, A. S. (1999). </w:t>
      </w:r>
      <w:r w:rsidRPr="00004641">
        <w:rPr>
          <w:rFonts w:ascii="Times New Roman" w:eastAsia="Times New Roman" w:hAnsi="Times New Roman" w:cs="Times New Roman"/>
          <w:i/>
          <w:iCs/>
          <w:kern w:val="0"/>
          <w:sz w:val="20"/>
          <w:szCs w:val="20"/>
          <w14:ligatures w14:val="none"/>
        </w:rPr>
        <w:t>Inflation targeting: Lessons from the international experience</w:t>
      </w:r>
      <w:r w:rsidRPr="00004641">
        <w:rPr>
          <w:rFonts w:ascii="Times New Roman" w:eastAsia="Times New Roman" w:hAnsi="Times New Roman" w:cs="Times New Roman"/>
          <w:kern w:val="0"/>
          <w:sz w:val="20"/>
          <w:szCs w:val="20"/>
          <w14:ligatures w14:val="none"/>
        </w:rPr>
        <w:t>. Princeton University Press.</w:t>
      </w:r>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1B684BF7" w14:textId="5FF7A336" w:rsidR="0004477D" w:rsidRDefault="0004477D" w:rsidP="0004477D">
      <w:pPr>
        <w:spacing w:before="100" w:beforeAutospacing="1" w:after="100" w:afterAutospacing="1" w:line="240" w:lineRule="auto"/>
        <w:ind w:hanging="426"/>
        <w:rPr>
          <w:rFonts w:ascii="Times New Roman" w:hAnsi="Times New Roman" w:cs="Times New Roman"/>
          <w:sz w:val="24"/>
          <w:szCs w:val="24"/>
        </w:rPr>
      </w:pPr>
      <w:r w:rsidRPr="0004477D">
        <w:rPr>
          <w:rFonts w:ascii="Times New Roman" w:hAnsi="Times New Roman" w:cs="Times New Roman"/>
          <w:sz w:val="24"/>
          <w:szCs w:val="24"/>
        </w:rPr>
        <w:t xml:space="preserve">Bernanke, B. S., &amp; Mishkin, F. S. (1997). Inflation targeting: A new framework for monetary policy? </w:t>
      </w:r>
      <w:r w:rsidRPr="0004477D">
        <w:rPr>
          <w:rStyle w:val="Emphasis"/>
          <w:rFonts w:ascii="Times New Roman" w:hAnsi="Times New Roman" w:cs="Times New Roman"/>
          <w:sz w:val="24"/>
          <w:szCs w:val="24"/>
        </w:rPr>
        <w:t>Journal of Economic Perspectives, 11</w:t>
      </w:r>
      <w:r w:rsidRPr="0004477D">
        <w:rPr>
          <w:rFonts w:ascii="Times New Roman" w:hAnsi="Times New Roman" w:cs="Times New Roman"/>
          <w:sz w:val="24"/>
          <w:szCs w:val="24"/>
        </w:rPr>
        <w:t xml:space="preserve">(2), 97–116. </w:t>
      </w:r>
      <w:hyperlink r:id="rId12" w:history="1">
        <w:r w:rsidRPr="008C5CF5">
          <w:rPr>
            <w:rStyle w:val="Hyperlink"/>
            <w:rFonts w:ascii="Times New Roman" w:hAnsi="Times New Roman" w:cs="Times New Roman"/>
            <w:sz w:val="24"/>
            <w:szCs w:val="24"/>
          </w:rPr>
          <w:t>https://doi.org/10.1257/jep.11.2.97</w:t>
        </w:r>
      </w:hyperlink>
      <w:r>
        <w:rPr>
          <w:rFonts w:ascii="Times New Roman" w:hAnsi="Times New Roman" w:cs="Times New Roman"/>
          <w:sz w:val="24"/>
          <w:szCs w:val="24"/>
        </w:rPr>
        <w:t xml:space="preserve"> </w:t>
      </w:r>
    </w:p>
    <w:p w14:paraId="790C5B3C" w14:textId="09C9A483" w:rsidR="0029625A" w:rsidRPr="00004641" w:rsidRDefault="0004477D"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Pr>
          <w:rFonts w:ascii="Times New Roman" w:hAnsi="Times New Roman" w:cs="Times New Roman"/>
          <w:sz w:val="24"/>
          <w:szCs w:val="24"/>
        </w:rPr>
        <w:t xml:space="preserve"> </w:t>
      </w:r>
      <w:r w:rsidR="00C37D06" w:rsidRPr="00004641">
        <w:rPr>
          <w:rFonts w:ascii="Times New Roman" w:eastAsia="Times New Roman" w:hAnsi="Times New Roman" w:cs="Times New Roman"/>
          <w:kern w:val="0"/>
          <w:sz w:val="20"/>
          <w:szCs w:val="20"/>
          <w14:ligatures w14:val="none"/>
        </w:rPr>
        <w:t xml:space="preserve">Borio, C., &amp; Lowe, P. (2002). Asset prices, financial and monetary stability: Exploring the nexus. </w:t>
      </w:r>
      <w:r w:rsidR="00C37D06" w:rsidRPr="00004641">
        <w:rPr>
          <w:rFonts w:ascii="Times New Roman" w:eastAsia="Times New Roman" w:hAnsi="Times New Roman" w:cs="Times New Roman"/>
          <w:i/>
          <w:iCs/>
          <w:kern w:val="0"/>
          <w:sz w:val="20"/>
          <w:szCs w:val="20"/>
          <w14:ligatures w14:val="none"/>
        </w:rPr>
        <w:t>Bank for International Settlements Working Paper No. 114</w:t>
      </w:r>
      <w:r w:rsidR="00C37D06" w:rsidRPr="00004641">
        <w:rPr>
          <w:rFonts w:ascii="Times New Roman" w:eastAsia="Times New Roman" w:hAnsi="Times New Roman" w:cs="Times New Roman"/>
          <w:kern w:val="0"/>
          <w:sz w:val="20"/>
          <w:szCs w:val="20"/>
          <w14:ligatures w14:val="none"/>
        </w:rPr>
        <w:t xml:space="preserve">. </w:t>
      </w:r>
      <w:hyperlink r:id="rId13" w:history="1">
        <w:r w:rsidR="0029625A" w:rsidRPr="00004641">
          <w:rPr>
            <w:rStyle w:val="Hyperlink"/>
            <w:rFonts w:ascii="Times New Roman" w:eastAsia="Times New Roman" w:hAnsi="Times New Roman" w:cs="Times New Roman"/>
            <w:kern w:val="0"/>
            <w:sz w:val="20"/>
            <w:szCs w:val="20"/>
            <w14:ligatures w14:val="none"/>
          </w:rPr>
          <w:t>https://www.bis.org/publ/work114.htm</w:t>
        </w:r>
      </w:hyperlink>
      <w:r w:rsidR="0029625A" w:rsidRPr="00004641">
        <w:rPr>
          <w:rFonts w:ascii="Times New Roman" w:eastAsia="Times New Roman" w:hAnsi="Times New Roman" w:cs="Times New Roman"/>
          <w:kern w:val="0"/>
          <w:sz w:val="20"/>
          <w:szCs w:val="20"/>
          <w14:ligatures w14:val="none"/>
        </w:rPr>
        <w:t xml:space="preserve"> </w:t>
      </w:r>
    </w:p>
    <w:p w14:paraId="7EEFAF56" w14:textId="77777777" w:rsidR="0029625A" w:rsidRPr="00004641" w:rsidRDefault="00F849D7"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Bank of Zambia, </w:t>
      </w:r>
      <w:proofErr w:type="spellStart"/>
      <w:r w:rsidR="00C37D06" w:rsidRPr="00004641">
        <w:rPr>
          <w:rFonts w:ascii="Times New Roman" w:eastAsia="Times New Roman" w:hAnsi="Times New Roman" w:cs="Times New Roman"/>
          <w:kern w:val="0"/>
          <w:sz w:val="20"/>
          <w:szCs w:val="20"/>
          <w14:ligatures w14:val="none"/>
        </w:rPr>
        <w:t>BoZ</w:t>
      </w:r>
      <w:proofErr w:type="spellEnd"/>
      <w:r w:rsidR="00C37D06" w:rsidRPr="00004641">
        <w:rPr>
          <w:rFonts w:ascii="Times New Roman" w:eastAsia="Times New Roman" w:hAnsi="Times New Roman" w:cs="Times New Roman"/>
          <w:kern w:val="0"/>
          <w:sz w:val="20"/>
          <w:szCs w:val="20"/>
          <w14:ligatures w14:val="none"/>
        </w:rPr>
        <w:t xml:space="preserve"> Reports. (2015–2024). </w:t>
      </w:r>
      <w:r w:rsidR="00C37D06" w:rsidRPr="00004641">
        <w:rPr>
          <w:rFonts w:ascii="Times New Roman" w:eastAsia="Times New Roman" w:hAnsi="Times New Roman" w:cs="Times New Roman"/>
          <w:i/>
          <w:iCs/>
          <w:kern w:val="0"/>
          <w:sz w:val="20"/>
          <w:szCs w:val="20"/>
          <w14:ligatures w14:val="none"/>
        </w:rPr>
        <w:t>Annual economic reports</w:t>
      </w:r>
      <w:r w:rsidR="00C37D06" w:rsidRPr="00004641">
        <w:rPr>
          <w:rFonts w:ascii="Times New Roman" w:eastAsia="Times New Roman" w:hAnsi="Times New Roman" w:cs="Times New Roman"/>
          <w:kern w:val="0"/>
          <w:sz w:val="20"/>
          <w:szCs w:val="20"/>
          <w14:ligatures w14:val="none"/>
        </w:rPr>
        <w:t xml:space="preserve">. Bank of Zambia. </w:t>
      </w:r>
      <w:hyperlink r:id="rId14" w:tgtFrame="_new" w:history="1">
        <w:r w:rsidR="00C37D06" w:rsidRPr="00004641">
          <w:rPr>
            <w:rFonts w:ascii="Times New Roman" w:eastAsia="Times New Roman" w:hAnsi="Times New Roman" w:cs="Times New Roman"/>
            <w:color w:val="0000FF"/>
            <w:kern w:val="0"/>
            <w:sz w:val="20"/>
            <w:szCs w:val="20"/>
            <w:u w:val="single"/>
            <w14:ligatures w14:val="none"/>
          </w:rPr>
          <w:t>https://www.boz.zm</w:t>
        </w:r>
      </w:hyperlink>
      <w:r w:rsidR="0029625A" w:rsidRPr="00004641">
        <w:rPr>
          <w:rFonts w:ascii="Times New Roman" w:eastAsia="Times New Roman" w:hAnsi="Times New Roman" w:cs="Times New Roman"/>
          <w:kern w:val="0"/>
          <w:sz w:val="20"/>
          <w:szCs w:val="20"/>
          <w14:ligatures w14:val="none"/>
        </w:rPr>
        <w:t xml:space="preserve"> </w:t>
      </w:r>
    </w:p>
    <w:p w14:paraId="05DD3A6F" w14:textId="77777777" w:rsidR="009645D2" w:rsidRDefault="0080020A" w:rsidP="009645D2">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Chileshe, P. M., Chisha, K., &amp; Ngulube, M. (2018). The effect of external shocks on macroeconomic performance and monetary policy in a small open economy: Evidence from Zambia. </w:t>
      </w:r>
      <w:r w:rsidRPr="00004641">
        <w:rPr>
          <w:rFonts w:ascii="Times New Roman" w:hAnsi="Times New Roman" w:cs="Times New Roman"/>
          <w:i/>
          <w:iCs/>
          <w:sz w:val="20"/>
          <w:szCs w:val="20"/>
        </w:rPr>
        <w:t>International Journal of Sustainable Economy, 10</w:t>
      </w:r>
      <w:r w:rsidRPr="00004641">
        <w:rPr>
          <w:rFonts w:ascii="Times New Roman" w:hAnsi="Times New Roman" w:cs="Times New Roman"/>
          <w:sz w:val="20"/>
          <w:szCs w:val="20"/>
        </w:rPr>
        <w:t xml:space="preserve">(1), 18–40. </w:t>
      </w:r>
      <w:hyperlink r:id="rId15" w:tgtFrame="_new" w:history="1">
        <w:r w:rsidRPr="00004641">
          <w:rPr>
            <w:rFonts w:ascii="Times New Roman" w:hAnsi="Times New Roman" w:cs="Times New Roman"/>
            <w:color w:val="0000FF"/>
            <w:sz w:val="20"/>
            <w:szCs w:val="20"/>
            <w:u w:val="single"/>
          </w:rPr>
          <w:t>https://doi.org/10.1504/IJSE.2018.088621</w:t>
        </w:r>
      </w:hyperlink>
      <w:r w:rsidRPr="00004641">
        <w:rPr>
          <w:rFonts w:ascii="Times New Roman" w:hAnsi="Times New Roman" w:cs="Times New Roman"/>
          <w:sz w:val="20"/>
          <w:szCs w:val="20"/>
        </w:rPr>
        <w:t xml:space="preserve"> </w:t>
      </w:r>
      <w:hyperlink r:id="rId16" w:tgtFrame="_blank" w:history="1">
        <w:r w:rsidRPr="00004641">
          <w:rPr>
            <w:rFonts w:ascii="Times New Roman" w:hAnsi="Times New Roman" w:cs="Times New Roman"/>
            <w:color w:val="0000FF"/>
            <w:sz w:val="20"/>
            <w:szCs w:val="20"/>
            <w:u w:val="single"/>
          </w:rPr>
          <w:t>inderscienceonline.com+4</w:t>
        </w:r>
      </w:hyperlink>
      <w:r w:rsidR="0029625A" w:rsidRPr="00004641">
        <w:rPr>
          <w:rFonts w:ascii="Times New Roman" w:hAnsi="Times New Roman" w:cs="Times New Roman"/>
          <w:sz w:val="20"/>
          <w:szCs w:val="20"/>
        </w:rPr>
        <w:t xml:space="preserve"> </w:t>
      </w:r>
      <w:r w:rsidR="009645D2">
        <w:rPr>
          <w:rFonts w:ascii="Times New Roman" w:hAnsi="Times New Roman" w:cs="Times New Roman"/>
          <w:sz w:val="20"/>
          <w:szCs w:val="20"/>
        </w:rPr>
        <w:t xml:space="preserve"> </w:t>
      </w:r>
    </w:p>
    <w:p w14:paraId="4933BB21" w14:textId="77777777" w:rsidR="000B5BBC" w:rsidRDefault="00C37D06" w:rsidP="000B5BBC">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De Masi, P. R. (1997). </w:t>
      </w:r>
      <w:r w:rsidRPr="00004641">
        <w:rPr>
          <w:rFonts w:ascii="Times New Roman" w:eastAsia="Times New Roman" w:hAnsi="Times New Roman" w:cs="Times New Roman"/>
          <w:i/>
          <w:iCs/>
          <w:kern w:val="0"/>
          <w:sz w:val="20"/>
          <w:szCs w:val="20"/>
          <w14:ligatures w14:val="none"/>
        </w:rPr>
        <w:t>IMF estimates of potential output: Theory and practice</w:t>
      </w:r>
      <w:r w:rsidRPr="00004641">
        <w:rPr>
          <w:rFonts w:ascii="Times New Roman" w:eastAsia="Times New Roman" w:hAnsi="Times New Roman" w:cs="Times New Roman"/>
          <w:kern w:val="0"/>
          <w:sz w:val="20"/>
          <w:szCs w:val="20"/>
          <w14:ligatures w14:val="none"/>
        </w:rPr>
        <w:t xml:space="preserve"> (IMF Working Paper No. 97/177). </w:t>
      </w:r>
      <w:r w:rsidR="000B5BBC">
        <w:rPr>
          <w:rFonts w:ascii="Times New Roman" w:eastAsia="Times New Roman" w:hAnsi="Times New Roman" w:cs="Times New Roman"/>
          <w:kern w:val="0"/>
          <w:sz w:val="20"/>
          <w:szCs w:val="20"/>
          <w14:ligatures w14:val="none"/>
        </w:rPr>
        <w:t xml:space="preserve"> </w:t>
      </w:r>
      <w:proofErr w:type="spellStart"/>
      <w:r w:rsidRPr="00004641">
        <w:rPr>
          <w:rFonts w:ascii="Times New Roman" w:eastAsia="Times New Roman" w:hAnsi="Times New Roman" w:cs="Times New Roman"/>
          <w:kern w:val="0"/>
          <w:sz w:val="20"/>
          <w:szCs w:val="20"/>
          <w14:ligatures w14:val="none"/>
        </w:rPr>
        <w:t>nternational</w:t>
      </w:r>
      <w:proofErr w:type="spellEnd"/>
      <w:r w:rsidRPr="00004641">
        <w:rPr>
          <w:rFonts w:ascii="Times New Roman" w:eastAsia="Times New Roman" w:hAnsi="Times New Roman" w:cs="Times New Roman"/>
          <w:kern w:val="0"/>
          <w:sz w:val="20"/>
          <w:szCs w:val="20"/>
          <w14:ligatures w14:val="none"/>
        </w:rPr>
        <w:t xml:space="preserve"> Monetary Fund.</w:t>
      </w:r>
      <w:r w:rsidR="00DF6788" w:rsidRPr="00004641">
        <w:rPr>
          <w:rFonts w:ascii="Times New Roman" w:eastAsia="Times New Roman" w:hAnsi="Times New Roman" w:cs="Times New Roman"/>
          <w:kern w:val="0"/>
          <w:sz w:val="20"/>
          <w:szCs w:val="20"/>
          <w14:ligatures w14:val="none"/>
        </w:rPr>
        <w:t xml:space="preserve"> </w:t>
      </w:r>
      <w:r w:rsidR="009645D2">
        <w:rPr>
          <w:rFonts w:ascii="Times New Roman" w:eastAsia="Times New Roman" w:hAnsi="Times New Roman" w:cs="Times New Roman"/>
          <w:kern w:val="0"/>
          <w:sz w:val="20"/>
          <w:szCs w:val="20"/>
          <w14:ligatures w14:val="none"/>
        </w:rPr>
        <w:t xml:space="preserve"> </w:t>
      </w:r>
    </w:p>
    <w:p w14:paraId="37A585F2" w14:textId="77777777" w:rsidR="000B5BBC" w:rsidRDefault="009645D2" w:rsidP="000B5BBC">
      <w:pPr>
        <w:spacing w:before="100" w:beforeAutospacing="1" w:after="100" w:afterAutospacing="1" w:line="240" w:lineRule="auto"/>
        <w:ind w:hanging="426"/>
        <w:rPr>
          <w:rFonts w:ascii="Times New Roman" w:eastAsia="Times New Roman" w:hAnsi="Times New Roman" w:cs="Times New Roman"/>
          <w:kern w:val="0"/>
          <w:lang/>
          <w14:ligatures w14:val="none"/>
        </w:rPr>
      </w:pPr>
      <w:r>
        <w:rPr>
          <w:rFonts w:ascii="Times New Roman" w:eastAsia="Times New Roman" w:hAnsi="Times New Roman" w:cs="Times New Roman"/>
          <w:kern w:val="0"/>
          <w:sz w:val="20"/>
          <w:szCs w:val="20"/>
          <w14:ligatures w14:val="none"/>
        </w:rPr>
        <w:lastRenderedPageBreak/>
        <w:t xml:space="preserve"> </w:t>
      </w:r>
      <w:r w:rsidRPr="000B5BBC">
        <w:rPr>
          <w:rFonts w:ascii="Times New Roman" w:eastAsia="Times New Roman" w:hAnsi="Times New Roman" w:cs="Times New Roman"/>
          <w:kern w:val="0"/>
          <w:lang/>
          <w14:ligatures w14:val="none"/>
        </w:rPr>
        <w:t xml:space="preserve">European Central Bank. (2020). </w:t>
      </w:r>
      <w:r w:rsidRPr="000B5BBC">
        <w:rPr>
          <w:rFonts w:ascii="Times New Roman" w:eastAsia="Times New Roman" w:hAnsi="Times New Roman" w:cs="Times New Roman"/>
          <w:i/>
          <w:iCs/>
          <w:kern w:val="0"/>
          <w:lang/>
          <w14:ligatures w14:val="none"/>
        </w:rPr>
        <w:t>Price stability: Why is it important for you?</w:t>
      </w:r>
      <w:r w:rsidRPr="000B5BBC">
        <w:rPr>
          <w:rFonts w:ascii="Times New Roman" w:eastAsia="Times New Roman" w:hAnsi="Times New Roman" w:cs="Times New Roman"/>
          <w:kern w:val="0"/>
          <w:lang/>
          <w14:ligatures w14:val="none"/>
        </w:rPr>
        <w:t xml:space="preserve"> </w:t>
      </w:r>
      <w:hyperlink r:id="rId17" w:history="1">
        <w:r w:rsidR="000B5BBC" w:rsidRPr="000B5BBC">
          <w:rPr>
            <w:rStyle w:val="Hyperlink"/>
            <w:rFonts w:ascii="Times New Roman" w:eastAsia="Times New Roman" w:hAnsi="Times New Roman" w:cs="Times New Roman"/>
            <w:kern w:val="0"/>
            <w:lang/>
            <w14:ligatures w14:val="none"/>
          </w:rPr>
          <w:t>https://www.ecb.europa.eu/explainers/tell-me/html/pricestab.en.html</w:t>
        </w:r>
      </w:hyperlink>
      <w:r w:rsidR="000B5BBC" w:rsidRPr="000B5BBC">
        <w:rPr>
          <w:rFonts w:ascii="Times New Roman" w:eastAsia="Times New Roman" w:hAnsi="Times New Roman" w:cs="Times New Roman"/>
          <w:kern w:val="0"/>
          <w:lang/>
          <w14:ligatures w14:val="none"/>
        </w:rPr>
        <w:t xml:space="preserve">  </w:t>
      </w:r>
    </w:p>
    <w:p w14:paraId="0F8E69D8" w14:textId="2C9DAA93" w:rsidR="000B5BBC" w:rsidRPr="000B5BBC" w:rsidRDefault="000B5BBC" w:rsidP="000B5BBC">
      <w:pPr>
        <w:spacing w:before="100" w:beforeAutospacing="1" w:after="100" w:afterAutospacing="1" w:line="240" w:lineRule="auto"/>
        <w:ind w:hanging="426"/>
        <w:rPr>
          <w:rFonts w:ascii="Times New Roman" w:hAnsi="Times New Roman" w:cs="Times New Roman"/>
        </w:rPr>
      </w:pPr>
      <w:r w:rsidRPr="000B5BBC">
        <w:rPr>
          <w:rFonts w:ascii="Times New Roman" w:hAnsi="Times New Roman" w:cs="Times New Roman"/>
          <w:highlight w:val="yellow"/>
        </w:rPr>
        <w:t xml:space="preserve">Mwange, A. (2022). An Empirical Investigation of the Impact of Monetary Policy on Economic Growth in Zambia. Journal of Accounting, Finance and Auditing Studies, 306-321.  </w:t>
      </w:r>
      <w:proofErr w:type="spellStart"/>
      <w:proofErr w:type="gramStart"/>
      <w:r w:rsidRPr="000B5BBC">
        <w:rPr>
          <w:rFonts w:ascii="Times New Roman" w:hAnsi="Times New Roman" w:cs="Times New Roman"/>
          <w:highlight w:val="yellow"/>
        </w:rPr>
        <w:t>doi:DOI</w:t>
      </w:r>
      <w:proofErr w:type="spellEnd"/>
      <w:proofErr w:type="gramEnd"/>
      <w:r w:rsidRPr="000B5BBC">
        <w:rPr>
          <w:rFonts w:ascii="Times New Roman" w:hAnsi="Times New Roman" w:cs="Times New Roman"/>
          <w:highlight w:val="yellow"/>
        </w:rPr>
        <w:t>: 10.32602/jafas.2022.038</w:t>
      </w:r>
    </w:p>
    <w:p w14:paraId="2FCFE4D6" w14:textId="66A0A8F8" w:rsidR="0004477D" w:rsidRDefault="0029625A" w:rsidP="0004477D">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eastAsia="Times New Roman" w:hAnsi="Times New Roman" w:cs="Times New Roman"/>
          <w:kern w:val="0"/>
          <w:sz w:val="20"/>
          <w:szCs w:val="20"/>
          <w14:ligatures w14:val="none"/>
        </w:rPr>
        <w:t xml:space="preserve"> </w:t>
      </w:r>
      <w:r w:rsidR="00E459C7" w:rsidRPr="00004641">
        <w:rPr>
          <w:rFonts w:ascii="Times New Roman" w:hAnsi="Times New Roman" w:cs="Times New Roman"/>
          <w:sz w:val="20"/>
          <w:szCs w:val="20"/>
        </w:rPr>
        <w:t xml:space="preserve">International Monetary Fund, IMF. (2024). Zambia: Staff Report for the 2023 Article IV Consultation. </w:t>
      </w:r>
      <w:hyperlink r:id="rId18" w:history="1">
        <w:r w:rsidR="00E459C7" w:rsidRPr="00004641">
          <w:rPr>
            <w:rStyle w:val="Hyperlink"/>
            <w:rFonts w:ascii="Times New Roman" w:hAnsi="Times New Roman" w:cs="Times New Roman"/>
            <w:sz w:val="20"/>
            <w:szCs w:val="20"/>
          </w:rPr>
          <w:t>https://www.imf.org</w:t>
        </w:r>
      </w:hyperlink>
      <w:r w:rsidRPr="00004641">
        <w:rPr>
          <w:rFonts w:ascii="Times New Roman" w:hAnsi="Times New Roman" w:cs="Times New Roman"/>
          <w:sz w:val="20"/>
          <w:szCs w:val="20"/>
        </w:rPr>
        <w:t xml:space="preserve"> </w:t>
      </w:r>
      <w:r w:rsidR="0004477D">
        <w:rPr>
          <w:rFonts w:ascii="Times New Roman" w:hAnsi="Times New Roman" w:cs="Times New Roman"/>
          <w:sz w:val="20"/>
          <w:szCs w:val="20"/>
        </w:rPr>
        <w:t xml:space="preserve"> </w:t>
      </w:r>
    </w:p>
    <w:p w14:paraId="63B7E576" w14:textId="5E52F6B8" w:rsidR="0004477D" w:rsidRP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4"/>
          <w:szCs w:val="24"/>
          <w14:ligatures w14:val="none"/>
        </w:rPr>
      </w:pPr>
      <w:r w:rsidRPr="0004477D">
        <w:rPr>
          <w:rFonts w:ascii="Times New Roman" w:hAnsi="Times New Roman" w:cs="Times New Roman"/>
          <w:sz w:val="24"/>
          <w:szCs w:val="24"/>
        </w:rPr>
        <w:t xml:space="preserve"> </w:t>
      </w:r>
      <w:r w:rsidRPr="0004477D">
        <w:rPr>
          <w:rFonts w:ascii="Times New Roman" w:eastAsia="Times New Roman" w:hAnsi="Times New Roman" w:cs="Times New Roman"/>
          <w:kern w:val="0"/>
          <w:sz w:val="24"/>
          <w:szCs w:val="24"/>
          <w14:ligatures w14:val="none"/>
        </w:rPr>
        <w:t xml:space="preserve">International Monetary Fund (IMF). (2006). </w:t>
      </w:r>
      <w:r w:rsidRPr="0004477D">
        <w:rPr>
          <w:rFonts w:ascii="Times New Roman" w:eastAsiaTheme="majorEastAsia" w:hAnsi="Times New Roman" w:cs="Times New Roman"/>
          <w:i/>
          <w:iCs/>
          <w:kern w:val="0"/>
          <w:sz w:val="24"/>
          <w:szCs w:val="24"/>
          <w14:ligatures w14:val="none"/>
        </w:rPr>
        <w:t>Inflation targeting and the IMF</w:t>
      </w:r>
      <w:r w:rsidRPr="0004477D">
        <w:rPr>
          <w:rFonts w:ascii="Times New Roman" w:eastAsia="Times New Roman" w:hAnsi="Times New Roman" w:cs="Times New Roman"/>
          <w:kern w:val="0"/>
          <w:sz w:val="24"/>
          <w:szCs w:val="24"/>
          <w14:ligatures w14:val="none"/>
        </w:rPr>
        <w:t>. Washington, DC: IMF.</w:t>
      </w:r>
    </w:p>
    <w:p w14:paraId="130125F2" w14:textId="295772C5" w:rsidR="001F35A6" w:rsidRPr="001F35A6" w:rsidRDefault="00E459C7" w:rsidP="001F35A6">
      <w:pPr>
        <w:rPr>
          <w:rFonts w:ascii="Times New Roman" w:hAnsi="Times New Roman" w:cs="Times New Roman"/>
        </w:rPr>
      </w:pPr>
      <w:r w:rsidRPr="001F35A6">
        <w:rPr>
          <w:rFonts w:ascii="Times New Roman" w:hAnsi="Times New Roman" w:cs="Times New Roman"/>
        </w:rPr>
        <w:t xml:space="preserve">International </w:t>
      </w:r>
      <w:r w:rsidR="00DF3C48" w:rsidRPr="001F35A6">
        <w:rPr>
          <w:rFonts w:ascii="Times New Roman" w:hAnsi="Times New Roman" w:cs="Times New Roman"/>
        </w:rPr>
        <w:t>Monetary</w:t>
      </w:r>
      <w:r w:rsidRPr="001F35A6">
        <w:rPr>
          <w:rFonts w:ascii="Times New Roman" w:hAnsi="Times New Roman" w:cs="Times New Roman"/>
        </w:rPr>
        <w:t xml:space="preserve"> Fund,</w:t>
      </w:r>
      <w:r w:rsidRPr="001F35A6">
        <w:rPr>
          <w:rFonts w:ascii="Times New Roman" w:eastAsia="Times New Roman" w:hAnsi="Times New Roman" w:cs="Times New Roman"/>
          <w:kern w:val="0"/>
          <w14:ligatures w14:val="none"/>
        </w:rPr>
        <w:t xml:space="preserve"> IMF. (2023). </w:t>
      </w:r>
      <w:r w:rsidRPr="001F35A6">
        <w:rPr>
          <w:rFonts w:ascii="Times New Roman" w:eastAsia="Times New Roman" w:hAnsi="Times New Roman" w:cs="Times New Roman"/>
          <w:i/>
          <w:iCs/>
          <w:kern w:val="0"/>
          <w14:ligatures w14:val="none"/>
        </w:rPr>
        <w:t>Zambia: Staff Report for the 2023 Article IV Consultation</w:t>
      </w:r>
      <w:r w:rsidRPr="001F35A6">
        <w:rPr>
          <w:rFonts w:ascii="Times New Roman" w:eastAsia="Times New Roman" w:hAnsi="Times New Roman" w:cs="Times New Roman"/>
          <w:kern w:val="0"/>
          <w14:ligatures w14:val="none"/>
        </w:rPr>
        <w:t>. International Monetary Fund.</w:t>
      </w:r>
      <w:r w:rsidR="0029625A" w:rsidRPr="001F35A6">
        <w:rPr>
          <w:rFonts w:ascii="Times New Roman" w:eastAsia="Times New Roman" w:hAnsi="Times New Roman" w:cs="Times New Roman"/>
          <w:kern w:val="0"/>
          <w14:ligatures w14:val="none"/>
        </w:rPr>
        <w:t xml:space="preserve"> </w:t>
      </w:r>
      <w:hyperlink r:id="rId19" w:history="1">
        <w:r w:rsidR="001F35A6" w:rsidRPr="001F35A6">
          <w:rPr>
            <w:rStyle w:val="Hyperlink"/>
            <w:rFonts w:ascii="Times New Roman" w:hAnsi="Times New Roman" w:cs="Times New Roman"/>
          </w:rPr>
          <w:t>https://www.imf.org/en/Publications/CR/Issues/2023/07/13/Zambia-2023-Article-IV-Consultation-First-Review-Under-the-Extended-Credit-Facility-536340?utm_source=chatgpt.com</w:t>
        </w:r>
      </w:hyperlink>
    </w:p>
    <w:p w14:paraId="02610EA3" w14:textId="5B8C0307" w:rsidR="00830341" w:rsidRDefault="00830341" w:rsidP="00830341">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830341">
        <w:rPr>
          <w:rFonts w:ascii="Times New Roman" w:eastAsia="Times New Roman" w:hAnsi="Times New Roman" w:cs="Times New Roman"/>
          <w:kern w:val="0"/>
          <w:sz w:val="20"/>
          <w:szCs w:val="20"/>
          <w:highlight w:val="yellow"/>
          <w14:ligatures w14:val="none"/>
        </w:rPr>
        <w:t xml:space="preserve">du Rand, G., Erasmus, R., Hollander, H., Reid, M., &amp; van Lill, D. (2021). The evolution of central bank communication as experienced by the South African Reserve Bank. Economic History of Developing Regions, 36(2), 282–312. </w:t>
      </w:r>
      <w:hyperlink r:id="rId20" w:history="1">
        <w:r w:rsidRPr="00830341">
          <w:rPr>
            <w:rStyle w:val="Hyperlink"/>
            <w:rFonts w:ascii="Times New Roman" w:eastAsia="Times New Roman" w:hAnsi="Times New Roman" w:cs="Times New Roman"/>
            <w:kern w:val="0"/>
            <w:sz w:val="20"/>
            <w:szCs w:val="20"/>
            <w:highlight w:val="yellow"/>
            <w14:ligatures w14:val="none"/>
          </w:rPr>
          <w:t>https://doi.org/10.1080/20780389.2021.1925106</w:t>
        </w:r>
      </w:hyperlink>
    </w:p>
    <w:p w14:paraId="2EE7E2CA"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Kydland, F. E., &amp; Prescott, E. C. (1977). Rules rather than discretion: The inconsistency of optimal plans. </w:t>
      </w:r>
      <w:r w:rsidRPr="00004641">
        <w:rPr>
          <w:rFonts w:ascii="Times New Roman" w:eastAsia="Times New Roman" w:hAnsi="Times New Roman" w:cs="Times New Roman"/>
          <w:i/>
          <w:iCs/>
          <w:kern w:val="0"/>
          <w:sz w:val="20"/>
          <w:szCs w:val="20"/>
          <w14:ligatures w14:val="none"/>
        </w:rPr>
        <w:t>Journal of Political Economy, 85</w:t>
      </w:r>
      <w:r w:rsidRPr="00004641">
        <w:rPr>
          <w:rFonts w:ascii="Times New Roman" w:eastAsia="Times New Roman" w:hAnsi="Times New Roman" w:cs="Times New Roman"/>
          <w:kern w:val="0"/>
          <w:sz w:val="20"/>
          <w:szCs w:val="20"/>
          <w14:ligatures w14:val="none"/>
        </w:rPr>
        <w:t xml:space="preserve">(3), 473–492. </w:t>
      </w:r>
      <w:hyperlink r:id="rId21" w:history="1">
        <w:r w:rsidR="0029625A" w:rsidRPr="00004641">
          <w:rPr>
            <w:rStyle w:val="Hyperlink"/>
            <w:rFonts w:ascii="Times New Roman" w:eastAsia="Times New Roman" w:hAnsi="Times New Roman" w:cs="Times New Roman"/>
            <w:kern w:val="0"/>
            <w:sz w:val="20"/>
            <w:szCs w:val="20"/>
            <w14:ligatures w14:val="none"/>
          </w:rPr>
          <w:t>https://doi.org/10.1086/260580</w:t>
        </w:r>
      </w:hyperlink>
      <w:r w:rsidR="0029625A" w:rsidRPr="00004641">
        <w:rPr>
          <w:rFonts w:ascii="Times New Roman" w:eastAsia="Times New Roman" w:hAnsi="Times New Roman" w:cs="Times New Roman"/>
          <w:kern w:val="0"/>
          <w:sz w:val="20"/>
          <w:szCs w:val="20"/>
          <w14:ligatures w14:val="none"/>
        </w:rPr>
        <w:t xml:space="preserve"> </w:t>
      </w:r>
    </w:p>
    <w:p w14:paraId="6A3B7C63"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Lütkepohl, H. (1991). </w:t>
      </w:r>
      <w:r w:rsidRPr="00004641">
        <w:rPr>
          <w:rFonts w:ascii="Times New Roman" w:eastAsia="Times New Roman" w:hAnsi="Times New Roman" w:cs="Times New Roman"/>
          <w:i/>
          <w:iCs/>
          <w:kern w:val="0"/>
          <w:sz w:val="20"/>
          <w:szCs w:val="20"/>
          <w14:ligatures w14:val="none"/>
        </w:rPr>
        <w:t>Introduction to multiple time series analysis</w:t>
      </w:r>
      <w:r w:rsidRPr="00004641">
        <w:rPr>
          <w:rFonts w:ascii="Times New Roman" w:eastAsia="Times New Roman" w:hAnsi="Times New Roman" w:cs="Times New Roman"/>
          <w:kern w:val="0"/>
          <w:sz w:val="20"/>
          <w:szCs w:val="20"/>
          <w14:ligatures w14:val="none"/>
        </w:rPr>
        <w:t>. Springer.</w:t>
      </w:r>
      <w:r w:rsidR="0029625A" w:rsidRPr="00004641">
        <w:rPr>
          <w:rFonts w:ascii="Times New Roman" w:eastAsia="Times New Roman" w:hAnsi="Times New Roman" w:cs="Times New Roman"/>
          <w:kern w:val="0"/>
          <w:sz w:val="20"/>
          <w:szCs w:val="20"/>
          <w14:ligatures w14:val="none"/>
        </w:rPr>
        <w:t xml:space="preserve"> </w:t>
      </w:r>
    </w:p>
    <w:p w14:paraId="1B774864" w14:textId="77777777" w:rsidR="00174F52" w:rsidRPr="00174F52" w:rsidRDefault="00C37D06" w:rsidP="00174F52">
      <w:pPr>
        <w:spacing w:before="100" w:beforeAutospacing="1" w:after="100" w:afterAutospacing="1" w:line="240" w:lineRule="auto"/>
        <w:ind w:hanging="426"/>
        <w:rPr>
          <w:highlight w:val="yellow"/>
        </w:rPr>
      </w:pPr>
      <w:r w:rsidRPr="000F442B">
        <w:rPr>
          <w:rFonts w:ascii="Times New Roman" w:eastAsia="Times New Roman" w:hAnsi="Times New Roman" w:cs="Times New Roman"/>
          <w:i/>
          <w:iCs/>
          <w:kern w:val="0"/>
          <w:sz w:val="24"/>
          <w:szCs w:val="24"/>
          <w:highlight w:val="yellow"/>
          <w14:ligatures w14:val="none"/>
        </w:rPr>
        <w:t>Lütkepohl, H. (1999). Vector autoregressive</w:t>
      </w:r>
      <w:r w:rsidR="000F442B" w:rsidRPr="000F442B">
        <w:rPr>
          <w:rFonts w:ascii="Times New Roman" w:eastAsia="Times New Roman" w:hAnsi="Times New Roman" w:cs="Times New Roman"/>
          <w:i/>
          <w:iCs/>
          <w:kern w:val="0"/>
          <w:sz w:val="24"/>
          <w:szCs w:val="24"/>
          <w:highlight w:val="yellow"/>
          <w14:ligatures w14:val="none"/>
        </w:rPr>
        <w:t xml:space="preserve"> Analysis,</w:t>
      </w:r>
      <w:r w:rsidR="000F442B" w:rsidRPr="000F442B">
        <w:rPr>
          <w:rFonts w:ascii="Times New Roman" w:hAnsi="Times New Roman" w:cs="Times New Roman"/>
          <w:i/>
          <w:iCs/>
          <w:sz w:val="24"/>
          <w:szCs w:val="24"/>
          <w:highlight w:val="yellow"/>
        </w:rPr>
        <w:t xml:space="preserve"> SFB 373 Discussion Paper,</w:t>
      </w:r>
      <w:r w:rsidR="000F442B" w:rsidRPr="000F442B">
        <w:rPr>
          <w:rFonts w:ascii="Times New Roman" w:eastAsia="Times New Roman" w:hAnsi="Times New Roman" w:cs="Times New Roman"/>
          <w:i/>
          <w:iCs/>
          <w:kern w:val="0"/>
          <w:sz w:val="24"/>
          <w:szCs w:val="24"/>
          <w:highlight w:val="yellow"/>
          <w14:ligatures w14:val="none"/>
        </w:rPr>
        <w:t xml:space="preserve"> </w:t>
      </w:r>
      <w:r w:rsidR="000F442B" w:rsidRPr="000F442B">
        <w:rPr>
          <w:rFonts w:ascii="Times New Roman" w:hAnsi="Times New Roman" w:cs="Times New Roman"/>
          <w:i/>
          <w:iCs/>
          <w:sz w:val="24"/>
          <w:szCs w:val="24"/>
          <w:highlight w:val="yellow"/>
        </w:rPr>
        <w:t xml:space="preserve">Interdisciplinary </w:t>
      </w:r>
      <w:r w:rsidR="000F442B" w:rsidRPr="00174F52">
        <w:rPr>
          <w:rFonts w:ascii="Times New Roman" w:hAnsi="Times New Roman" w:cs="Times New Roman"/>
          <w:i/>
          <w:iCs/>
          <w:sz w:val="24"/>
          <w:szCs w:val="24"/>
          <w:highlight w:val="yellow"/>
        </w:rPr>
        <w:t>Research, Humboldt University of Berlin</w:t>
      </w:r>
      <w:r w:rsidR="000F442B" w:rsidRPr="00174F52">
        <w:rPr>
          <w:rFonts w:ascii="Times New Roman" w:eastAsia="Times New Roman" w:hAnsi="Times New Roman" w:cs="Times New Roman"/>
          <w:i/>
          <w:iCs/>
          <w:kern w:val="0"/>
          <w:sz w:val="20"/>
          <w:szCs w:val="20"/>
          <w:highlight w:val="yellow"/>
          <w14:ligatures w14:val="none"/>
        </w:rPr>
        <w:t xml:space="preserve"> </w:t>
      </w:r>
      <w:hyperlink r:id="rId22" w:history="1">
        <w:r w:rsidR="000F442B" w:rsidRPr="00174F52">
          <w:rPr>
            <w:rStyle w:val="Hyperlink"/>
            <w:rFonts w:ascii="Courier New" w:hAnsi="Courier New" w:cs="Courier New"/>
            <w:i/>
            <w:iCs/>
            <w:sz w:val="21"/>
            <w:szCs w:val="21"/>
            <w:highlight w:val="yellow"/>
          </w:rPr>
          <w:t>https://hdl.handle.net/10419/61728</w:t>
        </w:r>
      </w:hyperlink>
      <w:r w:rsidR="00174F52" w:rsidRPr="00174F52">
        <w:rPr>
          <w:highlight w:val="yellow"/>
        </w:rPr>
        <w:t xml:space="preserve"> </w:t>
      </w:r>
    </w:p>
    <w:p w14:paraId="5A44EE94" w14:textId="2CBE4C06" w:rsidR="00174F52" w:rsidRPr="00174F52" w:rsidRDefault="00174F52" w:rsidP="00174F52">
      <w:pPr>
        <w:spacing w:before="100" w:beforeAutospacing="1" w:after="100" w:afterAutospacing="1" w:line="240" w:lineRule="auto"/>
        <w:ind w:hanging="426"/>
        <w:rPr>
          <w:rFonts w:ascii="Times New Roman" w:hAnsi="Times New Roman" w:cs="Times New Roman"/>
        </w:rPr>
      </w:pPr>
      <w:r w:rsidRPr="00174F52">
        <w:rPr>
          <w:rFonts w:ascii="Times New Roman" w:hAnsi="Times New Roman" w:cs="Times New Roman"/>
          <w:highlight w:val="yellow"/>
        </w:rPr>
        <w:t xml:space="preserve">Lütkepohl, H. (1991). </w:t>
      </w:r>
      <w:r w:rsidRPr="00174F52">
        <w:rPr>
          <w:rStyle w:val="Emphasis"/>
          <w:rFonts w:ascii="Times New Roman" w:hAnsi="Times New Roman" w:cs="Times New Roman"/>
          <w:highlight w:val="yellow"/>
        </w:rPr>
        <w:t>Introduction to multiple time series analysis.</w:t>
      </w:r>
      <w:r w:rsidRPr="00174F52">
        <w:rPr>
          <w:rFonts w:ascii="Times New Roman" w:hAnsi="Times New Roman" w:cs="Times New Roman"/>
          <w:highlight w:val="yellow"/>
        </w:rPr>
        <w:t xml:space="preserve"> Berlin, Germany: Springer-Verlag.</w:t>
      </w:r>
      <w:r w:rsidRPr="00174F52">
        <w:rPr>
          <w:rFonts w:ascii="Times New Roman" w:hAnsi="Times New Roman" w:cs="Times New Roman"/>
        </w:rPr>
        <w:t xml:space="preserve"> </w:t>
      </w:r>
      <w:hyperlink r:id="rId23" w:history="1">
        <w:r w:rsidRPr="00174F52">
          <w:rPr>
            <w:rStyle w:val="Hyperlink"/>
            <w:rFonts w:ascii="Times New Roman" w:hAnsi="Times New Roman" w:cs="Times New Roman"/>
          </w:rPr>
          <w:t>https://doi.org/10.1007/978-3-662-02691-5</w:t>
        </w:r>
      </w:hyperlink>
    </w:p>
    <w:p w14:paraId="305BA31C" w14:textId="4AA2AA28"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Mishkin, F. S., &amp; Schmidt-Hebbel, K. (2007). Does </w:t>
      </w:r>
      <w:r w:rsidR="00174F52" w:rsidRPr="00004641">
        <w:rPr>
          <w:rFonts w:ascii="Times New Roman" w:eastAsia="Times New Roman" w:hAnsi="Times New Roman" w:cs="Times New Roman"/>
          <w:kern w:val="0"/>
          <w:sz w:val="20"/>
          <w:szCs w:val="20"/>
          <w14:ligatures w14:val="none"/>
        </w:rPr>
        <w:t>inflation</w:t>
      </w:r>
      <w:r w:rsidRPr="00004641">
        <w:rPr>
          <w:rFonts w:ascii="Times New Roman" w:eastAsia="Times New Roman" w:hAnsi="Times New Roman" w:cs="Times New Roman"/>
          <w:kern w:val="0"/>
          <w:sz w:val="20"/>
          <w:szCs w:val="20"/>
          <w14:ligatures w14:val="none"/>
        </w:rPr>
        <w:t xml:space="preserve"> </w:t>
      </w:r>
      <w:r w:rsidR="00174F52">
        <w:rPr>
          <w:rFonts w:ascii="Times New Roman" w:eastAsia="Times New Roman" w:hAnsi="Times New Roman" w:cs="Times New Roman"/>
          <w:kern w:val="0"/>
          <w:sz w:val="20"/>
          <w:szCs w:val="20"/>
          <w14:ligatures w14:val="none"/>
        </w:rPr>
        <w:t xml:space="preserve">targeting </w:t>
      </w:r>
      <w:r w:rsidRPr="00004641">
        <w:rPr>
          <w:rFonts w:ascii="Times New Roman" w:eastAsia="Times New Roman" w:hAnsi="Times New Roman" w:cs="Times New Roman"/>
          <w:kern w:val="0"/>
          <w:sz w:val="20"/>
          <w:szCs w:val="20"/>
          <w14:ligatures w14:val="none"/>
        </w:rPr>
        <w:t xml:space="preserve">make a difference? In </w:t>
      </w:r>
      <w:r w:rsidRPr="00004641">
        <w:rPr>
          <w:rFonts w:ascii="Times New Roman" w:eastAsia="Times New Roman" w:hAnsi="Times New Roman" w:cs="Times New Roman"/>
          <w:i/>
          <w:iCs/>
          <w:kern w:val="0"/>
          <w:sz w:val="20"/>
          <w:szCs w:val="20"/>
          <w14:ligatures w14:val="none"/>
        </w:rPr>
        <w:t>Monetary Policy under Inflation Targeting</w:t>
      </w:r>
      <w:r w:rsidRPr="00004641">
        <w:rPr>
          <w:rFonts w:ascii="Times New Roman" w:eastAsia="Times New Roman" w:hAnsi="Times New Roman" w:cs="Times New Roman"/>
          <w:kern w:val="0"/>
          <w:sz w:val="20"/>
          <w:szCs w:val="20"/>
          <w14:ligatures w14:val="none"/>
        </w:rPr>
        <w:t xml:space="preserve"> (Vol. 11, pp. 291–372). Central Bank of Chile.</w:t>
      </w:r>
      <w:r w:rsidR="0004477D">
        <w:rPr>
          <w:rFonts w:ascii="Times New Roman" w:eastAsia="Times New Roman" w:hAnsi="Times New Roman" w:cs="Times New Roman"/>
          <w:kern w:val="0"/>
          <w:sz w:val="20"/>
          <w:szCs w:val="20"/>
          <w14:ligatures w14:val="none"/>
        </w:rPr>
        <w:t xml:space="preserve">  </w:t>
      </w:r>
    </w:p>
    <w:p w14:paraId="64F281EF" w14:textId="77777777" w:rsid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t xml:space="preserve">Mishkin, F. S. (2000). Inflation targeting in emerging-market countries. </w:t>
      </w:r>
      <w:r w:rsidRPr="0004477D">
        <w:rPr>
          <w:rFonts w:ascii="Times New Roman" w:eastAsiaTheme="majorEastAsia" w:hAnsi="Times New Roman" w:cs="Times New Roman"/>
          <w:i/>
          <w:iCs/>
          <w:kern w:val="0"/>
          <w:sz w:val="20"/>
          <w:szCs w:val="20"/>
          <w14:ligatures w14:val="none"/>
        </w:rPr>
        <w:t>American Economic Review, 90</w:t>
      </w:r>
      <w:r w:rsidRPr="0004477D">
        <w:rPr>
          <w:rFonts w:ascii="Times New Roman" w:eastAsia="Times New Roman" w:hAnsi="Times New Roman" w:cs="Times New Roman"/>
          <w:kern w:val="0"/>
          <w:sz w:val="20"/>
          <w:szCs w:val="20"/>
          <w14:ligatures w14:val="none"/>
        </w:rPr>
        <w:t xml:space="preserve">(2), 105–109. </w:t>
      </w:r>
      <w:hyperlink r:id="rId24" w:history="1">
        <w:r w:rsidRPr="008C5CF5">
          <w:rPr>
            <w:rStyle w:val="Hyperlink"/>
            <w:rFonts w:ascii="Times New Roman" w:eastAsia="Times New Roman" w:hAnsi="Times New Roman" w:cs="Times New Roman"/>
            <w:kern w:val="0"/>
            <w:sz w:val="20"/>
            <w:szCs w:val="20"/>
            <w14:ligatures w14:val="none"/>
          </w:rPr>
          <w:t>https://doi.org/10.1257/aer.90.2.10</w:t>
        </w:r>
      </w:hyperlink>
      <w:r>
        <w:rPr>
          <w:rFonts w:ascii="Times New Roman" w:eastAsia="Times New Roman" w:hAnsi="Times New Roman" w:cs="Times New Roman"/>
          <w:kern w:val="0"/>
          <w:sz w:val="20"/>
          <w:szCs w:val="20"/>
          <w14:ligatures w14:val="none"/>
        </w:rPr>
        <w:t xml:space="preserve">   </w:t>
      </w:r>
    </w:p>
    <w:p w14:paraId="206B9CBA" w14:textId="77777777" w:rsidR="00501DB3" w:rsidRDefault="0004477D" w:rsidP="00501DB3">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t xml:space="preserve">Mishkin, F. S. (2004). Can inflation </w:t>
      </w:r>
      <w:proofErr w:type="gramStart"/>
      <w:r w:rsidRPr="0004477D">
        <w:rPr>
          <w:rFonts w:ascii="Times New Roman" w:eastAsia="Times New Roman" w:hAnsi="Times New Roman" w:cs="Times New Roman"/>
          <w:kern w:val="0"/>
          <w:sz w:val="20"/>
          <w:szCs w:val="20"/>
          <w14:ligatures w14:val="none"/>
        </w:rPr>
        <w:t>targeting</w:t>
      </w:r>
      <w:proofErr w:type="gramEnd"/>
      <w:r w:rsidRPr="0004477D">
        <w:rPr>
          <w:rFonts w:ascii="Times New Roman" w:eastAsia="Times New Roman" w:hAnsi="Times New Roman" w:cs="Times New Roman"/>
          <w:kern w:val="0"/>
          <w:sz w:val="20"/>
          <w:szCs w:val="20"/>
          <w14:ligatures w14:val="none"/>
        </w:rPr>
        <w:t xml:space="preserve"> work in emerging market countries? In B. Bernanke &amp; M. Woodford (Eds.), </w:t>
      </w:r>
      <w:r w:rsidRPr="0004477D">
        <w:rPr>
          <w:rFonts w:ascii="Times New Roman" w:eastAsiaTheme="majorEastAsia" w:hAnsi="Times New Roman" w:cs="Times New Roman"/>
          <w:i/>
          <w:iCs/>
          <w:kern w:val="0"/>
          <w:sz w:val="20"/>
          <w:szCs w:val="20"/>
          <w14:ligatures w14:val="none"/>
        </w:rPr>
        <w:t>The inflation-targeting debate</w:t>
      </w:r>
      <w:r w:rsidRPr="0004477D">
        <w:rPr>
          <w:rFonts w:ascii="Times New Roman" w:eastAsia="Times New Roman" w:hAnsi="Times New Roman" w:cs="Times New Roman"/>
          <w:kern w:val="0"/>
          <w:sz w:val="20"/>
          <w:szCs w:val="20"/>
          <w14:ligatures w14:val="none"/>
        </w:rPr>
        <w:t xml:space="preserve"> (pp. 347–367). University of Chicago Press.</w:t>
      </w:r>
      <w:r>
        <w:rPr>
          <w:rFonts w:ascii="Times New Roman" w:eastAsia="Times New Roman" w:hAnsi="Times New Roman" w:cs="Times New Roman"/>
          <w:kern w:val="0"/>
          <w:sz w:val="20"/>
          <w:szCs w:val="20"/>
          <w14:ligatures w14:val="none"/>
        </w:rPr>
        <w:t xml:space="preserve"> </w:t>
      </w:r>
    </w:p>
    <w:p w14:paraId="70B212E3" w14:textId="77777777" w:rsidR="00501DB3" w:rsidRDefault="0004477D" w:rsidP="00501DB3">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37D06" w:rsidRPr="00004641">
        <w:rPr>
          <w:rFonts w:ascii="Times New Roman" w:eastAsia="Times New Roman" w:hAnsi="Times New Roman" w:cs="Times New Roman"/>
          <w:kern w:val="0"/>
          <w:sz w:val="20"/>
          <w:szCs w:val="20"/>
          <w14:ligatures w14:val="none"/>
        </w:rPr>
        <w:t xml:space="preserve">Muth, J. F. (1961). Rational expectations and the theory of price movements. </w:t>
      </w:r>
      <w:proofErr w:type="spellStart"/>
      <w:r w:rsidR="00C37D06" w:rsidRPr="00004641">
        <w:rPr>
          <w:rFonts w:ascii="Times New Roman" w:eastAsia="Times New Roman" w:hAnsi="Times New Roman" w:cs="Times New Roman"/>
          <w:i/>
          <w:iCs/>
          <w:kern w:val="0"/>
          <w:sz w:val="20"/>
          <w:szCs w:val="20"/>
          <w14:ligatures w14:val="none"/>
        </w:rPr>
        <w:t>Econometrica</w:t>
      </w:r>
      <w:proofErr w:type="spellEnd"/>
      <w:r w:rsidR="00C37D06" w:rsidRPr="00004641">
        <w:rPr>
          <w:rFonts w:ascii="Times New Roman" w:eastAsia="Times New Roman" w:hAnsi="Times New Roman" w:cs="Times New Roman"/>
          <w:i/>
          <w:iCs/>
          <w:kern w:val="0"/>
          <w:sz w:val="20"/>
          <w:szCs w:val="20"/>
          <w14:ligatures w14:val="none"/>
        </w:rPr>
        <w:t>, 29</w:t>
      </w:r>
      <w:r w:rsidR="00C37D06" w:rsidRPr="00004641">
        <w:rPr>
          <w:rFonts w:ascii="Times New Roman" w:eastAsia="Times New Roman" w:hAnsi="Times New Roman" w:cs="Times New Roman"/>
          <w:kern w:val="0"/>
          <w:sz w:val="20"/>
          <w:szCs w:val="20"/>
          <w14:ligatures w14:val="none"/>
        </w:rPr>
        <w:t xml:space="preserve">(3), 315–335. </w:t>
      </w:r>
      <w:hyperlink r:id="rId25" w:history="1">
        <w:r w:rsidR="0029625A" w:rsidRPr="00004641">
          <w:rPr>
            <w:rStyle w:val="Hyperlink"/>
            <w:rFonts w:ascii="Times New Roman" w:eastAsia="Times New Roman" w:hAnsi="Times New Roman" w:cs="Times New Roman"/>
            <w:kern w:val="0"/>
            <w:sz w:val="20"/>
            <w:szCs w:val="20"/>
            <w14:ligatures w14:val="none"/>
          </w:rPr>
          <w:t>https://doi.org/10.2307/1909635</w:t>
        </w:r>
      </w:hyperlink>
      <w:r w:rsidR="0029625A" w:rsidRPr="00004641">
        <w:rPr>
          <w:rFonts w:ascii="Times New Roman" w:eastAsia="Times New Roman" w:hAnsi="Times New Roman" w:cs="Times New Roman"/>
          <w:kern w:val="0"/>
          <w:sz w:val="20"/>
          <w:szCs w:val="20"/>
          <w14:ligatures w14:val="none"/>
        </w:rPr>
        <w:t xml:space="preserve"> </w:t>
      </w:r>
      <w:r w:rsidR="00501DB3">
        <w:rPr>
          <w:rFonts w:ascii="Times New Roman" w:eastAsia="Times New Roman" w:hAnsi="Times New Roman" w:cs="Times New Roman"/>
          <w:kern w:val="0"/>
          <w:sz w:val="20"/>
          <w:szCs w:val="20"/>
          <w14:ligatures w14:val="none"/>
        </w:rPr>
        <w:t xml:space="preserve"> </w:t>
      </w:r>
    </w:p>
    <w:p w14:paraId="6201B44B" w14:textId="680DB3A8" w:rsidR="00501DB3" w:rsidRPr="00501DB3" w:rsidRDefault="00501DB3" w:rsidP="00501DB3">
      <w:pPr>
        <w:spacing w:before="100" w:beforeAutospacing="1" w:after="100" w:afterAutospacing="1" w:line="240" w:lineRule="auto"/>
        <w:ind w:hanging="426"/>
        <w:rPr>
          <w:rFonts w:ascii="Times New Roman" w:hAnsi="Times New Roman" w:cs="Times New Roman"/>
          <w:sz w:val="24"/>
          <w:szCs w:val="24"/>
        </w:rPr>
      </w:pPr>
      <w:r w:rsidRPr="00501DB3">
        <w:rPr>
          <w:rFonts w:ascii="Times New Roman" w:hAnsi="Times New Roman" w:cs="Times New Roman"/>
          <w:sz w:val="24"/>
          <w:szCs w:val="24"/>
          <w:highlight w:val="yellow"/>
        </w:rPr>
        <w:t xml:space="preserve">Duke, O. O., Opiah, D., </w:t>
      </w:r>
      <w:proofErr w:type="spellStart"/>
      <w:r w:rsidRPr="00501DB3">
        <w:rPr>
          <w:rFonts w:ascii="Times New Roman" w:hAnsi="Times New Roman" w:cs="Times New Roman"/>
          <w:sz w:val="24"/>
          <w:szCs w:val="24"/>
          <w:highlight w:val="yellow"/>
        </w:rPr>
        <w:t>Asuzu</w:t>
      </w:r>
      <w:proofErr w:type="spellEnd"/>
      <w:r w:rsidRPr="00501DB3">
        <w:rPr>
          <w:rFonts w:ascii="Times New Roman" w:hAnsi="Times New Roman" w:cs="Times New Roman"/>
          <w:sz w:val="24"/>
          <w:szCs w:val="24"/>
          <w:highlight w:val="yellow"/>
        </w:rPr>
        <w:t xml:space="preserve">, O., </w:t>
      </w:r>
      <w:proofErr w:type="spellStart"/>
      <w:r w:rsidRPr="00501DB3">
        <w:rPr>
          <w:rFonts w:ascii="Times New Roman" w:hAnsi="Times New Roman" w:cs="Times New Roman"/>
          <w:sz w:val="24"/>
          <w:szCs w:val="24"/>
          <w:highlight w:val="yellow"/>
        </w:rPr>
        <w:t>Akadiri</w:t>
      </w:r>
      <w:proofErr w:type="spellEnd"/>
      <w:r w:rsidRPr="00501DB3">
        <w:rPr>
          <w:rFonts w:ascii="Times New Roman" w:hAnsi="Times New Roman" w:cs="Times New Roman"/>
          <w:sz w:val="24"/>
          <w:szCs w:val="24"/>
          <w:highlight w:val="yellow"/>
        </w:rPr>
        <w:t xml:space="preserve">, S. S., Umaru, A., </w:t>
      </w:r>
      <w:proofErr w:type="spellStart"/>
      <w:r w:rsidRPr="00501DB3">
        <w:rPr>
          <w:rFonts w:ascii="Times New Roman" w:hAnsi="Times New Roman" w:cs="Times New Roman"/>
          <w:sz w:val="24"/>
          <w:szCs w:val="24"/>
          <w:highlight w:val="yellow"/>
        </w:rPr>
        <w:t>Offum</w:t>
      </w:r>
      <w:proofErr w:type="spellEnd"/>
      <w:r w:rsidRPr="00501DB3">
        <w:rPr>
          <w:rFonts w:ascii="Times New Roman" w:hAnsi="Times New Roman" w:cs="Times New Roman"/>
          <w:sz w:val="24"/>
          <w:szCs w:val="24"/>
          <w:highlight w:val="yellow"/>
        </w:rPr>
        <w:t xml:space="preserve">, P., &amp; Ibrahim, A. S. (2024). </w:t>
      </w:r>
      <w:r w:rsidRPr="00501DB3">
        <w:rPr>
          <w:rStyle w:val="Emphasis"/>
          <w:rFonts w:ascii="Times New Roman" w:hAnsi="Times New Roman" w:cs="Times New Roman"/>
          <w:sz w:val="24"/>
          <w:szCs w:val="24"/>
          <w:highlight w:val="yellow"/>
        </w:rPr>
        <w:t>An extended Taylor rule for a small open African economy</w:t>
      </w:r>
      <w:r w:rsidRPr="00501DB3">
        <w:rPr>
          <w:rFonts w:ascii="Times New Roman" w:hAnsi="Times New Roman" w:cs="Times New Roman"/>
          <w:sz w:val="24"/>
          <w:szCs w:val="24"/>
          <w:highlight w:val="yellow"/>
        </w:rPr>
        <w:t xml:space="preserve">. </w:t>
      </w:r>
      <w:r w:rsidRPr="00501DB3">
        <w:rPr>
          <w:rStyle w:val="Emphasis"/>
          <w:rFonts w:ascii="Times New Roman" w:hAnsi="Times New Roman" w:cs="Times New Roman"/>
          <w:sz w:val="24"/>
          <w:szCs w:val="24"/>
          <w:highlight w:val="yellow"/>
        </w:rPr>
        <w:t>Scientific African, 23</w:t>
      </w:r>
      <w:r w:rsidRPr="00501DB3">
        <w:rPr>
          <w:rFonts w:ascii="Times New Roman" w:hAnsi="Times New Roman" w:cs="Times New Roman"/>
          <w:sz w:val="24"/>
          <w:szCs w:val="24"/>
          <w:highlight w:val="yellow"/>
        </w:rPr>
        <w:t xml:space="preserve">, e02076. </w:t>
      </w:r>
      <w:hyperlink r:id="rId26" w:history="1">
        <w:r w:rsidRPr="00501DB3">
          <w:rPr>
            <w:rStyle w:val="Hyperlink"/>
            <w:rFonts w:ascii="Times New Roman" w:hAnsi="Times New Roman" w:cs="Times New Roman"/>
            <w:color w:val="auto"/>
            <w:sz w:val="24"/>
            <w:szCs w:val="24"/>
            <w:highlight w:val="yellow"/>
          </w:rPr>
          <w:t>https://doi.org/10.1016/j.sciaf.2024.e02076</w:t>
        </w:r>
      </w:hyperlink>
    </w:p>
    <w:p w14:paraId="30CAF2CA"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Orphanides, A. (2001). Monetary policy rules based on real-time data. </w:t>
      </w:r>
      <w:r w:rsidRPr="00004641">
        <w:rPr>
          <w:rFonts w:ascii="Times New Roman" w:eastAsia="Times New Roman" w:hAnsi="Times New Roman" w:cs="Times New Roman"/>
          <w:i/>
          <w:iCs/>
          <w:kern w:val="0"/>
          <w:sz w:val="20"/>
          <w:szCs w:val="20"/>
          <w14:ligatures w14:val="none"/>
        </w:rPr>
        <w:t>American Economic Review, 91</w:t>
      </w:r>
      <w:r w:rsidRPr="00004641">
        <w:rPr>
          <w:rFonts w:ascii="Times New Roman" w:eastAsia="Times New Roman" w:hAnsi="Times New Roman" w:cs="Times New Roman"/>
          <w:kern w:val="0"/>
          <w:sz w:val="20"/>
          <w:szCs w:val="20"/>
          <w14:ligatures w14:val="none"/>
        </w:rPr>
        <w:t xml:space="preserve">(4), 964–985. </w:t>
      </w:r>
      <w:hyperlink r:id="rId27" w:history="1">
        <w:r w:rsidR="0029625A" w:rsidRPr="00004641">
          <w:rPr>
            <w:rStyle w:val="Hyperlink"/>
            <w:rFonts w:ascii="Times New Roman" w:eastAsia="Times New Roman" w:hAnsi="Times New Roman" w:cs="Times New Roman"/>
            <w:kern w:val="0"/>
            <w:sz w:val="20"/>
            <w:szCs w:val="20"/>
            <w14:ligatures w14:val="none"/>
          </w:rPr>
          <w:t>https://doi.org/10.1257/aer.91.4.964</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6E0B8533" w14:textId="50DC5C3A" w:rsidR="0004477D" w:rsidRP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lastRenderedPageBreak/>
        <w:t xml:space="preserve"> Roger, S. (2010). Inflation targeting turns 20. </w:t>
      </w:r>
      <w:r w:rsidRPr="0004477D">
        <w:rPr>
          <w:rFonts w:ascii="Times New Roman" w:eastAsiaTheme="majorEastAsia" w:hAnsi="Times New Roman" w:cs="Times New Roman"/>
          <w:i/>
          <w:iCs/>
          <w:kern w:val="0"/>
          <w:sz w:val="20"/>
          <w:szCs w:val="20"/>
          <w14:ligatures w14:val="none"/>
        </w:rPr>
        <w:t>Finance &amp; Development, 47</w:t>
      </w:r>
      <w:r w:rsidRPr="0004477D">
        <w:rPr>
          <w:rFonts w:ascii="Times New Roman" w:eastAsia="Times New Roman" w:hAnsi="Times New Roman" w:cs="Times New Roman"/>
          <w:kern w:val="0"/>
          <w:sz w:val="20"/>
          <w:szCs w:val="20"/>
          <w14:ligatures w14:val="none"/>
        </w:rPr>
        <w:t>(1), 46–49. International Monetary Fund.</w:t>
      </w:r>
    </w:p>
    <w:p w14:paraId="666C586A" w14:textId="77777777" w:rsidR="0004477D"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Sargent, T. J., &amp; Wallace, N. (1975). Rational expectations, the optimal monetary instrument, and the optimal money supply rule. </w:t>
      </w:r>
      <w:r w:rsidRPr="00004641">
        <w:rPr>
          <w:rFonts w:ascii="Times New Roman" w:eastAsia="Times New Roman" w:hAnsi="Times New Roman" w:cs="Times New Roman"/>
          <w:i/>
          <w:iCs/>
          <w:kern w:val="0"/>
          <w:sz w:val="20"/>
          <w:szCs w:val="20"/>
          <w14:ligatures w14:val="none"/>
        </w:rPr>
        <w:t>Journal of Political Economy, 83</w:t>
      </w:r>
      <w:r w:rsidRPr="00004641">
        <w:rPr>
          <w:rFonts w:ascii="Times New Roman" w:eastAsia="Times New Roman" w:hAnsi="Times New Roman" w:cs="Times New Roman"/>
          <w:kern w:val="0"/>
          <w:sz w:val="20"/>
          <w:szCs w:val="20"/>
          <w14:ligatures w14:val="none"/>
        </w:rPr>
        <w:t xml:space="preserve">(2), 241–254. </w:t>
      </w:r>
      <w:hyperlink r:id="rId28" w:history="1">
        <w:r w:rsidR="0029625A" w:rsidRPr="00004641">
          <w:rPr>
            <w:rStyle w:val="Hyperlink"/>
            <w:rFonts w:ascii="Times New Roman" w:eastAsia="Times New Roman" w:hAnsi="Times New Roman" w:cs="Times New Roman"/>
            <w:kern w:val="0"/>
            <w:sz w:val="20"/>
            <w:szCs w:val="20"/>
            <w14:ligatures w14:val="none"/>
          </w:rPr>
          <w:t>https://doi.org/10.1086/260321</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79D9C3DE" w14:textId="77777777" w:rsidR="00B25DF2" w:rsidRDefault="00C37D06" w:rsidP="0029625A">
      <w:pPr>
        <w:spacing w:before="100" w:beforeAutospacing="1" w:after="100" w:afterAutospacing="1" w:line="240" w:lineRule="auto"/>
        <w:ind w:hanging="426"/>
      </w:pPr>
      <w:r w:rsidRPr="00004641">
        <w:rPr>
          <w:rFonts w:ascii="Times New Roman" w:eastAsia="Times New Roman" w:hAnsi="Times New Roman" w:cs="Times New Roman"/>
          <w:kern w:val="0"/>
          <w:sz w:val="20"/>
          <w:szCs w:val="20"/>
          <w14:ligatures w14:val="none"/>
        </w:rPr>
        <w:t xml:space="preserve">Simms, C. A. (1980). Macroeconomics and reality. </w:t>
      </w:r>
      <w:proofErr w:type="spellStart"/>
      <w:r w:rsidRPr="00004641">
        <w:rPr>
          <w:rFonts w:ascii="Times New Roman" w:eastAsia="Times New Roman" w:hAnsi="Times New Roman" w:cs="Times New Roman"/>
          <w:i/>
          <w:iCs/>
          <w:kern w:val="0"/>
          <w:sz w:val="20"/>
          <w:szCs w:val="20"/>
          <w14:ligatures w14:val="none"/>
        </w:rPr>
        <w:t>Econometrica</w:t>
      </w:r>
      <w:proofErr w:type="spellEnd"/>
      <w:r w:rsidRPr="00004641">
        <w:rPr>
          <w:rFonts w:ascii="Times New Roman" w:eastAsia="Times New Roman" w:hAnsi="Times New Roman" w:cs="Times New Roman"/>
          <w:i/>
          <w:iCs/>
          <w:kern w:val="0"/>
          <w:sz w:val="20"/>
          <w:szCs w:val="20"/>
          <w14:ligatures w14:val="none"/>
        </w:rPr>
        <w:t>, 48</w:t>
      </w:r>
      <w:r w:rsidRPr="00004641">
        <w:rPr>
          <w:rFonts w:ascii="Times New Roman" w:eastAsia="Times New Roman" w:hAnsi="Times New Roman" w:cs="Times New Roman"/>
          <w:kern w:val="0"/>
          <w:sz w:val="20"/>
          <w:szCs w:val="20"/>
          <w14:ligatures w14:val="none"/>
        </w:rPr>
        <w:t xml:space="preserve">(1), 1–48. </w:t>
      </w:r>
      <w:hyperlink r:id="rId29" w:history="1">
        <w:r w:rsidR="0029625A" w:rsidRPr="00004641">
          <w:rPr>
            <w:rStyle w:val="Hyperlink"/>
            <w:rFonts w:ascii="Times New Roman" w:eastAsia="Times New Roman" w:hAnsi="Times New Roman" w:cs="Times New Roman"/>
            <w:kern w:val="0"/>
            <w:sz w:val="20"/>
            <w:szCs w:val="20"/>
            <w14:ligatures w14:val="none"/>
          </w:rPr>
          <w:t>https://doi.org/10.2307/1912017</w:t>
        </w:r>
      </w:hyperlink>
      <w:r w:rsidR="0004477D">
        <w:t xml:space="preserve"> </w:t>
      </w:r>
      <w:r w:rsidR="00B25DF2">
        <w:t xml:space="preserve"> </w:t>
      </w:r>
    </w:p>
    <w:p w14:paraId="0D2B0CE2" w14:textId="2DD9BC83" w:rsidR="0004477D" w:rsidRPr="00B25DF2" w:rsidRDefault="00B25DF2" w:rsidP="0029625A">
      <w:pPr>
        <w:spacing w:before="100" w:beforeAutospacing="1" w:after="100" w:afterAutospacing="1" w:line="240" w:lineRule="auto"/>
        <w:ind w:hanging="426"/>
        <w:rPr>
          <w:rFonts w:ascii="Times New Roman" w:hAnsi="Times New Roman" w:cs="Times New Roman"/>
        </w:rPr>
      </w:pPr>
      <w:r w:rsidRPr="00B25DF2">
        <w:rPr>
          <w:rFonts w:ascii="Times New Roman" w:hAnsi="Times New Roman" w:cs="Times New Roman"/>
          <w:highlight w:val="yellow"/>
        </w:rPr>
        <w:t xml:space="preserve">Stiglitz, J. E. (2008). The economic crisis and the crisis in economics. In R. Frydman &amp; M. Goldberg (Eds.), </w:t>
      </w:r>
      <w:r w:rsidRPr="00B25DF2">
        <w:rPr>
          <w:rStyle w:val="Emphasis"/>
          <w:rFonts w:ascii="Times New Roman" w:hAnsi="Times New Roman" w:cs="Times New Roman"/>
          <w:highlight w:val="yellow"/>
        </w:rPr>
        <w:t>Beyond mechanical markets: Asset price swings, risk, and the role of the state</w:t>
      </w:r>
      <w:r w:rsidRPr="00B25DF2">
        <w:rPr>
          <w:rFonts w:ascii="Times New Roman" w:hAnsi="Times New Roman" w:cs="Times New Roman"/>
          <w:highlight w:val="yellow"/>
        </w:rPr>
        <w:t xml:space="preserve"> (pp. 17–53). New York, NY: Palgrave Macmillan. </w:t>
      </w:r>
      <w:hyperlink r:id="rId30" w:history="1">
        <w:r w:rsidRPr="00B25DF2">
          <w:rPr>
            <w:rStyle w:val="Hyperlink"/>
            <w:rFonts w:ascii="Times New Roman" w:hAnsi="Times New Roman" w:cs="Times New Roman"/>
            <w:highlight w:val="yellow"/>
          </w:rPr>
          <w:t>https://doi.org/10.1057/9780230118355_2</w:t>
        </w:r>
      </w:hyperlink>
    </w:p>
    <w:p w14:paraId="21A2B71F" w14:textId="474D8BC5" w:rsidR="0004477D" w:rsidRPr="00F62BCD" w:rsidRDefault="00C37D06" w:rsidP="009945C8">
      <w:pPr>
        <w:spacing w:before="100" w:beforeAutospacing="1" w:after="100" w:afterAutospacing="1" w:line="240" w:lineRule="auto"/>
        <w:ind w:hanging="426"/>
        <w:rPr>
          <w:rFonts w:ascii="Times New Roman" w:hAnsi="Times New Roman" w:cs="Times New Roman"/>
        </w:rPr>
      </w:pPr>
      <w:r w:rsidRPr="00004641">
        <w:rPr>
          <w:rFonts w:ascii="Times New Roman" w:eastAsia="Times New Roman" w:hAnsi="Times New Roman" w:cs="Times New Roman"/>
          <w:kern w:val="0"/>
          <w:sz w:val="20"/>
          <w:szCs w:val="20"/>
          <w14:ligatures w14:val="none"/>
        </w:rPr>
        <w:t xml:space="preserve">Stock, J. H., &amp; Watson, M. W. (2001). Vector autoregressions. </w:t>
      </w:r>
      <w:r w:rsidRPr="00004641">
        <w:rPr>
          <w:rFonts w:ascii="Times New Roman" w:eastAsia="Times New Roman" w:hAnsi="Times New Roman" w:cs="Times New Roman"/>
          <w:i/>
          <w:iCs/>
          <w:kern w:val="0"/>
          <w:sz w:val="20"/>
          <w:szCs w:val="20"/>
          <w14:ligatures w14:val="none"/>
        </w:rPr>
        <w:t>Journal of Economic Perspectives, 15</w:t>
      </w:r>
      <w:r w:rsidRPr="00004641">
        <w:rPr>
          <w:rFonts w:ascii="Times New Roman" w:eastAsia="Times New Roman" w:hAnsi="Times New Roman" w:cs="Times New Roman"/>
          <w:kern w:val="0"/>
          <w:sz w:val="20"/>
          <w:szCs w:val="20"/>
          <w14:ligatures w14:val="none"/>
        </w:rPr>
        <w:t xml:space="preserve">(4), 101–115. </w:t>
      </w:r>
      <w:hyperlink r:id="rId31" w:history="1">
        <w:r w:rsidR="0029625A" w:rsidRPr="00004641">
          <w:rPr>
            <w:rStyle w:val="Hyperlink"/>
            <w:rFonts w:ascii="Times New Roman" w:eastAsia="Times New Roman" w:hAnsi="Times New Roman" w:cs="Times New Roman"/>
            <w:kern w:val="0"/>
            <w:sz w:val="20"/>
            <w:szCs w:val="20"/>
            <w14:ligatures w14:val="none"/>
          </w:rPr>
          <w:t>https://doi.org/10.1257/jep.15.4.101</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r w:rsidR="009945C8">
        <w:rPr>
          <w:rFonts w:ascii="Times New Roman" w:eastAsia="Times New Roman" w:hAnsi="Times New Roman" w:cs="Times New Roman"/>
          <w:kern w:val="0"/>
          <w:sz w:val="20"/>
          <w:szCs w:val="20"/>
          <w14:ligatures w14:val="none"/>
        </w:rPr>
        <w:t xml:space="preserve"> </w:t>
      </w:r>
      <w:r w:rsidR="0004477D" w:rsidRPr="00F62BCD">
        <w:rPr>
          <w:rFonts w:ascii="Times New Roman" w:hAnsi="Times New Roman" w:cs="Times New Roman"/>
        </w:rPr>
        <w:t xml:space="preserve">Svensson, L. E. O. (1997). Inflation forecast targeting: Implementing and monitoring inflation targets. </w:t>
      </w:r>
      <w:r w:rsidR="0004477D" w:rsidRPr="00F62BCD">
        <w:rPr>
          <w:rFonts w:ascii="Times New Roman" w:hAnsi="Times New Roman" w:cs="Times New Roman"/>
          <w:i/>
          <w:iCs/>
        </w:rPr>
        <w:t>European Economic Review, 41</w:t>
      </w:r>
      <w:r w:rsidR="0004477D" w:rsidRPr="00F62BCD">
        <w:rPr>
          <w:rFonts w:ascii="Times New Roman" w:hAnsi="Times New Roman" w:cs="Times New Roman"/>
        </w:rPr>
        <w:t>(6), 1111–1146. https://doi.org/10.1016/S0014-2921(96)00055-4</w:t>
      </w:r>
    </w:p>
    <w:p w14:paraId="3AB45D75" w14:textId="77777777" w:rsidR="008852F1" w:rsidRPr="00F62BCD" w:rsidRDefault="0004477D" w:rsidP="0029625A">
      <w:pPr>
        <w:spacing w:before="100" w:beforeAutospacing="1" w:after="100" w:afterAutospacing="1" w:line="240" w:lineRule="auto"/>
        <w:ind w:hanging="426"/>
        <w:rPr>
          <w:rFonts w:ascii="Times New Roman" w:eastAsia="Times New Roman" w:hAnsi="Times New Roman" w:cs="Times New Roman"/>
          <w:kern w:val="0"/>
          <w14:ligatures w14:val="none"/>
        </w:rPr>
      </w:pPr>
      <w:r w:rsidRPr="00F62BCD">
        <w:rPr>
          <w:rFonts w:ascii="Times New Roman" w:eastAsia="Times New Roman" w:hAnsi="Times New Roman" w:cs="Times New Roman"/>
          <w:kern w:val="0"/>
          <w14:ligatures w14:val="none"/>
        </w:rPr>
        <w:t xml:space="preserve"> </w:t>
      </w:r>
      <w:r w:rsidR="00C37D06" w:rsidRPr="00F62BCD">
        <w:rPr>
          <w:rFonts w:ascii="Times New Roman" w:eastAsia="Times New Roman" w:hAnsi="Times New Roman" w:cs="Times New Roman"/>
          <w:kern w:val="0"/>
          <w14:ligatures w14:val="none"/>
        </w:rPr>
        <w:t xml:space="preserve">Taylor, J. B. (1993). Discretion versus policy rules in practice. </w:t>
      </w:r>
      <w:r w:rsidR="00C37D06" w:rsidRPr="00F62BCD">
        <w:rPr>
          <w:rFonts w:ascii="Times New Roman" w:eastAsia="Times New Roman" w:hAnsi="Times New Roman" w:cs="Times New Roman"/>
          <w:i/>
          <w:iCs/>
          <w:kern w:val="0"/>
          <w14:ligatures w14:val="none"/>
        </w:rPr>
        <w:t>Carnegie-Rochester Conference Series on Public Policy, 39</w:t>
      </w:r>
      <w:r w:rsidR="00C37D06" w:rsidRPr="00F62BCD">
        <w:rPr>
          <w:rFonts w:ascii="Times New Roman" w:eastAsia="Times New Roman" w:hAnsi="Times New Roman" w:cs="Times New Roman"/>
          <w:kern w:val="0"/>
          <w14:ligatures w14:val="none"/>
        </w:rPr>
        <w:t xml:space="preserve">, 195–214. </w:t>
      </w:r>
      <w:hyperlink r:id="rId32" w:history="1">
        <w:r w:rsidR="0029625A" w:rsidRPr="00F62BCD">
          <w:rPr>
            <w:rStyle w:val="Hyperlink"/>
            <w:rFonts w:ascii="Times New Roman" w:eastAsia="Times New Roman" w:hAnsi="Times New Roman" w:cs="Times New Roman"/>
            <w:kern w:val="0"/>
            <w14:ligatures w14:val="none"/>
          </w:rPr>
          <w:t>https://doi.org/10.1016/0167-2231(93)90009-L</w:t>
        </w:r>
      </w:hyperlink>
      <w:r w:rsidR="0029625A" w:rsidRPr="00F62BCD">
        <w:rPr>
          <w:rFonts w:ascii="Times New Roman" w:eastAsia="Times New Roman" w:hAnsi="Times New Roman" w:cs="Times New Roman"/>
          <w:kern w:val="0"/>
          <w14:ligatures w14:val="none"/>
        </w:rPr>
        <w:t xml:space="preserve"> </w:t>
      </w:r>
      <w:r w:rsidR="008852F1" w:rsidRPr="00F62BCD">
        <w:rPr>
          <w:rFonts w:ascii="Times New Roman" w:eastAsia="Times New Roman" w:hAnsi="Times New Roman" w:cs="Times New Roman"/>
          <w:kern w:val="0"/>
          <w14:ligatures w14:val="none"/>
        </w:rPr>
        <w:t xml:space="preserve"> </w:t>
      </w:r>
    </w:p>
    <w:p w14:paraId="327FE6B8" w14:textId="77777777" w:rsidR="008852F1" w:rsidRPr="00F62BCD" w:rsidRDefault="00C37D06" w:rsidP="0029625A">
      <w:pPr>
        <w:spacing w:before="100" w:beforeAutospacing="1" w:after="100" w:afterAutospacing="1" w:line="240" w:lineRule="auto"/>
        <w:ind w:hanging="426"/>
        <w:rPr>
          <w:rFonts w:ascii="Times New Roman" w:eastAsia="Times New Roman" w:hAnsi="Times New Roman" w:cs="Times New Roman"/>
          <w:kern w:val="0"/>
          <w14:ligatures w14:val="none"/>
        </w:rPr>
      </w:pPr>
      <w:r w:rsidRPr="00F62BCD">
        <w:rPr>
          <w:rFonts w:ascii="Times New Roman" w:eastAsia="Times New Roman" w:hAnsi="Times New Roman" w:cs="Times New Roman"/>
          <w:kern w:val="0"/>
          <w14:ligatures w14:val="none"/>
        </w:rPr>
        <w:t xml:space="preserve">World Bank. (2023). </w:t>
      </w:r>
      <w:r w:rsidRPr="00F62BCD">
        <w:rPr>
          <w:rFonts w:ascii="Times New Roman" w:eastAsia="Times New Roman" w:hAnsi="Times New Roman" w:cs="Times New Roman"/>
          <w:i/>
          <w:iCs/>
          <w:kern w:val="0"/>
          <w14:ligatures w14:val="none"/>
        </w:rPr>
        <w:t>Zambia macro-fiscal assessment report</w:t>
      </w:r>
      <w:r w:rsidRPr="00F62BCD">
        <w:rPr>
          <w:rFonts w:ascii="Times New Roman" w:eastAsia="Times New Roman" w:hAnsi="Times New Roman" w:cs="Times New Roman"/>
          <w:kern w:val="0"/>
          <w14:ligatures w14:val="none"/>
        </w:rPr>
        <w:t xml:space="preserve">. </w:t>
      </w:r>
      <w:hyperlink r:id="rId33" w:tgtFrame="_new" w:history="1">
        <w:r w:rsidRPr="00F62BCD">
          <w:rPr>
            <w:rFonts w:ascii="Times New Roman" w:eastAsia="Times New Roman" w:hAnsi="Times New Roman" w:cs="Times New Roman"/>
            <w:color w:val="0000FF"/>
            <w:kern w:val="0"/>
            <w:u w:val="single"/>
            <w14:ligatures w14:val="none"/>
          </w:rPr>
          <w:t>https://www.worldbank.org</w:t>
        </w:r>
      </w:hyperlink>
      <w:r w:rsidR="0029625A" w:rsidRPr="00F62BCD">
        <w:rPr>
          <w:rFonts w:ascii="Times New Roman" w:eastAsia="Times New Roman" w:hAnsi="Times New Roman" w:cs="Times New Roman"/>
          <w:kern w:val="0"/>
          <w14:ligatures w14:val="none"/>
        </w:rPr>
        <w:t xml:space="preserve"> </w:t>
      </w:r>
      <w:r w:rsidR="008852F1" w:rsidRPr="00F62BCD">
        <w:rPr>
          <w:rFonts w:ascii="Times New Roman" w:eastAsia="Times New Roman" w:hAnsi="Times New Roman" w:cs="Times New Roman"/>
          <w:kern w:val="0"/>
          <w14:ligatures w14:val="none"/>
        </w:rPr>
        <w:t xml:space="preserve"> </w:t>
      </w:r>
    </w:p>
    <w:p w14:paraId="2ED04BA8" w14:textId="679DF9AA" w:rsidR="0029625A" w:rsidRPr="00F62BCD" w:rsidRDefault="008852F1" w:rsidP="0029625A">
      <w:pPr>
        <w:spacing w:before="100" w:beforeAutospacing="1" w:after="100" w:afterAutospacing="1" w:line="240" w:lineRule="auto"/>
        <w:ind w:hanging="426"/>
        <w:rPr>
          <w:rFonts w:ascii="Times New Roman" w:eastAsia="Times New Roman" w:hAnsi="Times New Roman" w:cs="Times New Roman"/>
          <w:kern w:val="0"/>
          <w14:ligatures w14:val="none"/>
        </w:rPr>
      </w:pPr>
      <w:r w:rsidRPr="00F62BCD">
        <w:rPr>
          <w:rFonts w:ascii="Times New Roman" w:hAnsi="Times New Roman" w:cs="Times New Roman"/>
        </w:rPr>
        <w:t xml:space="preserve">World Bank. (2025). </w:t>
      </w:r>
      <w:r w:rsidRPr="00F62BCD">
        <w:rPr>
          <w:rFonts w:ascii="Times New Roman" w:hAnsi="Times New Roman" w:cs="Times New Roman"/>
          <w:i/>
          <w:iCs/>
        </w:rPr>
        <w:t>World Bank Country and Lending Groups</w:t>
      </w:r>
      <w:r w:rsidRPr="00F62BCD">
        <w:rPr>
          <w:rFonts w:ascii="Times New Roman" w:hAnsi="Times New Roman" w:cs="Times New Roman"/>
        </w:rPr>
        <w:t xml:space="preserve">. Retrieved from </w:t>
      </w:r>
      <w:hyperlink r:id="rId34" w:tgtFrame="_new" w:history="1">
        <w:r w:rsidRPr="00F62BCD">
          <w:rPr>
            <w:rFonts w:ascii="Times New Roman" w:hAnsi="Times New Roman" w:cs="Times New Roman"/>
            <w:color w:val="0000FF"/>
            <w:u w:val="single"/>
          </w:rPr>
          <w:t>https://datahelpdesk.worldbank.org/knowledgebase/articles/906519-world-bank-country-and-lending-group</w:t>
        </w:r>
      </w:hyperlink>
    </w:p>
    <w:p w14:paraId="431FE233" w14:textId="414AE7D0" w:rsidR="0074209E" w:rsidRPr="00F62BCD" w:rsidRDefault="00C37D06" w:rsidP="009945C8">
      <w:pPr>
        <w:spacing w:before="100" w:beforeAutospacing="1" w:after="100" w:afterAutospacing="1" w:line="240" w:lineRule="auto"/>
        <w:ind w:hanging="426"/>
        <w:rPr>
          <w:rFonts w:ascii="Times New Roman" w:eastAsia="Times New Roman" w:hAnsi="Times New Roman" w:cs="Times New Roman"/>
          <w:kern w:val="0"/>
          <w14:ligatures w14:val="none"/>
        </w:rPr>
      </w:pPr>
      <w:r w:rsidRPr="00F62BCD">
        <w:rPr>
          <w:rFonts w:ascii="Times New Roman" w:eastAsia="Times New Roman" w:hAnsi="Times New Roman" w:cs="Times New Roman"/>
          <w:kern w:val="0"/>
          <w14:ligatures w14:val="none"/>
        </w:rPr>
        <w:t xml:space="preserve">World Bank. (n.d.). </w:t>
      </w:r>
      <w:r w:rsidRPr="00F62BCD">
        <w:rPr>
          <w:rFonts w:ascii="Times New Roman" w:eastAsia="Times New Roman" w:hAnsi="Times New Roman" w:cs="Times New Roman"/>
          <w:i/>
          <w:iCs/>
          <w:kern w:val="0"/>
          <w14:ligatures w14:val="none"/>
        </w:rPr>
        <w:t>World Development Indicators</w:t>
      </w:r>
      <w:r w:rsidRPr="00F62BCD">
        <w:rPr>
          <w:rFonts w:ascii="Times New Roman" w:eastAsia="Times New Roman" w:hAnsi="Times New Roman" w:cs="Times New Roman"/>
          <w:kern w:val="0"/>
          <w14:ligatures w14:val="none"/>
        </w:rPr>
        <w:t xml:space="preserve">. </w:t>
      </w:r>
      <w:r w:rsidR="0029625A" w:rsidRPr="00F62BCD">
        <w:rPr>
          <w:rFonts w:ascii="Times New Roman" w:eastAsia="Times New Roman" w:hAnsi="Times New Roman" w:cs="Times New Roman"/>
          <w:kern w:val="0"/>
          <w14:ligatures w14:val="none"/>
        </w:rPr>
        <w:t xml:space="preserve"> </w:t>
      </w:r>
      <w:hyperlink r:id="rId35" w:history="1">
        <w:r w:rsidR="0029625A" w:rsidRPr="00F62BCD">
          <w:rPr>
            <w:rStyle w:val="Hyperlink"/>
            <w:rFonts w:ascii="Times New Roman" w:eastAsia="Times New Roman" w:hAnsi="Times New Roman" w:cs="Times New Roman"/>
            <w:kern w:val="0"/>
            <w14:ligatures w14:val="none"/>
          </w:rPr>
          <w:t>https://databank.wor</w:t>
        </w:r>
        <w:bookmarkStart w:id="35" w:name="_GoBack"/>
        <w:bookmarkEnd w:id="35"/>
        <w:r w:rsidR="0029625A" w:rsidRPr="00F62BCD">
          <w:rPr>
            <w:rStyle w:val="Hyperlink"/>
            <w:rFonts w:ascii="Times New Roman" w:eastAsia="Times New Roman" w:hAnsi="Times New Roman" w:cs="Times New Roman"/>
            <w:kern w:val="0"/>
            <w14:ligatures w14:val="none"/>
          </w:rPr>
          <w:t>ldbank.org/source/world-development-indicators</w:t>
        </w:r>
      </w:hyperlink>
      <w:r w:rsidR="009945C8" w:rsidRPr="00F62BCD">
        <w:rPr>
          <w:rFonts w:ascii="Times New Roman" w:hAnsi="Times New Roman" w:cs="Times New Roman"/>
        </w:rPr>
        <w:t xml:space="preserve">   </w:t>
      </w:r>
    </w:p>
    <w:p w14:paraId="1953257A" w14:textId="77777777" w:rsidR="0074209E" w:rsidRPr="00F62BCD" w:rsidRDefault="0074209E" w:rsidP="00C37D06">
      <w:pPr>
        <w:spacing w:after="0" w:line="240" w:lineRule="auto"/>
        <w:rPr>
          <w:rFonts w:ascii="Times New Roman" w:eastAsia="Times New Roman" w:hAnsi="Times New Roman" w:cs="Times New Roman"/>
          <w:kern w:val="0"/>
          <w14:ligatures w14:val="none"/>
        </w:rPr>
      </w:pPr>
    </w:p>
    <w:p w14:paraId="7055A81D" w14:textId="77777777" w:rsidR="0074209E" w:rsidRPr="00F62BCD" w:rsidRDefault="0074209E" w:rsidP="00C37D06">
      <w:pPr>
        <w:spacing w:after="0" w:line="240" w:lineRule="auto"/>
        <w:rPr>
          <w:rFonts w:ascii="Times New Roman" w:eastAsia="Times New Roman" w:hAnsi="Times New Roman" w:cs="Times New Roman"/>
          <w:kern w:val="0"/>
          <w14:ligatures w14:val="none"/>
        </w:rPr>
      </w:pPr>
    </w:p>
    <w:p w14:paraId="47F510B1" w14:textId="77777777" w:rsidR="0074209E" w:rsidRPr="00F62BCD" w:rsidRDefault="0074209E" w:rsidP="00C37D06">
      <w:pPr>
        <w:spacing w:after="0" w:line="240" w:lineRule="auto"/>
        <w:rPr>
          <w:rFonts w:ascii="Times New Roman" w:eastAsia="Times New Roman" w:hAnsi="Times New Roman" w:cs="Times New Roman"/>
          <w:kern w:val="0"/>
          <w14:ligatures w14:val="none"/>
        </w:rPr>
      </w:pPr>
    </w:p>
    <w:p w14:paraId="2BE551BF" w14:textId="77777777" w:rsidR="0074209E" w:rsidRPr="00F62BCD" w:rsidRDefault="0074209E" w:rsidP="00C37D06">
      <w:pPr>
        <w:spacing w:after="0" w:line="240" w:lineRule="auto"/>
        <w:rPr>
          <w:rFonts w:ascii="Times New Roman" w:eastAsia="Times New Roman" w:hAnsi="Times New Roman" w:cs="Times New Roman"/>
          <w:kern w:val="0"/>
          <w14:ligatures w14:val="none"/>
        </w:rPr>
      </w:pPr>
    </w:p>
    <w:sectPr w:rsidR="0074209E" w:rsidRPr="00F62BCD" w:rsidSect="0029625A">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9AED" w14:textId="77777777" w:rsidR="0092751A" w:rsidRDefault="0092751A" w:rsidP="00A86E6C">
      <w:pPr>
        <w:spacing w:after="0" w:line="240" w:lineRule="auto"/>
      </w:pPr>
      <w:r>
        <w:separator/>
      </w:r>
    </w:p>
  </w:endnote>
  <w:endnote w:type="continuationSeparator" w:id="0">
    <w:p w14:paraId="6D2F41FE" w14:textId="77777777" w:rsidR="0092751A" w:rsidRDefault="0092751A" w:rsidP="00A8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CEA2" w14:textId="77777777" w:rsidR="007E5F0A" w:rsidRDefault="007E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645129"/>
      <w:docPartObj>
        <w:docPartGallery w:val="Page Numbers (Bottom of Page)"/>
        <w:docPartUnique/>
      </w:docPartObj>
    </w:sdtPr>
    <w:sdtEndPr>
      <w:rPr>
        <w:noProof/>
      </w:rPr>
    </w:sdtEndPr>
    <w:sdtContent>
      <w:p w14:paraId="4A3B759B" w14:textId="769A41C2" w:rsidR="0029625A" w:rsidRDefault="0029625A">
        <w:pPr>
          <w:pStyle w:val="Footer"/>
          <w:jc w:val="right"/>
        </w:pPr>
        <w:r w:rsidRPr="0029625A">
          <w:rPr>
            <w:rFonts w:ascii="Times New Roman" w:hAnsi="Times New Roman" w:cs="Times New Roman"/>
            <w:sz w:val="24"/>
            <w:szCs w:val="24"/>
          </w:rPr>
          <w:fldChar w:fldCharType="begin"/>
        </w:r>
        <w:r w:rsidRPr="0029625A">
          <w:rPr>
            <w:rFonts w:ascii="Times New Roman" w:hAnsi="Times New Roman" w:cs="Times New Roman"/>
            <w:sz w:val="24"/>
            <w:szCs w:val="24"/>
          </w:rPr>
          <w:instrText xml:space="preserve"> PAGE   \* MERGEFORMAT </w:instrText>
        </w:r>
        <w:r w:rsidRPr="0029625A">
          <w:rPr>
            <w:rFonts w:ascii="Times New Roman" w:hAnsi="Times New Roman" w:cs="Times New Roman"/>
            <w:sz w:val="24"/>
            <w:szCs w:val="24"/>
          </w:rPr>
          <w:fldChar w:fldCharType="separate"/>
        </w:r>
        <w:r w:rsidR="00ED23CF">
          <w:rPr>
            <w:rFonts w:ascii="Times New Roman" w:hAnsi="Times New Roman" w:cs="Times New Roman"/>
            <w:noProof/>
            <w:sz w:val="24"/>
            <w:szCs w:val="24"/>
          </w:rPr>
          <w:t>13</w:t>
        </w:r>
        <w:r w:rsidRPr="0029625A">
          <w:rPr>
            <w:rFonts w:ascii="Times New Roman" w:hAnsi="Times New Roman" w:cs="Times New Roman"/>
            <w:noProof/>
            <w:sz w:val="24"/>
            <w:szCs w:val="24"/>
          </w:rPr>
          <w:fldChar w:fldCharType="end"/>
        </w:r>
      </w:p>
    </w:sdtContent>
  </w:sdt>
  <w:p w14:paraId="6387FACF" w14:textId="77777777" w:rsidR="0029625A" w:rsidRDefault="00296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58C8" w14:textId="77777777" w:rsidR="007E5F0A" w:rsidRDefault="007E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38AFB" w14:textId="77777777" w:rsidR="0092751A" w:rsidRDefault="0092751A" w:rsidP="00A86E6C">
      <w:pPr>
        <w:spacing w:after="0" w:line="240" w:lineRule="auto"/>
      </w:pPr>
      <w:r>
        <w:separator/>
      </w:r>
    </w:p>
  </w:footnote>
  <w:footnote w:type="continuationSeparator" w:id="0">
    <w:p w14:paraId="4D42D5A5" w14:textId="77777777" w:rsidR="0092751A" w:rsidRDefault="0092751A" w:rsidP="00A86E6C">
      <w:pPr>
        <w:spacing w:after="0" w:line="240" w:lineRule="auto"/>
      </w:pPr>
      <w:r>
        <w:continuationSeparator/>
      </w:r>
    </w:p>
  </w:footnote>
  <w:footnote w:id="1">
    <w:p w14:paraId="7427E26D" w14:textId="7AD841B4" w:rsidR="00AF34F4" w:rsidRPr="008852F1" w:rsidRDefault="00AF34F4" w:rsidP="008852F1">
      <w:pPr>
        <w:pStyle w:val="FootnoteText"/>
        <w:jc w:val="both"/>
        <w:rPr>
          <w:rFonts w:ascii="Times New Roman" w:hAnsi="Times New Roman" w:cs="Times New Roman"/>
        </w:rPr>
      </w:pPr>
      <w:r>
        <w:rPr>
          <w:rStyle w:val="FootnoteReference"/>
        </w:rPr>
        <w:footnoteRef/>
      </w:r>
      <w:r>
        <w:t xml:space="preserve"> </w:t>
      </w:r>
      <w:r w:rsidR="008852F1" w:rsidRPr="008852F1">
        <w:rPr>
          <w:rFonts w:ascii="Times New Roman" w:hAnsi="Times New Roman" w:cs="Times New Roman"/>
          <w:highlight w:val="yellow"/>
        </w:rPr>
        <w:t>The World Bank classifies developing economies by gross national income (GNI) per capita using the Atlas method, dividing them into four categories: Low-income (GNI per capita of $1,135 or less), Lower-middle-income ($1,136 to $4,465), Upper-middle-income ($4,466 to $13,845), and High-income ($13,846 or more). Developing economies typically refer to those in the low and middle-income brackets, facing challenges like low industrialization, poor infrastructure, and limited capital access (World Bank, 2025).</w:t>
      </w:r>
    </w:p>
  </w:footnote>
  <w:footnote w:id="2">
    <w:p w14:paraId="4C79FDD7" w14:textId="644C0274" w:rsidR="00A86E6C" w:rsidRPr="005F07D6" w:rsidRDefault="00A86E6C" w:rsidP="005F07D6">
      <w:pPr>
        <w:pStyle w:val="FootnoteText"/>
        <w:jc w:val="both"/>
        <w:rPr>
          <w:rFonts w:ascii="Times New Roman" w:hAnsi="Times New Roman" w:cs="Times New Roman"/>
          <w:sz w:val="22"/>
          <w:szCs w:val="22"/>
        </w:rPr>
      </w:pPr>
      <w:r w:rsidRPr="005F07D6">
        <w:rPr>
          <w:rStyle w:val="FootnoteReference"/>
          <w:rFonts w:ascii="Times New Roman" w:hAnsi="Times New Roman" w:cs="Times New Roman"/>
          <w:sz w:val="22"/>
          <w:szCs w:val="22"/>
        </w:rPr>
        <w:footnoteRef/>
      </w:r>
      <w:r w:rsidRPr="005F07D6">
        <w:rPr>
          <w:rFonts w:ascii="Times New Roman" w:hAnsi="Times New Roman" w:cs="Times New Roman"/>
          <w:sz w:val="22"/>
          <w:szCs w:val="22"/>
        </w:rPr>
        <w:t xml:space="preserve"> Well-anchored inflation expectations denote a scenario in which households, businesses, and financial markets anticipate that inflation will remain stable and aligned with the central bank’s target over the medium to long term, despite potential short-term economic </w:t>
      </w:r>
      <w:r w:rsidR="00B802C8">
        <w:rPr>
          <w:rFonts w:ascii="Times New Roman" w:hAnsi="Times New Roman" w:cs="Times New Roman"/>
          <w:sz w:val="22"/>
          <w:szCs w:val="22"/>
        </w:rPr>
        <w:t>shocks</w:t>
      </w:r>
      <w:r w:rsidRPr="005F07D6">
        <w:rPr>
          <w:rFonts w:ascii="Times New Roman" w:hAnsi="Times New Roman" w:cs="Times New Roman"/>
          <w:sz w:val="22"/>
          <w:szCs w:val="22"/>
        </w:rPr>
        <w:t>.</w:t>
      </w:r>
      <w:r w:rsidR="00B802C8">
        <w:rPr>
          <w:rFonts w:ascii="Times New Roman" w:hAnsi="Times New Roman" w:cs="Times New Roman"/>
          <w:sz w:val="22"/>
          <w:szCs w:val="22"/>
        </w:rPr>
        <w:t xml:space="preserve"> </w:t>
      </w:r>
      <w:r w:rsidRPr="005F07D6">
        <w:rPr>
          <w:rFonts w:ascii="Times New Roman" w:hAnsi="Times New Roman" w:cs="Times New Roman"/>
          <w:sz w:val="22"/>
          <w:szCs w:val="22"/>
        </w:rPr>
        <w:t xml:space="preserve">Central Banks </w:t>
      </w:r>
      <w:r w:rsidR="00B802C8">
        <w:rPr>
          <w:rFonts w:ascii="Times New Roman" w:hAnsi="Times New Roman" w:cs="Times New Roman"/>
          <w:sz w:val="22"/>
          <w:szCs w:val="22"/>
        </w:rPr>
        <w:t>a</w:t>
      </w:r>
      <w:r w:rsidRPr="005F07D6">
        <w:rPr>
          <w:rFonts w:ascii="Times New Roman" w:hAnsi="Times New Roman" w:cs="Times New Roman"/>
          <w:sz w:val="22"/>
          <w:szCs w:val="22"/>
        </w:rPr>
        <w:t xml:space="preserve">nchor </w:t>
      </w:r>
      <w:r w:rsidR="00B802C8">
        <w:rPr>
          <w:rFonts w:ascii="Times New Roman" w:hAnsi="Times New Roman" w:cs="Times New Roman"/>
          <w:sz w:val="22"/>
          <w:szCs w:val="22"/>
        </w:rPr>
        <w:t>e</w:t>
      </w:r>
      <w:r w:rsidRPr="005F07D6">
        <w:rPr>
          <w:rFonts w:ascii="Times New Roman" w:hAnsi="Times New Roman" w:cs="Times New Roman"/>
          <w:sz w:val="22"/>
          <w:szCs w:val="22"/>
        </w:rPr>
        <w:t>xpectations</w:t>
      </w:r>
      <w:r w:rsidR="005F07D6" w:rsidRPr="005F07D6">
        <w:rPr>
          <w:rFonts w:ascii="Times New Roman" w:hAnsi="Times New Roman" w:cs="Times New Roman"/>
          <w:sz w:val="22"/>
          <w:szCs w:val="22"/>
        </w:rPr>
        <w:t xml:space="preserve"> by c</w:t>
      </w:r>
      <w:r w:rsidRPr="005F07D6">
        <w:rPr>
          <w:rFonts w:ascii="Times New Roman" w:hAnsi="Times New Roman" w:cs="Times New Roman"/>
          <w:sz w:val="22"/>
          <w:szCs w:val="22"/>
        </w:rPr>
        <w:t>redible Inflation Targets</w:t>
      </w:r>
      <w:r w:rsidR="005F07D6" w:rsidRPr="005F07D6">
        <w:rPr>
          <w:rFonts w:ascii="Times New Roman" w:hAnsi="Times New Roman" w:cs="Times New Roman"/>
          <w:sz w:val="22"/>
          <w:szCs w:val="22"/>
        </w:rPr>
        <w:t xml:space="preserve"> (The</w:t>
      </w:r>
      <w:r w:rsidRPr="005F07D6">
        <w:rPr>
          <w:rFonts w:ascii="Times New Roman" w:hAnsi="Times New Roman" w:cs="Times New Roman"/>
          <w:sz w:val="22"/>
          <w:szCs w:val="22"/>
        </w:rPr>
        <w:t xml:space="preserve"> clear and consistent communication of the inflation target</w:t>
      </w:r>
      <w:r w:rsidR="00B802C8">
        <w:rPr>
          <w:rFonts w:ascii="Times New Roman" w:hAnsi="Times New Roman" w:cs="Times New Roman"/>
          <w:sz w:val="22"/>
          <w:szCs w:val="22"/>
        </w:rPr>
        <w:t xml:space="preserve">, </w:t>
      </w:r>
      <w:r w:rsidRPr="005F07D6">
        <w:rPr>
          <w:rFonts w:ascii="Times New Roman" w:hAnsi="Times New Roman" w:cs="Times New Roman"/>
          <w:sz w:val="22"/>
          <w:szCs w:val="22"/>
        </w:rPr>
        <w:t xml:space="preserve">for instance, </w:t>
      </w:r>
      <w:r w:rsidR="00C02019">
        <w:rPr>
          <w:rFonts w:ascii="Times New Roman" w:hAnsi="Times New Roman" w:cs="Times New Roman"/>
          <w:sz w:val="22"/>
          <w:szCs w:val="22"/>
        </w:rPr>
        <w:t>6-</w:t>
      </w:r>
      <w:r w:rsidR="005F07D6" w:rsidRPr="005F07D6">
        <w:rPr>
          <w:rFonts w:ascii="Times New Roman" w:hAnsi="Times New Roman" w:cs="Times New Roman"/>
          <w:sz w:val="22"/>
          <w:szCs w:val="22"/>
        </w:rPr>
        <w:t>8</w:t>
      </w:r>
      <w:r w:rsidRPr="005F07D6">
        <w:rPr>
          <w:rFonts w:ascii="Times New Roman" w:hAnsi="Times New Roman" w:cs="Times New Roman"/>
          <w:sz w:val="22"/>
          <w:szCs w:val="22"/>
        </w:rPr>
        <w:t>%</w:t>
      </w:r>
      <w:r w:rsidR="00C02019">
        <w:rPr>
          <w:rFonts w:ascii="Times New Roman" w:hAnsi="Times New Roman" w:cs="Times New Roman"/>
          <w:sz w:val="22"/>
          <w:szCs w:val="22"/>
        </w:rPr>
        <w:t xml:space="preserve"> for Zambia</w:t>
      </w:r>
      <w:r w:rsidR="004B37ED">
        <w:rPr>
          <w:rFonts w:ascii="Times New Roman" w:hAnsi="Times New Roman" w:cs="Times New Roman"/>
          <w:sz w:val="22"/>
          <w:szCs w:val="22"/>
        </w:rPr>
        <w:t>)</w:t>
      </w:r>
      <w:r w:rsidR="005F07D6" w:rsidRPr="005F07D6">
        <w:rPr>
          <w:rFonts w:ascii="Times New Roman" w:hAnsi="Times New Roman" w:cs="Times New Roman"/>
          <w:sz w:val="22"/>
          <w:szCs w:val="22"/>
        </w:rPr>
        <w:t xml:space="preserve">, </w:t>
      </w:r>
      <w:r w:rsidRPr="005F07D6">
        <w:rPr>
          <w:rFonts w:ascii="Times New Roman" w:hAnsi="Times New Roman" w:cs="Times New Roman"/>
          <w:sz w:val="22"/>
          <w:szCs w:val="22"/>
        </w:rPr>
        <w:t>Independence and Transparency</w:t>
      </w:r>
      <w:r w:rsidR="005F07D6" w:rsidRPr="005F07D6">
        <w:rPr>
          <w:rFonts w:ascii="Times New Roman" w:hAnsi="Times New Roman" w:cs="Times New Roman"/>
          <w:sz w:val="22"/>
          <w:szCs w:val="22"/>
        </w:rPr>
        <w:t xml:space="preserve"> </w:t>
      </w:r>
      <w:r w:rsidR="004B37ED" w:rsidRPr="005F07D6">
        <w:rPr>
          <w:rFonts w:ascii="Times New Roman" w:hAnsi="Times New Roman" w:cs="Times New Roman"/>
          <w:sz w:val="22"/>
          <w:szCs w:val="22"/>
        </w:rPr>
        <w:t>(</w:t>
      </w:r>
      <w:r w:rsidR="004B37ED">
        <w:rPr>
          <w:rFonts w:ascii="Times New Roman" w:hAnsi="Times New Roman" w:cs="Times New Roman"/>
          <w:sz w:val="22"/>
          <w:szCs w:val="22"/>
        </w:rPr>
        <w:t xml:space="preserve">implies that </w:t>
      </w:r>
      <w:r w:rsidRPr="005F07D6">
        <w:rPr>
          <w:rFonts w:ascii="Times New Roman" w:hAnsi="Times New Roman" w:cs="Times New Roman"/>
          <w:sz w:val="22"/>
          <w:szCs w:val="22"/>
        </w:rPr>
        <w:t xml:space="preserve">Central </w:t>
      </w:r>
      <w:r w:rsidR="00955A09">
        <w:rPr>
          <w:rFonts w:ascii="Times New Roman" w:hAnsi="Times New Roman" w:cs="Times New Roman"/>
          <w:sz w:val="22"/>
          <w:szCs w:val="22"/>
        </w:rPr>
        <w:t>B</w:t>
      </w:r>
      <w:r w:rsidRPr="005F07D6">
        <w:rPr>
          <w:rFonts w:ascii="Times New Roman" w:hAnsi="Times New Roman" w:cs="Times New Roman"/>
          <w:sz w:val="22"/>
          <w:szCs w:val="22"/>
        </w:rPr>
        <w:t>anks are more likely to earn public trust</w:t>
      </w:r>
      <w:r w:rsidR="005F07D6" w:rsidRPr="005F07D6">
        <w:rPr>
          <w:rFonts w:ascii="Times New Roman" w:hAnsi="Times New Roman" w:cs="Times New Roman"/>
          <w:sz w:val="22"/>
          <w:szCs w:val="22"/>
        </w:rPr>
        <w:t xml:space="preserve">) </w:t>
      </w:r>
      <w:r w:rsidR="00B802C8" w:rsidRPr="005F07D6">
        <w:rPr>
          <w:rFonts w:ascii="Times New Roman" w:hAnsi="Times New Roman" w:cs="Times New Roman"/>
          <w:sz w:val="22"/>
          <w:szCs w:val="22"/>
        </w:rPr>
        <w:t>and</w:t>
      </w:r>
      <w:r w:rsidR="00B802C8">
        <w:rPr>
          <w:rFonts w:ascii="Times New Roman" w:hAnsi="Times New Roman" w:cs="Times New Roman"/>
          <w:sz w:val="22"/>
          <w:szCs w:val="22"/>
        </w:rPr>
        <w:t xml:space="preserve"> h</w:t>
      </w:r>
      <w:r w:rsidR="00B802C8" w:rsidRPr="005F07D6">
        <w:rPr>
          <w:rFonts w:ascii="Times New Roman" w:hAnsi="Times New Roman" w:cs="Times New Roman"/>
          <w:sz w:val="22"/>
          <w:szCs w:val="22"/>
        </w:rPr>
        <w:t>istorical</w:t>
      </w:r>
      <w:r w:rsidRPr="005F07D6">
        <w:rPr>
          <w:rFonts w:ascii="Times New Roman" w:hAnsi="Times New Roman" w:cs="Times New Roman"/>
          <w:sz w:val="22"/>
          <w:szCs w:val="22"/>
        </w:rPr>
        <w:t xml:space="preserve"> </w:t>
      </w:r>
      <w:r w:rsidR="00B802C8">
        <w:rPr>
          <w:rFonts w:ascii="Times New Roman" w:hAnsi="Times New Roman" w:cs="Times New Roman"/>
          <w:sz w:val="22"/>
          <w:szCs w:val="22"/>
        </w:rPr>
        <w:t>p</w:t>
      </w:r>
      <w:r w:rsidRPr="005F07D6">
        <w:rPr>
          <w:rFonts w:ascii="Times New Roman" w:hAnsi="Times New Roman" w:cs="Times New Roman"/>
          <w:sz w:val="22"/>
          <w:szCs w:val="22"/>
        </w:rPr>
        <w:t>erformance</w:t>
      </w:r>
      <w:r w:rsidR="005F07D6" w:rsidRPr="005F07D6">
        <w:rPr>
          <w:rFonts w:ascii="Times New Roman" w:hAnsi="Times New Roman" w:cs="Times New Roman"/>
          <w:sz w:val="22"/>
          <w:szCs w:val="22"/>
        </w:rPr>
        <w:t xml:space="preserve"> (</w:t>
      </w:r>
      <w:r w:rsidRPr="005F07D6">
        <w:rPr>
          <w:rFonts w:ascii="Times New Roman" w:hAnsi="Times New Roman" w:cs="Times New Roman"/>
          <w:sz w:val="22"/>
          <w:szCs w:val="22"/>
        </w:rPr>
        <w:t xml:space="preserve">A proven history of </w:t>
      </w:r>
      <w:r w:rsidR="00955A09">
        <w:rPr>
          <w:rFonts w:ascii="Times New Roman" w:hAnsi="Times New Roman" w:cs="Times New Roman"/>
          <w:sz w:val="22"/>
          <w:szCs w:val="22"/>
        </w:rPr>
        <w:t>s</w:t>
      </w:r>
      <w:r w:rsidR="00B802C8">
        <w:rPr>
          <w:rFonts w:ascii="Times New Roman" w:hAnsi="Times New Roman" w:cs="Times New Roman"/>
          <w:sz w:val="22"/>
          <w:szCs w:val="22"/>
        </w:rPr>
        <w:t>ustaining low and stable inflation enhances credibility</w:t>
      </w:r>
      <w:r w:rsidR="004B37ED">
        <w:rPr>
          <w:rFonts w:ascii="Times New Roman" w:hAnsi="Times New Roman" w:cs="Times New Roman"/>
          <w:sz w:val="22"/>
          <w:szCs w:val="22"/>
        </w:rPr>
        <w:t>). (IMF, 2023;</w:t>
      </w:r>
      <w:r w:rsidR="005F07D6" w:rsidRPr="005F07D6">
        <w:rPr>
          <w:rFonts w:ascii="Times New Roman" w:hAnsi="Times New Roman" w:cs="Times New Roman"/>
          <w:sz w:val="22"/>
          <w:szCs w:val="22"/>
        </w:rPr>
        <w:t xml:space="preserve"> </w:t>
      </w:r>
      <w:r w:rsidR="005F07D6" w:rsidRPr="005F07D6">
        <w:rPr>
          <w:rStyle w:val="Strong"/>
          <w:rFonts w:ascii="Times New Roman" w:hAnsi="Times New Roman" w:cs="Times New Roman"/>
          <w:b w:val="0"/>
          <w:bCs w:val="0"/>
          <w:sz w:val="22"/>
          <w:szCs w:val="22"/>
        </w:rPr>
        <w:t>Bernanke et al.</w:t>
      </w:r>
      <w:r w:rsidR="004B37ED">
        <w:rPr>
          <w:rStyle w:val="Strong"/>
          <w:rFonts w:ascii="Times New Roman" w:hAnsi="Times New Roman" w:cs="Times New Roman"/>
          <w:b w:val="0"/>
          <w:bCs w:val="0"/>
          <w:sz w:val="22"/>
          <w:szCs w:val="22"/>
        </w:rPr>
        <w:t>,</w:t>
      </w:r>
      <w:r w:rsidR="005F07D6" w:rsidRPr="005F07D6">
        <w:rPr>
          <w:rStyle w:val="Strong"/>
          <w:rFonts w:ascii="Times New Roman" w:hAnsi="Times New Roman" w:cs="Times New Roman"/>
          <w:b w:val="0"/>
          <w:bCs w:val="0"/>
          <w:sz w:val="22"/>
          <w:szCs w:val="22"/>
        </w:rPr>
        <w:t>1999</w:t>
      </w:r>
      <w:r w:rsidR="005F07D6" w:rsidRPr="005F07D6">
        <w:rPr>
          <w:rStyle w:val="Strong"/>
          <w:rFonts w:ascii="Times New Roman" w:hAnsi="Times New Roman" w:cs="Times New Roman"/>
          <w:sz w:val="22"/>
          <w:szCs w:val="22"/>
        </w:rPr>
        <w:t>)</w:t>
      </w:r>
      <w:r w:rsidR="004B37ED">
        <w:rPr>
          <w:rStyle w:val="Strong"/>
          <w:rFonts w:ascii="Times New Roman" w:hAnsi="Times New Roman" w:cs="Times New Roman"/>
          <w:sz w:val="22"/>
          <w:szCs w:val="22"/>
        </w:rPr>
        <w:t>.</w:t>
      </w:r>
      <w:r w:rsidR="005F07D6" w:rsidRPr="005F07D6">
        <w:rPr>
          <w:rFonts w:ascii="Times New Roman" w:hAnsi="Times New Roman" w:cs="Times New Roman"/>
          <w:sz w:val="22"/>
          <w:szCs w:val="22"/>
        </w:rPr>
        <w:t xml:space="preserve"> </w:t>
      </w:r>
    </w:p>
  </w:footnote>
  <w:footnote w:id="3">
    <w:p w14:paraId="71003FC8" w14:textId="77777777" w:rsidR="00325082" w:rsidRPr="00814C05" w:rsidRDefault="00834A55" w:rsidP="009E70A4">
      <w:pPr>
        <w:pStyle w:val="FootnoteText"/>
        <w:jc w:val="both"/>
        <w:rPr>
          <w:rFonts w:ascii="Times New Roman" w:hAnsi="Times New Roman" w:cs="Times New Roman"/>
          <w:sz w:val="22"/>
          <w:szCs w:val="22"/>
        </w:rPr>
      </w:pPr>
      <w:r w:rsidRPr="00814C05">
        <w:rPr>
          <w:rStyle w:val="FootnoteReference"/>
          <w:rFonts w:ascii="Times New Roman" w:hAnsi="Times New Roman" w:cs="Times New Roman"/>
          <w:sz w:val="22"/>
          <w:szCs w:val="22"/>
        </w:rPr>
        <w:footnoteRef/>
      </w:r>
      <w:r w:rsidRPr="00814C05">
        <w:rPr>
          <w:rFonts w:ascii="Times New Roman" w:hAnsi="Times New Roman" w:cs="Times New Roman"/>
          <w:sz w:val="22"/>
          <w:szCs w:val="22"/>
        </w:rPr>
        <w:t xml:space="preserve"> This study adopts the linear time trends approach to calculating the output gap. This is a simple method, </w:t>
      </w:r>
      <w:r w:rsidR="00325082" w:rsidRPr="00814C05">
        <w:rPr>
          <w:rFonts w:ascii="Times New Roman" w:hAnsi="Times New Roman" w:cs="Times New Roman"/>
          <w:sz w:val="22"/>
          <w:szCs w:val="22"/>
        </w:rPr>
        <w:t xml:space="preserve">   </w:t>
      </w:r>
    </w:p>
    <w:p w14:paraId="2E5834C2" w14:textId="237056D7" w:rsidR="00834A55" w:rsidRPr="00814C05" w:rsidRDefault="00325082" w:rsidP="009E70A4">
      <w:pPr>
        <w:pStyle w:val="FootnoteText"/>
        <w:jc w:val="both"/>
        <w:rPr>
          <w:rFonts w:ascii="Times New Roman" w:hAnsi="Times New Roman" w:cs="Times New Roman"/>
          <w:sz w:val="22"/>
          <w:szCs w:val="22"/>
        </w:rPr>
      </w:pPr>
      <w:r w:rsidRPr="00814C05">
        <w:rPr>
          <w:rFonts w:ascii="Times New Roman" w:hAnsi="Times New Roman" w:cs="Times New Roman"/>
          <w:sz w:val="22"/>
          <w:szCs w:val="22"/>
        </w:rPr>
        <w:t xml:space="preserve">  </w:t>
      </w:r>
      <w:r w:rsidR="009246EA" w:rsidRPr="00814C05">
        <w:rPr>
          <w:rFonts w:ascii="Times New Roman" w:hAnsi="Times New Roman" w:cs="Times New Roman"/>
          <w:sz w:val="22"/>
          <w:szCs w:val="22"/>
        </w:rPr>
        <w:t>T</w:t>
      </w:r>
      <w:r w:rsidR="00834A55" w:rsidRPr="00814C05">
        <w:rPr>
          <w:rFonts w:ascii="Times New Roman" w:hAnsi="Times New Roman" w:cs="Times New Roman"/>
          <w:sz w:val="22"/>
          <w:szCs w:val="22"/>
        </w:rPr>
        <w:t>hat</w:t>
      </w:r>
      <w:r w:rsidR="009246EA" w:rsidRPr="00814C05">
        <w:rPr>
          <w:rFonts w:ascii="Times New Roman" w:hAnsi="Times New Roman" w:cs="Times New Roman"/>
          <w:sz w:val="22"/>
          <w:szCs w:val="22"/>
        </w:rPr>
        <w:t xml:space="preserve"> assumes that</w:t>
      </w:r>
      <w:r w:rsidRPr="00814C05">
        <w:rPr>
          <w:rFonts w:ascii="Times New Roman" w:hAnsi="Times New Roman" w:cs="Times New Roman"/>
          <w:sz w:val="22"/>
          <w:szCs w:val="22"/>
        </w:rPr>
        <w:t xml:space="preserve"> </w:t>
      </w:r>
      <w:r w:rsidR="00834A55" w:rsidRPr="00814C05">
        <w:rPr>
          <w:rFonts w:ascii="Times New Roman" w:hAnsi="Times New Roman" w:cs="Times New Roman"/>
          <w:sz w:val="22"/>
          <w:szCs w:val="22"/>
        </w:rPr>
        <w:t>GDP grows at a constant trend rate.</w:t>
      </w:r>
      <w:r w:rsidRPr="00814C05">
        <w:rPr>
          <w:rFonts w:ascii="Times New Roman" w:hAnsi="Times New Roman" w:cs="Times New Roman"/>
          <w:sz w:val="22"/>
          <w:szCs w:val="22"/>
        </w:rPr>
        <w:t xml:space="preserve"> </w:t>
      </w:r>
      <w:bookmarkStart w:id="13" w:name="_Hlk202349107"/>
      <w:r w:rsidRPr="00814C05">
        <w:rPr>
          <w:rFonts w:ascii="Times New Roman" w:hAnsi="Times New Roman" w:cs="Times New Roman"/>
          <w:sz w:val="22"/>
          <w:szCs w:val="22"/>
        </w:rPr>
        <w:t>De Masi (1997</w:t>
      </w:r>
      <w:bookmarkEnd w:id="13"/>
      <w:r w:rsidRPr="00814C05">
        <w:rPr>
          <w:rFonts w:ascii="Times New Roman" w:hAnsi="Times New Roman" w:cs="Times New Roman"/>
          <w:sz w:val="22"/>
          <w:szCs w:val="22"/>
        </w:rPr>
        <w:t>) explains that in countries where data is sparse</w:t>
      </w:r>
      <w:r w:rsidR="009E70A4" w:rsidRPr="00814C05">
        <w:rPr>
          <w:rFonts w:ascii="Times New Roman" w:hAnsi="Times New Roman" w:cs="Times New Roman"/>
          <w:sz w:val="22"/>
          <w:szCs w:val="22"/>
        </w:rPr>
        <w:t xml:space="preserve">, as is the case with Zambia, a simple linear trend of real GDP is often used to estimate potential output. </w:t>
      </w:r>
    </w:p>
  </w:footnote>
  <w:footnote w:id="4">
    <w:p w14:paraId="2E24D339" w14:textId="44FF7F45" w:rsidR="008426FF" w:rsidRPr="00814C05" w:rsidRDefault="008426FF" w:rsidP="009E70A4">
      <w:pPr>
        <w:pStyle w:val="FootnoteText"/>
        <w:jc w:val="both"/>
        <w:rPr>
          <w:rFonts w:ascii="Times New Roman" w:hAnsi="Times New Roman" w:cs="Times New Roman"/>
          <w:sz w:val="22"/>
          <w:szCs w:val="22"/>
        </w:rPr>
      </w:pPr>
      <w:r w:rsidRPr="00814C05">
        <w:rPr>
          <w:rStyle w:val="FootnoteReference"/>
          <w:rFonts w:ascii="Times New Roman" w:hAnsi="Times New Roman" w:cs="Times New Roman"/>
          <w:sz w:val="22"/>
          <w:szCs w:val="22"/>
        </w:rPr>
        <w:footnoteRef/>
      </w:r>
      <w:r w:rsidRPr="00814C05">
        <w:rPr>
          <w:rFonts w:ascii="Times New Roman" w:hAnsi="Times New Roman" w:cs="Times New Roman"/>
          <w:sz w:val="22"/>
          <w:szCs w:val="22"/>
        </w:rPr>
        <w:t xml:space="preserve">  </w:t>
      </w:r>
      <w:r w:rsidR="0098584B" w:rsidRPr="00814C05">
        <w:rPr>
          <w:rFonts w:ascii="Times New Roman" w:hAnsi="Times New Roman" w:cs="Times New Roman"/>
          <w:sz w:val="22"/>
          <w:szCs w:val="22"/>
        </w:rPr>
        <w:t xml:space="preserve">This study refrains from providing details about VAR models as they are </w:t>
      </w:r>
      <w:r w:rsidR="00A36AF0" w:rsidRPr="00814C05">
        <w:rPr>
          <w:rFonts w:ascii="Times New Roman" w:hAnsi="Times New Roman" w:cs="Times New Roman"/>
          <w:sz w:val="22"/>
          <w:szCs w:val="22"/>
        </w:rPr>
        <w:t>well</w:t>
      </w:r>
      <w:r w:rsidR="0098584B" w:rsidRPr="00814C05">
        <w:rPr>
          <w:rFonts w:ascii="Times New Roman" w:hAnsi="Times New Roman" w:cs="Times New Roman"/>
          <w:sz w:val="22"/>
          <w:szCs w:val="22"/>
        </w:rPr>
        <w:t xml:space="preserve"> documented in the existing economic, econometric, and financial literature. For detailed discussions, please refer to </w:t>
      </w:r>
      <w:bookmarkStart w:id="15" w:name="_Hlk202349124"/>
      <w:bookmarkStart w:id="16" w:name="_Hlk202349125"/>
      <w:r w:rsidR="0098584B" w:rsidRPr="00814C05">
        <w:rPr>
          <w:rFonts w:ascii="Times New Roman" w:hAnsi="Times New Roman" w:cs="Times New Roman"/>
          <w:sz w:val="22"/>
          <w:szCs w:val="22"/>
        </w:rPr>
        <w:t xml:space="preserve">Stock and Watson (2001), Simms (1980), and </w:t>
      </w:r>
      <w:proofErr w:type="spellStart"/>
      <w:r w:rsidR="0098584B" w:rsidRPr="00814C05">
        <w:rPr>
          <w:rFonts w:ascii="Times New Roman" w:hAnsi="Times New Roman" w:cs="Times New Roman"/>
          <w:sz w:val="22"/>
          <w:szCs w:val="22"/>
        </w:rPr>
        <w:t>Lutkepohl</w:t>
      </w:r>
      <w:proofErr w:type="spellEnd"/>
      <w:r w:rsidR="0098584B" w:rsidRPr="00814C05">
        <w:rPr>
          <w:rFonts w:ascii="Times New Roman" w:hAnsi="Times New Roman" w:cs="Times New Roman"/>
          <w:sz w:val="22"/>
          <w:szCs w:val="22"/>
        </w:rPr>
        <w:t xml:space="preserve"> (1991).</w:t>
      </w:r>
      <w:bookmarkEnd w:id="15"/>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E3A4" w14:textId="680914B3" w:rsidR="007E5F0A" w:rsidRDefault="0092751A">
    <w:pPr>
      <w:pStyle w:val="Header"/>
    </w:pPr>
    <w:r>
      <w:rPr>
        <w:noProof/>
      </w:rPr>
      <w:pict w14:anchorId="5C774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0292" w14:textId="75C17D4F" w:rsidR="007E5F0A" w:rsidRDefault="0092751A">
    <w:pPr>
      <w:pStyle w:val="Header"/>
    </w:pPr>
    <w:r>
      <w:rPr>
        <w:noProof/>
      </w:rPr>
      <w:pict w14:anchorId="48E43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DC42" w14:textId="4A2120F9" w:rsidR="007E5F0A" w:rsidRDefault="0092751A">
    <w:pPr>
      <w:pStyle w:val="Header"/>
    </w:pPr>
    <w:r>
      <w:rPr>
        <w:noProof/>
      </w:rPr>
      <w:pict w14:anchorId="696E5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816DC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830FC"/>
    <w:multiLevelType w:val="multilevel"/>
    <w:tmpl w:val="E81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C0BC1"/>
    <w:multiLevelType w:val="hybridMultilevel"/>
    <w:tmpl w:val="9CFCE598"/>
    <w:lvl w:ilvl="0" w:tplc="1C7C0AD2">
      <w:start w:val="5"/>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CCF0725"/>
    <w:multiLevelType w:val="multilevel"/>
    <w:tmpl w:val="6D72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750D9"/>
    <w:multiLevelType w:val="multilevel"/>
    <w:tmpl w:val="3BE2CE84"/>
    <w:lvl w:ilvl="0">
      <w:start w:val="4"/>
      <w:numFmt w:val="decimal"/>
      <w:lvlText w:val="%1."/>
      <w:lvlJc w:val="left"/>
      <w:pPr>
        <w:ind w:left="107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01303E9"/>
    <w:multiLevelType w:val="multilevel"/>
    <w:tmpl w:val="4D2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02D0A"/>
    <w:multiLevelType w:val="multilevel"/>
    <w:tmpl w:val="104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D58F9"/>
    <w:multiLevelType w:val="hybridMultilevel"/>
    <w:tmpl w:val="319445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E7452B"/>
    <w:multiLevelType w:val="multilevel"/>
    <w:tmpl w:val="A0E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42AA4"/>
    <w:multiLevelType w:val="hybridMultilevel"/>
    <w:tmpl w:val="144C240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45E107F1"/>
    <w:multiLevelType w:val="multilevel"/>
    <w:tmpl w:val="F4BA32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AD2B20"/>
    <w:multiLevelType w:val="multilevel"/>
    <w:tmpl w:val="5A8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921D8"/>
    <w:multiLevelType w:val="multilevel"/>
    <w:tmpl w:val="43D4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16F7C"/>
    <w:multiLevelType w:val="multilevel"/>
    <w:tmpl w:val="4FD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00BFE"/>
    <w:multiLevelType w:val="multilevel"/>
    <w:tmpl w:val="65B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E0412"/>
    <w:multiLevelType w:val="multilevel"/>
    <w:tmpl w:val="C8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3"/>
  </w:num>
  <w:num w:numId="4">
    <w:abstractNumId w:val="1"/>
  </w:num>
  <w:num w:numId="5">
    <w:abstractNumId w:val="5"/>
  </w:num>
  <w:num w:numId="6">
    <w:abstractNumId w:val="3"/>
  </w:num>
  <w:num w:numId="7">
    <w:abstractNumId w:val="8"/>
  </w:num>
  <w:num w:numId="8">
    <w:abstractNumId w:val="14"/>
  </w:num>
  <w:num w:numId="9">
    <w:abstractNumId w:val="11"/>
  </w:num>
  <w:num w:numId="10">
    <w:abstractNumId w:val="6"/>
  </w:num>
  <w:num w:numId="11">
    <w:abstractNumId w:val="12"/>
  </w:num>
  <w:num w:numId="12">
    <w:abstractNumId w:val="0"/>
  </w:num>
  <w:num w:numId="13">
    <w:abstractNumId w:val="15"/>
  </w:num>
  <w:num w:numId="14">
    <w:abstractNumId w:val="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A8"/>
    <w:rsid w:val="00004641"/>
    <w:rsid w:val="0000650B"/>
    <w:rsid w:val="000118AA"/>
    <w:rsid w:val="00014199"/>
    <w:rsid w:val="00015E74"/>
    <w:rsid w:val="00022E8E"/>
    <w:rsid w:val="00031A91"/>
    <w:rsid w:val="0004477D"/>
    <w:rsid w:val="00065921"/>
    <w:rsid w:val="00071B8D"/>
    <w:rsid w:val="00075094"/>
    <w:rsid w:val="00090EE3"/>
    <w:rsid w:val="000B3CB9"/>
    <w:rsid w:val="000B5BBC"/>
    <w:rsid w:val="000C62DD"/>
    <w:rsid w:val="000C6E28"/>
    <w:rsid w:val="000D6F98"/>
    <w:rsid w:val="000E5347"/>
    <w:rsid w:val="000F442B"/>
    <w:rsid w:val="000F5957"/>
    <w:rsid w:val="00101BCC"/>
    <w:rsid w:val="00112266"/>
    <w:rsid w:val="00112C72"/>
    <w:rsid w:val="00112E56"/>
    <w:rsid w:val="00117915"/>
    <w:rsid w:val="001410D0"/>
    <w:rsid w:val="00156486"/>
    <w:rsid w:val="00165B03"/>
    <w:rsid w:val="00174F52"/>
    <w:rsid w:val="001776BB"/>
    <w:rsid w:val="00177D94"/>
    <w:rsid w:val="001841AC"/>
    <w:rsid w:val="00184EDE"/>
    <w:rsid w:val="001B0E04"/>
    <w:rsid w:val="001C07BD"/>
    <w:rsid w:val="001C5916"/>
    <w:rsid w:val="001C674A"/>
    <w:rsid w:val="001E6CDC"/>
    <w:rsid w:val="001F35A6"/>
    <w:rsid w:val="001F3E13"/>
    <w:rsid w:val="001F483F"/>
    <w:rsid w:val="00200CEA"/>
    <w:rsid w:val="0020341C"/>
    <w:rsid w:val="00222B45"/>
    <w:rsid w:val="00226169"/>
    <w:rsid w:val="00226FCF"/>
    <w:rsid w:val="0022760B"/>
    <w:rsid w:val="002313B8"/>
    <w:rsid w:val="00240C27"/>
    <w:rsid w:val="00243F8E"/>
    <w:rsid w:val="002475D8"/>
    <w:rsid w:val="0026152F"/>
    <w:rsid w:val="00263DD4"/>
    <w:rsid w:val="002660E1"/>
    <w:rsid w:val="0026615F"/>
    <w:rsid w:val="00266F50"/>
    <w:rsid w:val="0026756A"/>
    <w:rsid w:val="0029157C"/>
    <w:rsid w:val="0029625A"/>
    <w:rsid w:val="002B3D89"/>
    <w:rsid w:val="002B607E"/>
    <w:rsid w:val="002C39D4"/>
    <w:rsid w:val="002C3DA8"/>
    <w:rsid w:val="002D6BE0"/>
    <w:rsid w:val="002E39CB"/>
    <w:rsid w:val="002F5024"/>
    <w:rsid w:val="0030406E"/>
    <w:rsid w:val="00325082"/>
    <w:rsid w:val="003275DB"/>
    <w:rsid w:val="00337F94"/>
    <w:rsid w:val="003413EB"/>
    <w:rsid w:val="003424F0"/>
    <w:rsid w:val="00352AA3"/>
    <w:rsid w:val="00395BB0"/>
    <w:rsid w:val="003B517B"/>
    <w:rsid w:val="003C3A95"/>
    <w:rsid w:val="003D0958"/>
    <w:rsid w:val="003D56B1"/>
    <w:rsid w:val="003D69C6"/>
    <w:rsid w:val="003E496C"/>
    <w:rsid w:val="003F0DDA"/>
    <w:rsid w:val="003F4251"/>
    <w:rsid w:val="003F4CD6"/>
    <w:rsid w:val="00402322"/>
    <w:rsid w:val="00405653"/>
    <w:rsid w:val="00407A2C"/>
    <w:rsid w:val="0041402E"/>
    <w:rsid w:val="00416B95"/>
    <w:rsid w:val="00416EC6"/>
    <w:rsid w:val="0042235A"/>
    <w:rsid w:val="00427513"/>
    <w:rsid w:val="004470BC"/>
    <w:rsid w:val="004556ED"/>
    <w:rsid w:val="00473B9F"/>
    <w:rsid w:val="00481012"/>
    <w:rsid w:val="00493D14"/>
    <w:rsid w:val="004B0452"/>
    <w:rsid w:val="004B37ED"/>
    <w:rsid w:val="004C323C"/>
    <w:rsid w:val="004D441D"/>
    <w:rsid w:val="004E211C"/>
    <w:rsid w:val="004E3C08"/>
    <w:rsid w:val="004E3FF0"/>
    <w:rsid w:val="004E406B"/>
    <w:rsid w:val="004F3E17"/>
    <w:rsid w:val="004F6538"/>
    <w:rsid w:val="00501DB3"/>
    <w:rsid w:val="005125CA"/>
    <w:rsid w:val="00520F4E"/>
    <w:rsid w:val="00540475"/>
    <w:rsid w:val="00546285"/>
    <w:rsid w:val="00550710"/>
    <w:rsid w:val="005528AC"/>
    <w:rsid w:val="00553E74"/>
    <w:rsid w:val="00563121"/>
    <w:rsid w:val="00572F9F"/>
    <w:rsid w:val="00575021"/>
    <w:rsid w:val="00575A0B"/>
    <w:rsid w:val="0057637C"/>
    <w:rsid w:val="00583F82"/>
    <w:rsid w:val="0058616D"/>
    <w:rsid w:val="00591FE1"/>
    <w:rsid w:val="00593390"/>
    <w:rsid w:val="00595D26"/>
    <w:rsid w:val="005A4C37"/>
    <w:rsid w:val="005A5386"/>
    <w:rsid w:val="005A7E07"/>
    <w:rsid w:val="005B08BA"/>
    <w:rsid w:val="005B4203"/>
    <w:rsid w:val="005C5184"/>
    <w:rsid w:val="005D1F66"/>
    <w:rsid w:val="005F07D6"/>
    <w:rsid w:val="00601C6A"/>
    <w:rsid w:val="00603FC1"/>
    <w:rsid w:val="00624294"/>
    <w:rsid w:val="006316AB"/>
    <w:rsid w:val="0063645D"/>
    <w:rsid w:val="0064797D"/>
    <w:rsid w:val="00657BC9"/>
    <w:rsid w:val="006662BE"/>
    <w:rsid w:val="00671049"/>
    <w:rsid w:val="0067186F"/>
    <w:rsid w:val="00675743"/>
    <w:rsid w:val="006829A5"/>
    <w:rsid w:val="00687A6B"/>
    <w:rsid w:val="00694BF4"/>
    <w:rsid w:val="006962A4"/>
    <w:rsid w:val="00697446"/>
    <w:rsid w:val="006D1837"/>
    <w:rsid w:val="006D5C7F"/>
    <w:rsid w:val="006D7B8A"/>
    <w:rsid w:val="006E0176"/>
    <w:rsid w:val="006F13EB"/>
    <w:rsid w:val="006F7A5E"/>
    <w:rsid w:val="007045FF"/>
    <w:rsid w:val="007046D8"/>
    <w:rsid w:val="00706DC0"/>
    <w:rsid w:val="0074209E"/>
    <w:rsid w:val="007510D9"/>
    <w:rsid w:val="0079027F"/>
    <w:rsid w:val="007A385F"/>
    <w:rsid w:val="007A3B7B"/>
    <w:rsid w:val="007C37B8"/>
    <w:rsid w:val="007E5F0A"/>
    <w:rsid w:val="0080020A"/>
    <w:rsid w:val="00812526"/>
    <w:rsid w:val="00814C05"/>
    <w:rsid w:val="008277AB"/>
    <w:rsid w:val="00830341"/>
    <w:rsid w:val="00834A55"/>
    <w:rsid w:val="008426FF"/>
    <w:rsid w:val="00846AA9"/>
    <w:rsid w:val="00855987"/>
    <w:rsid w:val="0085611C"/>
    <w:rsid w:val="00857658"/>
    <w:rsid w:val="008656DA"/>
    <w:rsid w:val="008813F2"/>
    <w:rsid w:val="00881611"/>
    <w:rsid w:val="008835AD"/>
    <w:rsid w:val="0088505D"/>
    <w:rsid w:val="008852F1"/>
    <w:rsid w:val="00886177"/>
    <w:rsid w:val="00893C19"/>
    <w:rsid w:val="00896FCA"/>
    <w:rsid w:val="008B0367"/>
    <w:rsid w:val="008B1AEF"/>
    <w:rsid w:val="008B1CDD"/>
    <w:rsid w:val="008C0157"/>
    <w:rsid w:val="008C1B6C"/>
    <w:rsid w:val="008C288E"/>
    <w:rsid w:val="008C310C"/>
    <w:rsid w:val="008C3259"/>
    <w:rsid w:val="008D5BC0"/>
    <w:rsid w:val="008F2BF7"/>
    <w:rsid w:val="00906466"/>
    <w:rsid w:val="00910386"/>
    <w:rsid w:val="009176C4"/>
    <w:rsid w:val="0092188C"/>
    <w:rsid w:val="00923421"/>
    <w:rsid w:val="009246EA"/>
    <w:rsid w:val="00925E64"/>
    <w:rsid w:val="0092751A"/>
    <w:rsid w:val="009331FD"/>
    <w:rsid w:val="00946F2F"/>
    <w:rsid w:val="009470E6"/>
    <w:rsid w:val="00955A09"/>
    <w:rsid w:val="00960D43"/>
    <w:rsid w:val="009645D2"/>
    <w:rsid w:val="009647EB"/>
    <w:rsid w:val="00964BD1"/>
    <w:rsid w:val="0097010E"/>
    <w:rsid w:val="009759F2"/>
    <w:rsid w:val="0098584B"/>
    <w:rsid w:val="00990877"/>
    <w:rsid w:val="009945C8"/>
    <w:rsid w:val="009A4445"/>
    <w:rsid w:val="009A59D4"/>
    <w:rsid w:val="009A6165"/>
    <w:rsid w:val="009B6ED4"/>
    <w:rsid w:val="009C15F3"/>
    <w:rsid w:val="009C4D44"/>
    <w:rsid w:val="009D35A1"/>
    <w:rsid w:val="009E70A4"/>
    <w:rsid w:val="009F255C"/>
    <w:rsid w:val="009F3F65"/>
    <w:rsid w:val="009F556A"/>
    <w:rsid w:val="00A1007F"/>
    <w:rsid w:val="00A10BCF"/>
    <w:rsid w:val="00A136BD"/>
    <w:rsid w:val="00A30808"/>
    <w:rsid w:val="00A35A4E"/>
    <w:rsid w:val="00A36AF0"/>
    <w:rsid w:val="00A37184"/>
    <w:rsid w:val="00A86E6C"/>
    <w:rsid w:val="00A93719"/>
    <w:rsid w:val="00AA065F"/>
    <w:rsid w:val="00AA0E2F"/>
    <w:rsid w:val="00AA6450"/>
    <w:rsid w:val="00AB0E6A"/>
    <w:rsid w:val="00AB3722"/>
    <w:rsid w:val="00AC168F"/>
    <w:rsid w:val="00AC6F4F"/>
    <w:rsid w:val="00AD6DD7"/>
    <w:rsid w:val="00AE33C0"/>
    <w:rsid w:val="00AE41F6"/>
    <w:rsid w:val="00AF34F4"/>
    <w:rsid w:val="00AF4F27"/>
    <w:rsid w:val="00AF6A74"/>
    <w:rsid w:val="00B01FBF"/>
    <w:rsid w:val="00B22332"/>
    <w:rsid w:val="00B25A6D"/>
    <w:rsid w:val="00B25DF2"/>
    <w:rsid w:val="00B633A1"/>
    <w:rsid w:val="00B75521"/>
    <w:rsid w:val="00B802C8"/>
    <w:rsid w:val="00BA3D35"/>
    <w:rsid w:val="00BB2455"/>
    <w:rsid w:val="00BC3AE9"/>
    <w:rsid w:val="00BD2C2E"/>
    <w:rsid w:val="00BE43D5"/>
    <w:rsid w:val="00BF2B5A"/>
    <w:rsid w:val="00C02019"/>
    <w:rsid w:val="00C1082E"/>
    <w:rsid w:val="00C16A36"/>
    <w:rsid w:val="00C22E04"/>
    <w:rsid w:val="00C356DD"/>
    <w:rsid w:val="00C37D06"/>
    <w:rsid w:val="00C6064A"/>
    <w:rsid w:val="00C61963"/>
    <w:rsid w:val="00C655BD"/>
    <w:rsid w:val="00C7349D"/>
    <w:rsid w:val="00C73F13"/>
    <w:rsid w:val="00CA7797"/>
    <w:rsid w:val="00CC5A1D"/>
    <w:rsid w:val="00CC68D4"/>
    <w:rsid w:val="00CD23A4"/>
    <w:rsid w:val="00CE17D0"/>
    <w:rsid w:val="00D009A9"/>
    <w:rsid w:val="00D20022"/>
    <w:rsid w:val="00D30E0C"/>
    <w:rsid w:val="00D34F42"/>
    <w:rsid w:val="00D36547"/>
    <w:rsid w:val="00D47C44"/>
    <w:rsid w:val="00D50F7B"/>
    <w:rsid w:val="00D653A2"/>
    <w:rsid w:val="00D83F98"/>
    <w:rsid w:val="00D90219"/>
    <w:rsid w:val="00DA53E2"/>
    <w:rsid w:val="00DA7CA7"/>
    <w:rsid w:val="00DB0BEB"/>
    <w:rsid w:val="00DB5196"/>
    <w:rsid w:val="00DC17EE"/>
    <w:rsid w:val="00DD3395"/>
    <w:rsid w:val="00DE0814"/>
    <w:rsid w:val="00DE649E"/>
    <w:rsid w:val="00DF3C48"/>
    <w:rsid w:val="00DF6169"/>
    <w:rsid w:val="00DF6788"/>
    <w:rsid w:val="00E17E49"/>
    <w:rsid w:val="00E2619F"/>
    <w:rsid w:val="00E36EA7"/>
    <w:rsid w:val="00E44483"/>
    <w:rsid w:val="00E453ED"/>
    <w:rsid w:val="00E459C7"/>
    <w:rsid w:val="00E54B1F"/>
    <w:rsid w:val="00E63555"/>
    <w:rsid w:val="00E85622"/>
    <w:rsid w:val="00E86F47"/>
    <w:rsid w:val="00E90592"/>
    <w:rsid w:val="00E906FB"/>
    <w:rsid w:val="00E92582"/>
    <w:rsid w:val="00EA107B"/>
    <w:rsid w:val="00EB3C64"/>
    <w:rsid w:val="00EB3F8A"/>
    <w:rsid w:val="00EB5D72"/>
    <w:rsid w:val="00EB5F57"/>
    <w:rsid w:val="00EB604E"/>
    <w:rsid w:val="00ED23CF"/>
    <w:rsid w:val="00ED42E6"/>
    <w:rsid w:val="00EE1C2B"/>
    <w:rsid w:val="00EF11F8"/>
    <w:rsid w:val="00EF4AE2"/>
    <w:rsid w:val="00F17E87"/>
    <w:rsid w:val="00F223A6"/>
    <w:rsid w:val="00F40D86"/>
    <w:rsid w:val="00F52A18"/>
    <w:rsid w:val="00F5505A"/>
    <w:rsid w:val="00F61CAA"/>
    <w:rsid w:val="00F62BCD"/>
    <w:rsid w:val="00F76974"/>
    <w:rsid w:val="00F8072F"/>
    <w:rsid w:val="00F849D7"/>
    <w:rsid w:val="00F875CD"/>
    <w:rsid w:val="00F9528A"/>
    <w:rsid w:val="00FA227F"/>
    <w:rsid w:val="00FA4B98"/>
    <w:rsid w:val="00FB03F1"/>
    <w:rsid w:val="00FB097A"/>
    <w:rsid w:val="00FB21A2"/>
    <w:rsid w:val="00FB702B"/>
    <w:rsid w:val="00FC6A7F"/>
    <w:rsid w:val="00FD7005"/>
    <w:rsid w:val="00FD78AD"/>
    <w:rsid w:val="00FE0D70"/>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74CC34"/>
  <w15:chartTrackingRefBased/>
  <w15:docId w15:val="{1F88CEA8-6DF5-40E5-BB72-63D26FA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DA8"/>
    <w:rPr>
      <w:rFonts w:eastAsiaTheme="majorEastAsia" w:cstheme="majorBidi"/>
      <w:color w:val="272727" w:themeColor="text1" w:themeTint="D8"/>
    </w:rPr>
  </w:style>
  <w:style w:type="paragraph" w:styleId="Title">
    <w:name w:val="Title"/>
    <w:basedOn w:val="Normal"/>
    <w:next w:val="Normal"/>
    <w:link w:val="TitleChar"/>
    <w:uiPriority w:val="10"/>
    <w:qFormat/>
    <w:rsid w:val="002C3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DA8"/>
    <w:pPr>
      <w:spacing w:before="160"/>
      <w:jc w:val="center"/>
    </w:pPr>
    <w:rPr>
      <w:i/>
      <w:iCs/>
      <w:color w:val="404040" w:themeColor="text1" w:themeTint="BF"/>
    </w:rPr>
  </w:style>
  <w:style w:type="character" w:customStyle="1" w:styleId="QuoteChar">
    <w:name w:val="Quote Char"/>
    <w:basedOn w:val="DefaultParagraphFont"/>
    <w:link w:val="Quote"/>
    <w:uiPriority w:val="29"/>
    <w:rsid w:val="002C3DA8"/>
    <w:rPr>
      <w:i/>
      <w:iCs/>
      <w:color w:val="404040" w:themeColor="text1" w:themeTint="BF"/>
    </w:rPr>
  </w:style>
  <w:style w:type="paragraph" w:styleId="ListParagraph">
    <w:name w:val="List Paragraph"/>
    <w:basedOn w:val="Normal"/>
    <w:uiPriority w:val="34"/>
    <w:qFormat/>
    <w:rsid w:val="002C3DA8"/>
    <w:pPr>
      <w:ind w:left="720"/>
      <w:contextualSpacing/>
    </w:pPr>
  </w:style>
  <w:style w:type="character" w:styleId="IntenseEmphasis">
    <w:name w:val="Intense Emphasis"/>
    <w:basedOn w:val="DefaultParagraphFont"/>
    <w:uiPriority w:val="21"/>
    <w:qFormat/>
    <w:rsid w:val="002C3DA8"/>
    <w:rPr>
      <w:i/>
      <w:iCs/>
      <w:color w:val="0F4761" w:themeColor="accent1" w:themeShade="BF"/>
    </w:rPr>
  </w:style>
  <w:style w:type="paragraph" w:styleId="IntenseQuote">
    <w:name w:val="Intense Quote"/>
    <w:basedOn w:val="Normal"/>
    <w:next w:val="Normal"/>
    <w:link w:val="IntenseQuoteChar"/>
    <w:uiPriority w:val="30"/>
    <w:qFormat/>
    <w:rsid w:val="002C3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DA8"/>
    <w:rPr>
      <w:i/>
      <w:iCs/>
      <w:color w:val="0F4761" w:themeColor="accent1" w:themeShade="BF"/>
    </w:rPr>
  </w:style>
  <w:style w:type="character" w:styleId="IntenseReference">
    <w:name w:val="Intense Reference"/>
    <w:basedOn w:val="DefaultParagraphFont"/>
    <w:uiPriority w:val="32"/>
    <w:qFormat/>
    <w:rsid w:val="002C3DA8"/>
    <w:rPr>
      <w:b/>
      <w:bCs/>
      <w:smallCaps/>
      <w:color w:val="0F4761" w:themeColor="accent1" w:themeShade="BF"/>
      <w:spacing w:val="5"/>
    </w:rPr>
  </w:style>
  <w:style w:type="character" w:styleId="Hyperlink">
    <w:name w:val="Hyperlink"/>
    <w:basedOn w:val="DefaultParagraphFont"/>
    <w:uiPriority w:val="99"/>
    <w:unhideWhenUsed/>
    <w:rsid w:val="002C3DA8"/>
    <w:rPr>
      <w:color w:val="467886" w:themeColor="hyperlink"/>
      <w:u w:val="single"/>
    </w:rPr>
  </w:style>
  <w:style w:type="paragraph" w:styleId="NormalWeb">
    <w:name w:val="Normal (Web)"/>
    <w:basedOn w:val="Normal"/>
    <w:uiPriority w:val="99"/>
    <w:unhideWhenUsed/>
    <w:rsid w:val="001841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841AC"/>
    <w:rPr>
      <w:b/>
      <w:bCs/>
    </w:rPr>
  </w:style>
  <w:style w:type="character" w:styleId="PlaceholderText">
    <w:name w:val="Placeholder Text"/>
    <w:basedOn w:val="DefaultParagraphFont"/>
    <w:uiPriority w:val="99"/>
    <w:semiHidden/>
    <w:rsid w:val="00E36EA7"/>
    <w:rPr>
      <w:color w:val="666666"/>
    </w:rPr>
  </w:style>
  <w:style w:type="paragraph" w:styleId="FootnoteText">
    <w:name w:val="footnote text"/>
    <w:basedOn w:val="Normal"/>
    <w:link w:val="FootnoteTextChar"/>
    <w:uiPriority w:val="99"/>
    <w:unhideWhenUsed/>
    <w:rsid w:val="00A86E6C"/>
    <w:pPr>
      <w:spacing w:after="0" w:line="240" w:lineRule="auto"/>
    </w:pPr>
    <w:rPr>
      <w:sz w:val="20"/>
      <w:szCs w:val="20"/>
    </w:rPr>
  </w:style>
  <w:style w:type="character" w:customStyle="1" w:styleId="FootnoteTextChar">
    <w:name w:val="Footnote Text Char"/>
    <w:basedOn w:val="DefaultParagraphFont"/>
    <w:link w:val="FootnoteText"/>
    <w:uiPriority w:val="99"/>
    <w:rsid w:val="00A86E6C"/>
    <w:rPr>
      <w:sz w:val="20"/>
      <w:szCs w:val="20"/>
    </w:rPr>
  </w:style>
  <w:style w:type="character" w:styleId="FootnoteReference">
    <w:name w:val="footnote reference"/>
    <w:basedOn w:val="DefaultParagraphFont"/>
    <w:uiPriority w:val="99"/>
    <w:semiHidden/>
    <w:unhideWhenUsed/>
    <w:rsid w:val="00A86E6C"/>
    <w:rPr>
      <w:vertAlign w:val="superscript"/>
    </w:rPr>
  </w:style>
  <w:style w:type="character" w:customStyle="1" w:styleId="katex-mathml">
    <w:name w:val="katex-mathml"/>
    <w:basedOn w:val="DefaultParagraphFont"/>
    <w:rsid w:val="00D653A2"/>
  </w:style>
  <w:style w:type="character" w:customStyle="1" w:styleId="mord">
    <w:name w:val="mord"/>
    <w:basedOn w:val="DefaultParagraphFont"/>
    <w:rsid w:val="00D653A2"/>
  </w:style>
  <w:style w:type="character" w:customStyle="1" w:styleId="vlist-s">
    <w:name w:val="vlist-s"/>
    <w:basedOn w:val="DefaultParagraphFont"/>
    <w:rsid w:val="00D653A2"/>
  </w:style>
  <w:style w:type="character" w:customStyle="1" w:styleId="mbin">
    <w:name w:val="mbin"/>
    <w:basedOn w:val="DefaultParagraphFont"/>
    <w:rsid w:val="00D653A2"/>
  </w:style>
  <w:style w:type="table" w:styleId="TableGrid">
    <w:name w:val="Table Grid"/>
    <w:basedOn w:val="TableNormal"/>
    <w:uiPriority w:val="39"/>
    <w:rsid w:val="0085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5082"/>
    <w:rPr>
      <w:i/>
      <w:iCs/>
    </w:rPr>
  </w:style>
  <w:style w:type="character" w:customStyle="1" w:styleId="UnresolvedMention1">
    <w:name w:val="Unresolved Mention1"/>
    <w:basedOn w:val="DefaultParagraphFont"/>
    <w:uiPriority w:val="99"/>
    <w:semiHidden/>
    <w:unhideWhenUsed/>
    <w:rsid w:val="009E70A4"/>
    <w:rPr>
      <w:color w:val="605E5C"/>
      <w:shd w:val="clear" w:color="auto" w:fill="E1DFDD"/>
    </w:rPr>
  </w:style>
  <w:style w:type="paragraph" w:customStyle="1" w:styleId="css-16z797f">
    <w:name w:val="css-16z797f"/>
    <w:basedOn w:val="Normal"/>
    <w:rsid w:val="00B633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unhideWhenUsed/>
    <w:rsid w:val="005B08BA"/>
    <w:pPr>
      <w:numPr>
        <w:numId w:val="12"/>
      </w:numPr>
      <w:spacing w:after="200" w:line="276" w:lineRule="auto"/>
      <w:contextualSpacing/>
    </w:pPr>
    <w:rPr>
      <w:rFonts w:eastAsiaTheme="minorEastAsia"/>
      <w:kern w:val="0"/>
      <w14:ligatures w14:val="none"/>
    </w:rPr>
  </w:style>
  <w:style w:type="paragraph" w:styleId="Header">
    <w:name w:val="header"/>
    <w:basedOn w:val="Normal"/>
    <w:link w:val="HeaderChar"/>
    <w:uiPriority w:val="99"/>
    <w:unhideWhenUsed/>
    <w:rsid w:val="0029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5A"/>
  </w:style>
  <w:style w:type="paragraph" w:styleId="Footer">
    <w:name w:val="footer"/>
    <w:basedOn w:val="Normal"/>
    <w:link w:val="FooterChar"/>
    <w:uiPriority w:val="99"/>
    <w:unhideWhenUsed/>
    <w:rsid w:val="0029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5A"/>
  </w:style>
  <w:style w:type="character" w:styleId="UnresolvedMention">
    <w:name w:val="Unresolved Mention"/>
    <w:basedOn w:val="DefaultParagraphFont"/>
    <w:uiPriority w:val="99"/>
    <w:semiHidden/>
    <w:unhideWhenUsed/>
    <w:rsid w:val="000F442B"/>
    <w:rPr>
      <w:color w:val="605E5C"/>
      <w:shd w:val="clear" w:color="auto" w:fill="E1DFDD"/>
    </w:rPr>
  </w:style>
  <w:style w:type="character" w:styleId="FollowedHyperlink">
    <w:name w:val="FollowedHyperlink"/>
    <w:basedOn w:val="DefaultParagraphFont"/>
    <w:uiPriority w:val="99"/>
    <w:semiHidden/>
    <w:unhideWhenUsed/>
    <w:rsid w:val="00174F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392">
      <w:bodyDiv w:val="1"/>
      <w:marLeft w:val="0"/>
      <w:marRight w:val="0"/>
      <w:marTop w:val="0"/>
      <w:marBottom w:val="0"/>
      <w:divBdr>
        <w:top w:val="none" w:sz="0" w:space="0" w:color="auto"/>
        <w:left w:val="none" w:sz="0" w:space="0" w:color="auto"/>
        <w:bottom w:val="none" w:sz="0" w:space="0" w:color="auto"/>
        <w:right w:val="none" w:sz="0" w:space="0" w:color="auto"/>
      </w:divBdr>
    </w:div>
    <w:div w:id="284852007">
      <w:bodyDiv w:val="1"/>
      <w:marLeft w:val="0"/>
      <w:marRight w:val="0"/>
      <w:marTop w:val="0"/>
      <w:marBottom w:val="0"/>
      <w:divBdr>
        <w:top w:val="none" w:sz="0" w:space="0" w:color="auto"/>
        <w:left w:val="none" w:sz="0" w:space="0" w:color="auto"/>
        <w:bottom w:val="none" w:sz="0" w:space="0" w:color="auto"/>
        <w:right w:val="none" w:sz="0" w:space="0" w:color="auto"/>
      </w:divBdr>
    </w:div>
    <w:div w:id="369648139">
      <w:bodyDiv w:val="1"/>
      <w:marLeft w:val="0"/>
      <w:marRight w:val="0"/>
      <w:marTop w:val="0"/>
      <w:marBottom w:val="0"/>
      <w:divBdr>
        <w:top w:val="none" w:sz="0" w:space="0" w:color="auto"/>
        <w:left w:val="none" w:sz="0" w:space="0" w:color="auto"/>
        <w:bottom w:val="none" w:sz="0" w:space="0" w:color="auto"/>
        <w:right w:val="none" w:sz="0" w:space="0" w:color="auto"/>
      </w:divBdr>
    </w:div>
    <w:div w:id="1054623685">
      <w:bodyDiv w:val="1"/>
      <w:marLeft w:val="0"/>
      <w:marRight w:val="0"/>
      <w:marTop w:val="0"/>
      <w:marBottom w:val="0"/>
      <w:divBdr>
        <w:top w:val="none" w:sz="0" w:space="0" w:color="auto"/>
        <w:left w:val="none" w:sz="0" w:space="0" w:color="auto"/>
        <w:bottom w:val="none" w:sz="0" w:space="0" w:color="auto"/>
        <w:right w:val="none" w:sz="0" w:space="0" w:color="auto"/>
      </w:divBdr>
      <w:divsChild>
        <w:div w:id="1228996837">
          <w:marLeft w:val="0"/>
          <w:marRight w:val="0"/>
          <w:marTop w:val="0"/>
          <w:marBottom w:val="0"/>
          <w:divBdr>
            <w:top w:val="none" w:sz="0" w:space="0" w:color="auto"/>
            <w:left w:val="none" w:sz="0" w:space="0" w:color="auto"/>
            <w:bottom w:val="none" w:sz="0" w:space="0" w:color="auto"/>
            <w:right w:val="none" w:sz="0" w:space="0" w:color="auto"/>
          </w:divBdr>
          <w:divsChild>
            <w:div w:id="560990017">
              <w:marLeft w:val="0"/>
              <w:marRight w:val="0"/>
              <w:marTop w:val="0"/>
              <w:marBottom w:val="0"/>
              <w:divBdr>
                <w:top w:val="none" w:sz="0" w:space="0" w:color="auto"/>
                <w:left w:val="none" w:sz="0" w:space="0" w:color="auto"/>
                <w:bottom w:val="none" w:sz="0" w:space="0" w:color="auto"/>
                <w:right w:val="none" w:sz="0" w:space="0" w:color="auto"/>
              </w:divBdr>
            </w:div>
          </w:divsChild>
        </w:div>
        <w:div w:id="1804495014">
          <w:marLeft w:val="0"/>
          <w:marRight w:val="0"/>
          <w:marTop w:val="0"/>
          <w:marBottom w:val="0"/>
          <w:divBdr>
            <w:top w:val="none" w:sz="0" w:space="0" w:color="auto"/>
            <w:left w:val="none" w:sz="0" w:space="0" w:color="auto"/>
            <w:bottom w:val="none" w:sz="0" w:space="0" w:color="auto"/>
            <w:right w:val="none" w:sz="0" w:space="0" w:color="auto"/>
          </w:divBdr>
        </w:div>
      </w:divsChild>
    </w:div>
    <w:div w:id="1111582885">
      <w:bodyDiv w:val="1"/>
      <w:marLeft w:val="0"/>
      <w:marRight w:val="0"/>
      <w:marTop w:val="0"/>
      <w:marBottom w:val="0"/>
      <w:divBdr>
        <w:top w:val="none" w:sz="0" w:space="0" w:color="auto"/>
        <w:left w:val="none" w:sz="0" w:space="0" w:color="auto"/>
        <w:bottom w:val="none" w:sz="0" w:space="0" w:color="auto"/>
        <w:right w:val="none" w:sz="0" w:space="0" w:color="auto"/>
      </w:divBdr>
    </w:div>
    <w:div w:id="1256090479">
      <w:bodyDiv w:val="1"/>
      <w:marLeft w:val="0"/>
      <w:marRight w:val="0"/>
      <w:marTop w:val="0"/>
      <w:marBottom w:val="0"/>
      <w:divBdr>
        <w:top w:val="none" w:sz="0" w:space="0" w:color="auto"/>
        <w:left w:val="none" w:sz="0" w:space="0" w:color="auto"/>
        <w:bottom w:val="none" w:sz="0" w:space="0" w:color="auto"/>
        <w:right w:val="none" w:sz="0" w:space="0" w:color="auto"/>
      </w:divBdr>
    </w:div>
    <w:div w:id="1336879611">
      <w:bodyDiv w:val="1"/>
      <w:marLeft w:val="0"/>
      <w:marRight w:val="0"/>
      <w:marTop w:val="0"/>
      <w:marBottom w:val="0"/>
      <w:divBdr>
        <w:top w:val="none" w:sz="0" w:space="0" w:color="auto"/>
        <w:left w:val="none" w:sz="0" w:space="0" w:color="auto"/>
        <w:bottom w:val="none" w:sz="0" w:space="0" w:color="auto"/>
        <w:right w:val="none" w:sz="0" w:space="0" w:color="auto"/>
      </w:divBdr>
    </w:div>
    <w:div w:id="1375959349">
      <w:bodyDiv w:val="1"/>
      <w:marLeft w:val="0"/>
      <w:marRight w:val="0"/>
      <w:marTop w:val="0"/>
      <w:marBottom w:val="0"/>
      <w:divBdr>
        <w:top w:val="none" w:sz="0" w:space="0" w:color="auto"/>
        <w:left w:val="none" w:sz="0" w:space="0" w:color="auto"/>
        <w:bottom w:val="none" w:sz="0" w:space="0" w:color="auto"/>
        <w:right w:val="none" w:sz="0" w:space="0" w:color="auto"/>
      </w:divBdr>
    </w:div>
    <w:div w:id="1662352309">
      <w:bodyDiv w:val="1"/>
      <w:marLeft w:val="0"/>
      <w:marRight w:val="0"/>
      <w:marTop w:val="0"/>
      <w:marBottom w:val="0"/>
      <w:divBdr>
        <w:top w:val="none" w:sz="0" w:space="0" w:color="auto"/>
        <w:left w:val="none" w:sz="0" w:space="0" w:color="auto"/>
        <w:bottom w:val="none" w:sz="0" w:space="0" w:color="auto"/>
        <w:right w:val="none" w:sz="0" w:space="0" w:color="auto"/>
      </w:divBdr>
    </w:div>
    <w:div w:id="1711953862">
      <w:bodyDiv w:val="1"/>
      <w:marLeft w:val="0"/>
      <w:marRight w:val="0"/>
      <w:marTop w:val="0"/>
      <w:marBottom w:val="0"/>
      <w:divBdr>
        <w:top w:val="none" w:sz="0" w:space="0" w:color="auto"/>
        <w:left w:val="none" w:sz="0" w:space="0" w:color="auto"/>
        <w:bottom w:val="none" w:sz="0" w:space="0" w:color="auto"/>
        <w:right w:val="none" w:sz="0" w:space="0" w:color="auto"/>
      </w:divBdr>
    </w:div>
    <w:div w:id="1851289259">
      <w:bodyDiv w:val="1"/>
      <w:marLeft w:val="0"/>
      <w:marRight w:val="0"/>
      <w:marTop w:val="0"/>
      <w:marBottom w:val="0"/>
      <w:divBdr>
        <w:top w:val="none" w:sz="0" w:space="0" w:color="auto"/>
        <w:left w:val="none" w:sz="0" w:space="0" w:color="auto"/>
        <w:bottom w:val="none" w:sz="0" w:space="0" w:color="auto"/>
        <w:right w:val="none" w:sz="0" w:space="0" w:color="auto"/>
      </w:divBdr>
    </w:div>
    <w:div w:id="2140490600">
      <w:bodyDiv w:val="1"/>
      <w:marLeft w:val="0"/>
      <w:marRight w:val="0"/>
      <w:marTop w:val="0"/>
      <w:marBottom w:val="0"/>
      <w:divBdr>
        <w:top w:val="none" w:sz="0" w:space="0" w:color="auto"/>
        <w:left w:val="none" w:sz="0" w:space="0" w:color="auto"/>
        <w:bottom w:val="none" w:sz="0" w:space="0" w:color="auto"/>
        <w:right w:val="none" w:sz="0" w:space="0" w:color="auto"/>
      </w:divBdr>
    </w:div>
    <w:div w:id="21433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s.org/publ/work114.htm" TargetMode="External"/><Relationship Id="rId18" Type="http://schemas.openxmlformats.org/officeDocument/2006/relationships/hyperlink" Target="https://www.imf.org" TargetMode="External"/><Relationship Id="rId26" Type="http://schemas.openxmlformats.org/officeDocument/2006/relationships/hyperlink" Target="https://doi.org/10.1016/j.sciaf.2024.e02076" TargetMode="External"/><Relationship Id="rId39" Type="http://schemas.openxmlformats.org/officeDocument/2006/relationships/footer" Target="footer2.xml"/><Relationship Id="rId21" Type="http://schemas.openxmlformats.org/officeDocument/2006/relationships/hyperlink" Target="https://doi.org/10.1086/260580" TargetMode="External"/><Relationship Id="rId34" Type="http://schemas.openxmlformats.org/officeDocument/2006/relationships/hyperlink" Target="https://datahelpdesk.worldbank.org/knowledgebase/articles/906519-world-bank-country-and-lending-groups?utm_source=chatgpt.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22187368_The_effect_of_external_shocks_on_macroeconomic_performance_and_monetary_policy_in_a_small_open_economy_evidence_from_Zambia?utm_source=chatgpt.com" TargetMode="External"/><Relationship Id="rId20" Type="http://schemas.openxmlformats.org/officeDocument/2006/relationships/hyperlink" Target="https://doi.org/10.1080/20780389.2021.1925106" TargetMode="External"/><Relationship Id="rId29" Type="http://schemas.openxmlformats.org/officeDocument/2006/relationships/hyperlink" Target="https://doi.org/10.2307/191201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65-1889(00)00042-1" TargetMode="External"/><Relationship Id="rId24" Type="http://schemas.openxmlformats.org/officeDocument/2006/relationships/hyperlink" Target="https://doi.org/10.1257/aer.90.2.10" TargetMode="External"/><Relationship Id="rId32" Type="http://schemas.openxmlformats.org/officeDocument/2006/relationships/hyperlink" Target="https://doi.org/10.1016/0167-2231(93)90009-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04/IJSE.2018.088621" TargetMode="External"/><Relationship Id="rId23" Type="http://schemas.openxmlformats.org/officeDocument/2006/relationships/hyperlink" Target="https://doi.org/10.1007/978-3-662-02691-5" TargetMode="External"/><Relationship Id="rId28" Type="http://schemas.openxmlformats.org/officeDocument/2006/relationships/hyperlink" Target="https://doi.org/10.1086/260321" TargetMode="External"/><Relationship Id="rId36" Type="http://schemas.openxmlformats.org/officeDocument/2006/relationships/header" Target="header1.xml"/><Relationship Id="rId10" Type="http://schemas.openxmlformats.org/officeDocument/2006/relationships/hyperlink" Target="https://doi.org/10.1086/261167" TargetMode="External"/><Relationship Id="rId19" Type="http://schemas.openxmlformats.org/officeDocument/2006/relationships/hyperlink" Target="https://www.imf.org/en/Publications/CR/Issues/2023/07/13/Zambia-2023-Article-IV-Consultation-First-Review-Under-the-Extended-Credit-Facility-536340?utm_source=chatgpt.com" TargetMode="External"/><Relationship Id="rId31" Type="http://schemas.openxmlformats.org/officeDocument/2006/relationships/hyperlink" Target="https://doi.org/10.1257/jep.15.4.101" TargetMode="External"/><Relationship Id="rId4" Type="http://schemas.openxmlformats.org/officeDocument/2006/relationships/settings" Target="settings.xml"/><Relationship Id="rId9" Type="http://schemas.openxmlformats.org/officeDocument/2006/relationships/hyperlink" Target="https://www.boz.zm" TargetMode="External"/><Relationship Id="rId14" Type="http://schemas.openxmlformats.org/officeDocument/2006/relationships/hyperlink" Target="https://www.boz.zm" TargetMode="External"/><Relationship Id="rId22" Type="http://schemas.openxmlformats.org/officeDocument/2006/relationships/hyperlink" Target="https://hdl.handle.net/10419/61728" TargetMode="External"/><Relationship Id="rId27" Type="http://schemas.openxmlformats.org/officeDocument/2006/relationships/hyperlink" Target="https://doi.org/10.1257/aer.91.4.964" TargetMode="External"/><Relationship Id="rId30" Type="http://schemas.openxmlformats.org/officeDocument/2006/relationships/hyperlink" Target="https://doi.org/10.1057/9780230118355_2" TargetMode="External"/><Relationship Id="rId35" Type="http://schemas.openxmlformats.org/officeDocument/2006/relationships/hyperlink" Target="https://databank.worldbank.org/source/world-development-indicator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257/jep.11.2.97" TargetMode="External"/><Relationship Id="rId17" Type="http://schemas.openxmlformats.org/officeDocument/2006/relationships/hyperlink" Target="https://www.ecb.europa.eu/explainers/tell-me/html/pricestab.en.html" TargetMode="External"/><Relationship Id="rId25" Type="http://schemas.openxmlformats.org/officeDocument/2006/relationships/hyperlink" Target="https://doi.org/10.2307/1909635" TargetMode="External"/><Relationship Id="rId33" Type="http://schemas.openxmlformats.org/officeDocument/2006/relationships/hyperlink" Target="https://www.worldbank.org"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29F7-6921-4270-B46E-F45DBEB9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7635</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Mulenga</dc:creator>
  <cp:keywords/>
  <dc:description/>
  <cp:lastModifiedBy>Editor-11</cp:lastModifiedBy>
  <cp:revision>3</cp:revision>
  <dcterms:created xsi:type="dcterms:W3CDTF">2025-09-16T09:50:00Z</dcterms:created>
  <dcterms:modified xsi:type="dcterms:W3CDTF">2025-09-16T12:04:00Z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422c4e35-d953-4fc6-a522-d0e406bb458e</vt:lpwstr>
  </property>
</Properties>
</file>