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9F25" w14:textId="77777777" w:rsidR="00754C9A" w:rsidRDefault="00754C9A" w:rsidP="00441B6F">
      <w:pPr>
        <w:pStyle w:val="Title"/>
        <w:spacing w:after="0"/>
        <w:jc w:val="both"/>
        <w:rPr>
          <w:rFonts w:ascii="Arial" w:hAnsi="Arial" w:cs="Arial"/>
        </w:rPr>
      </w:pPr>
    </w:p>
    <w:p w14:paraId="064A16C0" w14:textId="290C3F0F" w:rsidR="00163BC4" w:rsidRPr="00163BC4" w:rsidRDefault="00405122" w:rsidP="00441B6F">
      <w:pPr>
        <w:pStyle w:val="Author"/>
        <w:spacing w:line="240" w:lineRule="auto"/>
        <w:rPr>
          <w:rFonts w:ascii="Arial" w:hAnsi="Arial" w:cs="Arial"/>
          <w:bCs/>
          <w:iCs/>
          <w:kern w:val="28"/>
          <w:sz w:val="36"/>
        </w:rPr>
      </w:pPr>
      <w:r w:rsidRPr="00405122">
        <w:rPr>
          <w:rFonts w:ascii="Arial" w:hAnsi="Arial" w:cs="Arial"/>
          <w:bCs/>
          <w:iCs/>
          <w:kern w:val="28"/>
          <w:sz w:val="36"/>
        </w:rPr>
        <w:t>Adopting Digital Marketing in Papua: Strategies and Barriers for MSMEs</w:t>
      </w:r>
    </w:p>
    <w:p w14:paraId="63578217" w14:textId="77777777" w:rsidR="00A258C3" w:rsidRPr="00790ADA" w:rsidRDefault="00A258C3" w:rsidP="00441B6F">
      <w:pPr>
        <w:pStyle w:val="Author"/>
        <w:spacing w:line="240" w:lineRule="auto"/>
        <w:jc w:val="both"/>
        <w:rPr>
          <w:rFonts w:ascii="Arial" w:hAnsi="Arial" w:cs="Arial"/>
          <w:sz w:val="36"/>
        </w:rPr>
      </w:pPr>
    </w:p>
    <w:p w14:paraId="305403A5" w14:textId="5D8711F5" w:rsidR="00781E78" w:rsidRPr="0083216F" w:rsidRDefault="00781E78" w:rsidP="00441B6F">
      <w:pPr>
        <w:pStyle w:val="Affiliation"/>
        <w:spacing w:after="0" w:line="240" w:lineRule="auto"/>
        <w:rPr>
          <w:rFonts w:ascii="Arial" w:hAnsi="Arial" w:cs="Arial"/>
          <w:i/>
        </w:rPr>
      </w:pPr>
      <w:r>
        <w:rPr>
          <w:rFonts w:ascii="Arial" w:hAnsi="Arial" w:cs="Arial"/>
          <w:i/>
        </w:rPr>
        <w:t xml:space="preserve"> </w:t>
      </w:r>
    </w:p>
    <w:p w14:paraId="3E68ED11" w14:textId="77777777" w:rsidR="00790ADA" w:rsidRDefault="00790ADA" w:rsidP="00441B6F">
      <w:pPr>
        <w:pStyle w:val="Affiliation"/>
        <w:spacing w:after="0" w:line="240" w:lineRule="auto"/>
        <w:jc w:val="both"/>
        <w:rPr>
          <w:rFonts w:ascii="Arial" w:hAnsi="Arial" w:cs="Arial"/>
        </w:rPr>
      </w:pPr>
    </w:p>
    <w:p w14:paraId="5A5B871B" w14:textId="77777777" w:rsidR="002C57D2" w:rsidRPr="00FB3A86" w:rsidRDefault="002C57D2" w:rsidP="00441B6F">
      <w:pPr>
        <w:pStyle w:val="Affiliation"/>
        <w:spacing w:after="0" w:line="240" w:lineRule="auto"/>
        <w:jc w:val="both"/>
        <w:rPr>
          <w:rFonts w:ascii="Arial" w:hAnsi="Arial" w:cs="Arial"/>
        </w:rPr>
      </w:pPr>
    </w:p>
    <w:p w14:paraId="045B0029" w14:textId="77777777" w:rsidR="00B01FCD" w:rsidRPr="00FB3A86" w:rsidRDefault="00332E97" w:rsidP="00441B6F">
      <w:pPr>
        <w:pStyle w:val="Copyright"/>
        <w:spacing w:after="0" w:line="240" w:lineRule="auto"/>
        <w:jc w:val="both"/>
        <w:rPr>
          <w:rFonts w:ascii="Arial" w:hAnsi="Arial" w:cs="Arial"/>
        </w:rPr>
        <w:sectPr w:rsidR="00B01FCD" w:rsidRPr="00FB3A86" w:rsidSect="00A311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F5229E" wp14:editId="563DB69A">
                <wp:extent cx="5303520" cy="635"/>
                <wp:effectExtent l="0" t="12700" r="5080" b="12065"/>
                <wp:docPr id="2899086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8D5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221E735" w14:textId="5EA42A6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AFAC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5F521B7" w14:textId="77777777" w:rsidTr="001E44FE">
        <w:tc>
          <w:tcPr>
            <w:tcW w:w="9576" w:type="dxa"/>
            <w:shd w:val="clear" w:color="auto" w:fill="F2F2F2"/>
          </w:tcPr>
          <w:p w14:paraId="6055F81B" w14:textId="77777777" w:rsidR="00E3114E" w:rsidRDefault="00E3114E" w:rsidP="00441B6F">
            <w:pPr>
              <w:pStyle w:val="Body"/>
              <w:spacing w:after="0"/>
              <w:rPr>
                <w:rFonts w:ascii="Arial" w:eastAsia="Calibri" w:hAnsi="Arial" w:cs="Arial"/>
                <w:b/>
                <w:szCs w:val="22"/>
              </w:rPr>
            </w:pPr>
          </w:p>
          <w:p w14:paraId="15C4BC25" w14:textId="7D252559" w:rsidR="00BA1B01" w:rsidRPr="00332E97" w:rsidRDefault="00BA1B01" w:rsidP="00332E97">
            <w:pPr>
              <w:pStyle w:val="Body"/>
              <w:spacing w:after="0"/>
              <w:rPr>
                <w:rFonts w:ascii="Arial" w:eastAsia="Calibri" w:hAnsi="Arial" w:cs="Arial"/>
              </w:rPr>
            </w:pPr>
            <w:r w:rsidRPr="00332E97">
              <w:rPr>
                <w:rFonts w:ascii="Arial" w:eastAsia="Calibri" w:hAnsi="Arial" w:cs="Arial"/>
                <w:b/>
              </w:rPr>
              <w:t xml:space="preserve">Aims: </w:t>
            </w:r>
            <w:r w:rsidR="00332E97" w:rsidRPr="00332E97">
              <w:rPr>
                <w:rFonts w:ascii="Arial" w:hAnsi="Arial" w:cs="Arial"/>
                <w:color w:val="000000"/>
              </w:rPr>
              <w:t>The main aim of this study is to explore effective digital marketing strategies for micro, small, and medium enterprises (MSMEs) in Papua, with a particular focus on overcoming challenges related to infrastructure and digital literacy. The study also seeks to highlight local initiatives that can serve as models for inclusive and</w:t>
            </w:r>
            <w:r w:rsidR="00332E97" w:rsidRPr="00EA777F">
              <w:rPr>
                <w:rFonts w:ascii="Arial" w:hAnsi="Arial" w:cs="Arial"/>
                <w:color w:val="000000"/>
              </w:rPr>
              <w:t xml:space="preserve"> </w:t>
            </w:r>
            <w:r w:rsidR="00EA777F" w:rsidRPr="00EA777F">
              <w:rPr>
                <w:rFonts w:ascii="Arial" w:hAnsi="Arial" w:cs="Arial"/>
                <w:color w:val="000000"/>
              </w:rPr>
              <w:t>sustainable digital marketing practices in the region.</w:t>
            </w:r>
          </w:p>
          <w:p w14:paraId="37728932" w14:textId="313B5EC9" w:rsidR="00BA1B01" w:rsidRPr="00332E97" w:rsidRDefault="00BA1B01" w:rsidP="00441B6F">
            <w:pPr>
              <w:pStyle w:val="Body"/>
              <w:spacing w:after="0"/>
              <w:rPr>
                <w:rFonts w:ascii="Arial" w:eastAsia="Calibri" w:hAnsi="Arial" w:cs="Arial"/>
              </w:rPr>
            </w:pPr>
            <w:r w:rsidRPr="00332E97">
              <w:rPr>
                <w:rFonts w:ascii="Arial" w:eastAsia="Calibri" w:hAnsi="Arial" w:cs="Arial"/>
                <w:b/>
              </w:rPr>
              <w:t>Place:</w:t>
            </w:r>
            <w:r w:rsidRPr="00332E97">
              <w:rPr>
                <w:rFonts w:ascii="Arial" w:eastAsia="Calibri" w:hAnsi="Arial" w:cs="Arial"/>
              </w:rPr>
              <w:t xml:space="preserve"> </w:t>
            </w:r>
            <w:r w:rsidR="00332E97" w:rsidRPr="00332E97">
              <w:rPr>
                <w:rFonts w:ascii="Arial" w:hAnsi="Arial" w:cs="Arial"/>
                <w:color w:val="000000"/>
              </w:rPr>
              <w:t>The research was conducted in</w:t>
            </w:r>
            <w:r w:rsidR="00332E97" w:rsidRPr="00332E97">
              <w:rPr>
                <w:rStyle w:val="apple-converted-space"/>
                <w:rFonts w:ascii="Arial" w:hAnsi="Arial" w:cs="Arial"/>
                <w:color w:val="000000"/>
              </w:rPr>
              <w:t> </w:t>
            </w:r>
            <w:r w:rsidR="00332E97" w:rsidRPr="00332E97">
              <w:rPr>
                <w:rStyle w:val="Strong"/>
                <w:rFonts w:ascii="Arial" w:hAnsi="Arial" w:cs="Arial"/>
                <w:b w:val="0"/>
                <w:bCs w:val="0"/>
                <w:color w:val="000000"/>
              </w:rPr>
              <w:t>Jayapura City</w:t>
            </w:r>
            <w:r w:rsidR="00332E97" w:rsidRPr="00332E97">
              <w:rPr>
                <w:rStyle w:val="apple-converted-space"/>
                <w:rFonts w:ascii="Arial" w:hAnsi="Arial" w:cs="Arial"/>
                <w:color w:val="000000"/>
              </w:rPr>
              <w:t> </w:t>
            </w:r>
            <w:r w:rsidR="00332E97" w:rsidRPr="00332E97">
              <w:rPr>
                <w:rFonts w:ascii="Arial" w:hAnsi="Arial" w:cs="Arial"/>
                <w:color w:val="000000"/>
              </w:rPr>
              <w:t>and</w:t>
            </w:r>
            <w:r w:rsidR="00332E97" w:rsidRPr="00332E97">
              <w:rPr>
                <w:rStyle w:val="apple-converted-space"/>
                <w:rFonts w:ascii="Arial" w:hAnsi="Arial" w:cs="Arial"/>
                <w:b/>
                <w:bCs/>
                <w:color w:val="000000"/>
              </w:rPr>
              <w:t> </w:t>
            </w:r>
            <w:proofErr w:type="spellStart"/>
            <w:r w:rsidR="00332E97" w:rsidRPr="00332E97">
              <w:rPr>
                <w:rStyle w:val="Strong"/>
                <w:rFonts w:ascii="Arial" w:hAnsi="Arial" w:cs="Arial"/>
                <w:b w:val="0"/>
                <w:bCs w:val="0"/>
                <w:color w:val="000000"/>
              </w:rPr>
              <w:t>Mimika</w:t>
            </w:r>
            <w:proofErr w:type="spellEnd"/>
            <w:r w:rsidR="00332E97" w:rsidRPr="00332E97">
              <w:rPr>
                <w:rStyle w:val="Strong"/>
                <w:rFonts w:ascii="Arial" w:hAnsi="Arial" w:cs="Arial"/>
                <w:color w:val="000000"/>
              </w:rPr>
              <w:t xml:space="preserve"> </w:t>
            </w:r>
            <w:r w:rsidR="00332E97" w:rsidRPr="003C250C">
              <w:rPr>
                <w:rStyle w:val="Strong"/>
                <w:rFonts w:ascii="Arial" w:hAnsi="Arial" w:cs="Arial"/>
                <w:b w:val="0"/>
                <w:bCs w:val="0"/>
                <w:color w:val="000000"/>
              </w:rPr>
              <w:t>Regency</w:t>
            </w:r>
            <w:r w:rsidR="00332E97" w:rsidRPr="00332E97">
              <w:rPr>
                <w:rFonts w:ascii="Arial" w:hAnsi="Arial" w:cs="Arial"/>
                <w:color w:val="000000"/>
              </w:rPr>
              <w:t xml:space="preserve">, two areas representing urban and resource-based economic activities in Papua. </w:t>
            </w:r>
          </w:p>
          <w:p w14:paraId="40060E05" w14:textId="42E06732" w:rsidR="00BA1B01" w:rsidRPr="00332E97" w:rsidRDefault="00BA1B01" w:rsidP="00441B6F">
            <w:pPr>
              <w:pStyle w:val="Body"/>
              <w:spacing w:after="0"/>
              <w:rPr>
                <w:rFonts w:ascii="Arial" w:eastAsia="Calibri" w:hAnsi="Arial" w:cs="Arial"/>
              </w:rPr>
            </w:pPr>
            <w:r w:rsidRPr="00332E97">
              <w:rPr>
                <w:rFonts w:ascii="Arial" w:eastAsia="Calibri" w:hAnsi="Arial" w:cs="Arial"/>
                <w:b/>
                <w:bCs/>
              </w:rPr>
              <w:t>Methodology:</w:t>
            </w:r>
            <w:r w:rsidRPr="00332E97">
              <w:rPr>
                <w:rFonts w:ascii="Arial" w:eastAsia="Calibri" w:hAnsi="Arial" w:cs="Arial"/>
              </w:rPr>
              <w:t xml:space="preserve"> </w:t>
            </w:r>
            <w:r w:rsidR="00332E97" w:rsidRPr="00332E97">
              <w:rPr>
                <w:rFonts w:ascii="Arial" w:hAnsi="Arial" w:cs="Arial"/>
                <w:color w:val="000000"/>
              </w:rPr>
              <w:t>This study employed a</w:t>
            </w:r>
            <w:r w:rsidR="00332E97" w:rsidRPr="00332E97">
              <w:rPr>
                <w:rStyle w:val="apple-converted-space"/>
                <w:rFonts w:ascii="Arial" w:hAnsi="Arial" w:cs="Arial"/>
                <w:color w:val="000000"/>
              </w:rPr>
              <w:t> </w:t>
            </w:r>
            <w:r w:rsidR="00332E97" w:rsidRPr="00332E97">
              <w:rPr>
                <w:rStyle w:val="Strong"/>
                <w:rFonts w:ascii="Arial" w:hAnsi="Arial" w:cs="Arial"/>
                <w:color w:val="000000"/>
              </w:rPr>
              <w:t>descriptive qualitative approach</w:t>
            </w:r>
            <w:r w:rsidR="00332E97" w:rsidRPr="00332E97">
              <w:rPr>
                <w:rFonts w:ascii="Arial" w:hAnsi="Arial" w:cs="Arial"/>
                <w:color w:val="000000"/>
              </w:rPr>
              <w:t>. Primary data was obtained through semi-structured interviews and focus group discussions with selected MSME actors across different sectors, including handicrafts, food and beverages, and local service industries. Secondary data was collected from government reports, academic publications, and policy documents related to digital economy development in Papua. The collected data was then analyzed thematically to identify key challenges, opportunities, and strategies in digital marketing adoption.</w:t>
            </w:r>
          </w:p>
          <w:p w14:paraId="43549AE7" w14:textId="0C892F7A" w:rsidR="00BA1B01" w:rsidRPr="00332E97" w:rsidRDefault="00BA1B01" w:rsidP="00441B6F">
            <w:pPr>
              <w:pStyle w:val="Body"/>
              <w:spacing w:after="0"/>
              <w:rPr>
                <w:rFonts w:ascii="Arial" w:eastAsia="Calibri" w:hAnsi="Arial" w:cs="Arial"/>
                <w:b/>
                <w:bCs/>
              </w:rPr>
            </w:pPr>
            <w:r w:rsidRPr="00332E97">
              <w:rPr>
                <w:rFonts w:ascii="Arial" w:eastAsia="Calibri" w:hAnsi="Arial" w:cs="Arial"/>
                <w:b/>
                <w:bCs/>
              </w:rPr>
              <w:t>Results:</w:t>
            </w:r>
            <w:r w:rsidRPr="00332E97">
              <w:rPr>
                <w:rFonts w:ascii="Arial" w:eastAsia="Calibri" w:hAnsi="Arial" w:cs="Arial"/>
              </w:rPr>
              <w:t xml:space="preserve"> </w:t>
            </w:r>
            <w:r w:rsidR="00332E97" w:rsidRPr="00332E97">
              <w:rPr>
                <w:rFonts w:ascii="Arial" w:hAnsi="Arial" w:cs="Arial"/>
                <w:color w:val="000000"/>
              </w:rPr>
              <w:t>The study finds that technology adoption among MSMEs in Papua is still limited, with most relying on traditional marketing due to poor internet access and low digital literacy. Some entrepreneurs, particularly in Jayapura, use platforms like Facebook, Instagram, and WhatsApp Business, showing the potential of digital tools. Local initiatives such as online marketplaces and training programs led by universities and NGOs demonstrate encouraging progress, though infrastructure gaps and limited skills remain major barriers.</w:t>
            </w:r>
            <w:r w:rsidR="00EA777F">
              <w:rPr>
                <w:rFonts w:ascii="Arial" w:hAnsi="Arial" w:cs="Arial"/>
                <w:color w:val="000000"/>
              </w:rPr>
              <w:t xml:space="preserve"> </w:t>
            </w:r>
            <w:r w:rsidR="00EA777F" w:rsidRPr="00EA777F">
              <w:rPr>
                <w:rFonts w:ascii="Arial" w:hAnsi="Arial" w:cs="Arial"/>
                <w:color w:val="000000"/>
              </w:rPr>
              <w:t>Moreover, gaps in digital literacy continue to hinder MSME actors from fully optimizing digital platforms for business growth, indicating a strong need for continuous training and mentoring.</w:t>
            </w:r>
          </w:p>
          <w:p w14:paraId="3D28EC11" w14:textId="210E2B1A" w:rsidR="00505F06" w:rsidRPr="00BA1B01" w:rsidRDefault="00BA1B01" w:rsidP="00332E97">
            <w:pPr>
              <w:pStyle w:val="Body"/>
              <w:spacing w:after="0"/>
              <w:rPr>
                <w:rFonts w:ascii="Arial" w:eastAsia="Calibri" w:hAnsi="Arial" w:cs="Arial"/>
                <w:szCs w:val="22"/>
              </w:rPr>
            </w:pPr>
            <w:r w:rsidRPr="00332E97">
              <w:rPr>
                <w:rFonts w:ascii="Arial" w:eastAsia="Calibri" w:hAnsi="Arial" w:cs="Arial"/>
                <w:b/>
                <w:bCs/>
              </w:rPr>
              <w:t>Conclusion:</w:t>
            </w:r>
            <w:r w:rsidRPr="00332E97">
              <w:rPr>
                <w:rFonts w:ascii="Arial" w:eastAsia="Calibri" w:hAnsi="Arial" w:cs="Arial"/>
              </w:rPr>
              <w:t xml:space="preserve"> </w:t>
            </w:r>
            <w:r w:rsidR="00332E97" w:rsidRPr="00332E97">
              <w:rPr>
                <w:rFonts w:ascii="Arial" w:hAnsi="Arial" w:cs="Arial"/>
                <w:color w:val="000000"/>
              </w:rPr>
              <w:t>The research concludes that while MSME digitalization in Papua is at an early stage, it has strong potential if supported by targeted interventions. Strengthening digital literacy programs, improving internet infrastructure, and fostering collaboration between government, private sector, and local communities are crucial steps. These efforts will enhance MSME competitiveness and promote more inclusive economic development in Papua.</w:t>
            </w:r>
          </w:p>
        </w:tc>
      </w:tr>
    </w:tbl>
    <w:p w14:paraId="081B45A5" w14:textId="77777777" w:rsidR="00636EB2" w:rsidRDefault="00636EB2" w:rsidP="00441B6F">
      <w:pPr>
        <w:pStyle w:val="Body"/>
        <w:spacing w:after="0"/>
        <w:rPr>
          <w:rFonts w:ascii="Arial" w:hAnsi="Arial" w:cs="Arial"/>
          <w:i/>
        </w:rPr>
      </w:pPr>
    </w:p>
    <w:p w14:paraId="194B8E74" w14:textId="73728532" w:rsidR="00A24E7E" w:rsidRDefault="00A24E7E" w:rsidP="00441B6F">
      <w:pPr>
        <w:pStyle w:val="Body"/>
        <w:spacing w:after="0"/>
        <w:rPr>
          <w:rFonts w:ascii="Arial" w:hAnsi="Arial" w:cs="Arial"/>
          <w:i/>
        </w:rPr>
      </w:pPr>
      <w:r>
        <w:rPr>
          <w:rFonts w:ascii="Arial" w:hAnsi="Arial" w:cs="Arial"/>
          <w:i/>
        </w:rPr>
        <w:t>Keywords:</w:t>
      </w:r>
      <w:r w:rsidR="0066510A">
        <w:rPr>
          <w:rFonts w:ascii="Arial" w:hAnsi="Arial" w:cs="Arial"/>
          <w:i/>
        </w:rPr>
        <w:t xml:space="preserve"> </w:t>
      </w:r>
      <w:r w:rsidR="00332E97" w:rsidRPr="00332E97">
        <w:rPr>
          <w:rFonts w:ascii="Arial" w:hAnsi="Arial" w:cs="Arial"/>
          <w:i/>
        </w:rPr>
        <w:t xml:space="preserve">Marketing strategy, </w:t>
      </w:r>
      <w:r w:rsidR="00332E97">
        <w:rPr>
          <w:rFonts w:ascii="Arial" w:hAnsi="Arial" w:cs="Arial"/>
          <w:i/>
        </w:rPr>
        <w:t>D</w:t>
      </w:r>
      <w:r w:rsidR="00332E97" w:rsidRPr="00332E97">
        <w:rPr>
          <w:rFonts w:ascii="Arial" w:hAnsi="Arial" w:cs="Arial"/>
          <w:i/>
        </w:rPr>
        <w:t xml:space="preserve">igital era, MSMEs, Papua, </w:t>
      </w:r>
      <w:r w:rsidR="00332E97">
        <w:rPr>
          <w:rFonts w:ascii="Arial" w:hAnsi="Arial" w:cs="Arial"/>
          <w:i/>
        </w:rPr>
        <w:t>D</w:t>
      </w:r>
      <w:r w:rsidR="00332E97" w:rsidRPr="00332E97">
        <w:rPr>
          <w:rFonts w:ascii="Arial" w:hAnsi="Arial" w:cs="Arial"/>
          <w:i/>
        </w:rPr>
        <w:t xml:space="preserve">igitalization </w:t>
      </w:r>
    </w:p>
    <w:p w14:paraId="02A4C4DF" w14:textId="77777777" w:rsidR="00790ADA" w:rsidRDefault="00790ADA" w:rsidP="00441B6F">
      <w:pPr>
        <w:pStyle w:val="Body"/>
        <w:spacing w:after="0"/>
        <w:rPr>
          <w:rFonts w:ascii="Arial" w:hAnsi="Arial" w:cs="Arial"/>
          <w:i/>
        </w:rPr>
      </w:pPr>
    </w:p>
    <w:p w14:paraId="59BE9C53" w14:textId="77777777" w:rsidR="0024282C" w:rsidRDefault="0024282C" w:rsidP="00441B6F">
      <w:pPr>
        <w:pStyle w:val="Body"/>
        <w:spacing w:after="0"/>
        <w:rPr>
          <w:rFonts w:ascii="Arial" w:hAnsi="Arial" w:cs="Arial"/>
          <w:i/>
          <w:sz w:val="18"/>
        </w:rPr>
      </w:pPr>
    </w:p>
    <w:p w14:paraId="00800D00" w14:textId="77777777" w:rsidR="00505F06" w:rsidRPr="00A24E7E" w:rsidRDefault="00505F06" w:rsidP="00441B6F">
      <w:pPr>
        <w:pStyle w:val="Body"/>
        <w:spacing w:after="0"/>
        <w:rPr>
          <w:rFonts w:ascii="Arial" w:hAnsi="Arial" w:cs="Arial"/>
          <w:i/>
        </w:rPr>
      </w:pPr>
    </w:p>
    <w:p w14:paraId="4B7F5B3E" w14:textId="1311B6E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DC33BC" w14:textId="77777777" w:rsidR="00790ADA" w:rsidRPr="00FB3A86" w:rsidRDefault="00790ADA" w:rsidP="00441B6F">
      <w:pPr>
        <w:pStyle w:val="AbstHead"/>
        <w:spacing w:after="0"/>
        <w:jc w:val="both"/>
        <w:rPr>
          <w:rFonts w:ascii="Arial" w:hAnsi="Arial" w:cs="Arial"/>
        </w:rPr>
      </w:pPr>
    </w:p>
    <w:p w14:paraId="524B20FD" w14:textId="77777777" w:rsidR="007C4AD6" w:rsidRPr="007C4AD6" w:rsidRDefault="007C4AD6" w:rsidP="007C4AD6">
      <w:pPr>
        <w:pStyle w:val="Body"/>
        <w:rPr>
          <w:rFonts w:ascii="Arial" w:hAnsi="Arial" w:cs="Arial"/>
        </w:rPr>
      </w:pPr>
      <w:r w:rsidRPr="007C4AD6">
        <w:rPr>
          <w:rFonts w:ascii="Arial" w:hAnsi="Arial" w:cs="Arial"/>
        </w:rPr>
        <w:t xml:space="preserve">The development of digital technology has changed various aspects of life, including in the world of business and marketing. In today's digital era, marketing strategies have undergone a transformation from a conventional approach to an information technology-based approach. Kotler and Keller (2016) state that marketing is a social and managerial process in which individuals and groups obtain what they need and want through the creation and exchange of valuable products. In this context, digital technology is a new means of creating such value more widely and efficiently. Recent studies also emphasize </w:t>
      </w:r>
      <w:r w:rsidRPr="007C4AD6">
        <w:rPr>
          <w:rFonts w:ascii="Arial" w:hAnsi="Arial" w:cs="Arial"/>
        </w:rPr>
        <w:lastRenderedPageBreak/>
        <w:t xml:space="preserve">that digital transformation has become a critical driver for MSME competitiveness, although challenges persist in terms of adoption and sustainability (Purnomo, </w:t>
      </w:r>
      <w:proofErr w:type="spellStart"/>
      <w:r w:rsidRPr="007C4AD6">
        <w:rPr>
          <w:rFonts w:ascii="Arial" w:hAnsi="Arial" w:cs="Arial"/>
        </w:rPr>
        <w:t>Nurmalitasari</w:t>
      </w:r>
      <w:proofErr w:type="spellEnd"/>
      <w:r w:rsidRPr="007C4AD6">
        <w:rPr>
          <w:rFonts w:ascii="Arial" w:hAnsi="Arial" w:cs="Arial"/>
        </w:rPr>
        <w:t xml:space="preserve">, &amp; </w:t>
      </w:r>
      <w:proofErr w:type="spellStart"/>
      <w:r w:rsidRPr="007C4AD6">
        <w:rPr>
          <w:rFonts w:ascii="Arial" w:hAnsi="Arial" w:cs="Arial"/>
        </w:rPr>
        <w:t>Nurchim</w:t>
      </w:r>
      <w:proofErr w:type="spellEnd"/>
      <w:r w:rsidRPr="007C4AD6">
        <w:rPr>
          <w:rFonts w:ascii="Arial" w:hAnsi="Arial" w:cs="Arial"/>
        </w:rPr>
        <w:t>, 2024; Abdillah, 2023).</w:t>
      </w:r>
    </w:p>
    <w:p w14:paraId="273D7583" w14:textId="77777777" w:rsidR="007C4AD6" w:rsidRPr="007C4AD6" w:rsidRDefault="007C4AD6" w:rsidP="007C4AD6">
      <w:pPr>
        <w:pStyle w:val="Body"/>
        <w:rPr>
          <w:rFonts w:ascii="Arial" w:hAnsi="Arial" w:cs="Arial"/>
        </w:rPr>
      </w:pPr>
      <w:r w:rsidRPr="007C4AD6">
        <w:rPr>
          <w:rFonts w:ascii="Arial" w:hAnsi="Arial" w:cs="Arial"/>
        </w:rPr>
        <w:t>Papua, as one of the regions that has abundant cultural wealth and natural resources, is inseparable from the impact of digitalization. However, infrastructure challenges, limited internet access, and low digital literacy are obstacles to the implementation of digital marketing strategies to the maximum in this region. According to Chaffey and Ellis-Chadwick (2019), digital marketing involves a variety of activities that use the internet and digital media to reach customers more effectively. This includes the use of social media, search engine optimization (SEO), email marketing, and other interactive content that requires connectivity and basic digital skills. In Indonesia’s remote regions, similar barriers have been observed, where MSMEs’ digital adoption strongly depends on infrastructure readiness and community support mechanisms (</w:t>
      </w:r>
      <w:proofErr w:type="spellStart"/>
      <w:r w:rsidRPr="007C4AD6">
        <w:rPr>
          <w:rFonts w:ascii="Arial" w:hAnsi="Arial" w:cs="Arial"/>
        </w:rPr>
        <w:t>Purike</w:t>
      </w:r>
      <w:proofErr w:type="spellEnd"/>
      <w:r w:rsidRPr="007C4AD6">
        <w:rPr>
          <w:rFonts w:ascii="Arial" w:hAnsi="Arial" w:cs="Arial"/>
        </w:rPr>
        <w:t>, 2025).</w:t>
      </w:r>
    </w:p>
    <w:p w14:paraId="7BD1E6C5" w14:textId="77777777" w:rsidR="007C4AD6" w:rsidRPr="007C4AD6" w:rsidRDefault="007C4AD6" w:rsidP="007C4AD6">
      <w:pPr>
        <w:pStyle w:val="Body"/>
        <w:rPr>
          <w:rFonts w:ascii="Arial" w:hAnsi="Arial" w:cs="Arial"/>
        </w:rPr>
      </w:pPr>
      <w:r w:rsidRPr="007C4AD6">
        <w:rPr>
          <w:rFonts w:ascii="Arial" w:hAnsi="Arial" w:cs="Arial"/>
        </w:rPr>
        <w:t>In practice, MSMEs in Papua have begun to utilize simple digital platforms such as WhatsApp, Facebook, and Instagram to introduce their products, particularly in the food, handicraft, and service sectors. Although their adoption remains limited, these practices illustrate the potential of digital media to help entrepreneurs expand market reach, strengthen branding, and connect directly with consumers. The gradual use of these platforms also shows that local businesses are open to technological innovation, even though they face constraints related to knowledge and infrastructure. This condition mirrors broader findings in Indonesia where inclusive digital ecosystems—built through collaboration between government, private sector, and civil society—are crucial for sustaining MSME transformation (Aminullah et al., 2024).</w:t>
      </w:r>
    </w:p>
    <w:p w14:paraId="3E8F1F02" w14:textId="77777777" w:rsidR="007C4AD6" w:rsidRPr="007C4AD6" w:rsidRDefault="007C4AD6" w:rsidP="007C4AD6">
      <w:pPr>
        <w:pStyle w:val="Body"/>
        <w:rPr>
          <w:rFonts w:ascii="Arial" w:hAnsi="Arial" w:cs="Arial"/>
        </w:rPr>
      </w:pPr>
      <w:r w:rsidRPr="007C4AD6">
        <w:rPr>
          <w:rFonts w:ascii="Arial" w:hAnsi="Arial" w:cs="Arial"/>
        </w:rPr>
        <w:t>To accelerate this process, digital marketing strategies in Papua must also be supported by institutional and community-based efforts. Government programs in digital economy development, collaboration with private sector platforms, and the role of higher education in providing training can play a decisive role in strengthening the capacity of local entrepreneurs. Initiatives such as the BAKTI DNA Ecosystem (2024) have shown how integrated infrastructure and literacy programs can effectively bridge the digital gap in rural Indonesia, offering lessons that are highly relevant to Papua. Equally important, peer-to-peer learning among business actors—where early adopters share their experiences with other MSMEs—can reduce barriers to technology adoption and foster a supportive digital ecosystem.</w:t>
      </w:r>
    </w:p>
    <w:p w14:paraId="13A56AEB" w14:textId="77777777" w:rsidR="007C4AD6" w:rsidRPr="007C4AD6" w:rsidRDefault="007C4AD6" w:rsidP="007C4AD6">
      <w:pPr>
        <w:pStyle w:val="Body"/>
        <w:rPr>
          <w:rFonts w:ascii="Arial" w:hAnsi="Arial" w:cs="Arial"/>
        </w:rPr>
      </w:pPr>
      <w:r w:rsidRPr="007C4AD6">
        <w:rPr>
          <w:rFonts w:ascii="Arial" w:hAnsi="Arial" w:cs="Arial"/>
        </w:rPr>
        <w:t>Digital transformation presents a great opportunity for micro, small, and medium enterprises (MSMEs) in Papua to reach a wider market. However, adaptation to new technologies requires the right strategy, especially in Papua's unique geographical and socio-cultural context. Rogers' (2003) theory of innovation adoption emphasizes that the success of technology adoption is strongly influenced by five characteristics: relative superiority, compatibility, complexity, testability, and visibility of results. In the Papuan context, the level of compatibility between technology and local culture, as well as the level of complexity in the use of technology, are two important factors that affect the success of marketing digitalization.</w:t>
      </w:r>
    </w:p>
    <w:p w14:paraId="4229A3C5" w14:textId="4C036F05" w:rsidR="007C4AD6" w:rsidRDefault="007C4AD6" w:rsidP="007C4AD6">
      <w:pPr>
        <w:pStyle w:val="Body"/>
        <w:rPr>
          <w:rFonts w:ascii="Arial" w:hAnsi="Arial" w:cs="Arial"/>
        </w:rPr>
      </w:pPr>
      <w:r w:rsidRPr="007C4AD6">
        <w:rPr>
          <w:rFonts w:ascii="Arial" w:hAnsi="Arial" w:cs="Arial"/>
        </w:rPr>
        <w:t>The geographical condition of Papua, which consists of remote areas with difficult transportation access, also affects product distribution and promotion. Therefore, digitalization can be a solution to expand the market while reducing logistical barriers. However, this can only be realized if there is a marketing strategy that is in accordance with local conditions and supported by various parties, both government, private, and community. Not only in terms of technology, but digital marketing strategies also need to consider elements of culture, local language, and social values of the Papuan people. A marketing approach that is insensitive to local culture can lead to resistance or even rejection from the community. Therefore, a deep understanding of the characteristics of local consumers is crucial in designing digital campaigns that are effective and accepted by the local community. Based on these conditions, the main research problem of this study lies in how MSMEs in Papua can adopt digital marketing effectively despite the limitations of infrastructure and digital literacy. The purpose of this study is to identify the strategies, challenges, and local initiatives that support the digitalization of marketing in Papua, as well as to formulate recommendations for inclusive and context-specific approaches to strengthen MSME competitiveness in the digital era.</w:t>
      </w:r>
    </w:p>
    <w:p w14:paraId="77A7AC5C" w14:textId="77777777" w:rsidR="00790ADA" w:rsidRPr="00FB3A86" w:rsidRDefault="00790ADA" w:rsidP="00441B6F">
      <w:pPr>
        <w:pStyle w:val="Body"/>
        <w:spacing w:after="0"/>
        <w:rPr>
          <w:rFonts w:ascii="Arial" w:hAnsi="Arial" w:cs="Arial"/>
        </w:rPr>
      </w:pPr>
    </w:p>
    <w:p w14:paraId="768C3DFA" w14:textId="1447615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32AA0F" w14:textId="77777777" w:rsidR="00790ADA" w:rsidRPr="00FB3A86" w:rsidRDefault="00790ADA" w:rsidP="00441B6F">
      <w:pPr>
        <w:pStyle w:val="AbstHead"/>
        <w:spacing w:after="0"/>
        <w:jc w:val="both"/>
        <w:rPr>
          <w:rFonts w:ascii="Arial" w:hAnsi="Arial" w:cs="Arial"/>
        </w:rPr>
      </w:pPr>
    </w:p>
    <w:p w14:paraId="3E10ECE1" w14:textId="77777777" w:rsidR="00790ADA" w:rsidRDefault="00790ADA" w:rsidP="00441B6F">
      <w:pPr>
        <w:pStyle w:val="Body"/>
        <w:spacing w:after="0"/>
        <w:rPr>
          <w:rFonts w:ascii="Arial" w:hAnsi="Arial" w:cs="Arial"/>
        </w:rPr>
      </w:pPr>
    </w:p>
    <w:p w14:paraId="5BF9E34B" w14:textId="77777777" w:rsidR="00FB4DD2" w:rsidRPr="00FB4DD2" w:rsidRDefault="00FB4DD2" w:rsidP="00FB4DD2">
      <w:pPr>
        <w:pStyle w:val="Body"/>
        <w:rPr>
          <w:rFonts w:ascii="Arial" w:hAnsi="Arial" w:cs="Arial"/>
        </w:rPr>
      </w:pPr>
      <w:r w:rsidRPr="00FB4DD2">
        <w:rPr>
          <w:rFonts w:ascii="Arial" w:hAnsi="Arial" w:cs="Arial"/>
        </w:rPr>
        <w:t>This study employs a descriptive qualitative approach to explore the opportunities and challenges of digital marketing adoption among MSMEs in Papua. The qualitative method was chosen to gain a deep understanding of the perceptions, experiences, and strategies of local business actors in the process of adapting to digital technology.</w:t>
      </w:r>
    </w:p>
    <w:p w14:paraId="1C91A2C5" w14:textId="77777777" w:rsidR="00FB4DD2" w:rsidRPr="00FB4DD2" w:rsidRDefault="00FB4DD2" w:rsidP="00FB4DD2">
      <w:pPr>
        <w:pStyle w:val="Body"/>
        <w:rPr>
          <w:rFonts w:ascii="Arial" w:hAnsi="Arial" w:cs="Arial"/>
        </w:rPr>
      </w:pPr>
      <w:r w:rsidRPr="00FB4DD2">
        <w:rPr>
          <w:rFonts w:ascii="Arial" w:hAnsi="Arial" w:cs="Arial"/>
        </w:rPr>
        <w:t xml:space="preserve">Data were collected through three main techniques. First, in-depth interviews were conducted with 20 MSME actors operating in various sectors, such as handicrafts, food and beverages, and services, in Jayapura City and </w:t>
      </w:r>
      <w:proofErr w:type="spellStart"/>
      <w:r w:rsidRPr="00FB4DD2">
        <w:rPr>
          <w:rFonts w:ascii="Arial" w:hAnsi="Arial" w:cs="Arial"/>
        </w:rPr>
        <w:t>Mimika</w:t>
      </w:r>
      <w:proofErr w:type="spellEnd"/>
      <w:r w:rsidRPr="00FB4DD2">
        <w:rPr>
          <w:rFonts w:ascii="Arial" w:hAnsi="Arial" w:cs="Arial"/>
        </w:rPr>
        <w:t xml:space="preserve"> Regency. The interviews aimed to capture their knowledge, practices, and constraints in implementing digital marketing. Second, participatory observation was carried out by directly observing the digital marketing activities of these MSMEs, including </w:t>
      </w:r>
      <w:r w:rsidRPr="00FB4DD2">
        <w:rPr>
          <w:rFonts w:ascii="Arial" w:hAnsi="Arial" w:cs="Arial"/>
        </w:rPr>
        <w:lastRenderedPageBreak/>
        <w:t>their use of social media, online catalogs, and digital communication tools. Third, a documentation study was conducted by analyzing digital promotional materials, social media content, and government or institutional reports related to MSME development and digitalization in Papua.</w:t>
      </w:r>
    </w:p>
    <w:p w14:paraId="1A1E0FF9" w14:textId="77777777" w:rsidR="00FB4DD2" w:rsidRPr="00FB4DD2" w:rsidRDefault="00FB4DD2" w:rsidP="00FB4DD2">
      <w:pPr>
        <w:pStyle w:val="Body"/>
        <w:rPr>
          <w:rFonts w:ascii="Arial" w:hAnsi="Arial" w:cs="Arial"/>
        </w:rPr>
      </w:pPr>
      <w:r w:rsidRPr="00FB4DD2">
        <w:rPr>
          <w:rFonts w:ascii="Arial" w:hAnsi="Arial" w:cs="Arial"/>
        </w:rPr>
        <w:t xml:space="preserve">The research was conducted in Jayapura City and </w:t>
      </w:r>
      <w:proofErr w:type="spellStart"/>
      <w:r w:rsidRPr="00FB4DD2">
        <w:rPr>
          <w:rFonts w:ascii="Arial" w:hAnsi="Arial" w:cs="Arial"/>
        </w:rPr>
        <w:t>Mimika</w:t>
      </w:r>
      <w:proofErr w:type="spellEnd"/>
      <w:r w:rsidRPr="00FB4DD2">
        <w:rPr>
          <w:rFonts w:ascii="Arial" w:hAnsi="Arial" w:cs="Arial"/>
        </w:rPr>
        <w:t xml:space="preserve"> Regency between January and April 2025, representing both an urban center and a resource-based economic area. The choice of these locations was intended to reflect diverse local contexts of MSME activity in Papua.</w:t>
      </w:r>
    </w:p>
    <w:p w14:paraId="0E5783F9" w14:textId="77777777" w:rsidR="00FB4DD2" w:rsidRPr="00FB4DD2" w:rsidRDefault="00FB4DD2" w:rsidP="00FB4DD2">
      <w:pPr>
        <w:pStyle w:val="Body"/>
        <w:rPr>
          <w:rFonts w:ascii="Arial" w:hAnsi="Arial" w:cs="Arial"/>
        </w:rPr>
      </w:pPr>
      <w:r w:rsidRPr="00FB4DD2">
        <w:rPr>
          <w:rFonts w:ascii="Arial" w:hAnsi="Arial" w:cs="Arial"/>
        </w:rPr>
        <w:t>For data analysis, the study applied a thematic analysis technique, where interview transcripts, observation notes, and documentation were systematically coded and categorized. This process enabled the identification of recurring patterns, key challenges, and emerging strategies related to digital marketing adoption. The findings were then synthesized to provide insights into how digital transformation can be developed in line with Papua’s unique socio-cultural and infrastructural conditions.</w:t>
      </w:r>
    </w:p>
    <w:p w14:paraId="4E6EA9FE" w14:textId="77777777" w:rsidR="00FB4DD2" w:rsidRPr="00FB4DD2" w:rsidRDefault="00FB4DD2" w:rsidP="00FB4DD2">
      <w:pPr>
        <w:pStyle w:val="Body"/>
        <w:rPr>
          <w:rFonts w:ascii="Arial" w:hAnsi="Arial" w:cs="Arial"/>
        </w:rPr>
      </w:pPr>
      <w:r w:rsidRPr="00FB4DD2">
        <w:rPr>
          <w:rFonts w:ascii="Arial" w:hAnsi="Arial" w:cs="Arial"/>
        </w:rPr>
        <w:t>To ensure the validity and reliability of the findings, this research applied triangulation of data sources and methods. The use of interviews, observations, and documentation allowed the researcher to cross-check and confirm the consistency of information. Member checking was also conducted by sharing preliminary results with selected MSME participants to validate interpretations and ensure that their perspectives were accurately represented.</w:t>
      </w:r>
    </w:p>
    <w:p w14:paraId="067C5A81" w14:textId="77777777" w:rsidR="00FB4DD2" w:rsidRPr="00FB4DD2" w:rsidRDefault="00FB4DD2" w:rsidP="00FB4DD2">
      <w:pPr>
        <w:pStyle w:val="Body"/>
        <w:rPr>
          <w:rFonts w:ascii="Arial" w:hAnsi="Arial" w:cs="Arial"/>
        </w:rPr>
      </w:pPr>
      <w:r w:rsidRPr="00FB4DD2">
        <w:rPr>
          <w:rFonts w:ascii="Arial" w:hAnsi="Arial" w:cs="Arial"/>
        </w:rPr>
        <w:t>Ethical considerations were carefully maintained throughout the research process. Participation was entirely voluntary, and informed consent was obtained from all respondents before data collection. Anonymity and confidentiality were guaranteed by assigning codes to each participant and avoiding disclosure of sensitive business information. These measures were taken to respect the rights of participants and to foster trust during the interviews and observations.</w:t>
      </w:r>
    </w:p>
    <w:p w14:paraId="3A58243E" w14:textId="6BA8C98C" w:rsidR="00790ADA" w:rsidRPr="00FB3A86" w:rsidRDefault="00FB4DD2" w:rsidP="00FB4DD2">
      <w:pPr>
        <w:pStyle w:val="Body"/>
        <w:spacing w:after="0"/>
        <w:rPr>
          <w:rFonts w:ascii="Arial" w:hAnsi="Arial" w:cs="Arial"/>
        </w:rPr>
      </w:pPr>
      <w:r w:rsidRPr="00FB4DD2">
        <w:rPr>
          <w:rFonts w:ascii="Arial" w:hAnsi="Arial" w:cs="Arial"/>
        </w:rPr>
        <w:t>Finally, the methodological choice of a qualitative descriptive approach was intended not only to capture empirical data but also to reflect the contextual nuances of Papua. Unlike purely quantitative approaches, which may overlook cultural, linguistic, and social dynamics, this method enabled the researcher to engage with MSME actors in a participatory manner. The depth of qualitative insights is expected to contribute to policy recommendations and practical strategies that are more responsive to the real needs of business actors in Papua.</w:t>
      </w:r>
    </w:p>
    <w:p w14:paraId="6F0691A6" w14:textId="77777777" w:rsidR="00790ADA" w:rsidRPr="00FB3A86" w:rsidRDefault="00790ADA" w:rsidP="00441B6F">
      <w:pPr>
        <w:pStyle w:val="Body"/>
        <w:spacing w:after="0"/>
        <w:rPr>
          <w:rFonts w:ascii="Arial" w:hAnsi="Arial" w:cs="Arial"/>
        </w:rPr>
      </w:pPr>
    </w:p>
    <w:p w14:paraId="6A0E6C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751E28" w14:textId="77777777" w:rsidR="00790ADA" w:rsidRPr="00FB3A86" w:rsidRDefault="00790ADA" w:rsidP="00441B6F">
      <w:pPr>
        <w:pStyle w:val="Head1"/>
        <w:spacing w:after="0"/>
        <w:jc w:val="both"/>
        <w:rPr>
          <w:rFonts w:ascii="Arial" w:hAnsi="Arial" w:cs="Arial"/>
        </w:rPr>
      </w:pPr>
    </w:p>
    <w:p w14:paraId="3683C4CD" w14:textId="097AF029" w:rsidR="003760AD" w:rsidRPr="003760AD" w:rsidRDefault="003760AD" w:rsidP="003760AD">
      <w:pPr>
        <w:pStyle w:val="Body"/>
        <w:rPr>
          <w:rFonts w:ascii="Arial" w:hAnsi="Arial" w:cs="Arial"/>
          <w:b/>
          <w:bCs/>
        </w:rPr>
      </w:pPr>
      <w:r w:rsidRPr="003760AD">
        <w:rPr>
          <w:rFonts w:ascii="Arial" w:hAnsi="Arial" w:cs="Arial"/>
          <w:b/>
          <w:bCs/>
        </w:rPr>
        <w:t>3.1 Digital Adoption Rate by MSMEs in Papua</w:t>
      </w:r>
    </w:p>
    <w:p w14:paraId="44408035" w14:textId="3F8B0ADF" w:rsidR="00405122" w:rsidRPr="00405122" w:rsidRDefault="00405122" w:rsidP="00405122">
      <w:pPr>
        <w:pStyle w:val="Body"/>
        <w:rPr>
          <w:rFonts w:ascii="Arial" w:hAnsi="Arial" w:cs="Arial"/>
        </w:rPr>
      </w:pPr>
      <w:r>
        <w:rPr>
          <w:rFonts w:ascii="Arial" w:hAnsi="Arial" w:cs="Arial"/>
        </w:rPr>
        <w:t>F</w:t>
      </w:r>
      <w:r w:rsidRPr="00405122">
        <w:rPr>
          <w:rFonts w:ascii="Arial" w:hAnsi="Arial" w:cs="Arial"/>
        </w:rPr>
        <w:t>ield data collected from in-depth interviews and participatory observations indicate that the adoption rate of digital marketing strategies among MSMEs in Papua is still relatively low. Many business actors continue to rely on conventional methods, such as word-of-mouth promotion and physical sales in local markets, rather than utilizing websites, marketplaces, or social media. Documentation analysis of MSME social media content confirms that only a small proportion of businesses actively manage digital platforms, and even then, their usage remains sporadic and unstructured. The main factors behind this low adoption rate are limited digital literacy, lack of structured training, and poor internet infrastructure, particularly in rural and remote areas.</w:t>
      </w:r>
    </w:p>
    <w:p w14:paraId="2C81B6C7" w14:textId="667F7A6C" w:rsidR="00405122" w:rsidRDefault="00405122" w:rsidP="00405122">
      <w:pPr>
        <w:pStyle w:val="Body"/>
        <w:rPr>
          <w:rFonts w:ascii="Arial" w:hAnsi="Arial" w:cs="Arial"/>
        </w:rPr>
      </w:pPr>
      <w:r w:rsidRPr="00405122">
        <w:rPr>
          <w:rFonts w:ascii="Arial" w:hAnsi="Arial" w:cs="Arial"/>
        </w:rPr>
        <w:t xml:space="preserve">These findings are in line with </w:t>
      </w:r>
      <w:proofErr w:type="spellStart"/>
      <w:r w:rsidR="00E61A03">
        <w:rPr>
          <w:rFonts w:ascii="Arial" w:hAnsi="Arial" w:cs="Arial"/>
        </w:rPr>
        <w:t>Bahtiar</w:t>
      </w:r>
      <w:proofErr w:type="spellEnd"/>
      <w:r w:rsidR="00E61A03">
        <w:rPr>
          <w:rFonts w:ascii="Arial" w:hAnsi="Arial" w:cs="Arial"/>
        </w:rPr>
        <w:t xml:space="preserve">, et al. </w:t>
      </w:r>
      <w:r w:rsidRPr="00405122">
        <w:rPr>
          <w:rFonts w:ascii="Arial" w:hAnsi="Arial" w:cs="Arial"/>
        </w:rPr>
        <w:t>(202</w:t>
      </w:r>
      <w:r w:rsidR="00E61A03">
        <w:rPr>
          <w:rFonts w:ascii="Arial" w:hAnsi="Arial" w:cs="Arial"/>
        </w:rPr>
        <w:t>5</w:t>
      </w:r>
      <w:r w:rsidRPr="00405122">
        <w:rPr>
          <w:rFonts w:ascii="Arial" w:hAnsi="Arial" w:cs="Arial"/>
        </w:rPr>
        <w:t>), who demonstrated that MSME digital adoption in disadvantaged areas depends strongly on infrastructure readiness and access to training. Interpreted through Rogers’ (2003) Innovation Adoption Theory, the situation in Papua shows that the complexity of digital tools and the limited compatibility of technology with local contexts hinder diffusion. This aligns with Cham et al. (2022), who emphasize that while digitalization has transformed contemporary marketing practices globally, its successful adoption requires contextual strategies and readiness across technological, organizational, and cultural dimensions. For most MSME actors, digital marketing still feels “difficult” and “unfamiliar,” thus slowing down their decision to adopt.</w:t>
      </w:r>
    </w:p>
    <w:p w14:paraId="13736918" w14:textId="3C79ECE4" w:rsidR="003760AD" w:rsidRPr="003760AD" w:rsidRDefault="003760AD" w:rsidP="003760AD">
      <w:pPr>
        <w:pStyle w:val="Body"/>
        <w:rPr>
          <w:rFonts w:ascii="Arial" w:hAnsi="Arial" w:cs="Arial"/>
          <w:b/>
          <w:bCs/>
        </w:rPr>
      </w:pPr>
      <w:r w:rsidRPr="003760AD">
        <w:rPr>
          <w:rFonts w:ascii="Arial" w:hAnsi="Arial" w:cs="Arial"/>
          <w:b/>
          <w:bCs/>
        </w:rPr>
        <w:t>3.2 Local Initiatives and Digitalization Potential</w:t>
      </w:r>
    </w:p>
    <w:p w14:paraId="4D936B20" w14:textId="77777777" w:rsidR="003760AD" w:rsidRPr="003760AD" w:rsidRDefault="003760AD" w:rsidP="003760AD">
      <w:pPr>
        <w:pStyle w:val="Body"/>
        <w:rPr>
          <w:rFonts w:ascii="Arial" w:hAnsi="Arial" w:cs="Arial"/>
        </w:rPr>
      </w:pPr>
      <w:r w:rsidRPr="003760AD">
        <w:rPr>
          <w:rFonts w:ascii="Arial" w:hAnsi="Arial" w:cs="Arial"/>
        </w:rPr>
        <w:t xml:space="preserve">Despite these challenges, interview and observation data reveal that there are promising local initiatives. Youth business groups in Jayapura, for example, have begun to use Instagram and TikTok consistently to promote handicrafts, while culinary entrepreneurs in </w:t>
      </w:r>
      <w:proofErr w:type="spellStart"/>
      <w:r w:rsidRPr="003760AD">
        <w:rPr>
          <w:rFonts w:ascii="Arial" w:hAnsi="Arial" w:cs="Arial"/>
        </w:rPr>
        <w:t>Mimika</w:t>
      </w:r>
      <w:proofErr w:type="spellEnd"/>
      <w:r w:rsidRPr="003760AD">
        <w:rPr>
          <w:rFonts w:ascii="Arial" w:hAnsi="Arial" w:cs="Arial"/>
        </w:rPr>
        <w:t xml:space="preserve"> collaborate with online motorcycle taxi services for distribution. These initiatives illustrate that some MSME actors—particularly younger entrepreneurs with higher digital exposure—recognize the relative advantage (Rogers, 2003) of digital marketing compared to traditional methods.</w:t>
      </w:r>
    </w:p>
    <w:p w14:paraId="2B818750" w14:textId="77777777" w:rsidR="003760AD" w:rsidRPr="003760AD" w:rsidRDefault="003760AD" w:rsidP="003760AD">
      <w:pPr>
        <w:pStyle w:val="Body"/>
        <w:rPr>
          <w:rFonts w:ascii="Arial" w:hAnsi="Arial" w:cs="Arial"/>
        </w:rPr>
      </w:pPr>
      <w:r w:rsidRPr="003760AD">
        <w:rPr>
          <w:rFonts w:ascii="Arial" w:hAnsi="Arial" w:cs="Arial"/>
        </w:rPr>
        <w:lastRenderedPageBreak/>
        <w:t>This pattern reflects Kotler and Keller’s (2016) STP framework. These youth-led initiatives segment their market toward younger consumers, target audiences who are active online, and position their products as modern yet rooted in Papuan identity. Documentation of their digital catalogs and posts shows creative use of visual storytelling to strengthen branding. Such cases illustrate the digitalization potential in Papua, where early adopters can act as role models to encourage broader adoption.</w:t>
      </w:r>
    </w:p>
    <w:p w14:paraId="2330D5FD" w14:textId="02760A6F" w:rsidR="003760AD" w:rsidRPr="003760AD" w:rsidRDefault="003760AD" w:rsidP="003760AD">
      <w:pPr>
        <w:pStyle w:val="Body"/>
        <w:rPr>
          <w:rFonts w:ascii="Arial" w:hAnsi="Arial" w:cs="Arial"/>
          <w:b/>
          <w:bCs/>
        </w:rPr>
      </w:pPr>
      <w:r w:rsidRPr="003760AD">
        <w:rPr>
          <w:rFonts w:ascii="Arial" w:hAnsi="Arial" w:cs="Arial"/>
          <w:b/>
          <w:bCs/>
        </w:rPr>
        <w:t>3.3 Structural Barriers: Infrastructure and Human Resources</w:t>
      </w:r>
    </w:p>
    <w:p w14:paraId="238E2128" w14:textId="77777777" w:rsidR="003760AD" w:rsidRPr="003760AD" w:rsidRDefault="003760AD" w:rsidP="003760AD">
      <w:pPr>
        <w:pStyle w:val="Body"/>
        <w:rPr>
          <w:rFonts w:ascii="Arial" w:hAnsi="Arial" w:cs="Arial"/>
        </w:rPr>
      </w:pPr>
      <w:r w:rsidRPr="003760AD">
        <w:rPr>
          <w:rFonts w:ascii="Arial" w:hAnsi="Arial" w:cs="Arial"/>
        </w:rPr>
        <w:t>The analysis also highlights deep structural obstacles that hinder the scaling of digital adoption. These include limited internet infrastructure, high costs of digital devices, and low levels of digital literacy and formal education among business actors. Respondents in remote districts expressed frustration about unstable internet signals, while others pointed out that smartphones or laptops remain financially out of reach.</w:t>
      </w:r>
    </w:p>
    <w:p w14:paraId="3663FFA5" w14:textId="77777777" w:rsidR="00246B0C" w:rsidRDefault="003760AD" w:rsidP="003760AD">
      <w:pPr>
        <w:pStyle w:val="Body"/>
        <w:rPr>
          <w:rFonts w:ascii="Arial" w:hAnsi="Arial" w:cs="Arial"/>
        </w:rPr>
      </w:pPr>
      <w:r w:rsidRPr="003760AD">
        <w:rPr>
          <w:rFonts w:ascii="Arial" w:hAnsi="Arial" w:cs="Arial"/>
        </w:rPr>
        <w:t xml:space="preserve">These findings resonate with </w:t>
      </w:r>
      <w:r w:rsidR="00246B0C">
        <w:rPr>
          <w:rFonts w:ascii="Arial" w:hAnsi="Arial" w:cs="Arial"/>
        </w:rPr>
        <w:t xml:space="preserve">Meylani and Santoso </w:t>
      </w:r>
      <w:r w:rsidRPr="003760AD">
        <w:rPr>
          <w:rFonts w:ascii="Arial" w:hAnsi="Arial" w:cs="Arial"/>
        </w:rPr>
        <w:t>(202</w:t>
      </w:r>
      <w:r w:rsidR="00246B0C">
        <w:rPr>
          <w:rFonts w:ascii="Arial" w:hAnsi="Arial" w:cs="Arial"/>
        </w:rPr>
        <w:t>3</w:t>
      </w:r>
    </w:p>
    <w:p w14:paraId="1E9AB1A2" w14:textId="6B7303C1" w:rsidR="003760AD" w:rsidRPr="003760AD" w:rsidRDefault="003760AD" w:rsidP="003760AD">
      <w:pPr>
        <w:pStyle w:val="Body"/>
        <w:rPr>
          <w:rFonts w:ascii="Arial" w:hAnsi="Arial" w:cs="Arial"/>
        </w:rPr>
      </w:pPr>
      <w:r w:rsidRPr="003760AD">
        <w:rPr>
          <w:rFonts w:ascii="Arial" w:hAnsi="Arial" w:cs="Arial"/>
        </w:rPr>
        <w:t>), who found that regions with low digital infrastructure development indices exhibit significant gaps in MSME technology adoption. The obstacles observed in Papua directly align with the digital ecosystem model (World Bank, 2016), which emphasizes the interplay of infrastructure, human capital, and institutional support. Without addressing these structural barriers, even motivated entrepreneurs may be unable to sustain digital practices.</w:t>
      </w:r>
    </w:p>
    <w:p w14:paraId="2F9D4CE0" w14:textId="601A3C4C" w:rsidR="003760AD" w:rsidRPr="003760AD" w:rsidRDefault="003760AD" w:rsidP="003760AD">
      <w:pPr>
        <w:pStyle w:val="Body"/>
        <w:rPr>
          <w:rFonts w:ascii="Arial" w:hAnsi="Arial" w:cs="Arial"/>
          <w:b/>
          <w:bCs/>
        </w:rPr>
      </w:pPr>
      <w:r w:rsidRPr="003760AD">
        <w:rPr>
          <w:rFonts w:ascii="Arial" w:hAnsi="Arial" w:cs="Arial"/>
          <w:b/>
          <w:bCs/>
        </w:rPr>
        <w:t>3.4 Cultural Sensitivity in Digital Marketing</w:t>
      </w:r>
    </w:p>
    <w:p w14:paraId="409AE99E" w14:textId="77777777" w:rsidR="003760AD" w:rsidRPr="003760AD" w:rsidRDefault="003760AD" w:rsidP="003760AD">
      <w:pPr>
        <w:pStyle w:val="Body"/>
        <w:rPr>
          <w:rFonts w:ascii="Arial" w:hAnsi="Arial" w:cs="Arial"/>
        </w:rPr>
      </w:pPr>
      <w:r w:rsidRPr="003760AD">
        <w:rPr>
          <w:rFonts w:ascii="Arial" w:hAnsi="Arial" w:cs="Arial"/>
        </w:rPr>
        <w:t>Another key finding from interviews is the importance of cultural sensitivity. Several respondents emphasized that local consumers trust information conveyed through familiar social channels such as churches, traditional markets, and respected community leaders. Documentation analysis also revealed that MSME campaigns using Papuan language and symbols received higher engagement compared to those using generic content.</w:t>
      </w:r>
    </w:p>
    <w:p w14:paraId="12012DBD" w14:textId="5FD6EF76" w:rsidR="003760AD" w:rsidRPr="003760AD" w:rsidRDefault="003760AD" w:rsidP="003760AD">
      <w:pPr>
        <w:pStyle w:val="Body"/>
        <w:rPr>
          <w:rFonts w:ascii="Arial" w:hAnsi="Arial" w:cs="Arial"/>
        </w:rPr>
      </w:pPr>
      <w:r w:rsidRPr="003760AD">
        <w:rPr>
          <w:rFonts w:ascii="Arial" w:hAnsi="Arial" w:cs="Arial"/>
        </w:rPr>
        <w:t>This confirms</w:t>
      </w:r>
      <w:r w:rsidR="00246B0C">
        <w:rPr>
          <w:rFonts w:ascii="Arial" w:hAnsi="Arial" w:cs="Arial"/>
        </w:rPr>
        <w:t xml:space="preserve"> </w:t>
      </w:r>
      <w:proofErr w:type="spellStart"/>
      <w:r w:rsidR="00246B0C">
        <w:rPr>
          <w:rFonts w:ascii="Arial" w:hAnsi="Arial" w:cs="Arial"/>
        </w:rPr>
        <w:t>Rialisnawati</w:t>
      </w:r>
      <w:r w:rsidRPr="003760AD">
        <w:rPr>
          <w:rFonts w:ascii="Arial" w:hAnsi="Arial" w:cs="Arial"/>
        </w:rPr>
        <w:t>’s</w:t>
      </w:r>
      <w:proofErr w:type="spellEnd"/>
      <w:r w:rsidRPr="003760AD">
        <w:rPr>
          <w:rFonts w:ascii="Arial" w:hAnsi="Arial" w:cs="Arial"/>
        </w:rPr>
        <w:t xml:space="preserve"> </w:t>
      </w:r>
      <w:r w:rsidR="00246B0C">
        <w:rPr>
          <w:rFonts w:ascii="Arial" w:hAnsi="Arial" w:cs="Arial"/>
        </w:rPr>
        <w:t xml:space="preserve">and Kalsum </w:t>
      </w:r>
      <w:r w:rsidRPr="003760AD">
        <w:rPr>
          <w:rFonts w:ascii="Arial" w:hAnsi="Arial" w:cs="Arial"/>
        </w:rPr>
        <w:t>(20</w:t>
      </w:r>
      <w:r w:rsidR="00246B0C">
        <w:rPr>
          <w:rFonts w:ascii="Arial" w:hAnsi="Arial" w:cs="Arial"/>
        </w:rPr>
        <w:t>24</w:t>
      </w:r>
      <w:r w:rsidRPr="003760AD">
        <w:rPr>
          <w:rFonts w:ascii="Arial" w:hAnsi="Arial" w:cs="Arial"/>
        </w:rPr>
        <w:t xml:space="preserve">) finding that consumer behavior in Papua is strongly influenced by traditional values, social closeness, and endorsements from local figures. It also aligns with Hofstede’s (2010) theory of socio-cultural context in marketing, which underscores the role of cultural values in shaping consumer responses. Thus, digital strategies in Papua must follow a </w:t>
      </w:r>
      <w:proofErr w:type="spellStart"/>
      <w:r w:rsidRPr="003760AD">
        <w:rPr>
          <w:rFonts w:ascii="Arial" w:hAnsi="Arial" w:cs="Arial"/>
        </w:rPr>
        <w:t>glocal</w:t>
      </w:r>
      <w:proofErr w:type="spellEnd"/>
      <w:r w:rsidRPr="003760AD">
        <w:rPr>
          <w:rFonts w:ascii="Arial" w:hAnsi="Arial" w:cs="Arial"/>
        </w:rPr>
        <w:t xml:space="preserve"> approach—leveraging global digital tools while embedding local cultural and linguistic values. Marketing that ignores these aspects risks rejection and alienation.</w:t>
      </w:r>
    </w:p>
    <w:p w14:paraId="52446F3F" w14:textId="603E89BF" w:rsidR="003760AD" w:rsidRPr="003760AD" w:rsidRDefault="003760AD" w:rsidP="003760AD">
      <w:pPr>
        <w:pStyle w:val="Body"/>
        <w:rPr>
          <w:rFonts w:ascii="Arial" w:hAnsi="Arial" w:cs="Arial"/>
          <w:b/>
          <w:bCs/>
        </w:rPr>
      </w:pPr>
      <w:r w:rsidRPr="003760AD">
        <w:rPr>
          <w:rFonts w:ascii="Arial" w:hAnsi="Arial" w:cs="Arial"/>
          <w:b/>
          <w:bCs/>
        </w:rPr>
        <w:t>3.5 The Role of Government and Multistakeholder Collaboration</w:t>
      </w:r>
    </w:p>
    <w:p w14:paraId="266C9795" w14:textId="77777777" w:rsidR="003760AD" w:rsidRPr="003760AD" w:rsidRDefault="003760AD" w:rsidP="003760AD">
      <w:pPr>
        <w:pStyle w:val="Body"/>
        <w:rPr>
          <w:rFonts w:ascii="Arial" w:hAnsi="Arial" w:cs="Arial"/>
        </w:rPr>
      </w:pPr>
      <w:r w:rsidRPr="003760AD">
        <w:rPr>
          <w:rFonts w:ascii="Arial" w:hAnsi="Arial" w:cs="Arial"/>
        </w:rPr>
        <w:t>Data from interviews consistently highlight MSME expectations for external support. Entrepreneurs expressed the need for regular digital marketing training, subsidized or free internet access in business areas, and the creation of local e-commerce platforms tailored to indigenous communities. These aspirations illustrate the importance of multi-stakeholder collaboration, as no single actor can address the challenges alone.</w:t>
      </w:r>
    </w:p>
    <w:p w14:paraId="2F0004D9" w14:textId="43FCC849" w:rsidR="003760AD" w:rsidRPr="003760AD" w:rsidRDefault="003760AD" w:rsidP="003760AD">
      <w:pPr>
        <w:pStyle w:val="Body"/>
        <w:rPr>
          <w:rFonts w:ascii="Arial" w:hAnsi="Arial" w:cs="Arial"/>
        </w:rPr>
      </w:pPr>
      <w:r w:rsidRPr="003760AD">
        <w:rPr>
          <w:rFonts w:ascii="Arial" w:hAnsi="Arial" w:cs="Arial"/>
        </w:rPr>
        <w:t xml:space="preserve">These results reinforce the World Bank’s (2016) concept of a digital ecosystem, where infrastructure, policies, education, and private-public partnerships must work in synergy. They also support </w:t>
      </w:r>
      <w:r w:rsidR="00246B0C">
        <w:rPr>
          <w:rFonts w:ascii="Arial" w:hAnsi="Arial" w:cs="Arial"/>
        </w:rPr>
        <w:t>Hasbiah’s, et al.</w:t>
      </w:r>
      <w:r w:rsidRPr="003760AD">
        <w:rPr>
          <w:rFonts w:ascii="Arial" w:hAnsi="Arial" w:cs="Arial"/>
        </w:rPr>
        <w:t xml:space="preserve"> (202</w:t>
      </w:r>
      <w:r w:rsidR="00246B0C">
        <w:rPr>
          <w:rFonts w:ascii="Arial" w:hAnsi="Arial" w:cs="Arial"/>
        </w:rPr>
        <w:t>4</w:t>
      </w:r>
      <w:r w:rsidRPr="003760AD">
        <w:rPr>
          <w:rFonts w:ascii="Arial" w:hAnsi="Arial" w:cs="Arial"/>
        </w:rPr>
        <w:t>) findings in 3T regions, which emphasized the role of companion institutions that connect MSMEs with digital opportunities. In Papua, universities, NGOs, and local government units could take on this intermediary role to ensure that MSMEs receive sustained assistance rather than one-off interventions.</w:t>
      </w:r>
    </w:p>
    <w:p w14:paraId="2EC6CAE1" w14:textId="5360E3DC" w:rsidR="003760AD" w:rsidRPr="003760AD" w:rsidRDefault="003760AD" w:rsidP="003760AD">
      <w:pPr>
        <w:pStyle w:val="Body"/>
        <w:rPr>
          <w:rFonts w:ascii="Arial" w:hAnsi="Arial" w:cs="Arial"/>
          <w:b/>
          <w:bCs/>
        </w:rPr>
      </w:pPr>
      <w:r w:rsidRPr="003760AD">
        <w:rPr>
          <w:rFonts w:ascii="Arial" w:hAnsi="Arial" w:cs="Arial"/>
          <w:b/>
          <w:bCs/>
        </w:rPr>
        <w:t>3.6 Future Opportunities and Strategies</w:t>
      </w:r>
    </w:p>
    <w:p w14:paraId="1B61EF9C" w14:textId="77777777" w:rsidR="003760AD" w:rsidRPr="003760AD" w:rsidRDefault="003760AD" w:rsidP="003760AD">
      <w:pPr>
        <w:pStyle w:val="Body"/>
        <w:rPr>
          <w:rFonts w:ascii="Arial" w:hAnsi="Arial" w:cs="Arial"/>
        </w:rPr>
      </w:pPr>
      <w:r w:rsidRPr="003760AD">
        <w:rPr>
          <w:rFonts w:ascii="Arial" w:hAnsi="Arial" w:cs="Arial"/>
        </w:rPr>
        <w:t>Synthesizing the findings with the theoretical framework, several strategies emerge to strengthen digital marketing among MSMEs in Papua. First, adopting Kotler and Keller’s (2016) marketing mix (4Ps) in a localized manner is essential—products should highlight Papuan identity, pricing must remain accessible, distribution channels should blend online and offline networks, and promotions must use culturally relevant content. Second, drawing on Rogers’ (2003) theory, training programs should reduce perceived complexity and allow for trialability by encouraging MSMEs to experiment with digital tools in small, low-risk ways. Third, following Hofstede (2010), campaigns must use local languages, stories, and symbols to enhance cultural resonance. Finally, guided by the World Bank (2016), ecosystem development should focus on infrastructure improvement, digital literacy training, and multi-stakeholder partnerships.</w:t>
      </w:r>
    </w:p>
    <w:p w14:paraId="65796C17" w14:textId="77777777" w:rsidR="003760AD" w:rsidRDefault="003760AD" w:rsidP="003760AD">
      <w:pPr>
        <w:pStyle w:val="Body"/>
        <w:spacing w:after="0"/>
        <w:rPr>
          <w:rFonts w:ascii="Arial" w:hAnsi="Arial" w:cs="Arial"/>
        </w:rPr>
      </w:pPr>
      <w:r w:rsidRPr="003760AD">
        <w:rPr>
          <w:rFonts w:ascii="Arial" w:hAnsi="Arial" w:cs="Arial"/>
        </w:rPr>
        <w:lastRenderedPageBreak/>
        <w:t xml:space="preserve">With these integrated strategies, digitalization can become more than an economic tool; it can also act as a medium for cultural preservation and community empowerment in Papua. By combining global technological advances with local wisdom, MSMEs in Papua can gradually build resilience and competitiveness in the digital era. </w:t>
      </w:r>
    </w:p>
    <w:p w14:paraId="7D522371" w14:textId="77777777" w:rsidR="00FB4DD2" w:rsidRDefault="00FB4DD2" w:rsidP="003760AD">
      <w:pPr>
        <w:pStyle w:val="Body"/>
        <w:spacing w:after="0"/>
        <w:rPr>
          <w:rFonts w:ascii="Arial" w:hAnsi="Arial" w:cs="Arial"/>
        </w:rPr>
      </w:pPr>
    </w:p>
    <w:p w14:paraId="693EDD7B" w14:textId="72F15770" w:rsidR="00FB4DD2" w:rsidRDefault="00FB4DD2" w:rsidP="003760AD">
      <w:pPr>
        <w:pStyle w:val="Body"/>
        <w:spacing w:after="0"/>
        <w:rPr>
          <w:rFonts w:ascii="Arial" w:hAnsi="Arial" w:cs="Arial"/>
        </w:rPr>
      </w:pPr>
      <w:r w:rsidRPr="00FB4DD2">
        <w:rPr>
          <w:rFonts w:ascii="Arial" w:hAnsi="Arial" w:cs="Arial"/>
        </w:rPr>
        <w:t>To strengthen the analytical rigor of this study, the discussion is synthesized into a structured mapping that connects the empirical findings with the data sources and theoretical frameworks used. This approach ensures that each theme identified—ranging from low adoption of digital tools to the emergence of youth-led initiatives, structural challenges, and the importance of cultural adaptation—is not only supported by evidence from interviews, observations, and documentation but also anchored within established marketing and innovation theories. By doing so, the study highlights how local realities in Papua intersect with broader theoretical perspectives on digital transformation. The following table summarizes these connections and provides a clearer foundation for deriving conclusions and policy implications.</w:t>
      </w:r>
    </w:p>
    <w:p w14:paraId="61AD39CD" w14:textId="77777777" w:rsidR="00FB4DD2" w:rsidRDefault="00FB4DD2" w:rsidP="003760AD">
      <w:pPr>
        <w:pStyle w:val="Body"/>
        <w:spacing w:after="0"/>
        <w:rPr>
          <w:rFonts w:ascii="Arial" w:hAnsi="Arial" w:cs="Arial"/>
        </w:rPr>
      </w:pPr>
    </w:p>
    <w:p w14:paraId="441A26AB" w14:textId="70680036" w:rsidR="00FB4DD2" w:rsidRPr="00FB4DD2" w:rsidRDefault="00FB4DD2" w:rsidP="00FB4DD2">
      <w:pPr>
        <w:pStyle w:val="Body"/>
        <w:spacing w:after="0"/>
        <w:jc w:val="center"/>
        <w:rPr>
          <w:rFonts w:ascii="Arial" w:hAnsi="Arial" w:cs="Arial"/>
          <w:b/>
          <w:bCs/>
        </w:rPr>
      </w:pPr>
      <w:r w:rsidRPr="00FB4DD2">
        <w:rPr>
          <w:rFonts w:ascii="Arial" w:hAnsi="Arial" w:cs="Arial"/>
          <w:b/>
          <w:bCs/>
        </w:rPr>
        <w:t xml:space="preserve">Table 1. </w:t>
      </w:r>
      <w:r w:rsidRPr="00FB4DD2">
        <w:rPr>
          <w:rFonts w:ascii="Arial" w:hAnsi="Arial" w:cs="Arial"/>
          <w:b/>
          <w:bCs/>
          <w:color w:val="000000"/>
        </w:rPr>
        <w:t>Summary of Findings, Data Sources, and Theoretical Linkages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9"/>
        <w:gridCol w:w="2974"/>
        <w:gridCol w:w="3076"/>
        <w:gridCol w:w="2791"/>
      </w:tblGrid>
      <w:tr w:rsidR="00FB4DD2" w:rsidRPr="00FB4DD2" w14:paraId="4DB5167E" w14:textId="77777777" w:rsidTr="00FB4DD2">
        <w:trPr>
          <w:tblHeader/>
          <w:tblCellSpacing w:w="15" w:type="dxa"/>
        </w:trPr>
        <w:tc>
          <w:tcPr>
            <w:tcW w:w="0" w:type="auto"/>
            <w:vAlign w:val="center"/>
            <w:hideMark/>
          </w:tcPr>
          <w:p w14:paraId="47E709A7" w14:textId="77777777" w:rsidR="00FB4DD2" w:rsidRPr="00FB4DD2" w:rsidRDefault="00FB4DD2" w:rsidP="00FB4DD2">
            <w:pPr>
              <w:jc w:val="center"/>
              <w:rPr>
                <w:rFonts w:ascii="Arial" w:hAnsi="Arial" w:cs="Arial"/>
                <w:b/>
                <w:bCs/>
                <w:color w:val="000000"/>
                <w:lang w:val="en-GB" w:eastAsia="en-GB"/>
              </w:rPr>
            </w:pPr>
            <w:r w:rsidRPr="00FB4DD2">
              <w:rPr>
                <w:rFonts w:ascii="Arial" w:hAnsi="Arial" w:cs="Arial"/>
                <w:b/>
                <w:bCs/>
                <w:color w:val="000000"/>
                <w:lang w:val="en-GB" w:eastAsia="en-GB"/>
              </w:rPr>
              <w:t>Key Finding</w:t>
            </w:r>
          </w:p>
        </w:tc>
        <w:tc>
          <w:tcPr>
            <w:tcW w:w="0" w:type="auto"/>
            <w:vAlign w:val="center"/>
            <w:hideMark/>
          </w:tcPr>
          <w:p w14:paraId="056A1973" w14:textId="77777777" w:rsidR="00FB4DD2" w:rsidRPr="00FB4DD2" w:rsidRDefault="00FB4DD2" w:rsidP="00FB4DD2">
            <w:pPr>
              <w:jc w:val="center"/>
              <w:rPr>
                <w:rFonts w:ascii="Arial" w:hAnsi="Arial" w:cs="Arial"/>
                <w:b/>
                <w:bCs/>
                <w:color w:val="000000"/>
                <w:lang w:val="en-GB" w:eastAsia="en-GB"/>
              </w:rPr>
            </w:pPr>
            <w:r w:rsidRPr="00FB4DD2">
              <w:rPr>
                <w:rFonts w:ascii="Arial" w:hAnsi="Arial" w:cs="Arial"/>
                <w:b/>
                <w:bCs/>
                <w:color w:val="000000"/>
                <w:lang w:val="en-GB" w:eastAsia="en-GB"/>
              </w:rPr>
              <w:t>Evidence (Data Source)</w:t>
            </w:r>
          </w:p>
        </w:tc>
        <w:tc>
          <w:tcPr>
            <w:tcW w:w="0" w:type="auto"/>
            <w:vAlign w:val="center"/>
            <w:hideMark/>
          </w:tcPr>
          <w:p w14:paraId="525EF2B8" w14:textId="77777777" w:rsidR="00FB4DD2" w:rsidRPr="00FB4DD2" w:rsidRDefault="00FB4DD2" w:rsidP="00FB4DD2">
            <w:pPr>
              <w:jc w:val="center"/>
              <w:rPr>
                <w:rFonts w:ascii="Arial" w:hAnsi="Arial" w:cs="Arial"/>
                <w:b/>
                <w:bCs/>
                <w:color w:val="000000"/>
                <w:lang w:val="en-GB" w:eastAsia="en-GB"/>
              </w:rPr>
            </w:pPr>
            <w:r w:rsidRPr="00FB4DD2">
              <w:rPr>
                <w:rFonts w:ascii="Arial" w:hAnsi="Arial" w:cs="Arial"/>
                <w:b/>
                <w:bCs/>
                <w:color w:val="000000"/>
                <w:lang w:val="en-GB" w:eastAsia="en-GB"/>
              </w:rPr>
              <w:t>Relevant Theory/Framework</w:t>
            </w:r>
          </w:p>
        </w:tc>
        <w:tc>
          <w:tcPr>
            <w:tcW w:w="0" w:type="auto"/>
            <w:vAlign w:val="center"/>
            <w:hideMark/>
          </w:tcPr>
          <w:p w14:paraId="1F92618D" w14:textId="77777777" w:rsidR="00FB4DD2" w:rsidRPr="00FB4DD2" w:rsidRDefault="00FB4DD2" w:rsidP="00FB4DD2">
            <w:pPr>
              <w:jc w:val="center"/>
              <w:rPr>
                <w:rFonts w:ascii="Arial" w:hAnsi="Arial" w:cs="Arial"/>
                <w:b/>
                <w:bCs/>
                <w:color w:val="000000"/>
                <w:lang w:val="en-GB" w:eastAsia="en-GB"/>
              </w:rPr>
            </w:pPr>
            <w:r w:rsidRPr="00FB4DD2">
              <w:rPr>
                <w:rFonts w:ascii="Arial" w:hAnsi="Arial" w:cs="Arial"/>
                <w:b/>
                <w:bCs/>
                <w:color w:val="000000"/>
                <w:lang w:val="en-GB" w:eastAsia="en-GB"/>
              </w:rPr>
              <w:t>Interpretation</w:t>
            </w:r>
          </w:p>
        </w:tc>
      </w:tr>
      <w:tr w:rsidR="00FB4DD2" w:rsidRPr="00FB4DD2" w14:paraId="5B3785BB" w14:textId="77777777" w:rsidTr="00FB4DD2">
        <w:trPr>
          <w:tblCellSpacing w:w="15" w:type="dxa"/>
        </w:trPr>
        <w:tc>
          <w:tcPr>
            <w:tcW w:w="0" w:type="auto"/>
            <w:vAlign w:val="center"/>
            <w:hideMark/>
          </w:tcPr>
          <w:p w14:paraId="372CC96C"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Low digital adoption among MSMEs</w:t>
            </w:r>
          </w:p>
        </w:tc>
        <w:tc>
          <w:tcPr>
            <w:tcW w:w="0" w:type="auto"/>
            <w:vAlign w:val="center"/>
            <w:hideMark/>
          </w:tcPr>
          <w:p w14:paraId="4C38126B"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Interviews: MSMEs still rely on word-of-mouth and physical markets. Documentation: Sparse and inconsistent use of social media.</w:t>
            </w:r>
          </w:p>
        </w:tc>
        <w:tc>
          <w:tcPr>
            <w:tcW w:w="0" w:type="auto"/>
            <w:vAlign w:val="center"/>
            <w:hideMark/>
          </w:tcPr>
          <w:p w14:paraId="1E277913"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Rogers (2003) – Diffusion of Innovation (complexity &amp; compatibility).</w:t>
            </w:r>
          </w:p>
        </w:tc>
        <w:tc>
          <w:tcPr>
            <w:tcW w:w="0" w:type="auto"/>
            <w:vAlign w:val="center"/>
            <w:hideMark/>
          </w:tcPr>
          <w:p w14:paraId="6B5C9E73"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Low literacy and infrastructure make digital tools feel “difficult” and incompatible with local context, slowing adoption.</w:t>
            </w:r>
          </w:p>
        </w:tc>
      </w:tr>
      <w:tr w:rsidR="00FB4DD2" w:rsidRPr="00FB4DD2" w14:paraId="49A1392B" w14:textId="77777777" w:rsidTr="00FB4DD2">
        <w:trPr>
          <w:tblCellSpacing w:w="15" w:type="dxa"/>
        </w:trPr>
        <w:tc>
          <w:tcPr>
            <w:tcW w:w="0" w:type="auto"/>
            <w:vAlign w:val="center"/>
            <w:hideMark/>
          </w:tcPr>
          <w:p w14:paraId="7C123CC2"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Emergence of youth-led digital initiatives</w:t>
            </w:r>
          </w:p>
        </w:tc>
        <w:tc>
          <w:tcPr>
            <w:tcW w:w="0" w:type="auto"/>
            <w:vAlign w:val="center"/>
            <w:hideMark/>
          </w:tcPr>
          <w:p w14:paraId="62B1D8E8"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 xml:space="preserve">Observation: Young entrepreneurs using Instagram/TikTok. Documentation: Creative visual storytelling in </w:t>
            </w:r>
            <w:proofErr w:type="spellStart"/>
            <w:r w:rsidRPr="00FB4DD2">
              <w:rPr>
                <w:rFonts w:ascii="Arial" w:hAnsi="Arial" w:cs="Arial"/>
                <w:color w:val="000000"/>
                <w:lang w:val="en-GB" w:eastAsia="en-GB"/>
              </w:rPr>
              <w:t>catalogs</w:t>
            </w:r>
            <w:proofErr w:type="spellEnd"/>
            <w:r w:rsidRPr="00FB4DD2">
              <w:rPr>
                <w:rFonts w:ascii="Arial" w:hAnsi="Arial" w:cs="Arial"/>
                <w:color w:val="000000"/>
                <w:lang w:val="en-GB" w:eastAsia="en-GB"/>
              </w:rPr>
              <w:t>.</w:t>
            </w:r>
          </w:p>
        </w:tc>
        <w:tc>
          <w:tcPr>
            <w:tcW w:w="0" w:type="auto"/>
            <w:vAlign w:val="center"/>
            <w:hideMark/>
          </w:tcPr>
          <w:p w14:paraId="5BDB34FD"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Kotler &amp; Keller (2016) – STP (Segmentation, Targeting, Positioning). Rogers (2003) – Relative advantage.</w:t>
            </w:r>
          </w:p>
        </w:tc>
        <w:tc>
          <w:tcPr>
            <w:tcW w:w="0" w:type="auto"/>
            <w:vAlign w:val="center"/>
            <w:hideMark/>
          </w:tcPr>
          <w:p w14:paraId="038CBFA8"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Early adopters demonstrate potential for wider digital diffusion by targeting younger, online-active consumers.</w:t>
            </w:r>
          </w:p>
        </w:tc>
      </w:tr>
      <w:tr w:rsidR="00FB4DD2" w:rsidRPr="00FB4DD2" w14:paraId="5276DB44" w14:textId="77777777" w:rsidTr="00FB4DD2">
        <w:trPr>
          <w:tblCellSpacing w:w="15" w:type="dxa"/>
        </w:trPr>
        <w:tc>
          <w:tcPr>
            <w:tcW w:w="0" w:type="auto"/>
            <w:vAlign w:val="center"/>
            <w:hideMark/>
          </w:tcPr>
          <w:p w14:paraId="491AF5BF"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Structural barriers: infrastructure &amp; human capital</w:t>
            </w:r>
          </w:p>
        </w:tc>
        <w:tc>
          <w:tcPr>
            <w:tcW w:w="0" w:type="auto"/>
            <w:vAlign w:val="center"/>
            <w:hideMark/>
          </w:tcPr>
          <w:p w14:paraId="2A527309"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Interviews: Complaints about poor internet and high device costs. Observation: Limited training access in remote areas.</w:t>
            </w:r>
          </w:p>
        </w:tc>
        <w:tc>
          <w:tcPr>
            <w:tcW w:w="0" w:type="auto"/>
            <w:vAlign w:val="center"/>
            <w:hideMark/>
          </w:tcPr>
          <w:p w14:paraId="3813E129"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 xml:space="preserve">World Bank (2016) – Digital Ecosystem. Siahaan &amp; </w:t>
            </w:r>
            <w:proofErr w:type="spellStart"/>
            <w:r w:rsidRPr="00FB4DD2">
              <w:rPr>
                <w:rFonts w:ascii="Arial" w:hAnsi="Arial" w:cs="Arial"/>
                <w:color w:val="000000"/>
                <w:lang w:val="en-GB" w:eastAsia="en-GB"/>
              </w:rPr>
              <w:t>Manurung</w:t>
            </w:r>
            <w:proofErr w:type="spellEnd"/>
            <w:r w:rsidRPr="00FB4DD2">
              <w:rPr>
                <w:rFonts w:ascii="Arial" w:hAnsi="Arial" w:cs="Arial"/>
                <w:color w:val="000000"/>
                <w:lang w:val="en-GB" w:eastAsia="en-GB"/>
              </w:rPr>
              <w:t xml:space="preserve"> (2021) – digital divide in 3T regions.</w:t>
            </w:r>
          </w:p>
        </w:tc>
        <w:tc>
          <w:tcPr>
            <w:tcW w:w="0" w:type="auto"/>
            <w:vAlign w:val="center"/>
            <w:hideMark/>
          </w:tcPr>
          <w:p w14:paraId="6DB1A0E8"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Infrastructure and literacy gaps prevent scaling, reinforcing inequality in digital participation.</w:t>
            </w:r>
          </w:p>
        </w:tc>
      </w:tr>
      <w:tr w:rsidR="00FB4DD2" w:rsidRPr="00FB4DD2" w14:paraId="045E6650" w14:textId="77777777" w:rsidTr="00FB4DD2">
        <w:trPr>
          <w:tblCellSpacing w:w="15" w:type="dxa"/>
        </w:trPr>
        <w:tc>
          <w:tcPr>
            <w:tcW w:w="0" w:type="auto"/>
            <w:vAlign w:val="center"/>
            <w:hideMark/>
          </w:tcPr>
          <w:p w14:paraId="34C6AAA0"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Importance of cultural sensitivity</w:t>
            </w:r>
          </w:p>
        </w:tc>
        <w:tc>
          <w:tcPr>
            <w:tcW w:w="0" w:type="auto"/>
            <w:vAlign w:val="center"/>
            <w:hideMark/>
          </w:tcPr>
          <w:p w14:paraId="448C9DAF"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Interviews: Trust shaped by churches, markets, and leaders. Documentation: Local-language campaigns get higher engagement.</w:t>
            </w:r>
          </w:p>
        </w:tc>
        <w:tc>
          <w:tcPr>
            <w:tcW w:w="0" w:type="auto"/>
            <w:vAlign w:val="center"/>
            <w:hideMark/>
          </w:tcPr>
          <w:p w14:paraId="618A0914"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 xml:space="preserve">Hofstede (2010) – Cultural dimensions in marketing. </w:t>
            </w:r>
            <w:proofErr w:type="spellStart"/>
            <w:r w:rsidRPr="00FB4DD2">
              <w:rPr>
                <w:rFonts w:ascii="Arial" w:hAnsi="Arial" w:cs="Arial"/>
                <w:color w:val="000000"/>
                <w:lang w:val="en-GB" w:eastAsia="en-GB"/>
              </w:rPr>
              <w:t>Wambrauw</w:t>
            </w:r>
            <w:proofErr w:type="spellEnd"/>
            <w:r w:rsidRPr="00FB4DD2">
              <w:rPr>
                <w:rFonts w:ascii="Arial" w:hAnsi="Arial" w:cs="Arial"/>
                <w:color w:val="000000"/>
                <w:lang w:val="en-GB" w:eastAsia="en-GB"/>
              </w:rPr>
              <w:t xml:space="preserve"> (2019) – local trust networks.</w:t>
            </w:r>
          </w:p>
        </w:tc>
        <w:tc>
          <w:tcPr>
            <w:tcW w:w="0" w:type="auto"/>
            <w:vAlign w:val="center"/>
            <w:hideMark/>
          </w:tcPr>
          <w:p w14:paraId="078B418D"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Digital strategies must embed Papuan cultural identity and language to gain legitimacy and resonance.</w:t>
            </w:r>
          </w:p>
        </w:tc>
      </w:tr>
      <w:tr w:rsidR="00FB4DD2" w:rsidRPr="00FB4DD2" w14:paraId="023CF1F2" w14:textId="77777777" w:rsidTr="00FB4DD2">
        <w:trPr>
          <w:tblCellSpacing w:w="15" w:type="dxa"/>
        </w:trPr>
        <w:tc>
          <w:tcPr>
            <w:tcW w:w="0" w:type="auto"/>
            <w:vAlign w:val="center"/>
            <w:hideMark/>
          </w:tcPr>
          <w:p w14:paraId="3487C55C"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Need for government and multistakeholder support</w:t>
            </w:r>
          </w:p>
        </w:tc>
        <w:tc>
          <w:tcPr>
            <w:tcW w:w="0" w:type="auto"/>
            <w:vAlign w:val="center"/>
            <w:hideMark/>
          </w:tcPr>
          <w:p w14:paraId="57AB1A09"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Interviews: Requests for training, subsidies, and tailored platforms. Observation: MSMEs depend on external facilitation.</w:t>
            </w:r>
          </w:p>
        </w:tc>
        <w:tc>
          <w:tcPr>
            <w:tcW w:w="0" w:type="auto"/>
            <w:vAlign w:val="center"/>
            <w:hideMark/>
          </w:tcPr>
          <w:p w14:paraId="5A12AD46"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 xml:space="preserve">World Bank (2016) – Ecosystem model. </w:t>
            </w:r>
            <w:proofErr w:type="spellStart"/>
            <w:r w:rsidRPr="00FB4DD2">
              <w:rPr>
                <w:rFonts w:ascii="Arial" w:hAnsi="Arial" w:cs="Arial"/>
                <w:color w:val="000000"/>
                <w:lang w:val="en-GB" w:eastAsia="en-GB"/>
              </w:rPr>
              <w:t>Rohmana</w:t>
            </w:r>
            <w:proofErr w:type="spellEnd"/>
            <w:r w:rsidRPr="00FB4DD2">
              <w:rPr>
                <w:rFonts w:ascii="Arial" w:hAnsi="Arial" w:cs="Arial"/>
                <w:color w:val="000000"/>
                <w:lang w:val="en-GB" w:eastAsia="en-GB"/>
              </w:rPr>
              <w:t xml:space="preserve"> &amp; </w:t>
            </w:r>
            <w:proofErr w:type="spellStart"/>
            <w:r w:rsidRPr="00FB4DD2">
              <w:rPr>
                <w:rFonts w:ascii="Arial" w:hAnsi="Arial" w:cs="Arial"/>
                <w:color w:val="000000"/>
                <w:lang w:val="en-GB" w:eastAsia="en-GB"/>
              </w:rPr>
              <w:t>Harahap</w:t>
            </w:r>
            <w:proofErr w:type="spellEnd"/>
            <w:r w:rsidRPr="00FB4DD2">
              <w:rPr>
                <w:rFonts w:ascii="Arial" w:hAnsi="Arial" w:cs="Arial"/>
                <w:color w:val="000000"/>
                <w:lang w:val="en-GB" w:eastAsia="en-GB"/>
              </w:rPr>
              <w:t xml:space="preserve"> (2022) – role of intermediaries.</w:t>
            </w:r>
          </w:p>
        </w:tc>
        <w:tc>
          <w:tcPr>
            <w:tcW w:w="0" w:type="auto"/>
            <w:vAlign w:val="center"/>
            <w:hideMark/>
          </w:tcPr>
          <w:p w14:paraId="198E46C0"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Digital ecosystem requires collaboration across government, NGOs, universities, and private sector to sustain MSME support.</w:t>
            </w:r>
          </w:p>
        </w:tc>
      </w:tr>
      <w:tr w:rsidR="00FB4DD2" w:rsidRPr="00FB4DD2" w14:paraId="2ACF63A6" w14:textId="77777777" w:rsidTr="00FB4DD2">
        <w:trPr>
          <w:tblCellSpacing w:w="15" w:type="dxa"/>
        </w:trPr>
        <w:tc>
          <w:tcPr>
            <w:tcW w:w="0" w:type="auto"/>
            <w:vAlign w:val="center"/>
            <w:hideMark/>
          </w:tcPr>
          <w:p w14:paraId="771A7B3F"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Future strategies for digital transformation</w:t>
            </w:r>
          </w:p>
        </w:tc>
        <w:tc>
          <w:tcPr>
            <w:tcW w:w="0" w:type="auto"/>
            <w:vAlign w:val="center"/>
            <w:hideMark/>
          </w:tcPr>
          <w:p w14:paraId="4DF711C8"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Synthesized from data &amp; theory.</w:t>
            </w:r>
          </w:p>
        </w:tc>
        <w:tc>
          <w:tcPr>
            <w:tcW w:w="0" w:type="auto"/>
            <w:vAlign w:val="center"/>
            <w:hideMark/>
          </w:tcPr>
          <w:p w14:paraId="1A71F3CF"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Kotler &amp; Keller (2016) – 4Ps marketing mix. Rogers (2003) – trialability &amp; observability. Hofstede (2010) – cultural resonance.</w:t>
            </w:r>
          </w:p>
        </w:tc>
        <w:tc>
          <w:tcPr>
            <w:tcW w:w="0" w:type="auto"/>
            <w:vAlign w:val="center"/>
            <w:hideMark/>
          </w:tcPr>
          <w:p w14:paraId="20A310FC" w14:textId="77777777" w:rsidR="00FB4DD2" w:rsidRPr="00FB4DD2" w:rsidRDefault="00FB4DD2" w:rsidP="00FB4DD2">
            <w:pPr>
              <w:rPr>
                <w:rFonts w:ascii="Arial" w:hAnsi="Arial" w:cs="Arial"/>
                <w:color w:val="000000"/>
                <w:lang w:val="en-GB" w:eastAsia="en-GB"/>
              </w:rPr>
            </w:pPr>
            <w:r w:rsidRPr="00FB4DD2">
              <w:rPr>
                <w:rFonts w:ascii="Arial" w:hAnsi="Arial" w:cs="Arial"/>
                <w:color w:val="000000"/>
                <w:lang w:val="en-GB" w:eastAsia="en-GB"/>
              </w:rPr>
              <w:t>Blended strategies (global tools + local wisdom) can strengthen MSME competitiveness and resilience.</w:t>
            </w:r>
          </w:p>
        </w:tc>
      </w:tr>
    </w:tbl>
    <w:p w14:paraId="73C00A3D" w14:textId="77777777" w:rsidR="00FB4DD2" w:rsidRPr="00FB4DD2" w:rsidRDefault="00FB4DD2" w:rsidP="003760AD">
      <w:pPr>
        <w:pStyle w:val="Body"/>
        <w:spacing w:after="0"/>
        <w:rPr>
          <w:rFonts w:ascii="Arial" w:hAnsi="Arial" w:cs="Arial"/>
        </w:rPr>
      </w:pPr>
    </w:p>
    <w:p w14:paraId="4589C2D5" w14:textId="77777777" w:rsidR="003760AD" w:rsidRDefault="003760AD" w:rsidP="003760AD">
      <w:pPr>
        <w:pStyle w:val="Body"/>
        <w:spacing w:after="0"/>
        <w:rPr>
          <w:rFonts w:ascii="Arial" w:hAnsi="Arial" w:cs="Arial"/>
        </w:rPr>
      </w:pPr>
    </w:p>
    <w:p w14:paraId="0F63B600" w14:textId="77777777" w:rsidR="00790ADA" w:rsidRPr="00FB3A86" w:rsidRDefault="00790ADA" w:rsidP="00441B6F">
      <w:pPr>
        <w:pStyle w:val="Body"/>
        <w:spacing w:after="0"/>
        <w:rPr>
          <w:rFonts w:ascii="Arial" w:hAnsi="Arial" w:cs="Arial"/>
        </w:rPr>
      </w:pPr>
    </w:p>
    <w:p w14:paraId="7F49C94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BCB517" w14:textId="77777777" w:rsidR="00790ADA" w:rsidRPr="00FB3A86" w:rsidRDefault="00790ADA" w:rsidP="00441B6F">
      <w:pPr>
        <w:pStyle w:val="ConcHead"/>
        <w:spacing w:after="0"/>
        <w:jc w:val="both"/>
        <w:rPr>
          <w:rFonts w:ascii="Arial" w:hAnsi="Arial" w:cs="Arial"/>
        </w:rPr>
      </w:pPr>
    </w:p>
    <w:p w14:paraId="25935AC3" w14:textId="77777777" w:rsidR="00FB4DD2" w:rsidRPr="00FB4DD2" w:rsidRDefault="00FB4DD2" w:rsidP="00FB4DD2">
      <w:pPr>
        <w:pStyle w:val="Body"/>
        <w:rPr>
          <w:rFonts w:ascii="Arial" w:hAnsi="Arial" w:cs="Arial"/>
        </w:rPr>
      </w:pPr>
      <w:r w:rsidRPr="00FB4DD2">
        <w:rPr>
          <w:rFonts w:ascii="Arial" w:hAnsi="Arial" w:cs="Arial"/>
        </w:rPr>
        <w:t xml:space="preserve">Marketing digitalization offers significant opportunities for the development of micro, small, and medium enterprises (MSMEs) in Papua, particularly in overcoming geographical barriers and expanding market reach. However, the adoption of digital technology in the region remains relatively low, primarily due to limitations in infrastructure, the high cost of devices, and low levels of digital literacy. The findings of this study indicate that MSME actors in Papua have not yet fully optimized the use of digital platforms in their marketing strategies. These constraints are further compounded by limited internet access and insufficient training tailored to the socio-cultural context of local communities. Despite these challenges, there are promising signs of digitalization emerging from grassroots initiatives, especially among the younger generation, who are more adaptive to technology and eager to leverage it for business promotion. This reflects that opportunities for digital </w:t>
      </w:r>
      <w:r w:rsidRPr="00FB4DD2">
        <w:rPr>
          <w:rFonts w:ascii="Arial" w:hAnsi="Arial" w:cs="Arial"/>
        </w:rPr>
        <w:lastRenderedPageBreak/>
        <w:t>marketing in Papua remain wide open, provided that supportive and context-sensitive strategies are implemented. Moreover, the study underscores that successful digital marketing strategies in Papua must not only focus on technological tools but also consider the socio-cultural realities of the region, such as the use of local language, adherence to customary values, and the importance of community proximity. These factors are critical to ensuring broader acceptance and sustainability of digital adoption. Finally, the findings confirm that collaboration among government, private actors, and local communities is indispensable in creating an inclusive and sustainable digital ecosystem.</w:t>
      </w:r>
    </w:p>
    <w:p w14:paraId="1AA30EBF" w14:textId="53040453" w:rsidR="00315186" w:rsidRPr="00315186" w:rsidRDefault="00FB4DD2" w:rsidP="00FB4DD2">
      <w:pPr>
        <w:pStyle w:val="Body"/>
        <w:spacing w:after="0"/>
      </w:pPr>
      <w:r w:rsidRPr="00FB4DD2">
        <w:rPr>
          <w:rFonts w:ascii="Arial" w:hAnsi="Arial" w:cs="Arial"/>
        </w:rPr>
        <w:t xml:space="preserve">In line with these findings, several recommendations are proposed to strengthen digital marketing practices in Papua. First, there is an urgent need to improve local digital literacy. This can be achieved through community-based training programs organized by local governments, universities, and NGOs, which should use local languages and culturally relevant approaches to enhance effectiveness. Second, the development of equitable digital infrastructure is essential. Expanding internet access to remote and inland areas with strong economic potential requires strategic interventions from both the state and private sector. Third, MSME actors should be encouraged to utilize social media more effectively, highlighting Papua’s rich cultural identity and natural resources as unique marketing strengths. Fourth, involving local leaders and indigenous institutions in the implementation of digital marketing strategies will enhance trust, acceptance, and broader participation within communities. Fifth, the establishment of local e-commerce platforms tailored to the needs and characteristics of the Papuan market is necessary to ensure accessibility and usability for business actors across diverse contexts. Finally, continuous mentoring must be provided through locally based institutions capable of guiding MSMEs in developing digital strategies, creating content, and evaluating the impact of their marketing campaigns. Collectively, these recommendations emphasize that digital marketing in Papua requires not only technological solutions but also cultural sensitivity, community empowerment, and sustained institutional support to achieve meaningful transformation. </w:t>
      </w:r>
      <w:r w:rsidR="00502516">
        <w:rPr>
          <w:rFonts w:ascii="Arial" w:hAnsi="Arial" w:cs="Arial"/>
        </w:rPr>
        <w:t>[</w:t>
      </w:r>
    </w:p>
    <w:p w14:paraId="58EF5580" w14:textId="77777777" w:rsidR="00315186" w:rsidRPr="00315186" w:rsidRDefault="00315186" w:rsidP="00441B6F"/>
    <w:p w14:paraId="70AFE763" w14:textId="77777777" w:rsidR="00315186" w:rsidRPr="00315186" w:rsidRDefault="00315186" w:rsidP="00441B6F"/>
    <w:p w14:paraId="274CC3A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6FA3C06" w14:textId="77777777" w:rsidR="00860000" w:rsidRPr="00786D36" w:rsidRDefault="00860000" w:rsidP="00441B6F">
      <w:pPr>
        <w:pStyle w:val="ReferHead"/>
        <w:spacing w:after="0"/>
        <w:jc w:val="both"/>
        <w:rPr>
          <w:rFonts w:ascii="Arial" w:hAnsi="Arial" w:cs="Arial"/>
        </w:rPr>
      </w:pPr>
    </w:p>
    <w:p w14:paraId="08DD9D08" w14:textId="354DB495"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38DDF022" w14:textId="77777777" w:rsidR="00371FB6" w:rsidRDefault="00371FB6" w:rsidP="00441B6F">
      <w:pPr>
        <w:pStyle w:val="ReferHead"/>
        <w:spacing w:after="0"/>
        <w:jc w:val="both"/>
        <w:rPr>
          <w:rFonts w:ascii="Arial" w:hAnsi="Arial" w:cs="Arial"/>
          <w:b w:val="0"/>
          <w:caps w:val="0"/>
          <w:sz w:val="20"/>
        </w:rPr>
      </w:pPr>
    </w:p>
    <w:p w14:paraId="685D9565" w14:textId="77777777" w:rsidR="002B685A" w:rsidRDefault="002B685A" w:rsidP="00441B6F">
      <w:pPr>
        <w:pStyle w:val="ReferHead"/>
        <w:spacing w:after="0"/>
        <w:jc w:val="both"/>
        <w:rPr>
          <w:rFonts w:ascii="Arial" w:hAnsi="Arial" w:cs="Arial"/>
          <w:b w:val="0"/>
          <w:caps w:val="0"/>
          <w:sz w:val="20"/>
        </w:rPr>
      </w:pPr>
    </w:p>
    <w:p w14:paraId="693927CB"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C05CD15" w14:textId="715CD1B2"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5998B59" w14:textId="166A90C8" w:rsidR="001A29D8" w:rsidRDefault="007969A3" w:rsidP="00441B6F">
      <w:pPr>
        <w:pStyle w:val="ReferHead"/>
        <w:spacing w:after="0"/>
        <w:jc w:val="both"/>
        <w:rPr>
          <w:rFonts w:ascii="Arial" w:hAnsi="Arial" w:cs="Arial"/>
          <w:b w:val="0"/>
          <w:caps w:val="0"/>
          <w:sz w:val="20"/>
        </w:rPr>
      </w:pPr>
      <w:r>
        <w:rPr>
          <w:rFonts w:ascii="Arial" w:hAnsi="Arial" w:cs="Arial"/>
          <w:b w:val="0"/>
          <w:caps w:val="0"/>
          <w:sz w:val="20"/>
        </w:rPr>
        <w:br/>
      </w:r>
    </w:p>
    <w:p w14:paraId="096B041B" w14:textId="77777777" w:rsidR="007969A3" w:rsidRDefault="007969A3" w:rsidP="007969A3">
      <w:pPr>
        <w:tabs>
          <w:tab w:val="left" w:pos="2696"/>
        </w:tabs>
        <w:rPr>
          <w:rFonts w:ascii="Arial" w:hAnsi="Arial" w:cs="Arial"/>
        </w:rPr>
      </w:pPr>
      <w:bookmarkStart w:id="0" w:name="_Hlk183685723"/>
      <w:bookmarkStart w:id="1" w:name="_Hlk198899984"/>
      <w:bookmarkStart w:id="2" w:name="_Hlk200024137"/>
    </w:p>
    <w:p w14:paraId="6989475D" w14:textId="77777777" w:rsidR="007969A3" w:rsidRPr="00246B0C" w:rsidRDefault="007969A3" w:rsidP="007969A3">
      <w:pPr>
        <w:rPr>
          <w:rFonts w:ascii="Calibri" w:eastAsia="Calibri" w:hAnsi="Calibri"/>
          <w:kern w:val="2"/>
        </w:rPr>
      </w:pPr>
      <w:bookmarkStart w:id="3" w:name="_Hlk201835975"/>
      <w:bookmarkStart w:id="4" w:name="_Hlk193540946"/>
      <w:bookmarkStart w:id="5" w:name="_Hlk180402183"/>
      <w:bookmarkStart w:id="6" w:name="_Hlk183680988"/>
      <w:bookmarkStart w:id="7" w:name="_Hlk197173371"/>
      <w:bookmarkEnd w:id="0"/>
      <w:r w:rsidRPr="00246B0C">
        <w:rPr>
          <w:rFonts w:ascii="Calibri" w:eastAsia="Calibri" w:hAnsi="Calibri"/>
          <w:kern w:val="2"/>
        </w:rPr>
        <w:t>Disclaimer (Artificial intelligence)</w:t>
      </w:r>
    </w:p>
    <w:p w14:paraId="52FB032F" w14:textId="77777777" w:rsidR="007969A3" w:rsidRPr="00246B0C" w:rsidRDefault="007969A3" w:rsidP="00246B0C">
      <w:pPr>
        <w:jc w:val="both"/>
        <w:rPr>
          <w:rFonts w:ascii="Calibri" w:eastAsia="Calibri" w:hAnsi="Calibri"/>
          <w:kern w:val="2"/>
        </w:rPr>
      </w:pPr>
      <w:r w:rsidRPr="00246B0C">
        <w:rPr>
          <w:rFonts w:ascii="Calibri" w:eastAsia="Calibri" w:hAnsi="Calibri"/>
          <w:kern w:val="2"/>
        </w:rPr>
        <w:t xml:space="preserve">Author(s) hereby </w:t>
      </w:r>
      <w:proofErr w:type="gramStart"/>
      <w:r w:rsidRPr="00246B0C">
        <w:rPr>
          <w:rFonts w:ascii="Calibri" w:eastAsia="Calibri" w:hAnsi="Calibri"/>
          <w:kern w:val="2"/>
        </w:rPr>
        <w:t>declare</w:t>
      </w:r>
      <w:proofErr w:type="gramEnd"/>
      <w:r w:rsidRPr="00246B0C">
        <w:rPr>
          <w:rFonts w:ascii="Calibri" w:eastAsia="Calibri" w:hAnsi="Calibri"/>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41190F" w14:textId="1E77EF80" w:rsidR="007969A3" w:rsidRPr="00E668B2" w:rsidRDefault="007969A3" w:rsidP="00E668B2">
      <w:pPr>
        <w:jc w:val="both"/>
        <w:rPr>
          <w:rFonts w:ascii="Calibri" w:eastAsia="Calibri" w:hAnsi="Calibri"/>
          <w:kern w:val="2"/>
        </w:rPr>
      </w:pPr>
      <w:r w:rsidRPr="00246B0C">
        <w:rPr>
          <w:rFonts w:ascii="Calibri" w:eastAsia="Calibri" w:hAnsi="Calibri"/>
          <w:kern w:val="2"/>
        </w:rPr>
        <w:t xml:space="preserve">Details of the AI usage </w:t>
      </w:r>
      <w:bookmarkEnd w:id="1"/>
      <w:bookmarkEnd w:id="2"/>
      <w:bookmarkEnd w:id="3"/>
      <w:bookmarkEnd w:id="4"/>
      <w:bookmarkEnd w:id="5"/>
      <w:bookmarkEnd w:id="6"/>
      <w:bookmarkEnd w:id="7"/>
      <w:r w:rsidR="00E668B2">
        <w:rPr>
          <w:rFonts w:ascii="Calibri" w:eastAsia="Calibri" w:hAnsi="Calibri"/>
          <w:kern w:val="2"/>
        </w:rPr>
        <w:t>is ChatGPT.</w:t>
      </w:r>
    </w:p>
    <w:p w14:paraId="4E83C4AD" w14:textId="77777777" w:rsidR="005C784C" w:rsidRDefault="005C784C" w:rsidP="00441B6F">
      <w:pPr>
        <w:pStyle w:val="ReferHead"/>
        <w:spacing w:after="0"/>
        <w:jc w:val="both"/>
        <w:rPr>
          <w:rFonts w:ascii="Arial" w:hAnsi="Arial" w:cs="Arial"/>
          <w:b w:val="0"/>
          <w:caps w:val="0"/>
          <w:sz w:val="20"/>
        </w:rPr>
      </w:pPr>
    </w:p>
    <w:p w14:paraId="6AE7B15A" w14:textId="77777777" w:rsidR="00860000" w:rsidRDefault="00860000" w:rsidP="00441B6F">
      <w:pPr>
        <w:pStyle w:val="ReferHead"/>
        <w:spacing w:after="0"/>
        <w:jc w:val="both"/>
        <w:rPr>
          <w:rFonts w:ascii="Arial" w:hAnsi="Arial" w:cs="Arial"/>
        </w:rPr>
      </w:pPr>
    </w:p>
    <w:p w14:paraId="558BB7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018E93" w14:textId="77777777" w:rsidR="00790ADA" w:rsidRPr="00FB3A86" w:rsidRDefault="00790ADA" w:rsidP="00441B6F">
      <w:pPr>
        <w:pStyle w:val="ReferHead"/>
        <w:spacing w:after="0"/>
        <w:jc w:val="both"/>
        <w:rPr>
          <w:rFonts w:ascii="Arial" w:hAnsi="Arial" w:cs="Arial"/>
        </w:rPr>
      </w:pPr>
    </w:p>
    <w:p w14:paraId="70DF19D3" w14:textId="6A38DC03" w:rsidR="007C4AD6" w:rsidRDefault="007C4AD6" w:rsidP="00FB4DD2">
      <w:pPr>
        <w:pStyle w:val="Body"/>
        <w:rPr>
          <w:rFonts w:ascii="Arial" w:hAnsi="Arial" w:cs="Arial"/>
        </w:rPr>
      </w:pPr>
      <w:r w:rsidRPr="007C4AD6">
        <w:rPr>
          <w:rFonts w:ascii="Arial" w:hAnsi="Arial" w:cs="Arial"/>
        </w:rPr>
        <w:t xml:space="preserve">Abdillah, L. A. (2023). Adoption of digital marketing and its impact on MSME performance in Indonesia. International Journal of Data and Network Science, 7(1), 35–46. </w:t>
      </w:r>
      <w:hyperlink r:id="rId14" w:history="1">
        <w:r w:rsidRPr="00ED5F6E">
          <w:rPr>
            <w:rStyle w:val="Hyperlink"/>
            <w:rFonts w:ascii="Arial" w:hAnsi="Arial" w:cs="Arial"/>
          </w:rPr>
          <w:t>https://doi.org/10.5267/j.ijdns.2022.9.007</w:t>
        </w:r>
      </w:hyperlink>
    </w:p>
    <w:p w14:paraId="773E1E13" w14:textId="7F2FAEE4" w:rsidR="007C4AD6" w:rsidRDefault="007C4AD6" w:rsidP="00FB4DD2">
      <w:pPr>
        <w:pStyle w:val="Body"/>
        <w:rPr>
          <w:rFonts w:ascii="Arial" w:hAnsi="Arial" w:cs="Arial"/>
        </w:rPr>
      </w:pPr>
      <w:r w:rsidRPr="007C4AD6">
        <w:rPr>
          <w:rFonts w:ascii="Arial" w:hAnsi="Arial" w:cs="Arial"/>
        </w:rPr>
        <w:t xml:space="preserve">Aminullah, E., </w:t>
      </w:r>
      <w:proofErr w:type="spellStart"/>
      <w:r w:rsidRPr="007C4AD6">
        <w:rPr>
          <w:rFonts w:ascii="Arial" w:hAnsi="Arial" w:cs="Arial"/>
        </w:rPr>
        <w:t>Wiradendi</w:t>
      </w:r>
      <w:proofErr w:type="spellEnd"/>
      <w:r w:rsidRPr="007C4AD6">
        <w:rPr>
          <w:rFonts w:ascii="Arial" w:hAnsi="Arial" w:cs="Arial"/>
        </w:rPr>
        <w:t xml:space="preserve"> Wolor, C., </w:t>
      </w:r>
      <w:proofErr w:type="spellStart"/>
      <w:r w:rsidRPr="007C4AD6">
        <w:rPr>
          <w:rFonts w:ascii="Arial" w:hAnsi="Arial" w:cs="Arial"/>
        </w:rPr>
        <w:t>Septiari</w:t>
      </w:r>
      <w:proofErr w:type="spellEnd"/>
      <w:r w:rsidRPr="007C4AD6">
        <w:rPr>
          <w:rFonts w:ascii="Arial" w:hAnsi="Arial" w:cs="Arial"/>
        </w:rPr>
        <w:t xml:space="preserve">, D., Susilo, A., </w:t>
      </w:r>
      <w:proofErr w:type="spellStart"/>
      <w:r w:rsidRPr="007C4AD6">
        <w:rPr>
          <w:rFonts w:ascii="Arial" w:hAnsi="Arial" w:cs="Arial"/>
        </w:rPr>
        <w:t>Sugiarto</w:t>
      </w:r>
      <w:proofErr w:type="spellEnd"/>
      <w:r w:rsidRPr="007C4AD6">
        <w:rPr>
          <w:rFonts w:ascii="Arial" w:hAnsi="Arial" w:cs="Arial"/>
        </w:rPr>
        <w:t xml:space="preserve">, S., &amp; </w:t>
      </w:r>
      <w:proofErr w:type="spellStart"/>
      <w:r w:rsidRPr="007C4AD6">
        <w:rPr>
          <w:rFonts w:ascii="Arial" w:hAnsi="Arial" w:cs="Arial"/>
        </w:rPr>
        <w:t>Muhtarom</w:t>
      </w:r>
      <w:proofErr w:type="spellEnd"/>
      <w:r w:rsidRPr="007C4AD6">
        <w:rPr>
          <w:rFonts w:ascii="Arial" w:hAnsi="Arial" w:cs="Arial"/>
        </w:rPr>
        <w:t xml:space="preserve">, A. (2024). The influence of the digital ecosystem and digital marketing on the performance of MSMEs in Indonesia. Cogent Business &amp; Management, 11(1), 2364255. </w:t>
      </w:r>
      <w:hyperlink r:id="rId15" w:history="1">
        <w:r w:rsidRPr="00ED5F6E">
          <w:rPr>
            <w:rStyle w:val="Hyperlink"/>
            <w:rFonts w:ascii="Arial" w:hAnsi="Arial" w:cs="Arial"/>
          </w:rPr>
          <w:t>https://doi.org/10.1080/23311975.2024.2364255</w:t>
        </w:r>
      </w:hyperlink>
    </w:p>
    <w:p w14:paraId="5FEF7A7E" w14:textId="2EDDC3E5" w:rsidR="007C4AD6" w:rsidRDefault="007C4AD6" w:rsidP="00FB4DD2">
      <w:pPr>
        <w:pStyle w:val="Body"/>
        <w:rPr>
          <w:rFonts w:ascii="Arial" w:hAnsi="Arial" w:cs="Arial"/>
        </w:rPr>
      </w:pPr>
      <w:r w:rsidRPr="007C4AD6">
        <w:rPr>
          <w:rFonts w:ascii="Arial" w:hAnsi="Arial" w:cs="Arial"/>
        </w:rPr>
        <w:t xml:space="preserve">BAKTI DNA Ecosystem. (2024). The DNA ecosystem: Driving inclusive digital transformation in Indonesia. Badan </w:t>
      </w:r>
      <w:proofErr w:type="spellStart"/>
      <w:r w:rsidRPr="007C4AD6">
        <w:rPr>
          <w:rFonts w:ascii="Arial" w:hAnsi="Arial" w:cs="Arial"/>
        </w:rPr>
        <w:t>Aksesibilitas</w:t>
      </w:r>
      <w:proofErr w:type="spellEnd"/>
      <w:r w:rsidRPr="007C4AD6">
        <w:rPr>
          <w:rFonts w:ascii="Arial" w:hAnsi="Arial" w:cs="Arial"/>
        </w:rPr>
        <w:t xml:space="preserve"> Telekomunikasi dan </w:t>
      </w:r>
      <w:proofErr w:type="spellStart"/>
      <w:r w:rsidRPr="007C4AD6">
        <w:rPr>
          <w:rFonts w:ascii="Arial" w:hAnsi="Arial" w:cs="Arial"/>
        </w:rPr>
        <w:t>Informasi</w:t>
      </w:r>
      <w:proofErr w:type="spellEnd"/>
      <w:r w:rsidRPr="007C4AD6">
        <w:rPr>
          <w:rFonts w:ascii="Arial" w:hAnsi="Arial" w:cs="Arial"/>
        </w:rPr>
        <w:t xml:space="preserve"> (BAKTI). https://balitower.co.id/2024/05/29/the-dna-ecosystem-driving-inclusive-digital-transformation-in-indonesia/</w:t>
      </w:r>
    </w:p>
    <w:p w14:paraId="30D17FD8" w14:textId="2514C2B4" w:rsidR="007C4AD6" w:rsidRDefault="00FB4DD2" w:rsidP="00FB4DD2">
      <w:pPr>
        <w:pStyle w:val="Body"/>
        <w:rPr>
          <w:rFonts w:ascii="Arial" w:hAnsi="Arial" w:cs="Arial"/>
        </w:rPr>
      </w:pPr>
      <w:r w:rsidRPr="00FB4DD2">
        <w:rPr>
          <w:rFonts w:ascii="Arial" w:hAnsi="Arial" w:cs="Arial"/>
        </w:rPr>
        <w:t>Chaffey, D., &amp; Ellis-Chadwick, F. (2019). Digital marketing (8th ed.). Pearson Education Limited.</w:t>
      </w:r>
    </w:p>
    <w:p w14:paraId="273F9DC3" w14:textId="2C409E2C" w:rsidR="00405122" w:rsidRDefault="00405122" w:rsidP="00FB4DD2">
      <w:pPr>
        <w:pStyle w:val="Body"/>
        <w:rPr>
          <w:rFonts w:ascii="Arial" w:hAnsi="Arial" w:cs="Arial"/>
        </w:rPr>
      </w:pPr>
      <w:r w:rsidRPr="00405122">
        <w:rPr>
          <w:rFonts w:ascii="Arial" w:hAnsi="Arial" w:cs="Arial"/>
        </w:rPr>
        <w:lastRenderedPageBreak/>
        <w:t xml:space="preserve">Cham, T. H., Cheah, J. H., Memon, M. A., Fam, K. S., &amp; László, J. (2022). Digitalization and its impact on contemporary marketing strategies and practices. Journal of Marketing Analytics, 10(2), 103–105. </w:t>
      </w:r>
      <w:hyperlink r:id="rId16" w:history="1">
        <w:r w:rsidRPr="00ED5F6E">
          <w:rPr>
            <w:rStyle w:val="Hyperlink"/>
            <w:rFonts w:ascii="Arial" w:hAnsi="Arial" w:cs="Arial"/>
          </w:rPr>
          <w:t>https://doi.org/10.1057/s41270-022-00155-8</w:t>
        </w:r>
      </w:hyperlink>
      <w:r>
        <w:rPr>
          <w:rFonts w:ascii="Arial" w:hAnsi="Arial" w:cs="Arial"/>
        </w:rPr>
        <w:t xml:space="preserve"> </w:t>
      </w:r>
    </w:p>
    <w:p w14:paraId="33C22642" w14:textId="5CC24C1E" w:rsidR="00246B0C" w:rsidRDefault="00246B0C" w:rsidP="00FB4DD2">
      <w:pPr>
        <w:pStyle w:val="Body"/>
        <w:rPr>
          <w:rFonts w:ascii="Arial" w:hAnsi="Arial" w:cs="Arial"/>
        </w:rPr>
      </w:pPr>
      <w:r w:rsidRPr="00246B0C">
        <w:rPr>
          <w:rFonts w:ascii="Arial" w:hAnsi="Arial" w:cs="Arial"/>
        </w:rPr>
        <w:t xml:space="preserve">Hasbiah, </w:t>
      </w:r>
      <w:proofErr w:type="spellStart"/>
      <w:r w:rsidRPr="00246B0C">
        <w:rPr>
          <w:rFonts w:ascii="Arial" w:hAnsi="Arial" w:cs="Arial"/>
        </w:rPr>
        <w:t>Suharyanto</w:t>
      </w:r>
      <w:proofErr w:type="spellEnd"/>
      <w:r w:rsidRPr="00246B0C">
        <w:rPr>
          <w:rFonts w:ascii="Arial" w:hAnsi="Arial" w:cs="Arial"/>
        </w:rPr>
        <w:t xml:space="preserve">, V. F. P. I., F. </w:t>
      </w:r>
      <w:proofErr w:type="spellStart"/>
      <w:r w:rsidRPr="00246B0C">
        <w:rPr>
          <w:rFonts w:ascii="Arial" w:hAnsi="Arial" w:cs="Arial"/>
        </w:rPr>
        <w:t>Faridotul</w:t>
      </w:r>
      <w:proofErr w:type="spellEnd"/>
      <w:r w:rsidRPr="00246B0C">
        <w:rPr>
          <w:rFonts w:ascii="Arial" w:hAnsi="Arial" w:cs="Arial"/>
        </w:rPr>
        <w:t xml:space="preserve">, &amp; </w:t>
      </w:r>
      <w:proofErr w:type="spellStart"/>
      <w:r w:rsidRPr="00246B0C">
        <w:rPr>
          <w:rFonts w:ascii="Arial" w:hAnsi="Arial" w:cs="Arial"/>
        </w:rPr>
        <w:t>Chasanah</w:t>
      </w:r>
      <w:proofErr w:type="spellEnd"/>
      <w:r w:rsidRPr="00246B0C">
        <w:rPr>
          <w:rFonts w:ascii="Arial" w:hAnsi="Arial" w:cs="Arial"/>
        </w:rPr>
        <w:t xml:space="preserve">. (2024). Optimizing the Role of MSMEs in Regional Economic Growth: Challenges and Opportunities. Journal of Economic Education and Entrepreneurship Studies, 5(3), 530–542. </w:t>
      </w:r>
      <w:hyperlink r:id="rId17" w:history="1">
        <w:r w:rsidRPr="00ED5F6E">
          <w:rPr>
            <w:rStyle w:val="Hyperlink"/>
            <w:rFonts w:ascii="Arial" w:hAnsi="Arial" w:cs="Arial"/>
          </w:rPr>
          <w:t>https://doi.org/10.62794/je3s.v5i3.4310</w:t>
        </w:r>
      </w:hyperlink>
      <w:r>
        <w:rPr>
          <w:rFonts w:ascii="Arial" w:hAnsi="Arial" w:cs="Arial"/>
        </w:rPr>
        <w:t xml:space="preserve"> </w:t>
      </w:r>
    </w:p>
    <w:p w14:paraId="6A792469" w14:textId="77777777" w:rsidR="00FB4DD2" w:rsidRPr="00FB4DD2" w:rsidRDefault="00FB4DD2" w:rsidP="00FB4DD2">
      <w:pPr>
        <w:pStyle w:val="Body"/>
        <w:rPr>
          <w:rFonts w:ascii="Arial" w:hAnsi="Arial" w:cs="Arial"/>
        </w:rPr>
      </w:pPr>
      <w:r w:rsidRPr="00FB4DD2">
        <w:rPr>
          <w:rFonts w:ascii="Arial" w:hAnsi="Arial" w:cs="Arial"/>
        </w:rPr>
        <w:t>Hofstede, G. (2010). Cultures and organizations: Software of the mind (Rev. 3rd ed.). McGraw-Hill.</w:t>
      </w:r>
    </w:p>
    <w:p w14:paraId="4476C3C2" w14:textId="77777777" w:rsidR="00FB4DD2" w:rsidRDefault="00FB4DD2" w:rsidP="00FB4DD2">
      <w:pPr>
        <w:pStyle w:val="Body"/>
        <w:rPr>
          <w:rFonts w:ascii="Arial" w:hAnsi="Arial" w:cs="Arial"/>
        </w:rPr>
      </w:pPr>
      <w:r w:rsidRPr="00FB4DD2">
        <w:rPr>
          <w:rFonts w:ascii="Arial" w:hAnsi="Arial" w:cs="Arial"/>
        </w:rPr>
        <w:t>Kotler, P., &amp; Keller, K. L. (2009). Marketing management (13th ed.). Pearson Prentice Hall.</w:t>
      </w:r>
    </w:p>
    <w:p w14:paraId="53C86F92" w14:textId="6CA4AF90" w:rsidR="00246B0C" w:rsidRDefault="00246B0C" w:rsidP="00FB4DD2">
      <w:pPr>
        <w:pStyle w:val="Body"/>
        <w:rPr>
          <w:rFonts w:ascii="Arial" w:hAnsi="Arial" w:cs="Arial"/>
        </w:rPr>
      </w:pPr>
      <w:r w:rsidRPr="00246B0C">
        <w:rPr>
          <w:rFonts w:ascii="Arial" w:hAnsi="Arial" w:cs="Arial"/>
        </w:rPr>
        <w:t xml:space="preserve">Meylani, H., </w:t>
      </w:r>
      <w:proofErr w:type="spellStart"/>
      <w:r w:rsidRPr="00246B0C">
        <w:rPr>
          <w:rFonts w:ascii="Arial" w:hAnsi="Arial" w:cs="Arial"/>
        </w:rPr>
        <w:t>Widianingsih</w:t>
      </w:r>
      <w:proofErr w:type="spellEnd"/>
      <w:r w:rsidRPr="00246B0C">
        <w:rPr>
          <w:rFonts w:ascii="Arial" w:hAnsi="Arial" w:cs="Arial"/>
        </w:rPr>
        <w:t>, I., &amp; Santoso, J. (2023). Digital Divide and MSME Performance in Under-Resourced Indonesian Regions. Sustainability, 15(22), 15896. https://doi.org/10.3390/su152215896</w:t>
      </w:r>
    </w:p>
    <w:p w14:paraId="237AE244" w14:textId="5BC9CF89" w:rsidR="007C4AD6" w:rsidRDefault="007C4AD6" w:rsidP="00FB4DD2">
      <w:pPr>
        <w:pStyle w:val="Body"/>
        <w:rPr>
          <w:rFonts w:ascii="Arial" w:hAnsi="Arial" w:cs="Arial"/>
        </w:rPr>
      </w:pPr>
      <w:proofErr w:type="spellStart"/>
      <w:r w:rsidRPr="007C4AD6">
        <w:rPr>
          <w:rFonts w:ascii="Arial" w:hAnsi="Arial" w:cs="Arial"/>
        </w:rPr>
        <w:t>Purike</w:t>
      </w:r>
      <w:proofErr w:type="spellEnd"/>
      <w:r w:rsidRPr="007C4AD6">
        <w:rPr>
          <w:rFonts w:ascii="Arial" w:hAnsi="Arial" w:cs="Arial"/>
        </w:rPr>
        <w:t xml:space="preserve">, H. (2025). Digital transformation of rural MSMEs: Infrastructure, literacy, and sustainability challenges in Eastern Indonesia. Sustainability, 17(2), 1225. </w:t>
      </w:r>
      <w:hyperlink r:id="rId18" w:history="1">
        <w:r w:rsidRPr="00ED5F6E">
          <w:rPr>
            <w:rStyle w:val="Hyperlink"/>
            <w:rFonts w:ascii="Arial" w:hAnsi="Arial" w:cs="Arial"/>
          </w:rPr>
          <w:t>https://doi.org/10.3390/su17021225</w:t>
        </w:r>
      </w:hyperlink>
    </w:p>
    <w:p w14:paraId="07B2D7D0" w14:textId="373DED88" w:rsidR="007C4AD6" w:rsidRDefault="007C4AD6" w:rsidP="00FB4DD2">
      <w:pPr>
        <w:pStyle w:val="Body"/>
        <w:rPr>
          <w:rFonts w:ascii="Arial" w:hAnsi="Arial" w:cs="Arial"/>
        </w:rPr>
      </w:pPr>
      <w:r w:rsidRPr="007C4AD6">
        <w:rPr>
          <w:rFonts w:ascii="Arial" w:hAnsi="Arial" w:cs="Arial"/>
        </w:rPr>
        <w:t xml:space="preserve">Purnomo, R. A., </w:t>
      </w:r>
      <w:proofErr w:type="spellStart"/>
      <w:r w:rsidRPr="007C4AD6">
        <w:rPr>
          <w:rFonts w:ascii="Arial" w:hAnsi="Arial" w:cs="Arial"/>
        </w:rPr>
        <w:t>Nurmalitasari</w:t>
      </w:r>
      <w:proofErr w:type="spellEnd"/>
      <w:r w:rsidRPr="007C4AD6">
        <w:rPr>
          <w:rFonts w:ascii="Arial" w:hAnsi="Arial" w:cs="Arial"/>
        </w:rPr>
        <w:t xml:space="preserve">, I., &amp; </w:t>
      </w:r>
      <w:proofErr w:type="spellStart"/>
      <w:r w:rsidRPr="007C4AD6">
        <w:rPr>
          <w:rFonts w:ascii="Arial" w:hAnsi="Arial" w:cs="Arial"/>
        </w:rPr>
        <w:t>Nurchim</w:t>
      </w:r>
      <w:proofErr w:type="spellEnd"/>
      <w:r w:rsidRPr="007C4AD6">
        <w:rPr>
          <w:rFonts w:ascii="Arial" w:hAnsi="Arial" w:cs="Arial"/>
        </w:rPr>
        <w:t xml:space="preserve">, A. (2024). The role of digital marketing adoption on the sustainability of MSMEs in Indonesia. Sustainability, 16(5), 2501. </w:t>
      </w:r>
      <w:hyperlink r:id="rId19" w:history="1">
        <w:r w:rsidRPr="00ED5F6E">
          <w:rPr>
            <w:rStyle w:val="Hyperlink"/>
            <w:rFonts w:ascii="Arial" w:hAnsi="Arial" w:cs="Arial"/>
          </w:rPr>
          <w:t>https://doi.org/10.3390/su16052501</w:t>
        </w:r>
      </w:hyperlink>
      <w:r>
        <w:rPr>
          <w:rFonts w:ascii="Arial" w:hAnsi="Arial" w:cs="Arial"/>
        </w:rPr>
        <w:t xml:space="preserve"> </w:t>
      </w:r>
    </w:p>
    <w:p w14:paraId="3DB23445" w14:textId="0252D927" w:rsidR="00246B0C" w:rsidRPr="00FB4DD2" w:rsidRDefault="00246B0C" w:rsidP="00FB4DD2">
      <w:pPr>
        <w:pStyle w:val="Body"/>
        <w:rPr>
          <w:rFonts w:ascii="Arial" w:hAnsi="Arial" w:cs="Arial"/>
        </w:rPr>
      </w:pPr>
      <w:proofErr w:type="spellStart"/>
      <w:r w:rsidRPr="00246B0C">
        <w:rPr>
          <w:rFonts w:ascii="Arial" w:hAnsi="Arial" w:cs="Arial"/>
        </w:rPr>
        <w:t>Rialisnawati</w:t>
      </w:r>
      <w:proofErr w:type="spellEnd"/>
      <w:r w:rsidRPr="00246B0C">
        <w:rPr>
          <w:rFonts w:ascii="Arial" w:hAnsi="Arial" w:cs="Arial"/>
        </w:rPr>
        <w:t xml:space="preserve">, </w:t>
      </w:r>
      <w:proofErr w:type="spellStart"/>
      <w:r w:rsidRPr="00246B0C">
        <w:rPr>
          <w:rFonts w:ascii="Arial" w:hAnsi="Arial" w:cs="Arial"/>
        </w:rPr>
        <w:t>Rahmatunnisya</w:t>
      </w:r>
      <w:proofErr w:type="spellEnd"/>
      <w:r w:rsidRPr="00246B0C">
        <w:rPr>
          <w:rFonts w:ascii="Arial" w:hAnsi="Arial" w:cs="Arial"/>
        </w:rPr>
        <w:t xml:space="preserve">, M. R. D., Kalsum, &amp; </w:t>
      </w:r>
      <w:proofErr w:type="spellStart"/>
      <w:r w:rsidRPr="00246B0C">
        <w:rPr>
          <w:rFonts w:ascii="Arial" w:hAnsi="Arial" w:cs="Arial"/>
        </w:rPr>
        <w:t>Husnan</w:t>
      </w:r>
      <w:proofErr w:type="spellEnd"/>
      <w:r w:rsidRPr="00246B0C">
        <w:rPr>
          <w:rFonts w:ascii="Arial" w:hAnsi="Arial" w:cs="Arial"/>
        </w:rPr>
        <w:t xml:space="preserve"> (2024). A Decade of Consumer Behavior Research in Indonesia: Cultural, Technological, and Economic Influences. Scientia: Technology, Science and Society, 1(3), 45–60. </w:t>
      </w:r>
      <w:hyperlink r:id="rId20" w:history="1">
        <w:r w:rsidRPr="00ED5F6E">
          <w:rPr>
            <w:rStyle w:val="Hyperlink"/>
            <w:rFonts w:ascii="Arial" w:hAnsi="Arial" w:cs="Arial"/>
          </w:rPr>
          <w:t>https://doi.org/10.59324/stss.2024.1(3).02</w:t>
        </w:r>
      </w:hyperlink>
      <w:r>
        <w:rPr>
          <w:rFonts w:ascii="Arial" w:hAnsi="Arial" w:cs="Arial"/>
        </w:rPr>
        <w:t xml:space="preserve"> </w:t>
      </w:r>
    </w:p>
    <w:p w14:paraId="1B40CDBC" w14:textId="77777777" w:rsidR="00FB4DD2" w:rsidRPr="00FB4DD2" w:rsidRDefault="00FB4DD2" w:rsidP="00FB4DD2">
      <w:pPr>
        <w:pStyle w:val="Body"/>
        <w:rPr>
          <w:rFonts w:ascii="Arial" w:hAnsi="Arial" w:cs="Arial"/>
        </w:rPr>
      </w:pPr>
      <w:r w:rsidRPr="00FB4DD2">
        <w:rPr>
          <w:rFonts w:ascii="Arial" w:hAnsi="Arial" w:cs="Arial"/>
        </w:rPr>
        <w:t>Rogers, E. M. (2003). Diffusion of innovations (5th ed.). Free Press.</w:t>
      </w:r>
    </w:p>
    <w:p w14:paraId="0774FEA1" w14:textId="04F00AE5" w:rsidR="00405122" w:rsidRDefault="00FB4DD2" w:rsidP="00246B0C">
      <w:pPr>
        <w:pStyle w:val="Body"/>
        <w:rPr>
          <w:rFonts w:ascii="Arial" w:hAnsi="Arial" w:cs="Arial"/>
        </w:rPr>
      </w:pPr>
      <w:r w:rsidRPr="00FB4DD2">
        <w:rPr>
          <w:rFonts w:ascii="Arial" w:hAnsi="Arial" w:cs="Arial"/>
        </w:rPr>
        <w:t xml:space="preserve">World Bank. (2016). World development report 2016: Digital dividends. World Bank. </w:t>
      </w:r>
      <w:hyperlink r:id="rId21" w:history="1">
        <w:r w:rsidR="00E61A03" w:rsidRPr="00ED5F6E">
          <w:rPr>
            <w:rStyle w:val="Hyperlink"/>
            <w:rFonts w:ascii="Arial" w:hAnsi="Arial" w:cs="Arial"/>
          </w:rPr>
          <w:t>https://doi.org/10.1596/978-1-4648-0671-1</w:t>
        </w:r>
      </w:hyperlink>
    </w:p>
    <w:p w14:paraId="2E1D29AF" w14:textId="1B1E9519" w:rsidR="00405122" w:rsidRPr="002C57D2" w:rsidRDefault="00405122" w:rsidP="00FB4DD2">
      <w:pPr>
        <w:pStyle w:val="Body"/>
        <w:spacing w:after="0"/>
        <w:rPr>
          <w:rFonts w:ascii="Arial" w:hAnsi="Arial" w:cs="Arial"/>
        </w:rPr>
      </w:pPr>
      <w:r w:rsidRPr="00405122">
        <w:rPr>
          <w:rFonts w:ascii="Arial" w:hAnsi="Arial" w:cs="Arial"/>
        </w:rPr>
        <w:t xml:space="preserve">World Bank. (2016). World development report 2016: Digital dividends. World Bank. </w:t>
      </w:r>
      <w:hyperlink r:id="rId22" w:history="1">
        <w:r w:rsidRPr="00ED5F6E">
          <w:rPr>
            <w:rStyle w:val="Hyperlink"/>
            <w:rFonts w:ascii="Arial" w:hAnsi="Arial" w:cs="Arial"/>
          </w:rPr>
          <w:t>https://www.worldbank.org/en/publication/wdr2016</w:t>
        </w:r>
      </w:hyperlink>
      <w:r>
        <w:rPr>
          <w:rFonts w:ascii="Arial" w:hAnsi="Arial" w:cs="Arial"/>
        </w:rPr>
        <w:t xml:space="preserve"> </w:t>
      </w:r>
    </w:p>
    <w:p w14:paraId="2CD52A13" w14:textId="77777777" w:rsidR="008B459E" w:rsidRPr="002C57D2" w:rsidRDefault="008B459E" w:rsidP="00441B6F">
      <w:pPr>
        <w:pStyle w:val="Body"/>
        <w:spacing w:after="0"/>
        <w:rPr>
          <w:rFonts w:ascii="Arial" w:hAnsi="Arial" w:cs="Arial"/>
        </w:rPr>
      </w:pPr>
    </w:p>
    <w:p w14:paraId="61AB8408" w14:textId="77777777" w:rsidR="00B01FCD" w:rsidRPr="00FB3A86" w:rsidRDefault="00B01FCD" w:rsidP="00441B6F">
      <w:pPr>
        <w:pStyle w:val="Appendix"/>
        <w:spacing w:after="0"/>
        <w:jc w:val="both"/>
        <w:rPr>
          <w:rFonts w:ascii="Arial" w:hAnsi="Arial" w:cs="Arial"/>
          <w:b w:val="0"/>
        </w:rPr>
      </w:pPr>
    </w:p>
    <w:sectPr w:rsidR="00B01FCD" w:rsidRPr="00FB3A86" w:rsidSect="00A31175">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7648" w14:textId="77777777" w:rsidR="000A3781" w:rsidRDefault="000A3781" w:rsidP="00C37E61">
      <w:r>
        <w:separator/>
      </w:r>
    </w:p>
  </w:endnote>
  <w:endnote w:type="continuationSeparator" w:id="0">
    <w:p w14:paraId="4ADBFF1E" w14:textId="77777777" w:rsidR="000A3781" w:rsidRDefault="000A37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97C6" w14:textId="77777777" w:rsidR="00A31175" w:rsidRDefault="00A3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D19F" w14:textId="77777777" w:rsidR="00A31175" w:rsidRDefault="00A3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4238" w14:textId="77777777" w:rsidR="009E048A" w:rsidRDefault="009E048A">
    <w:pPr>
      <w:pStyle w:val="Footer"/>
      <w:rPr>
        <w:rFonts w:ascii="Arial" w:hAnsi="Arial" w:cs="Arial"/>
        <w:sz w:val="16"/>
      </w:rPr>
    </w:pPr>
  </w:p>
  <w:p w14:paraId="336725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70355DB" w14:textId="77777777" w:rsidR="009E048A" w:rsidRDefault="009E048A">
    <w:pPr>
      <w:pStyle w:val="Footer"/>
      <w:rPr>
        <w:rFonts w:ascii="Arial" w:hAnsi="Arial" w:cs="Arial"/>
        <w:sz w:val="16"/>
      </w:rPr>
    </w:pPr>
  </w:p>
  <w:p w14:paraId="760178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B7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F3FC" w14:textId="77777777" w:rsidR="000A3781" w:rsidRDefault="000A3781" w:rsidP="00C37E61">
      <w:r>
        <w:separator/>
      </w:r>
    </w:p>
  </w:footnote>
  <w:footnote w:type="continuationSeparator" w:id="0">
    <w:p w14:paraId="6EF4F7C5" w14:textId="77777777" w:rsidR="000A3781" w:rsidRDefault="000A37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6020" w14:textId="177D1B5D" w:rsidR="00A31175" w:rsidRDefault="000A3781">
    <w:pPr>
      <w:pStyle w:val="Header"/>
    </w:pPr>
    <w:r>
      <w:rPr>
        <w:noProof/>
      </w:rPr>
      <w:pict w14:anchorId="2DA7B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07"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1B15" w14:textId="6A9685AF" w:rsidR="00A31175" w:rsidRDefault="000A3781">
    <w:pPr>
      <w:pStyle w:val="Header"/>
    </w:pPr>
    <w:r>
      <w:rPr>
        <w:noProof/>
      </w:rPr>
      <w:pict w14:anchorId="74E0A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08"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E09B" w14:textId="5E6A9BF5" w:rsidR="00296529" w:rsidRPr="00296529" w:rsidRDefault="000A3781" w:rsidP="00296529">
    <w:pPr>
      <w:ind w:left="2160"/>
      <w:jc w:val="center"/>
      <w:rPr>
        <w:rFonts w:ascii="Times New Roman" w:eastAsia="Calibri" w:hAnsi="Times New Roman"/>
        <w:i/>
        <w:sz w:val="18"/>
        <w:szCs w:val="22"/>
      </w:rPr>
    </w:pPr>
    <w:r>
      <w:rPr>
        <w:noProof/>
      </w:rPr>
      <w:pict w14:anchorId="4EDBB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06"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0AB78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34A0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F3F6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7BB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F888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9506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AFB5" w14:textId="1F90A386" w:rsidR="00A31175" w:rsidRDefault="000A3781">
    <w:pPr>
      <w:pStyle w:val="Header"/>
    </w:pPr>
    <w:r>
      <w:rPr>
        <w:noProof/>
      </w:rPr>
      <w:pict w14:anchorId="31B59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10"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7775" w14:textId="6F6BB2E9" w:rsidR="00A31175" w:rsidRDefault="000A3781">
    <w:pPr>
      <w:pStyle w:val="Header"/>
    </w:pPr>
    <w:r>
      <w:rPr>
        <w:noProof/>
      </w:rPr>
      <w:pict w14:anchorId="267B9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11"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2543" w14:textId="72DB5EAF" w:rsidR="00A31175" w:rsidRDefault="000A3781">
    <w:pPr>
      <w:pStyle w:val="Header"/>
    </w:pPr>
    <w:r>
      <w:rPr>
        <w:noProof/>
      </w:rPr>
      <w:pict w14:anchorId="234D9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09"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499990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8290111">
    <w:abstractNumId w:val="15"/>
  </w:num>
  <w:num w:numId="3" w16cid:durableId="297419944">
    <w:abstractNumId w:val="23"/>
  </w:num>
  <w:num w:numId="4" w16cid:durableId="18096620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74530949">
    <w:abstractNumId w:val="7"/>
  </w:num>
  <w:num w:numId="6" w16cid:durableId="144972138">
    <w:abstractNumId w:val="6"/>
  </w:num>
  <w:num w:numId="7" w16cid:durableId="1780293564">
    <w:abstractNumId w:val="1"/>
  </w:num>
  <w:num w:numId="8" w16cid:durableId="1281643877">
    <w:abstractNumId w:val="12"/>
  </w:num>
  <w:num w:numId="9" w16cid:durableId="194468568">
    <w:abstractNumId w:val="25"/>
  </w:num>
  <w:num w:numId="10" w16cid:durableId="39597898">
    <w:abstractNumId w:val="2"/>
  </w:num>
  <w:num w:numId="11" w16cid:durableId="1222861486">
    <w:abstractNumId w:val="18"/>
  </w:num>
  <w:num w:numId="12" w16cid:durableId="228659727">
    <w:abstractNumId w:val="3"/>
  </w:num>
  <w:num w:numId="13" w16cid:durableId="1773698459">
    <w:abstractNumId w:val="17"/>
  </w:num>
  <w:num w:numId="14" w16cid:durableId="1264146277">
    <w:abstractNumId w:val="8"/>
  </w:num>
  <w:num w:numId="15" w16cid:durableId="238486616">
    <w:abstractNumId w:val="21"/>
  </w:num>
  <w:num w:numId="16" w16cid:durableId="1688483403">
    <w:abstractNumId w:val="5"/>
  </w:num>
  <w:num w:numId="17" w16cid:durableId="1638760360">
    <w:abstractNumId w:val="22"/>
  </w:num>
  <w:num w:numId="18" w16cid:durableId="1207402483">
    <w:abstractNumId w:val="14"/>
  </w:num>
  <w:num w:numId="19" w16cid:durableId="572740283">
    <w:abstractNumId w:val="28"/>
  </w:num>
  <w:num w:numId="20" w16cid:durableId="839856147">
    <w:abstractNumId w:val="11"/>
  </w:num>
  <w:num w:numId="21" w16cid:durableId="2116435686">
    <w:abstractNumId w:val="9"/>
  </w:num>
  <w:num w:numId="22" w16cid:durableId="1036008511">
    <w:abstractNumId w:val="13"/>
  </w:num>
  <w:num w:numId="23" w16cid:durableId="1328484688">
    <w:abstractNumId w:val="19"/>
  </w:num>
  <w:num w:numId="24" w16cid:durableId="1855799153">
    <w:abstractNumId w:val="26"/>
  </w:num>
  <w:num w:numId="25" w16cid:durableId="1353384684">
    <w:abstractNumId w:val="4"/>
  </w:num>
  <w:num w:numId="26" w16cid:durableId="1734615597">
    <w:abstractNumId w:val="16"/>
  </w:num>
  <w:num w:numId="27" w16cid:durableId="984428954">
    <w:abstractNumId w:val="20"/>
  </w:num>
  <w:num w:numId="28" w16cid:durableId="1126048512">
    <w:abstractNumId w:val="27"/>
  </w:num>
  <w:num w:numId="29" w16cid:durableId="1287586561">
    <w:abstractNumId w:val="24"/>
  </w:num>
  <w:num w:numId="30" w16cid:durableId="1815104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378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B0C"/>
    <w:rsid w:val="00250985"/>
    <w:rsid w:val="002556F6"/>
    <w:rsid w:val="00283105"/>
    <w:rsid w:val="00284C4C"/>
    <w:rsid w:val="00287E68"/>
    <w:rsid w:val="00296529"/>
    <w:rsid w:val="002B27FB"/>
    <w:rsid w:val="002B685A"/>
    <w:rsid w:val="002C57D2"/>
    <w:rsid w:val="002D47AA"/>
    <w:rsid w:val="002E0D56"/>
    <w:rsid w:val="002E4C95"/>
    <w:rsid w:val="00315186"/>
    <w:rsid w:val="00332E97"/>
    <w:rsid w:val="0033343E"/>
    <w:rsid w:val="003512C2"/>
    <w:rsid w:val="00371FB6"/>
    <w:rsid w:val="003760AD"/>
    <w:rsid w:val="003763C1"/>
    <w:rsid w:val="00376BBE"/>
    <w:rsid w:val="0039224F"/>
    <w:rsid w:val="003A43A4"/>
    <w:rsid w:val="003A7E18"/>
    <w:rsid w:val="003C250C"/>
    <w:rsid w:val="003C4C86"/>
    <w:rsid w:val="003C6258"/>
    <w:rsid w:val="003E2904"/>
    <w:rsid w:val="003F0395"/>
    <w:rsid w:val="00401927"/>
    <w:rsid w:val="00405122"/>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6592E"/>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E78"/>
    <w:rsid w:val="00790ADA"/>
    <w:rsid w:val="007969A3"/>
    <w:rsid w:val="007C4AD6"/>
    <w:rsid w:val="007D2288"/>
    <w:rsid w:val="007E088F"/>
    <w:rsid w:val="007F7B32"/>
    <w:rsid w:val="00804BC2"/>
    <w:rsid w:val="0081431A"/>
    <w:rsid w:val="0083216F"/>
    <w:rsid w:val="00860000"/>
    <w:rsid w:val="00863BD3"/>
    <w:rsid w:val="008641ED"/>
    <w:rsid w:val="00866D66"/>
    <w:rsid w:val="008671C6"/>
    <w:rsid w:val="00875803"/>
    <w:rsid w:val="008A65B9"/>
    <w:rsid w:val="008B459E"/>
    <w:rsid w:val="008E13AE"/>
    <w:rsid w:val="008E1506"/>
    <w:rsid w:val="008E710C"/>
    <w:rsid w:val="008F69D6"/>
    <w:rsid w:val="00902823"/>
    <w:rsid w:val="009123E6"/>
    <w:rsid w:val="00915CA6"/>
    <w:rsid w:val="00927834"/>
    <w:rsid w:val="00950099"/>
    <w:rsid w:val="009500A6"/>
    <w:rsid w:val="00957C18"/>
    <w:rsid w:val="00960CE6"/>
    <w:rsid w:val="009659BA"/>
    <w:rsid w:val="00983040"/>
    <w:rsid w:val="009A32F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175"/>
    <w:rsid w:val="00A347C0"/>
    <w:rsid w:val="00A51431"/>
    <w:rsid w:val="00A539AD"/>
    <w:rsid w:val="00A94063"/>
    <w:rsid w:val="00AA6219"/>
    <w:rsid w:val="00AA74E0"/>
    <w:rsid w:val="00AB703F"/>
    <w:rsid w:val="00AC55FF"/>
    <w:rsid w:val="00AC6BB8"/>
    <w:rsid w:val="00AE008F"/>
    <w:rsid w:val="00AF5D1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EC9"/>
    <w:rsid w:val="00DC2A65"/>
    <w:rsid w:val="00DE15F0"/>
    <w:rsid w:val="00DE5663"/>
    <w:rsid w:val="00DE78AA"/>
    <w:rsid w:val="00E053D0"/>
    <w:rsid w:val="00E13AE9"/>
    <w:rsid w:val="00E15994"/>
    <w:rsid w:val="00E3114E"/>
    <w:rsid w:val="00E31A70"/>
    <w:rsid w:val="00E320B4"/>
    <w:rsid w:val="00E35B02"/>
    <w:rsid w:val="00E61A03"/>
    <w:rsid w:val="00E66496"/>
    <w:rsid w:val="00E668B2"/>
    <w:rsid w:val="00E66B35"/>
    <w:rsid w:val="00E66E10"/>
    <w:rsid w:val="00E769F6"/>
    <w:rsid w:val="00E8407C"/>
    <w:rsid w:val="00E84F3C"/>
    <w:rsid w:val="00EA012C"/>
    <w:rsid w:val="00EA777F"/>
    <w:rsid w:val="00EC6A55"/>
    <w:rsid w:val="00ED0288"/>
    <w:rsid w:val="00EE52CB"/>
    <w:rsid w:val="00EF581D"/>
    <w:rsid w:val="00EF7FD8"/>
    <w:rsid w:val="00F06F59"/>
    <w:rsid w:val="00F17988"/>
    <w:rsid w:val="00F469F0"/>
    <w:rsid w:val="00F53273"/>
    <w:rsid w:val="00F755E4"/>
    <w:rsid w:val="00F77D02"/>
    <w:rsid w:val="00FB3A86"/>
    <w:rsid w:val="00FB4DD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D5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81E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332E97"/>
  </w:style>
  <w:style w:type="character" w:styleId="Strong">
    <w:name w:val="Strong"/>
    <w:basedOn w:val="DefaultParagraphFont"/>
    <w:uiPriority w:val="22"/>
    <w:qFormat/>
    <w:rsid w:val="00332E97"/>
    <w:rPr>
      <w:b/>
      <w:bCs/>
    </w:rPr>
  </w:style>
  <w:style w:type="character" w:customStyle="1" w:styleId="Heading3Char">
    <w:name w:val="Heading 3 Char"/>
    <w:basedOn w:val="DefaultParagraphFont"/>
    <w:link w:val="Heading3"/>
    <w:semiHidden/>
    <w:rsid w:val="00781E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su1702122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596/978-1-4648-067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2794/je3s.v5i3.431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57/s41270-022-00155-8" TargetMode="External"/><Relationship Id="rId20" Type="http://schemas.openxmlformats.org/officeDocument/2006/relationships/hyperlink" Target="https://doi.org/10.59324/stss.2024.1(3).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80/23311975.2024.2364255"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su160525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267/j.ijdns.2022.9.007" TargetMode="External"/><Relationship Id="rId22" Type="http://schemas.openxmlformats.org/officeDocument/2006/relationships/hyperlink" Target="https://www.worldbank.org/en/publication/wdr201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5BE6-2047-45C0-8BF1-06865260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38</TotalTime>
  <Pages>7</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pisi95</cp:lastModifiedBy>
  <cp:revision>13</cp:revision>
  <cp:lastPrinted>1999-07-06T11:00:00Z</cp:lastPrinted>
  <dcterms:created xsi:type="dcterms:W3CDTF">2025-09-02T15:47:00Z</dcterms:created>
  <dcterms:modified xsi:type="dcterms:W3CDTF">2025-09-05T13:45:00Z</dcterms:modified>
</cp:coreProperties>
</file>