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7A7B2" w14:textId="2CF3BA96" w:rsidR="00754C9A" w:rsidRDefault="008A1FDA" w:rsidP="00441B6F">
      <w:pPr>
        <w:pStyle w:val="Title"/>
        <w:spacing w:after="0"/>
        <w:jc w:val="both"/>
        <w:rPr>
          <w:rFonts w:ascii="Arial" w:hAnsi="Arial" w:cs="Arial"/>
        </w:rPr>
      </w:pPr>
      <w:r w:rsidRPr="008A1FDA">
        <w:rPr>
          <w:rFonts w:ascii="Arial" w:hAnsi="Arial" w:cs="Arial"/>
        </w:rPr>
        <w:t>Original Research Article</w:t>
      </w:r>
    </w:p>
    <w:p w14:paraId="343EDD45" w14:textId="77777777" w:rsidR="008A1FDA" w:rsidRDefault="008A1FDA" w:rsidP="00441B6F">
      <w:pPr>
        <w:pStyle w:val="Title"/>
        <w:spacing w:after="0"/>
        <w:jc w:val="both"/>
        <w:rPr>
          <w:rFonts w:ascii="Arial" w:hAnsi="Arial" w:cs="Arial"/>
        </w:rPr>
      </w:pPr>
    </w:p>
    <w:p w14:paraId="7702C0F9" w14:textId="33453B6A" w:rsidR="00CF3F10" w:rsidRDefault="00CF3F10" w:rsidP="0012721F">
      <w:pPr>
        <w:pStyle w:val="Author"/>
        <w:spacing w:line="360" w:lineRule="auto"/>
        <w:jc w:val="center"/>
        <w:rPr>
          <w:rFonts w:ascii="Arial" w:hAnsi="Arial" w:cs="Arial"/>
          <w:bCs/>
          <w:iCs/>
          <w:kern w:val="28"/>
          <w:sz w:val="32"/>
          <w:szCs w:val="32"/>
        </w:rPr>
      </w:pPr>
    </w:p>
    <w:p w14:paraId="3B1B7D3C" w14:textId="77777777" w:rsidR="002F1C99" w:rsidRDefault="002F1C99" w:rsidP="0012721F">
      <w:pPr>
        <w:pStyle w:val="Author"/>
        <w:spacing w:line="360" w:lineRule="auto"/>
        <w:jc w:val="center"/>
        <w:rPr>
          <w:rFonts w:ascii="Arial" w:hAnsi="Arial" w:cs="Arial"/>
          <w:bCs/>
          <w:iCs/>
          <w:kern w:val="28"/>
          <w:sz w:val="32"/>
          <w:szCs w:val="32"/>
        </w:rPr>
      </w:pPr>
    </w:p>
    <w:p w14:paraId="585E8F0F" w14:textId="33BB2FF5" w:rsidR="00CF3F10" w:rsidRPr="00791851" w:rsidRDefault="00CF3F10" w:rsidP="0012721F">
      <w:pPr>
        <w:pStyle w:val="Author"/>
        <w:spacing w:line="360" w:lineRule="auto"/>
        <w:jc w:val="center"/>
        <w:rPr>
          <w:rFonts w:ascii="Arial" w:hAnsi="Arial" w:cs="Arial"/>
          <w:bCs/>
          <w:iCs/>
          <w:kern w:val="28"/>
          <w:sz w:val="36"/>
          <w:lang w:val="en-GB"/>
        </w:rPr>
      </w:pPr>
      <w:r w:rsidRPr="00791851">
        <w:rPr>
          <w:rFonts w:ascii="Arial" w:hAnsi="Arial" w:cs="Arial"/>
          <w:bCs/>
          <w:iCs/>
          <w:kern w:val="28"/>
          <w:sz w:val="36"/>
          <w:lang w:val="en-GB"/>
        </w:rPr>
        <w:t xml:space="preserve">Strategic Material Capability and Performance of Pharmacies: A Study of Garissa Town, Kenya </w:t>
      </w:r>
    </w:p>
    <w:p w14:paraId="31B9D79A" w14:textId="77777777" w:rsidR="00A258C3" w:rsidRPr="00791851" w:rsidRDefault="00A258C3" w:rsidP="00441B6F">
      <w:pPr>
        <w:pStyle w:val="Author"/>
        <w:spacing w:line="240" w:lineRule="auto"/>
        <w:jc w:val="both"/>
        <w:rPr>
          <w:rFonts w:ascii="Arial" w:hAnsi="Arial" w:cs="Arial"/>
          <w:sz w:val="36"/>
          <w:highlight w:val="yellow"/>
        </w:rPr>
      </w:pPr>
    </w:p>
    <w:p w14:paraId="0E42463B" w14:textId="77777777" w:rsidR="005E0889" w:rsidRPr="00791851" w:rsidRDefault="005E0889" w:rsidP="005E0889">
      <w:pPr>
        <w:pStyle w:val="Author"/>
        <w:spacing w:line="240" w:lineRule="auto"/>
        <w:rPr>
          <w:rFonts w:ascii="Arial" w:hAnsi="Arial" w:cs="Arial"/>
          <w:highlight w:val="yellow"/>
        </w:rPr>
      </w:pPr>
    </w:p>
    <w:p w14:paraId="5B4286AA" w14:textId="24E4A429" w:rsidR="005E0889" w:rsidRPr="00791851" w:rsidRDefault="005E0889" w:rsidP="005E0889">
      <w:pPr>
        <w:pStyle w:val="Author"/>
        <w:spacing w:line="240" w:lineRule="auto"/>
        <w:rPr>
          <w:rFonts w:ascii="Arial" w:hAnsi="Arial" w:cs="Arial"/>
          <w:highlight w:val="yellow"/>
        </w:rPr>
        <w:sectPr w:rsidR="005E0889" w:rsidRPr="00791851" w:rsidSect="001272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92BBDFD" w14:textId="37B17FAF" w:rsidR="00790ADA" w:rsidRPr="001C2C27" w:rsidRDefault="00B01FCD" w:rsidP="00441B6F">
      <w:pPr>
        <w:pStyle w:val="AbstHead"/>
        <w:spacing w:after="0"/>
        <w:jc w:val="both"/>
        <w:rPr>
          <w:rFonts w:ascii="Arial" w:hAnsi="Arial" w:cs="Arial"/>
        </w:rPr>
      </w:pPr>
      <w:r w:rsidRPr="001C2C27">
        <w:rPr>
          <w:rFonts w:ascii="Arial" w:hAnsi="Arial" w:cs="Arial"/>
        </w:rPr>
        <w:lastRenderedPageBreak/>
        <w:t>ABSTRACT</w:t>
      </w:r>
      <w:r w:rsidR="0066510A" w:rsidRPr="001C2C27">
        <w:rPr>
          <w:rFonts w:ascii="Arial" w:hAnsi="Arial" w:cs="Arial"/>
        </w:rPr>
        <w:t xml:space="preserve"> </w:t>
      </w:r>
    </w:p>
    <w:p w14:paraId="5FC3E390" w14:textId="77777777" w:rsidR="005E0889" w:rsidRPr="001C2C27" w:rsidRDefault="005E088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C2C27" w14:paraId="2149B5AA" w14:textId="77777777" w:rsidTr="001E44FE">
        <w:tc>
          <w:tcPr>
            <w:tcW w:w="9576" w:type="dxa"/>
            <w:shd w:val="clear" w:color="auto" w:fill="F2F2F2"/>
          </w:tcPr>
          <w:p w14:paraId="173D2F3B" w14:textId="0FE289AD" w:rsidR="00505F06" w:rsidRPr="001C2C27" w:rsidRDefault="00F85EDF" w:rsidP="00051B9B">
            <w:pPr>
              <w:pStyle w:val="Body"/>
              <w:spacing w:after="0" w:line="480" w:lineRule="auto"/>
              <w:rPr>
                <w:rFonts w:ascii="Arial" w:hAnsi="Arial" w:cs="Arial"/>
              </w:rPr>
            </w:pPr>
            <w:r w:rsidRPr="001C2C27">
              <w:rPr>
                <w:rFonts w:ascii="Arial" w:hAnsi="Arial" w:cs="Arial"/>
              </w:rPr>
              <w:t xml:space="preserve">Material capability's influence in deciding </w:t>
            </w:r>
            <w:r w:rsidR="00791851" w:rsidRPr="001C2C27">
              <w:rPr>
                <w:rFonts w:ascii="Arial" w:hAnsi="Arial" w:cs="Arial"/>
              </w:rPr>
              <w:t>organizational</w:t>
            </w:r>
            <w:r w:rsidRPr="001C2C27">
              <w:rPr>
                <w:rFonts w:ascii="Arial" w:hAnsi="Arial" w:cs="Arial"/>
              </w:rPr>
              <w:t xml:space="preserve"> performance has been stressed in a growing empirical literature. Material inadequacy exposes pharmacies to poor deliveries, frequent stock-outs, and service disintermediation. In Garissa Town, operational shortcomings like deteriorating road networks, erratic transportation services, and inconsistent vendor networks exacerbate these scenarios, making it difficult for pharmacies to maintain adequate stock levels or meet client demand in a predictable manner. </w:t>
            </w:r>
            <w:r w:rsidR="002F42D4" w:rsidRPr="001C2C27">
              <w:rPr>
                <w:rFonts w:ascii="Arial" w:eastAsia="Calibri" w:hAnsi="Arial" w:cs="Arial"/>
              </w:rPr>
              <w:t>This study investigated the effect of material capabil</w:t>
            </w:r>
            <w:r w:rsidR="0012721F" w:rsidRPr="001C2C27">
              <w:rPr>
                <w:rFonts w:ascii="Arial" w:eastAsia="Calibri" w:hAnsi="Arial" w:cs="Arial"/>
              </w:rPr>
              <w:t>ity on the performance of pharmacies in Garissa Town in</w:t>
            </w:r>
            <w:r w:rsidR="002F42D4" w:rsidRPr="001C2C27">
              <w:rPr>
                <w:rFonts w:ascii="Arial" w:eastAsia="Calibri" w:hAnsi="Arial" w:cs="Arial"/>
              </w:rPr>
              <w:t xml:space="preserve"> Kenya, with a specific focus on inventory accuracy, procurement efficiency, and cost control. A descriptive cross-sectional research design was employed, covering 35 licensed pharmacies between January and October 2025. The study engaged 105 respondents, comprising pharmacy managers, procurement officers, and pharmacists, using semi-structured questionnaires and interview schedules. A pilot study conducted in Hola, Tana River County</w:t>
            </w:r>
            <w:r w:rsidR="006164DD" w:rsidRPr="001C2C27">
              <w:rPr>
                <w:rFonts w:ascii="Arial" w:eastAsia="Calibri" w:hAnsi="Arial" w:cs="Arial"/>
              </w:rPr>
              <w:t>,</w:t>
            </w:r>
            <w:r w:rsidR="0012721F" w:rsidRPr="001C2C27">
              <w:rPr>
                <w:rFonts w:ascii="Arial" w:eastAsia="Calibri" w:hAnsi="Arial" w:cs="Arial"/>
              </w:rPr>
              <w:t xml:space="preserve"> in Kenya</w:t>
            </w:r>
            <w:r w:rsidR="002F42D4" w:rsidRPr="001C2C27">
              <w:rPr>
                <w:rFonts w:ascii="Arial" w:eastAsia="Calibri" w:hAnsi="Arial" w:cs="Arial"/>
              </w:rPr>
              <w:t>,</w:t>
            </w:r>
            <w:r w:rsidR="0012721F" w:rsidRPr="001C2C27">
              <w:rPr>
                <w:rFonts w:ascii="Arial" w:eastAsia="Calibri" w:hAnsi="Arial" w:cs="Arial"/>
              </w:rPr>
              <w:t xml:space="preserve"> </w:t>
            </w:r>
            <w:r w:rsidR="002F42D4" w:rsidRPr="001C2C27">
              <w:rPr>
                <w:rFonts w:ascii="Arial" w:eastAsia="Calibri" w:hAnsi="Arial" w:cs="Arial"/>
              </w:rPr>
              <w:t xml:space="preserve">confirmed the clarity, reliability, and validity of the instruments. Data were </w:t>
            </w:r>
            <w:r w:rsidR="00791851" w:rsidRPr="001C2C27">
              <w:rPr>
                <w:rFonts w:ascii="Arial" w:eastAsia="Calibri" w:hAnsi="Arial" w:cs="Arial"/>
              </w:rPr>
              <w:t>analyzed</w:t>
            </w:r>
            <w:r w:rsidR="006164DD" w:rsidRPr="001C2C27">
              <w:rPr>
                <w:rFonts w:ascii="Arial" w:eastAsia="Calibri" w:hAnsi="Arial" w:cs="Arial"/>
              </w:rPr>
              <w:t xml:space="preserve"> </w:t>
            </w:r>
            <w:r w:rsidR="002F42D4" w:rsidRPr="001C2C27">
              <w:rPr>
                <w:rFonts w:ascii="Arial" w:eastAsia="Calibri" w:hAnsi="Arial" w:cs="Arial"/>
              </w:rPr>
              <w:t xml:space="preserve">using SPSS Version 26, where descriptive statistics, Pearson correlation, and multiple regression techniques were applied. Results indicated a mean material capability score of 3.8851 (SD = 0.60714), while pharmacy performance registered a mean of 3.8873 (SD = 0.49227). Correlation analysis revealed a strong, </w:t>
            </w:r>
            <w:r w:rsidR="002F42D4" w:rsidRPr="001C2C27">
              <w:rPr>
                <w:rFonts w:ascii="Arial" w:eastAsia="Calibri" w:hAnsi="Arial" w:cs="Arial"/>
              </w:rPr>
              <w:lastRenderedPageBreak/>
              <w:t>positive, and statistically significant association between material capability and phar</w:t>
            </w:r>
            <w:r w:rsidR="0012721F" w:rsidRPr="001C2C27">
              <w:rPr>
                <w:rFonts w:ascii="Arial" w:eastAsia="Calibri" w:hAnsi="Arial" w:cs="Arial"/>
              </w:rPr>
              <w:t>macy performance (r = 0.684</w:t>
            </w:r>
            <w:r w:rsidR="0012721F" w:rsidRPr="001C2C27">
              <w:rPr>
                <w:rFonts w:ascii="Arial" w:eastAsia="Calibri" w:hAnsi="Arial" w:cs="Arial"/>
                <w:i/>
              </w:rPr>
              <w:t>, p</w:t>
            </w:r>
            <w:r w:rsidR="0012721F" w:rsidRPr="001C2C27">
              <w:rPr>
                <w:rFonts w:ascii="Arial" w:eastAsia="Calibri" w:hAnsi="Arial" w:cs="Arial"/>
              </w:rPr>
              <w:t xml:space="preserve"> = 0.001</w:t>
            </w:r>
            <w:r w:rsidR="002F42D4" w:rsidRPr="001C2C27">
              <w:rPr>
                <w:rFonts w:ascii="Arial" w:eastAsia="Calibri" w:hAnsi="Arial" w:cs="Arial"/>
              </w:rPr>
              <w:t>). Regression results further confirmed material capability as the most influ</w:t>
            </w:r>
            <w:r w:rsidR="0012721F" w:rsidRPr="001C2C27">
              <w:rPr>
                <w:rFonts w:ascii="Arial" w:eastAsia="Calibri" w:hAnsi="Arial" w:cs="Arial"/>
              </w:rPr>
              <w:t xml:space="preserve">ential predictor (β = 0.471, </w:t>
            </w:r>
            <w:r w:rsidR="0012721F" w:rsidRPr="001C2C27">
              <w:rPr>
                <w:rFonts w:ascii="Arial" w:eastAsia="Calibri" w:hAnsi="Arial" w:cs="Arial"/>
                <w:i/>
              </w:rPr>
              <w:t>p</w:t>
            </w:r>
            <w:r w:rsidR="0012721F" w:rsidRPr="001C2C27">
              <w:rPr>
                <w:rFonts w:ascii="Arial" w:eastAsia="Calibri" w:hAnsi="Arial" w:cs="Arial"/>
              </w:rPr>
              <w:t xml:space="preserve"> = 0.001</w:t>
            </w:r>
            <w:r w:rsidR="002F42D4" w:rsidRPr="001C2C27">
              <w:rPr>
                <w:rFonts w:ascii="Arial" w:eastAsia="Calibri" w:hAnsi="Arial" w:cs="Arial"/>
              </w:rPr>
              <w:t xml:space="preserve">), accounting for a substantial portion of the variance in performance. Pharmacies with dependable procurement systems, reliable suppliers, and effective stock-out prevention mechanisms consistently reported higher profitability, customer satisfaction, and retention. Qualitative findings highlighted that, despite infrastructural and supply constraints, pharmacies adopted adaptive strategies such as </w:t>
            </w:r>
            <w:r w:rsidR="00791851" w:rsidRPr="001C2C27">
              <w:rPr>
                <w:rFonts w:ascii="Arial" w:eastAsia="Calibri" w:hAnsi="Arial" w:cs="Arial"/>
              </w:rPr>
              <w:t>localized</w:t>
            </w:r>
            <w:r w:rsidR="00CD1D3E" w:rsidRPr="001C2C27">
              <w:rPr>
                <w:rFonts w:ascii="Arial" w:eastAsia="Calibri" w:hAnsi="Arial" w:cs="Arial"/>
              </w:rPr>
              <w:t xml:space="preserve"> </w:t>
            </w:r>
            <w:r w:rsidR="002F42D4" w:rsidRPr="001C2C27">
              <w:rPr>
                <w:rFonts w:ascii="Arial" w:eastAsia="Calibri" w:hAnsi="Arial" w:cs="Arial"/>
              </w:rPr>
              <w:t>vendor networks and manual stock-tracking systems to sustain operations. The study concludes that material capability is central to enhancing pharmacy performance in resource-constrained environments and recommends strategic investment in inventory management systems, supplier reliability, and procurement planning to strengthen service delivery, operational efficiency, and long-term competitiveness.</w:t>
            </w:r>
          </w:p>
        </w:tc>
      </w:tr>
    </w:tbl>
    <w:p w14:paraId="23CAFC52" w14:textId="77777777" w:rsidR="00636EB2" w:rsidRPr="001C2C27" w:rsidRDefault="00636EB2" w:rsidP="0012721F">
      <w:pPr>
        <w:pStyle w:val="Body"/>
        <w:spacing w:after="0" w:line="480" w:lineRule="auto"/>
        <w:rPr>
          <w:rFonts w:ascii="Arial" w:hAnsi="Arial" w:cs="Arial"/>
          <w:i/>
        </w:rPr>
      </w:pPr>
    </w:p>
    <w:p w14:paraId="3D3EAD28" w14:textId="0B164596" w:rsidR="00A24E7E" w:rsidRPr="001C2C27" w:rsidRDefault="00A24E7E" w:rsidP="0012721F">
      <w:pPr>
        <w:pStyle w:val="Body"/>
        <w:spacing w:line="480" w:lineRule="auto"/>
        <w:rPr>
          <w:rFonts w:ascii="Arial" w:hAnsi="Arial" w:cs="Arial"/>
          <w:i/>
        </w:rPr>
      </w:pPr>
      <w:r w:rsidRPr="001C2C27">
        <w:rPr>
          <w:rFonts w:ascii="Arial" w:hAnsi="Arial" w:cs="Arial"/>
          <w:b/>
          <w:bCs/>
          <w:iCs/>
        </w:rPr>
        <w:t>Keywords</w:t>
      </w:r>
      <w:r w:rsidRPr="001C2C27">
        <w:rPr>
          <w:rFonts w:ascii="Arial" w:hAnsi="Arial" w:cs="Arial"/>
          <w:i/>
        </w:rPr>
        <w:t xml:space="preserve">: </w:t>
      </w:r>
      <w:r w:rsidR="00BA231B" w:rsidRPr="001C2C27">
        <w:rPr>
          <w:rFonts w:ascii="Arial" w:hAnsi="Arial" w:cs="Arial"/>
          <w:i/>
        </w:rPr>
        <w:t>Strategic Capabilities, Pharmacy Performance, Technological Capability, Inventory Management</w:t>
      </w:r>
      <w:r w:rsidR="00A405F6" w:rsidRPr="001C2C27">
        <w:rPr>
          <w:rFonts w:ascii="Arial" w:hAnsi="Arial" w:cs="Arial"/>
          <w:i/>
        </w:rPr>
        <w:t xml:space="preserve">, </w:t>
      </w:r>
      <w:r w:rsidR="00CE13C7" w:rsidRPr="001C2C27">
        <w:rPr>
          <w:rFonts w:ascii="Arial" w:hAnsi="Arial" w:cs="Arial"/>
          <w:i/>
        </w:rPr>
        <w:t>Resource-constrained environments</w:t>
      </w:r>
    </w:p>
    <w:p w14:paraId="429D39DF" w14:textId="77777777" w:rsidR="00505F06" w:rsidRPr="001C2C27" w:rsidRDefault="00505F06" w:rsidP="0012721F">
      <w:pPr>
        <w:pStyle w:val="Body"/>
        <w:spacing w:after="0" w:line="480" w:lineRule="auto"/>
        <w:rPr>
          <w:rFonts w:ascii="Arial" w:hAnsi="Arial" w:cs="Arial"/>
          <w:i/>
        </w:rPr>
      </w:pPr>
    </w:p>
    <w:p w14:paraId="24C1FA27" w14:textId="10C2EA90" w:rsidR="007F7B32" w:rsidRPr="001C2C27" w:rsidRDefault="00902823" w:rsidP="0012721F">
      <w:pPr>
        <w:pStyle w:val="AbstHead"/>
        <w:spacing w:after="0" w:line="480" w:lineRule="auto"/>
        <w:jc w:val="both"/>
        <w:rPr>
          <w:rFonts w:ascii="Arial" w:hAnsi="Arial" w:cs="Arial"/>
        </w:rPr>
      </w:pPr>
      <w:r w:rsidRPr="001C2C27">
        <w:rPr>
          <w:rFonts w:ascii="Arial" w:hAnsi="Arial" w:cs="Arial"/>
        </w:rPr>
        <w:t xml:space="preserve">1. </w:t>
      </w:r>
      <w:r w:rsidR="00B01FCD" w:rsidRPr="001C2C27">
        <w:rPr>
          <w:rFonts w:ascii="Arial" w:hAnsi="Arial" w:cs="Arial"/>
        </w:rPr>
        <w:t>INTRODUCTION</w:t>
      </w:r>
    </w:p>
    <w:p w14:paraId="28BF52CD" w14:textId="77777777" w:rsidR="00BF5F32" w:rsidRPr="001C2C27" w:rsidRDefault="00BF5F32" w:rsidP="0012721F">
      <w:pPr>
        <w:pStyle w:val="Body"/>
        <w:spacing w:after="0" w:line="480" w:lineRule="auto"/>
        <w:rPr>
          <w:rFonts w:ascii="Arial" w:hAnsi="Arial" w:cs="Arial"/>
        </w:rPr>
      </w:pPr>
    </w:p>
    <w:p w14:paraId="151CDB69" w14:textId="23F5068A" w:rsidR="00CE3E12" w:rsidRPr="001C2C27" w:rsidRDefault="00CE3E12" w:rsidP="0012721F">
      <w:pPr>
        <w:pStyle w:val="Body"/>
        <w:spacing w:after="0" w:line="480" w:lineRule="auto"/>
        <w:rPr>
          <w:rFonts w:ascii="Arial" w:hAnsi="Arial" w:cs="Arial"/>
        </w:rPr>
      </w:pPr>
      <w:r w:rsidRPr="001C2C27">
        <w:rPr>
          <w:rFonts w:ascii="Arial" w:hAnsi="Arial" w:cs="Arial"/>
        </w:rPr>
        <w:t xml:space="preserve">Retail pharmacies occupy a central location in the healthcare supply system, particularly in resource-constrained </w:t>
      </w:r>
      <w:r w:rsidR="0012721F" w:rsidRPr="001C2C27">
        <w:rPr>
          <w:rFonts w:ascii="Arial" w:hAnsi="Arial" w:cs="Arial"/>
        </w:rPr>
        <w:t>situations such as Garissa Town in</w:t>
      </w:r>
      <w:r w:rsidRPr="001C2C27">
        <w:rPr>
          <w:rFonts w:ascii="Arial" w:hAnsi="Arial" w:cs="Arial"/>
        </w:rPr>
        <w:t xml:space="preserve"> Kenya. They serve not only as principal points of entry to needed medicine but also provide </w:t>
      </w:r>
      <w:r w:rsidR="00976B5E" w:rsidRPr="001C2C27">
        <w:rPr>
          <w:rFonts w:ascii="Arial" w:hAnsi="Arial" w:cs="Arial"/>
        </w:rPr>
        <w:t xml:space="preserve">centres </w:t>
      </w:r>
      <w:r w:rsidRPr="001C2C27">
        <w:rPr>
          <w:rFonts w:ascii="Arial" w:hAnsi="Arial" w:cs="Arial"/>
        </w:rPr>
        <w:t xml:space="preserve">for healthcare advice and patient services. </w:t>
      </w:r>
      <w:r w:rsidR="0061697D" w:rsidRPr="001C2C27">
        <w:rPr>
          <w:rFonts w:ascii="Arial" w:hAnsi="Arial" w:cs="Arial"/>
        </w:rPr>
        <w:t>The sector stands at a crossroads of challenges and opportunities brought about by technological innovation, highlighting the evolving role of pharmacists from traditional duties towards more patient-centred care, a transition supported and facilitated by technological tools (</w:t>
      </w:r>
      <w:r w:rsidR="00312762" w:rsidRPr="001C2C27">
        <w:t>Martini et al., 2024</w:t>
      </w:r>
      <w:r w:rsidR="0061697D" w:rsidRPr="001C2C27">
        <w:rPr>
          <w:rFonts w:ascii="Arial" w:hAnsi="Arial" w:cs="Arial"/>
        </w:rPr>
        <w:t>). </w:t>
      </w:r>
      <w:r w:rsidRPr="001C2C27">
        <w:rPr>
          <w:rFonts w:ascii="Arial" w:hAnsi="Arial" w:cs="Arial"/>
        </w:rPr>
        <w:t xml:space="preserve">Although central to this function, functioning within most retail pharmacies still remains undermined by system inefficiencies such as irregular </w:t>
      </w:r>
      <w:r w:rsidRPr="001C2C27">
        <w:rPr>
          <w:rFonts w:ascii="Arial" w:hAnsi="Arial" w:cs="Arial"/>
        </w:rPr>
        <w:lastRenderedPageBreak/>
        <w:t xml:space="preserve">procurement systems, frequent stock-outs, and inefficient inventory control practices (Hassan &amp; El-Khalik, 2023). Such frailties continue to be driven further by infrastructural limitations, spasmodic reinforcement supplies, and inefficient inventory control arrangements, aspects which indicate broader operational challenges within firms in </w:t>
      </w:r>
      <w:r w:rsidR="00791851" w:rsidRPr="001C2C27">
        <w:rPr>
          <w:rFonts w:ascii="Arial" w:hAnsi="Arial" w:cs="Arial"/>
        </w:rPr>
        <w:t>Garissa County (Ahmed &amp; Mwangi</w:t>
      </w:r>
      <w:proofErr w:type="gramStart"/>
      <w:r w:rsidR="00791851" w:rsidRPr="001C2C27">
        <w:rPr>
          <w:rFonts w:ascii="Arial" w:hAnsi="Arial" w:cs="Arial"/>
        </w:rPr>
        <w:t>,</w:t>
      </w:r>
      <w:r w:rsidRPr="001C2C27">
        <w:rPr>
          <w:rFonts w:ascii="Arial" w:hAnsi="Arial" w:cs="Arial"/>
        </w:rPr>
        <w:t>2022</w:t>
      </w:r>
      <w:proofErr w:type="gramEnd"/>
      <w:r w:rsidRPr="001C2C27">
        <w:rPr>
          <w:rFonts w:ascii="Arial" w:hAnsi="Arial" w:cs="Arial"/>
        </w:rPr>
        <w:t>).</w:t>
      </w:r>
      <w:r w:rsidRPr="001C2C27">
        <w:rPr>
          <w:rFonts w:ascii="Arial" w:hAnsi="Arial" w:cs="Arial"/>
        </w:rPr>
        <w:br/>
      </w:r>
      <w:r w:rsidR="00BB3A7C" w:rsidRPr="001C2C27">
        <w:rPr>
          <w:rFonts w:ascii="Arial" w:hAnsi="Arial" w:cs="Arial"/>
        </w:rPr>
        <w:t>Pharmacists or technicians are often responsible for managing stock. Due to the multitude of tasks being tended to by pharmacy staff, errors and inefficiencies can occur at any point (</w:t>
      </w:r>
      <w:r w:rsidR="00A36B36" w:rsidRPr="001C2C27">
        <w:t xml:space="preserve">Basile </w:t>
      </w:r>
      <w:r w:rsidR="00A36B36" w:rsidRPr="001C2C27">
        <w:rPr>
          <w:i/>
        </w:rPr>
        <w:t>et al</w:t>
      </w:r>
      <w:r w:rsidR="00A36B36" w:rsidRPr="001C2C27">
        <w:t xml:space="preserve">., 2024; </w:t>
      </w:r>
      <w:r w:rsidR="00F20946" w:rsidRPr="001C2C27">
        <w:t xml:space="preserve">Shailaja </w:t>
      </w:r>
      <w:r w:rsidR="00F20946" w:rsidRPr="001C2C27">
        <w:rPr>
          <w:i/>
        </w:rPr>
        <w:t>et al</w:t>
      </w:r>
      <w:r w:rsidR="00F20946" w:rsidRPr="001C2C27">
        <w:t>., 2023</w:t>
      </w:r>
      <w:r w:rsidR="00BB3A7C" w:rsidRPr="001C2C27">
        <w:rPr>
          <w:rFonts w:ascii="Arial" w:hAnsi="Arial" w:cs="Arial"/>
        </w:rPr>
        <w:t xml:space="preserve">). </w:t>
      </w:r>
      <w:r w:rsidRPr="001C2C27">
        <w:rPr>
          <w:rFonts w:ascii="Arial" w:hAnsi="Arial" w:cs="Arial"/>
        </w:rPr>
        <w:t>Material capability in this regard refers to a pharmacy's ability to ensure adequate stock control, consistent procurement, and smooth supply of pharmaceutical supplies to maintain community health demand. Material inadequacy exposes pharmacies to poor deliveries, frequent stock-outs, and service disintermediation. In Garissa Town, operational shortcomings like deteriorating road networks, erratic transportation services, and inconsistent vendor networks exacerbate these scenarios, making it difficult for pharmacies to maintain adequate stock levels or meet client demand in a predictable manner.</w:t>
      </w:r>
    </w:p>
    <w:p w14:paraId="7797B822" w14:textId="2FE0092D" w:rsidR="002F42D4" w:rsidRPr="001C2C27" w:rsidRDefault="00CE3E12" w:rsidP="0012721F">
      <w:pPr>
        <w:pStyle w:val="Body"/>
        <w:spacing w:after="0" w:line="480" w:lineRule="auto"/>
        <w:rPr>
          <w:rFonts w:ascii="Arial" w:hAnsi="Arial" w:cs="Arial"/>
        </w:rPr>
      </w:pPr>
      <w:r w:rsidRPr="001C2C27">
        <w:rPr>
          <w:rFonts w:ascii="Arial" w:hAnsi="Arial" w:cs="Arial"/>
        </w:rPr>
        <w:t xml:space="preserve">Material capability's influence in deciding </w:t>
      </w:r>
      <w:r w:rsidR="00791851" w:rsidRPr="001C2C27">
        <w:rPr>
          <w:rFonts w:ascii="Arial" w:hAnsi="Arial" w:cs="Arial"/>
        </w:rPr>
        <w:t>organizational</w:t>
      </w:r>
      <w:r w:rsidR="00976B5E" w:rsidRPr="001C2C27">
        <w:rPr>
          <w:rFonts w:ascii="Arial" w:hAnsi="Arial" w:cs="Arial"/>
        </w:rPr>
        <w:t xml:space="preserve"> </w:t>
      </w:r>
      <w:r w:rsidRPr="001C2C27">
        <w:rPr>
          <w:rFonts w:ascii="Arial" w:hAnsi="Arial" w:cs="Arial"/>
        </w:rPr>
        <w:t xml:space="preserve">performance has been stressed in a growing empirical literature. For instance, Nguyen (2022) gave evidence that firms dependent on domestic material supply outperform firms dependent on international supply chains. </w:t>
      </w:r>
      <w:r w:rsidR="002F42D4" w:rsidRPr="001C2C27">
        <w:rPr>
          <w:rFonts w:ascii="Arial" w:hAnsi="Arial" w:cs="Arial"/>
        </w:rPr>
        <w:t xml:space="preserve">Similarly, Hamdani, Anggadwita, and </w:t>
      </w:r>
      <w:r w:rsidR="0012721F" w:rsidRPr="001C2C27">
        <w:rPr>
          <w:rFonts w:ascii="Arial" w:hAnsi="Arial" w:cs="Arial"/>
        </w:rPr>
        <w:t>Yusuf</w:t>
      </w:r>
      <w:r w:rsidR="002F42D4" w:rsidRPr="001C2C27">
        <w:rPr>
          <w:rFonts w:ascii="Arial" w:hAnsi="Arial" w:cs="Arial"/>
        </w:rPr>
        <w:t xml:space="preserve"> (2023) demonstrated that uncertainty in raw material availability negatively affected the operational performance of manufacturing SMEs. In Ethiopia, Woodie (2018) found that weak procurement systems and inefficient inventory controls significantly delayed service delivery in the banking sector. Although insightful, most of these studies are situated in manufacturing, banking, or large-scale distribution contexts, with limited attention to small-scale retail pharmacy environments, particularly in </w:t>
      </w:r>
      <w:r w:rsidR="00791851" w:rsidRPr="001C2C27">
        <w:rPr>
          <w:rFonts w:ascii="Arial" w:hAnsi="Arial" w:cs="Arial"/>
        </w:rPr>
        <w:t>marginalized</w:t>
      </w:r>
      <w:r w:rsidR="00976B5E" w:rsidRPr="001C2C27">
        <w:rPr>
          <w:rFonts w:ascii="Arial" w:hAnsi="Arial" w:cs="Arial"/>
        </w:rPr>
        <w:t xml:space="preserve"> </w:t>
      </w:r>
      <w:r w:rsidR="002F42D4" w:rsidRPr="001C2C27">
        <w:rPr>
          <w:rFonts w:ascii="Arial" w:hAnsi="Arial" w:cs="Arial"/>
        </w:rPr>
        <w:t>regions such as Garissa.</w:t>
      </w:r>
    </w:p>
    <w:p w14:paraId="6D623E86" w14:textId="0A6BB8DC" w:rsidR="00162DC3" w:rsidRPr="001C2C27" w:rsidRDefault="002F42D4" w:rsidP="0012721F">
      <w:pPr>
        <w:pStyle w:val="Body"/>
        <w:spacing w:after="0" w:line="480" w:lineRule="auto"/>
        <w:rPr>
          <w:rFonts w:ascii="Arial" w:hAnsi="Arial" w:cs="Arial"/>
        </w:rPr>
      </w:pPr>
      <w:r w:rsidRPr="001C2C27">
        <w:rPr>
          <w:rFonts w:ascii="Arial" w:hAnsi="Arial" w:cs="Arial"/>
        </w:rPr>
        <w:t>This study, therefore</w:t>
      </w:r>
      <w:r w:rsidR="00976B5E" w:rsidRPr="001C2C27">
        <w:rPr>
          <w:rFonts w:ascii="Arial" w:hAnsi="Arial" w:cs="Arial"/>
        </w:rPr>
        <w:t>,</w:t>
      </w:r>
      <w:r w:rsidRPr="001C2C27">
        <w:rPr>
          <w:rFonts w:ascii="Arial" w:hAnsi="Arial" w:cs="Arial"/>
        </w:rPr>
        <w:t xml:space="preserve"> address</w:t>
      </w:r>
      <w:r w:rsidR="00F82471" w:rsidRPr="001C2C27">
        <w:rPr>
          <w:rFonts w:ascii="Arial" w:hAnsi="Arial" w:cs="Arial"/>
        </w:rPr>
        <w:t>ed the</w:t>
      </w:r>
      <w:r w:rsidRPr="001C2C27">
        <w:rPr>
          <w:rFonts w:ascii="Arial" w:hAnsi="Arial" w:cs="Arial"/>
        </w:rPr>
        <w:t xml:space="preserve"> gap</w:t>
      </w:r>
      <w:r w:rsidR="00F82471" w:rsidRPr="001C2C27">
        <w:rPr>
          <w:rFonts w:ascii="Arial" w:hAnsi="Arial" w:cs="Arial"/>
        </w:rPr>
        <w:t>s</w:t>
      </w:r>
      <w:r w:rsidRPr="001C2C27">
        <w:rPr>
          <w:rFonts w:ascii="Arial" w:hAnsi="Arial" w:cs="Arial"/>
        </w:rPr>
        <w:t xml:space="preserve"> by examining the relationship between material capability and performance in retail pharmacies in Garissa Town</w:t>
      </w:r>
      <w:r w:rsidR="00F82471" w:rsidRPr="001C2C27">
        <w:rPr>
          <w:rFonts w:ascii="Arial" w:hAnsi="Arial" w:cs="Arial"/>
        </w:rPr>
        <w:t xml:space="preserve"> in Kenya. Specifically, it </w:t>
      </w:r>
      <w:r w:rsidR="00F82471" w:rsidRPr="001C2C27">
        <w:rPr>
          <w:rFonts w:ascii="Arial" w:hAnsi="Arial" w:cs="Arial"/>
        </w:rPr>
        <w:lastRenderedPageBreak/>
        <w:t>investigated</w:t>
      </w:r>
      <w:r w:rsidRPr="001C2C27">
        <w:rPr>
          <w:rFonts w:ascii="Arial" w:hAnsi="Arial" w:cs="Arial"/>
        </w:rPr>
        <w:t xml:space="preserve"> procurement reliability, inventory control practices, and mechanisms for preventing stock-outs, and </w:t>
      </w:r>
      <w:r w:rsidR="00976B5E" w:rsidRPr="001C2C27">
        <w:rPr>
          <w:rFonts w:ascii="Arial" w:hAnsi="Arial" w:cs="Arial"/>
        </w:rPr>
        <w:t xml:space="preserve">evaluated </w:t>
      </w:r>
      <w:r w:rsidRPr="001C2C27">
        <w:rPr>
          <w:rFonts w:ascii="Arial" w:hAnsi="Arial" w:cs="Arial"/>
        </w:rPr>
        <w:t xml:space="preserve">their impact on key performance indicators such as profitability, customer satisfaction, and customer retention. By situating the inquiry within a </w:t>
      </w:r>
      <w:r w:rsidR="00791851" w:rsidRPr="001C2C27">
        <w:rPr>
          <w:rFonts w:ascii="Arial" w:hAnsi="Arial" w:cs="Arial"/>
        </w:rPr>
        <w:t>marginalized</w:t>
      </w:r>
      <w:r w:rsidR="00976B5E" w:rsidRPr="001C2C27">
        <w:rPr>
          <w:rFonts w:ascii="Arial" w:hAnsi="Arial" w:cs="Arial"/>
        </w:rPr>
        <w:t xml:space="preserve"> </w:t>
      </w:r>
      <w:r w:rsidRPr="001C2C27">
        <w:rPr>
          <w:rFonts w:ascii="Arial" w:hAnsi="Arial" w:cs="Arial"/>
        </w:rPr>
        <w:t>and under-researched setting, the study not only adds to the body of knowledge on strategic capabilities</w:t>
      </w:r>
      <w:r w:rsidR="00F82471" w:rsidRPr="001C2C27">
        <w:rPr>
          <w:rFonts w:ascii="Arial" w:hAnsi="Arial" w:cs="Arial"/>
        </w:rPr>
        <w:t xml:space="preserve"> in healthcare but also </w:t>
      </w:r>
      <w:r w:rsidR="00976B5E" w:rsidRPr="001C2C27">
        <w:rPr>
          <w:rFonts w:ascii="Arial" w:hAnsi="Arial" w:cs="Arial"/>
        </w:rPr>
        <w:t xml:space="preserve">provides </w:t>
      </w:r>
      <w:r w:rsidRPr="001C2C27">
        <w:rPr>
          <w:rFonts w:ascii="Arial" w:hAnsi="Arial" w:cs="Arial"/>
        </w:rPr>
        <w:t>practical recommendations for pharmacy managers, policymakers, and supply chain actors. Ultimately, the findings aim to strengthen pharmaceutical service delivery, enhance operational efficiency, and promote equitable healthcare access in resource-limited environments.</w:t>
      </w:r>
    </w:p>
    <w:p w14:paraId="60FB5D26" w14:textId="09CEC2F0" w:rsidR="00B01FCD" w:rsidRPr="001C2C27" w:rsidRDefault="00B01FCD" w:rsidP="0012721F">
      <w:pPr>
        <w:pStyle w:val="Body"/>
        <w:spacing w:after="0" w:line="480" w:lineRule="auto"/>
        <w:rPr>
          <w:rFonts w:ascii="Arial" w:hAnsi="Arial" w:cs="Arial"/>
        </w:rPr>
      </w:pPr>
    </w:p>
    <w:p w14:paraId="505A8F27" w14:textId="3DCBEA54" w:rsidR="007F7B32" w:rsidRPr="001C2C27" w:rsidRDefault="00902823" w:rsidP="0012721F">
      <w:pPr>
        <w:pStyle w:val="AbstHead"/>
        <w:spacing w:after="0" w:line="480" w:lineRule="auto"/>
        <w:jc w:val="both"/>
        <w:rPr>
          <w:rFonts w:ascii="Arial" w:hAnsi="Arial" w:cs="Arial"/>
        </w:rPr>
      </w:pPr>
      <w:r w:rsidRPr="001C2C27">
        <w:rPr>
          <w:rFonts w:ascii="Arial" w:hAnsi="Arial" w:cs="Arial"/>
        </w:rPr>
        <w:t xml:space="preserve">2. </w:t>
      </w:r>
      <w:r w:rsidR="006B57D0" w:rsidRPr="001C2C27">
        <w:rPr>
          <w:rFonts w:ascii="Arial" w:hAnsi="Arial" w:cs="Arial"/>
        </w:rPr>
        <w:t>methodology</w:t>
      </w:r>
      <w:r w:rsidR="007F7B32" w:rsidRPr="001C2C27">
        <w:rPr>
          <w:rFonts w:ascii="Arial" w:hAnsi="Arial" w:cs="Arial"/>
        </w:rPr>
        <w:t xml:space="preserve"> </w:t>
      </w:r>
    </w:p>
    <w:p w14:paraId="3D32A5FB" w14:textId="77777777" w:rsidR="00790ADA" w:rsidRPr="001C2C27" w:rsidRDefault="00790ADA" w:rsidP="0012721F">
      <w:pPr>
        <w:pStyle w:val="AbstHead"/>
        <w:spacing w:after="0" w:line="480" w:lineRule="auto"/>
        <w:jc w:val="both"/>
        <w:rPr>
          <w:rFonts w:ascii="Arial" w:hAnsi="Arial" w:cs="Arial"/>
        </w:rPr>
      </w:pPr>
    </w:p>
    <w:p w14:paraId="59B7F8AB" w14:textId="77777777"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2.1 Study Design and Location</w:t>
      </w:r>
    </w:p>
    <w:p w14:paraId="4DF2CC98" w14:textId="77777777" w:rsidR="00BF5F32" w:rsidRPr="001C2C27" w:rsidRDefault="00BF5F32" w:rsidP="0012721F">
      <w:pPr>
        <w:pStyle w:val="Body"/>
        <w:spacing w:after="0" w:line="480" w:lineRule="auto"/>
        <w:rPr>
          <w:rFonts w:ascii="Arial" w:eastAsia="Calibri" w:hAnsi="Arial" w:cs="Arial"/>
          <w:szCs w:val="22"/>
        </w:rPr>
      </w:pPr>
    </w:p>
    <w:p w14:paraId="61805F43" w14:textId="79DD8CCF" w:rsidR="0017669A" w:rsidRPr="001C2C27" w:rsidRDefault="00CE3E12" w:rsidP="0012721F">
      <w:pPr>
        <w:pStyle w:val="Body"/>
        <w:spacing w:after="0" w:line="480" w:lineRule="auto"/>
        <w:rPr>
          <w:rFonts w:ascii="Arial" w:eastAsia="Calibri" w:hAnsi="Arial" w:cs="Arial"/>
          <w:szCs w:val="22"/>
        </w:rPr>
      </w:pPr>
      <w:r w:rsidRPr="001C2C27">
        <w:rPr>
          <w:rFonts w:ascii="Arial" w:eastAsia="Calibri" w:hAnsi="Arial" w:cs="Arial"/>
          <w:szCs w:val="22"/>
        </w:rPr>
        <w:t xml:space="preserve">A descriptive cross-sectional research design was employed here. It is suited to investigating relationships between variables at a single point in time. It enabled the researcher to quantify how material capability affects retail pharmacy performance. Data collection was carried out in Kenya's Garissa Town, a </w:t>
      </w:r>
      <w:r w:rsidR="00791851" w:rsidRPr="001C2C27">
        <w:rPr>
          <w:rFonts w:ascii="Arial" w:eastAsia="Calibri" w:hAnsi="Arial" w:cs="Arial"/>
          <w:szCs w:val="22"/>
        </w:rPr>
        <w:t>marginalized</w:t>
      </w:r>
      <w:r w:rsidR="00BD61DE" w:rsidRPr="001C2C27">
        <w:rPr>
          <w:rFonts w:ascii="Arial" w:eastAsia="Calibri" w:hAnsi="Arial" w:cs="Arial"/>
          <w:szCs w:val="22"/>
        </w:rPr>
        <w:t xml:space="preserve"> </w:t>
      </w:r>
      <w:r w:rsidRPr="001C2C27">
        <w:rPr>
          <w:rFonts w:ascii="Arial" w:eastAsia="Calibri" w:hAnsi="Arial" w:cs="Arial"/>
          <w:szCs w:val="22"/>
        </w:rPr>
        <w:t xml:space="preserve">urban settlement that is </w:t>
      </w:r>
      <w:r w:rsidR="00791851" w:rsidRPr="001C2C27">
        <w:rPr>
          <w:rFonts w:ascii="Arial" w:eastAsia="Calibri" w:hAnsi="Arial" w:cs="Arial"/>
          <w:szCs w:val="22"/>
        </w:rPr>
        <w:t>characterized</w:t>
      </w:r>
      <w:r w:rsidR="00BD61DE" w:rsidRPr="001C2C27">
        <w:rPr>
          <w:rFonts w:ascii="Arial" w:eastAsia="Calibri" w:hAnsi="Arial" w:cs="Arial"/>
          <w:szCs w:val="22"/>
        </w:rPr>
        <w:t xml:space="preserve"> </w:t>
      </w:r>
      <w:r w:rsidRPr="001C2C27">
        <w:rPr>
          <w:rFonts w:ascii="Arial" w:eastAsia="Calibri" w:hAnsi="Arial" w:cs="Arial"/>
          <w:szCs w:val="22"/>
        </w:rPr>
        <w:t>by poorly developed healthcare infrastructure and frequent logistical challenges that disrupt the medicine supply chain efficiencies. It was a suitable backdrop against which to examine supply-side constraints and how they affect pharmacy performance.</w:t>
      </w:r>
    </w:p>
    <w:p w14:paraId="48069A8B" w14:textId="77777777" w:rsidR="00BF5F32" w:rsidRPr="001C2C27" w:rsidRDefault="00BF5F32" w:rsidP="0012721F">
      <w:pPr>
        <w:pStyle w:val="Body"/>
        <w:spacing w:after="0" w:line="480" w:lineRule="auto"/>
        <w:rPr>
          <w:rFonts w:ascii="Arial" w:eastAsia="Calibri" w:hAnsi="Arial" w:cs="Arial"/>
          <w:b/>
          <w:bCs/>
          <w:sz w:val="22"/>
          <w:szCs w:val="22"/>
        </w:rPr>
      </w:pPr>
    </w:p>
    <w:p w14:paraId="4BADF33C" w14:textId="4038399A"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2.2 Population and Sampling</w:t>
      </w:r>
    </w:p>
    <w:p w14:paraId="0FEC4495" w14:textId="77777777" w:rsidR="00BF5F32" w:rsidRPr="001C2C27" w:rsidRDefault="00BF5F32" w:rsidP="0012721F">
      <w:pPr>
        <w:pStyle w:val="Body"/>
        <w:spacing w:after="0" w:line="480" w:lineRule="auto"/>
        <w:rPr>
          <w:rFonts w:ascii="Arial" w:eastAsia="Calibri" w:hAnsi="Arial" w:cs="Arial"/>
          <w:szCs w:val="22"/>
        </w:rPr>
      </w:pPr>
    </w:p>
    <w:p w14:paraId="7810A22E" w14:textId="37D06B06" w:rsidR="00BF5F32" w:rsidRPr="001C2C27" w:rsidRDefault="00F82471" w:rsidP="0012721F">
      <w:pPr>
        <w:pStyle w:val="Body"/>
        <w:spacing w:line="480" w:lineRule="auto"/>
        <w:rPr>
          <w:rFonts w:ascii="Arial" w:eastAsia="Calibri" w:hAnsi="Arial" w:cs="Arial"/>
          <w:b/>
          <w:bCs/>
          <w:sz w:val="22"/>
          <w:szCs w:val="22"/>
        </w:rPr>
      </w:pPr>
      <w:r w:rsidRPr="001C2C27">
        <w:rPr>
          <w:rFonts w:ascii="Arial" w:eastAsia="Calibri" w:hAnsi="Arial" w:cs="Arial"/>
          <w:szCs w:val="22"/>
        </w:rPr>
        <w:t xml:space="preserve">The study targeted </w:t>
      </w:r>
      <w:r w:rsidR="00CE3E12" w:rsidRPr="001C2C27">
        <w:rPr>
          <w:rFonts w:ascii="Arial" w:eastAsia="Calibri" w:hAnsi="Arial" w:cs="Arial"/>
          <w:szCs w:val="22"/>
        </w:rPr>
        <w:t>managers, procurement officers, and pharmacists in the 3</w:t>
      </w:r>
      <w:r w:rsidRPr="001C2C27">
        <w:rPr>
          <w:rFonts w:ascii="Arial" w:eastAsia="Calibri" w:hAnsi="Arial" w:cs="Arial"/>
          <w:szCs w:val="22"/>
        </w:rPr>
        <w:t xml:space="preserve">5 licensed and </w:t>
      </w:r>
      <w:r w:rsidR="00791851" w:rsidRPr="001C2C27">
        <w:rPr>
          <w:rFonts w:ascii="Arial" w:eastAsia="Calibri" w:hAnsi="Arial" w:cs="Arial"/>
          <w:szCs w:val="22"/>
        </w:rPr>
        <w:t>practicing</w:t>
      </w:r>
      <w:r w:rsidR="00BD61DE" w:rsidRPr="001C2C27">
        <w:rPr>
          <w:rFonts w:ascii="Arial" w:eastAsia="Calibri" w:hAnsi="Arial" w:cs="Arial"/>
          <w:szCs w:val="22"/>
        </w:rPr>
        <w:t xml:space="preserve"> </w:t>
      </w:r>
      <w:r w:rsidR="00CE3E12" w:rsidRPr="001C2C27">
        <w:rPr>
          <w:rFonts w:ascii="Arial" w:eastAsia="Calibri" w:hAnsi="Arial" w:cs="Arial"/>
          <w:szCs w:val="22"/>
        </w:rPr>
        <w:t xml:space="preserve">pharmacies in Garissa Town listed in the Pharmacy and Poisons Board (2024). A purposive census was then put in place after confirmation of operational status and regulatory </w:t>
      </w:r>
      <w:r w:rsidR="00CE3E12" w:rsidRPr="001C2C27">
        <w:rPr>
          <w:rFonts w:ascii="Arial" w:eastAsia="Calibri" w:hAnsi="Arial" w:cs="Arial"/>
          <w:szCs w:val="22"/>
        </w:rPr>
        <w:lastRenderedPageBreak/>
        <w:t>compliance. Three respondents were selected within a pharmacy, a respondent to each professional category, resulting in a sample size of 105. It was a desirable approach considering a workable population size while ensuring inclusion of individuals directly responsible for making strategic and operational decisions, thus improving representativeness and validity of results (Creswell, 2014).</w:t>
      </w:r>
    </w:p>
    <w:p w14:paraId="02E06A09" w14:textId="3A29FE61"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2.3 Research Instruments</w:t>
      </w:r>
    </w:p>
    <w:p w14:paraId="174E43A3" w14:textId="77777777" w:rsidR="00BF5F32" w:rsidRPr="001C2C27" w:rsidRDefault="00BF5F32" w:rsidP="0012721F">
      <w:pPr>
        <w:pStyle w:val="Body"/>
        <w:spacing w:after="0" w:line="480" w:lineRule="auto"/>
        <w:rPr>
          <w:rFonts w:ascii="Arial" w:eastAsia="Calibri" w:hAnsi="Arial" w:cs="Arial"/>
          <w:szCs w:val="22"/>
        </w:rPr>
      </w:pPr>
    </w:p>
    <w:p w14:paraId="10579CC9" w14:textId="01BEE284" w:rsidR="0017669A" w:rsidRPr="001C2C27" w:rsidRDefault="00CE3E12" w:rsidP="0012721F">
      <w:pPr>
        <w:pStyle w:val="Body"/>
        <w:spacing w:line="480" w:lineRule="auto"/>
        <w:rPr>
          <w:rFonts w:ascii="Arial" w:eastAsia="Calibri" w:hAnsi="Arial" w:cs="Arial"/>
          <w:szCs w:val="22"/>
        </w:rPr>
      </w:pPr>
      <w:r w:rsidRPr="001C2C27">
        <w:rPr>
          <w:rFonts w:ascii="Arial" w:eastAsia="Calibri" w:hAnsi="Arial" w:cs="Arial"/>
          <w:szCs w:val="22"/>
        </w:rPr>
        <w:t xml:space="preserve">Data gathering was done using a semi-structured process whereby both electronic questionnaires and guided interviews were used. The questionnaire was divided into five parts: demographic information, technological capacity, operational capacity, material capacity, and pharmacy performance. It drew on available instruments used in similar </w:t>
      </w:r>
      <w:r w:rsidR="00791851" w:rsidRPr="001C2C27">
        <w:rPr>
          <w:rFonts w:ascii="Arial" w:eastAsia="Calibri" w:hAnsi="Arial" w:cs="Arial"/>
          <w:szCs w:val="22"/>
        </w:rPr>
        <w:t>organizational</w:t>
      </w:r>
      <w:r w:rsidR="00BD61DE" w:rsidRPr="001C2C27">
        <w:rPr>
          <w:rFonts w:ascii="Arial" w:eastAsia="Calibri" w:hAnsi="Arial" w:cs="Arial"/>
          <w:szCs w:val="22"/>
        </w:rPr>
        <w:t xml:space="preserve"> </w:t>
      </w:r>
      <w:r w:rsidRPr="001C2C27">
        <w:rPr>
          <w:rFonts w:ascii="Arial" w:eastAsia="Calibri" w:hAnsi="Arial" w:cs="Arial"/>
          <w:szCs w:val="22"/>
        </w:rPr>
        <w:t>studies (Kothari, 2004; Cooper &amp; Schindler, 2013) in quantitatively capturing response levels using a five-point Likert scale. Open questions were integrated to further capture insights. Extended interviews involving managers covered procurement lead times, stock control, predictability of supplied material, and broader material capacity concerns, enabling a better comprehension of performance-related challenges in Garissa Town pharmacies.</w:t>
      </w:r>
    </w:p>
    <w:p w14:paraId="4EFC12A2" w14:textId="77777777" w:rsidR="00BF5F32" w:rsidRPr="001C2C27" w:rsidRDefault="00BF5F32" w:rsidP="0012721F">
      <w:pPr>
        <w:pStyle w:val="Body"/>
        <w:spacing w:after="0" w:line="480" w:lineRule="auto"/>
        <w:rPr>
          <w:rFonts w:ascii="Arial" w:eastAsia="Calibri" w:hAnsi="Arial" w:cs="Arial"/>
          <w:b/>
          <w:bCs/>
          <w:sz w:val="22"/>
          <w:szCs w:val="22"/>
        </w:rPr>
      </w:pPr>
    </w:p>
    <w:p w14:paraId="3BA00D88" w14:textId="682E3033"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2.4 Pilot Study and Instrument Validation</w:t>
      </w:r>
    </w:p>
    <w:p w14:paraId="66B2FFDC" w14:textId="77777777" w:rsidR="00BF5F32" w:rsidRPr="001C2C27" w:rsidRDefault="00BF5F32" w:rsidP="0012721F">
      <w:pPr>
        <w:pStyle w:val="Body"/>
        <w:spacing w:after="0" w:line="480" w:lineRule="auto"/>
        <w:rPr>
          <w:rFonts w:ascii="Arial" w:eastAsia="Calibri" w:hAnsi="Arial" w:cs="Arial"/>
          <w:szCs w:val="22"/>
        </w:rPr>
      </w:pPr>
    </w:p>
    <w:p w14:paraId="0C26950D" w14:textId="55EA0860" w:rsidR="0017669A" w:rsidRPr="001C2C27" w:rsidRDefault="00856696" w:rsidP="0012721F">
      <w:pPr>
        <w:pStyle w:val="Body"/>
        <w:spacing w:after="0" w:line="480" w:lineRule="auto"/>
        <w:rPr>
          <w:rFonts w:ascii="Arial" w:eastAsia="Calibri" w:hAnsi="Arial" w:cs="Arial"/>
          <w:szCs w:val="22"/>
        </w:rPr>
      </w:pPr>
      <w:r w:rsidRPr="001C2C27">
        <w:rPr>
          <w:rFonts w:ascii="Arial" w:eastAsia="Calibri" w:hAnsi="Arial" w:cs="Arial"/>
          <w:szCs w:val="22"/>
        </w:rPr>
        <w:t xml:space="preserve">A </w:t>
      </w:r>
      <w:r w:rsidRPr="001C2C27">
        <w:rPr>
          <w:rFonts w:ascii="Arial" w:eastAsia="Calibri" w:hAnsi="Arial" w:cs="Arial"/>
          <w:bCs/>
          <w:szCs w:val="22"/>
        </w:rPr>
        <w:t>pilot study</w:t>
      </w:r>
      <w:r w:rsidRPr="001C2C27">
        <w:rPr>
          <w:rFonts w:ascii="Arial" w:eastAsia="Calibri" w:hAnsi="Arial" w:cs="Arial"/>
          <w:szCs w:val="22"/>
        </w:rPr>
        <w:t xml:space="preserve"> was conducted with </w:t>
      </w:r>
      <w:r w:rsidRPr="001C2C27">
        <w:rPr>
          <w:rFonts w:ascii="Arial" w:eastAsia="Calibri" w:hAnsi="Arial" w:cs="Arial"/>
          <w:bCs/>
          <w:szCs w:val="22"/>
        </w:rPr>
        <w:t>11 respondents from Hola, Tana River County</w:t>
      </w:r>
      <w:r w:rsidRPr="001C2C27">
        <w:rPr>
          <w:rFonts w:ascii="Arial" w:eastAsia="Calibri" w:hAnsi="Arial" w:cs="Arial"/>
          <w:szCs w:val="22"/>
        </w:rPr>
        <w:t xml:space="preserve"> to avoid contamination of the main sample in Garissa Town. This pre-test evaluated the clarity, structure, and logical sequencing of the research instrument, leading to necessary revisions based on participant feedback. </w:t>
      </w:r>
      <w:r w:rsidRPr="001C2C27">
        <w:rPr>
          <w:rFonts w:ascii="Arial" w:eastAsia="Calibri" w:hAnsi="Arial" w:cs="Arial"/>
          <w:bCs/>
          <w:szCs w:val="22"/>
        </w:rPr>
        <w:t>Face and content validity</w:t>
      </w:r>
      <w:r w:rsidRPr="001C2C27">
        <w:rPr>
          <w:rFonts w:ascii="Arial" w:eastAsia="Calibri" w:hAnsi="Arial" w:cs="Arial"/>
          <w:szCs w:val="22"/>
        </w:rPr>
        <w:t xml:space="preserve"> were confirmed through expert reviews by academic scho</w:t>
      </w:r>
      <w:r w:rsidR="00F82471" w:rsidRPr="001C2C27">
        <w:rPr>
          <w:rFonts w:ascii="Arial" w:eastAsia="Calibri" w:hAnsi="Arial" w:cs="Arial"/>
          <w:szCs w:val="22"/>
        </w:rPr>
        <w:t>lars and industry practitioners</w:t>
      </w:r>
      <w:r w:rsidR="00BD61DE" w:rsidRPr="001C2C27">
        <w:rPr>
          <w:rFonts w:ascii="Arial" w:eastAsia="Calibri" w:hAnsi="Arial" w:cs="Arial"/>
          <w:szCs w:val="22"/>
        </w:rPr>
        <w:t>,</w:t>
      </w:r>
      <w:r w:rsidR="00F82471" w:rsidRPr="001C2C27">
        <w:rPr>
          <w:rFonts w:ascii="Arial" w:eastAsia="Calibri" w:hAnsi="Arial" w:cs="Arial"/>
          <w:szCs w:val="22"/>
        </w:rPr>
        <w:t xml:space="preserve"> and ensured the</w:t>
      </w:r>
      <w:r w:rsidRPr="001C2C27">
        <w:rPr>
          <w:rFonts w:ascii="Arial" w:eastAsia="Calibri" w:hAnsi="Arial" w:cs="Arial"/>
          <w:szCs w:val="22"/>
        </w:rPr>
        <w:t xml:space="preserve"> questionnaire was comprehensive and contextually appropriate. </w:t>
      </w:r>
      <w:r w:rsidRPr="001C2C27">
        <w:rPr>
          <w:rFonts w:ascii="Arial" w:eastAsia="Calibri" w:hAnsi="Arial" w:cs="Arial"/>
          <w:bCs/>
          <w:szCs w:val="22"/>
        </w:rPr>
        <w:t>Construct validity</w:t>
      </w:r>
      <w:r w:rsidRPr="001C2C27">
        <w:rPr>
          <w:rFonts w:ascii="Arial" w:eastAsia="Calibri" w:hAnsi="Arial" w:cs="Arial"/>
          <w:szCs w:val="22"/>
        </w:rPr>
        <w:t xml:space="preserve"> was achieved by aligning each </w:t>
      </w:r>
      <w:r w:rsidRPr="001C2C27">
        <w:rPr>
          <w:rFonts w:ascii="Arial" w:eastAsia="Calibri" w:hAnsi="Arial" w:cs="Arial"/>
          <w:szCs w:val="22"/>
        </w:rPr>
        <w:lastRenderedPageBreak/>
        <w:t xml:space="preserve">item with the study’s conceptual framework and objectives. To assess reliability, </w:t>
      </w:r>
      <w:r w:rsidRPr="001C2C27">
        <w:rPr>
          <w:rFonts w:ascii="Arial" w:eastAsia="Calibri" w:hAnsi="Arial" w:cs="Arial"/>
          <w:bCs/>
          <w:szCs w:val="22"/>
        </w:rPr>
        <w:t>Cronbach’s Alpha</w:t>
      </w:r>
      <w:r w:rsidRPr="001C2C27">
        <w:rPr>
          <w:rFonts w:ascii="Arial" w:eastAsia="Calibri" w:hAnsi="Arial" w:cs="Arial"/>
          <w:szCs w:val="22"/>
        </w:rPr>
        <w:t xml:space="preserve"> was applied, and all scales recorded values above the </w:t>
      </w:r>
      <w:r w:rsidRPr="001C2C27">
        <w:rPr>
          <w:rFonts w:ascii="Arial" w:eastAsia="Calibri" w:hAnsi="Arial" w:cs="Arial"/>
          <w:bCs/>
          <w:szCs w:val="22"/>
        </w:rPr>
        <w:t>0.80 threshold</w:t>
      </w:r>
      <w:r w:rsidR="00F82471" w:rsidRPr="001C2C27">
        <w:rPr>
          <w:rFonts w:ascii="Arial" w:eastAsia="Calibri" w:hAnsi="Arial" w:cs="Arial"/>
          <w:szCs w:val="22"/>
        </w:rPr>
        <w:t xml:space="preserve">, </w:t>
      </w:r>
      <w:r w:rsidR="00BD61DE" w:rsidRPr="001C2C27">
        <w:rPr>
          <w:rFonts w:ascii="Arial" w:eastAsia="Calibri" w:hAnsi="Arial" w:cs="Arial"/>
          <w:szCs w:val="22"/>
        </w:rPr>
        <w:t xml:space="preserve">indicating </w:t>
      </w:r>
      <w:r w:rsidRPr="001C2C27">
        <w:rPr>
          <w:rFonts w:ascii="Arial" w:eastAsia="Calibri" w:hAnsi="Arial" w:cs="Arial"/>
          <w:szCs w:val="22"/>
        </w:rPr>
        <w:t>strong internal consistency (Mugenda &amp; Mugenda, 2003).</w:t>
      </w:r>
    </w:p>
    <w:p w14:paraId="1F406B42" w14:textId="77777777" w:rsidR="00BF5F32" w:rsidRPr="001C2C27" w:rsidRDefault="00BF5F32" w:rsidP="0012721F">
      <w:pPr>
        <w:pStyle w:val="Body"/>
        <w:spacing w:after="0" w:line="480" w:lineRule="auto"/>
        <w:rPr>
          <w:rFonts w:ascii="Arial" w:eastAsia="Calibri" w:hAnsi="Arial" w:cs="Arial"/>
          <w:b/>
          <w:bCs/>
          <w:sz w:val="22"/>
          <w:szCs w:val="22"/>
        </w:rPr>
      </w:pPr>
    </w:p>
    <w:p w14:paraId="4A0DA0BA" w14:textId="2E8AD5FF"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2.5 Data Collection Procedures</w:t>
      </w:r>
    </w:p>
    <w:p w14:paraId="7CADC3A7" w14:textId="77777777" w:rsidR="00BF5F32" w:rsidRPr="001C2C27" w:rsidRDefault="00BF5F32" w:rsidP="0012721F">
      <w:pPr>
        <w:pStyle w:val="Body"/>
        <w:spacing w:after="0" w:line="480" w:lineRule="auto"/>
        <w:rPr>
          <w:rFonts w:ascii="Arial" w:eastAsia="Calibri" w:hAnsi="Arial" w:cs="Arial"/>
          <w:b/>
          <w:bCs/>
          <w:sz w:val="22"/>
          <w:szCs w:val="22"/>
        </w:rPr>
      </w:pPr>
    </w:p>
    <w:p w14:paraId="3F30D8E2" w14:textId="7EC3A4EC" w:rsidR="0017669A" w:rsidRPr="001C2C27" w:rsidRDefault="00856696" w:rsidP="0012721F">
      <w:pPr>
        <w:pStyle w:val="Body"/>
        <w:spacing w:after="0" w:line="480" w:lineRule="auto"/>
        <w:rPr>
          <w:rFonts w:ascii="Arial" w:eastAsia="Calibri" w:hAnsi="Arial" w:cs="Arial"/>
          <w:szCs w:val="22"/>
        </w:rPr>
      </w:pPr>
      <w:r w:rsidRPr="001C2C27">
        <w:rPr>
          <w:rFonts w:ascii="Arial" w:eastAsia="Calibri" w:hAnsi="Arial" w:cs="Arial"/>
          <w:szCs w:val="22"/>
        </w:rPr>
        <w:t xml:space="preserve">Upon receiving the necessary </w:t>
      </w:r>
      <w:r w:rsidRPr="001C2C27">
        <w:rPr>
          <w:rFonts w:ascii="Arial" w:eastAsia="Calibri" w:hAnsi="Arial" w:cs="Arial"/>
          <w:bCs/>
          <w:szCs w:val="22"/>
        </w:rPr>
        <w:t>ethical approvals</w:t>
      </w:r>
      <w:r w:rsidRPr="001C2C27">
        <w:rPr>
          <w:rFonts w:ascii="Arial" w:eastAsia="Calibri" w:hAnsi="Arial" w:cs="Arial"/>
          <w:szCs w:val="22"/>
        </w:rPr>
        <w:t xml:space="preserve"> from Garissa University and </w:t>
      </w:r>
      <w:r w:rsidRPr="001C2C27">
        <w:rPr>
          <w:rFonts w:ascii="Arial" w:eastAsia="Calibri" w:hAnsi="Arial" w:cs="Arial"/>
          <w:bCs/>
          <w:szCs w:val="22"/>
        </w:rPr>
        <w:t>NACOSTI</w:t>
      </w:r>
      <w:r w:rsidRPr="001C2C27">
        <w:rPr>
          <w:rFonts w:ascii="Arial" w:eastAsia="Calibri" w:hAnsi="Arial" w:cs="Arial"/>
          <w:szCs w:val="22"/>
        </w:rPr>
        <w:t xml:space="preserve">, the researcher visited all selected pharmacies to introduce the study and brief participants. Data from </w:t>
      </w:r>
      <w:r w:rsidRPr="001C2C27">
        <w:rPr>
          <w:rFonts w:ascii="Arial" w:eastAsia="Calibri" w:hAnsi="Arial" w:cs="Arial"/>
          <w:bCs/>
          <w:szCs w:val="22"/>
        </w:rPr>
        <w:t>pharmacists and procurement officers</w:t>
      </w:r>
      <w:r w:rsidRPr="001C2C27">
        <w:rPr>
          <w:rFonts w:ascii="Arial" w:eastAsia="Calibri" w:hAnsi="Arial" w:cs="Arial"/>
          <w:szCs w:val="22"/>
        </w:rPr>
        <w:t xml:space="preserve"> were collected electronically via </w:t>
      </w:r>
      <w:r w:rsidRPr="001C2C27">
        <w:rPr>
          <w:rFonts w:ascii="Arial" w:eastAsia="Calibri" w:hAnsi="Arial" w:cs="Arial"/>
          <w:bCs/>
          <w:szCs w:val="22"/>
        </w:rPr>
        <w:t>Google Forms</w:t>
      </w:r>
      <w:r w:rsidRPr="001C2C27">
        <w:rPr>
          <w:rFonts w:ascii="Arial" w:eastAsia="Calibri" w:hAnsi="Arial" w:cs="Arial"/>
          <w:szCs w:val="22"/>
        </w:rPr>
        <w:t xml:space="preserve">, while </w:t>
      </w:r>
      <w:r w:rsidRPr="001C2C27">
        <w:rPr>
          <w:rFonts w:ascii="Arial" w:eastAsia="Calibri" w:hAnsi="Arial" w:cs="Arial"/>
          <w:bCs/>
          <w:szCs w:val="22"/>
        </w:rPr>
        <w:t>interviews with managers</w:t>
      </w:r>
      <w:r w:rsidRPr="001C2C27">
        <w:rPr>
          <w:rFonts w:ascii="Arial" w:eastAsia="Calibri" w:hAnsi="Arial" w:cs="Arial"/>
          <w:szCs w:val="22"/>
        </w:rPr>
        <w:t xml:space="preserve"> were scheduled separately to gather in-depth insights. The process </w:t>
      </w:r>
      <w:r w:rsidR="00791851" w:rsidRPr="001C2C27">
        <w:rPr>
          <w:rFonts w:ascii="Arial" w:eastAsia="Calibri" w:hAnsi="Arial" w:cs="Arial"/>
          <w:szCs w:val="22"/>
        </w:rPr>
        <w:t>emphasized</w:t>
      </w:r>
      <w:r w:rsidR="00BD61DE" w:rsidRPr="001C2C27">
        <w:rPr>
          <w:rFonts w:ascii="Arial" w:eastAsia="Calibri" w:hAnsi="Arial" w:cs="Arial"/>
          <w:szCs w:val="22"/>
        </w:rPr>
        <w:t xml:space="preserve"> </w:t>
      </w:r>
      <w:r w:rsidRPr="001C2C27">
        <w:rPr>
          <w:rFonts w:ascii="Arial" w:eastAsia="Calibri" w:hAnsi="Arial" w:cs="Arial"/>
          <w:bCs/>
          <w:szCs w:val="22"/>
        </w:rPr>
        <w:t>voluntary participation, anonymity, and confidentiality</w:t>
      </w:r>
      <w:r w:rsidRPr="001C2C27">
        <w:rPr>
          <w:rFonts w:ascii="Arial" w:eastAsia="Calibri" w:hAnsi="Arial" w:cs="Arial"/>
          <w:szCs w:val="22"/>
        </w:rPr>
        <w:t xml:space="preserve">, with a </w:t>
      </w:r>
      <w:r w:rsidRPr="001C2C27">
        <w:rPr>
          <w:rFonts w:ascii="Arial" w:eastAsia="Calibri" w:hAnsi="Arial" w:cs="Arial"/>
          <w:bCs/>
          <w:szCs w:val="22"/>
        </w:rPr>
        <w:t>drop-and-pick-later method</w:t>
      </w:r>
      <w:r w:rsidRPr="001C2C27">
        <w:rPr>
          <w:rFonts w:ascii="Arial" w:eastAsia="Calibri" w:hAnsi="Arial" w:cs="Arial"/>
          <w:szCs w:val="22"/>
        </w:rPr>
        <w:t xml:space="preserve"> used for questionnaires to </w:t>
      </w:r>
      <w:r w:rsidR="00791851" w:rsidRPr="001C2C27">
        <w:rPr>
          <w:rFonts w:ascii="Arial" w:eastAsia="Calibri" w:hAnsi="Arial" w:cs="Arial"/>
          <w:szCs w:val="22"/>
        </w:rPr>
        <w:t>minimize</w:t>
      </w:r>
      <w:r w:rsidR="00BD61DE" w:rsidRPr="001C2C27">
        <w:rPr>
          <w:rFonts w:ascii="Arial" w:eastAsia="Calibri" w:hAnsi="Arial" w:cs="Arial"/>
          <w:szCs w:val="22"/>
        </w:rPr>
        <w:t xml:space="preserve"> </w:t>
      </w:r>
      <w:r w:rsidRPr="001C2C27">
        <w:rPr>
          <w:rFonts w:ascii="Arial" w:eastAsia="Calibri" w:hAnsi="Arial" w:cs="Arial"/>
          <w:szCs w:val="22"/>
        </w:rPr>
        <w:t>disruptions to pharmacy operations and accommodate participants’ work schedules.</w:t>
      </w:r>
    </w:p>
    <w:p w14:paraId="28236F41" w14:textId="77777777" w:rsidR="00BF5F32" w:rsidRPr="001C2C27" w:rsidRDefault="00BF5F32" w:rsidP="0012721F">
      <w:pPr>
        <w:pStyle w:val="Body"/>
        <w:spacing w:after="0" w:line="480" w:lineRule="auto"/>
        <w:rPr>
          <w:rFonts w:ascii="Arial" w:eastAsia="Calibri" w:hAnsi="Arial" w:cs="Arial"/>
          <w:szCs w:val="22"/>
        </w:rPr>
      </w:pPr>
    </w:p>
    <w:p w14:paraId="5A28F23D" w14:textId="77777777"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2.6 Data Analysis Techniques</w:t>
      </w:r>
    </w:p>
    <w:p w14:paraId="5F21B182" w14:textId="77777777" w:rsidR="00BF5F32" w:rsidRPr="001C2C27" w:rsidRDefault="00BF5F32" w:rsidP="0012721F">
      <w:pPr>
        <w:pStyle w:val="Body"/>
        <w:spacing w:after="0" w:line="480" w:lineRule="auto"/>
        <w:rPr>
          <w:rFonts w:ascii="Arial" w:eastAsia="Calibri" w:hAnsi="Arial" w:cs="Arial"/>
          <w:b/>
          <w:bCs/>
          <w:sz w:val="22"/>
          <w:szCs w:val="22"/>
        </w:rPr>
      </w:pPr>
    </w:p>
    <w:p w14:paraId="4FFD22AD" w14:textId="6A1C9E84" w:rsidR="0017669A" w:rsidRPr="001C2C27" w:rsidRDefault="00856696" w:rsidP="0012721F">
      <w:pPr>
        <w:pStyle w:val="Body"/>
        <w:spacing w:after="0" w:line="480" w:lineRule="auto"/>
        <w:rPr>
          <w:rFonts w:ascii="Arial" w:eastAsia="Calibri" w:hAnsi="Arial" w:cs="Arial"/>
          <w:szCs w:val="22"/>
        </w:rPr>
      </w:pPr>
      <w:r w:rsidRPr="001C2C27">
        <w:rPr>
          <w:rFonts w:ascii="Arial" w:eastAsia="Calibri" w:hAnsi="Arial" w:cs="Arial"/>
          <w:szCs w:val="22"/>
        </w:rPr>
        <w:t xml:space="preserve">Quantitative data were </w:t>
      </w:r>
      <w:r w:rsidR="00791851" w:rsidRPr="001C2C27">
        <w:rPr>
          <w:rFonts w:ascii="Arial" w:eastAsia="Calibri" w:hAnsi="Arial" w:cs="Arial"/>
          <w:szCs w:val="22"/>
        </w:rPr>
        <w:t>analyzed</w:t>
      </w:r>
      <w:r w:rsidR="00BD61DE" w:rsidRPr="001C2C27">
        <w:rPr>
          <w:rFonts w:ascii="Arial" w:eastAsia="Calibri" w:hAnsi="Arial" w:cs="Arial"/>
          <w:szCs w:val="22"/>
        </w:rPr>
        <w:t xml:space="preserve"> </w:t>
      </w:r>
      <w:r w:rsidRPr="001C2C27">
        <w:rPr>
          <w:rFonts w:ascii="Arial" w:eastAsia="Calibri" w:hAnsi="Arial" w:cs="Arial"/>
          <w:szCs w:val="22"/>
        </w:rPr>
        <w:t xml:space="preserve">using </w:t>
      </w:r>
      <w:r w:rsidRPr="001C2C27">
        <w:rPr>
          <w:rFonts w:ascii="Arial" w:eastAsia="Calibri" w:hAnsi="Arial" w:cs="Arial"/>
          <w:bCs/>
          <w:szCs w:val="22"/>
        </w:rPr>
        <w:t>SPSS Version 26</w:t>
      </w:r>
      <w:r w:rsidRPr="001C2C27">
        <w:rPr>
          <w:rFonts w:ascii="Arial" w:eastAsia="Calibri" w:hAnsi="Arial" w:cs="Arial"/>
          <w:szCs w:val="22"/>
        </w:rPr>
        <w:t xml:space="preserve">. </w:t>
      </w:r>
      <w:r w:rsidRPr="001C2C27">
        <w:rPr>
          <w:rFonts w:ascii="Arial" w:eastAsia="Calibri" w:hAnsi="Arial" w:cs="Arial"/>
          <w:bCs/>
          <w:szCs w:val="22"/>
        </w:rPr>
        <w:t>Descriptive statistics</w:t>
      </w:r>
      <w:r w:rsidRPr="001C2C27">
        <w:rPr>
          <w:rFonts w:ascii="Arial" w:eastAsia="Calibri" w:hAnsi="Arial" w:cs="Arial"/>
          <w:szCs w:val="22"/>
        </w:rPr>
        <w:t xml:space="preserve">, such as means and standard deviations, were used to </w:t>
      </w:r>
      <w:r w:rsidR="00791851" w:rsidRPr="001C2C27">
        <w:rPr>
          <w:rFonts w:ascii="Arial" w:eastAsia="Calibri" w:hAnsi="Arial" w:cs="Arial"/>
          <w:szCs w:val="22"/>
        </w:rPr>
        <w:t>summarize</w:t>
      </w:r>
      <w:r w:rsidR="00BD61DE" w:rsidRPr="001C2C27">
        <w:rPr>
          <w:rFonts w:ascii="Arial" w:eastAsia="Calibri" w:hAnsi="Arial" w:cs="Arial"/>
          <w:szCs w:val="22"/>
        </w:rPr>
        <w:t xml:space="preserve"> </w:t>
      </w:r>
      <w:r w:rsidRPr="001C2C27">
        <w:rPr>
          <w:rFonts w:ascii="Arial" w:eastAsia="Calibri" w:hAnsi="Arial" w:cs="Arial"/>
          <w:szCs w:val="22"/>
        </w:rPr>
        <w:t xml:space="preserve">the key variables and provide an overview of respondents' responses. To assess the </w:t>
      </w:r>
      <w:r w:rsidRPr="001C2C27">
        <w:rPr>
          <w:rFonts w:ascii="Arial" w:eastAsia="Calibri" w:hAnsi="Arial" w:cs="Arial"/>
          <w:bCs/>
          <w:szCs w:val="22"/>
        </w:rPr>
        <w:t>strength and direction of relationships</w:t>
      </w:r>
      <w:r w:rsidRPr="001C2C27">
        <w:rPr>
          <w:rFonts w:ascii="Arial" w:eastAsia="Calibri" w:hAnsi="Arial" w:cs="Arial"/>
          <w:szCs w:val="22"/>
        </w:rPr>
        <w:t xml:space="preserve"> between material capability and pharmacy performance, </w:t>
      </w:r>
      <w:r w:rsidRPr="001C2C27">
        <w:rPr>
          <w:rFonts w:ascii="Arial" w:eastAsia="Calibri" w:hAnsi="Arial" w:cs="Arial"/>
          <w:bCs/>
          <w:szCs w:val="22"/>
        </w:rPr>
        <w:t>Pearson’s correlation analysis</w:t>
      </w:r>
      <w:r w:rsidRPr="001C2C27">
        <w:rPr>
          <w:rFonts w:ascii="Arial" w:eastAsia="Calibri" w:hAnsi="Arial" w:cs="Arial"/>
          <w:szCs w:val="22"/>
        </w:rPr>
        <w:t xml:space="preserve"> was employed. Additionally, a </w:t>
      </w:r>
      <w:r w:rsidRPr="001C2C27">
        <w:rPr>
          <w:rFonts w:ascii="Arial" w:eastAsia="Calibri" w:hAnsi="Arial" w:cs="Arial"/>
          <w:bCs/>
          <w:szCs w:val="22"/>
        </w:rPr>
        <w:t>multiple regression analysis</w:t>
      </w:r>
      <w:r w:rsidRPr="001C2C27">
        <w:rPr>
          <w:rFonts w:ascii="Arial" w:eastAsia="Calibri" w:hAnsi="Arial" w:cs="Arial"/>
          <w:szCs w:val="22"/>
        </w:rPr>
        <w:t xml:space="preserve"> was conducted to examine the </w:t>
      </w:r>
      <w:r w:rsidRPr="001C2C27">
        <w:rPr>
          <w:rFonts w:ascii="Arial" w:eastAsia="Calibri" w:hAnsi="Arial" w:cs="Arial"/>
          <w:bCs/>
          <w:szCs w:val="22"/>
        </w:rPr>
        <w:t>predictive influence</w:t>
      </w:r>
      <w:r w:rsidRPr="001C2C27">
        <w:rPr>
          <w:rFonts w:ascii="Arial" w:eastAsia="Calibri" w:hAnsi="Arial" w:cs="Arial"/>
          <w:szCs w:val="22"/>
        </w:rPr>
        <w:t xml:space="preserve"> of material capability on pharmacy performance, allowing for a more robust understanding of its contribution to performance outcomes. </w:t>
      </w:r>
      <w:r w:rsidR="0017669A" w:rsidRPr="001C2C27">
        <w:rPr>
          <w:rFonts w:ascii="Arial" w:eastAsia="Calibri" w:hAnsi="Arial" w:cs="Arial"/>
          <w:szCs w:val="22"/>
        </w:rPr>
        <w:t>The model used was</w:t>
      </w:r>
    </w:p>
    <w:p w14:paraId="3D28391D" w14:textId="4429F545" w:rsidR="0017669A" w:rsidRPr="001C2C27" w:rsidRDefault="0017669A" w:rsidP="0012721F">
      <w:pPr>
        <w:pStyle w:val="Body"/>
        <w:spacing w:after="0" w:line="480" w:lineRule="auto"/>
        <w:rPr>
          <w:rFonts w:ascii="Arial" w:eastAsia="Calibri" w:hAnsi="Arial" w:cs="Arial"/>
          <w:szCs w:val="22"/>
        </w:rPr>
      </w:pPr>
      <w:r w:rsidRPr="001C2C27">
        <w:rPr>
          <w:rFonts w:ascii="Arial" w:eastAsia="Calibri" w:hAnsi="Arial" w:cs="Arial"/>
          <w:szCs w:val="22"/>
        </w:rPr>
        <w:t>Y = β</w:t>
      </w:r>
      <w:r w:rsidRPr="001C2C27">
        <w:rPr>
          <w:rFonts w:ascii="Cambria Math" w:eastAsia="Calibri" w:hAnsi="Cambria Math" w:cs="Cambria Math"/>
          <w:szCs w:val="22"/>
        </w:rPr>
        <w:t>₀</w:t>
      </w:r>
      <w:r w:rsidRPr="001C2C27">
        <w:rPr>
          <w:rFonts w:ascii="Arial" w:eastAsia="Calibri" w:hAnsi="Arial" w:cs="Arial"/>
          <w:szCs w:val="22"/>
        </w:rPr>
        <w:t xml:space="preserve"> + β</w:t>
      </w:r>
      <w:r w:rsidRPr="001C2C27">
        <w:rPr>
          <w:rFonts w:ascii="Cambria Math" w:eastAsia="Calibri" w:hAnsi="Cambria Math" w:cs="Cambria Math"/>
          <w:szCs w:val="22"/>
        </w:rPr>
        <w:t>₁</w:t>
      </w:r>
      <w:r w:rsidRPr="001C2C27">
        <w:rPr>
          <w:rFonts w:ascii="Arial" w:eastAsia="Calibri" w:hAnsi="Arial" w:cs="Arial"/>
          <w:szCs w:val="22"/>
        </w:rPr>
        <w:t>X</w:t>
      </w:r>
      <w:r w:rsidRPr="001C2C27">
        <w:rPr>
          <w:rFonts w:ascii="Cambria Math" w:eastAsia="Calibri" w:hAnsi="Cambria Math" w:cs="Cambria Math"/>
          <w:szCs w:val="22"/>
        </w:rPr>
        <w:t>₁</w:t>
      </w:r>
      <w:r w:rsidRPr="001C2C27">
        <w:rPr>
          <w:rFonts w:ascii="Arial" w:eastAsia="Calibri" w:hAnsi="Arial" w:cs="Arial"/>
          <w:szCs w:val="22"/>
        </w:rPr>
        <w:t xml:space="preserve"> + ϵ</w:t>
      </w:r>
      <w:r w:rsidR="00325967" w:rsidRPr="001C2C27">
        <w:rPr>
          <w:rFonts w:ascii="Arial" w:eastAsia="Calibri" w:hAnsi="Arial" w:cs="Arial"/>
          <w:szCs w:val="22"/>
        </w:rPr>
        <w:t>………………………………………………………………………</w:t>
      </w:r>
      <w:r w:rsidR="00791851" w:rsidRPr="001C2C27">
        <w:rPr>
          <w:rFonts w:ascii="Arial" w:eastAsia="Calibri" w:hAnsi="Arial" w:cs="Arial"/>
          <w:szCs w:val="22"/>
        </w:rPr>
        <w:t>… [</w:t>
      </w:r>
      <w:r w:rsidR="00325967" w:rsidRPr="001C2C27">
        <w:rPr>
          <w:rFonts w:ascii="Arial" w:eastAsia="Calibri" w:hAnsi="Arial" w:cs="Arial"/>
          <w:szCs w:val="22"/>
        </w:rPr>
        <w:t>Equation 1]</w:t>
      </w:r>
    </w:p>
    <w:p w14:paraId="4B27BAAE" w14:textId="77777777" w:rsidR="0017669A" w:rsidRPr="001C2C27" w:rsidRDefault="0017669A" w:rsidP="0012721F">
      <w:pPr>
        <w:pStyle w:val="Body"/>
        <w:spacing w:after="0" w:line="480" w:lineRule="auto"/>
        <w:rPr>
          <w:rFonts w:ascii="Arial" w:eastAsia="Calibri" w:hAnsi="Arial" w:cs="Arial"/>
          <w:szCs w:val="22"/>
        </w:rPr>
      </w:pPr>
      <w:r w:rsidRPr="001C2C27">
        <w:rPr>
          <w:rFonts w:ascii="Arial" w:eastAsia="Calibri" w:hAnsi="Arial" w:cs="Arial"/>
          <w:szCs w:val="22"/>
        </w:rPr>
        <w:t>Where:</w:t>
      </w:r>
      <w:r w:rsidRPr="001C2C27">
        <w:rPr>
          <w:rFonts w:ascii="Arial" w:eastAsia="Calibri" w:hAnsi="Arial" w:cs="Arial"/>
          <w:szCs w:val="22"/>
        </w:rPr>
        <w:br/>
        <w:t>Y = Pharmacy Performance</w:t>
      </w:r>
    </w:p>
    <w:p w14:paraId="1F8ACEAD" w14:textId="77777777" w:rsidR="0017669A" w:rsidRPr="001C2C27" w:rsidRDefault="0017669A" w:rsidP="0012721F">
      <w:pPr>
        <w:pStyle w:val="Body"/>
        <w:spacing w:after="0" w:line="480" w:lineRule="auto"/>
        <w:rPr>
          <w:rFonts w:ascii="Arial" w:eastAsia="Calibri" w:hAnsi="Arial" w:cs="Arial"/>
          <w:szCs w:val="22"/>
        </w:rPr>
      </w:pPr>
      <w:r w:rsidRPr="001C2C27">
        <w:rPr>
          <w:rFonts w:ascii="Arial" w:eastAsia="Calibri" w:hAnsi="Arial" w:cs="Arial"/>
          <w:szCs w:val="22"/>
        </w:rPr>
        <w:lastRenderedPageBreak/>
        <w:t>X</w:t>
      </w:r>
      <w:r w:rsidRPr="001C2C27">
        <w:rPr>
          <w:rFonts w:ascii="Cambria Math" w:eastAsia="Calibri" w:hAnsi="Cambria Math" w:cs="Cambria Math"/>
          <w:szCs w:val="22"/>
        </w:rPr>
        <w:t>₁</w:t>
      </w:r>
      <w:r w:rsidRPr="001C2C27">
        <w:rPr>
          <w:rFonts w:ascii="Arial" w:eastAsia="Calibri" w:hAnsi="Arial" w:cs="Arial"/>
          <w:szCs w:val="22"/>
        </w:rPr>
        <w:t xml:space="preserve"> = Material Capability</w:t>
      </w:r>
    </w:p>
    <w:p w14:paraId="0D134326" w14:textId="77777777" w:rsidR="0017669A" w:rsidRPr="001C2C27" w:rsidRDefault="0017669A" w:rsidP="0012721F">
      <w:pPr>
        <w:pStyle w:val="Body"/>
        <w:spacing w:after="0" w:line="480" w:lineRule="auto"/>
        <w:rPr>
          <w:rFonts w:ascii="Arial" w:eastAsia="Calibri" w:hAnsi="Arial" w:cs="Arial"/>
          <w:szCs w:val="22"/>
        </w:rPr>
      </w:pPr>
      <w:r w:rsidRPr="001C2C27">
        <w:rPr>
          <w:rFonts w:ascii="Arial" w:eastAsia="Calibri" w:hAnsi="Arial" w:cs="Arial"/>
          <w:szCs w:val="22"/>
        </w:rPr>
        <w:t>β</w:t>
      </w:r>
      <w:r w:rsidRPr="001C2C27">
        <w:rPr>
          <w:rFonts w:ascii="Cambria Math" w:eastAsia="Calibri" w:hAnsi="Cambria Math" w:cs="Cambria Math"/>
          <w:szCs w:val="22"/>
        </w:rPr>
        <w:t>₀</w:t>
      </w:r>
      <w:r w:rsidRPr="001C2C27">
        <w:rPr>
          <w:rFonts w:ascii="Arial" w:eastAsia="Calibri" w:hAnsi="Arial" w:cs="Arial"/>
          <w:szCs w:val="22"/>
        </w:rPr>
        <w:t xml:space="preserve"> = Constant</w:t>
      </w:r>
    </w:p>
    <w:p w14:paraId="0C4A9898" w14:textId="77777777" w:rsidR="0017669A" w:rsidRPr="001C2C27" w:rsidRDefault="0017669A" w:rsidP="0012721F">
      <w:pPr>
        <w:pStyle w:val="Body"/>
        <w:spacing w:after="0" w:line="480" w:lineRule="auto"/>
        <w:rPr>
          <w:rFonts w:ascii="Arial" w:eastAsia="Calibri" w:hAnsi="Arial" w:cs="Arial"/>
          <w:szCs w:val="22"/>
        </w:rPr>
      </w:pPr>
      <w:r w:rsidRPr="001C2C27">
        <w:rPr>
          <w:rFonts w:ascii="Arial" w:eastAsia="Calibri" w:hAnsi="Arial" w:cs="Arial"/>
          <w:szCs w:val="22"/>
        </w:rPr>
        <w:t>β</w:t>
      </w:r>
      <w:r w:rsidRPr="001C2C27">
        <w:rPr>
          <w:rFonts w:ascii="Cambria Math" w:eastAsia="Calibri" w:hAnsi="Cambria Math" w:cs="Cambria Math"/>
          <w:szCs w:val="22"/>
        </w:rPr>
        <w:t>₁</w:t>
      </w:r>
      <w:r w:rsidRPr="001C2C27">
        <w:rPr>
          <w:rFonts w:ascii="Arial" w:eastAsia="Calibri" w:hAnsi="Arial" w:cs="Arial"/>
          <w:szCs w:val="22"/>
        </w:rPr>
        <w:t xml:space="preserve"> = Coefficient for material capability</w:t>
      </w:r>
    </w:p>
    <w:p w14:paraId="4B23E773" w14:textId="4CAD535C" w:rsidR="0017669A" w:rsidRPr="001C2C27" w:rsidRDefault="0017669A" w:rsidP="0012721F">
      <w:pPr>
        <w:pStyle w:val="Body"/>
        <w:spacing w:after="0" w:line="480" w:lineRule="auto"/>
        <w:rPr>
          <w:rFonts w:ascii="Arial" w:eastAsia="Calibri" w:hAnsi="Arial" w:cs="Arial"/>
          <w:szCs w:val="22"/>
        </w:rPr>
      </w:pPr>
      <w:r w:rsidRPr="001C2C27">
        <w:rPr>
          <w:rFonts w:ascii="Arial" w:eastAsia="Calibri" w:hAnsi="Arial" w:cs="Arial"/>
          <w:szCs w:val="22"/>
        </w:rPr>
        <w:t>ϵ = Error term</w:t>
      </w:r>
    </w:p>
    <w:p w14:paraId="74E976AB" w14:textId="2B18DF47" w:rsidR="0017669A" w:rsidRPr="001C2C27" w:rsidRDefault="00856696" w:rsidP="0012721F">
      <w:pPr>
        <w:pStyle w:val="Body"/>
        <w:spacing w:after="0" w:line="480" w:lineRule="auto"/>
        <w:rPr>
          <w:rFonts w:ascii="Arial" w:eastAsia="Calibri" w:hAnsi="Arial" w:cs="Arial"/>
          <w:szCs w:val="22"/>
        </w:rPr>
      </w:pPr>
      <w:r w:rsidRPr="001C2C27">
        <w:rPr>
          <w:rFonts w:ascii="Arial" w:eastAsia="Calibri" w:hAnsi="Arial" w:cs="Arial"/>
          <w:szCs w:val="22"/>
        </w:rPr>
        <w:t xml:space="preserve">Qualitative interview data were </w:t>
      </w:r>
      <w:r w:rsidR="00791851" w:rsidRPr="001C2C27">
        <w:rPr>
          <w:rFonts w:ascii="Arial" w:eastAsia="Calibri" w:hAnsi="Arial" w:cs="Arial"/>
          <w:szCs w:val="22"/>
        </w:rPr>
        <w:t>analyzed</w:t>
      </w:r>
      <w:r w:rsidR="00BD61DE" w:rsidRPr="001C2C27">
        <w:rPr>
          <w:rFonts w:ascii="Arial" w:eastAsia="Calibri" w:hAnsi="Arial" w:cs="Arial"/>
          <w:szCs w:val="22"/>
        </w:rPr>
        <w:t xml:space="preserve"> </w:t>
      </w:r>
      <w:r w:rsidRPr="001C2C27">
        <w:rPr>
          <w:rFonts w:ascii="Arial" w:eastAsia="Calibri" w:hAnsi="Arial" w:cs="Arial"/>
          <w:szCs w:val="22"/>
        </w:rPr>
        <w:t>using Braun and Clarke’s (2006) thematic analysis framework, identifying patterns and themes relevant to strategic capability and performance.</w:t>
      </w:r>
    </w:p>
    <w:p w14:paraId="1C7FC676" w14:textId="77777777" w:rsidR="00BF5F32" w:rsidRPr="001C2C27" w:rsidRDefault="00BF5F32" w:rsidP="0012721F">
      <w:pPr>
        <w:pStyle w:val="Body"/>
        <w:spacing w:after="0" w:line="480" w:lineRule="auto"/>
        <w:rPr>
          <w:rFonts w:ascii="Arial" w:eastAsia="Calibri" w:hAnsi="Arial" w:cs="Arial"/>
          <w:szCs w:val="22"/>
        </w:rPr>
      </w:pPr>
    </w:p>
    <w:p w14:paraId="631DEFE3" w14:textId="351EAD41" w:rsidR="0017669A" w:rsidRPr="001C2C27" w:rsidRDefault="0017669A" w:rsidP="0012721F">
      <w:pPr>
        <w:pStyle w:val="Body"/>
        <w:spacing w:after="0" w:line="480" w:lineRule="auto"/>
        <w:rPr>
          <w:rFonts w:ascii="Arial" w:eastAsia="Calibri" w:hAnsi="Arial" w:cs="Arial"/>
          <w:b/>
          <w:bCs/>
          <w:sz w:val="22"/>
          <w:szCs w:val="22"/>
        </w:rPr>
      </w:pPr>
      <w:r w:rsidRPr="001C2C27">
        <w:rPr>
          <w:rFonts w:ascii="Arial" w:eastAsia="Calibri" w:hAnsi="Arial" w:cs="Arial"/>
          <w:b/>
          <w:bCs/>
          <w:sz w:val="22"/>
          <w:szCs w:val="22"/>
        </w:rPr>
        <w:t>2.7 Ethical Considerations</w:t>
      </w:r>
    </w:p>
    <w:p w14:paraId="6569A559" w14:textId="77777777" w:rsidR="00BF5F32" w:rsidRPr="001C2C27" w:rsidRDefault="00BF5F32" w:rsidP="0012721F">
      <w:pPr>
        <w:pStyle w:val="Body"/>
        <w:spacing w:after="0" w:line="480" w:lineRule="auto"/>
        <w:rPr>
          <w:rFonts w:ascii="Arial" w:eastAsia="Calibri" w:hAnsi="Arial" w:cs="Arial"/>
          <w:sz w:val="22"/>
          <w:szCs w:val="22"/>
        </w:rPr>
      </w:pPr>
    </w:p>
    <w:p w14:paraId="22CF1C93" w14:textId="2AA94085" w:rsidR="00B01FCD" w:rsidRPr="001C2C27" w:rsidRDefault="00856696" w:rsidP="0012721F">
      <w:pPr>
        <w:pStyle w:val="Body"/>
        <w:spacing w:after="0" w:line="480" w:lineRule="auto"/>
        <w:rPr>
          <w:rFonts w:ascii="Arial" w:hAnsi="Arial" w:cs="Arial"/>
        </w:rPr>
      </w:pPr>
      <w:r w:rsidRPr="001C2C27">
        <w:rPr>
          <w:rFonts w:ascii="Arial" w:eastAsia="Calibri" w:hAnsi="Arial" w:cs="Arial"/>
          <w:szCs w:val="22"/>
        </w:rPr>
        <w:t xml:space="preserve">Ethical approval for the study was obtained from the </w:t>
      </w:r>
      <w:r w:rsidRPr="001C2C27">
        <w:rPr>
          <w:rFonts w:ascii="Arial" w:eastAsia="Calibri" w:hAnsi="Arial" w:cs="Arial"/>
          <w:bCs/>
          <w:szCs w:val="22"/>
        </w:rPr>
        <w:t>Ethics Committee of Garissa University</w:t>
      </w:r>
      <w:r w:rsidRPr="001C2C27">
        <w:rPr>
          <w:rFonts w:ascii="Arial" w:eastAsia="Calibri" w:hAnsi="Arial" w:cs="Arial"/>
          <w:szCs w:val="22"/>
        </w:rPr>
        <w:t xml:space="preserve"> and the </w:t>
      </w:r>
      <w:r w:rsidRPr="001C2C27">
        <w:rPr>
          <w:rFonts w:ascii="Arial" w:eastAsia="Calibri" w:hAnsi="Arial" w:cs="Arial"/>
          <w:bCs/>
          <w:szCs w:val="22"/>
        </w:rPr>
        <w:t>National Commission for Science, Technology, and Innovation (NACOSTI)</w:t>
      </w:r>
      <w:r w:rsidRPr="001C2C27">
        <w:rPr>
          <w:rFonts w:ascii="Arial" w:eastAsia="Calibri" w:hAnsi="Arial" w:cs="Arial"/>
          <w:szCs w:val="22"/>
        </w:rPr>
        <w:t xml:space="preserve">. Prior to participation, all respondents were provided with detailed information about the study and gave </w:t>
      </w:r>
      <w:r w:rsidRPr="001C2C27">
        <w:rPr>
          <w:rFonts w:ascii="Arial" w:eastAsia="Calibri" w:hAnsi="Arial" w:cs="Arial"/>
          <w:bCs/>
          <w:szCs w:val="22"/>
        </w:rPr>
        <w:t>informed written consent</w:t>
      </w:r>
      <w:r w:rsidRPr="001C2C27">
        <w:rPr>
          <w:rFonts w:ascii="Arial" w:eastAsia="Calibri" w:hAnsi="Arial" w:cs="Arial"/>
          <w:szCs w:val="22"/>
        </w:rPr>
        <w:t xml:space="preserve">. To protect participant privacy, </w:t>
      </w:r>
      <w:r w:rsidRPr="001C2C27">
        <w:rPr>
          <w:rFonts w:ascii="Arial" w:eastAsia="Calibri" w:hAnsi="Arial" w:cs="Arial"/>
          <w:bCs/>
          <w:szCs w:val="22"/>
        </w:rPr>
        <w:t>no personal identifiers</w:t>
      </w:r>
      <w:r w:rsidRPr="001C2C27">
        <w:rPr>
          <w:rFonts w:ascii="Arial" w:eastAsia="Calibri" w:hAnsi="Arial" w:cs="Arial"/>
          <w:szCs w:val="22"/>
        </w:rPr>
        <w:t xml:space="preserve"> were collected, and all responses were treated with strict </w:t>
      </w:r>
      <w:r w:rsidRPr="001C2C27">
        <w:rPr>
          <w:rFonts w:ascii="Arial" w:eastAsia="Calibri" w:hAnsi="Arial" w:cs="Arial"/>
          <w:bCs/>
          <w:szCs w:val="22"/>
        </w:rPr>
        <w:t>confidentiality</w:t>
      </w:r>
      <w:r w:rsidRPr="001C2C27">
        <w:rPr>
          <w:rFonts w:ascii="Arial" w:eastAsia="Calibri" w:hAnsi="Arial" w:cs="Arial"/>
          <w:szCs w:val="22"/>
        </w:rPr>
        <w:t xml:space="preserve">. The data were securely stored and used solely for </w:t>
      </w:r>
      <w:r w:rsidRPr="001C2C27">
        <w:rPr>
          <w:rFonts w:ascii="Arial" w:eastAsia="Calibri" w:hAnsi="Arial" w:cs="Arial"/>
          <w:bCs/>
          <w:szCs w:val="22"/>
        </w:rPr>
        <w:t>academic and research purposes</w:t>
      </w:r>
      <w:r w:rsidRPr="001C2C27">
        <w:rPr>
          <w:rFonts w:ascii="Arial" w:eastAsia="Calibri" w:hAnsi="Arial" w:cs="Arial"/>
          <w:szCs w:val="22"/>
        </w:rPr>
        <w:t>, in full compliance with institutional and national ethical guidelines.</w:t>
      </w:r>
    </w:p>
    <w:p w14:paraId="3A280205" w14:textId="2FD8C574" w:rsidR="00E66E10" w:rsidRPr="001C2C27" w:rsidRDefault="00E66E10" w:rsidP="0012721F">
      <w:pPr>
        <w:pStyle w:val="Body"/>
        <w:spacing w:after="0" w:line="480" w:lineRule="auto"/>
        <w:rPr>
          <w:rFonts w:ascii="Arial" w:hAnsi="Arial" w:cs="Arial"/>
        </w:rPr>
      </w:pPr>
    </w:p>
    <w:p w14:paraId="18A64E3E" w14:textId="77777777" w:rsidR="00902823" w:rsidRPr="001C2C27" w:rsidRDefault="00000F8F" w:rsidP="0012721F">
      <w:pPr>
        <w:pStyle w:val="Head1"/>
        <w:spacing w:after="0" w:line="480" w:lineRule="auto"/>
        <w:jc w:val="both"/>
        <w:rPr>
          <w:rFonts w:ascii="Arial" w:hAnsi="Arial" w:cs="Arial"/>
        </w:rPr>
      </w:pPr>
      <w:r w:rsidRPr="001C2C27">
        <w:rPr>
          <w:rFonts w:ascii="Arial" w:hAnsi="Arial" w:cs="Arial"/>
        </w:rPr>
        <w:t>3</w:t>
      </w:r>
      <w:r w:rsidR="00902823" w:rsidRPr="001C2C27">
        <w:rPr>
          <w:rFonts w:ascii="Arial" w:hAnsi="Arial" w:cs="Arial"/>
        </w:rPr>
        <w:t xml:space="preserve">. </w:t>
      </w:r>
      <w:r w:rsidRPr="001C2C27">
        <w:rPr>
          <w:rFonts w:ascii="Arial" w:hAnsi="Arial" w:cs="Arial"/>
        </w:rPr>
        <w:t>results and discussion</w:t>
      </w:r>
    </w:p>
    <w:p w14:paraId="3F146622" w14:textId="77777777" w:rsidR="00790ADA" w:rsidRPr="001C2C27" w:rsidRDefault="00790ADA" w:rsidP="0012721F">
      <w:pPr>
        <w:pStyle w:val="Head1"/>
        <w:spacing w:after="0" w:line="480" w:lineRule="auto"/>
        <w:jc w:val="both"/>
        <w:rPr>
          <w:rFonts w:ascii="Arial" w:hAnsi="Arial" w:cs="Arial"/>
        </w:rPr>
      </w:pPr>
    </w:p>
    <w:p w14:paraId="2B9A45CB" w14:textId="77777777" w:rsidR="008E7905" w:rsidRPr="001C2C27" w:rsidRDefault="008E7905" w:rsidP="0012721F">
      <w:pPr>
        <w:pStyle w:val="Body"/>
        <w:spacing w:after="0" w:line="480" w:lineRule="auto"/>
        <w:rPr>
          <w:rFonts w:ascii="Arial" w:hAnsi="Arial" w:cs="Arial"/>
          <w:b/>
          <w:bCs/>
          <w:sz w:val="22"/>
          <w:szCs w:val="22"/>
        </w:rPr>
      </w:pPr>
      <w:r w:rsidRPr="001C2C27">
        <w:rPr>
          <w:rFonts w:ascii="Arial" w:hAnsi="Arial" w:cs="Arial"/>
          <w:b/>
          <w:bCs/>
          <w:sz w:val="22"/>
          <w:szCs w:val="22"/>
        </w:rPr>
        <w:t>3.1 Descriptive Statistics of Material Capability and Pharmacy Performance</w:t>
      </w:r>
    </w:p>
    <w:p w14:paraId="2A55A3F1" w14:textId="77777777" w:rsidR="00BF5F32" w:rsidRPr="001C2C27" w:rsidRDefault="00BF5F32" w:rsidP="0012721F">
      <w:pPr>
        <w:pStyle w:val="Body"/>
        <w:spacing w:after="0" w:line="480" w:lineRule="auto"/>
        <w:rPr>
          <w:rFonts w:ascii="Arial" w:hAnsi="Arial" w:cs="Arial"/>
        </w:rPr>
      </w:pPr>
    </w:p>
    <w:p w14:paraId="5874419B" w14:textId="7EB37427" w:rsidR="008E7905" w:rsidRPr="001C2C27" w:rsidRDefault="000D47A0" w:rsidP="0012721F">
      <w:pPr>
        <w:pStyle w:val="Body"/>
        <w:spacing w:after="0" w:line="480" w:lineRule="auto"/>
        <w:rPr>
          <w:rFonts w:ascii="Arial" w:hAnsi="Arial" w:cs="Arial"/>
        </w:rPr>
      </w:pPr>
      <w:r w:rsidRPr="001C2C27">
        <w:rPr>
          <w:rFonts w:ascii="Arial" w:hAnsi="Arial" w:cs="Arial"/>
        </w:rPr>
        <w:t xml:space="preserve">The study assessed the descriptive statistics for material capability and pharmacy performance. As presented in Table 1, the mean score for material capability was 3.89 (SD = 0.61), while pharmacy performance recorded a nearly identical mean of 3.89 (SD = 0.49). These results indicate that respondents moderately agreed that their pharmacies had implemented procurement, stock management, and cost control practices that positively </w:t>
      </w:r>
      <w:r w:rsidRPr="001C2C27">
        <w:rPr>
          <w:rFonts w:ascii="Arial" w:hAnsi="Arial" w:cs="Arial"/>
        </w:rPr>
        <w:lastRenderedPageBreak/>
        <w:t xml:space="preserve">contributed to performance outcomes. The closeness of the mean values for the two constructs suggests a close alignment between the level of material capability and the observed performance of pharmacies. In other words, the ability to maintain accurate inventory systems, </w:t>
      </w:r>
      <w:r w:rsidR="00BD61DE" w:rsidRPr="001C2C27">
        <w:rPr>
          <w:rFonts w:ascii="Arial" w:hAnsi="Arial" w:cs="Arial"/>
        </w:rPr>
        <w:t xml:space="preserve">ensure </w:t>
      </w:r>
      <w:r w:rsidRPr="001C2C27">
        <w:rPr>
          <w:rFonts w:ascii="Arial" w:hAnsi="Arial" w:cs="Arial"/>
        </w:rPr>
        <w:t>reliable p</w:t>
      </w:r>
      <w:r w:rsidR="00F82471" w:rsidRPr="001C2C27">
        <w:rPr>
          <w:rFonts w:ascii="Arial" w:hAnsi="Arial" w:cs="Arial"/>
        </w:rPr>
        <w:t>rocurement, and control costs was</w:t>
      </w:r>
      <w:r w:rsidRPr="001C2C27">
        <w:rPr>
          <w:rFonts w:ascii="Arial" w:hAnsi="Arial" w:cs="Arial"/>
        </w:rPr>
        <w:t xml:space="preserve"> strongly reflected in how pharmacies perceive their overall perf</w:t>
      </w:r>
      <w:r w:rsidR="00F82471" w:rsidRPr="001C2C27">
        <w:rPr>
          <w:rFonts w:ascii="Arial" w:hAnsi="Arial" w:cs="Arial"/>
        </w:rPr>
        <w:t>ormance. This observation aligned with prior research showed</w:t>
      </w:r>
      <w:r w:rsidRPr="001C2C27">
        <w:rPr>
          <w:rFonts w:ascii="Arial" w:hAnsi="Arial" w:cs="Arial"/>
        </w:rPr>
        <w:t xml:space="preserve"> that efficient inventory management not only reduces operational costs but also improves service delivery and profitability (</w:t>
      </w:r>
      <w:r w:rsidR="0071464F" w:rsidRPr="001C2C27">
        <w:t>Jobira, Bekele, Feyissa, and Tadesse</w:t>
      </w:r>
      <w:r w:rsidRPr="001C2C27">
        <w:rPr>
          <w:rFonts w:ascii="Arial" w:hAnsi="Arial" w:cs="Arial"/>
        </w:rPr>
        <w:t>, 2022).</w:t>
      </w:r>
    </w:p>
    <w:p w14:paraId="185F0858" w14:textId="77777777" w:rsidR="00F30674" w:rsidRPr="001C2C27" w:rsidRDefault="00F30674" w:rsidP="0012721F">
      <w:pPr>
        <w:pStyle w:val="Body"/>
        <w:spacing w:after="0" w:line="480" w:lineRule="auto"/>
        <w:rPr>
          <w:rFonts w:ascii="Arial" w:hAnsi="Arial" w:cs="Arial"/>
        </w:rPr>
      </w:pPr>
    </w:p>
    <w:p w14:paraId="7F05AE5F" w14:textId="77777777" w:rsidR="008E7905" w:rsidRPr="001C2C27" w:rsidRDefault="008E7905" w:rsidP="0012721F">
      <w:pPr>
        <w:pStyle w:val="Body"/>
        <w:spacing w:after="0" w:line="480" w:lineRule="auto"/>
        <w:rPr>
          <w:rFonts w:ascii="Arial" w:hAnsi="Arial" w:cs="Arial"/>
        </w:rPr>
      </w:pPr>
      <w:r w:rsidRPr="001C2C27">
        <w:rPr>
          <w:rFonts w:ascii="Arial" w:hAnsi="Arial" w:cs="Arial"/>
          <w:i/>
          <w:iCs/>
        </w:rPr>
        <w:t>Table 1. Descriptive statistics for material capability and pharmacy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2"/>
        <w:gridCol w:w="1130"/>
        <w:gridCol w:w="1075"/>
        <w:gridCol w:w="891"/>
      </w:tblGrid>
      <w:tr w:rsidR="008E7905" w:rsidRPr="001C2C27" w14:paraId="3E1181D9" w14:textId="77777777" w:rsidTr="000D47A0">
        <w:trPr>
          <w:tblHeader/>
          <w:tblCellSpacing w:w="15" w:type="dxa"/>
        </w:trPr>
        <w:tc>
          <w:tcPr>
            <w:tcW w:w="5067" w:type="dxa"/>
            <w:tcBorders>
              <w:top w:val="single" w:sz="4" w:space="0" w:color="auto"/>
              <w:bottom w:val="single" w:sz="4" w:space="0" w:color="auto"/>
            </w:tcBorders>
            <w:vAlign w:val="center"/>
            <w:hideMark/>
          </w:tcPr>
          <w:p w14:paraId="17FF7544"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rPr>
              <w:t>Variable</w:t>
            </w:r>
          </w:p>
        </w:tc>
        <w:tc>
          <w:tcPr>
            <w:tcW w:w="1100" w:type="dxa"/>
            <w:tcBorders>
              <w:top w:val="single" w:sz="4" w:space="0" w:color="auto"/>
              <w:bottom w:val="single" w:sz="4" w:space="0" w:color="auto"/>
            </w:tcBorders>
            <w:vAlign w:val="center"/>
            <w:hideMark/>
          </w:tcPr>
          <w:p w14:paraId="3E4263D5"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rPr>
              <w:t>Mean</w:t>
            </w:r>
          </w:p>
        </w:tc>
        <w:tc>
          <w:tcPr>
            <w:tcW w:w="1045" w:type="dxa"/>
            <w:tcBorders>
              <w:top w:val="single" w:sz="4" w:space="0" w:color="auto"/>
              <w:bottom w:val="single" w:sz="4" w:space="0" w:color="auto"/>
            </w:tcBorders>
            <w:vAlign w:val="center"/>
            <w:hideMark/>
          </w:tcPr>
          <w:p w14:paraId="13FCA9B7"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rPr>
              <w:t>SD</w:t>
            </w:r>
          </w:p>
        </w:tc>
        <w:tc>
          <w:tcPr>
            <w:tcW w:w="846" w:type="dxa"/>
            <w:tcBorders>
              <w:top w:val="single" w:sz="4" w:space="0" w:color="auto"/>
              <w:bottom w:val="single" w:sz="4" w:space="0" w:color="auto"/>
            </w:tcBorders>
            <w:vAlign w:val="center"/>
            <w:hideMark/>
          </w:tcPr>
          <w:p w14:paraId="5F0781F5"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rPr>
              <w:t>N</w:t>
            </w:r>
          </w:p>
        </w:tc>
      </w:tr>
      <w:tr w:rsidR="008E7905" w:rsidRPr="001C2C27" w14:paraId="23A10DFF" w14:textId="77777777" w:rsidTr="000D47A0">
        <w:trPr>
          <w:tblCellSpacing w:w="15" w:type="dxa"/>
        </w:trPr>
        <w:tc>
          <w:tcPr>
            <w:tcW w:w="5067" w:type="dxa"/>
            <w:vAlign w:val="center"/>
            <w:hideMark/>
          </w:tcPr>
          <w:p w14:paraId="40AF469C" w14:textId="77777777" w:rsidR="008E7905" w:rsidRPr="001C2C27" w:rsidRDefault="008E7905" w:rsidP="0012721F">
            <w:pPr>
              <w:pStyle w:val="Body"/>
              <w:spacing w:line="480" w:lineRule="auto"/>
              <w:rPr>
                <w:rFonts w:ascii="Arial" w:hAnsi="Arial" w:cs="Arial"/>
              </w:rPr>
            </w:pPr>
            <w:r w:rsidRPr="001C2C27">
              <w:rPr>
                <w:rFonts w:ascii="Arial" w:hAnsi="Arial" w:cs="Arial"/>
              </w:rPr>
              <w:t>Material capability</w:t>
            </w:r>
          </w:p>
        </w:tc>
        <w:tc>
          <w:tcPr>
            <w:tcW w:w="1100" w:type="dxa"/>
            <w:vAlign w:val="center"/>
            <w:hideMark/>
          </w:tcPr>
          <w:p w14:paraId="1F34B447" w14:textId="77777777" w:rsidR="008E7905" w:rsidRPr="001C2C27" w:rsidRDefault="008E7905" w:rsidP="0012721F">
            <w:pPr>
              <w:pStyle w:val="Body"/>
              <w:spacing w:line="480" w:lineRule="auto"/>
              <w:rPr>
                <w:rFonts w:ascii="Arial" w:hAnsi="Arial" w:cs="Arial"/>
              </w:rPr>
            </w:pPr>
            <w:r w:rsidRPr="001C2C27">
              <w:rPr>
                <w:rFonts w:ascii="Arial" w:hAnsi="Arial" w:cs="Arial"/>
              </w:rPr>
              <w:t>3.8851</w:t>
            </w:r>
          </w:p>
        </w:tc>
        <w:tc>
          <w:tcPr>
            <w:tcW w:w="1045" w:type="dxa"/>
            <w:vAlign w:val="center"/>
            <w:hideMark/>
          </w:tcPr>
          <w:p w14:paraId="43F4C6F5" w14:textId="77777777" w:rsidR="008E7905" w:rsidRPr="001C2C27" w:rsidRDefault="008E7905" w:rsidP="0012721F">
            <w:pPr>
              <w:pStyle w:val="Body"/>
              <w:spacing w:line="480" w:lineRule="auto"/>
              <w:rPr>
                <w:rFonts w:ascii="Arial" w:hAnsi="Arial" w:cs="Arial"/>
              </w:rPr>
            </w:pPr>
            <w:r w:rsidRPr="001C2C27">
              <w:rPr>
                <w:rFonts w:ascii="Arial" w:hAnsi="Arial" w:cs="Arial"/>
              </w:rPr>
              <w:t>0.6071</w:t>
            </w:r>
          </w:p>
        </w:tc>
        <w:tc>
          <w:tcPr>
            <w:tcW w:w="846" w:type="dxa"/>
            <w:vAlign w:val="center"/>
            <w:hideMark/>
          </w:tcPr>
          <w:p w14:paraId="20818391" w14:textId="77777777" w:rsidR="008E7905" w:rsidRPr="001C2C27" w:rsidRDefault="008E7905" w:rsidP="0012721F">
            <w:pPr>
              <w:pStyle w:val="Body"/>
              <w:spacing w:line="480" w:lineRule="auto"/>
              <w:rPr>
                <w:rFonts w:ascii="Arial" w:hAnsi="Arial" w:cs="Arial"/>
              </w:rPr>
            </w:pPr>
            <w:r w:rsidRPr="001C2C27">
              <w:rPr>
                <w:rFonts w:ascii="Arial" w:hAnsi="Arial" w:cs="Arial"/>
              </w:rPr>
              <w:t>105</w:t>
            </w:r>
          </w:p>
        </w:tc>
      </w:tr>
      <w:tr w:rsidR="008E7905" w:rsidRPr="001C2C27" w14:paraId="4E219F1C" w14:textId="77777777" w:rsidTr="000D47A0">
        <w:trPr>
          <w:tblCellSpacing w:w="15" w:type="dxa"/>
        </w:trPr>
        <w:tc>
          <w:tcPr>
            <w:tcW w:w="5067" w:type="dxa"/>
            <w:tcBorders>
              <w:bottom w:val="single" w:sz="4" w:space="0" w:color="auto"/>
            </w:tcBorders>
            <w:vAlign w:val="center"/>
            <w:hideMark/>
          </w:tcPr>
          <w:p w14:paraId="74A2AB94" w14:textId="77777777" w:rsidR="008E7905" w:rsidRPr="001C2C27" w:rsidRDefault="008E7905" w:rsidP="0012721F">
            <w:pPr>
              <w:pStyle w:val="Body"/>
              <w:spacing w:line="480" w:lineRule="auto"/>
              <w:rPr>
                <w:rFonts w:ascii="Arial" w:hAnsi="Arial" w:cs="Arial"/>
              </w:rPr>
            </w:pPr>
            <w:r w:rsidRPr="001C2C27">
              <w:rPr>
                <w:rFonts w:ascii="Arial" w:hAnsi="Arial" w:cs="Arial"/>
              </w:rPr>
              <w:t>Pharmacy performance</w:t>
            </w:r>
          </w:p>
        </w:tc>
        <w:tc>
          <w:tcPr>
            <w:tcW w:w="1100" w:type="dxa"/>
            <w:tcBorders>
              <w:bottom w:val="single" w:sz="4" w:space="0" w:color="auto"/>
            </w:tcBorders>
            <w:vAlign w:val="center"/>
            <w:hideMark/>
          </w:tcPr>
          <w:p w14:paraId="1F9D3298" w14:textId="77777777" w:rsidR="008E7905" w:rsidRPr="001C2C27" w:rsidRDefault="008E7905" w:rsidP="0012721F">
            <w:pPr>
              <w:pStyle w:val="Body"/>
              <w:spacing w:line="480" w:lineRule="auto"/>
              <w:rPr>
                <w:rFonts w:ascii="Arial" w:hAnsi="Arial" w:cs="Arial"/>
              </w:rPr>
            </w:pPr>
            <w:r w:rsidRPr="001C2C27">
              <w:rPr>
                <w:rFonts w:ascii="Arial" w:hAnsi="Arial" w:cs="Arial"/>
              </w:rPr>
              <w:t>3.8873</w:t>
            </w:r>
          </w:p>
        </w:tc>
        <w:tc>
          <w:tcPr>
            <w:tcW w:w="1045" w:type="dxa"/>
            <w:tcBorders>
              <w:bottom w:val="single" w:sz="4" w:space="0" w:color="auto"/>
            </w:tcBorders>
            <w:vAlign w:val="center"/>
            <w:hideMark/>
          </w:tcPr>
          <w:p w14:paraId="6CAAC55C" w14:textId="77777777" w:rsidR="008E7905" w:rsidRPr="001C2C27" w:rsidRDefault="008E7905" w:rsidP="0012721F">
            <w:pPr>
              <w:pStyle w:val="Body"/>
              <w:spacing w:line="480" w:lineRule="auto"/>
              <w:rPr>
                <w:rFonts w:ascii="Arial" w:hAnsi="Arial" w:cs="Arial"/>
              </w:rPr>
            </w:pPr>
            <w:r w:rsidRPr="001C2C27">
              <w:rPr>
                <w:rFonts w:ascii="Arial" w:hAnsi="Arial" w:cs="Arial"/>
              </w:rPr>
              <w:t>0.4923</w:t>
            </w:r>
          </w:p>
        </w:tc>
        <w:tc>
          <w:tcPr>
            <w:tcW w:w="846" w:type="dxa"/>
            <w:tcBorders>
              <w:bottom w:val="single" w:sz="4" w:space="0" w:color="auto"/>
            </w:tcBorders>
            <w:vAlign w:val="center"/>
            <w:hideMark/>
          </w:tcPr>
          <w:p w14:paraId="6E6259F3" w14:textId="77777777" w:rsidR="008E7905" w:rsidRPr="001C2C27" w:rsidRDefault="008E7905" w:rsidP="0012721F">
            <w:pPr>
              <w:pStyle w:val="Body"/>
              <w:spacing w:line="480" w:lineRule="auto"/>
              <w:rPr>
                <w:rFonts w:ascii="Arial" w:hAnsi="Arial" w:cs="Arial"/>
              </w:rPr>
            </w:pPr>
            <w:r w:rsidRPr="001C2C27">
              <w:rPr>
                <w:rFonts w:ascii="Arial" w:hAnsi="Arial" w:cs="Arial"/>
              </w:rPr>
              <w:t>105</w:t>
            </w:r>
          </w:p>
        </w:tc>
      </w:tr>
    </w:tbl>
    <w:p w14:paraId="6E5ED0BC" w14:textId="77777777" w:rsidR="00F30674" w:rsidRPr="001C2C27" w:rsidRDefault="00F30674" w:rsidP="0012721F">
      <w:pPr>
        <w:pStyle w:val="Body"/>
        <w:spacing w:after="0" w:line="480" w:lineRule="auto"/>
        <w:rPr>
          <w:rFonts w:ascii="Arial" w:hAnsi="Arial" w:cs="Arial"/>
        </w:rPr>
      </w:pPr>
    </w:p>
    <w:p w14:paraId="7FA96E96" w14:textId="03B914C7" w:rsidR="000D47A0" w:rsidRPr="001C2C27" w:rsidRDefault="000D47A0" w:rsidP="0012721F">
      <w:pPr>
        <w:pStyle w:val="Body"/>
        <w:spacing w:after="0" w:line="480" w:lineRule="auto"/>
        <w:rPr>
          <w:rFonts w:ascii="Arial" w:hAnsi="Arial" w:cs="Arial"/>
        </w:rPr>
      </w:pPr>
      <w:r w:rsidRPr="001C2C27">
        <w:rPr>
          <w:rFonts w:ascii="Arial" w:hAnsi="Arial" w:cs="Arial"/>
        </w:rPr>
        <w:t>The relatively low standard deviations of 0.61 and 0.49 further imply that responses were clustered closely around the mean, reflecting a general consensus among participants regarding the role of material capability in shaping pharmacy performance.</w:t>
      </w:r>
    </w:p>
    <w:p w14:paraId="537EAFEF" w14:textId="77777777" w:rsidR="00BF5F32" w:rsidRPr="001C2C27" w:rsidRDefault="00BF5F32" w:rsidP="0012721F">
      <w:pPr>
        <w:pStyle w:val="Body"/>
        <w:spacing w:after="0" w:line="480" w:lineRule="auto"/>
        <w:rPr>
          <w:rFonts w:ascii="Arial" w:hAnsi="Arial" w:cs="Arial"/>
        </w:rPr>
      </w:pPr>
    </w:p>
    <w:p w14:paraId="7AE1DB4C" w14:textId="7743D0AD" w:rsidR="008E7905" w:rsidRPr="001C2C27" w:rsidRDefault="008E7905" w:rsidP="0012721F">
      <w:pPr>
        <w:pStyle w:val="Body"/>
        <w:spacing w:after="0" w:line="480" w:lineRule="auto"/>
        <w:rPr>
          <w:rFonts w:ascii="Arial" w:hAnsi="Arial" w:cs="Arial"/>
          <w:b/>
          <w:bCs/>
          <w:sz w:val="22"/>
          <w:szCs w:val="22"/>
        </w:rPr>
      </w:pPr>
      <w:r w:rsidRPr="001C2C27">
        <w:rPr>
          <w:rFonts w:ascii="Arial" w:hAnsi="Arial" w:cs="Arial"/>
          <w:b/>
          <w:bCs/>
          <w:sz w:val="22"/>
          <w:szCs w:val="22"/>
        </w:rPr>
        <w:t>3.2 Correlation Analysis</w:t>
      </w:r>
    </w:p>
    <w:p w14:paraId="37E3D173" w14:textId="77777777" w:rsidR="00BF5F32" w:rsidRPr="001C2C27" w:rsidRDefault="00BF5F32" w:rsidP="0012721F">
      <w:pPr>
        <w:pStyle w:val="Body"/>
        <w:spacing w:after="0" w:line="480" w:lineRule="auto"/>
        <w:rPr>
          <w:rFonts w:ascii="Arial" w:hAnsi="Arial" w:cs="Arial"/>
        </w:rPr>
      </w:pPr>
    </w:p>
    <w:p w14:paraId="45A6E28D" w14:textId="0099D8BB" w:rsidR="008E7905" w:rsidRPr="001C2C27" w:rsidRDefault="00BD61DE" w:rsidP="0012721F">
      <w:pPr>
        <w:pStyle w:val="Body"/>
        <w:spacing w:after="0" w:line="480" w:lineRule="auto"/>
        <w:rPr>
          <w:rFonts w:ascii="Arial" w:hAnsi="Arial" w:cs="Arial"/>
        </w:rPr>
      </w:pPr>
      <w:r w:rsidRPr="001C2C27">
        <w:rPr>
          <w:rFonts w:ascii="Arial" w:hAnsi="Arial" w:cs="Arial"/>
        </w:rPr>
        <w:t xml:space="preserve">Pearson </w:t>
      </w:r>
      <w:r w:rsidR="000D47A0" w:rsidRPr="001C2C27">
        <w:rPr>
          <w:rFonts w:ascii="Arial" w:hAnsi="Arial" w:cs="Arial"/>
        </w:rPr>
        <w:t>determine</w:t>
      </w:r>
      <w:r w:rsidR="00F82471" w:rsidRPr="001C2C27">
        <w:rPr>
          <w:rFonts w:ascii="Arial" w:hAnsi="Arial" w:cs="Arial"/>
        </w:rPr>
        <w:t>d</w:t>
      </w:r>
      <w:r w:rsidR="000D47A0" w:rsidRPr="001C2C27">
        <w:rPr>
          <w:rFonts w:ascii="Arial" w:hAnsi="Arial" w:cs="Arial"/>
        </w:rPr>
        <w:t xml:space="preserve"> the relationship between material capability and pharmacy performance, Pearson’s correlation analysis was conducted. The results revealed a strong, positive, and statistically signifi</w:t>
      </w:r>
      <w:r w:rsidR="00F82471" w:rsidRPr="001C2C27">
        <w:rPr>
          <w:rFonts w:ascii="Arial" w:hAnsi="Arial" w:cs="Arial"/>
        </w:rPr>
        <w:t xml:space="preserve">cant correlation (r = 0.684, </w:t>
      </w:r>
      <w:r w:rsidR="00F82471" w:rsidRPr="001C2C27">
        <w:rPr>
          <w:rFonts w:ascii="Arial" w:hAnsi="Arial" w:cs="Arial"/>
          <w:i/>
        </w:rPr>
        <w:t>p</w:t>
      </w:r>
      <w:r w:rsidR="00F82471" w:rsidRPr="001C2C27">
        <w:rPr>
          <w:rFonts w:ascii="Arial" w:hAnsi="Arial" w:cs="Arial"/>
        </w:rPr>
        <w:t xml:space="preserve"> = </w:t>
      </w:r>
      <w:r w:rsidR="000D47A0" w:rsidRPr="001C2C27">
        <w:rPr>
          <w:rFonts w:ascii="Arial" w:hAnsi="Arial" w:cs="Arial"/>
        </w:rPr>
        <w:t>0.001). This indicates that pharmacies with higher levels of material capability</w:t>
      </w:r>
      <w:r w:rsidR="0071464F" w:rsidRPr="001C2C27">
        <w:rPr>
          <w:rFonts w:ascii="Arial" w:hAnsi="Arial" w:cs="Arial"/>
        </w:rPr>
        <w:t xml:space="preserve"> </w:t>
      </w:r>
      <w:r w:rsidR="000D47A0" w:rsidRPr="001C2C27">
        <w:rPr>
          <w:rFonts w:ascii="Arial" w:hAnsi="Arial" w:cs="Arial"/>
        </w:rPr>
        <w:t>manifested through dependable procurement systems, consistent inventory accuracy, and efficient supplier networks</w:t>
      </w:r>
      <w:r w:rsidR="0071464F" w:rsidRPr="001C2C27">
        <w:rPr>
          <w:rFonts w:ascii="Arial" w:hAnsi="Arial" w:cs="Arial"/>
        </w:rPr>
        <w:t xml:space="preserve"> </w:t>
      </w:r>
      <w:r w:rsidR="000D47A0" w:rsidRPr="001C2C27">
        <w:rPr>
          <w:rFonts w:ascii="Arial" w:hAnsi="Arial" w:cs="Arial"/>
        </w:rPr>
        <w:t xml:space="preserve">tend to achieve superior performance outcomes. The strength of the correlation demonstrates that improvements in </w:t>
      </w:r>
      <w:r w:rsidR="000D47A0" w:rsidRPr="001C2C27">
        <w:rPr>
          <w:rFonts w:ascii="Arial" w:hAnsi="Arial" w:cs="Arial"/>
        </w:rPr>
        <w:lastRenderedPageBreak/>
        <w:t>material capability are closely tied to profitability, customer satisfaction, and custom</w:t>
      </w:r>
      <w:r w:rsidR="00F82471" w:rsidRPr="001C2C27">
        <w:rPr>
          <w:rFonts w:ascii="Arial" w:hAnsi="Arial" w:cs="Arial"/>
        </w:rPr>
        <w:t>er retention. These findings were</w:t>
      </w:r>
      <w:r w:rsidR="000D47A0" w:rsidRPr="001C2C27">
        <w:rPr>
          <w:rFonts w:ascii="Arial" w:hAnsi="Arial" w:cs="Arial"/>
        </w:rPr>
        <w:t xml:space="preserve"> consistent with earlier studies by Hamdani, Anggadwita, and </w:t>
      </w:r>
      <w:r w:rsidR="00F82471" w:rsidRPr="001C2C27">
        <w:rPr>
          <w:rFonts w:ascii="Arial" w:hAnsi="Arial" w:cs="Arial"/>
        </w:rPr>
        <w:t>Yusuf</w:t>
      </w:r>
      <w:r w:rsidR="000D47A0" w:rsidRPr="001C2C27">
        <w:rPr>
          <w:rFonts w:ascii="Arial" w:hAnsi="Arial" w:cs="Arial"/>
        </w:rPr>
        <w:t xml:space="preserve"> (2023), who found that raw material uncertainty negatively impacted SME performance, and Nguyen (2022), who reported that domestic material sourcing strategies enhanced operational outcomes. Together, these results </w:t>
      </w:r>
      <w:r w:rsidR="00791851" w:rsidRPr="001C2C27">
        <w:rPr>
          <w:rFonts w:ascii="Arial" w:hAnsi="Arial" w:cs="Arial"/>
        </w:rPr>
        <w:t>emphasized</w:t>
      </w:r>
      <w:r w:rsidRPr="001C2C27">
        <w:rPr>
          <w:rFonts w:ascii="Arial" w:hAnsi="Arial" w:cs="Arial"/>
        </w:rPr>
        <w:t xml:space="preserve"> </w:t>
      </w:r>
      <w:r w:rsidR="0039225F" w:rsidRPr="001C2C27">
        <w:rPr>
          <w:rFonts w:ascii="Arial" w:hAnsi="Arial" w:cs="Arial"/>
        </w:rPr>
        <w:t>that material capability was</w:t>
      </w:r>
      <w:r w:rsidR="000D47A0" w:rsidRPr="001C2C27">
        <w:rPr>
          <w:rFonts w:ascii="Arial" w:hAnsi="Arial" w:cs="Arial"/>
        </w:rPr>
        <w:t xml:space="preserve"> not only essential for operational continuity but also for strengthening competitive advantage in resource-constrained settings such as Garissa Town</w:t>
      </w:r>
      <w:r w:rsidR="0039225F" w:rsidRPr="001C2C27">
        <w:rPr>
          <w:rFonts w:ascii="Arial" w:hAnsi="Arial" w:cs="Arial"/>
        </w:rPr>
        <w:t xml:space="preserve"> in Kenya</w:t>
      </w:r>
      <w:r w:rsidR="000D47A0" w:rsidRPr="001C2C27">
        <w:rPr>
          <w:rFonts w:ascii="Arial" w:hAnsi="Arial" w:cs="Arial"/>
        </w:rPr>
        <w:t>.</w:t>
      </w:r>
    </w:p>
    <w:p w14:paraId="19A0CEFB" w14:textId="77777777" w:rsidR="00BF5F32" w:rsidRPr="001C2C27" w:rsidRDefault="00BF5F32" w:rsidP="0012721F">
      <w:pPr>
        <w:pStyle w:val="Body"/>
        <w:spacing w:after="0" w:line="480" w:lineRule="auto"/>
        <w:rPr>
          <w:rFonts w:ascii="Arial" w:hAnsi="Arial" w:cs="Arial"/>
          <w:b/>
          <w:bCs/>
        </w:rPr>
      </w:pPr>
    </w:p>
    <w:p w14:paraId="2E4E2373" w14:textId="155FDCA8" w:rsidR="008E7905" w:rsidRPr="001C2C27" w:rsidRDefault="008E7905" w:rsidP="0012721F">
      <w:pPr>
        <w:pStyle w:val="Body"/>
        <w:spacing w:after="0" w:line="480" w:lineRule="auto"/>
        <w:rPr>
          <w:rFonts w:ascii="Arial" w:hAnsi="Arial" w:cs="Arial"/>
          <w:b/>
          <w:bCs/>
          <w:sz w:val="22"/>
          <w:szCs w:val="22"/>
        </w:rPr>
      </w:pPr>
      <w:r w:rsidRPr="001C2C27">
        <w:rPr>
          <w:rFonts w:ascii="Arial" w:hAnsi="Arial" w:cs="Arial"/>
          <w:b/>
          <w:bCs/>
          <w:sz w:val="22"/>
          <w:szCs w:val="22"/>
        </w:rPr>
        <w:t>3.3 Regression Analysis</w:t>
      </w:r>
    </w:p>
    <w:p w14:paraId="2F8192CA" w14:textId="77777777" w:rsidR="00BF5F32" w:rsidRPr="001C2C27" w:rsidRDefault="00BF5F32" w:rsidP="0012721F">
      <w:pPr>
        <w:pStyle w:val="Body"/>
        <w:spacing w:after="0" w:line="480" w:lineRule="auto"/>
        <w:rPr>
          <w:rFonts w:ascii="Arial" w:hAnsi="Arial" w:cs="Arial"/>
          <w:sz w:val="22"/>
          <w:szCs w:val="22"/>
        </w:rPr>
      </w:pPr>
    </w:p>
    <w:p w14:paraId="06B2BFA8" w14:textId="7CB35CB0" w:rsidR="008E7905" w:rsidRPr="001C2C27" w:rsidRDefault="000D47A0" w:rsidP="0012721F">
      <w:pPr>
        <w:pStyle w:val="Body"/>
        <w:spacing w:after="0" w:line="480" w:lineRule="auto"/>
        <w:rPr>
          <w:rFonts w:ascii="Arial" w:hAnsi="Arial" w:cs="Arial"/>
        </w:rPr>
      </w:pPr>
      <w:r w:rsidRPr="001C2C27">
        <w:rPr>
          <w:rFonts w:ascii="Arial" w:hAnsi="Arial" w:cs="Arial"/>
        </w:rPr>
        <w:t xml:space="preserve">Regression analysis was undertaken to determine the predictive influence of material capability on pharmacy performance. As shown in </w:t>
      </w:r>
      <w:r w:rsidRPr="001C2C27">
        <w:rPr>
          <w:rFonts w:ascii="Arial" w:hAnsi="Arial" w:cs="Arial"/>
          <w:bCs/>
        </w:rPr>
        <w:t>Table 2</w:t>
      </w:r>
      <w:r w:rsidRPr="001C2C27">
        <w:rPr>
          <w:rFonts w:ascii="Arial" w:hAnsi="Arial" w:cs="Arial"/>
        </w:rPr>
        <w:t>, the regression coefficient for material capability was positive and statistically signif</w:t>
      </w:r>
      <w:r w:rsidR="0039225F" w:rsidRPr="001C2C27">
        <w:rPr>
          <w:rFonts w:ascii="Arial" w:hAnsi="Arial" w:cs="Arial"/>
        </w:rPr>
        <w:t>icant (β = 0.471, t = 8.431, p = 0.001</w:t>
      </w:r>
      <w:r w:rsidRPr="001C2C27">
        <w:rPr>
          <w:rFonts w:ascii="Arial" w:hAnsi="Arial" w:cs="Arial"/>
        </w:rPr>
        <w:t xml:space="preserve">). This indicates that a one-unit increase in material capability is associated with a 0.471-unit increase in pharmacy performance, holding other factors constant. </w:t>
      </w:r>
      <w:r w:rsidR="008E7905" w:rsidRPr="001C2C27">
        <w:rPr>
          <w:rFonts w:ascii="Arial" w:hAnsi="Arial" w:cs="Arial"/>
        </w:rPr>
        <w:t>(Table 2).</w:t>
      </w:r>
    </w:p>
    <w:p w14:paraId="05E529A0" w14:textId="77777777" w:rsidR="00BF5F32" w:rsidRPr="001C2C27" w:rsidRDefault="00BF5F32" w:rsidP="0012721F">
      <w:pPr>
        <w:pStyle w:val="Body"/>
        <w:spacing w:after="0" w:line="480" w:lineRule="auto"/>
        <w:rPr>
          <w:rFonts w:ascii="Arial" w:hAnsi="Arial" w:cs="Arial"/>
        </w:rPr>
      </w:pPr>
    </w:p>
    <w:p w14:paraId="126F5172" w14:textId="77777777" w:rsidR="008E7905" w:rsidRPr="001C2C27" w:rsidRDefault="008E7905" w:rsidP="0012721F">
      <w:pPr>
        <w:pStyle w:val="Body"/>
        <w:spacing w:after="0" w:line="480" w:lineRule="auto"/>
        <w:rPr>
          <w:rFonts w:ascii="Arial" w:hAnsi="Arial" w:cs="Arial"/>
        </w:rPr>
      </w:pPr>
      <w:r w:rsidRPr="001C2C27">
        <w:rPr>
          <w:rFonts w:ascii="Arial" w:hAnsi="Arial" w:cs="Arial"/>
          <w:i/>
          <w:iCs/>
        </w:rPr>
        <w:t>Table 2. Regression analysis for material capability and pharmacy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9"/>
        <w:gridCol w:w="1576"/>
        <w:gridCol w:w="1195"/>
        <w:gridCol w:w="1088"/>
      </w:tblGrid>
      <w:tr w:rsidR="008E7905" w:rsidRPr="001C2C27" w14:paraId="229F48B3" w14:textId="77777777" w:rsidTr="00B05DF2">
        <w:trPr>
          <w:tblHeader/>
          <w:tblCellSpacing w:w="15" w:type="dxa"/>
        </w:trPr>
        <w:tc>
          <w:tcPr>
            <w:tcW w:w="4304" w:type="dxa"/>
            <w:tcBorders>
              <w:top w:val="single" w:sz="4" w:space="0" w:color="auto"/>
            </w:tcBorders>
            <w:vAlign w:val="center"/>
            <w:hideMark/>
          </w:tcPr>
          <w:p w14:paraId="53944BD8"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rPr>
              <w:t>Predictor</w:t>
            </w:r>
          </w:p>
        </w:tc>
        <w:tc>
          <w:tcPr>
            <w:tcW w:w="1546" w:type="dxa"/>
            <w:tcBorders>
              <w:top w:val="single" w:sz="4" w:space="0" w:color="auto"/>
            </w:tcBorders>
            <w:vAlign w:val="center"/>
            <w:hideMark/>
          </w:tcPr>
          <w:p w14:paraId="7B2E779B"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rPr>
              <w:t>β</w:t>
            </w:r>
          </w:p>
        </w:tc>
        <w:tc>
          <w:tcPr>
            <w:tcW w:w="1165" w:type="dxa"/>
            <w:tcBorders>
              <w:top w:val="single" w:sz="4" w:space="0" w:color="auto"/>
            </w:tcBorders>
            <w:vAlign w:val="center"/>
            <w:hideMark/>
          </w:tcPr>
          <w:p w14:paraId="40AF62DB" w14:textId="7AEAA556" w:rsidR="008E7905" w:rsidRPr="001C2C27" w:rsidRDefault="001C2C27" w:rsidP="0012721F">
            <w:pPr>
              <w:pStyle w:val="Body"/>
              <w:spacing w:line="480" w:lineRule="auto"/>
              <w:rPr>
                <w:rFonts w:ascii="Arial" w:hAnsi="Arial" w:cs="Arial"/>
                <w:b/>
                <w:bCs/>
              </w:rPr>
            </w:pPr>
            <w:r w:rsidRPr="001C2C27">
              <w:rPr>
                <w:rFonts w:ascii="Arial" w:hAnsi="Arial" w:cs="Arial"/>
                <w:b/>
                <w:bCs/>
              </w:rPr>
              <w:t>T</w:t>
            </w:r>
          </w:p>
        </w:tc>
        <w:tc>
          <w:tcPr>
            <w:tcW w:w="1043" w:type="dxa"/>
            <w:tcBorders>
              <w:top w:val="single" w:sz="4" w:space="0" w:color="auto"/>
            </w:tcBorders>
            <w:vAlign w:val="center"/>
            <w:hideMark/>
          </w:tcPr>
          <w:p w14:paraId="2370349E" w14:textId="77777777" w:rsidR="008E7905" w:rsidRPr="001C2C27" w:rsidRDefault="008E7905" w:rsidP="0012721F">
            <w:pPr>
              <w:pStyle w:val="Body"/>
              <w:spacing w:line="480" w:lineRule="auto"/>
              <w:rPr>
                <w:rFonts w:ascii="Arial" w:hAnsi="Arial" w:cs="Arial"/>
                <w:b/>
                <w:bCs/>
              </w:rPr>
            </w:pPr>
            <w:r w:rsidRPr="001C2C27">
              <w:rPr>
                <w:rFonts w:ascii="Arial" w:hAnsi="Arial" w:cs="Arial"/>
                <w:b/>
                <w:bCs/>
                <w:i/>
                <w:iCs/>
              </w:rPr>
              <w:t>P</w:t>
            </w:r>
          </w:p>
        </w:tc>
      </w:tr>
      <w:tr w:rsidR="008E7905" w:rsidRPr="001C2C27" w14:paraId="7E028C9B" w14:textId="77777777" w:rsidTr="00B05DF2">
        <w:trPr>
          <w:tblCellSpacing w:w="15" w:type="dxa"/>
        </w:trPr>
        <w:tc>
          <w:tcPr>
            <w:tcW w:w="4304" w:type="dxa"/>
            <w:tcBorders>
              <w:top w:val="single" w:sz="4" w:space="0" w:color="auto"/>
              <w:bottom w:val="single" w:sz="4" w:space="0" w:color="auto"/>
            </w:tcBorders>
            <w:vAlign w:val="center"/>
            <w:hideMark/>
          </w:tcPr>
          <w:p w14:paraId="53B4B073" w14:textId="77777777" w:rsidR="008E7905" w:rsidRPr="001C2C27" w:rsidRDefault="008E7905" w:rsidP="0012721F">
            <w:pPr>
              <w:pStyle w:val="Body"/>
              <w:spacing w:line="480" w:lineRule="auto"/>
              <w:rPr>
                <w:rFonts w:ascii="Arial" w:hAnsi="Arial" w:cs="Arial"/>
              </w:rPr>
            </w:pPr>
            <w:r w:rsidRPr="001C2C27">
              <w:rPr>
                <w:rFonts w:ascii="Arial" w:hAnsi="Arial" w:cs="Arial"/>
              </w:rPr>
              <w:t>Material capability</w:t>
            </w:r>
          </w:p>
        </w:tc>
        <w:tc>
          <w:tcPr>
            <w:tcW w:w="1546" w:type="dxa"/>
            <w:tcBorders>
              <w:top w:val="single" w:sz="4" w:space="0" w:color="auto"/>
              <w:bottom w:val="single" w:sz="4" w:space="0" w:color="auto"/>
            </w:tcBorders>
            <w:vAlign w:val="center"/>
            <w:hideMark/>
          </w:tcPr>
          <w:p w14:paraId="55E2192C" w14:textId="77777777" w:rsidR="008E7905" w:rsidRPr="001C2C27" w:rsidRDefault="008E7905" w:rsidP="0012721F">
            <w:pPr>
              <w:pStyle w:val="Body"/>
              <w:spacing w:line="480" w:lineRule="auto"/>
              <w:rPr>
                <w:rFonts w:ascii="Arial" w:hAnsi="Arial" w:cs="Arial"/>
              </w:rPr>
            </w:pPr>
            <w:r w:rsidRPr="001C2C27">
              <w:rPr>
                <w:rFonts w:ascii="Arial" w:hAnsi="Arial" w:cs="Arial"/>
              </w:rPr>
              <w:t>.471</w:t>
            </w:r>
          </w:p>
        </w:tc>
        <w:tc>
          <w:tcPr>
            <w:tcW w:w="1165" w:type="dxa"/>
            <w:tcBorders>
              <w:top w:val="single" w:sz="4" w:space="0" w:color="auto"/>
              <w:bottom w:val="single" w:sz="4" w:space="0" w:color="auto"/>
            </w:tcBorders>
            <w:vAlign w:val="center"/>
            <w:hideMark/>
          </w:tcPr>
          <w:p w14:paraId="5DEC8E51" w14:textId="77777777" w:rsidR="008E7905" w:rsidRPr="001C2C27" w:rsidRDefault="008E7905" w:rsidP="0012721F">
            <w:pPr>
              <w:pStyle w:val="Body"/>
              <w:spacing w:line="480" w:lineRule="auto"/>
              <w:rPr>
                <w:rFonts w:ascii="Arial" w:hAnsi="Arial" w:cs="Arial"/>
              </w:rPr>
            </w:pPr>
            <w:r w:rsidRPr="001C2C27">
              <w:rPr>
                <w:rFonts w:ascii="Arial" w:hAnsi="Arial" w:cs="Arial"/>
              </w:rPr>
              <w:t>8.431</w:t>
            </w:r>
          </w:p>
        </w:tc>
        <w:tc>
          <w:tcPr>
            <w:tcW w:w="1043" w:type="dxa"/>
            <w:tcBorders>
              <w:top w:val="single" w:sz="4" w:space="0" w:color="auto"/>
              <w:bottom w:val="single" w:sz="4" w:space="0" w:color="auto"/>
            </w:tcBorders>
            <w:vAlign w:val="center"/>
            <w:hideMark/>
          </w:tcPr>
          <w:p w14:paraId="571C9164" w14:textId="77777777" w:rsidR="008E7905" w:rsidRPr="001C2C27" w:rsidRDefault="008E7905" w:rsidP="0012721F">
            <w:pPr>
              <w:pStyle w:val="Body"/>
              <w:spacing w:line="480" w:lineRule="auto"/>
              <w:rPr>
                <w:rFonts w:ascii="Arial" w:hAnsi="Arial" w:cs="Arial"/>
              </w:rPr>
            </w:pPr>
            <w:r w:rsidRPr="001C2C27">
              <w:rPr>
                <w:rFonts w:ascii="Arial" w:hAnsi="Arial" w:cs="Arial"/>
              </w:rPr>
              <w:t>&lt; .001</w:t>
            </w:r>
          </w:p>
        </w:tc>
      </w:tr>
    </w:tbl>
    <w:p w14:paraId="5D4C4DE8" w14:textId="77777777" w:rsidR="00BF5F32" w:rsidRPr="001C2C27" w:rsidRDefault="00BF5F32" w:rsidP="0012721F">
      <w:pPr>
        <w:pStyle w:val="Body"/>
        <w:spacing w:line="480" w:lineRule="auto"/>
        <w:rPr>
          <w:rFonts w:ascii="Arial" w:hAnsi="Arial" w:cs="Arial"/>
        </w:rPr>
      </w:pPr>
    </w:p>
    <w:p w14:paraId="43DFEA83" w14:textId="1EED7B78" w:rsidR="00B05DF2" w:rsidRPr="001C2C27" w:rsidRDefault="0071464F" w:rsidP="0012721F">
      <w:pPr>
        <w:pStyle w:val="Body"/>
        <w:spacing w:line="480" w:lineRule="auto"/>
        <w:rPr>
          <w:rFonts w:ascii="Arial" w:hAnsi="Arial" w:cs="Arial"/>
          <w:b/>
          <w:bCs/>
        </w:rPr>
      </w:pPr>
      <w:r w:rsidRPr="001C2C27">
        <w:rPr>
          <w:rFonts w:ascii="Arial" w:hAnsi="Arial" w:cs="Arial"/>
        </w:rPr>
        <w:t xml:space="preserve">The model explained a substantial proportion of variance in performance, suggesting that material capability plays a central role in driving efficiency, profitability, and customer satisfaction in pharmacies. This is consistent with findings from other contexts. For instance, Chepwogen and Moronge (2019) found that procurement outsourcing practices had a statistically significant influence on the performance of manufacturing firms in Kenya, </w:t>
      </w:r>
      <w:r w:rsidRPr="001C2C27">
        <w:rPr>
          <w:rFonts w:ascii="Arial" w:hAnsi="Arial" w:cs="Arial"/>
        </w:rPr>
        <w:lastRenderedPageBreak/>
        <w:t xml:space="preserve">reinforcing the broader link between strategic procurement and </w:t>
      </w:r>
      <w:r w:rsidR="00791851" w:rsidRPr="001C2C27">
        <w:rPr>
          <w:rFonts w:ascii="Arial" w:hAnsi="Arial" w:cs="Arial"/>
        </w:rPr>
        <w:t>organizational</w:t>
      </w:r>
      <w:r w:rsidR="00BD61DE" w:rsidRPr="001C2C27">
        <w:rPr>
          <w:rFonts w:ascii="Arial" w:hAnsi="Arial" w:cs="Arial"/>
        </w:rPr>
        <w:t xml:space="preserve"> </w:t>
      </w:r>
      <w:r w:rsidRPr="001C2C27">
        <w:rPr>
          <w:rFonts w:ascii="Arial" w:hAnsi="Arial" w:cs="Arial"/>
        </w:rPr>
        <w:t>outcomes. Similarly, Golas (2020) found through panel regression that improvements in inventory management efficiency positively correlate with financial performance, measured by return on operating assets, highlighting that better inventory control is linked to better performance. Pharmacies with strong procurement planning, robust inventory systems, and reliable supplier relationships consistently reported higher levels of operational and service performance compared to those with weaker capabilities.</w:t>
      </w:r>
    </w:p>
    <w:p w14:paraId="42D909FF" w14:textId="68E31720" w:rsidR="008E7905" w:rsidRPr="001C2C27" w:rsidRDefault="008E7905" w:rsidP="0012721F">
      <w:pPr>
        <w:pStyle w:val="Body"/>
        <w:spacing w:after="0" w:line="480" w:lineRule="auto"/>
        <w:rPr>
          <w:rFonts w:ascii="Arial" w:hAnsi="Arial" w:cs="Arial"/>
          <w:b/>
          <w:bCs/>
          <w:sz w:val="22"/>
          <w:szCs w:val="22"/>
        </w:rPr>
      </w:pPr>
      <w:r w:rsidRPr="001C2C27">
        <w:rPr>
          <w:rFonts w:ascii="Arial" w:hAnsi="Arial" w:cs="Arial"/>
          <w:b/>
          <w:bCs/>
          <w:sz w:val="22"/>
          <w:szCs w:val="22"/>
        </w:rPr>
        <w:t xml:space="preserve">3.4 Results </w:t>
      </w:r>
      <w:r w:rsidR="00791851" w:rsidRPr="001C2C27">
        <w:rPr>
          <w:rFonts w:ascii="Arial" w:hAnsi="Arial" w:cs="Arial"/>
          <w:b/>
          <w:bCs/>
          <w:sz w:val="22"/>
          <w:szCs w:val="22"/>
        </w:rPr>
        <w:t>Visualization</w:t>
      </w:r>
    </w:p>
    <w:p w14:paraId="5A2FEFD9" w14:textId="77777777" w:rsidR="00BF5F32" w:rsidRPr="001C2C27" w:rsidRDefault="00BF5F32" w:rsidP="0012721F">
      <w:pPr>
        <w:pStyle w:val="Body"/>
        <w:spacing w:after="0" w:line="480" w:lineRule="auto"/>
        <w:rPr>
          <w:rFonts w:ascii="Arial" w:hAnsi="Arial" w:cs="Arial"/>
        </w:rPr>
      </w:pPr>
    </w:p>
    <w:p w14:paraId="1B6166DD" w14:textId="57578DC8" w:rsidR="008E7905" w:rsidRPr="001C2C27" w:rsidRDefault="008E7905" w:rsidP="0012721F">
      <w:pPr>
        <w:pStyle w:val="Body"/>
        <w:spacing w:after="0" w:line="480" w:lineRule="auto"/>
        <w:rPr>
          <w:rFonts w:ascii="Arial" w:hAnsi="Arial" w:cs="Arial"/>
        </w:rPr>
      </w:pPr>
      <w:r w:rsidRPr="001C2C27">
        <w:rPr>
          <w:rFonts w:ascii="Arial" w:hAnsi="Arial" w:cs="Arial"/>
        </w:rPr>
        <w:t xml:space="preserve">To further illustrate the positive association between material capability and pharmacy performance, a scatter plot with </w:t>
      </w:r>
      <w:r w:rsidR="00BD61DE" w:rsidRPr="001C2C27">
        <w:rPr>
          <w:rFonts w:ascii="Arial" w:hAnsi="Arial" w:cs="Arial"/>
        </w:rPr>
        <w:t xml:space="preserve">a </w:t>
      </w:r>
      <w:r w:rsidRPr="001C2C27">
        <w:rPr>
          <w:rFonts w:ascii="Arial" w:hAnsi="Arial" w:cs="Arial"/>
        </w:rPr>
        <w:t xml:space="preserve">regression trend line was generated (Figure 1). </w:t>
      </w:r>
    </w:p>
    <w:p w14:paraId="05176860" w14:textId="77777777" w:rsidR="00BF5F32" w:rsidRPr="001C2C27" w:rsidRDefault="00BF5F32" w:rsidP="0012721F">
      <w:pPr>
        <w:pStyle w:val="Body"/>
        <w:spacing w:after="0" w:line="480" w:lineRule="auto"/>
        <w:rPr>
          <w:rFonts w:ascii="Arial" w:hAnsi="Arial" w:cs="Arial"/>
        </w:rPr>
      </w:pPr>
    </w:p>
    <w:p w14:paraId="7CEFDDD1" w14:textId="7B997863" w:rsidR="008E7905" w:rsidRPr="001C2C27" w:rsidRDefault="008E7905" w:rsidP="0012721F">
      <w:pPr>
        <w:pStyle w:val="Body"/>
        <w:spacing w:after="0" w:line="480" w:lineRule="auto"/>
        <w:rPr>
          <w:rFonts w:ascii="Arial" w:hAnsi="Arial" w:cs="Arial"/>
        </w:rPr>
      </w:pPr>
      <w:r w:rsidRPr="001C2C27">
        <w:rPr>
          <w:rFonts w:ascii="Arial" w:hAnsi="Arial" w:cs="Arial"/>
          <w:noProof/>
        </w:rPr>
        <w:drawing>
          <wp:inline distT="0" distB="0" distL="0" distR="0" wp14:anchorId="0A92CDE2" wp14:editId="0C083BB4">
            <wp:extent cx="3639847" cy="1828800"/>
            <wp:effectExtent l="0" t="0" r="0" b="0"/>
            <wp:docPr id="9059587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39847" cy="1828800"/>
                    </a:xfrm>
                    <a:prstGeom prst="rect">
                      <a:avLst/>
                    </a:prstGeom>
                    <a:noFill/>
                    <a:ln>
                      <a:noFill/>
                    </a:ln>
                  </pic:spPr>
                </pic:pic>
              </a:graphicData>
            </a:graphic>
          </wp:inline>
        </w:drawing>
      </w:r>
    </w:p>
    <w:p w14:paraId="45D7669D" w14:textId="77777777" w:rsidR="00BF5F32" w:rsidRPr="001C2C27" w:rsidRDefault="00BF5F32" w:rsidP="0012721F">
      <w:pPr>
        <w:pStyle w:val="Body"/>
        <w:spacing w:after="0" w:line="480" w:lineRule="auto"/>
        <w:rPr>
          <w:rFonts w:ascii="Arial" w:hAnsi="Arial" w:cs="Arial"/>
          <w:b/>
          <w:bCs/>
        </w:rPr>
      </w:pPr>
    </w:p>
    <w:p w14:paraId="02B3DCFE" w14:textId="43A880F0" w:rsidR="008E7905" w:rsidRPr="001C2C27" w:rsidRDefault="008E7905" w:rsidP="0012721F">
      <w:pPr>
        <w:pStyle w:val="Body"/>
        <w:spacing w:after="0" w:line="480" w:lineRule="auto"/>
        <w:rPr>
          <w:rFonts w:ascii="Arial" w:hAnsi="Arial" w:cs="Arial"/>
        </w:rPr>
      </w:pPr>
      <w:r w:rsidRPr="001C2C27">
        <w:rPr>
          <w:rFonts w:ascii="Arial" w:hAnsi="Arial" w:cs="Arial"/>
          <w:b/>
          <w:bCs/>
        </w:rPr>
        <w:t>Fig. 1.</w:t>
      </w:r>
      <w:r w:rsidRPr="001C2C27">
        <w:rPr>
          <w:rFonts w:ascii="Arial" w:hAnsi="Arial" w:cs="Arial"/>
        </w:rPr>
        <w:t xml:space="preserve"> Relationship between material capability and pharmacy performance among pharmacies in Garissa Town</w:t>
      </w:r>
      <w:r w:rsidR="0039225F" w:rsidRPr="001C2C27">
        <w:rPr>
          <w:rFonts w:ascii="Arial" w:hAnsi="Arial" w:cs="Arial"/>
        </w:rPr>
        <w:t xml:space="preserve"> in Kenya</w:t>
      </w:r>
      <w:r w:rsidRPr="001C2C27">
        <w:rPr>
          <w:rFonts w:ascii="Arial" w:hAnsi="Arial" w:cs="Arial"/>
        </w:rPr>
        <w:t>.</w:t>
      </w:r>
    </w:p>
    <w:p w14:paraId="27027F20" w14:textId="6EDAA4C3" w:rsidR="002212F0" w:rsidRPr="001C2C27" w:rsidRDefault="002212F0" w:rsidP="0012721F">
      <w:pPr>
        <w:pStyle w:val="Body"/>
        <w:spacing w:after="0" w:line="480" w:lineRule="auto"/>
        <w:rPr>
          <w:rFonts w:ascii="Arial" w:hAnsi="Arial" w:cs="Arial"/>
        </w:rPr>
      </w:pPr>
      <w:r w:rsidRPr="001C2C27">
        <w:rPr>
          <w:rFonts w:ascii="Arial" w:hAnsi="Arial" w:cs="Arial"/>
        </w:rPr>
        <w:t>Figure 1 demonstrates that as material capability scores increase, pharmacy performance also improves, confirming the strong correlation reported in the statistical analysis.</w:t>
      </w:r>
    </w:p>
    <w:p w14:paraId="51D06E2C" w14:textId="77777777" w:rsidR="00BF5F32" w:rsidRPr="001C2C27" w:rsidRDefault="00BF5F32" w:rsidP="0012721F">
      <w:pPr>
        <w:pStyle w:val="Body"/>
        <w:spacing w:after="0" w:line="480" w:lineRule="auto"/>
        <w:rPr>
          <w:rFonts w:ascii="Arial" w:hAnsi="Arial" w:cs="Arial"/>
          <w:b/>
          <w:bCs/>
        </w:rPr>
      </w:pPr>
    </w:p>
    <w:p w14:paraId="4931B24C" w14:textId="269C3600" w:rsidR="008E7905" w:rsidRPr="001C2C27" w:rsidRDefault="008E7905" w:rsidP="0012721F">
      <w:pPr>
        <w:pStyle w:val="Body"/>
        <w:spacing w:after="0" w:line="480" w:lineRule="auto"/>
        <w:rPr>
          <w:rFonts w:ascii="Arial" w:hAnsi="Arial" w:cs="Arial"/>
          <w:b/>
          <w:bCs/>
          <w:sz w:val="22"/>
          <w:szCs w:val="22"/>
        </w:rPr>
      </w:pPr>
      <w:r w:rsidRPr="001C2C27">
        <w:rPr>
          <w:rFonts w:ascii="Arial" w:hAnsi="Arial" w:cs="Arial"/>
          <w:b/>
          <w:bCs/>
          <w:sz w:val="22"/>
          <w:szCs w:val="22"/>
        </w:rPr>
        <w:t>3.5 Discussion of Findings</w:t>
      </w:r>
    </w:p>
    <w:p w14:paraId="1666BAEA" w14:textId="77777777" w:rsidR="009E0F9C" w:rsidRPr="001C2C27" w:rsidRDefault="009E0F9C" w:rsidP="0012721F">
      <w:pPr>
        <w:pStyle w:val="Body"/>
        <w:spacing w:after="0" w:line="480" w:lineRule="auto"/>
        <w:rPr>
          <w:rFonts w:ascii="Arial" w:hAnsi="Arial" w:cs="Arial"/>
        </w:rPr>
      </w:pPr>
    </w:p>
    <w:p w14:paraId="07EC8C56" w14:textId="611993B6" w:rsidR="00C30A0F" w:rsidRPr="001C2C27" w:rsidRDefault="00CE3E12" w:rsidP="0012721F">
      <w:pPr>
        <w:pStyle w:val="Body"/>
        <w:spacing w:line="480" w:lineRule="auto"/>
        <w:rPr>
          <w:rFonts w:ascii="Arial" w:hAnsi="Arial" w:cs="Arial"/>
        </w:rPr>
      </w:pPr>
      <w:r w:rsidRPr="001C2C27">
        <w:rPr>
          <w:rFonts w:ascii="Arial" w:hAnsi="Arial" w:cs="Arial"/>
        </w:rPr>
        <w:t>These research results substantiate that material competence is an imperative in</w:t>
      </w:r>
      <w:r w:rsidR="0039225F" w:rsidRPr="001C2C27">
        <w:rPr>
          <w:rFonts w:ascii="Arial" w:hAnsi="Arial" w:cs="Arial"/>
        </w:rPr>
        <w:t xml:space="preserve"> enhancing performance in pharmacies</w:t>
      </w:r>
      <w:r w:rsidRPr="001C2C27">
        <w:rPr>
          <w:rFonts w:ascii="Arial" w:hAnsi="Arial" w:cs="Arial"/>
        </w:rPr>
        <w:t xml:space="preserve"> in Garissa Town</w:t>
      </w:r>
      <w:r w:rsidR="0039225F" w:rsidRPr="001C2C27">
        <w:rPr>
          <w:rFonts w:ascii="Arial" w:hAnsi="Arial" w:cs="Arial"/>
        </w:rPr>
        <w:t xml:space="preserve"> in Kenya</w:t>
      </w:r>
      <w:r w:rsidRPr="001C2C27">
        <w:rPr>
          <w:rFonts w:ascii="Arial" w:hAnsi="Arial" w:cs="Arial"/>
        </w:rPr>
        <w:t xml:space="preserve">. Pharmacies that had good procuring processes, </w:t>
      </w:r>
      <w:r w:rsidR="00BD61DE" w:rsidRPr="001C2C27">
        <w:rPr>
          <w:rFonts w:ascii="Arial" w:hAnsi="Arial" w:cs="Arial"/>
        </w:rPr>
        <w:t xml:space="preserve">sound </w:t>
      </w:r>
      <w:r w:rsidRPr="001C2C27">
        <w:rPr>
          <w:rFonts w:ascii="Arial" w:hAnsi="Arial" w:cs="Arial"/>
        </w:rPr>
        <w:t xml:space="preserve">stock handling practices, and good relations with supplies continuously reflected higher levels of profitability, customer satisfaction, and customer retention. These results corroborate Hamdani </w:t>
      </w:r>
      <w:r w:rsidRPr="001C2C27">
        <w:rPr>
          <w:rFonts w:ascii="Arial" w:hAnsi="Arial" w:cs="Arial"/>
          <w:i/>
        </w:rPr>
        <w:t>et al</w:t>
      </w:r>
      <w:r w:rsidRPr="001C2C27">
        <w:rPr>
          <w:rFonts w:ascii="Arial" w:hAnsi="Arial" w:cs="Arial"/>
        </w:rPr>
        <w:t>. (2023)</w:t>
      </w:r>
      <w:r w:rsidR="00A870A1" w:rsidRPr="001C2C27">
        <w:rPr>
          <w:rFonts w:ascii="Arial" w:hAnsi="Arial" w:cs="Arial"/>
        </w:rPr>
        <w:t>,</w:t>
      </w:r>
      <w:r w:rsidRPr="001C2C27">
        <w:rPr>
          <w:rFonts w:ascii="Arial" w:hAnsi="Arial" w:cs="Arial"/>
        </w:rPr>
        <w:t xml:space="preserve"> who found that SME performance is constrained by raw material supply uncertainty, and Nguyen (2022)</w:t>
      </w:r>
      <w:r w:rsidR="00A870A1" w:rsidRPr="001C2C27">
        <w:rPr>
          <w:rFonts w:ascii="Arial" w:hAnsi="Arial" w:cs="Arial"/>
        </w:rPr>
        <w:t>,</w:t>
      </w:r>
      <w:r w:rsidRPr="001C2C27">
        <w:rPr>
          <w:rFonts w:ascii="Arial" w:hAnsi="Arial" w:cs="Arial"/>
        </w:rPr>
        <w:t xml:space="preserve"> who found </w:t>
      </w:r>
      <w:r w:rsidR="00A870A1" w:rsidRPr="001C2C27">
        <w:rPr>
          <w:rFonts w:ascii="Arial" w:hAnsi="Arial" w:cs="Arial"/>
        </w:rPr>
        <w:t xml:space="preserve">that </w:t>
      </w:r>
      <w:r w:rsidRPr="001C2C27">
        <w:rPr>
          <w:rFonts w:ascii="Arial" w:hAnsi="Arial" w:cs="Arial"/>
        </w:rPr>
        <w:t xml:space="preserve">material purchasing strategies in the domestic arena generate improved </w:t>
      </w:r>
      <w:r w:rsidR="00791851" w:rsidRPr="001C2C27">
        <w:rPr>
          <w:rFonts w:ascii="Arial" w:hAnsi="Arial" w:cs="Arial"/>
        </w:rPr>
        <w:t>organizational</w:t>
      </w:r>
      <w:r w:rsidR="00BD61DE" w:rsidRPr="001C2C27">
        <w:rPr>
          <w:rFonts w:ascii="Arial" w:hAnsi="Arial" w:cs="Arial"/>
        </w:rPr>
        <w:t xml:space="preserve"> </w:t>
      </w:r>
      <w:r w:rsidRPr="001C2C27">
        <w:rPr>
          <w:rFonts w:ascii="Arial" w:hAnsi="Arial" w:cs="Arial"/>
        </w:rPr>
        <w:t>performance.</w:t>
      </w:r>
      <w:r w:rsidRPr="001C2C27">
        <w:rPr>
          <w:rFonts w:ascii="Arial" w:hAnsi="Arial" w:cs="Arial"/>
        </w:rPr>
        <w:br/>
        <w:t xml:space="preserve">High positive correlation uncovered in this study also </w:t>
      </w:r>
      <w:r w:rsidR="00A870A1" w:rsidRPr="001C2C27">
        <w:rPr>
          <w:rFonts w:ascii="Arial" w:hAnsi="Arial" w:cs="Arial"/>
        </w:rPr>
        <w:t>aligns with</w:t>
      </w:r>
      <w:r w:rsidRPr="001C2C27">
        <w:rPr>
          <w:rFonts w:ascii="Arial" w:hAnsi="Arial" w:cs="Arial"/>
        </w:rPr>
        <w:t xml:space="preserve"> Woodie's (2018) work</w:t>
      </w:r>
      <w:r w:rsidR="00A870A1" w:rsidRPr="001C2C27">
        <w:rPr>
          <w:rFonts w:ascii="Arial" w:hAnsi="Arial" w:cs="Arial"/>
        </w:rPr>
        <w:t>,</w:t>
      </w:r>
      <w:r w:rsidRPr="001C2C27">
        <w:rPr>
          <w:rFonts w:ascii="Arial" w:hAnsi="Arial" w:cs="Arial"/>
        </w:rPr>
        <w:t xml:space="preserve"> further cementing that successful procurement systems </w:t>
      </w:r>
      <w:r w:rsidR="00791851" w:rsidRPr="001C2C27">
        <w:rPr>
          <w:rFonts w:ascii="Arial" w:hAnsi="Arial" w:cs="Arial"/>
        </w:rPr>
        <w:t>minimize</w:t>
      </w:r>
      <w:r w:rsidR="00BD61DE" w:rsidRPr="001C2C27">
        <w:rPr>
          <w:rFonts w:ascii="Arial" w:hAnsi="Arial" w:cs="Arial"/>
        </w:rPr>
        <w:t xml:space="preserve"> </w:t>
      </w:r>
      <w:r w:rsidRPr="001C2C27">
        <w:rPr>
          <w:rFonts w:ascii="Arial" w:hAnsi="Arial" w:cs="Arial"/>
        </w:rPr>
        <w:t>operational delays to a bare minimum. Ahmed and Mwangi (2022)</w:t>
      </w:r>
      <w:r w:rsidR="00A870A1" w:rsidRPr="001C2C27">
        <w:rPr>
          <w:rFonts w:ascii="Arial" w:hAnsi="Arial" w:cs="Arial"/>
        </w:rPr>
        <w:t>,</w:t>
      </w:r>
      <w:r w:rsidRPr="001C2C27">
        <w:rPr>
          <w:rFonts w:ascii="Arial" w:hAnsi="Arial" w:cs="Arial"/>
        </w:rPr>
        <w:t xml:space="preserve"> in a parallel finding</w:t>
      </w:r>
      <w:r w:rsidR="00A870A1" w:rsidRPr="001C2C27">
        <w:rPr>
          <w:rFonts w:ascii="Arial" w:hAnsi="Arial" w:cs="Arial"/>
        </w:rPr>
        <w:t>,</w:t>
      </w:r>
      <w:r w:rsidRPr="001C2C27">
        <w:rPr>
          <w:rFonts w:ascii="Arial" w:hAnsi="Arial" w:cs="Arial"/>
        </w:rPr>
        <w:t xml:space="preserve"> indicated that careful inventory management practices influenced financial performance positively within SMEs in Garissa County. Generally, these findings from the research validate </w:t>
      </w:r>
      <w:r w:rsidR="00A870A1" w:rsidRPr="001C2C27">
        <w:rPr>
          <w:rFonts w:ascii="Arial" w:hAnsi="Arial" w:cs="Arial"/>
        </w:rPr>
        <w:t xml:space="preserve">the </w:t>
      </w:r>
      <w:r w:rsidRPr="001C2C27">
        <w:rPr>
          <w:rFonts w:ascii="Arial" w:hAnsi="Arial" w:cs="Arial"/>
        </w:rPr>
        <w:t>Resource-Based View (RBV) theory proposed by Barney (1991)</w:t>
      </w:r>
      <w:r w:rsidR="00A870A1" w:rsidRPr="001C2C27">
        <w:rPr>
          <w:rFonts w:ascii="Arial" w:hAnsi="Arial" w:cs="Arial"/>
        </w:rPr>
        <w:t>,</w:t>
      </w:r>
      <w:r w:rsidRPr="001C2C27">
        <w:rPr>
          <w:rFonts w:ascii="Arial" w:hAnsi="Arial" w:cs="Arial"/>
        </w:rPr>
        <w:t xml:space="preserve"> such that material capability constitutes a strategic resource capable of inducing sustainable competitive advantage</w:t>
      </w:r>
      <w:r w:rsidR="00A870A1" w:rsidRPr="001C2C27">
        <w:rPr>
          <w:rFonts w:ascii="Arial" w:hAnsi="Arial" w:cs="Arial"/>
        </w:rPr>
        <w:t>,</w:t>
      </w:r>
      <w:r w:rsidRPr="001C2C27">
        <w:rPr>
          <w:rFonts w:ascii="Arial" w:hAnsi="Arial" w:cs="Arial"/>
        </w:rPr>
        <w:t xml:space="preserve"> provided such a capability is employed diligently.</w:t>
      </w:r>
      <w:r w:rsidR="00A870A1" w:rsidRPr="001C2C27">
        <w:rPr>
          <w:rFonts w:ascii="Arial" w:hAnsi="Arial" w:cs="Arial"/>
        </w:rPr>
        <w:t xml:space="preserve"> </w:t>
      </w:r>
      <w:r w:rsidRPr="001C2C27">
        <w:rPr>
          <w:rFonts w:ascii="Arial" w:hAnsi="Arial" w:cs="Arial"/>
        </w:rPr>
        <w:t xml:space="preserve">Therefore, although these results indicate a positive stock level trend overall, corresponding evidence on a qualitative front reveals some cause-for-concern gaps. Interviewees pointed to irregular supply shipments and infrastructural difficulties, primarily poor transport networks, as key barriers to maintaining uniform stock levels. Such findings </w:t>
      </w:r>
      <w:r w:rsidR="004352E0" w:rsidRPr="001C2C27">
        <w:rPr>
          <w:rFonts w:ascii="Arial" w:hAnsi="Arial" w:cs="Arial"/>
        </w:rPr>
        <w:t xml:space="preserve">align with </w:t>
      </w:r>
      <w:r w:rsidRPr="001C2C27">
        <w:rPr>
          <w:rFonts w:ascii="Arial" w:hAnsi="Arial" w:cs="Arial"/>
        </w:rPr>
        <w:t xml:space="preserve">Karanja and Kwasira's (2024) research results about Kenya's pharmaceutical firms, where they reported noticing logistics planning gaps, gaps in transportation, and inventory gaps severely </w:t>
      </w:r>
      <w:r w:rsidR="004352E0" w:rsidRPr="001C2C27">
        <w:rPr>
          <w:rFonts w:ascii="Arial" w:hAnsi="Arial" w:cs="Arial"/>
        </w:rPr>
        <w:t xml:space="preserve">impairing </w:t>
      </w:r>
      <w:r w:rsidRPr="001C2C27">
        <w:rPr>
          <w:rFonts w:ascii="Arial" w:hAnsi="Arial" w:cs="Arial"/>
        </w:rPr>
        <w:t xml:space="preserve">pharmaceutical companies' performance. To tackle such gaps, pharmacies adopted adaptation strategies entailing strengthening relationships between local pharmacies and supply sources, conducting physical </w:t>
      </w:r>
      <w:r w:rsidR="00A870A1" w:rsidRPr="001C2C27">
        <w:rPr>
          <w:rFonts w:ascii="Arial" w:hAnsi="Arial" w:cs="Arial"/>
        </w:rPr>
        <w:t>inventory</w:t>
      </w:r>
      <w:r w:rsidRPr="001C2C27">
        <w:rPr>
          <w:rFonts w:ascii="Arial" w:hAnsi="Arial" w:cs="Arial"/>
        </w:rPr>
        <w:t xml:space="preserve"> counts across inventory stock, and</w:t>
      </w:r>
      <w:r w:rsidR="00A870A1" w:rsidRPr="001C2C27">
        <w:rPr>
          <w:rFonts w:ascii="Arial" w:hAnsi="Arial" w:cs="Arial"/>
        </w:rPr>
        <w:t>,</w:t>
      </w:r>
      <w:r w:rsidRPr="001C2C27">
        <w:rPr>
          <w:rFonts w:ascii="Arial" w:hAnsi="Arial" w:cs="Arial"/>
        </w:rPr>
        <w:t xml:space="preserve"> in some cases</w:t>
      </w:r>
      <w:r w:rsidR="00A870A1" w:rsidRPr="001C2C27">
        <w:rPr>
          <w:rFonts w:ascii="Arial" w:hAnsi="Arial" w:cs="Arial"/>
        </w:rPr>
        <w:t>,</w:t>
      </w:r>
      <w:r w:rsidRPr="001C2C27">
        <w:rPr>
          <w:rFonts w:ascii="Arial" w:hAnsi="Arial" w:cs="Arial"/>
        </w:rPr>
        <w:t xml:space="preserve"> deploying simple electronic tracking applications.</w:t>
      </w:r>
      <w:r w:rsidR="00A870A1" w:rsidRPr="001C2C27">
        <w:rPr>
          <w:rFonts w:ascii="Arial" w:hAnsi="Arial" w:cs="Arial"/>
        </w:rPr>
        <w:t xml:space="preserve"> </w:t>
      </w:r>
      <w:r w:rsidRPr="001C2C27">
        <w:rPr>
          <w:rFonts w:ascii="Arial" w:hAnsi="Arial" w:cs="Arial"/>
        </w:rPr>
        <w:t xml:space="preserve">These findings suggest that deliberate investment in material capacity in the form of tighter purchasing systems, sound supply networks, and better inventory control can significantly improve operational </w:t>
      </w:r>
      <w:r w:rsidRPr="001C2C27">
        <w:rPr>
          <w:rFonts w:ascii="Arial" w:hAnsi="Arial" w:cs="Arial"/>
        </w:rPr>
        <w:lastRenderedPageBreak/>
        <w:t xml:space="preserve">effectiveness, foster resilience, and create long-term competitiveness among pharmacies </w:t>
      </w:r>
      <w:r w:rsidR="00791851" w:rsidRPr="001C2C27">
        <w:rPr>
          <w:rFonts w:ascii="Arial" w:hAnsi="Arial" w:cs="Arial"/>
        </w:rPr>
        <w:t>practicing</w:t>
      </w:r>
      <w:r w:rsidR="004352E0" w:rsidRPr="001C2C27">
        <w:rPr>
          <w:rFonts w:ascii="Arial" w:hAnsi="Arial" w:cs="Arial"/>
        </w:rPr>
        <w:t xml:space="preserve"> </w:t>
      </w:r>
      <w:r w:rsidRPr="001C2C27">
        <w:rPr>
          <w:rFonts w:ascii="Arial" w:hAnsi="Arial" w:cs="Arial"/>
        </w:rPr>
        <w:t>within resource-scarce environments.</w:t>
      </w:r>
      <w:r w:rsidR="00C30A0F" w:rsidRPr="001C2C27">
        <w:rPr>
          <w:rFonts w:ascii="Arial" w:hAnsi="Arial" w:cs="Arial"/>
        </w:rPr>
        <w:t xml:space="preserve">  </w:t>
      </w:r>
    </w:p>
    <w:p w14:paraId="18D06D07" w14:textId="77777777" w:rsidR="00E053D0" w:rsidRPr="001C2C27" w:rsidRDefault="00E053D0" w:rsidP="0012721F">
      <w:pPr>
        <w:pStyle w:val="Body"/>
        <w:spacing w:after="0" w:line="480" w:lineRule="auto"/>
        <w:rPr>
          <w:rFonts w:ascii="Arial" w:hAnsi="Arial" w:cs="Arial"/>
        </w:rPr>
      </w:pPr>
    </w:p>
    <w:p w14:paraId="289107A7" w14:textId="77777777" w:rsidR="00B01FCD" w:rsidRPr="001C2C27" w:rsidRDefault="00000F8F" w:rsidP="0012721F">
      <w:pPr>
        <w:pStyle w:val="ConcHead"/>
        <w:spacing w:after="0" w:line="480" w:lineRule="auto"/>
        <w:jc w:val="both"/>
        <w:rPr>
          <w:rFonts w:ascii="Arial" w:hAnsi="Arial" w:cs="Arial"/>
        </w:rPr>
      </w:pPr>
      <w:r w:rsidRPr="001C2C27">
        <w:rPr>
          <w:rFonts w:ascii="Arial" w:hAnsi="Arial" w:cs="Arial"/>
        </w:rPr>
        <w:t xml:space="preserve">4. </w:t>
      </w:r>
      <w:r w:rsidR="00B01FCD" w:rsidRPr="001C2C27">
        <w:rPr>
          <w:rFonts w:ascii="Arial" w:hAnsi="Arial" w:cs="Arial"/>
        </w:rPr>
        <w:t>Conclusion</w:t>
      </w:r>
    </w:p>
    <w:p w14:paraId="5EDF69C8" w14:textId="77777777" w:rsidR="00790ADA" w:rsidRPr="001C2C27" w:rsidRDefault="00790ADA" w:rsidP="0012721F">
      <w:pPr>
        <w:pStyle w:val="ConcHead"/>
        <w:spacing w:after="0" w:line="480" w:lineRule="auto"/>
        <w:jc w:val="both"/>
        <w:rPr>
          <w:rFonts w:ascii="Arial" w:hAnsi="Arial" w:cs="Arial"/>
        </w:rPr>
      </w:pPr>
    </w:p>
    <w:p w14:paraId="0C719CDD" w14:textId="07138733" w:rsidR="00D02312" w:rsidRPr="001C2C27" w:rsidRDefault="00D02312" w:rsidP="0012721F">
      <w:pPr>
        <w:pStyle w:val="Body"/>
        <w:spacing w:after="0" w:line="480" w:lineRule="auto"/>
        <w:rPr>
          <w:rFonts w:ascii="Arial" w:hAnsi="Arial" w:cs="Arial"/>
        </w:rPr>
      </w:pPr>
      <w:r w:rsidRPr="001C2C27">
        <w:rPr>
          <w:rFonts w:ascii="Arial" w:hAnsi="Arial" w:cs="Arial"/>
        </w:rPr>
        <w:t>This study investigated the influence of material capability on the performance of re</w:t>
      </w:r>
      <w:r w:rsidR="0039225F" w:rsidRPr="001C2C27">
        <w:rPr>
          <w:rFonts w:ascii="Arial" w:hAnsi="Arial" w:cs="Arial"/>
        </w:rPr>
        <w:t>tail pharmacies in Garissa Town in</w:t>
      </w:r>
      <w:r w:rsidRPr="001C2C27">
        <w:rPr>
          <w:rFonts w:ascii="Arial" w:hAnsi="Arial" w:cs="Arial"/>
        </w:rPr>
        <w:t xml:space="preserve"> Kenya. Material capability was assessed through three dimensions</w:t>
      </w:r>
      <w:r w:rsidR="00BD61DE" w:rsidRPr="001C2C27">
        <w:rPr>
          <w:rFonts w:ascii="Arial" w:hAnsi="Arial" w:cs="Arial"/>
        </w:rPr>
        <w:t>:</w:t>
      </w:r>
      <w:r w:rsidRPr="001C2C27">
        <w:rPr>
          <w:rFonts w:ascii="Arial" w:hAnsi="Arial" w:cs="Arial"/>
        </w:rPr>
        <w:t xml:space="preserve"> procurement efficiency, inventory accuracy, and cost control. </w:t>
      </w:r>
      <w:r w:rsidR="00A870A1" w:rsidRPr="001C2C27">
        <w:rPr>
          <w:rFonts w:ascii="Arial" w:hAnsi="Arial" w:cs="Arial"/>
        </w:rPr>
        <w:t>The results revealed material capability's positive influence on pharmacy performance. Descriptive statistics reported reasonably high material capability levels among pharmacies that participated in the study, and statistical inference confirmed a powerful relat</w:t>
      </w:r>
      <w:r w:rsidR="0039225F" w:rsidRPr="001C2C27">
        <w:rPr>
          <w:rFonts w:ascii="Arial" w:hAnsi="Arial" w:cs="Arial"/>
        </w:rPr>
        <w:t>ionship (r = 0.684</w:t>
      </w:r>
      <w:r w:rsidR="0039225F" w:rsidRPr="001C2C27">
        <w:rPr>
          <w:rFonts w:ascii="Arial" w:hAnsi="Arial" w:cs="Arial"/>
          <w:i/>
        </w:rPr>
        <w:t>, p</w:t>
      </w:r>
      <w:r w:rsidR="0039225F" w:rsidRPr="001C2C27">
        <w:rPr>
          <w:rFonts w:ascii="Arial" w:hAnsi="Arial" w:cs="Arial"/>
        </w:rPr>
        <w:t xml:space="preserve"> =</w:t>
      </w:r>
      <w:r w:rsidR="00A870A1" w:rsidRPr="001C2C27">
        <w:rPr>
          <w:rFonts w:ascii="Arial" w:hAnsi="Arial" w:cs="Arial"/>
        </w:rPr>
        <w:t xml:space="preserve"> 0.001) and a statistically significant pred</w:t>
      </w:r>
      <w:r w:rsidR="0039225F" w:rsidRPr="001C2C27">
        <w:rPr>
          <w:rFonts w:ascii="Arial" w:hAnsi="Arial" w:cs="Arial"/>
        </w:rPr>
        <w:t>ictive function (β = 0.471</w:t>
      </w:r>
      <w:r w:rsidR="0039225F" w:rsidRPr="001C2C27">
        <w:rPr>
          <w:rFonts w:ascii="Arial" w:hAnsi="Arial" w:cs="Arial"/>
          <w:i/>
        </w:rPr>
        <w:t>, p</w:t>
      </w:r>
      <w:r w:rsidR="0039225F" w:rsidRPr="001C2C27">
        <w:rPr>
          <w:rFonts w:ascii="Arial" w:hAnsi="Arial" w:cs="Arial"/>
        </w:rPr>
        <w:t xml:space="preserve"> = 0.001</w:t>
      </w:r>
      <w:r w:rsidR="00A870A1" w:rsidRPr="001C2C27">
        <w:rPr>
          <w:rFonts w:ascii="Arial" w:hAnsi="Arial" w:cs="Arial"/>
        </w:rPr>
        <w:t xml:space="preserve">). Pharmacies that built solid procurement systems, enjoyed reliable supplier relationships, and </w:t>
      </w:r>
      <w:r w:rsidR="00791851" w:rsidRPr="001C2C27">
        <w:rPr>
          <w:rFonts w:ascii="Arial" w:hAnsi="Arial" w:cs="Arial"/>
        </w:rPr>
        <w:t>utilized</w:t>
      </w:r>
      <w:r w:rsidR="00BD61DE" w:rsidRPr="001C2C27">
        <w:rPr>
          <w:rFonts w:ascii="Arial" w:hAnsi="Arial" w:cs="Arial"/>
        </w:rPr>
        <w:t xml:space="preserve"> </w:t>
      </w:r>
      <w:r w:rsidR="00A870A1" w:rsidRPr="001C2C27">
        <w:rPr>
          <w:rFonts w:ascii="Arial" w:hAnsi="Arial" w:cs="Arial"/>
        </w:rPr>
        <w:t xml:space="preserve">effective stock-out avoidance strategies maintained higher profitability, higher customer satisfaction, and higher customer retention. Pharmacies with weaker procurement and inventory systems, however, recorded higher operational disruptions, higher stock-out risks, and lower competitiveness. It concludes that material ability is not only a technical requirement but a competitor performance driver of a strategy in a resource-scarcity environment. Pharmacies can significantly enhance both service levels and flexibility in operations by making investments in efficient procurement planning, improving supply reliability, and enhancing inventory practices. </w:t>
      </w:r>
      <w:r w:rsidRPr="001C2C27">
        <w:rPr>
          <w:rFonts w:ascii="Arial" w:hAnsi="Arial" w:cs="Arial"/>
        </w:rPr>
        <w:t xml:space="preserve">Such improvements have wider implications for public health, as better-performing pharmacies directly contribute to improved access to medicines and healthcare services in </w:t>
      </w:r>
      <w:r w:rsidR="00791851" w:rsidRPr="001C2C27">
        <w:rPr>
          <w:rFonts w:ascii="Arial" w:hAnsi="Arial" w:cs="Arial"/>
        </w:rPr>
        <w:t>marginalized</w:t>
      </w:r>
      <w:r w:rsidR="00BD61DE" w:rsidRPr="001C2C27">
        <w:rPr>
          <w:rFonts w:ascii="Arial" w:hAnsi="Arial" w:cs="Arial"/>
        </w:rPr>
        <w:t xml:space="preserve"> </w:t>
      </w:r>
      <w:r w:rsidRPr="001C2C27">
        <w:rPr>
          <w:rFonts w:ascii="Arial" w:hAnsi="Arial" w:cs="Arial"/>
        </w:rPr>
        <w:t>regions.</w:t>
      </w:r>
    </w:p>
    <w:p w14:paraId="72E52499" w14:textId="77777777" w:rsidR="005D1D89" w:rsidRPr="001C2C27" w:rsidRDefault="005D1D89" w:rsidP="0012721F">
      <w:pPr>
        <w:pStyle w:val="Body"/>
        <w:spacing w:after="0" w:line="480" w:lineRule="auto"/>
        <w:rPr>
          <w:rFonts w:ascii="Arial" w:hAnsi="Arial" w:cs="Arial"/>
        </w:rPr>
      </w:pPr>
    </w:p>
    <w:p w14:paraId="1428EE88" w14:textId="77777777" w:rsidR="005D1D89" w:rsidRPr="001C2C27" w:rsidRDefault="005D1D89" w:rsidP="0012721F">
      <w:pPr>
        <w:pStyle w:val="Body"/>
        <w:spacing w:after="0" w:line="480" w:lineRule="auto"/>
        <w:rPr>
          <w:rFonts w:ascii="Arial" w:hAnsi="Arial" w:cs="Arial"/>
          <w:b/>
          <w:sz w:val="22"/>
          <w:szCs w:val="22"/>
        </w:rPr>
      </w:pPr>
      <w:r w:rsidRPr="001C2C27">
        <w:rPr>
          <w:rFonts w:ascii="Arial" w:hAnsi="Arial" w:cs="Arial"/>
          <w:b/>
          <w:sz w:val="22"/>
          <w:szCs w:val="22"/>
        </w:rPr>
        <w:t>CONSENT</w:t>
      </w:r>
    </w:p>
    <w:p w14:paraId="5F28D935" w14:textId="77777777" w:rsidR="005D1D89" w:rsidRPr="001C2C27" w:rsidRDefault="005D1D89" w:rsidP="0012721F">
      <w:pPr>
        <w:pStyle w:val="Body"/>
        <w:spacing w:after="0" w:line="480" w:lineRule="auto"/>
        <w:rPr>
          <w:rFonts w:ascii="Arial" w:hAnsi="Arial" w:cs="Arial"/>
          <w:b/>
        </w:rPr>
      </w:pPr>
    </w:p>
    <w:p w14:paraId="1503A6AE" w14:textId="79AE0C19" w:rsidR="001A29D8" w:rsidRPr="001C2C27" w:rsidRDefault="005D1D89" w:rsidP="0012721F">
      <w:pPr>
        <w:pStyle w:val="Body"/>
        <w:spacing w:after="0" w:line="480" w:lineRule="auto"/>
        <w:rPr>
          <w:rFonts w:ascii="Arial" w:hAnsi="Arial" w:cs="Arial"/>
        </w:rPr>
      </w:pPr>
      <w:r w:rsidRPr="001C2C27">
        <w:rPr>
          <w:rFonts w:ascii="Arial" w:hAnsi="Arial" w:cs="Arial"/>
        </w:rPr>
        <w:lastRenderedPageBreak/>
        <w:t>All authors declare that informed consent was obtained from all respondents who participated in this study. No patients were involved; therefore, patient consent for case reports was not applicable.</w:t>
      </w:r>
    </w:p>
    <w:p w14:paraId="45A7AEA0" w14:textId="77777777" w:rsidR="005C784C" w:rsidRPr="001C2C27" w:rsidRDefault="005C784C" w:rsidP="0012721F">
      <w:pPr>
        <w:pStyle w:val="ReferHead"/>
        <w:spacing w:after="0" w:line="480" w:lineRule="auto"/>
        <w:jc w:val="both"/>
        <w:rPr>
          <w:rFonts w:ascii="Arial" w:hAnsi="Arial" w:cs="Arial"/>
          <w:b w:val="0"/>
          <w:caps w:val="0"/>
          <w:sz w:val="20"/>
        </w:rPr>
      </w:pPr>
    </w:p>
    <w:p w14:paraId="4CE31128" w14:textId="6D227C57" w:rsidR="005C784C" w:rsidRPr="001C2C27" w:rsidRDefault="005C784C" w:rsidP="0012721F">
      <w:pPr>
        <w:pStyle w:val="ReferHead"/>
        <w:spacing w:after="0" w:line="480" w:lineRule="auto"/>
        <w:jc w:val="both"/>
        <w:rPr>
          <w:rFonts w:ascii="Arial" w:hAnsi="Arial" w:cs="Arial"/>
          <w:bCs/>
        </w:rPr>
      </w:pPr>
      <w:r w:rsidRPr="001C2C27">
        <w:rPr>
          <w:rFonts w:ascii="Arial" w:hAnsi="Arial" w:cs="Arial"/>
          <w:bCs/>
        </w:rPr>
        <w:t>Ethical approval</w:t>
      </w:r>
    </w:p>
    <w:p w14:paraId="3E160DFD" w14:textId="77777777" w:rsidR="005C784C" w:rsidRPr="001C2C27" w:rsidRDefault="005C784C" w:rsidP="0012721F">
      <w:pPr>
        <w:pStyle w:val="ReferHead"/>
        <w:spacing w:after="0" w:line="480" w:lineRule="auto"/>
        <w:jc w:val="both"/>
        <w:rPr>
          <w:rFonts w:ascii="Arial" w:hAnsi="Arial" w:cs="Arial"/>
          <w:bCs/>
        </w:rPr>
      </w:pPr>
    </w:p>
    <w:p w14:paraId="66DDF777" w14:textId="309AE3E8" w:rsidR="00757331" w:rsidRPr="001C2C27" w:rsidRDefault="00757331" w:rsidP="0012721F">
      <w:pPr>
        <w:pStyle w:val="ReferHead"/>
        <w:spacing w:after="0" w:line="480" w:lineRule="auto"/>
        <w:jc w:val="both"/>
        <w:rPr>
          <w:rFonts w:ascii="Arial" w:hAnsi="Arial" w:cs="Arial"/>
          <w:b w:val="0"/>
          <w:bCs/>
          <w:caps w:val="0"/>
        </w:rPr>
      </w:pPr>
      <w:r w:rsidRPr="001C2C27">
        <w:rPr>
          <w:rFonts w:ascii="Arial" w:hAnsi="Arial" w:cs="Arial"/>
          <w:b w:val="0"/>
          <w:bCs/>
          <w:caps w:val="0"/>
        </w:rPr>
        <w:t xml:space="preserve">All authors hereby declare that this study was examined and approved by the </w:t>
      </w:r>
      <w:r w:rsidR="000121A6" w:rsidRPr="001C2C27">
        <w:rPr>
          <w:rFonts w:ascii="Arial" w:hAnsi="Arial" w:cs="Arial"/>
          <w:b w:val="0"/>
          <w:bCs/>
          <w:caps w:val="0"/>
        </w:rPr>
        <w:t>Garissa University Ethics Review Committee</w:t>
      </w:r>
      <w:r w:rsidRPr="001C2C27">
        <w:rPr>
          <w:rFonts w:ascii="Arial" w:hAnsi="Arial" w:cs="Arial"/>
          <w:b w:val="0"/>
          <w:bCs/>
          <w:caps w:val="0"/>
        </w:rPr>
        <w:t xml:space="preserve"> and the </w:t>
      </w:r>
      <w:r w:rsidR="000121A6" w:rsidRPr="001C2C27">
        <w:rPr>
          <w:rFonts w:ascii="Arial" w:hAnsi="Arial" w:cs="Arial"/>
          <w:b w:val="0"/>
          <w:bCs/>
          <w:caps w:val="0"/>
        </w:rPr>
        <w:t>National Commission</w:t>
      </w:r>
      <w:r w:rsidRPr="001C2C27">
        <w:rPr>
          <w:rFonts w:ascii="Arial" w:hAnsi="Arial" w:cs="Arial"/>
          <w:b w:val="0"/>
          <w:bCs/>
          <w:caps w:val="0"/>
        </w:rPr>
        <w:t xml:space="preserve"> for </w:t>
      </w:r>
      <w:r w:rsidR="000121A6" w:rsidRPr="001C2C27">
        <w:rPr>
          <w:rFonts w:ascii="Arial" w:hAnsi="Arial" w:cs="Arial"/>
          <w:b w:val="0"/>
          <w:bCs/>
          <w:caps w:val="0"/>
        </w:rPr>
        <w:t>Science</w:t>
      </w:r>
      <w:r w:rsidRPr="001C2C27">
        <w:rPr>
          <w:rFonts w:ascii="Arial" w:hAnsi="Arial" w:cs="Arial"/>
          <w:b w:val="0"/>
          <w:bCs/>
          <w:caps w:val="0"/>
        </w:rPr>
        <w:t xml:space="preserve">, </w:t>
      </w:r>
      <w:r w:rsidR="000121A6" w:rsidRPr="001C2C27">
        <w:rPr>
          <w:rFonts w:ascii="Arial" w:hAnsi="Arial" w:cs="Arial"/>
          <w:b w:val="0"/>
          <w:bCs/>
          <w:caps w:val="0"/>
        </w:rPr>
        <w:t>Technology,</w:t>
      </w:r>
      <w:r w:rsidRPr="001C2C27">
        <w:rPr>
          <w:rFonts w:ascii="Arial" w:hAnsi="Arial" w:cs="Arial"/>
          <w:b w:val="0"/>
          <w:bCs/>
          <w:caps w:val="0"/>
        </w:rPr>
        <w:t xml:space="preserve"> and </w:t>
      </w:r>
      <w:r w:rsidR="000121A6" w:rsidRPr="001C2C27">
        <w:rPr>
          <w:rFonts w:ascii="Arial" w:hAnsi="Arial" w:cs="Arial"/>
          <w:b w:val="0"/>
          <w:bCs/>
          <w:caps w:val="0"/>
        </w:rPr>
        <w:t>Innovation</w:t>
      </w:r>
      <w:r w:rsidRPr="001C2C27">
        <w:rPr>
          <w:rFonts w:ascii="Arial" w:hAnsi="Arial" w:cs="Arial"/>
          <w:b w:val="0"/>
          <w:bCs/>
          <w:caps w:val="0"/>
        </w:rPr>
        <w:t xml:space="preserve"> (</w:t>
      </w:r>
      <w:r w:rsidR="000121A6" w:rsidRPr="001C2C27">
        <w:rPr>
          <w:rFonts w:ascii="Arial" w:hAnsi="Arial" w:cs="Arial"/>
          <w:b w:val="0"/>
          <w:bCs/>
          <w:caps w:val="0"/>
        </w:rPr>
        <w:t>NACOSTI</w:t>
      </w:r>
      <w:r w:rsidRPr="001C2C27">
        <w:rPr>
          <w:rFonts w:ascii="Arial" w:hAnsi="Arial" w:cs="Arial"/>
          <w:b w:val="0"/>
          <w:bCs/>
          <w:caps w:val="0"/>
        </w:rPr>
        <w:t xml:space="preserve">), </w:t>
      </w:r>
      <w:r w:rsidR="000121A6" w:rsidRPr="001C2C27">
        <w:rPr>
          <w:rFonts w:ascii="Arial" w:hAnsi="Arial" w:cs="Arial"/>
          <w:b w:val="0"/>
          <w:bCs/>
          <w:caps w:val="0"/>
        </w:rPr>
        <w:t>Kenya</w:t>
      </w:r>
      <w:r w:rsidRPr="001C2C27">
        <w:rPr>
          <w:rFonts w:ascii="Arial" w:hAnsi="Arial" w:cs="Arial"/>
          <w:b w:val="0"/>
          <w:bCs/>
          <w:caps w:val="0"/>
        </w:rPr>
        <w:t xml:space="preserve"> (</w:t>
      </w:r>
      <w:r w:rsidR="000121A6" w:rsidRPr="001C2C27">
        <w:rPr>
          <w:rFonts w:ascii="Arial" w:hAnsi="Arial" w:cs="Arial"/>
          <w:b w:val="0"/>
          <w:bCs/>
          <w:caps w:val="0"/>
        </w:rPr>
        <w:t>P</w:t>
      </w:r>
      <w:r w:rsidRPr="001C2C27">
        <w:rPr>
          <w:rFonts w:ascii="Arial" w:hAnsi="Arial" w:cs="Arial"/>
          <w:b w:val="0"/>
          <w:bCs/>
          <w:caps w:val="0"/>
        </w:rPr>
        <w:t xml:space="preserve">ermit no: 525273). </w:t>
      </w:r>
      <w:r w:rsidR="000121A6" w:rsidRPr="001C2C27">
        <w:rPr>
          <w:rFonts w:ascii="Arial" w:hAnsi="Arial" w:cs="Arial"/>
          <w:b w:val="0"/>
          <w:bCs/>
          <w:caps w:val="0"/>
        </w:rPr>
        <w:t>The</w:t>
      </w:r>
      <w:r w:rsidRPr="001C2C27">
        <w:rPr>
          <w:rFonts w:ascii="Arial" w:hAnsi="Arial" w:cs="Arial"/>
          <w:b w:val="0"/>
          <w:bCs/>
          <w:caps w:val="0"/>
        </w:rPr>
        <w:t xml:space="preserve"> research was conducted in accordance with the ethical standards laid down in the 1964 </w:t>
      </w:r>
      <w:r w:rsidR="000121A6" w:rsidRPr="001C2C27">
        <w:rPr>
          <w:rFonts w:ascii="Arial" w:hAnsi="Arial" w:cs="Arial"/>
          <w:b w:val="0"/>
          <w:bCs/>
          <w:caps w:val="0"/>
        </w:rPr>
        <w:t>Declaration</w:t>
      </w:r>
      <w:r w:rsidRPr="001C2C27">
        <w:rPr>
          <w:rFonts w:ascii="Arial" w:hAnsi="Arial" w:cs="Arial"/>
          <w:b w:val="0"/>
          <w:bCs/>
          <w:caps w:val="0"/>
        </w:rPr>
        <w:t xml:space="preserve"> of </w:t>
      </w:r>
      <w:r w:rsidR="000121A6" w:rsidRPr="001C2C27">
        <w:rPr>
          <w:rFonts w:ascii="Arial" w:hAnsi="Arial" w:cs="Arial"/>
          <w:b w:val="0"/>
          <w:bCs/>
          <w:caps w:val="0"/>
        </w:rPr>
        <w:t>Helsinki</w:t>
      </w:r>
      <w:r w:rsidRPr="001C2C27">
        <w:rPr>
          <w:rFonts w:ascii="Arial" w:hAnsi="Arial" w:cs="Arial"/>
          <w:b w:val="0"/>
          <w:bCs/>
          <w:caps w:val="0"/>
        </w:rPr>
        <w:t xml:space="preserve"> and its later amendments.</w:t>
      </w:r>
    </w:p>
    <w:p w14:paraId="41260636" w14:textId="6AC911AB" w:rsidR="00352B58" w:rsidRPr="001C2C27" w:rsidRDefault="00352B58" w:rsidP="0012721F">
      <w:pPr>
        <w:pStyle w:val="ReferHead"/>
        <w:spacing w:after="0" w:line="480" w:lineRule="auto"/>
        <w:jc w:val="both"/>
        <w:rPr>
          <w:rFonts w:ascii="Arial" w:hAnsi="Arial" w:cs="Arial"/>
          <w:b w:val="0"/>
          <w:bCs/>
        </w:rPr>
      </w:pPr>
    </w:p>
    <w:p w14:paraId="3EB7B4F9" w14:textId="28A68502" w:rsidR="00352B58" w:rsidRPr="001C2C27" w:rsidRDefault="00352B58" w:rsidP="0012721F">
      <w:pPr>
        <w:pStyle w:val="ReferHead"/>
        <w:spacing w:after="0" w:line="480" w:lineRule="auto"/>
        <w:jc w:val="both"/>
        <w:rPr>
          <w:rFonts w:ascii="Arial" w:hAnsi="Arial" w:cs="Arial"/>
          <w:b w:val="0"/>
          <w:bCs/>
        </w:rPr>
      </w:pPr>
    </w:p>
    <w:p w14:paraId="7441181A" w14:textId="77777777" w:rsidR="00352B58" w:rsidRPr="001C2C27" w:rsidRDefault="00352B58" w:rsidP="00791851">
      <w:pPr>
        <w:spacing w:line="480" w:lineRule="auto"/>
        <w:rPr>
          <w:rFonts w:ascii="Calibri" w:eastAsia="Calibri" w:hAnsi="Calibri"/>
          <w:b/>
          <w:kern w:val="2"/>
        </w:rPr>
      </w:pPr>
      <w:bookmarkStart w:id="0" w:name="_Hlk201835975"/>
      <w:bookmarkStart w:id="1" w:name="_Hlk193540946"/>
      <w:bookmarkStart w:id="2" w:name="_Hlk180402183"/>
      <w:bookmarkStart w:id="3" w:name="_Hlk183680988"/>
      <w:bookmarkStart w:id="4" w:name="_Hlk197173371"/>
      <w:r w:rsidRPr="001C2C27">
        <w:rPr>
          <w:rFonts w:ascii="Calibri" w:eastAsia="Calibri" w:hAnsi="Calibri"/>
          <w:b/>
          <w:kern w:val="2"/>
        </w:rPr>
        <w:t>Disclaimer (Artificial intelligence)</w:t>
      </w:r>
    </w:p>
    <w:p w14:paraId="004689F2" w14:textId="2D93AA5F" w:rsidR="00352B58" w:rsidRPr="001C2C27" w:rsidRDefault="00352B58" w:rsidP="00791851">
      <w:pPr>
        <w:spacing w:line="480" w:lineRule="auto"/>
        <w:rPr>
          <w:rFonts w:ascii="Calibri" w:eastAsia="Calibri" w:hAnsi="Calibri"/>
          <w:kern w:val="2"/>
        </w:rPr>
      </w:pPr>
      <w:r w:rsidRPr="001C2C27">
        <w:rPr>
          <w:rFonts w:ascii="Calibri" w:eastAsia="Calibri" w:hAnsi="Calibri"/>
          <w:kern w:val="2"/>
        </w:rPr>
        <w:t xml:space="preserve"> </w:t>
      </w:r>
    </w:p>
    <w:p w14:paraId="2D26BCFE" w14:textId="77777777" w:rsidR="00352B58" w:rsidRPr="001C2C27" w:rsidRDefault="00352B58" w:rsidP="00791851">
      <w:pPr>
        <w:spacing w:line="480" w:lineRule="auto"/>
        <w:rPr>
          <w:rFonts w:ascii="Calibri" w:eastAsia="Calibri" w:hAnsi="Calibri"/>
          <w:kern w:val="2"/>
        </w:rPr>
      </w:pPr>
      <w:r w:rsidRPr="001C2C27">
        <w:rPr>
          <w:rFonts w:ascii="Calibri" w:eastAsia="Calibri" w:hAnsi="Calibri"/>
          <w:kern w:val="2"/>
        </w:rPr>
        <w:t xml:space="preserve">Author(s) hereby declare that NO generative AI technologies such as Large Language Models (ChatGPT, manuscript. </w:t>
      </w:r>
    </w:p>
    <w:bookmarkEnd w:id="0"/>
    <w:bookmarkEnd w:id="1"/>
    <w:bookmarkEnd w:id="2"/>
    <w:bookmarkEnd w:id="3"/>
    <w:bookmarkEnd w:id="4"/>
    <w:p w14:paraId="703DA781" w14:textId="77777777" w:rsidR="00860000" w:rsidRPr="001C2C27" w:rsidRDefault="00860000" w:rsidP="0012721F">
      <w:pPr>
        <w:pStyle w:val="ReferHead"/>
        <w:spacing w:after="0" w:line="480" w:lineRule="auto"/>
        <w:jc w:val="both"/>
        <w:rPr>
          <w:rFonts w:ascii="Arial" w:hAnsi="Arial" w:cs="Arial"/>
          <w:lang w:val="es-US"/>
        </w:rPr>
      </w:pPr>
    </w:p>
    <w:p w14:paraId="084FFE92" w14:textId="77777777" w:rsidR="00B01FCD" w:rsidRDefault="00B01FCD" w:rsidP="0012721F">
      <w:pPr>
        <w:pStyle w:val="ReferHead"/>
        <w:spacing w:after="0" w:line="480" w:lineRule="auto"/>
        <w:jc w:val="both"/>
        <w:rPr>
          <w:rFonts w:ascii="Arial" w:hAnsi="Arial" w:cs="Arial"/>
          <w:lang w:val="es-US"/>
        </w:rPr>
      </w:pPr>
      <w:r w:rsidRPr="001C2C27">
        <w:rPr>
          <w:rFonts w:ascii="Arial" w:hAnsi="Arial" w:cs="Arial"/>
          <w:lang w:val="es-US"/>
        </w:rPr>
        <w:t>References</w:t>
      </w:r>
    </w:p>
    <w:p w14:paraId="44E3D89F" w14:textId="77777777" w:rsidR="001406FF" w:rsidRPr="003155DB" w:rsidRDefault="001406FF" w:rsidP="001406FF">
      <w:pPr>
        <w:pStyle w:val="Body"/>
        <w:spacing w:after="0" w:line="480" w:lineRule="auto"/>
        <w:ind w:left="720" w:hanging="720"/>
      </w:pPr>
      <w:r w:rsidRPr="003155DB">
        <w:t xml:space="preserve">Ahmed, H., &amp; Mwangi, M. (2022). Working capital management and financial performance of small and medium enterprises in Garissa County, Kenya. </w:t>
      </w:r>
      <w:r w:rsidRPr="003155DB">
        <w:rPr>
          <w:i/>
          <w:iCs/>
        </w:rPr>
        <w:t>Kenyatta University Repository</w:t>
      </w:r>
      <w:r w:rsidRPr="003155DB">
        <w:t xml:space="preserve">. </w:t>
      </w:r>
      <w:hyperlink r:id="rId15" w:tgtFrame="_blank" w:history="1">
        <w:r w:rsidRPr="003155DB">
          <w:rPr>
            <w:rStyle w:val="Hyperlink"/>
            <w:color w:val="auto"/>
            <w:u w:val="none"/>
          </w:rPr>
          <w:t>https://ir-library.ku.ac.ke/handle/123456789/24985</w:t>
        </w:r>
      </w:hyperlink>
    </w:p>
    <w:p w14:paraId="73FA181C" w14:textId="77777777" w:rsidR="001406FF" w:rsidRDefault="001406FF" w:rsidP="001406FF">
      <w:pPr>
        <w:pStyle w:val="Body"/>
        <w:spacing w:after="0" w:line="480" w:lineRule="auto"/>
        <w:ind w:left="720" w:hanging="720"/>
      </w:pPr>
      <w:r w:rsidRPr="004E36A2">
        <w:t xml:space="preserve">Barney, J. (1991). Firm resources and sustained competitive advantage. </w:t>
      </w:r>
      <w:r w:rsidRPr="004E36A2">
        <w:rPr>
          <w:i/>
          <w:iCs/>
        </w:rPr>
        <w:t>J Manage</w:t>
      </w:r>
      <w:r w:rsidRPr="004E36A2">
        <w:t>, 17(1), 99–120. https://doi.org/10.1177/014920639101700108</w:t>
      </w:r>
    </w:p>
    <w:p w14:paraId="5C7BEDE5" w14:textId="77777777" w:rsidR="001406FF" w:rsidRDefault="001406FF" w:rsidP="001406FF">
      <w:pPr>
        <w:pStyle w:val="Body"/>
        <w:spacing w:after="0" w:line="480" w:lineRule="auto"/>
        <w:ind w:left="720" w:hanging="720"/>
      </w:pPr>
      <w:r w:rsidRPr="003155DB">
        <w:t xml:space="preserve">Braun, V., &amp; Clarke, V. (2006). Using thematic analysis in psychology. </w:t>
      </w:r>
      <w:proofErr w:type="spellStart"/>
      <w:r w:rsidRPr="003155DB">
        <w:rPr>
          <w:i/>
          <w:iCs/>
        </w:rPr>
        <w:t>Qual</w:t>
      </w:r>
      <w:proofErr w:type="spellEnd"/>
      <w:r w:rsidRPr="003155DB">
        <w:rPr>
          <w:i/>
          <w:iCs/>
        </w:rPr>
        <w:t xml:space="preserve"> Res</w:t>
      </w:r>
      <w:r>
        <w:rPr>
          <w:i/>
          <w:iCs/>
        </w:rPr>
        <w:t>earch</w:t>
      </w:r>
      <w:r w:rsidRPr="003155DB">
        <w:rPr>
          <w:i/>
          <w:iCs/>
        </w:rPr>
        <w:t xml:space="preserve"> Psychol</w:t>
      </w:r>
      <w:r>
        <w:rPr>
          <w:i/>
          <w:iCs/>
        </w:rPr>
        <w:t>ogy</w:t>
      </w:r>
      <w:r w:rsidRPr="003155DB">
        <w:t xml:space="preserve">, 3(2), 77–101. </w:t>
      </w:r>
      <w:hyperlink r:id="rId16" w:tgtFrame="_blank" w:history="1">
        <w:r w:rsidRPr="003155DB">
          <w:rPr>
            <w:rStyle w:val="Hyperlink"/>
            <w:color w:val="auto"/>
            <w:u w:val="none"/>
          </w:rPr>
          <w:t>https://doi.org/10.1191/1478088706qp063oa</w:t>
        </w:r>
      </w:hyperlink>
    </w:p>
    <w:p w14:paraId="1962509F" w14:textId="77777777" w:rsidR="001406FF" w:rsidRPr="0071464F" w:rsidRDefault="001406FF" w:rsidP="001406FF">
      <w:pPr>
        <w:pStyle w:val="Body"/>
        <w:spacing w:after="0" w:line="480" w:lineRule="auto"/>
        <w:ind w:left="720" w:hanging="720"/>
      </w:pPr>
      <w:r w:rsidRPr="0071464F">
        <w:lastRenderedPageBreak/>
        <w:t>Chepwogen, B. H., &amp; Moronge</w:t>
      </w:r>
      <w:bookmarkStart w:id="5" w:name="_GoBack"/>
      <w:bookmarkEnd w:id="5"/>
      <w:r w:rsidRPr="0071464F">
        <w:t xml:space="preserve">, M. (2019). Influence of procurement outsourcing practices on performance of manufacturing firms in Nairobi County, Kenya. </w:t>
      </w:r>
      <w:r w:rsidRPr="0071464F">
        <w:rPr>
          <w:i/>
          <w:iCs/>
        </w:rPr>
        <w:t>The Strategic Journal of Business &amp; Change Management</w:t>
      </w:r>
      <w:r w:rsidRPr="0071464F">
        <w:t xml:space="preserve">, </w:t>
      </w:r>
      <w:r w:rsidRPr="0071464F">
        <w:rPr>
          <w:i/>
          <w:iCs/>
        </w:rPr>
        <w:t>6</w:t>
      </w:r>
      <w:r w:rsidRPr="0071464F">
        <w:t xml:space="preserve">(1), 401–417. </w:t>
      </w:r>
      <w:hyperlink r:id="rId17" w:tgtFrame="_blank" w:history="1">
        <w:r w:rsidRPr="0071464F">
          <w:rPr>
            <w:rStyle w:val="Hyperlink"/>
            <w:color w:val="auto"/>
            <w:u w:val="none"/>
          </w:rPr>
          <w:t>https://doi.org/10.61426/sjbcm.v6i1.1065</w:t>
        </w:r>
      </w:hyperlink>
    </w:p>
    <w:p w14:paraId="6BBBA2D9" w14:textId="77777777" w:rsidR="001406FF" w:rsidRPr="003155DB" w:rsidRDefault="001406FF" w:rsidP="001406FF">
      <w:pPr>
        <w:pStyle w:val="Body"/>
        <w:spacing w:after="0" w:line="480" w:lineRule="auto"/>
        <w:ind w:left="720" w:hanging="720"/>
      </w:pPr>
      <w:r w:rsidRPr="003155DB">
        <w:t xml:space="preserve">Cooper, D. R., &amp; Schindler, P. S. (2013). </w:t>
      </w:r>
      <w:r w:rsidRPr="003155DB">
        <w:rPr>
          <w:i/>
          <w:iCs/>
        </w:rPr>
        <w:t>Business research methods</w:t>
      </w:r>
      <w:r w:rsidRPr="003155DB">
        <w:t xml:space="preserve"> (12th ed.). McGraw-Hill Education.</w:t>
      </w:r>
    </w:p>
    <w:p w14:paraId="18635CCA" w14:textId="77777777" w:rsidR="001406FF" w:rsidRPr="003155DB" w:rsidRDefault="001406FF" w:rsidP="001406FF">
      <w:pPr>
        <w:pStyle w:val="Body"/>
        <w:spacing w:after="0" w:line="480" w:lineRule="auto"/>
        <w:ind w:left="720" w:hanging="720"/>
      </w:pPr>
      <w:r w:rsidRPr="003155DB">
        <w:t xml:space="preserve">Creswell, J. W. (2014). </w:t>
      </w:r>
      <w:r w:rsidRPr="003155DB">
        <w:rPr>
          <w:i/>
          <w:iCs/>
        </w:rPr>
        <w:t>Research design: Qualitative, quantitative, and mixed methods approaches</w:t>
      </w:r>
      <w:r w:rsidRPr="003155DB">
        <w:t xml:space="preserve"> (4th ed.). SAGE Publications.</w:t>
      </w:r>
    </w:p>
    <w:p w14:paraId="36EB71E6" w14:textId="77777777" w:rsidR="001406FF" w:rsidRPr="0071464F" w:rsidRDefault="001406FF" w:rsidP="001406FF">
      <w:pPr>
        <w:pStyle w:val="Body"/>
        <w:spacing w:after="0" w:line="480" w:lineRule="auto"/>
        <w:ind w:left="720" w:hanging="720"/>
      </w:pPr>
      <w:r w:rsidRPr="0071464F">
        <w:t>Golaś, Z. (2020). The effect of inventory management on profitability: Evidence from the Polish food industry</w:t>
      </w:r>
      <w:r>
        <w:t>.</w:t>
      </w:r>
      <w:r w:rsidRPr="0071464F">
        <w:t xml:space="preserve"> </w:t>
      </w:r>
      <w:r w:rsidRPr="0071464F">
        <w:rPr>
          <w:i/>
          <w:iCs/>
        </w:rPr>
        <w:t>Agricultural Economics</w:t>
      </w:r>
      <w:r w:rsidRPr="0071464F">
        <w:t xml:space="preserve">, </w:t>
      </w:r>
      <w:r w:rsidRPr="0071464F">
        <w:rPr>
          <w:i/>
          <w:iCs/>
        </w:rPr>
        <w:t>66</w:t>
      </w:r>
      <w:r w:rsidRPr="0071464F">
        <w:t>(5), 234–242.</w:t>
      </w:r>
      <w:r>
        <w:t xml:space="preserve"> </w:t>
      </w:r>
      <w:hyperlink r:id="rId18" w:history="1">
        <w:r w:rsidRPr="0071464F">
          <w:rPr>
            <w:rStyle w:val="Hyperlink"/>
            <w:color w:val="auto"/>
            <w:u w:val="none"/>
          </w:rPr>
          <w:t>https://doi.org/10.17221/370/2019</w:t>
        </w:r>
      </w:hyperlink>
    </w:p>
    <w:p w14:paraId="017D4718" w14:textId="77777777" w:rsidR="001406FF" w:rsidRPr="003155DB" w:rsidRDefault="001406FF" w:rsidP="001406FF">
      <w:pPr>
        <w:pStyle w:val="Body"/>
        <w:spacing w:after="0" w:line="480" w:lineRule="auto"/>
        <w:ind w:left="720" w:hanging="720"/>
      </w:pPr>
      <w:r w:rsidRPr="003155DB">
        <w:t xml:space="preserve">Hamdani, M., Anggadwita, G., &amp; Yusuf, M. (2023). Raw material uncertainty and operational performance: Evidence from Indonesian manufacturing SMEs. </w:t>
      </w:r>
      <w:r w:rsidRPr="003155DB">
        <w:rPr>
          <w:i/>
          <w:iCs/>
        </w:rPr>
        <w:t>Oper</w:t>
      </w:r>
      <w:r>
        <w:rPr>
          <w:i/>
          <w:iCs/>
        </w:rPr>
        <w:t>ational</w:t>
      </w:r>
      <w:r w:rsidRPr="003155DB">
        <w:rPr>
          <w:i/>
          <w:iCs/>
        </w:rPr>
        <w:t xml:space="preserve"> Supply Chain Manag</w:t>
      </w:r>
      <w:r>
        <w:rPr>
          <w:i/>
          <w:iCs/>
        </w:rPr>
        <w:t>ement</w:t>
      </w:r>
      <w:r w:rsidRPr="003155DB">
        <w:t xml:space="preserve">, 16(1), 1–10. </w:t>
      </w:r>
      <w:hyperlink r:id="rId19" w:tgtFrame="_blank" w:history="1">
        <w:r w:rsidRPr="003155DB">
          <w:rPr>
            <w:rStyle w:val="Hyperlink"/>
            <w:color w:val="auto"/>
            <w:u w:val="none"/>
          </w:rPr>
          <w:t>https://doi.org/10.31387/oscm0500361</w:t>
        </w:r>
      </w:hyperlink>
    </w:p>
    <w:p w14:paraId="3E1D2296" w14:textId="77777777" w:rsidR="001406FF" w:rsidRPr="003155DB" w:rsidRDefault="001406FF" w:rsidP="001406FF">
      <w:pPr>
        <w:pStyle w:val="Body"/>
        <w:spacing w:after="0" w:line="480" w:lineRule="auto"/>
        <w:ind w:left="720" w:hanging="720"/>
      </w:pPr>
      <w:r w:rsidRPr="003155DB">
        <w:t>Hassan, A., &amp; El-</w:t>
      </w:r>
      <w:proofErr w:type="spellStart"/>
      <w:r w:rsidRPr="003155DB">
        <w:t>Khalik</w:t>
      </w:r>
      <w:proofErr w:type="spellEnd"/>
      <w:r w:rsidRPr="003155DB">
        <w:t xml:space="preserve">, M. (2023). The impact of online pharmacies on traditional pharmacy models in Egypt. </w:t>
      </w:r>
      <w:r w:rsidRPr="003155DB">
        <w:rPr>
          <w:i/>
          <w:iCs/>
        </w:rPr>
        <w:t>Arab J Pharm</w:t>
      </w:r>
      <w:r w:rsidRPr="003155DB">
        <w:t>, 45–48.</w:t>
      </w:r>
    </w:p>
    <w:p w14:paraId="7EC4972D" w14:textId="77777777" w:rsidR="001406FF" w:rsidRDefault="001406FF" w:rsidP="001406FF">
      <w:pPr>
        <w:pStyle w:val="Body"/>
        <w:spacing w:after="0" w:line="480" w:lineRule="auto"/>
        <w:ind w:left="720" w:hanging="720"/>
      </w:pPr>
      <w:r w:rsidRPr="0071464F">
        <w:t xml:space="preserve">Jobira, T., Bekele, A., Feyissa, T., &amp; Tadesse, T. (2022). </w:t>
      </w:r>
      <w:r w:rsidRPr="0071464F">
        <w:rPr>
          <w:i/>
          <w:iCs/>
        </w:rPr>
        <w:t xml:space="preserve">Assessment of knowledge, practice, and challenges of pharmacy professionals in applying inventory management methods in selected public health facilities, West </w:t>
      </w:r>
      <w:proofErr w:type="spellStart"/>
      <w:r w:rsidRPr="0071464F">
        <w:rPr>
          <w:i/>
          <w:iCs/>
        </w:rPr>
        <w:t>Arsi</w:t>
      </w:r>
      <w:proofErr w:type="spellEnd"/>
      <w:r w:rsidRPr="0071464F">
        <w:rPr>
          <w:i/>
          <w:iCs/>
        </w:rPr>
        <w:t xml:space="preserve"> Zone, Ethiopia</w:t>
      </w:r>
      <w:r w:rsidRPr="0071464F">
        <w:t xml:space="preserve">. BMC Health Services Research, 22, Article 62. </w:t>
      </w:r>
      <w:hyperlink r:id="rId20" w:tgtFrame="_blank" w:history="1">
        <w:r w:rsidRPr="0071464F">
          <w:rPr>
            <w:rStyle w:val="Hyperlink"/>
            <w:color w:val="auto"/>
            <w:u w:val="none"/>
          </w:rPr>
          <w:t>https://doi.org/10.1186/s12913</w:t>
        </w:r>
        <w:r w:rsidRPr="0071464F">
          <w:rPr>
            <w:rStyle w:val="Hyperlink"/>
            <w:color w:val="auto"/>
            <w:u w:val="none"/>
          </w:rPr>
          <w:noBreakHyphen/>
          <w:t>021</w:t>
        </w:r>
        <w:r w:rsidRPr="0071464F">
          <w:rPr>
            <w:rStyle w:val="Hyperlink"/>
            <w:color w:val="auto"/>
            <w:u w:val="none"/>
          </w:rPr>
          <w:noBreakHyphen/>
          <w:t>07434</w:t>
        </w:r>
        <w:r w:rsidRPr="0071464F">
          <w:rPr>
            <w:rStyle w:val="Hyperlink"/>
            <w:color w:val="auto"/>
            <w:u w:val="none"/>
          </w:rPr>
          <w:noBreakHyphen/>
          <w:t>3</w:t>
        </w:r>
      </w:hyperlink>
    </w:p>
    <w:p w14:paraId="56E897FA" w14:textId="77777777" w:rsidR="001406FF" w:rsidRPr="003155DB" w:rsidRDefault="001406FF" w:rsidP="001406FF">
      <w:pPr>
        <w:pStyle w:val="Body"/>
        <w:spacing w:after="0" w:line="480" w:lineRule="auto"/>
        <w:ind w:left="720" w:hanging="720"/>
      </w:pPr>
      <w:r w:rsidRPr="00151089">
        <w:t xml:space="preserve">Karanja, J. N., &amp; Kwasira, J. (2024). Logistics Management Practices and Performance of Pharmaceutical Manufacturing Firms in Nairobi City County, Kenya. </w:t>
      </w:r>
      <w:r w:rsidRPr="00151089">
        <w:rPr>
          <w:i/>
          <w:iCs/>
        </w:rPr>
        <w:t>Int</w:t>
      </w:r>
      <w:r>
        <w:rPr>
          <w:i/>
          <w:iCs/>
        </w:rPr>
        <w:t>ernational</w:t>
      </w:r>
      <w:r w:rsidRPr="00151089">
        <w:rPr>
          <w:i/>
          <w:iCs/>
        </w:rPr>
        <w:t xml:space="preserve"> J</w:t>
      </w:r>
      <w:r>
        <w:rPr>
          <w:i/>
          <w:iCs/>
        </w:rPr>
        <w:t>ournal</w:t>
      </w:r>
      <w:r w:rsidRPr="00151089">
        <w:rPr>
          <w:i/>
          <w:iCs/>
        </w:rPr>
        <w:t xml:space="preserve"> Soc</w:t>
      </w:r>
      <w:r>
        <w:rPr>
          <w:i/>
          <w:iCs/>
        </w:rPr>
        <w:t>ial</w:t>
      </w:r>
      <w:r w:rsidRPr="00151089">
        <w:rPr>
          <w:i/>
          <w:iCs/>
        </w:rPr>
        <w:t xml:space="preserve"> Sci</w:t>
      </w:r>
      <w:r>
        <w:rPr>
          <w:i/>
          <w:iCs/>
        </w:rPr>
        <w:t>ence</w:t>
      </w:r>
      <w:r w:rsidRPr="00151089">
        <w:rPr>
          <w:i/>
          <w:iCs/>
        </w:rPr>
        <w:t xml:space="preserve"> Humanit</w:t>
      </w:r>
      <w:r>
        <w:rPr>
          <w:i/>
          <w:iCs/>
        </w:rPr>
        <w:t>y</w:t>
      </w:r>
      <w:r w:rsidRPr="00151089">
        <w:rPr>
          <w:i/>
          <w:iCs/>
        </w:rPr>
        <w:t xml:space="preserve"> Res</w:t>
      </w:r>
      <w:r>
        <w:rPr>
          <w:i/>
          <w:iCs/>
        </w:rPr>
        <w:t>earch</w:t>
      </w:r>
      <w:r w:rsidRPr="00151089">
        <w:t>, 2(3), 291–311. https://doi.org/10.61108/ijsshr.v2i3.142</w:t>
      </w:r>
    </w:p>
    <w:p w14:paraId="341B2AC3" w14:textId="77777777" w:rsidR="001406FF" w:rsidRDefault="001406FF" w:rsidP="001406FF">
      <w:pPr>
        <w:pStyle w:val="Body"/>
        <w:spacing w:after="0" w:line="480" w:lineRule="auto"/>
        <w:ind w:left="720" w:hanging="720"/>
      </w:pPr>
      <w:r w:rsidRPr="003155DB">
        <w:t xml:space="preserve">Kothari, C. R. (2004). </w:t>
      </w:r>
      <w:r w:rsidRPr="003155DB">
        <w:rPr>
          <w:i/>
          <w:iCs/>
        </w:rPr>
        <w:t>Research methodology: Methods and techniques</w:t>
      </w:r>
      <w:r w:rsidRPr="003155DB">
        <w:t xml:space="preserve"> (2nd </w:t>
      </w:r>
      <w:proofErr w:type="gramStart"/>
      <w:r w:rsidRPr="003155DB">
        <w:t>ed</w:t>
      </w:r>
      <w:proofErr w:type="gramEnd"/>
      <w:r w:rsidRPr="003155DB">
        <w:t>.). New Age International Publishers.</w:t>
      </w:r>
    </w:p>
    <w:p w14:paraId="6F3A1244" w14:textId="0562BC02" w:rsidR="001406FF" w:rsidRDefault="001406FF" w:rsidP="001406FF">
      <w:pPr>
        <w:pStyle w:val="Body"/>
        <w:spacing w:after="0" w:line="480" w:lineRule="auto"/>
        <w:ind w:left="720" w:hanging="720"/>
      </w:pPr>
      <w:r>
        <w:lastRenderedPageBreak/>
        <w:t xml:space="preserve">Martini, N., </w:t>
      </w:r>
      <w:proofErr w:type="spellStart"/>
      <w:r>
        <w:t>Sajtos</w:t>
      </w:r>
      <w:proofErr w:type="spellEnd"/>
      <w:r>
        <w:t xml:space="preserve">, L., </w:t>
      </w:r>
      <w:proofErr w:type="spellStart"/>
      <w:r>
        <w:t>Idio</w:t>
      </w:r>
      <w:proofErr w:type="spellEnd"/>
      <w:r>
        <w:t xml:space="preserve">, L., Kaur, M., Sweeney, N., Zhang, C., &amp; </w:t>
      </w:r>
      <w:proofErr w:type="spellStart"/>
      <w:r>
        <w:t>Scahill</w:t>
      </w:r>
      <w:proofErr w:type="spellEnd"/>
      <w:r>
        <w:t xml:space="preserve">, S. (2024). The future of pharmacy work: How pharmacists are adapting to and preparing for technology infusion. </w:t>
      </w:r>
      <w:r>
        <w:rPr>
          <w:rStyle w:val="Emphasis"/>
        </w:rPr>
        <w:t>Exploratory Research in Clinical and Social Pharmacy, 15</w:t>
      </w:r>
      <w:r>
        <w:t>, 100472.</w:t>
      </w:r>
    </w:p>
    <w:p w14:paraId="21DBAA80" w14:textId="77777777" w:rsidR="001406FF" w:rsidRPr="003155DB" w:rsidRDefault="001406FF" w:rsidP="001406FF">
      <w:pPr>
        <w:pStyle w:val="Body"/>
        <w:spacing w:after="0" w:line="480" w:lineRule="auto"/>
        <w:ind w:left="720" w:hanging="720"/>
      </w:pPr>
    </w:p>
    <w:p w14:paraId="1144459F" w14:textId="77777777" w:rsidR="001406FF" w:rsidRPr="003155DB" w:rsidRDefault="001406FF" w:rsidP="001406FF">
      <w:pPr>
        <w:pStyle w:val="Body"/>
        <w:spacing w:after="0" w:line="480" w:lineRule="auto"/>
        <w:ind w:left="720" w:hanging="720"/>
      </w:pPr>
      <w:r w:rsidRPr="003155DB">
        <w:t xml:space="preserve">Mugenda, O. M., &amp; Mugenda, A. G. (2003). </w:t>
      </w:r>
      <w:r w:rsidRPr="003155DB">
        <w:rPr>
          <w:i/>
          <w:iCs/>
        </w:rPr>
        <w:t>Research methods: Quantitative and qualitative approaches</w:t>
      </w:r>
      <w:r w:rsidRPr="003155DB">
        <w:t>. ACTS Press.</w:t>
      </w:r>
    </w:p>
    <w:p w14:paraId="032FA2E2" w14:textId="77777777" w:rsidR="001406FF" w:rsidRDefault="001406FF" w:rsidP="001406FF">
      <w:pPr>
        <w:pStyle w:val="Body"/>
        <w:spacing w:after="0" w:line="480" w:lineRule="auto"/>
        <w:ind w:left="720" w:hanging="720"/>
        <w:rPr>
          <w:rStyle w:val="Hyperlink"/>
          <w:color w:val="auto"/>
          <w:u w:val="none"/>
        </w:rPr>
      </w:pPr>
      <w:r w:rsidRPr="003155DB">
        <w:t xml:space="preserve">Nguyen, P. H. (2022). Material sourcing characteristics and firm performance. </w:t>
      </w:r>
      <w:r w:rsidRPr="003155DB">
        <w:rPr>
          <w:i/>
          <w:iCs/>
        </w:rPr>
        <w:t>Mathematics, 10</w:t>
      </w:r>
      <w:r w:rsidRPr="003155DB">
        <w:t xml:space="preserve">(10), 1691. </w:t>
      </w:r>
      <w:hyperlink r:id="rId21" w:tgtFrame="_blank" w:history="1">
        <w:r w:rsidRPr="003155DB">
          <w:rPr>
            <w:rStyle w:val="Hyperlink"/>
            <w:color w:val="auto"/>
            <w:u w:val="none"/>
          </w:rPr>
          <w:t>https://doi.org/10.3390/math10101691</w:t>
        </w:r>
      </w:hyperlink>
    </w:p>
    <w:p w14:paraId="37D35BA3" w14:textId="00E03C57" w:rsidR="001406FF" w:rsidRDefault="001406FF" w:rsidP="001406FF">
      <w:pPr>
        <w:pStyle w:val="Body"/>
        <w:spacing w:after="0" w:line="480" w:lineRule="auto"/>
        <w:ind w:left="720" w:hanging="720"/>
        <w:rPr>
          <w:rStyle w:val="Hyperlink"/>
          <w:color w:val="auto"/>
          <w:u w:val="none"/>
        </w:rPr>
      </w:pPr>
      <w:r>
        <w:t xml:space="preserve">Shailaja, K., Sundar, S. S., Priya, A. L., &amp; Roshini, M. (2023). The effect of inventory control on patients with acute and chronic illness during pre, </w:t>
      </w:r>
      <w:proofErr w:type="spellStart"/>
      <w:r>
        <w:t>peri</w:t>
      </w:r>
      <w:proofErr w:type="spellEnd"/>
      <w:r>
        <w:t xml:space="preserve"> and post COVID-19 pandemic in India. </w:t>
      </w:r>
      <w:r>
        <w:rPr>
          <w:rStyle w:val="Emphasis"/>
        </w:rPr>
        <w:t>Journal of Pharmaceutical Research International, 35</w:t>
      </w:r>
      <w:r>
        <w:t>(21), 1–13.</w:t>
      </w:r>
    </w:p>
    <w:p w14:paraId="426F5DEC" w14:textId="77777777" w:rsidR="001406FF" w:rsidRDefault="001406FF" w:rsidP="001406FF">
      <w:pPr>
        <w:pStyle w:val="Body"/>
        <w:spacing w:after="0" w:line="480" w:lineRule="auto"/>
        <w:ind w:left="720" w:hanging="720"/>
      </w:pPr>
    </w:p>
    <w:p w14:paraId="55885B77" w14:textId="77777777" w:rsidR="001406FF" w:rsidRPr="003155DB" w:rsidRDefault="001406FF" w:rsidP="001406FF">
      <w:pPr>
        <w:pStyle w:val="Body"/>
        <w:spacing w:after="0" w:line="480" w:lineRule="auto"/>
        <w:ind w:left="720" w:hanging="720"/>
      </w:pPr>
      <w:r w:rsidRPr="003155DB">
        <w:t xml:space="preserve">Woodie, B. (2018). Procurement delays and inventory inefficiencies in Ethiopian banks. </w:t>
      </w:r>
      <w:r w:rsidRPr="003155DB">
        <w:rPr>
          <w:i/>
          <w:iCs/>
        </w:rPr>
        <w:t>Afr</w:t>
      </w:r>
      <w:r>
        <w:rPr>
          <w:i/>
          <w:iCs/>
        </w:rPr>
        <w:t>ica</w:t>
      </w:r>
      <w:r w:rsidRPr="003155DB">
        <w:rPr>
          <w:i/>
          <w:iCs/>
        </w:rPr>
        <w:t xml:space="preserve"> J</w:t>
      </w:r>
      <w:r>
        <w:rPr>
          <w:i/>
          <w:iCs/>
        </w:rPr>
        <w:t>ournal</w:t>
      </w:r>
      <w:r w:rsidRPr="003155DB">
        <w:rPr>
          <w:i/>
          <w:iCs/>
        </w:rPr>
        <w:t xml:space="preserve"> Bus</w:t>
      </w:r>
      <w:r>
        <w:rPr>
          <w:i/>
          <w:iCs/>
        </w:rPr>
        <w:t>iness</w:t>
      </w:r>
      <w:r w:rsidRPr="003155DB">
        <w:rPr>
          <w:i/>
          <w:iCs/>
        </w:rPr>
        <w:t xml:space="preserve"> Manag</w:t>
      </w:r>
      <w:r>
        <w:rPr>
          <w:i/>
          <w:iCs/>
        </w:rPr>
        <w:t>ement</w:t>
      </w:r>
      <w:r w:rsidRPr="003155DB">
        <w:t xml:space="preserve">, 12(4), 95–104. </w:t>
      </w:r>
      <w:hyperlink r:id="rId22" w:tgtFrame="_blank" w:history="1">
        <w:r w:rsidRPr="003155DB">
          <w:rPr>
            <w:rStyle w:val="Hyperlink"/>
            <w:color w:val="auto"/>
            <w:u w:val="none"/>
          </w:rPr>
          <w:t>https://doi.org/10.5897/AJBM2018.8521</w:t>
        </w:r>
      </w:hyperlink>
    </w:p>
    <w:p w14:paraId="2E4D3548" w14:textId="77777777" w:rsidR="001406FF" w:rsidRDefault="001406FF" w:rsidP="0012721F">
      <w:pPr>
        <w:pStyle w:val="ReferHead"/>
        <w:spacing w:after="0" w:line="480" w:lineRule="auto"/>
        <w:jc w:val="both"/>
        <w:rPr>
          <w:rFonts w:ascii="Arial" w:hAnsi="Arial" w:cs="Arial"/>
          <w:lang w:val="es-US"/>
        </w:rPr>
      </w:pPr>
    </w:p>
    <w:p w14:paraId="6301D40F" w14:textId="77777777" w:rsidR="001406FF" w:rsidRDefault="001406FF" w:rsidP="0012721F">
      <w:pPr>
        <w:pStyle w:val="ReferHead"/>
        <w:spacing w:after="0" w:line="480" w:lineRule="auto"/>
        <w:jc w:val="both"/>
        <w:rPr>
          <w:rFonts w:ascii="Arial" w:hAnsi="Arial" w:cs="Arial"/>
          <w:lang w:val="es-US"/>
        </w:rPr>
      </w:pPr>
    </w:p>
    <w:p w14:paraId="737920CC" w14:textId="77777777" w:rsidR="001406FF" w:rsidRPr="001C2C27" w:rsidRDefault="001406FF" w:rsidP="0012721F">
      <w:pPr>
        <w:pStyle w:val="ReferHead"/>
        <w:spacing w:after="0" w:line="480" w:lineRule="auto"/>
        <w:jc w:val="both"/>
        <w:rPr>
          <w:rFonts w:ascii="Arial" w:hAnsi="Arial" w:cs="Arial"/>
          <w:lang w:val="es-US"/>
        </w:rPr>
      </w:pPr>
    </w:p>
    <w:p w14:paraId="7FE5E081" w14:textId="77777777" w:rsidR="00790ADA" w:rsidRPr="001C2C27" w:rsidRDefault="00790ADA" w:rsidP="0012721F">
      <w:pPr>
        <w:pStyle w:val="ReferHead"/>
        <w:spacing w:after="0" w:line="480" w:lineRule="auto"/>
        <w:jc w:val="both"/>
        <w:rPr>
          <w:rFonts w:ascii="Arial" w:hAnsi="Arial" w:cs="Arial"/>
          <w:lang w:val="es-US"/>
        </w:rPr>
      </w:pPr>
    </w:p>
    <w:p w14:paraId="513FA234" w14:textId="77777777" w:rsidR="00312762" w:rsidRPr="003155DB" w:rsidRDefault="00312762" w:rsidP="0039225F">
      <w:pPr>
        <w:pStyle w:val="Body"/>
        <w:spacing w:after="0" w:line="480" w:lineRule="auto"/>
      </w:pPr>
    </w:p>
    <w:sectPr w:rsidR="00312762" w:rsidRPr="003155DB" w:rsidSect="0012721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0B28F" w14:textId="77777777" w:rsidR="00FD23F5" w:rsidRDefault="00FD23F5" w:rsidP="00C37E61">
      <w:r>
        <w:separator/>
      </w:r>
    </w:p>
  </w:endnote>
  <w:endnote w:type="continuationSeparator" w:id="0">
    <w:p w14:paraId="3E3E383B" w14:textId="77777777" w:rsidR="00FD23F5" w:rsidRDefault="00FD23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19F12" w14:textId="77777777" w:rsidR="00A95FB0" w:rsidRDefault="00A95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BBE4" w14:textId="77777777" w:rsidR="00A95FB0" w:rsidRDefault="00A95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1D3F" w14:textId="77777777" w:rsidR="009E048A" w:rsidRDefault="009E048A">
    <w:pPr>
      <w:pStyle w:val="Footer"/>
      <w:rPr>
        <w:rFonts w:ascii="Arial" w:hAnsi="Arial" w:cs="Arial"/>
        <w:sz w:val="16"/>
      </w:rPr>
    </w:pPr>
  </w:p>
  <w:p w14:paraId="3855D4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FBC7756" w14:textId="77777777" w:rsidR="009E048A" w:rsidRDefault="009E048A">
    <w:pPr>
      <w:pStyle w:val="Footer"/>
      <w:rPr>
        <w:rFonts w:ascii="Arial" w:hAnsi="Arial" w:cs="Arial"/>
        <w:sz w:val="16"/>
      </w:rPr>
    </w:pPr>
  </w:p>
  <w:p w14:paraId="0C3B012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A6935" w14:textId="77777777" w:rsidR="00FD23F5" w:rsidRDefault="00FD23F5" w:rsidP="00C37E61">
      <w:r>
        <w:separator/>
      </w:r>
    </w:p>
  </w:footnote>
  <w:footnote w:type="continuationSeparator" w:id="0">
    <w:p w14:paraId="50DD9640" w14:textId="77777777" w:rsidR="00FD23F5" w:rsidRDefault="00FD23F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CAF6" w14:textId="3A252C95" w:rsidR="00A95FB0" w:rsidRDefault="00FD23F5">
    <w:pPr>
      <w:pStyle w:val="Header"/>
    </w:pPr>
    <w:r>
      <w:rPr>
        <w:noProof/>
      </w:rPr>
      <w:pict w14:anchorId="190A4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80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022B8" w14:textId="387D775D" w:rsidR="00A95FB0" w:rsidRDefault="00FD23F5">
    <w:pPr>
      <w:pStyle w:val="Header"/>
    </w:pPr>
    <w:r>
      <w:rPr>
        <w:noProof/>
      </w:rPr>
      <w:pict w14:anchorId="0D84B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80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E561A" w14:textId="6A608CAC" w:rsidR="00296529" w:rsidRPr="00296529" w:rsidRDefault="00FD23F5" w:rsidP="00296529">
    <w:pPr>
      <w:ind w:left="2160"/>
      <w:jc w:val="center"/>
      <w:rPr>
        <w:rFonts w:ascii="Times New Roman" w:eastAsia="Calibri" w:hAnsi="Times New Roman"/>
        <w:i/>
        <w:sz w:val="18"/>
        <w:szCs w:val="22"/>
      </w:rPr>
    </w:pPr>
    <w:r>
      <w:rPr>
        <w:noProof/>
      </w:rPr>
      <w:pict w14:anchorId="5A0AC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680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0A0D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C7A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788DC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E513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2011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4F55B9"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00067AE"/>
    <w:multiLevelType w:val="multilevel"/>
    <w:tmpl w:val="A668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wNTI3tTCxNDE1NzZR0lEKTi0uzszPAykwqgUABV+WGywAAAA="/>
  </w:docVars>
  <w:rsids>
    <w:rsidRoot w:val="00AA6219"/>
    <w:rsid w:val="00000F8F"/>
    <w:rsid w:val="00010ECD"/>
    <w:rsid w:val="000121A6"/>
    <w:rsid w:val="000257D9"/>
    <w:rsid w:val="00030174"/>
    <w:rsid w:val="0004579C"/>
    <w:rsid w:val="00051B9B"/>
    <w:rsid w:val="00080F96"/>
    <w:rsid w:val="000900F7"/>
    <w:rsid w:val="000A47FA"/>
    <w:rsid w:val="000A5D97"/>
    <w:rsid w:val="000A65D3"/>
    <w:rsid w:val="000B1E33"/>
    <w:rsid w:val="000C2483"/>
    <w:rsid w:val="000D47A0"/>
    <w:rsid w:val="000D689F"/>
    <w:rsid w:val="000E7B7B"/>
    <w:rsid w:val="000E7D62"/>
    <w:rsid w:val="00103357"/>
    <w:rsid w:val="0011182C"/>
    <w:rsid w:val="00123C9F"/>
    <w:rsid w:val="00126190"/>
    <w:rsid w:val="0012721F"/>
    <w:rsid w:val="00130F17"/>
    <w:rsid w:val="001320BF"/>
    <w:rsid w:val="001406FF"/>
    <w:rsid w:val="0015008B"/>
    <w:rsid w:val="00151089"/>
    <w:rsid w:val="00162DC3"/>
    <w:rsid w:val="00163BC4"/>
    <w:rsid w:val="0017669A"/>
    <w:rsid w:val="00186754"/>
    <w:rsid w:val="00191062"/>
    <w:rsid w:val="00192B72"/>
    <w:rsid w:val="001A29D8"/>
    <w:rsid w:val="001A5CAA"/>
    <w:rsid w:val="001B0427"/>
    <w:rsid w:val="001C0299"/>
    <w:rsid w:val="001C2C27"/>
    <w:rsid w:val="001D3A51"/>
    <w:rsid w:val="001E10D2"/>
    <w:rsid w:val="001E25B4"/>
    <w:rsid w:val="001E44FE"/>
    <w:rsid w:val="00200595"/>
    <w:rsid w:val="00204835"/>
    <w:rsid w:val="0020619D"/>
    <w:rsid w:val="002212F0"/>
    <w:rsid w:val="00231920"/>
    <w:rsid w:val="0023195C"/>
    <w:rsid w:val="0024282C"/>
    <w:rsid w:val="002460DC"/>
    <w:rsid w:val="00250985"/>
    <w:rsid w:val="002556F6"/>
    <w:rsid w:val="00283105"/>
    <w:rsid w:val="00284C4C"/>
    <w:rsid w:val="00287E68"/>
    <w:rsid w:val="00293A90"/>
    <w:rsid w:val="00296529"/>
    <w:rsid w:val="002B27FB"/>
    <w:rsid w:val="002B685A"/>
    <w:rsid w:val="002B6E44"/>
    <w:rsid w:val="002C1976"/>
    <w:rsid w:val="002C57D2"/>
    <w:rsid w:val="002D3F2B"/>
    <w:rsid w:val="002E0D56"/>
    <w:rsid w:val="002F1C99"/>
    <w:rsid w:val="002F42D4"/>
    <w:rsid w:val="00312762"/>
    <w:rsid w:val="00315186"/>
    <w:rsid w:val="003155DB"/>
    <w:rsid w:val="00325967"/>
    <w:rsid w:val="0033343E"/>
    <w:rsid w:val="003512C2"/>
    <w:rsid w:val="00352B58"/>
    <w:rsid w:val="00371FB6"/>
    <w:rsid w:val="003763C1"/>
    <w:rsid w:val="00376BBE"/>
    <w:rsid w:val="0039224F"/>
    <w:rsid w:val="0039225F"/>
    <w:rsid w:val="003A43A4"/>
    <w:rsid w:val="003A7E18"/>
    <w:rsid w:val="003C4C86"/>
    <w:rsid w:val="003C6258"/>
    <w:rsid w:val="003D64F5"/>
    <w:rsid w:val="003E2904"/>
    <w:rsid w:val="00401927"/>
    <w:rsid w:val="0041027F"/>
    <w:rsid w:val="00412475"/>
    <w:rsid w:val="00423789"/>
    <w:rsid w:val="00431E50"/>
    <w:rsid w:val="004352E0"/>
    <w:rsid w:val="00440F43"/>
    <w:rsid w:val="00441B6F"/>
    <w:rsid w:val="00442557"/>
    <w:rsid w:val="00446221"/>
    <w:rsid w:val="00450E62"/>
    <w:rsid w:val="004539DB"/>
    <w:rsid w:val="00471A80"/>
    <w:rsid w:val="004D305E"/>
    <w:rsid w:val="004D4277"/>
    <w:rsid w:val="004E36A2"/>
    <w:rsid w:val="004F48EB"/>
    <w:rsid w:val="00502516"/>
    <w:rsid w:val="00505F06"/>
    <w:rsid w:val="00506828"/>
    <w:rsid w:val="00511D99"/>
    <w:rsid w:val="0053056E"/>
    <w:rsid w:val="00554FDA"/>
    <w:rsid w:val="00560D61"/>
    <w:rsid w:val="00581F97"/>
    <w:rsid w:val="005C784C"/>
    <w:rsid w:val="005D17F6"/>
    <w:rsid w:val="005D1D89"/>
    <w:rsid w:val="005E0889"/>
    <w:rsid w:val="005E5539"/>
    <w:rsid w:val="00602BF5"/>
    <w:rsid w:val="00607BF1"/>
    <w:rsid w:val="006164DD"/>
    <w:rsid w:val="0061697D"/>
    <w:rsid w:val="00617FDD"/>
    <w:rsid w:val="00633614"/>
    <w:rsid w:val="00633F68"/>
    <w:rsid w:val="00636EB2"/>
    <w:rsid w:val="006375B8"/>
    <w:rsid w:val="00654C99"/>
    <w:rsid w:val="0066510A"/>
    <w:rsid w:val="00673F9F"/>
    <w:rsid w:val="00683D52"/>
    <w:rsid w:val="0068416D"/>
    <w:rsid w:val="00686953"/>
    <w:rsid w:val="00687DEA"/>
    <w:rsid w:val="00687E67"/>
    <w:rsid w:val="006967F7"/>
    <w:rsid w:val="006A250C"/>
    <w:rsid w:val="006B21D3"/>
    <w:rsid w:val="006B57D0"/>
    <w:rsid w:val="006D30FF"/>
    <w:rsid w:val="006D3FCF"/>
    <w:rsid w:val="006D6940"/>
    <w:rsid w:val="006F11EC"/>
    <w:rsid w:val="0070082C"/>
    <w:rsid w:val="00701793"/>
    <w:rsid w:val="0071464F"/>
    <w:rsid w:val="007369E6"/>
    <w:rsid w:val="00746E59"/>
    <w:rsid w:val="00751B95"/>
    <w:rsid w:val="00754C9A"/>
    <w:rsid w:val="0075599A"/>
    <w:rsid w:val="00757331"/>
    <w:rsid w:val="00761D52"/>
    <w:rsid w:val="0077749E"/>
    <w:rsid w:val="00790ADA"/>
    <w:rsid w:val="00791851"/>
    <w:rsid w:val="007D2288"/>
    <w:rsid w:val="007E088F"/>
    <w:rsid w:val="007E1902"/>
    <w:rsid w:val="007F7B32"/>
    <w:rsid w:val="00804BC2"/>
    <w:rsid w:val="0081431A"/>
    <w:rsid w:val="0083216F"/>
    <w:rsid w:val="00856696"/>
    <w:rsid w:val="00860000"/>
    <w:rsid w:val="00863BD3"/>
    <w:rsid w:val="008641ED"/>
    <w:rsid w:val="00866D66"/>
    <w:rsid w:val="008671C6"/>
    <w:rsid w:val="00875803"/>
    <w:rsid w:val="00892B16"/>
    <w:rsid w:val="00893FA8"/>
    <w:rsid w:val="008A1FDA"/>
    <w:rsid w:val="008A257B"/>
    <w:rsid w:val="008B459E"/>
    <w:rsid w:val="008E13AE"/>
    <w:rsid w:val="008E1506"/>
    <w:rsid w:val="008E710C"/>
    <w:rsid w:val="008E7905"/>
    <w:rsid w:val="008F69D6"/>
    <w:rsid w:val="00902823"/>
    <w:rsid w:val="00915CA6"/>
    <w:rsid w:val="00927834"/>
    <w:rsid w:val="009500A6"/>
    <w:rsid w:val="00957C18"/>
    <w:rsid w:val="00957E2C"/>
    <w:rsid w:val="00960FA4"/>
    <w:rsid w:val="009659BA"/>
    <w:rsid w:val="00976B5E"/>
    <w:rsid w:val="00983040"/>
    <w:rsid w:val="009936AF"/>
    <w:rsid w:val="009A497E"/>
    <w:rsid w:val="009B3FB9"/>
    <w:rsid w:val="009C2465"/>
    <w:rsid w:val="009D2889"/>
    <w:rsid w:val="009D35A0"/>
    <w:rsid w:val="009D7EB7"/>
    <w:rsid w:val="009E048A"/>
    <w:rsid w:val="009E08E9"/>
    <w:rsid w:val="009E0F9C"/>
    <w:rsid w:val="009E3DB9"/>
    <w:rsid w:val="009E6E35"/>
    <w:rsid w:val="009F0EDA"/>
    <w:rsid w:val="00A03B96"/>
    <w:rsid w:val="00A05B19"/>
    <w:rsid w:val="00A1134E"/>
    <w:rsid w:val="00A24E7E"/>
    <w:rsid w:val="00A258C3"/>
    <w:rsid w:val="00A347C0"/>
    <w:rsid w:val="00A36B36"/>
    <w:rsid w:val="00A405F6"/>
    <w:rsid w:val="00A47C94"/>
    <w:rsid w:val="00A51431"/>
    <w:rsid w:val="00A539AD"/>
    <w:rsid w:val="00A721F9"/>
    <w:rsid w:val="00A870A1"/>
    <w:rsid w:val="00A94063"/>
    <w:rsid w:val="00A95FB0"/>
    <w:rsid w:val="00AA6219"/>
    <w:rsid w:val="00AA74E0"/>
    <w:rsid w:val="00AB703F"/>
    <w:rsid w:val="00AC6BB8"/>
    <w:rsid w:val="00AD5BDC"/>
    <w:rsid w:val="00AE008F"/>
    <w:rsid w:val="00B01FCD"/>
    <w:rsid w:val="00B05DF2"/>
    <w:rsid w:val="00B1776C"/>
    <w:rsid w:val="00B52583"/>
    <w:rsid w:val="00B52896"/>
    <w:rsid w:val="00B95236"/>
    <w:rsid w:val="00B96BD9"/>
    <w:rsid w:val="00BA1B01"/>
    <w:rsid w:val="00BA231B"/>
    <w:rsid w:val="00BA2641"/>
    <w:rsid w:val="00BB37AA"/>
    <w:rsid w:val="00BB3A7C"/>
    <w:rsid w:val="00BC28CF"/>
    <w:rsid w:val="00BC53A0"/>
    <w:rsid w:val="00BC59A8"/>
    <w:rsid w:val="00BD16FF"/>
    <w:rsid w:val="00BD61DE"/>
    <w:rsid w:val="00BE62AD"/>
    <w:rsid w:val="00BE67FE"/>
    <w:rsid w:val="00BF121F"/>
    <w:rsid w:val="00BF1F80"/>
    <w:rsid w:val="00BF5F32"/>
    <w:rsid w:val="00C166EF"/>
    <w:rsid w:val="00C17EB0"/>
    <w:rsid w:val="00C24C76"/>
    <w:rsid w:val="00C27F5F"/>
    <w:rsid w:val="00C30A0F"/>
    <w:rsid w:val="00C37E61"/>
    <w:rsid w:val="00C70F1B"/>
    <w:rsid w:val="00C71A47"/>
    <w:rsid w:val="00C7464C"/>
    <w:rsid w:val="00C85588"/>
    <w:rsid w:val="00CA0EF8"/>
    <w:rsid w:val="00CB2ED5"/>
    <w:rsid w:val="00CD1D3E"/>
    <w:rsid w:val="00CD6755"/>
    <w:rsid w:val="00CD6856"/>
    <w:rsid w:val="00CE0089"/>
    <w:rsid w:val="00CE13C7"/>
    <w:rsid w:val="00CE3E12"/>
    <w:rsid w:val="00CE793C"/>
    <w:rsid w:val="00CF193C"/>
    <w:rsid w:val="00CF3F10"/>
    <w:rsid w:val="00D02312"/>
    <w:rsid w:val="00D173F1"/>
    <w:rsid w:val="00D54A34"/>
    <w:rsid w:val="00D74CB0"/>
    <w:rsid w:val="00D76CAD"/>
    <w:rsid w:val="00D8295D"/>
    <w:rsid w:val="00DC2A65"/>
    <w:rsid w:val="00DE15F0"/>
    <w:rsid w:val="00DE368C"/>
    <w:rsid w:val="00DE5663"/>
    <w:rsid w:val="00DE78AA"/>
    <w:rsid w:val="00DF1669"/>
    <w:rsid w:val="00E053D0"/>
    <w:rsid w:val="00E15994"/>
    <w:rsid w:val="00E3114E"/>
    <w:rsid w:val="00E31A70"/>
    <w:rsid w:val="00E35B02"/>
    <w:rsid w:val="00E53DF4"/>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946"/>
    <w:rsid w:val="00F30674"/>
    <w:rsid w:val="00F469F0"/>
    <w:rsid w:val="00F53273"/>
    <w:rsid w:val="00F755E4"/>
    <w:rsid w:val="00F77D02"/>
    <w:rsid w:val="00F82471"/>
    <w:rsid w:val="00F85EDF"/>
    <w:rsid w:val="00FA6536"/>
    <w:rsid w:val="00FB3A86"/>
    <w:rsid w:val="00FC3B74"/>
    <w:rsid w:val="00FC6FC9"/>
    <w:rsid w:val="00FD23F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E25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A231B"/>
    <w:rPr>
      <w:rFonts w:ascii="Times New Roman" w:hAnsi="Times New Roman"/>
      <w:sz w:val="24"/>
      <w:szCs w:val="24"/>
    </w:rPr>
  </w:style>
  <w:style w:type="character" w:customStyle="1" w:styleId="UnresolvedMention">
    <w:name w:val="Unresolved Mention"/>
    <w:basedOn w:val="DefaultParagraphFont"/>
    <w:uiPriority w:val="99"/>
    <w:semiHidden/>
    <w:unhideWhenUsed/>
    <w:rsid w:val="009936AF"/>
    <w:rPr>
      <w:color w:val="605E5C"/>
      <w:shd w:val="clear" w:color="auto" w:fill="E1DFDD"/>
    </w:rPr>
  </w:style>
  <w:style w:type="paragraph" w:styleId="Revision">
    <w:name w:val="Revision"/>
    <w:hidden/>
    <w:uiPriority w:val="99"/>
    <w:semiHidden/>
    <w:rsid w:val="006164D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221/370/2019" TargetMode="External"/><Relationship Id="rId3" Type="http://schemas.openxmlformats.org/officeDocument/2006/relationships/styles" Target="styles.xml"/><Relationship Id="rId21" Type="http://schemas.openxmlformats.org/officeDocument/2006/relationships/hyperlink" Target="https://doi.org/10.3390/math101016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1426/sjbcm.v6i1.1065" TargetMode="External"/><Relationship Id="rId2" Type="http://schemas.openxmlformats.org/officeDocument/2006/relationships/numbering" Target="numbering.xml"/><Relationship Id="rId16" Type="http://schemas.openxmlformats.org/officeDocument/2006/relationships/hyperlink" Target="https://doi.org/10.1191/1478088706qp063oa" TargetMode="External"/><Relationship Id="rId20" Type="http://schemas.openxmlformats.org/officeDocument/2006/relationships/hyperlink" Target="https://doi.org/10.1186/s12913&#8209;021&#8209;07434&#820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r-library.ku.ac.ke/handle/123456789/2498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1387/oscm05003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897/AJBM2018.85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332D-0C44-47A7-A852-34A4915C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15</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FARAH N FARAH</cp:lastModifiedBy>
  <cp:revision>3</cp:revision>
  <cp:lastPrinted>1999-07-06T11:00:00Z</cp:lastPrinted>
  <dcterms:created xsi:type="dcterms:W3CDTF">2025-09-12T17:25:00Z</dcterms:created>
  <dcterms:modified xsi:type="dcterms:W3CDTF">2025-09-13T05:38:00Z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0848308b-f3f8-44e8-adea-c19f54a1bab7</vt:lpwstr>
  </property>
</Properties>
</file>