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833" w:rsidRPr="00A66953" w:rsidRDefault="00D54833" w:rsidP="00D54833">
      <w:pPr>
        <w:rPr>
          <w:b/>
          <w:sz w:val="36"/>
          <w:lang w:val="en-US"/>
        </w:rPr>
      </w:pPr>
    </w:p>
    <w:p w:rsidR="00D54833" w:rsidRPr="00A66953" w:rsidRDefault="00FA13AE" w:rsidP="00D54833">
      <w:pPr>
        <w:rPr>
          <w:b/>
          <w:sz w:val="48"/>
          <w:lang w:val="en-US"/>
        </w:rPr>
      </w:pPr>
      <w:r w:rsidRPr="00A66953">
        <w:rPr>
          <w:rFonts w:ascii="Arial" w:hAnsi="Arial" w:cs="Arial"/>
          <w:b/>
          <w:bCs/>
          <w:sz w:val="40"/>
          <w:szCs w:val="20"/>
          <w:lang w:val="id-ID"/>
        </w:rPr>
        <w:t>Firm Characteristics, Capital Structure</w:t>
      </w:r>
      <w:r w:rsidR="00A66953">
        <w:rPr>
          <w:rFonts w:ascii="Arial" w:hAnsi="Arial" w:cs="Arial"/>
          <w:b/>
          <w:bCs/>
          <w:sz w:val="40"/>
          <w:szCs w:val="20"/>
          <w:lang w:val="en-IN"/>
        </w:rPr>
        <w:t xml:space="preserve"> </w:t>
      </w:r>
      <w:r w:rsidRPr="00A66953">
        <w:rPr>
          <w:rFonts w:ascii="Arial" w:hAnsi="Arial" w:cs="Arial"/>
          <w:b/>
          <w:bCs/>
          <w:sz w:val="40"/>
          <w:szCs w:val="20"/>
          <w:lang w:val="id-ID"/>
        </w:rPr>
        <w:t>and Financial Reporting Timeliness: The Mediating Role of Financial Performance in Indonesian Food and Beverage Companies</w:t>
      </w:r>
    </w:p>
    <w:p w:rsidR="00D54833" w:rsidRPr="00A66953" w:rsidRDefault="00D54833" w:rsidP="00D54833">
      <w:pPr>
        <w:rPr>
          <w:lang w:val="en-US"/>
        </w:rPr>
      </w:pPr>
    </w:p>
    <w:p w:rsidR="00D54833" w:rsidRPr="00A66953" w:rsidRDefault="00D54833" w:rsidP="00D54833">
      <w:pPr>
        <w:rPr>
          <w:lang w:val="en-US"/>
        </w:rPr>
        <w:sectPr w:rsidR="00D54833" w:rsidRPr="00A66953" w:rsidSect="008C7AEE">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A66953">
        <w:rPr>
          <w:noProof/>
          <w:lang w:val="en-US"/>
        </w:rPr>
        <mc:AlternateContent>
          <mc:Choice Requires="wps">
            <w:drawing>
              <wp:inline distT="0" distB="0" distL="0" distR="0" wp14:anchorId="25848195" wp14:editId="676BE4E7">
                <wp:extent cx="5303520" cy="635"/>
                <wp:effectExtent l="0" t="12700" r="5080" b="12065"/>
                <wp:docPr id="10471347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8BF318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Pr="00A66953">
        <w:rPr>
          <w:lang w:val="en-US"/>
        </w:rPr>
        <w:t>.</w:t>
      </w:r>
    </w:p>
    <w:p w:rsidR="00D54833" w:rsidRPr="00A66953" w:rsidRDefault="00D54833" w:rsidP="00D54833">
      <w:pPr>
        <w:rPr>
          <w:b/>
          <w:lang w:val="en-US"/>
        </w:rPr>
      </w:pPr>
      <w:r w:rsidRPr="00A66953">
        <w:rPr>
          <w:b/>
          <w:lang w:val="en-US"/>
        </w:rPr>
        <w:t xml:space="preserve">ABSTRACT </w:t>
      </w:r>
    </w:p>
    <w:p w:rsidR="00D54833" w:rsidRPr="00A66953" w:rsidRDefault="00D54833" w:rsidP="00D54833">
      <w:pPr>
        <w:rPr>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54833" w:rsidRPr="00A66953" w:rsidTr="00097052">
        <w:tc>
          <w:tcPr>
            <w:tcW w:w="9576" w:type="dxa"/>
            <w:shd w:val="clear" w:color="auto" w:fill="F2F2F2"/>
          </w:tcPr>
          <w:p w:rsidR="00D54833" w:rsidRPr="00A66953" w:rsidRDefault="00D54833" w:rsidP="00D54833">
            <w:pPr>
              <w:rPr>
                <w:b/>
                <w:lang w:val="en-US"/>
              </w:rPr>
            </w:pPr>
          </w:p>
          <w:p w:rsidR="00D54833" w:rsidRPr="00A66953" w:rsidRDefault="00D54833" w:rsidP="00D54833">
            <w:pPr>
              <w:rPr>
                <w:iCs/>
                <w:lang w:val="en-US"/>
              </w:rPr>
            </w:pPr>
            <w:r w:rsidRPr="00A66953">
              <w:rPr>
                <w:b/>
                <w:lang w:val="en-US"/>
              </w:rPr>
              <w:t xml:space="preserve">Aims: </w:t>
            </w:r>
            <w:r w:rsidRPr="00A66953">
              <w:rPr>
                <w:iCs/>
                <w:lang w:val="en-US"/>
              </w:rPr>
              <w:t xml:space="preserve">The food and beverage industry </w:t>
            </w:r>
            <w:proofErr w:type="gramStart"/>
            <w:r w:rsidRPr="00A66953">
              <w:rPr>
                <w:iCs/>
                <w:lang w:val="en-US"/>
              </w:rPr>
              <w:t>is</w:t>
            </w:r>
            <w:proofErr w:type="gramEnd"/>
            <w:r w:rsidRPr="00A66953">
              <w:rPr>
                <w:iCs/>
                <w:lang w:val="en-US"/>
              </w:rPr>
              <w:t xml:space="preserve"> an example of the rapid development in the industrial world in recent years</w:t>
            </w:r>
          </w:p>
          <w:p w:rsidR="00D54833" w:rsidRPr="00A66953" w:rsidRDefault="00D54833" w:rsidP="00D54833">
            <w:pPr>
              <w:rPr>
                <w:iCs/>
                <w:lang w:val="en-US"/>
              </w:rPr>
            </w:pPr>
            <w:r w:rsidRPr="00A66953">
              <w:rPr>
                <w:b/>
                <w:lang w:val="en-US"/>
              </w:rPr>
              <w:t>Study design:</w:t>
            </w:r>
            <w:r w:rsidRPr="00A66953">
              <w:rPr>
                <w:lang w:val="en-US"/>
              </w:rPr>
              <w:t xml:space="preserve">  </w:t>
            </w:r>
            <w:r w:rsidRPr="00A66953">
              <w:rPr>
                <w:iCs/>
                <w:lang w:val="en-US"/>
              </w:rPr>
              <w:t>Companies are increasingly intensifying their competition in line with this rapid economic growth. The purpose of this research is to test and analyze the influence of company size, company age, and capital structure on the timeliness of financial reporting through financial performance.</w:t>
            </w:r>
          </w:p>
          <w:p w:rsidR="00D54833" w:rsidRPr="00A66953" w:rsidRDefault="00D54833" w:rsidP="00D54833">
            <w:pPr>
              <w:rPr>
                <w:iCs/>
                <w:lang w:val="en-US"/>
              </w:rPr>
            </w:pPr>
            <w:r w:rsidRPr="00A66953">
              <w:rPr>
                <w:b/>
                <w:bCs/>
                <w:lang w:val="en-US"/>
              </w:rPr>
              <w:t>Methodology:</w:t>
            </w:r>
            <w:r w:rsidRPr="00A66953">
              <w:rPr>
                <w:lang w:val="en-US"/>
              </w:rPr>
              <w:t xml:space="preserve"> </w:t>
            </w:r>
            <w:r w:rsidRPr="00A66953">
              <w:rPr>
                <w:iCs/>
                <w:lang w:val="en-US"/>
              </w:rPr>
              <w:t>This research employs a quantitative research method. The population of this study consists of 26 food and beverage companies listed on the Indonesia Stock Exchange during the period 2019-2022. The sampling technique used in this study is purposive sampling. The research sample consists of 24 companies. Data analysis is conducted using path analysis with the assistance of SPSS software version 25.</w:t>
            </w:r>
          </w:p>
          <w:p w:rsidR="00D54833" w:rsidRPr="00CD2A3E" w:rsidRDefault="00D54833" w:rsidP="00D54833">
            <w:pPr>
              <w:rPr>
                <w:iCs/>
                <w:lang w:val="en-US"/>
              </w:rPr>
            </w:pPr>
            <w:r w:rsidRPr="00A66953">
              <w:rPr>
                <w:b/>
                <w:bCs/>
                <w:lang w:val="en-US"/>
              </w:rPr>
              <w:t>Results:</w:t>
            </w:r>
            <w:r w:rsidRPr="00A66953">
              <w:rPr>
                <w:lang w:val="en-US"/>
              </w:rPr>
              <w:t xml:space="preserve"> </w:t>
            </w:r>
            <w:r w:rsidRPr="00A66953">
              <w:rPr>
                <w:iCs/>
                <w:lang w:val="en-US"/>
              </w:rPr>
              <w:t>The research results indicate that company size, company age, and capital structure have a positive influence on financial performance. Company size, company age, capital structure, and financial performance have a positive influence on the timeliness of financial reporting. Meanwhile, company size, company age, and capital structure positively influence the timeliness of financial reporting through financial performance.</w:t>
            </w:r>
          </w:p>
          <w:p w:rsidR="00D54833" w:rsidRPr="00A66953" w:rsidRDefault="00D54833" w:rsidP="00D54833">
            <w:pPr>
              <w:rPr>
                <w:lang w:val="en-US"/>
              </w:rPr>
            </w:pPr>
            <w:r w:rsidRPr="00A66953">
              <w:rPr>
                <w:b/>
                <w:bCs/>
                <w:lang w:val="en-US"/>
              </w:rPr>
              <w:t>Conclusion:</w:t>
            </w:r>
            <w:r w:rsidRPr="00A66953">
              <w:rPr>
                <w:lang w:val="en-US"/>
              </w:rPr>
              <w:t xml:space="preserve"> This study is essential as there are still food and beverage companies that delay the submission of financial reports, thereby failing to meet the expectations of financial statement users</w:t>
            </w:r>
          </w:p>
        </w:tc>
      </w:tr>
    </w:tbl>
    <w:p w:rsidR="00D54833" w:rsidRPr="00A66953" w:rsidRDefault="00D54833" w:rsidP="00D54833">
      <w:pPr>
        <w:rPr>
          <w:i/>
          <w:lang w:val="en-US"/>
        </w:rPr>
      </w:pPr>
      <w:r w:rsidRPr="00A66953">
        <w:rPr>
          <w:i/>
          <w:lang w:val="en-US"/>
        </w:rPr>
        <w:t>Keywords: company size, company age, capital structure, timeliness of financial reporting, financial performance.</w:t>
      </w:r>
    </w:p>
    <w:p w:rsidR="00D54833" w:rsidRPr="00A66953" w:rsidRDefault="00D54833" w:rsidP="00D54833">
      <w:pPr>
        <w:rPr>
          <w:i/>
          <w:lang w:val="en-US"/>
        </w:rPr>
      </w:pPr>
    </w:p>
    <w:p w:rsidR="00D54833" w:rsidRPr="00A66953" w:rsidRDefault="00D54833" w:rsidP="00D54833">
      <w:pPr>
        <w:rPr>
          <w:i/>
          <w:lang w:val="en-US"/>
        </w:rPr>
      </w:pPr>
    </w:p>
    <w:p w:rsidR="00D54833" w:rsidRPr="00A66953" w:rsidRDefault="00D54833" w:rsidP="00D54833">
      <w:pPr>
        <w:rPr>
          <w:i/>
          <w:lang w:val="en-US"/>
        </w:rPr>
      </w:pPr>
    </w:p>
    <w:p w:rsidR="00D54833" w:rsidRPr="00A66953" w:rsidRDefault="00D54833" w:rsidP="00D54833">
      <w:pPr>
        <w:rPr>
          <w:b/>
          <w:lang w:val="en-US"/>
        </w:rPr>
      </w:pPr>
      <w:r w:rsidRPr="00A66953">
        <w:rPr>
          <w:b/>
          <w:lang w:val="en-US"/>
        </w:rPr>
        <w:t xml:space="preserve">1. INTRODUCTION </w:t>
      </w:r>
    </w:p>
    <w:p w:rsidR="00D54833" w:rsidRPr="00A66953" w:rsidRDefault="00D54833" w:rsidP="00D54833">
      <w:pPr>
        <w:rPr>
          <w:b/>
          <w:lang w:val="en-US"/>
        </w:rPr>
      </w:pPr>
    </w:p>
    <w:p w:rsidR="00D54833" w:rsidRPr="00A66953" w:rsidRDefault="00D54833" w:rsidP="00D54833">
      <w:r w:rsidRPr="00A66953">
        <w:t xml:space="preserve">The food and beverage industry is one of the sectors experiencing rapid development in recent years. As economic growth accelerates, businesses in this sector are becoming increasingly competitive. Consequently, </w:t>
      </w:r>
      <w:r w:rsidRPr="00A66953">
        <w:lastRenderedPageBreak/>
        <w:t>companies must set strategic goals to ensure sustainability by evaluating their past, current, and future performance, with the overarching objective of maximizing profitability. The Financial Services Authority (OJK) reported that the industry's growth in 2022 reached 5–7%, an increase from the previous year, which was affected by the country's economic downturn. The food and beverage sub-sector is a major contributor to industrial growth and is expected to continue playing a vital role in the future.</w:t>
      </w:r>
    </w:p>
    <w:p w:rsidR="00D54833" w:rsidRPr="00A66953" w:rsidRDefault="00D54833" w:rsidP="00D54833">
      <w:r w:rsidRPr="00A66953">
        <w:t xml:space="preserve">In line with the growing complexity of business operations and increased investment activity, investors now demand more timely and relevant information. Timeliness is a key factor in delivering relevant financial information. Financial reports serve as useful information only when they are provided in a timely manner—before their ability to influence decision-making is diminished </w:t>
      </w:r>
      <w:r w:rsidRPr="00A66953">
        <w:fldChar w:fldCharType="begin" w:fldLock="1"/>
      </w:r>
      <w:r w:rsidRPr="00A66953">
        <w:instrText>ADDIN CSL_CITATION {"citationItems":[{"id":"ITEM-1","itemData":{"DOI":"10.1111/boer.12152","ISSN":"14678586","abstract":"This paper endogenizes the debt-equity ratio and embodies financial leverage in a cash-in-advance model of endogenous growth. Our analysis finds that the debt-equity ratio is positively related to the balanced-growth rate, since it serves as a 'financial accelerator' to stimulate investment projects. Compared to previous studies, this positive relationship gives rise to an additional balance-sheet effect, which substantially affects the macroeconomic consequences of monetary and taxation policies. Due to the existence of the balance-sheet effect, we also find that the Friedman rule is not necessarily optimal.","author":[{"dropping-particle":"","family":"Shaw","given":"Ming fu","non-dropping-particle":"","parse-names":false,"suffix":""},{"dropping-particle":"","family":"Chang","given":"Juin jen","non-dropping-particle":"","parse-names":false,"suffix":""},{"dropping-particle":"","family":"Fan","given":"Chih ping","non-dropping-particle":"","parse-names":false,"suffix":""}],"container-title":"Bulletin of Economic Research","id":"ITEM-1","issued":{"date-parts":[["2018"]]},"page":"1-21","title":"Endogenous Debt-Equity Ratio and Balance-Sheet Channel: Implications for Growth and Welfare","type":"article-journal"},"uris":["http://www.mendeley.com/documents/?uuid=837e9829-de50-4dd9-8660-5cb238362562"]}],"mendeley":{"formattedCitation":"(Shaw et al., 2018)","plainTextFormattedCitation":"(Shaw et al., 2018)","previouslyFormattedCitation":"(Shaw et al., 2018)"},"properties":{"noteIndex":0},"schema":"https://github.com/citation-style-language/schema/raw/master/csl-citation.json"}</w:instrText>
      </w:r>
      <w:r w:rsidRPr="00A66953">
        <w:fldChar w:fldCharType="separate"/>
      </w:r>
      <w:r w:rsidRPr="00A66953">
        <w:rPr>
          <w:noProof/>
        </w:rPr>
        <w:t>(Shaw et al., 2018)</w:t>
      </w:r>
      <w:r w:rsidRPr="00A66953">
        <w:fldChar w:fldCharType="end"/>
      </w:r>
      <w:r w:rsidRPr="00A66953">
        <w:t xml:space="preserve">. Any undue delay in financial reporting may compromise the relevance of the information </w:t>
      </w:r>
      <w:r w:rsidRPr="00A66953">
        <w:fldChar w:fldCharType="begin" w:fldLock="1"/>
      </w:r>
      <w:r w:rsidRPr="00A66953">
        <w:instrText>ADDIN CSL_CITATION {"citationItems":[{"id":"ITEM-1","itemData":{"DOI":"10.1142/S0219091520500125","ISSN":"02190915","abstract":"The paper examines the relationship between ownership concentrations and tax avoidance for small-medium enterprises (SMEs) in India. With a panel dataset built from small-And medium-sized enterprise surveys over the period between 2013 and 2014, we find that SMEs with concentrated ownership have a negative association with tax avoidance. The result is more pronounced for SMEs headquartered in states/provinces with stronger economic and institutional environment. The results also indicate that for any two SMEs with similar levels of ownership concentration, the SME with higher capital needs is more likely to avoid taxes.","author":[{"dropping-particle":"","family":"Farooq","given":"Omar","non-dropping-particle":"","parse-names":false,"suffix":""},{"dropping-particle":"","family":"Zaher","given":"Angie Abdel","non-dropping-particle":"","parse-names":false,"suffix":""}],"container-title":"Review of Pacific Basin Financial Markets and Policies","id":"ITEM-1","issue":"2","issued":{"date-parts":[["2020"]]},"title":"Ownership structure and tax avoidance: evidence from indian smes","type":"article-journal","volume":"23"},"uris":["http://www.mendeley.com/documents/?uuid=b9d7b8e2-6fa3-4972-8b30-34c8d9c7c051"]}],"mendeley":{"formattedCitation":"(Farooq &amp; Zaher, 2020)","plainTextFormattedCitation":"(Farooq &amp; Zaher, 2020)","previouslyFormattedCitation":"(Farooq &amp; Zaher, 2020)"},"properties":{"noteIndex":0},"schema":"https://github.com/citation-style-language/schema/raw/master/csl-citation.json"}</w:instrText>
      </w:r>
      <w:r w:rsidRPr="00A66953">
        <w:fldChar w:fldCharType="separate"/>
      </w:r>
      <w:r w:rsidRPr="00A66953">
        <w:rPr>
          <w:noProof/>
        </w:rPr>
        <w:t>(Farooq &amp; Zaher, 2020)</w:t>
      </w:r>
      <w:r w:rsidRPr="00A66953">
        <w:fldChar w:fldCharType="end"/>
      </w:r>
      <w:r w:rsidRPr="00A66953">
        <w:t>.</w:t>
      </w:r>
    </w:p>
    <w:p w:rsidR="00D54833" w:rsidRPr="00A66953" w:rsidRDefault="00D54833" w:rsidP="00D54833">
      <w:r w:rsidRPr="00A66953">
        <w:t>On August 31, 2020, the Indonesia Stock Exchange (IDX) suspended trading for nine listed companies and extended the suspension for an additional 17 companies, bringing the total to 26 issuers. The suspension was due to the failure to submit audited financial statements for the year ending December 31, 2019, and unresolved penalties. Referring to Rule I-H Article II.6.3 on Sanctions, IDX had already issued a third written warning and imposed an additional fine of IDR 150 million on listed companies that failed to meet their financial reporting obligations.</w:t>
      </w:r>
    </w:p>
    <w:p w:rsidR="00D54833" w:rsidRPr="00A66953" w:rsidRDefault="00D54833" w:rsidP="00D54833">
      <w:r w:rsidRPr="00A66953">
        <w:t>According to Rule I-H Article II.6.4, IDX enforces trading suspensions starting from the 91st calendar day after the deadline if companies have not submitted their financial reports or failed to pay the corresponding fines. As of August 29, 2020, 26 companies had not complied with these requirements.</w:t>
      </w:r>
    </w:p>
    <w:p w:rsidR="00D54833" w:rsidRPr="00A66953" w:rsidRDefault="00D54833" w:rsidP="00D54833">
      <w:r w:rsidRPr="00A66953">
        <w:t xml:space="preserve">As a result, IDX halted regular and cash market trading for the following nine companies: PT </w:t>
      </w:r>
      <w:proofErr w:type="spellStart"/>
      <w:r w:rsidRPr="00A66953">
        <w:t>Bakrieland</w:t>
      </w:r>
      <w:proofErr w:type="spellEnd"/>
      <w:r w:rsidRPr="00A66953">
        <w:t xml:space="preserve"> Development </w:t>
      </w:r>
      <w:proofErr w:type="spellStart"/>
      <w:r w:rsidRPr="00A66953">
        <w:t>Tbk</w:t>
      </w:r>
      <w:proofErr w:type="spellEnd"/>
      <w:r w:rsidRPr="00A66953">
        <w:t xml:space="preserve">. (ELTY), PT Central </w:t>
      </w:r>
      <w:proofErr w:type="spellStart"/>
      <w:r w:rsidRPr="00A66953">
        <w:t>Proteina</w:t>
      </w:r>
      <w:proofErr w:type="spellEnd"/>
      <w:r w:rsidRPr="00A66953">
        <w:t xml:space="preserve"> Prima </w:t>
      </w:r>
      <w:proofErr w:type="spellStart"/>
      <w:r w:rsidRPr="00A66953">
        <w:t>Tbk</w:t>
      </w:r>
      <w:proofErr w:type="spellEnd"/>
      <w:r w:rsidRPr="00A66953">
        <w:t xml:space="preserve">. (CPRO), PT </w:t>
      </w:r>
      <w:proofErr w:type="spellStart"/>
      <w:r w:rsidRPr="00A66953">
        <w:t>Eterindo</w:t>
      </w:r>
      <w:proofErr w:type="spellEnd"/>
      <w:r w:rsidRPr="00A66953">
        <w:t xml:space="preserve"> </w:t>
      </w:r>
      <w:proofErr w:type="spellStart"/>
      <w:r w:rsidRPr="00A66953">
        <w:t>Wahanatama</w:t>
      </w:r>
      <w:proofErr w:type="spellEnd"/>
      <w:r w:rsidRPr="00A66953">
        <w:t xml:space="preserve"> </w:t>
      </w:r>
      <w:proofErr w:type="spellStart"/>
      <w:r w:rsidRPr="00A66953">
        <w:t>Tbk</w:t>
      </w:r>
      <w:proofErr w:type="spellEnd"/>
      <w:r w:rsidRPr="00A66953">
        <w:t xml:space="preserve">. (ETWA), PT </w:t>
      </w:r>
      <w:proofErr w:type="spellStart"/>
      <w:r w:rsidRPr="00A66953">
        <w:t>Exploitasi</w:t>
      </w:r>
      <w:proofErr w:type="spellEnd"/>
      <w:r w:rsidRPr="00A66953">
        <w:t xml:space="preserve"> </w:t>
      </w:r>
      <w:proofErr w:type="spellStart"/>
      <w:r w:rsidRPr="00A66953">
        <w:t>Energi</w:t>
      </w:r>
      <w:proofErr w:type="spellEnd"/>
      <w:r w:rsidRPr="00A66953">
        <w:t xml:space="preserve"> Indonesia </w:t>
      </w:r>
      <w:proofErr w:type="spellStart"/>
      <w:r w:rsidRPr="00A66953">
        <w:t>Tbk</w:t>
      </w:r>
      <w:proofErr w:type="spellEnd"/>
      <w:r w:rsidRPr="00A66953">
        <w:t xml:space="preserve">. (CNKO), PT </w:t>
      </w:r>
      <w:proofErr w:type="spellStart"/>
      <w:r w:rsidRPr="00A66953">
        <w:t>Graha</w:t>
      </w:r>
      <w:proofErr w:type="spellEnd"/>
      <w:r w:rsidRPr="00A66953">
        <w:t xml:space="preserve"> </w:t>
      </w:r>
      <w:proofErr w:type="spellStart"/>
      <w:r w:rsidRPr="00A66953">
        <w:t>Andrasenta</w:t>
      </w:r>
      <w:proofErr w:type="spellEnd"/>
      <w:r w:rsidRPr="00A66953">
        <w:t xml:space="preserve"> </w:t>
      </w:r>
      <w:proofErr w:type="spellStart"/>
      <w:r w:rsidRPr="00A66953">
        <w:t>Propertindo</w:t>
      </w:r>
      <w:proofErr w:type="spellEnd"/>
      <w:r w:rsidRPr="00A66953">
        <w:t xml:space="preserve"> </w:t>
      </w:r>
      <w:proofErr w:type="spellStart"/>
      <w:r w:rsidRPr="00A66953">
        <w:t>Tbk</w:t>
      </w:r>
      <w:proofErr w:type="spellEnd"/>
      <w:r w:rsidRPr="00A66953">
        <w:t xml:space="preserve">. (JGLE), PT Grand </w:t>
      </w:r>
      <w:proofErr w:type="spellStart"/>
      <w:r w:rsidRPr="00A66953">
        <w:t>Kartech</w:t>
      </w:r>
      <w:proofErr w:type="spellEnd"/>
      <w:r w:rsidRPr="00A66953">
        <w:t xml:space="preserve"> </w:t>
      </w:r>
      <w:proofErr w:type="spellStart"/>
      <w:r w:rsidRPr="00A66953">
        <w:t>Tbk</w:t>
      </w:r>
      <w:proofErr w:type="spellEnd"/>
      <w:r w:rsidRPr="00A66953">
        <w:t xml:space="preserve">. (KRAH), PT Mitra </w:t>
      </w:r>
      <w:proofErr w:type="spellStart"/>
      <w:r w:rsidRPr="00A66953">
        <w:t>Pemuda</w:t>
      </w:r>
      <w:proofErr w:type="spellEnd"/>
      <w:r w:rsidRPr="00A66953">
        <w:t xml:space="preserve"> </w:t>
      </w:r>
      <w:proofErr w:type="spellStart"/>
      <w:r w:rsidRPr="00A66953">
        <w:t>Tbk</w:t>
      </w:r>
      <w:proofErr w:type="spellEnd"/>
      <w:r w:rsidRPr="00A66953">
        <w:t xml:space="preserve">. (MTRA), PT </w:t>
      </w:r>
      <w:proofErr w:type="spellStart"/>
      <w:r w:rsidRPr="00A66953">
        <w:t>Ratu</w:t>
      </w:r>
      <w:proofErr w:type="spellEnd"/>
      <w:r w:rsidRPr="00A66953">
        <w:t xml:space="preserve"> Prabu </w:t>
      </w:r>
      <w:proofErr w:type="spellStart"/>
      <w:r w:rsidRPr="00A66953">
        <w:t>Energi</w:t>
      </w:r>
      <w:proofErr w:type="spellEnd"/>
      <w:r w:rsidRPr="00A66953">
        <w:t xml:space="preserve"> </w:t>
      </w:r>
      <w:proofErr w:type="spellStart"/>
      <w:r w:rsidRPr="00A66953">
        <w:t>Tbk</w:t>
      </w:r>
      <w:proofErr w:type="spellEnd"/>
      <w:r w:rsidRPr="00A66953">
        <w:t xml:space="preserve">. (ARTI), and PT </w:t>
      </w:r>
      <w:proofErr w:type="spellStart"/>
      <w:r w:rsidRPr="00A66953">
        <w:t>Sinergi</w:t>
      </w:r>
      <w:proofErr w:type="spellEnd"/>
      <w:r w:rsidRPr="00A66953">
        <w:t xml:space="preserve"> </w:t>
      </w:r>
      <w:proofErr w:type="spellStart"/>
      <w:r w:rsidRPr="00A66953">
        <w:t>Megah</w:t>
      </w:r>
      <w:proofErr w:type="spellEnd"/>
      <w:r w:rsidRPr="00A66953">
        <w:t xml:space="preserve"> </w:t>
      </w:r>
      <w:proofErr w:type="spellStart"/>
      <w:r w:rsidRPr="00A66953">
        <w:t>Internusa</w:t>
      </w:r>
      <w:proofErr w:type="spellEnd"/>
      <w:r w:rsidRPr="00A66953">
        <w:t xml:space="preserve"> </w:t>
      </w:r>
      <w:proofErr w:type="spellStart"/>
      <w:r w:rsidRPr="00A66953">
        <w:t>Tbk</w:t>
      </w:r>
      <w:proofErr w:type="spellEnd"/>
      <w:r w:rsidRPr="00A66953">
        <w:t>. (NUSA).</w:t>
      </w:r>
    </w:p>
    <w:p w:rsidR="00D54833" w:rsidRPr="00A66953" w:rsidRDefault="00D54833" w:rsidP="00D54833">
      <w:r w:rsidRPr="00A66953">
        <w:t>Additionally, the suspension continued for 17 other companies due to similar violations, as specified in the IDX Director’s Decree No. 307/BEJ/07-2006 and Rule No. I-H. The sanctions imposed range from written warnings to fines and trading suspensions for delays of over 30, 60, or 90 days in financial report submission or penalty payment.</w:t>
      </w:r>
    </w:p>
    <w:p w:rsidR="00D54833" w:rsidRPr="00A66953" w:rsidRDefault="00D54833" w:rsidP="00D54833">
      <w:r w:rsidRPr="00A66953">
        <w:t>Previous research has identified several factors influencing the timeliness of financial reporting, including company size, company age, and capital structure. This study is important because there are still food and beverage companies that fail to submit their financial statements on time, thus not meeting the expectations of financial report users.</w:t>
      </w:r>
    </w:p>
    <w:p w:rsidR="00D54833" w:rsidRPr="00A66953" w:rsidRDefault="00D54833" w:rsidP="00D54833">
      <w:r w:rsidRPr="00A66953">
        <w:t>Based on the above issues, the researcher is interested in conducting a thesis entitled:</w:t>
      </w:r>
      <w:r w:rsidRPr="00A66953">
        <w:br/>
      </w:r>
      <w:r w:rsidRPr="00A66953">
        <w:rPr>
          <w:b/>
          <w:bCs/>
        </w:rPr>
        <w:t>“The Influence of Company Size, Company Age, and Capital Structure on the Timeliness of Financial Reporting with Financial Performance as an Intervening Variable: A Study of Food and Beverage Companies Listed on the Indonesia Stock Exchange (IDX) During 2019–2022.”</w:t>
      </w:r>
    </w:p>
    <w:p w:rsidR="00D54833" w:rsidRPr="00A66953" w:rsidRDefault="00D54833" w:rsidP="00D54833">
      <w:pPr>
        <w:rPr>
          <w:lang w:val="en-US"/>
        </w:rPr>
      </w:pPr>
    </w:p>
    <w:p w:rsidR="00D54833" w:rsidRPr="00A66953" w:rsidRDefault="00D54833" w:rsidP="00D54833">
      <w:pPr>
        <w:rPr>
          <w:b/>
          <w:bCs/>
        </w:rPr>
      </w:pPr>
      <w:r w:rsidRPr="00A66953">
        <w:rPr>
          <w:b/>
          <w:bCs/>
        </w:rPr>
        <w:t>2.LITERATURE REVIEW</w:t>
      </w:r>
    </w:p>
    <w:p w:rsidR="00D54833" w:rsidRPr="00A66953" w:rsidRDefault="00D54833" w:rsidP="00D54833">
      <w:r w:rsidRPr="00A66953">
        <w:rPr>
          <w:b/>
          <w:bCs/>
        </w:rPr>
        <w:t>2.1 Overview of the Food and Beverage Industry</w:t>
      </w:r>
      <w:r w:rsidRPr="00A66953">
        <w:t xml:space="preserve"> The food and beverage industry represents one of the most rapidly expanding sectors in Indonesia's economy. In recent years, this industry has experienced significant growth due to increasing consumer demand, rising income levels, and changing lifestyles. According to the Financial Services Authority (OJK), the industry demonstrated a 5% to 7% growth in 2022, indicating a recovery from previous economic downturns. The food and beverage sub-sector remains a key contributor to national economic development and is expected to sustain its role in future industrial performance.</w:t>
      </w:r>
    </w:p>
    <w:p w:rsidR="00D54833" w:rsidRPr="00A66953" w:rsidRDefault="00D54833" w:rsidP="00D54833">
      <w:r w:rsidRPr="00A66953">
        <w:rPr>
          <w:b/>
          <w:bCs/>
        </w:rPr>
        <w:t>2.2 Importance of Timeliness in Financial Reporting</w:t>
      </w:r>
      <w:r w:rsidRPr="00A66953">
        <w:t xml:space="preserve"> Timeliness in financial reporting is a fundamental attribute of financial information quality. Timely reports enable stakeholders to make decisions based on up-to-date data, thus improving the efficiency of capital markets. </w:t>
      </w:r>
      <w:r w:rsidRPr="00A66953">
        <w:fldChar w:fldCharType="begin" w:fldLock="1"/>
      </w:r>
      <w:r w:rsidRPr="00A66953">
        <w:instrText>ADDIN CSL_CITATION {"citationItems":[{"id":"ITEM-1","itemData":{"DOI":"10.25105/jmat.v5i2.5070","abstract":"The purpose of this study was to examine the effect of Product Differentiation Strategy, Capital Structure and Corporate Social Responsibility Disclosure on Corporate Values with Institutional Ownership as Moderation variables in manufacturing companies listed on the Indonesia Stock Exchange. This study uses the Institutional Ownership variable as a moderating variable, namely to find out institutional ownership owned by the company. As well as this study using a variable company size which is used as a control variable, the relationship between dependent and independent variables. This study also aims to determine what factors have a significant effect on the value of the company. Based on the results of the analysis, it can be concluded that the Product Differentiation Strategy has a positive influence on Company Value, Capital Structure does not have a negative influence on the Corporate Value, Corporate Social Responsibility Disclosure does not have a positive influence on the Company's Value, Institutional Ownership has a positive influence on the Value of the Company, Institutional Ownership does not can strengthen the influence of the Product Differentiation Strategy on Company Value, Institutional Ownership cannot weaken the influence of Capital Structure on Company Value, Institutional Ownership cannot strengthen the influence of Corporate Social Responsibility Disclosure on Company Value.","author":[{"dropping-particle":"","family":"Elisabet","given":"Elisabet","non-dropping-particle":"","parse-names":false,"suffix":""},{"dropping-particle":"","family":"Mulyani","given":"Susi Dwi","non-dropping-particle":"","parse-names":false,"suffix":""}],"container-title":"Jurnal Magister Akuntansi Trisakti","id":"ITEM-1","issue":"2","issued":{"date-parts":[["2019"]]},"page":"115-136","title":"Pengaruh Strategi Diferensiasi Produk, Struktur Modal Dan Corporate Social Responsibility Disclosure Terhadap Nilai Perusahaan Dengan Kepemilikan Institusional Sebagai Variabel Moderasi","type":"article-journal","volume":"5"},"uris":["http://www.mendeley.com/documents/?uuid=ba609efe-17b5-4901-a08b-ec30f2b9c922"]}],"mendeley":{"formattedCitation":"(Elisabet &amp; Mulyani, 2019)","plainTextFormattedCitation":"(Elisabet &amp; Mulyani, 2019)","previouslyFormattedCitation":"(Elisabet &amp; Mulyani, 2019)"},"properties":{"noteIndex":0},"schema":"https://github.com/citation-style-language/schema/raw/master/csl-citation.json"}</w:instrText>
      </w:r>
      <w:r w:rsidRPr="00A66953">
        <w:fldChar w:fldCharType="separate"/>
      </w:r>
      <w:r w:rsidRPr="00A66953">
        <w:rPr>
          <w:noProof/>
        </w:rPr>
        <w:t>(Elisabet &amp; Mulyani, 2019)</w:t>
      </w:r>
      <w:r w:rsidRPr="00A66953">
        <w:fldChar w:fldCharType="end"/>
      </w:r>
      <w:r w:rsidRPr="00A66953">
        <w:t xml:space="preserve"> asserts that financial </w:t>
      </w:r>
      <w:r w:rsidRPr="00A66953">
        <w:lastRenderedPageBreak/>
        <w:t xml:space="preserve">statements are only useful when provided promptly, as delays reduce their relevance and impair decision-making. Similarly, </w:t>
      </w:r>
      <w:r w:rsidRPr="00A66953">
        <w:fldChar w:fldCharType="begin" w:fldLock="1"/>
      </w:r>
      <w:r w:rsidRPr="00A66953">
        <w:instrText>ADDIN CSL_CITATION {"citationItems":[{"id":"ITEM-1","itemData":{"DOI":"10.1108/13639510610711583","ISSN":"1363951X","abstract":"Purpose - Studies of police organizations typically involve examining predictors consistent with structural contingency theory while comparatively fewer have examined the applicability of institutional theory. The purpose of the current study is to examine the influence of institutional factors on the elaboration of organizational structure, specifically the incorporation of a crime analysis unit into a police organization's structure. Design/methodology/ approach - Data were obtained using a 2002 mail survey of law enforcement agencies focusing on the crime analysis function and environmental factors influencing the organization of that function. Additional information complementing the survey data was obtained through telephone interviews with representatives from 12 of the surveyed departments. Findings - Multivariate results show that, consistent with contingency theory, size is an important predictor of structural elaboration. Analyses and interview responses suggest that institutional factors, particularly accreditation standards, may play some role in shaping organizational structures. Research limitations/implications - The survey was returned by 160 agencies for a response rate of 56 percent but analyses were based on relatively small samples of 67-77 agencies. Telephone interviews were conducted using a purposive, non-probability sampling method. Practical implications - The results of this exploratory study provide insight into factors contributing to the adoption of structures and strategies in policing. Originality/value - The research is one of only a small number of studies in policing to explicitly test propositions derived from institutional theory, particularly the concept of institutional isomorphism. ©Emerald Group Publishing Limited.","author":[{"dropping-particle":"","family":"Giblin","given":"Matthew J","non-dropping-particle":"","parse-names":false,"suffix":""}],"container-title":"Policing","id":"ITEM-1","issue":"4","issued":{"date-parts":[["2006"]]},"page":"643-664","title":"Structural elaboration and institutional isomorphism: The case of crime analysis units","type":"article-journal","volume":"29"},"uris":["http://www.mendeley.com/documents/?uuid=0efeb027-3cad-4951-ad31-b30fb7ef7a0f"]}],"mendeley":{"formattedCitation":"(Giblin, 2006)","plainTextFormattedCitation":"(Giblin, 2006)","previouslyFormattedCitation":"(Giblin, 2006)"},"properties":{"noteIndex":0},"schema":"https://github.com/citation-style-language/schema/raw/master/csl-citation.json"}</w:instrText>
      </w:r>
      <w:r w:rsidRPr="00A66953">
        <w:fldChar w:fldCharType="separate"/>
      </w:r>
      <w:r w:rsidRPr="00A66953">
        <w:rPr>
          <w:noProof/>
        </w:rPr>
        <w:t>(Giblin, 2006)</w:t>
      </w:r>
      <w:r w:rsidRPr="00A66953">
        <w:fldChar w:fldCharType="end"/>
      </w:r>
      <w:r w:rsidRPr="00A66953">
        <w:t xml:space="preserve"> argue</w:t>
      </w:r>
      <w:r w:rsidR="00D8431F" w:rsidRPr="00A66953">
        <w:t>s</w:t>
      </w:r>
      <w:r w:rsidRPr="00A66953">
        <w:t xml:space="preserve"> that untimely financial disclosures diminish their value, particularly when they are released after the period in which key decisions are made.</w:t>
      </w:r>
    </w:p>
    <w:p w:rsidR="00D54833" w:rsidRPr="00A66953" w:rsidRDefault="00D54833" w:rsidP="00D54833">
      <w:r w:rsidRPr="00A66953">
        <w:rPr>
          <w:b/>
          <w:bCs/>
        </w:rPr>
        <w:t>2.3 Regulatory Context and Sanctions for Non-Compliance</w:t>
      </w:r>
      <w:r w:rsidRPr="00A66953">
        <w:t xml:space="preserve"> Despite regulatory efforts to enforce timeliness, several companies continue to experience delays in financial reporting. The Indonesia Stock Exchange (IDX) suspended 26 listed firms in 2020 due to non-compliance with financial reporting requirements, including failure to submit audited financial statements and pay regulatory fines. IDX Rule I-H outlines various sanctions for such violations, ranging from written warnings to monetary penalties and suspension of trading activities. These measures highlight the ongoing challenges in ensuring compliance with reporting standards </w:t>
      </w:r>
      <w:r w:rsidRPr="00A66953">
        <w:fldChar w:fldCharType="begin" w:fldLock="1"/>
      </w:r>
      <w:r w:rsidRPr="00A66953">
        <w:instrText>ADDIN CSL_CITATION {"citationItems":[{"id":"ITEM-1","itemData":{"DOI":"10.30872/jkin.v19i1.10824","ISSN":"1907-3011","abstract":"Tujuan dari penelitian ini untuk menganalisis pengaruh profitabilitas, modal intelektual dan struktur aktiva terhadap nilai perusahaan. Populasi dalam penelitian ini adalah perusahaan manufaktur sub sektor industri makanan dan minuman yang terdaftar di Bursa Efek Indonesia. Sampel penelitian ditentukan dengan metode purposive sampling, jumlah sampel 16 perusahaan. Alat analisis yang digunakan adalah analisis regresi linear berganda yang diuji dengan program Statistical Package for the Social Science (SPSS) versi 20. Data yang digunakan adalah data sekunder berupa laporan keuangan perusahaan yang dipublikasikan secara rutin selama periode 2016-2020. Hasil penelitian ini menunjukkan bahwa profitabilitas, modal intelektual dan struktur aktiva berpengaruh positif terhadap nilai perusahaan. Kata","author":[{"dropping-particle":"","family":"Nurfaindah","given":"Nurfaindah","non-dropping-particle":"","parse-names":false,"suffix":""},{"dropping-particle":"","family":"Mudjijah","given":"Slamet","non-dropping-particle":"","parse-names":false,"suffix":""}],"container-title":"Kinerja","id":"ITEM-1","issue":"1","issued":{"date-parts":[["2022"]]},"page":"152-159","title":"Pengaruh profitabilitas, modal intelektual dan struktur aktiva terhadap nilai perusahaan","type":"article-journal","volume":"19"},"uris":["http://www.mendeley.com/documents/?uuid=29d6b66b-beac-4490-8236-d8756a49fc0b"]}],"mendeley":{"formattedCitation":"(Nurfaindah &amp; Mudjijah, 2022)","plainTextFormattedCitation":"(Nurfaindah &amp; Mudjijah, 2022)","previouslyFormattedCitation":"(Nurfaindah &amp; Mudjijah, 2022)"},"properties":{"noteIndex":0},"schema":"https://github.com/citation-style-language/schema/raw/master/csl-citation.json"}</w:instrText>
      </w:r>
      <w:r w:rsidRPr="00A66953">
        <w:fldChar w:fldCharType="separate"/>
      </w:r>
      <w:r w:rsidRPr="00A66953">
        <w:rPr>
          <w:noProof/>
        </w:rPr>
        <w:t>(Nurfaindah &amp; Mudjijah, 2022)</w:t>
      </w:r>
      <w:r w:rsidRPr="00A66953">
        <w:fldChar w:fldCharType="end"/>
      </w:r>
      <w:r w:rsidRPr="00A66953">
        <w:t>;</w:t>
      </w:r>
      <w:r w:rsidRPr="00A66953">
        <w:fldChar w:fldCharType="begin" w:fldLock="1"/>
      </w:r>
      <w:r w:rsidRPr="00A66953">
        <w:instrText>ADDIN CSL_CITATION {"citationItems":[{"id":"ITEM-1","itemData":{"DOI":"10.24034/j25485024.y2010.v14.i1.2109","ISSN":"2548-298X","abstract":"This study aims to test whether the management that receive compensation in the form of stock options having an positive impact on company performance. This study considers the external performance measurement by identifying Cumulative Abnormal Return (CAR). In addition, this study aims to test whether the company's capital structure affects the sensitivity level of employee stock option compensation and firm performance. Capital structure is measured with debt to equity ratio. The result indicates that the proportion of Employee Stock Option Plan (ESOP) influence company performance in accordance with the predictions. This shows that the more stock options offered to employees then came a sense of belonging which resulted in more motivated managers to improve company performance. Furthermore, the higher the market performance of companies that can be achieved, the higher the profit (gain) will be obtained by the recipient of stock options. In addition, this study also shows that the impact of stock option grants at the company's performance declined with the greater capital structure of liability. This shows that the capital structure of liabilities will lower the sensitivity level of employee stock option compensation and firm performance. The higher the company's liabilities would reduce the rights of the owner of the dividends each period in accordance with the ownership of shares held since the company must take into account the interest costs to be paid to the creditor.","author":[{"dropping-particle":"","family":"Asyik","given":"Nur Fadjrih","non-dropping-particle":"","parse-names":false,"suffix":""}],"container-title":"EKUITAS (Jurnal Ekonomi dan Keuangan)","id":"ITEM-1","issue":"1","issued":{"date-parts":[["2017"]]},"page":"1","title":"Dampak Struktur Modal Pada Sensitivitas Penerapan Kompensasi Opsi Saham Karyawan Terhadap Kinerja","type":"article-journal","volume":"14"},"uris":["http://www.mendeley.com/documents/?uuid=edc9ca32-f95f-4205-82fa-9037b23f295b"]}],"mendeley":{"formattedCitation":"(Asyik, 2017)","plainTextFormattedCitation":"(Asyik, 2017)","previouslyFormattedCitation":"(Asyik, 2017)"},"properties":{"noteIndex":0},"schema":"https://github.com/citation-style-language/schema/raw/master/csl-citation.json"}</w:instrText>
      </w:r>
      <w:r w:rsidRPr="00A66953">
        <w:fldChar w:fldCharType="separate"/>
      </w:r>
      <w:r w:rsidRPr="00A66953">
        <w:rPr>
          <w:noProof/>
        </w:rPr>
        <w:t>(Asyik, 2017)</w:t>
      </w:r>
      <w:r w:rsidRPr="00A66953">
        <w:fldChar w:fldCharType="end"/>
      </w:r>
      <w:r w:rsidRPr="00A66953">
        <w:t>.</w:t>
      </w:r>
    </w:p>
    <w:p w:rsidR="00D54833" w:rsidRPr="00A66953" w:rsidRDefault="00D54833" w:rsidP="00D54833">
      <w:r w:rsidRPr="00A66953">
        <w:rPr>
          <w:b/>
          <w:bCs/>
        </w:rPr>
        <w:t>2.4 Determinants of Timeliness in Financial Reporting</w:t>
      </w:r>
      <w:r w:rsidRPr="00A66953">
        <w:t xml:space="preserve"> Numerous studies have identified factors influencing the timeliness of financial reports.</w:t>
      </w:r>
    </w:p>
    <w:p w:rsidR="00D54833" w:rsidRPr="00A66953" w:rsidRDefault="00D54833" w:rsidP="00D54833">
      <w:r w:rsidRPr="00A66953">
        <w:rPr>
          <w:b/>
          <w:bCs/>
        </w:rPr>
        <w:t>2.4.1 Company Size</w:t>
      </w:r>
      <w:r w:rsidR="00D8431F" w:rsidRPr="00A66953">
        <w:rPr>
          <w:b/>
          <w:bCs/>
        </w:rPr>
        <w:t>:</w:t>
      </w:r>
      <w:r w:rsidRPr="00A66953">
        <w:t xml:space="preserve"> Larger firms generally have more structured internal controls, dedicated accounting departments, and advanced information systems. As a result, they are better equipped to meet regulatory deadlines for financial reporting. </w:t>
      </w:r>
      <w:r w:rsidRPr="00A66953">
        <w:fldChar w:fldCharType="begin" w:fldLock="1"/>
      </w:r>
      <w:r w:rsidRPr="00A66953">
        <w:instrText>ADDIN CSL_CITATION {"citationItems":[{"id":"ITEM-1","itemData":{"DOI":"10.30587/jurnalmanajerial.v6i2.888","abstract":"&amp;lt;p&amp;gt;&amp;lt;em&amp;gt;The purpose of this study is to analyze the structure of assets, capital structure, firm size against firm value with earnings growth and strategy risk as intervening variables, the results of this research show that the asset structure has no significant effect on earnings growth, asset structure has a significant effect on risk strategy , asset structure has a significant effect on capital structure, asset structure has a significant effect on firm value, capital structure has a significant effect on earnings growth, capital structure has no significant effect on strategy risk, capital structure has a significant effect on firm value, firm size has a significant effect on earnings growth, company size does not have a significant effect on strategy risk, firm size has a significant effect on firm value, earnings growth does not have a significant effect on strategy risk, earnings growth sounds uh significant to firm value, strategy risk does not have a significant effect on firm value.&amp;lt;/em&amp;gt;&amp;lt;/p&amp;gt;","author":[{"dropping-particle":"","family":"Gamayanti","given":"Putri","non-dropping-particle":"","parse-names":false,"suffix":""},{"dropping-particle":"","family":"Rahmiyati","given":"Nekky","non-dropping-particle":"","parse-names":false,"suffix":""},{"dropping-particle":"","family":"Ratnawati","given":"Tri","non-dropping-particle":"","parse-names":false,"suffix":""}],"container-title":"Jurnal Manajerial","id":"ITEM-1","issue":"2 SE  - Articles","issued":{"date-parts":[["2019","7","1"]]},"page":"1-8","title":"ANALISIS STRUKTUR ASSET, STRUKTUR MODAL DAN UKURAN PERUSAHAAN  TERHADAP NILAI PERUSAHAAN DENGAN EARNING GROWTH DAN RISIKO STRATEGI SEBAGAI VARIABEL INTERVENING PADA PERUSAHAAN MANUFAKTUR YANG TERDAFTAR DI BURSA EFEK INDONESIA. (STUDI PADA SEKTOR INDUSTRI","type":"article-journal","volume":"6"},"uris":["http://www.mendeley.com/documents/?uuid=cc7aaeee-e7bc-496c-add6-f85baa4d9717"]}],"mendeley":{"formattedCitation":"(Gamayanti et al., 2019)","plainTextFormattedCitation":"(Gamayanti et al., 2019)","previouslyFormattedCitation":"(Gamayanti et al., 2019)"},"properties":{"noteIndex":0},"schema":"https://github.com/citation-style-language/schema/raw/master/csl-citation.json"}</w:instrText>
      </w:r>
      <w:r w:rsidRPr="00A66953">
        <w:fldChar w:fldCharType="separate"/>
      </w:r>
      <w:r w:rsidRPr="00A66953">
        <w:rPr>
          <w:noProof/>
        </w:rPr>
        <w:t>(Gamayanti et al., 2019)</w:t>
      </w:r>
      <w:r w:rsidRPr="00A66953">
        <w:fldChar w:fldCharType="end"/>
      </w:r>
      <w:r w:rsidRPr="00A66953">
        <w:t xml:space="preserve"> found a positive relationship between firm size and reporting timeliness.</w:t>
      </w:r>
    </w:p>
    <w:p w:rsidR="00D54833" w:rsidRPr="00A66953" w:rsidRDefault="00D54833" w:rsidP="00D54833">
      <w:r w:rsidRPr="00A66953">
        <w:rPr>
          <w:b/>
          <w:bCs/>
        </w:rPr>
        <w:t>2.4.2 Company Age</w:t>
      </w:r>
      <w:r w:rsidRPr="00A66953">
        <w:t xml:space="preserve"> Older companies tend to have more experience and established reporting routines, making them more likely to comply with financial reporting timelines. Their historical knowledge and organizational stability contribute to improved timeliness </w:t>
      </w:r>
      <w:r w:rsidRPr="00A66953">
        <w:fldChar w:fldCharType="begin" w:fldLock="1"/>
      </w:r>
      <w:r w:rsidRPr="00A66953">
        <w:instrText>ADDIN CSL_CITATION {"citationItems":[{"id":"ITEM-1","itemData":{"DOI":"10.1108/JAAR-05-2022-0097","ISSN":"09675426","abstract":"Purpose: Lebanon has faced one of the most severe financial and economic crises since the end of 2019. The practices of the Lebanese banks are blamed for dangerously exposing economic agents and precipitating the current financial collapse. This paper examines the patterns of manipulation of the 10 biggest banks before and after implementing the financial engineering mechanism. Design/methodology/approach: The authors apply Benford law for the first and second positions of the reports of condition and income and four out of the six aspects of the CAMELS rating system (Capital Adequacy, Assets Quality, Management expertise, Earnings Strength, Liquidity and Sensitivity to the market) by excluding Management and Sensitivity. The deviations from BL frequencies are tested using Z-statistic and Chi-square tests. Findings: Banks seem to have manipulated their Capital Adequacy, Liquidity and Assets Quality in the pre-financial engineering and considerably in the post-financial engineering periods. Fraudulent manipulations in the banking sector can distort depositors, shareholders and regulating authorities. Research limitations/implications: This study has many implications for governmental authorities, commercial banks, depositors, businesses, accounting and auditing firms, and policymakers. The Lebanese government needs to implement corrective fiscal and monetary policies and apply amendments to the bank secrecy and capital control law. The central bank should revamp its organizational structure, improve its disclosure practices and significantly reduce its ties to the government and the political elite. Practical implications: The study findings suggest that the central bank should revamp its organizational structure, improve its disclosure practices and significantly reduce its ties to the government and the political elite. Originality/value: The study is the first to examine the patterns of fraudulent manipulation in the Lebanese banking industry using Benford Law (BL).","author":[{"dropping-particle":"","family":"G. Harb","given":"Etienne","non-dropping-particle":"","parse-names":false,"suffix":""},{"dropping-particle":"","family":"Nasrallah","given":"Nohade","non-dropping-particle":"","parse-names":false,"suffix":""},{"dropping-particle":"","family":"Khoury","given":"Rim","non-dropping-particle":"El","parse-names":false,"suffix":""},{"dropping-particle":"","family":"Hussainey","given":"Khaled","non-dropping-particle":"","parse-names":false,"suffix":""}],"container-title":"Journal of Applied Accounting Research","id":"ITEM-1","issue":"4","issued":{"date-parts":[["2023"]]},"page":"745-768","title":"Applying Benford's law to detect accounting data manipulation in the pre- and post-financial engineering periods","type":"article-journal","volume":"24"},"uris":["http://www.mendeley.com/documents/?uuid=6b4f7aff-d969-472a-9c92-0aaa4de0c67e"]}],"mendeley":{"formattedCitation":"(G. Harb et al., 2023)","plainTextFormattedCitation":"(G. Harb et al., 2023)","previouslyFormattedCitation":"(G. Harb et al., 2023)"},"properties":{"noteIndex":0},"schema":"https://github.com/citation-style-language/schema/raw/master/csl-citation.json"}</w:instrText>
      </w:r>
      <w:r w:rsidRPr="00A66953">
        <w:fldChar w:fldCharType="separate"/>
      </w:r>
      <w:r w:rsidRPr="00A66953">
        <w:rPr>
          <w:noProof/>
        </w:rPr>
        <w:t>(G. Harb et al., 2023)</w:t>
      </w:r>
      <w:r w:rsidRPr="00A66953">
        <w:fldChar w:fldCharType="end"/>
      </w:r>
      <w:r w:rsidRPr="00A66953">
        <w:t>.</w:t>
      </w:r>
    </w:p>
    <w:p w:rsidR="00D54833" w:rsidRPr="00A66953" w:rsidRDefault="00D54833" w:rsidP="00D54833">
      <w:r w:rsidRPr="00A66953">
        <w:rPr>
          <w:b/>
          <w:bCs/>
        </w:rPr>
        <w:t>2.4.3 Capital Structure</w:t>
      </w:r>
      <w:r w:rsidRPr="00A66953">
        <w:t xml:space="preserve"> The capital structure of a company can also impact the timeliness of financial reporting. Firms with high levels of debt face greater scrutiny from creditors and thus may be under pressure to provide timely and accurate financial statements. Conversely, firms with less financial leverage might not feel the same urgency </w:t>
      </w:r>
      <w:r w:rsidRPr="00A66953">
        <w:fldChar w:fldCharType="begin" w:fldLock="1"/>
      </w:r>
      <w:r w:rsidRPr="00A66953">
        <w:instrText>ADDIN CSL_CITATION {"citationItems":[{"id":"ITEM-1","itemData":{"DOI":"10.1007/s10997-019-09461-5","ISBN":"0123456789","ISSN":"1572963X","abstract":"The purpose of this paper is to investigate whether universities performance management systems (PMS), consider intellectual capital (IC) management as a criterion for evaluating their managers. The issue has been addressed investigating the case study of the University of Calabria. The evaluation systems for managers of the University of Calabria were analyzed with a longitudinal approach, investigating two different systems (2012–2014 and 2015–2017). Two qualitative tools were employed: document analysis and semi-structured interviews. From a formal analysis of the evaluation systems for managers of the University of Calabria, it emerges that the reference to IC and its subcomponents is easier to identify within the individual performance component, which reduces its weight switching from the 2012–2014 to 2015–2017 evaluation system. From the analysis of semi-structured interviews, it emerges that the University of Calabria is far from considering IC substantially as a key criterion to evaluate its managers. Focusing on IC will require the development of an IC specific project addressed to make sense of this new object and of the consequent new managerial practices to give sense to IC measurements and diffuse them within the organization. The originality of the paper lies in the novelty of its aim, linking together the evaluation of universities managers, too often clouded by respect for the academicians in managerial roles, and the role of IC management as an evaluation criteria to assess their performance. The paper offers both theoretical contributions to different streams of the literature, namely the IC and PMS and public sector literature and practical contributions, filling the void between the evaluation systems of university managers as provided by theory and the application of these models in practice, a gap especially significant for public organizations.","author":[{"dropping-particle":"","family":"Veltri","given":"Stefania","non-dropping-particle":"","parse-names":false,"suffix":""},{"dropping-particle":"","family":"Puntillo","given":"Pina","non-dropping-particle":"","parse-names":false,"suffix":""}],"container-title":"Journal of Management and Governance","id":"ITEM-1","issue":"1","issued":{"date-parts":[["2020"]]},"number-of-pages":"135-167","publisher":"Springer US","title":"On intellectual capital management as an evaluation criterion for university managers: a case study","type":"book","volume":"24"},"uris":["http://www.mendeley.com/documents/?uuid=ed8512f7-29f4-4e53-b3cf-3866b9c67e82"]}],"mendeley":{"formattedCitation":"(Veltri &amp; Puntillo, 2020)","plainTextFormattedCitation":"(Veltri &amp; Puntillo, 2020)","previouslyFormattedCitation":"(Veltri &amp; Puntillo, 2020)"},"properties":{"noteIndex":0},"schema":"https://github.com/citation-style-language/schema/raw/master/csl-citation.json"}</w:instrText>
      </w:r>
      <w:r w:rsidRPr="00A66953">
        <w:fldChar w:fldCharType="separate"/>
      </w:r>
      <w:r w:rsidRPr="00A66953">
        <w:rPr>
          <w:noProof/>
        </w:rPr>
        <w:t>(Veltri &amp; Puntillo, 2020)</w:t>
      </w:r>
      <w:r w:rsidRPr="00A66953">
        <w:fldChar w:fldCharType="end"/>
      </w:r>
      <w:r w:rsidRPr="00A66953">
        <w:t>;</w:t>
      </w:r>
      <w:r w:rsidRPr="00A66953">
        <w:fldChar w:fldCharType="begin" w:fldLock="1"/>
      </w:r>
      <w:r w:rsidRPr="00A66953">
        <w:instrText>ADDIN CSL_CITATION {"citationItems":[{"id":"ITEM-1","itemData":{"DOI":"10.1108/JIC-05-2020-0175","ISBN":"1469-1930","abstract":"Purpose This paper examines the interaction of human capital and CRM on the performance of SMEs in Yemen.Design/methodology/approach The study used a quantitative approach in investigating the interacting effect of human capital on the relationship between CRM and SMEs' performance in Yemen. The PLS-SEM analysis was performed to test the hypotheses.Findings It was observed that key customer focus, technology-based CRM and CRM knowledge management were effective drivers of SME performance, but not CRM organization tools. It was also ascertained that human capital has no moderating effect on the key customer focus and knowledge management relationships with performance, although it does moderate the relationships between performance and CRM organization and technology-based CRM respectively.Research limitations/implications Because this study is limited to manufacturing SMEs in Yemen, the results cannot be generalized to other types of industry such as services, whose structure and vision differ from those of manufacturing SMEs. While the current results may be appropriate for SMEs in other developing countries, the researcher believes they are unsuitable for SMEs in advanced economies with different financial structures and employee and management cultures.Practical implications The empirical insights of this study are valuable for the owners, managers and professionals in the SMEs manufacturing sector in developing countries, to enrich their organizational performance through CRM adoption, while considering the moderating effect of human capital.Originality/value This is the first empirical work to confirm way the main drivers of human capital, including in the analysis the impact of CRM dimensions and SME performance, in the context of the manufacturing sector. In support of an original conceptual model, the insights contribute to the literature on CRM, SMEs in the manufacturing sector, human capital and emerging economies.","author":[{"dropping-particle":"","family":"Abdulwahab","given":"AlQershi Nagwan","non-dropping-particle":"","parse-names":false,"suffix":""},{"dropping-particle":"","family":"Mohd","given":"Mokhtar Sany Sanuri","non-dropping-particle":"","parse-names":false,"suffix":""},{"dropping-particle":"","family":"Bin","given":"Abas Zakaria","non-dropping-particle":"","parse-names":false,"suffix":""}],"container-title":"Journal of Intellectual Capital","id":"ITEM-1","issue":"ahead-of-print","issued":{"date-parts":[["2020","1","1"]]},"title":"CRM dimensions and performance of SMEs in Yemen: the moderating role of human capital","type":"article","volume":"ahead-of-p"},"uris":["http://www.mendeley.com/documents/?uuid=66fb0ec7-3115-4651-bc8c-7695eb20bb49"]}],"mendeley":{"formattedCitation":"(Abdulwahab et al., 2020)","plainTextFormattedCitation":"(Abdulwahab et al., 2020)","previouslyFormattedCitation":"(Abdulwahab et al., 2020)"},"properties":{"noteIndex":0},"schema":"https://github.com/citation-style-language/schema/raw/master/csl-citation.json"}</w:instrText>
      </w:r>
      <w:r w:rsidRPr="00A66953">
        <w:fldChar w:fldCharType="separate"/>
      </w:r>
      <w:r w:rsidRPr="00A66953">
        <w:rPr>
          <w:noProof/>
        </w:rPr>
        <w:t>(Abdulwahab et al., 2020)</w:t>
      </w:r>
      <w:r w:rsidRPr="00A66953">
        <w:fldChar w:fldCharType="end"/>
      </w:r>
      <w:r w:rsidRPr="00A66953">
        <w:t>.</w:t>
      </w:r>
    </w:p>
    <w:p w:rsidR="00D54833" w:rsidRPr="00A66953" w:rsidRDefault="00D54833" w:rsidP="00D54833">
      <w:r w:rsidRPr="00A66953">
        <w:rPr>
          <w:b/>
          <w:bCs/>
        </w:rPr>
        <w:t>2.5 The Role of Financial Performance as a Mediating Variable</w:t>
      </w:r>
      <w:r w:rsidRPr="00A66953">
        <w:t xml:space="preserve"> Financial performance has been proposed as a mediating factor in the relationship between company characteristics and reporting timeliness. Companies that perform well financially may be more inclined to disclose their results promptly as a signal of strength to investors. </w:t>
      </w:r>
      <w:r w:rsidRPr="00A66953">
        <w:fldChar w:fldCharType="begin" w:fldLock="1"/>
      </w:r>
      <w:r w:rsidRPr="00A66953">
        <w:instrText>ADDIN CSL_CITATION {"citationItems":[{"id":"ITEM-1","itemData":{"DOI":"10.1108/14691930010324188","ISSN":"1758468","abstract":"The purpose of this empirical study is to investigate the three elements of intellectual capital, i.e. human capital, structural capital, and customer capital, and their inter-relationships within two industry sectors in Malaysia. The study was conducted using a psychometrically validated questionnaire which was originally administered in Canada. The main conclusions from this particular study are that: human capital is important regardless of industry type; human capital has a greater influence on how a business should be structured in non-service industries compared to service industries; customer capital has a significant influence over structural capital irrespective of industry; and finally, the development of structural capital has a positive relationship with business performance regardless of industry. The final specified models in this study show a robust explanation of business performance variance within the Malaysian context which bodes well for future research in alternative contexts. © 2000, MCB UP Limited","author":[{"dropping-particle":"","family":"Bontis","given":"Nick","non-dropping-particle":"","parse-names":false,"suffix":""},{"dropping-particle":"","family":"William Chua Chong","given":"Keow","non-dropping-particle":"","parse-names":false,"suffix":""},{"dropping-particle":"","family":"Richardson","given":"Stanley","non-dropping-particle":"","parse-names":false,"suffix":""}],"container-title":"Journal of Intellectual Capital","id":"ITEM-1","issue":"1","issued":{"date-parts":[["2000"]]},"page":"85-100","title":"Intellectual capital and business performance in Malaysian industries","type":"article-journal","volume":"1"},"uris":["http://www.mendeley.com/documents/?uuid=08307ba1-bff7-4db0-907a-723789d3b5c3"]}],"mendeley":{"formattedCitation":"(Bontis et al., 2000)","plainTextFormattedCitation":"(Bontis et al., 2000)","previouslyFormattedCitation":"(Bontis et al., 2000)"},"properties":{"noteIndex":0},"schema":"https://github.com/citation-style-language/schema/raw/master/csl-citation.json"}</w:instrText>
      </w:r>
      <w:r w:rsidRPr="00A66953">
        <w:fldChar w:fldCharType="separate"/>
      </w:r>
      <w:r w:rsidRPr="00A66953">
        <w:rPr>
          <w:noProof/>
        </w:rPr>
        <w:t>(Bontis et al., 2000)</w:t>
      </w:r>
      <w:r w:rsidRPr="00A66953">
        <w:fldChar w:fldCharType="end"/>
      </w:r>
      <w:r w:rsidRPr="00A66953">
        <w:t xml:space="preserve"> notes that firms with higher profitability levels are generally more compliant with reporting regulations, while poor performers may delay disclosures to mitigate negative market reactions.</w:t>
      </w:r>
    </w:p>
    <w:p w:rsidR="00D54833" w:rsidRPr="00A66953" w:rsidRDefault="00D54833" w:rsidP="00D54833">
      <w:r w:rsidRPr="00A66953">
        <w:rPr>
          <w:b/>
          <w:bCs/>
        </w:rPr>
        <w:t>2.6 Research Gap and Study Contribution</w:t>
      </w:r>
      <w:r w:rsidRPr="00A66953">
        <w:t xml:space="preserve"> While previous research has identified various determinants of financial reporting timeliness, there remains a lack of focused studies on the food and beverage sector in Indonesia, particularly during periods of regulatory tightening and economic fluctuation. Additionally, the mediating role of financial performance in this relationship remains underexplored. This study seeks to fill this gap by examining the effects of company size, company age, and capital structure on the timeliness of financial reporting, using financial performance as an intervening variable. The analysis will focus on food and beverage companies listed on the Indonesia Stock Exchange between 2019 and 2022.</w:t>
      </w:r>
    </w:p>
    <w:p w:rsidR="00D54833" w:rsidRPr="00A66953" w:rsidRDefault="00D54833" w:rsidP="00D54833">
      <w:r w:rsidRPr="00A66953">
        <w:t xml:space="preserve">This chapter has provided the theoretical and empirical foundation for understanding the determinants of timely financial reporting and has outlined the context in which the current study is positioned </w:t>
      </w:r>
      <w:r w:rsidRPr="00A66953">
        <w:fldChar w:fldCharType="begin" w:fldLock="1"/>
      </w:r>
      <w:r w:rsidRPr="00A66953">
        <w:instrText>ADDIN CSL_CITATION {"citationItems":[{"id":"ITEM-1","itemData":{"DOI":"10.13106/jafeb.2021.vol8.no2.0861","ISSN":"22884645","abstract":"This study examines the relationship between board characteristics and capital structure. Data was collected from the annual reports of listed companies in the Stock Exchange of Thailand, from 2015 to 2017, which totaled 1,264 firm-year observations. The study uses multiple regression analysis to analyses the data by using independent variables, including board size, outside directors, managerial ownership, CEO duality, frequency of board meetings, board experience, and gender to measure board characteristics and the total debt ratio for capital structure. Research findings show that the more independent the directors are, the lower the cost of debt financing is, as they control the management team more strictly about debt financing than directors with less independence do. Additionally, the results reveal that the higher the percentage of managerial ownership, the higher the level of leverage and debt financing, whereas board size and board meetings have a negative relationship to capital structure. Further research showed that firm size, growth opportunities and corporate governance rating all had a positive significant impact on capital structure. The findings of this study suggest that the presence of proper corporate governance leads to better funding mechanisms as it ensures that the company is in a better position to obtain external funding.","author":[{"dropping-particle":"","family":"Thakolwiroj","given":"Chalisa","non-dropping-particle":"","parse-names":false,"suffix":""},{"dropping-particle":"","family":"Sithipolvanichgul","given":"Juthamon","non-dropping-particle":"","parse-names":false,"suffix":""}],"container-title":"Journal of Asian Finance, Economics and Business","id":"ITEM-1","issue":"2","issued":{"date-parts":[["2021"]]},"page":"861-872","title":"Board Characteristics and Capital Structure: Evidence from Thai Listed Companies","type":"article-journal","volume":"8"},"uris":["http://www.mendeley.com/documents/?uuid=194df0de-ee24-4258-b007-969ad53e3fee"]}],"mendeley":{"formattedCitation":"(Thakolwiroj &amp; Sithipolvanichgul, 2021)","plainTextFormattedCitation":"(Thakolwiroj &amp; Sithipolvanichgul, 2021)","previouslyFormattedCitation":"(Thakolwiroj &amp; Sithipolvanichgul, 2021)"},"properties":{"noteIndex":0},"schema":"https://github.com/citation-style-language/schema/raw/master/csl-citation.json"}</w:instrText>
      </w:r>
      <w:r w:rsidRPr="00A66953">
        <w:fldChar w:fldCharType="separate"/>
      </w:r>
      <w:r w:rsidRPr="00A66953">
        <w:rPr>
          <w:noProof/>
        </w:rPr>
        <w:t>(Thakolwiroj &amp; Sithipolvanichgul, 2021)</w:t>
      </w:r>
      <w:r w:rsidRPr="00A66953">
        <w:fldChar w:fldCharType="end"/>
      </w:r>
      <w:r w:rsidRPr="00A66953">
        <w:t>;</w:t>
      </w:r>
      <w:r w:rsidRPr="00A66953">
        <w:fldChar w:fldCharType="begin" w:fldLock="1"/>
      </w:r>
      <w:r w:rsidRPr="00A66953">
        <w:instrText>ADDIN CSL_CITATION {"citationItems":[{"id":"ITEM-1","itemData":{"DOI":"10.3390/su13116054","ISSN":"20711050","abstract":"The purpose of this study is to investigate the relationship between overconfident CEOs, voluntary disclosure of greenhouse gas emissions and firm value, and whether corporate (internal and external) governance affects this association. Using logistic regression and a firm-fixed effect model, I analyzed a sample of voluntary disclosing firms with the fiscal year in December that are listed in the Korean stock market for the period from 2011 to 2019, measuring corporate governance based on female representation within boards and industry-level competition. As a result, this study finds that, on average, CEO overconfidence is positively related to voluntary disclosure of greenhouse gas emissions. Moreover, in firms with more female representation on boards, the positive relationship between CEO overconfidence, voluntary disclosure of greenhouse gas emissions, and firm value is more pronounced, implying that women directors effectively monitor overconfident CEOs. Similarly, this positive relationship is also strengthened according to the degree of industry-level competition, which indicates that the external governance role of competition can alleviate CEO overconfidence. This study is meaningful as the first study to examine the effect of voluntary greenhouse gas (GHG) emissions disclosure on investors’ valuation in the Korean capital market, taking the characteristics of managers and governance structure into account.","author":[{"dropping-particle":"","family":"Lee","given":"Jaehong","non-dropping-particle":"","parse-names":false,"suffix":""}],"container-title":"Sustainability (Switzerland)","id":"ITEM-1","issue":"11","issued":{"date-parts":[["2021"]]},"title":"Ceo overconfidence and voluntary disclosure of greenhouse gas emissions: With a focus on the role of corporate governance","type":"article-journal","volume":"13"},"uris":["http://www.mendeley.com/documents/?uuid=fac9e600-ceec-48d8-b306-f66628b0ea9c"]}],"mendeley":{"formattedCitation":"(Lee, 2021)","plainTextFormattedCitation":"(Lee, 2021)","previouslyFormattedCitation":"(Lee, 2021)"},"properties":{"noteIndex":0},"schema":"https://github.com/citation-style-language/schema/raw/master/csl-citation.json"}</w:instrText>
      </w:r>
      <w:r w:rsidRPr="00A66953">
        <w:fldChar w:fldCharType="separate"/>
      </w:r>
      <w:r w:rsidRPr="00A66953">
        <w:rPr>
          <w:noProof/>
        </w:rPr>
        <w:t>(Lee, 2021)</w:t>
      </w:r>
      <w:r w:rsidRPr="00A66953">
        <w:fldChar w:fldCharType="end"/>
      </w:r>
      <w:r w:rsidRPr="00A66953">
        <w:t>;</w:t>
      </w:r>
      <w:r w:rsidRPr="00A66953">
        <w:fldChar w:fldCharType="begin" w:fldLock="1"/>
      </w:r>
      <w:r w:rsidRPr="00A66953">
        <w:instrText>ADDIN CSL_CITATION {"citationItems":[{"id":"ITEM-1","itemData":{"DOI":"10.5267/j.ac.2019.11.003","ISSN":"23697407","abstract":"The paper aims to examine the impact of human capital, capital structure choice and firm profitability of 48,673 Vietnamese construction firms in 2016. Measuring firm profitability by return on assets (ROA) or return on equity (ROE), the results demonstrated that using more debt in capital structure would positively increase the performance of the firm but this positive effect was increasingly declining. Moreover, evidence showed that human capital had a positive impact on the result of business activities. A larger size of a firm could positively boost firm performance. Regarding firm location, a firm locating in the metropolitan of Ho Chi Minh City had a higher level of performance than a firm locating in the metropolitan of Hanoi capital. Finally, operating status of the firm as well as the establishment of industrial park had insignificant impacts on firm profitability.","author":[{"dropping-particle":"","family":"Nguyen","given":"Van Chien","non-dropping-particle":"","parse-names":false,"suffix":""}],"container-title":"Accounting","id":"ITEM-1","issue":"2","issued":{"date-parts":[["2020"]]},"page":"127-136","title":"Human capital, capital structure choice and firm profitability in developing countries: An empirical study in Vietnam","type":"article-journal","volume":"6"},"uris":["http://www.mendeley.com/documents/?uuid=fba63748-7773-4789-bfec-19dbace091ba"]}],"mendeley":{"formattedCitation":"(Nguyen, 2020)","plainTextFormattedCitation":"(Nguyen, 2020)","previouslyFormattedCitation":"(Nguyen, 2020)"},"properties":{"noteIndex":0},"schema":"https://github.com/citation-style-language/schema/raw/master/csl-citation.json"}</w:instrText>
      </w:r>
      <w:r w:rsidRPr="00A66953">
        <w:fldChar w:fldCharType="separate"/>
      </w:r>
      <w:r w:rsidRPr="00A66953">
        <w:rPr>
          <w:noProof/>
        </w:rPr>
        <w:t>(Nguyen, 2020)</w:t>
      </w:r>
      <w:r w:rsidRPr="00A66953">
        <w:fldChar w:fldCharType="end"/>
      </w:r>
      <w:r w:rsidRPr="00A66953">
        <w:t>.</w:t>
      </w:r>
    </w:p>
    <w:p w:rsidR="00D54833" w:rsidRPr="00A66953" w:rsidRDefault="00D54833" w:rsidP="00D54833"/>
    <w:p w:rsidR="00D54833" w:rsidRPr="00A66953" w:rsidRDefault="00D54833" w:rsidP="00D54833">
      <w:pPr>
        <w:rPr>
          <w:b/>
          <w:bCs/>
        </w:rPr>
      </w:pPr>
      <w:r w:rsidRPr="00A66953">
        <w:rPr>
          <w:b/>
          <w:bCs/>
        </w:rPr>
        <w:t>2.7. Research Gap</w:t>
      </w:r>
    </w:p>
    <w:p w:rsidR="00D54833" w:rsidRPr="00A66953" w:rsidRDefault="00D54833" w:rsidP="00D54833">
      <w:r w:rsidRPr="00A66953">
        <w:t>Despite the growing body of literature exploring the determinants of the timeliness of financial reporting, notable limitations remain. Existing research has largely emphasized individual factors—such as company size, company age, and capital structure—without incorporating the role of financial performance as an intervening variable. Furthermore, most studies have focused on developed economies or large-cap firms, leaving a gap in understanding how these variables operate in the context of emerging markets like Indonesia, particularly within the food and beverage sector.</w:t>
      </w:r>
    </w:p>
    <w:p w:rsidR="00D54833" w:rsidRPr="00A66953" w:rsidRDefault="00D54833" w:rsidP="00D54833">
      <w:r w:rsidRPr="00A66953">
        <w:lastRenderedPageBreak/>
        <w:t>The food and beverage industry represents a critical sector with increasing relevance due to its substantial contribution to Indonesia's economic growth. However, numerous companies in this industry have exhibited delays in submitting audited financial reports, leading to sanctions from regulatory authorities such as the Indonesia Stock Exchange (IDX). These issues highlight a need to investigate the underlying factors influencing such delays.</w:t>
      </w:r>
    </w:p>
    <w:p w:rsidR="00D54833" w:rsidRPr="00A66953" w:rsidRDefault="00D54833" w:rsidP="00D54833">
      <w:r w:rsidRPr="00A66953">
        <w:t xml:space="preserve">Additionally, although financial performance is widely recognized as an important factor in corporate transparency and governance, its role as a mediating variable remains underexplored. By integrating financial performance into the framework, this study aims to fill the research gap and provide a more nuanced understanding of how organizational characteristics affect the timeliness of financial reporting </w:t>
      </w:r>
      <w:r w:rsidRPr="00A66953">
        <w:fldChar w:fldCharType="begin" w:fldLock="1"/>
      </w:r>
      <w:r w:rsidRPr="00A66953">
        <w:instrText>ADDIN CSL_CITATION {"citationItems":[{"id":"ITEM-1","itemData":{"DOI":"10.13106/jafeb.2021.vol8.no3.0351","ISSN":"22884645","abstract":"Digital technology has become a new economic and social force, reshaping traditional business models, strategies, structures, and processes. This is a challenge for human capital to develop continuously in this dynamic era; one of the solutions is digital entrepreneurship. Digital entrepreneurship focuses on creating new ventures and transforming existing businesses by developing novel digital technologies or novel usage. Further, digital technology has also enabled the growth of the sharing economy, linking owners and users, and disrupting the previous dualism of businesses and customers. This paper provides a novel contribution regarding the emerging concept of Digital Entrepreneurship. Based on a qualitative literature review and interview with university staff, lecturers, and students in four large public and private universities in West Java and DIY Province, an interpretative framework for Digital Entrepreneurship has been proposed, which comprises of the following components: motivation (the rationale for the adoption of digital technology for academic entrepreneurship), stakeholders (the stakeholders involved through digital technology to achieve the academic entrepreneurship goal), process (the processes of academic entrepreneurship supported by digital technologies), and business form (the emerging forms of digital academic entrepreneurship). This research also shows several alternative government policies to improve digital entrepreneurship in the academic environment.","author":[{"dropping-particle":"","family":"Muafi","given":"Muafi","non-dropping-particle":"","parse-names":false,"suffix":""},{"dropping-particle":"","family":"Syafri","given":"Wirman","non-dropping-particle":"","parse-names":false,"suffix":""},{"dropping-particle":"","family":"Prabowo","given":"Hadi","non-dropping-particle":"","parse-names":false,"suffix":""},{"dropping-particle":"","family":"Nur","given":"Sofyan Ashari","non-dropping-particle":"","parse-names":false,"suffix":""}],"container-title":"Journal of Asian Finance, Economics and Business","id":"ITEM-1","issue":"3","issued":{"date-parts":[["2021"]]},"page":"351-359","title":"Digital Entrepreneurship in Indonesia: A Human Capital Perspective","type":"article-journal","volume":"8"},"uris":["http://www.mendeley.com/documents/?uuid=e28f3452-d194-4803-a3a0-85003b33dfd8"]}],"mendeley":{"formattedCitation":"(Muafi et al., 2021)","plainTextFormattedCitation":"(Muafi et al., 2021)","previouslyFormattedCitation":"(Muafi et al., 2021)"},"properties":{"noteIndex":0},"schema":"https://github.com/citation-style-language/schema/raw/master/csl-citation.json"}</w:instrText>
      </w:r>
      <w:r w:rsidRPr="00A66953">
        <w:fldChar w:fldCharType="separate"/>
      </w:r>
      <w:r w:rsidRPr="00A66953">
        <w:rPr>
          <w:noProof/>
        </w:rPr>
        <w:t>(Muafi et al., 2021)</w:t>
      </w:r>
      <w:r w:rsidRPr="00A66953">
        <w:fldChar w:fldCharType="end"/>
      </w:r>
      <w:r w:rsidRPr="00A66953">
        <w:t>.</w:t>
      </w:r>
    </w:p>
    <w:p w:rsidR="00D54833" w:rsidRPr="00A66953" w:rsidRDefault="00D54833" w:rsidP="00D54833">
      <w:pPr>
        <w:rPr>
          <w:b/>
          <w:bCs/>
        </w:rPr>
      </w:pPr>
      <w:r w:rsidRPr="00A66953">
        <w:rPr>
          <w:b/>
          <w:bCs/>
        </w:rPr>
        <w:t>2.8. Hypotheses Development</w:t>
      </w:r>
    </w:p>
    <w:p w:rsidR="00D54833" w:rsidRPr="00A66953" w:rsidRDefault="00D54833" w:rsidP="00D54833">
      <w:r w:rsidRPr="00A66953">
        <w:t>Based on theoretical foundations and empirical findings from the literature review, the following hypotheses are proposed:</w:t>
      </w:r>
    </w:p>
    <w:p w:rsidR="00D54833" w:rsidRPr="00A66953" w:rsidRDefault="00D54833" w:rsidP="00D54833">
      <w:pPr>
        <w:numPr>
          <w:ilvl w:val="0"/>
          <w:numId w:val="1"/>
        </w:numPr>
      </w:pPr>
      <w:r w:rsidRPr="00A66953">
        <w:rPr>
          <w:b/>
          <w:bCs/>
        </w:rPr>
        <w:t>H1:</w:t>
      </w:r>
      <w:r w:rsidRPr="00A66953">
        <w:t xml:space="preserve"> Company size has a positive effect on the timeliness of financial reporting.</w:t>
      </w:r>
    </w:p>
    <w:p w:rsidR="00D54833" w:rsidRPr="00A66953" w:rsidRDefault="00D54833" w:rsidP="00D54833">
      <w:pPr>
        <w:numPr>
          <w:ilvl w:val="0"/>
          <w:numId w:val="1"/>
        </w:numPr>
      </w:pPr>
      <w:r w:rsidRPr="00A66953">
        <w:rPr>
          <w:b/>
          <w:bCs/>
        </w:rPr>
        <w:t>H2:</w:t>
      </w:r>
      <w:r w:rsidRPr="00A66953">
        <w:t xml:space="preserve"> Company age has a positive effect on the timeliness of financial reporting.</w:t>
      </w:r>
    </w:p>
    <w:p w:rsidR="00D54833" w:rsidRPr="00A66953" w:rsidRDefault="00D54833" w:rsidP="00D54833">
      <w:pPr>
        <w:numPr>
          <w:ilvl w:val="0"/>
          <w:numId w:val="1"/>
        </w:numPr>
      </w:pPr>
      <w:r w:rsidRPr="00A66953">
        <w:rPr>
          <w:b/>
          <w:bCs/>
        </w:rPr>
        <w:t>H3:</w:t>
      </w:r>
      <w:r w:rsidRPr="00A66953">
        <w:t xml:space="preserve"> Capital structure has a negative effect on the timeliness of financial reporting.</w:t>
      </w:r>
    </w:p>
    <w:p w:rsidR="00D54833" w:rsidRPr="00A66953" w:rsidRDefault="00D54833" w:rsidP="00D54833">
      <w:pPr>
        <w:numPr>
          <w:ilvl w:val="0"/>
          <w:numId w:val="1"/>
        </w:numPr>
      </w:pPr>
      <w:r w:rsidRPr="00A66953">
        <w:rPr>
          <w:b/>
          <w:bCs/>
        </w:rPr>
        <w:t>H4:</w:t>
      </w:r>
      <w:r w:rsidRPr="00A66953">
        <w:t xml:space="preserve"> Financial performance mediates the relationship between company size and the timeliness of financial reporting.</w:t>
      </w:r>
    </w:p>
    <w:p w:rsidR="00D54833" w:rsidRPr="00A66953" w:rsidRDefault="00D54833" w:rsidP="00D54833">
      <w:pPr>
        <w:numPr>
          <w:ilvl w:val="0"/>
          <w:numId w:val="1"/>
        </w:numPr>
      </w:pPr>
      <w:r w:rsidRPr="00A66953">
        <w:rPr>
          <w:b/>
          <w:bCs/>
        </w:rPr>
        <w:t>H5:</w:t>
      </w:r>
      <w:r w:rsidRPr="00A66953">
        <w:t xml:space="preserve"> Financial performance mediates the relationship between company age and the timeliness of financial reporting.</w:t>
      </w:r>
    </w:p>
    <w:p w:rsidR="00D54833" w:rsidRPr="00A66953" w:rsidRDefault="00D54833" w:rsidP="00D54833">
      <w:pPr>
        <w:numPr>
          <w:ilvl w:val="0"/>
          <w:numId w:val="1"/>
        </w:numPr>
      </w:pPr>
      <w:r w:rsidRPr="00A66953">
        <w:rPr>
          <w:b/>
          <w:bCs/>
        </w:rPr>
        <w:t>H6:</w:t>
      </w:r>
      <w:r w:rsidRPr="00A66953">
        <w:t xml:space="preserve"> Financial performance mediates the relationship between capital structure and the timeliness of financial reporting.</w:t>
      </w:r>
    </w:p>
    <w:p w:rsidR="00D54833" w:rsidRDefault="00D54833" w:rsidP="00D54833">
      <w:r w:rsidRPr="00A66953">
        <w:t>This study aims to provide empirical evidence to support or refute these hypotheses within the scope of food and beverage companies listed on the Indonesia Stock Exchange between 2019 and 2022.</w:t>
      </w:r>
    </w:p>
    <w:p w:rsidR="0050249E" w:rsidRPr="00A66953" w:rsidRDefault="0050249E" w:rsidP="00D54833"/>
    <w:p w:rsidR="00D54833" w:rsidRPr="0050249E" w:rsidRDefault="00D54833" w:rsidP="00D54833">
      <w:pPr>
        <w:rPr>
          <w:b/>
        </w:rPr>
      </w:pPr>
      <w:r w:rsidRPr="0050249E">
        <w:rPr>
          <w:b/>
        </w:rPr>
        <w:t>Fig 1- Diagram showing how company size, age, and capital structure affect financial performance and the timeliness of financial reports</w:t>
      </w:r>
    </w:p>
    <w:p w:rsidR="00D54833" w:rsidRPr="00A66953" w:rsidRDefault="00D54833" w:rsidP="00D54833">
      <w:r w:rsidRPr="00A66953">
        <w:rPr>
          <w:noProof/>
          <w:lang w:val="en-US"/>
        </w:rPr>
        <w:drawing>
          <wp:inline distT="0" distB="0" distL="0" distR="0" wp14:anchorId="31395F77" wp14:editId="01102124">
            <wp:extent cx="5212080" cy="2651125"/>
            <wp:effectExtent l="0" t="0" r="0" b="0"/>
            <wp:docPr id="295968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68587" name="Picture 2959685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2080" cy="2651125"/>
                    </a:xfrm>
                    <a:prstGeom prst="rect">
                      <a:avLst/>
                    </a:prstGeom>
                  </pic:spPr>
                </pic:pic>
              </a:graphicData>
            </a:graphic>
          </wp:inline>
        </w:drawing>
      </w:r>
    </w:p>
    <w:p w:rsidR="0050249E" w:rsidRDefault="0050249E" w:rsidP="00D54833"/>
    <w:p w:rsidR="00D54833" w:rsidRPr="00A66953" w:rsidRDefault="00D54833" w:rsidP="00D54833">
      <w:r w:rsidRPr="00A66953">
        <w:t>This study develops both direct and indirect hypotheses regarding the determinants of financial performance and the timeliness of financial reporting.</w:t>
      </w:r>
    </w:p>
    <w:p w:rsidR="00D54833" w:rsidRPr="00A66953" w:rsidRDefault="00D54833" w:rsidP="00D54833">
      <w:pPr>
        <w:numPr>
          <w:ilvl w:val="0"/>
          <w:numId w:val="2"/>
        </w:numPr>
      </w:pPr>
      <w:r w:rsidRPr="00A66953">
        <w:rPr>
          <w:b/>
          <w:bCs/>
        </w:rPr>
        <w:t>H1:</w:t>
      </w:r>
      <w:r w:rsidRPr="00A66953">
        <w:t xml:space="preserve"> Company size positively affects financial performance, as larger firms benefit from economies of scale and stronger financial capacity.</w:t>
      </w:r>
    </w:p>
    <w:p w:rsidR="00D54833" w:rsidRPr="00A66953" w:rsidRDefault="00D54833" w:rsidP="00D54833">
      <w:pPr>
        <w:numPr>
          <w:ilvl w:val="0"/>
          <w:numId w:val="2"/>
        </w:numPr>
      </w:pPr>
      <w:r w:rsidRPr="00A66953">
        <w:rPr>
          <w:b/>
          <w:bCs/>
        </w:rPr>
        <w:lastRenderedPageBreak/>
        <w:t>H2:</w:t>
      </w:r>
      <w:r w:rsidRPr="00A66953">
        <w:t xml:space="preserve"> Company age positively influences financial performance due to accumulated experience and stakeholder reputation.</w:t>
      </w:r>
    </w:p>
    <w:p w:rsidR="00D54833" w:rsidRPr="00A66953" w:rsidRDefault="00D54833" w:rsidP="00D54833">
      <w:pPr>
        <w:numPr>
          <w:ilvl w:val="0"/>
          <w:numId w:val="2"/>
        </w:numPr>
      </w:pPr>
      <w:r w:rsidRPr="00A66953">
        <w:rPr>
          <w:b/>
          <w:bCs/>
        </w:rPr>
        <w:t>H3:</w:t>
      </w:r>
      <w:r w:rsidRPr="00A66953">
        <w:t xml:space="preserve"> Capital structure positively impacts financial performance through optimal debt–equity composition.</w:t>
      </w:r>
    </w:p>
    <w:p w:rsidR="00D54833" w:rsidRPr="00A66953" w:rsidRDefault="00D54833" w:rsidP="00D54833">
      <w:pPr>
        <w:numPr>
          <w:ilvl w:val="0"/>
          <w:numId w:val="2"/>
        </w:numPr>
      </w:pPr>
      <w:r w:rsidRPr="00A66953">
        <w:rPr>
          <w:b/>
          <w:bCs/>
        </w:rPr>
        <w:t>H4:</w:t>
      </w:r>
      <w:r w:rsidRPr="00A66953">
        <w:t xml:space="preserve"> Company size affects the timeliness of financial reporting since larger firms have better resources and governance systems.</w:t>
      </w:r>
    </w:p>
    <w:p w:rsidR="00D54833" w:rsidRPr="00A66953" w:rsidRDefault="00D54833" w:rsidP="00D54833">
      <w:pPr>
        <w:numPr>
          <w:ilvl w:val="0"/>
          <w:numId w:val="2"/>
        </w:numPr>
      </w:pPr>
      <w:r w:rsidRPr="00A66953">
        <w:rPr>
          <w:b/>
          <w:bCs/>
        </w:rPr>
        <w:t>H5:</w:t>
      </w:r>
      <w:r w:rsidRPr="00A66953">
        <w:t xml:space="preserve"> Company age enhances financial performance, which in turn improves reporting timeliness.</w:t>
      </w:r>
    </w:p>
    <w:p w:rsidR="00D54833" w:rsidRPr="00A66953" w:rsidRDefault="00D54833" w:rsidP="00D54833">
      <w:pPr>
        <w:numPr>
          <w:ilvl w:val="0"/>
          <w:numId w:val="2"/>
        </w:numPr>
      </w:pPr>
      <w:r w:rsidRPr="00A66953">
        <w:rPr>
          <w:b/>
          <w:bCs/>
        </w:rPr>
        <w:t>H6:</w:t>
      </w:r>
      <w:r w:rsidRPr="00A66953">
        <w:t xml:space="preserve"> Capital structure positively affects the timeliness of financial reporting, as debt obligations encourage timely disclosure.</w:t>
      </w:r>
    </w:p>
    <w:p w:rsidR="00D54833" w:rsidRPr="00A66953" w:rsidRDefault="00D54833" w:rsidP="00D54833">
      <w:pPr>
        <w:numPr>
          <w:ilvl w:val="0"/>
          <w:numId w:val="2"/>
        </w:numPr>
      </w:pPr>
      <w:r w:rsidRPr="00A66953">
        <w:rPr>
          <w:b/>
          <w:bCs/>
        </w:rPr>
        <w:t>H7:</w:t>
      </w:r>
      <w:r w:rsidRPr="00A66953">
        <w:t xml:space="preserve"> Financial performance positively influences the timeliness of financial reporting by ensuring efficient reporting processes.</w:t>
      </w:r>
    </w:p>
    <w:p w:rsidR="00D54833" w:rsidRPr="00A66953" w:rsidRDefault="00D54833" w:rsidP="00D54833">
      <w:pPr>
        <w:numPr>
          <w:ilvl w:val="0"/>
          <w:numId w:val="2"/>
        </w:numPr>
      </w:pPr>
      <w:r w:rsidRPr="00A66953">
        <w:rPr>
          <w:b/>
          <w:bCs/>
        </w:rPr>
        <w:t>H8:</w:t>
      </w:r>
      <w:r w:rsidRPr="00A66953">
        <w:t xml:space="preserve"> Company size indirectly improves reporting timeliness through financial performance.</w:t>
      </w:r>
    </w:p>
    <w:p w:rsidR="00D54833" w:rsidRPr="00A66953" w:rsidRDefault="00D54833" w:rsidP="00D54833">
      <w:pPr>
        <w:numPr>
          <w:ilvl w:val="0"/>
          <w:numId w:val="2"/>
        </w:numPr>
      </w:pPr>
      <w:r w:rsidRPr="00A66953">
        <w:rPr>
          <w:b/>
          <w:bCs/>
        </w:rPr>
        <w:t>H9:</w:t>
      </w:r>
      <w:r w:rsidRPr="00A66953">
        <w:t xml:space="preserve"> Company age indirectly improves reporting timeliness through financial performance.</w:t>
      </w:r>
    </w:p>
    <w:p w:rsidR="00D54833" w:rsidRPr="00A66953" w:rsidRDefault="00D54833" w:rsidP="00D54833">
      <w:pPr>
        <w:numPr>
          <w:ilvl w:val="0"/>
          <w:numId w:val="2"/>
        </w:numPr>
      </w:pPr>
      <w:r w:rsidRPr="00A66953">
        <w:rPr>
          <w:b/>
          <w:bCs/>
        </w:rPr>
        <w:t>H10:</w:t>
      </w:r>
      <w:r w:rsidRPr="00A66953">
        <w:t xml:space="preserve"> Capital structure indirectly enhances reporting timeliness through financial performance.</w:t>
      </w:r>
    </w:p>
    <w:p w:rsidR="00D54833" w:rsidRPr="00A66953" w:rsidRDefault="00D54833" w:rsidP="00D54833">
      <w:pPr>
        <w:rPr>
          <w:lang w:val="en-US"/>
        </w:rPr>
      </w:pPr>
    </w:p>
    <w:p w:rsidR="00D54833" w:rsidRPr="00A66953" w:rsidRDefault="00D54833" w:rsidP="00D54833">
      <w:pPr>
        <w:rPr>
          <w:b/>
          <w:bCs/>
        </w:rPr>
      </w:pPr>
      <w:r w:rsidRPr="00A66953">
        <w:rPr>
          <w:b/>
          <w:bCs/>
        </w:rPr>
        <w:t>Research Method Summary</w:t>
      </w:r>
    </w:p>
    <w:p w:rsidR="00D54833" w:rsidRPr="00A66953" w:rsidRDefault="00D54833" w:rsidP="00D54833">
      <w:r w:rsidRPr="00A66953">
        <w:t xml:space="preserve">This study employs a </w:t>
      </w:r>
      <w:r w:rsidRPr="00A66953">
        <w:rPr>
          <w:b/>
          <w:bCs/>
        </w:rPr>
        <w:t>quantitative research method</w:t>
      </w:r>
      <w:r w:rsidRPr="00A66953">
        <w:t xml:space="preserve"> with an </w:t>
      </w:r>
      <w:r w:rsidRPr="00A66953">
        <w:rPr>
          <w:b/>
          <w:bCs/>
        </w:rPr>
        <w:t>associative strategy</w:t>
      </w:r>
      <w:r w:rsidRPr="00A66953">
        <w:t xml:space="preserve"> to examine the influence of company size, company age, and capital structure on financial performance and the timeliness of financial reporting in food and beverage companies listed on the Indonesia Stock Exchange (IDX) during 2019–2022, using SPSS for analysis.</w:t>
      </w:r>
    </w:p>
    <w:p w:rsidR="00D54833" w:rsidRPr="00A66953" w:rsidRDefault="00D54833" w:rsidP="00D54833">
      <w:r w:rsidRPr="00A66953">
        <w:t xml:space="preserve">The </w:t>
      </w:r>
      <w:r w:rsidRPr="00A66953">
        <w:rPr>
          <w:b/>
          <w:bCs/>
        </w:rPr>
        <w:t>population</w:t>
      </w:r>
      <w:r w:rsidRPr="00A66953">
        <w:t xml:space="preserve"> consists of 26 companies, and based on purposive sampling criteria, </w:t>
      </w:r>
      <w:r w:rsidRPr="00A66953">
        <w:rPr>
          <w:b/>
          <w:bCs/>
        </w:rPr>
        <w:t>24 companies (96 observations)</w:t>
      </w:r>
      <w:r w:rsidRPr="00A66953">
        <w:t xml:space="preserve"> were selected. Data were collected through </w:t>
      </w:r>
      <w:r w:rsidRPr="00A66953">
        <w:rPr>
          <w:b/>
          <w:bCs/>
        </w:rPr>
        <w:t>documentation of secondary sources</w:t>
      </w:r>
      <w:r w:rsidRPr="00A66953">
        <w:t>, mainly annual reports published on IDX and official company websites.</w:t>
      </w:r>
    </w:p>
    <w:p w:rsidR="00D54833" w:rsidRPr="00A66953" w:rsidRDefault="00D54833" w:rsidP="00D54833">
      <w:r w:rsidRPr="00A66953">
        <w:t>The variables include:</w:t>
      </w:r>
    </w:p>
    <w:p w:rsidR="00D54833" w:rsidRPr="00A66953" w:rsidRDefault="00D54833" w:rsidP="00D54833">
      <w:pPr>
        <w:numPr>
          <w:ilvl w:val="0"/>
          <w:numId w:val="3"/>
        </w:numPr>
      </w:pPr>
      <w:r w:rsidRPr="00A66953">
        <w:rPr>
          <w:b/>
          <w:bCs/>
        </w:rPr>
        <w:t>Independent variables</w:t>
      </w:r>
      <w:r w:rsidRPr="00A66953">
        <w:t>: company size (CZ), company age (CA), and capital structure (CS).</w:t>
      </w:r>
    </w:p>
    <w:p w:rsidR="00D54833" w:rsidRPr="00A66953" w:rsidRDefault="00D54833" w:rsidP="00D54833">
      <w:pPr>
        <w:numPr>
          <w:ilvl w:val="0"/>
          <w:numId w:val="3"/>
        </w:numPr>
      </w:pPr>
      <w:r w:rsidRPr="00A66953">
        <w:rPr>
          <w:b/>
          <w:bCs/>
        </w:rPr>
        <w:t>Intervening variable</w:t>
      </w:r>
      <w:r w:rsidRPr="00A66953">
        <w:t>: financial performance (FP), measured by return on assets (ROA).</w:t>
      </w:r>
    </w:p>
    <w:p w:rsidR="00D54833" w:rsidRPr="00A66953" w:rsidRDefault="00D54833" w:rsidP="00D54833">
      <w:pPr>
        <w:numPr>
          <w:ilvl w:val="0"/>
          <w:numId w:val="3"/>
        </w:numPr>
      </w:pPr>
      <w:r w:rsidRPr="00A66953">
        <w:rPr>
          <w:b/>
          <w:bCs/>
        </w:rPr>
        <w:t>Dependent variable</w:t>
      </w:r>
      <w:r w:rsidRPr="00A66953">
        <w:t>: timeliness of financial reporting (TF).</w:t>
      </w:r>
    </w:p>
    <w:p w:rsidR="00D54833" w:rsidRPr="00A66953" w:rsidRDefault="00D54833" w:rsidP="00D54833">
      <w:r w:rsidRPr="00A66953">
        <w:t xml:space="preserve">Data analysis was conducted using </w:t>
      </w:r>
      <w:r w:rsidRPr="00A66953">
        <w:rPr>
          <w:b/>
          <w:bCs/>
        </w:rPr>
        <w:t>path analysis</w:t>
      </w:r>
      <w:r w:rsidRPr="00A66953">
        <w:t xml:space="preserve"> with SPSS, preceded by descriptive statistics and classical assumption tests (normality, multicollinearity, autocorrelation, heteroskedasticity). Hypothesis testing involved the </w:t>
      </w:r>
      <w:r w:rsidRPr="00A66953">
        <w:rPr>
          <w:b/>
          <w:bCs/>
        </w:rPr>
        <w:t>F-test, t-test, and coefficient of determination (R²)</w:t>
      </w:r>
      <w:r w:rsidRPr="00A66953">
        <w:t xml:space="preserve"> to evaluate model fit and the significance of individual parameters.</w:t>
      </w:r>
    </w:p>
    <w:p w:rsidR="00D54833" w:rsidRPr="00A66953" w:rsidRDefault="00D54833" w:rsidP="00D54833">
      <w:pPr>
        <w:rPr>
          <w:lang w:val="en-US"/>
        </w:rPr>
      </w:pPr>
    </w:p>
    <w:p w:rsidR="00D54833" w:rsidRPr="00522C34" w:rsidRDefault="00D54833" w:rsidP="00D54833">
      <w:pPr>
        <w:rPr>
          <w:b/>
          <w:sz w:val="36"/>
          <w:szCs w:val="36"/>
          <w:lang w:val="en-US"/>
        </w:rPr>
      </w:pPr>
      <w:r w:rsidRPr="00522C34">
        <w:rPr>
          <w:b/>
          <w:sz w:val="36"/>
          <w:szCs w:val="36"/>
          <w:lang w:val="en-US"/>
        </w:rPr>
        <w:t xml:space="preserve">3. </w:t>
      </w:r>
      <w:r w:rsidR="00522C34" w:rsidRPr="00522C34">
        <w:rPr>
          <w:b/>
          <w:sz w:val="36"/>
          <w:szCs w:val="36"/>
          <w:lang w:val="en-US"/>
        </w:rPr>
        <w:t xml:space="preserve">Results </w:t>
      </w:r>
    </w:p>
    <w:p w:rsidR="00522C34" w:rsidRPr="00A66953" w:rsidRDefault="00522C34" w:rsidP="00D54833">
      <w:pPr>
        <w:rPr>
          <w:b/>
          <w:lang w:val="en-US"/>
        </w:rPr>
      </w:pPr>
    </w:p>
    <w:p w:rsidR="00D54833" w:rsidRPr="00A66953" w:rsidRDefault="00D54833" w:rsidP="00D54833">
      <w:r w:rsidRPr="00A66953">
        <w:t>This chapter presents the empirical findings of the study examining the influence of company size, company age, and capital structure on financial performance and timeliness of financial reporting, with financial performance serving as a mediating variable. The analysis was conducted using path analysis with SPSS, supported by descriptive statistics and classical assumption tests.</w:t>
      </w:r>
    </w:p>
    <w:p w:rsidR="00D54833" w:rsidRPr="00A66953" w:rsidRDefault="00D54833" w:rsidP="00D54833">
      <w:r w:rsidRPr="00A66953">
        <w:rPr>
          <w:b/>
          <w:bCs/>
        </w:rPr>
        <w:t>Descriptive Statistics</w:t>
      </w:r>
    </w:p>
    <w:p w:rsidR="00D54833" w:rsidRPr="00A66953" w:rsidRDefault="00D54833" w:rsidP="00D54833">
      <w:r w:rsidRPr="00A66953">
        <w:t xml:space="preserve">The descriptive analysis indicated variations in company size, age, capital structure, financial performance, and timeliness of financial reporting among the sampled food and beverage companies listed on the Indonesia Stock Exchange (2019–2022). Larger and older firms generally demonstrated stronger financial performance and more timely reporting, while firms with higher leverage showed mixed outcomes </w:t>
      </w:r>
      <w:r w:rsidRPr="00A66953">
        <w:fldChar w:fldCharType="begin" w:fldLock="1"/>
      </w:r>
      <w:r w:rsidRPr="00A66953">
        <w:instrText>ADDIN CSL_CITATION {"citationItems":[{"id":"ITEM-1","itemData":{"DOI":"10.1108/13639510610711583","ISSN":"1363951X","abstract":"Purpose - Studies of police organizations typically involve examining predictors consistent with structural contingency theory while comparatively fewer have examined the applicability of institutional theory. The purpose of the current study is to examine the influence of institutional factors on the elaboration of organizational structure, specifically the incorporation of a crime analysis unit into a police organization's structure. Design/methodology/ approach - Data were obtained using a 2002 mail survey of law enforcement agencies focusing on the crime analysis function and environmental factors influencing the organization of that function. Additional information complementing the survey data was obtained through telephone interviews with representatives from 12 of the surveyed departments. Findings - Multivariate results show that, consistent with contingency theory, size is an important predictor of structural elaboration. Analyses and interview responses suggest that institutional factors, particularly accreditation standards, may play some role in shaping organizational structures. Research limitations/implications - The survey was returned by 160 agencies for a response rate of 56 percent but analyses were based on relatively small samples of 67-77 agencies. Telephone interviews were conducted using a purposive, non-probability sampling method. Practical implications - The results of this exploratory study provide insight into factors contributing to the adoption of structures and strategies in policing. Originality/value - The research is one of only a small number of studies in policing to explicitly test propositions derived from institutional theory, particularly the concept of institutional isomorphism. ©Emerald Group Publishing Limited.","author":[{"dropping-particle":"","family":"Giblin","given":"Matthew J","non-dropping-particle":"","parse-names":false,"suffix":""}],"container-title":"Policing","id":"ITEM-1","issue":"4","issued":{"date-parts":[["2006"]]},"page":"643-664","title":"Structural elaboration and institutional isomorphism: The case of crime analysis units","type":"article-journal","volume":"29"},"uris":["http://www.mendeley.com/documents/?uuid=0efeb027-3cad-4951-ad31-b30fb7ef7a0f"]}],"mendeley":{"formattedCitation":"(Giblin, 2006)","plainTextFormattedCitation":"(Giblin, 2006)","previouslyFormattedCitation":"(Giblin, 2006)"},"properties":{"noteIndex":0},"schema":"https://github.com/citation-style-language/schema/raw/master/csl-citation.json"}</w:instrText>
      </w:r>
      <w:r w:rsidRPr="00A66953">
        <w:fldChar w:fldCharType="separate"/>
      </w:r>
      <w:r w:rsidRPr="00A66953">
        <w:rPr>
          <w:noProof/>
        </w:rPr>
        <w:t>(Giblin, 2006)</w:t>
      </w:r>
      <w:r w:rsidRPr="00A66953">
        <w:fldChar w:fldCharType="end"/>
      </w:r>
      <w:r w:rsidRPr="00A66953">
        <w:t>.</w:t>
      </w:r>
    </w:p>
    <w:p w:rsidR="00522C34" w:rsidRDefault="00522C34" w:rsidP="00D54833">
      <w:pPr>
        <w:rPr>
          <w:b/>
          <w:lang w:val="id-ID"/>
        </w:rPr>
      </w:pPr>
    </w:p>
    <w:p w:rsidR="00522C34" w:rsidRDefault="00522C34" w:rsidP="00D54833">
      <w:pPr>
        <w:rPr>
          <w:b/>
          <w:lang w:val="id-ID"/>
        </w:rPr>
      </w:pPr>
    </w:p>
    <w:p w:rsidR="00522C34" w:rsidRDefault="00522C34" w:rsidP="00D54833">
      <w:pPr>
        <w:rPr>
          <w:b/>
          <w:lang w:val="id-ID"/>
        </w:rPr>
      </w:pPr>
    </w:p>
    <w:p w:rsidR="00D54833" w:rsidRDefault="00D54833" w:rsidP="00D54833">
      <w:pPr>
        <w:rPr>
          <w:b/>
          <w:bCs/>
          <w:i/>
          <w:lang w:val="en-US"/>
        </w:rPr>
      </w:pPr>
      <w:r w:rsidRPr="00A66953">
        <w:rPr>
          <w:b/>
          <w:lang w:val="id-ID"/>
        </w:rPr>
        <w:lastRenderedPageBreak/>
        <w:t>Tab</w:t>
      </w:r>
      <w:r w:rsidRPr="00A66953">
        <w:rPr>
          <w:b/>
          <w:lang w:val="en-US"/>
        </w:rPr>
        <w:t>le 1</w:t>
      </w:r>
      <w:r w:rsidR="00522C34">
        <w:rPr>
          <w:b/>
          <w:lang w:val="en-US"/>
        </w:rPr>
        <w:t xml:space="preserve"> </w:t>
      </w:r>
      <w:r w:rsidRPr="00A66953">
        <w:rPr>
          <w:b/>
          <w:bCs/>
          <w:i/>
          <w:lang w:val="en-US"/>
        </w:rPr>
        <w:t>Descriptive Statistics</w:t>
      </w:r>
    </w:p>
    <w:p w:rsidR="00522C34" w:rsidRPr="00522C34" w:rsidRDefault="00522C34" w:rsidP="00D54833">
      <w:pPr>
        <w:rPr>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9"/>
        <w:gridCol w:w="254"/>
        <w:gridCol w:w="961"/>
        <w:gridCol w:w="997"/>
        <w:gridCol w:w="679"/>
        <w:gridCol w:w="1368"/>
      </w:tblGrid>
      <w:tr w:rsidR="00D54833" w:rsidRPr="00A66953" w:rsidTr="00097052">
        <w:trPr>
          <w:cantSplit/>
          <w:jc w:val="center"/>
        </w:trPr>
        <w:tc>
          <w:tcPr>
            <w:tcW w:w="0" w:type="auto"/>
            <w:gridSpan w:val="6"/>
            <w:vAlign w:val="center"/>
          </w:tcPr>
          <w:p w:rsidR="00D54833" w:rsidRPr="00A66953" w:rsidRDefault="00D54833" w:rsidP="00D54833">
            <w:pPr>
              <w:rPr>
                <w:lang w:val="en-US"/>
              </w:rPr>
            </w:pPr>
            <w:r w:rsidRPr="00A66953">
              <w:rPr>
                <w:lang w:val="en-US"/>
              </w:rPr>
              <w:t>Descriptive Statistics</w:t>
            </w:r>
          </w:p>
        </w:tc>
      </w:tr>
      <w:tr w:rsidR="00D54833" w:rsidRPr="00A66953" w:rsidTr="00097052">
        <w:trPr>
          <w:cantSplit/>
          <w:jc w:val="center"/>
        </w:trPr>
        <w:tc>
          <w:tcPr>
            <w:tcW w:w="0" w:type="auto"/>
            <w:vAlign w:val="bottom"/>
          </w:tcPr>
          <w:p w:rsidR="00D54833" w:rsidRPr="00A66953" w:rsidRDefault="00D54833" w:rsidP="00D54833">
            <w:pPr>
              <w:rPr>
                <w:lang w:val="en-US"/>
              </w:rPr>
            </w:pPr>
          </w:p>
        </w:tc>
        <w:tc>
          <w:tcPr>
            <w:tcW w:w="0" w:type="auto"/>
            <w:vAlign w:val="bottom"/>
          </w:tcPr>
          <w:p w:rsidR="00D54833" w:rsidRPr="00A66953" w:rsidRDefault="00D54833" w:rsidP="00D54833">
            <w:pPr>
              <w:rPr>
                <w:lang w:val="en-US"/>
              </w:rPr>
            </w:pPr>
            <w:r w:rsidRPr="00A66953">
              <w:rPr>
                <w:lang w:val="en-US"/>
              </w:rPr>
              <w:t>N</w:t>
            </w:r>
          </w:p>
        </w:tc>
        <w:tc>
          <w:tcPr>
            <w:tcW w:w="0" w:type="auto"/>
            <w:vAlign w:val="bottom"/>
          </w:tcPr>
          <w:p w:rsidR="00D54833" w:rsidRPr="00A66953" w:rsidRDefault="00D54833" w:rsidP="00D54833">
            <w:pPr>
              <w:rPr>
                <w:lang w:val="en-US"/>
              </w:rPr>
            </w:pPr>
            <w:r w:rsidRPr="00A66953">
              <w:rPr>
                <w:lang w:val="en-US"/>
              </w:rPr>
              <w:t>Minimum</w:t>
            </w:r>
          </w:p>
        </w:tc>
        <w:tc>
          <w:tcPr>
            <w:tcW w:w="0" w:type="auto"/>
            <w:vAlign w:val="bottom"/>
          </w:tcPr>
          <w:p w:rsidR="00D54833" w:rsidRPr="00A66953" w:rsidRDefault="00D54833" w:rsidP="00D54833">
            <w:pPr>
              <w:rPr>
                <w:lang w:val="en-US"/>
              </w:rPr>
            </w:pPr>
            <w:r w:rsidRPr="00A66953">
              <w:rPr>
                <w:lang w:val="en-US"/>
              </w:rPr>
              <w:t>Maximum</w:t>
            </w:r>
          </w:p>
        </w:tc>
        <w:tc>
          <w:tcPr>
            <w:tcW w:w="0" w:type="auto"/>
            <w:vAlign w:val="bottom"/>
          </w:tcPr>
          <w:p w:rsidR="00D54833" w:rsidRPr="00A66953" w:rsidRDefault="00D54833" w:rsidP="00D54833">
            <w:pPr>
              <w:rPr>
                <w:lang w:val="en-US"/>
              </w:rPr>
            </w:pPr>
            <w:r w:rsidRPr="00A66953">
              <w:rPr>
                <w:lang w:val="en-US"/>
              </w:rPr>
              <w:t>Mean</w:t>
            </w:r>
          </w:p>
        </w:tc>
        <w:tc>
          <w:tcPr>
            <w:tcW w:w="0" w:type="auto"/>
            <w:vAlign w:val="bottom"/>
          </w:tcPr>
          <w:p w:rsidR="00D54833" w:rsidRPr="00A66953" w:rsidRDefault="00D54833" w:rsidP="00D54833">
            <w:pPr>
              <w:rPr>
                <w:lang w:val="en-US"/>
              </w:rPr>
            </w:pPr>
            <w:r w:rsidRPr="00A66953">
              <w:rPr>
                <w:lang w:val="en-US"/>
              </w:rPr>
              <w:t>Std. Deviation</w:t>
            </w:r>
          </w:p>
        </w:tc>
      </w:tr>
      <w:tr w:rsidR="00D54833" w:rsidRPr="00A66953" w:rsidTr="00097052">
        <w:trPr>
          <w:cantSplit/>
          <w:jc w:val="center"/>
        </w:trPr>
        <w:tc>
          <w:tcPr>
            <w:tcW w:w="0" w:type="auto"/>
          </w:tcPr>
          <w:p w:rsidR="00D54833" w:rsidRPr="00A66953" w:rsidRDefault="00D54833" w:rsidP="00D54833">
            <w:pPr>
              <w:rPr>
                <w:lang w:val="en-US"/>
              </w:rPr>
            </w:pPr>
            <w:r w:rsidRPr="00A66953">
              <w:rPr>
                <w:lang w:val="en-US"/>
              </w:rPr>
              <w:t>Company Size</w:t>
            </w:r>
          </w:p>
        </w:tc>
        <w:tc>
          <w:tcPr>
            <w:tcW w:w="0" w:type="auto"/>
          </w:tcPr>
          <w:p w:rsidR="00D54833" w:rsidRPr="00A66953" w:rsidRDefault="00D54833" w:rsidP="00D54833">
            <w:pPr>
              <w:rPr>
                <w:lang w:val="en-US"/>
              </w:rPr>
            </w:pPr>
            <w:r w:rsidRPr="00A66953">
              <w:rPr>
                <w:lang w:val="en-US"/>
              </w:rPr>
              <w:t>96</w:t>
            </w:r>
          </w:p>
        </w:tc>
        <w:tc>
          <w:tcPr>
            <w:tcW w:w="0" w:type="auto"/>
          </w:tcPr>
          <w:p w:rsidR="00D54833" w:rsidRPr="00A66953" w:rsidRDefault="00D54833" w:rsidP="00D54833">
            <w:pPr>
              <w:rPr>
                <w:lang w:val="en-US"/>
              </w:rPr>
            </w:pPr>
            <w:r w:rsidRPr="00A66953">
              <w:rPr>
                <w:lang w:val="en-US"/>
              </w:rPr>
              <w:t>25,310</w:t>
            </w:r>
          </w:p>
        </w:tc>
        <w:tc>
          <w:tcPr>
            <w:tcW w:w="0" w:type="auto"/>
          </w:tcPr>
          <w:p w:rsidR="00D54833" w:rsidRPr="00A66953" w:rsidRDefault="00D54833" w:rsidP="00D54833">
            <w:pPr>
              <w:rPr>
                <w:lang w:val="en-US"/>
              </w:rPr>
            </w:pPr>
            <w:r w:rsidRPr="00A66953">
              <w:rPr>
                <w:lang w:val="en-US"/>
              </w:rPr>
              <w:t>32,820</w:t>
            </w:r>
          </w:p>
        </w:tc>
        <w:tc>
          <w:tcPr>
            <w:tcW w:w="0" w:type="auto"/>
          </w:tcPr>
          <w:p w:rsidR="00D54833" w:rsidRPr="00A66953" w:rsidRDefault="00D54833" w:rsidP="00D54833">
            <w:pPr>
              <w:rPr>
                <w:lang w:val="en-US"/>
              </w:rPr>
            </w:pPr>
            <w:r w:rsidRPr="00A66953">
              <w:rPr>
                <w:lang w:val="en-US"/>
              </w:rPr>
              <w:t>28,227</w:t>
            </w:r>
          </w:p>
        </w:tc>
        <w:tc>
          <w:tcPr>
            <w:tcW w:w="0" w:type="auto"/>
          </w:tcPr>
          <w:p w:rsidR="00D54833" w:rsidRPr="00A66953" w:rsidRDefault="00D54833" w:rsidP="00D54833">
            <w:pPr>
              <w:rPr>
                <w:lang w:val="en-US"/>
              </w:rPr>
            </w:pPr>
            <w:r w:rsidRPr="00A66953">
              <w:rPr>
                <w:lang w:val="en-US"/>
              </w:rPr>
              <w:t>1,746</w:t>
            </w:r>
          </w:p>
        </w:tc>
      </w:tr>
      <w:tr w:rsidR="00D54833" w:rsidRPr="00A66953" w:rsidTr="00097052">
        <w:trPr>
          <w:cantSplit/>
          <w:jc w:val="center"/>
        </w:trPr>
        <w:tc>
          <w:tcPr>
            <w:tcW w:w="0" w:type="auto"/>
          </w:tcPr>
          <w:p w:rsidR="00D54833" w:rsidRPr="00A66953" w:rsidRDefault="00D54833" w:rsidP="00D54833">
            <w:pPr>
              <w:rPr>
                <w:lang w:val="en-US"/>
              </w:rPr>
            </w:pPr>
            <w:r w:rsidRPr="00A66953">
              <w:rPr>
                <w:lang w:val="en-US"/>
              </w:rPr>
              <w:t>Company Age</w:t>
            </w:r>
          </w:p>
        </w:tc>
        <w:tc>
          <w:tcPr>
            <w:tcW w:w="0" w:type="auto"/>
          </w:tcPr>
          <w:p w:rsidR="00D54833" w:rsidRPr="00A66953" w:rsidRDefault="00D54833" w:rsidP="00D54833">
            <w:pPr>
              <w:rPr>
                <w:lang w:val="en-US"/>
              </w:rPr>
            </w:pPr>
            <w:r w:rsidRPr="00A66953">
              <w:rPr>
                <w:lang w:val="en-US"/>
              </w:rPr>
              <w:t>96</w:t>
            </w:r>
          </w:p>
        </w:tc>
        <w:tc>
          <w:tcPr>
            <w:tcW w:w="0" w:type="auto"/>
          </w:tcPr>
          <w:p w:rsidR="00D54833" w:rsidRPr="00A66953" w:rsidRDefault="00D54833" w:rsidP="00D54833">
            <w:pPr>
              <w:rPr>
                <w:lang w:val="en-US"/>
              </w:rPr>
            </w:pPr>
            <w:r w:rsidRPr="00A66953">
              <w:rPr>
                <w:lang w:val="en-US"/>
              </w:rPr>
              <w:t>4,000</w:t>
            </w:r>
          </w:p>
        </w:tc>
        <w:tc>
          <w:tcPr>
            <w:tcW w:w="0" w:type="auto"/>
          </w:tcPr>
          <w:p w:rsidR="00D54833" w:rsidRPr="00A66953" w:rsidRDefault="00D54833" w:rsidP="00D54833">
            <w:pPr>
              <w:rPr>
                <w:lang w:val="en-US"/>
              </w:rPr>
            </w:pPr>
            <w:r w:rsidRPr="00A66953">
              <w:rPr>
                <w:lang w:val="en-US"/>
              </w:rPr>
              <w:t>92,000</w:t>
            </w:r>
          </w:p>
        </w:tc>
        <w:tc>
          <w:tcPr>
            <w:tcW w:w="0" w:type="auto"/>
          </w:tcPr>
          <w:p w:rsidR="00D54833" w:rsidRPr="00A66953" w:rsidRDefault="00D54833" w:rsidP="00D54833">
            <w:pPr>
              <w:rPr>
                <w:lang w:val="en-US"/>
              </w:rPr>
            </w:pPr>
            <w:r w:rsidRPr="00A66953">
              <w:rPr>
                <w:lang w:val="en-US"/>
              </w:rPr>
              <w:t>29,291</w:t>
            </w:r>
          </w:p>
        </w:tc>
        <w:tc>
          <w:tcPr>
            <w:tcW w:w="0" w:type="auto"/>
          </w:tcPr>
          <w:p w:rsidR="00D54833" w:rsidRPr="00A66953" w:rsidRDefault="00D54833" w:rsidP="00D54833">
            <w:pPr>
              <w:rPr>
                <w:lang w:val="en-US"/>
              </w:rPr>
            </w:pPr>
            <w:r w:rsidRPr="00A66953">
              <w:rPr>
                <w:lang w:val="en-US"/>
              </w:rPr>
              <w:t>18,660</w:t>
            </w:r>
          </w:p>
        </w:tc>
      </w:tr>
      <w:tr w:rsidR="00D54833" w:rsidRPr="00A66953" w:rsidTr="00097052">
        <w:trPr>
          <w:cantSplit/>
          <w:jc w:val="center"/>
        </w:trPr>
        <w:tc>
          <w:tcPr>
            <w:tcW w:w="0" w:type="auto"/>
          </w:tcPr>
          <w:p w:rsidR="00D54833" w:rsidRPr="00A66953" w:rsidRDefault="00D54833" w:rsidP="00D54833">
            <w:pPr>
              <w:rPr>
                <w:lang w:val="en-US"/>
              </w:rPr>
            </w:pPr>
            <w:r w:rsidRPr="00A66953">
              <w:rPr>
                <w:lang w:val="en-US"/>
              </w:rPr>
              <w:t>Capital Structure</w:t>
            </w:r>
          </w:p>
        </w:tc>
        <w:tc>
          <w:tcPr>
            <w:tcW w:w="0" w:type="auto"/>
          </w:tcPr>
          <w:p w:rsidR="00D54833" w:rsidRPr="00A66953" w:rsidRDefault="00D54833" w:rsidP="00D54833">
            <w:pPr>
              <w:rPr>
                <w:lang w:val="en-US"/>
              </w:rPr>
            </w:pPr>
            <w:r w:rsidRPr="00A66953">
              <w:rPr>
                <w:lang w:val="en-US"/>
              </w:rPr>
              <w:t>96</w:t>
            </w:r>
          </w:p>
        </w:tc>
        <w:tc>
          <w:tcPr>
            <w:tcW w:w="0" w:type="auto"/>
          </w:tcPr>
          <w:p w:rsidR="00D54833" w:rsidRPr="00A66953" w:rsidRDefault="00D54833" w:rsidP="00D54833">
            <w:pPr>
              <w:rPr>
                <w:lang w:val="en-US"/>
              </w:rPr>
            </w:pPr>
            <w:r w:rsidRPr="00A66953">
              <w:rPr>
                <w:lang w:val="en-US"/>
              </w:rPr>
              <w:t>0,053</w:t>
            </w:r>
          </w:p>
        </w:tc>
        <w:tc>
          <w:tcPr>
            <w:tcW w:w="0" w:type="auto"/>
          </w:tcPr>
          <w:p w:rsidR="00D54833" w:rsidRPr="00A66953" w:rsidRDefault="00D54833" w:rsidP="00D54833">
            <w:pPr>
              <w:rPr>
                <w:lang w:val="en-US"/>
              </w:rPr>
            </w:pPr>
            <w:r w:rsidRPr="00A66953">
              <w:rPr>
                <w:lang w:val="en-US"/>
              </w:rPr>
              <w:t>2,899</w:t>
            </w:r>
          </w:p>
        </w:tc>
        <w:tc>
          <w:tcPr>
            <w:tcW w:w="0" w:type="auto"/>
          </w:tcPr>
          <w:p w:rsidR="00D54833" w:rsidRPr="00A66953" w:rsidRDefault="00D54833" w:rsidP="00D54833">
            <w:pPr>
              <w:rPr>
                <w:lang w:val="en-US"/>
              </w:rPr>
            </w:pPr>
            <w:r w:rsidRPr="00A66953">
              <w:rPr>
                <w:lang w:val="en-US"/>
              </w:rPr>
              <w:t>0,479</w:t>
            </w:r>
          </w:p>
        </w:tc>
        <w:tc>
          <w:tcPr>
            <w:tcW w:w="0" w:type="auto"/>
          </w:tcPr>
          <w:p w:rsidR="00D54833" w:rsidRPr="00A66953" w:rsidRDefault="00D54833" w:rsidP="00D54833">
            <w:pPr>
              <w:rPr>
                <w:lang w:val="en-US"/>
              </w:rPr>
            </w:pPr>
            <w:r w:rsidRPr="00A66953">
              <w:rPr>
                <w:lang w:val="en-US"/>
              </w:rPr>
              <w:t>0,347</w:t>
            </w:r>
          </w:p>
        </w:tc>
      </w:tr>
      <w:tr w:rsidR="00D54833" w:rsidRPr="00A66953" w:rsidTr="00097052">
        <w:trPr>
          <w:cantSplit/>
          <w:jc w:val="center"/>
        </w:trPr>
        <w:tc>
          <w:tcPr>
            <w:tcW w:w="0" w:type="auto"/>
          </w:tcPr>
          <w:p w:rsidR="00D54833" w:rsidRPr="00A66953" w:rsidRDefault="00D54833" w:rsidP="00D54833">
            <w:pPr>
              <w:rPr>
                <w:lang w:val="en-US"/>
              </w:rPr>
            </w:pPr>
            <w:r w:rsidRPr="00A66953">
              <w:rPr>
                <w:lang w:val="en-US"/>
              </w:rPr>
              <w:t>Financial Performance</w:t>
            </w:r>
          </w:p>
        </w:tc>
        <w:tc>
          <w:tcPr>
            <w:tcW w:w="0" w:type="auto"/>
          </w:tcPr>
          <w:p w:rsidR="00D54833" w:rsidRPr="00A66953" w:rsidRDefault="00D54833" w:rsidP="00D54833">
            <w:pPr>
              <w:rPr>
                <w:lang w:val="en-US"/>
              </w:rPr>
            </w:pPr>
            <w:r w:rsidRPr="00A66953">
              <w:rPr>
                <w:lang w:val="en-US"/>
              </w:rPr>
              <w:t>96</w:t>
            </w:r>
          </w:p>
        </w:tc>
        <w:tc>
          <w:tcPr>
            <w:tcW w:w="0" w:type="auto"/>
          </w:tcPr>
          <w:p w:rsidR="00D54833" w:rsidRPr="00A66953" w:rsidRDefault="00D54833" w:rsidP="00D54833">
            <w:pPr>
              <w:rPr>
                <w:lang w:val="en-US"/>
              </w:rPr>
            </w:pPr>
            <w:r w:rsidRPr="00A66953">
              <w:rPr>
                <w:lang w:val="en-US"/>
              </w:rPr>
              <w:t>0,000</w:t>
            </w:r>
          </w:p>
        </w:tc>
        <w:tc>
          <w:tcPr>
            <w:tcW w:w="0" w:type="auto"/>
          </w:tcPr>
          <w:p w:rsidR="00D54833" w:rsidRPr="00A66953" w:rsidRDefault="00D54833" w:rsidP="00D54833">
            <w:pPr>
              <w:rPr>
                <w:lang w:val="en-US"/>
              </w:rPr>
            </w:pPr>
            <w:r w:rsidRPr="00A66953">
              <w:rPr>
                <w:lang w:val="en-US"/>
              </w:rPr>
              <w:t>1,000</w:t>
            </w:r>
          </w:p>
        </w:tc>
        <w:tc>
          <w:tcPr>
            <w:tcW w:w="0" w:type="auto"/>
          </w:tcPr>
          <w:p w:rsidR="00D54833" w:rsidRPr="00A66953" w:rsidRDefault="00D54833" w:rsidP="00D54833">
            <w:pPr>
              <w:rPr>
                <w:lang w:val="en-US"/>
              </w:rPr>
            </w:pPr>
            <w:r w:rsidRPr="00A66953">
              <w:rPr>
                <w:lang w:val="en-US"/>
              </w:rPr>
              <w:t>0,854</w:t>
            </w:r>
          </w:p>
        </w:tc>
        <w:tc>
          <w:tcPr>
            <w:tcW w:w="0" w:type="auto"/>
          </w:tcPr>
          <w:p w:rsidR="00D54833" w:rsidRPr="00A66953" w:rsidRDefault="00D54833" w:rsidP="00D54833">
            <w:pPr>
              <w:rPr>
                <w:lang w:val="en-US"/>
              </w:rPr>
            </w:pPr>
            <w:r w:rsidRPr="00A66953">
              <w:rPr>
                <w:lang w:val="en-US"/>
              </w:rPr>
              <w:t>0,354</w:t>
            </w:r>
          </w:p>
        </w:tc>
      </w:tr>
      <w:tr w:rsidR="00D54833" w:rsidRPr="00A66953" w:rsidTr="00097052">
        <w:trPr>
          <w:cantSplit/>
          <w:jc w:val="center"/>
        </w:trPr>
        <w:tc>
          <w:tcPr>
            <w:tcW w:w="0" w:type="auto"/>
          </w:tcPr>
          <w:p w:rsidR="00D54833" w:rsidRPr="00A66953" w:rsidRDefault="00D54833" w:rsidP="00D54833">
            <w:pPr>
              <w:rPr>
                <w:lang w:val="en-US"/>
              </w:rPr>
            </w:pPr>
            <w:r w:rsidRPr="00A66953">
              <w:rPr>
                <w:lang w:val="en-US"/>
              </w:rPr>
              <w:t>Timelines of Financial Reporting</w:t>
            </w:r>
          </w:p>
        </w:tc>
        <w:tc>
          <w:tcPr>
            <w:tcW w:w="0" w:type="auto"/>
          </w:tcPr>
          <w:p w:rsidR="00D54833" w:rsidRPr="00A66953" w:rsidRDefault="00D54833" w:rsidP="00D54833">
            <w:pPr>
              <w:rPr>
                <w:lang w:val="en-US"/>
              </w:rPr>
            </w:pPr>
            <w:r w:rsidRPr="00A66953">
              <w:rPr>
                <w:lang w:val="en-US"/>
              </w:rPr>
              <w:t>96</w:t>
            </w:r>
          </w:p>
        </w:tc>
        <w:tc>
          <w:tcPr>
            <w:tcW w:w="0" w:type="auto"/>
          </w:tcPr>
          <w:p w:rsidR="00D54833" w:rsidRPr="00A66953" w:rsidRDefault="00D54833" w:rsidP="00D54833">
            <w:pPr>
              <w:rPr>
                <w:lang w:val="en-US"/>
              </w:rPr>
            </w:pPr>
            <w:r w:rsidRPr="00A66953">
              <w:rPr>
                <w:lang w:val="en-US"/>
              </w:rPr>
              <w:t>-0,154</w:t>
            </w:r>
          </w:p>
        </w:tc>
        <w:tc>
          <w:tcPr>
            <w:tcW w:w="0" w:type="auto"/>
          </w:tcPr>
          <w:p w:rsidR="00D54833" w:rsidRPr="00A66953" w:rsidRDefault="00D54833" w:rsidP="00D54833">
            <w:pPr>
              <w:rPr>
                <w:lang w:val="en-US"/>
              </w:rPr>
            </w:pPr>
            <w:r w:rsidRPr="00A66953">
              <w:rPr>
                <w:lang w:val="en-US"/>
              </w:rPr>
              <w:t>0,607</w:t>
            </w:r>
          </w:p>
        </w:tc>
        <w:tc>
          <w:tcPr>
            <w:tcW w:w="0" w:type="auto"/>
          </w:tcPr>
          <w:p w:rsidR="00D54833" w:rsidRPr="00A66953" w:rsidRDefault="00D54833" w:rsidP="00D54833">
            <w:pPr>
              <w:rPr>
                <w:lang w:val="en-US"/>
              </w:rPr>
            </w:pPr>
            <w:r w:rsidRPr="00A66953">
              <w:rPr>
                <w:lang w:val="en-US"/>
              </w:rPr>
              <w:t>0,067</w:t>
            </w:r>
          </w:p>
        </w:tc>
        <w:tc>
          <w:tcPr>
            <w:tcW w:w="0" w:type="auto"/>
          </w:tcPr>
          <w:p w:rsidR="00D54833" w:rsidRPr="00A66953" w:rsidRDefault="00D54833" w:rsidP="00D54833">
            <w:pPr>
              <w:rPr>
                <w:lang w:val="en-US"/>
              </w:rPr>
            </w:pPr>
            <w:r w:rsidRPr="00A66953">
              <w:rPr>
                <w:lang w:val="en-US"/>
              </w:rPr>
              <w:t>0,123</w:t>
            </w:r>
          </w:p>
        </w:tc>
      </w:tr>
      <w:tr w:rsidR="00D54833" w:rsidRPr="00A66953" w:rsidTr="00097052">
        <w:trPr>
          <w:cantSplit/>
          <w:jc w:val="center"/>
        </w:trPr>
        <w:tc>
          <w:tcPr>
            <w:tcW w:w="0" w:type="auto"/>
          </w:tcPr>
          <w:p w:rsidR="00D54833" w:rsidRPr="00A66953" w:rsidRDefault="00D54833" w:rsidP="00D54833">
            <w:pPr>
              <w:rPr>
                <w:lang w:val="en-US"/>
              </w:rPr>
            </w:pPr>
            <w:r w:rsidRPr="00A66953">
              <w:rPr>
                <w:lang w:val="en-US"/>
              </w:rPr>
              <w:t>Valid N (listwise)</w:t>
            </w:r>
          </w:p>
        </w:tc>
        <w:tc>
          <w:tcPr>
            <w:tcW w:w="0" w:type="auto"/>
          </w:tcPr>
          <w:p w:rsidR="00D54833" w:rsidRPr="00A66953" w:rsidRDefault="00D54833" w:rsidP="00D54833">
            <w:pPr>
              <w:rPr>
                <w:lang w:val="en-US"/>
              </w:rPr>
            </w:pPr>
            <w:r w:rsidRPr="00A66953">
              <w:rPr>
                <w:lang w:val="en-US"/>
              </w:rPr>
              <w:t>96</w:t>
            </w:r>
          </w:p>
        </w:tc>
        <w:tc>
          <w:tcPr>
            <w:tcW w:w="0" w:type="auto"/>
            <w:vAlign w:val="center"/>
          </w:tcPr>
          <w:p w:rsidR="00D54833" w:rsidRPr="00A66953" w:rsidRDefault="00D54833" w:rsidP="00D54833">
            <w:pPr>
              <w:rPr>
                <w:lang w:val="en-US"/>
              </w:rPr>
            </w:pPr>
          </w:p>
        </w:tc>
        <w:tc>
          <w:tcPr>
            <w:tcW w:w="0" w:type="auto"/>
            <w:vAlign w:val="center"/>
          </w:tcPr>
          <w:p w:rsidR="00D54833" w:rsidRPr="00A66953" w:rsidRDefault="00D54833" w:rsidP="00D54833">
            <w:pPr>
              <w:rPr>
                <w:lang w:val="en-US"/>
              </w:rPr>
            </w:pPr>
          </w:p>
        </w:tc>
        <w:tc>
          <w:tcPr>
            <w:tcW w:w="0" w:type="auto"/>
            <w:vAlign w:val="center"/>
          </w:tcPr>
          <w:p w:rsidR="00D54833" w:rsidRPr="00A66953" w:rsidRDefault="00D54833" w:rsidP="00D54833">
            <w:pPr>
              <w:rPr>
                <w:lang w:val="en-US"/>
              </w:rPr>
            </w:pPr>
          </w:p>
        </w:tc>
        <w:tc>
          <w:tcPr>
            <w:tcW w:w="0" w:type="auto"/>
            <w:vAlign w:val="center"/>
          </w:tcPr>
          <w:p w:rsidR="00D54833" w:rsidRPr="00A66953" w:rsidRDefault="00D54833" w:rsidP="00D54833">
            <w:pPr>
              <w:rPr>
                <w:lang w:val="en-US"/>
              </w:rPr>
            </w:pPr>
          </w:p>
        </w:tc>
      </w:tr>
    </w:tbl>
    <w:p w:rsidR="00D54833" w:rsidRPr="00A66953" w:rsidRDefault="00D54833" w:rsidP="00D54833"/>
    <w:p w:rsidR="00D54833" w:rsidRPr="00A66953" w:rsidRDefault="00D54833" w:rsidP="00D54833">
      <w:r w:rsidRPr="00A66953">
        <w:rPr>
          <w:b/>
          <w:bCs/>
        </w:rPr>
        <w:t>Classical Assumption Tests</w:t>
      </w:r>
    </w:p>
    <w:p w:rsidR="00D54833" w:rsidRDefault="00D54833" w:rsidP="00D54833">
      <w:r w:rsidRPr="00A66953">
        <w:t>All variables passed the classical assumption tests, including normality, multicollinearity, autocorrelation, and heteroscedasticity, confirming the appropriateness of the regression model.</w:t>
      </w:r>
    </w:p>
    <w:p w:rsidR="00522C34" w:rsidRPr="00A66953" w:rsidRDefault="00522C34" w:rsidP="00D54833"/>
    <w:tbl>
      <w:tblPr>
        <w:tblW w:w="7054" w:type="dxa"/>
        <w:jc w:val="center"/>
        <w:tblLook w:val="04A0" w:firstRow="1" w:lastRow="0" w:firstColumn="1" w:lastColumn="0" w:noHBand="0" w:noVBand="1"/>
      </w:tblPr>
      <w:tblGrid>
        <w:gridCol w:w="6551"/>
        <w:gridCol w:w="503"/>
      </w:tblGrid>
      <w:tr w:rsidR="00D54833" w:rsidRPr="00A66953" w:rsidTr="00097052">
        <w:trPr>
          <w:gridAfter w:val="1"/>
          <w:wAfter w:w="503" w:type="dxa"/>
          <w:trHeight w:val="315"/>
          <w:jc w:val="center"/>
        </w:trPr>
        <w:tc>
          <w:tcPr>
            <w:tcW w:w="6551" w:type="dxa"/>
            <w:tcBorders>
              <w:top w:val="nil"/>
              <w:left w:val="nil"/>
              <w:bottom w:val="nil"/>
              <w:right w:val="nil"/>
            </w:tcBorders>
            <w:noWrap/>
            <w:vAlign w:val="bottom"/>
            <w:hideMark/>
          </w:tcPr>
          <w:p w:rsidR="00D54833" w:rsidRDefault="00D54833" w:rsidP="00D54833">
            <w:pPr>
              <w:rPr>
                <w:b/>
                <w:bCs/>
              </w:rPr>
            </w:pPr>
            <w:r w:rsidRPr="00A66953">
              <w:rPr>
                <w:b/>
                <w:bCs/>
              </w:rPr>
              <w:t>Table 2</w:t>
            </w:r>
            <w:r w:rsidR="00522C34">
              <w:rPr>
                <w:b/>
                <w:bCs/>
              </w:rPr>
              <w:t xml:space="preserve"> </w:t>
            </w:r>
            <w:r w:rsidRPr="00A66953">
              <w:rPr>
                <w:b/>
                <w:bCs/>
              </w:rPr>
              <w:t>Normality Test (</w:t>
            </w:r>
            <w:proofErr w:type="spellStart"/>
            <w:r w:rsidRPr="00A66953">
              <w:rPr>
                <w:b/>
                <w:bCs/>
                <w:i/>
              </w:rPr>
              <w:t>Kolmogrov</w:t>
            </w:r>
            <w:proofErr w:type="spellEnd"/>
            <w:r w:rsidRPr="00A66953">
              <w:rPr>
                <w:b/>
                <w:bCs/>
                <w:i/>
              </w:rPr>
              <w:t>-Smirnov</w:t>
            </w:r>
            <w:r w:rsidRPr="00A66953">
              <w:rPr>
                <w:b/>
                <w:bCs/>
              </w:rPr>
              <w:t>) Model I</w:t>
            </w:r>
          </w:p>
          <w:p w:rsidR="00522C34" w:rsidRPr="00522C34" w:rsidRDefault="00522C34" w:rsidP="00D54833">
            <w:pPr>
              <w:rPr>
                <w:b/>
                <w:bCs/>
              </w:rPr>
            </w:pPr>
          </w:p>
        </w:tc>
      </w:tr>
      <w:tr w:rsidR="00D54833" w:rsidRPr="00A66953" w:rsidTr="00097052">
        <w:trPr>
          <w:trHeight w:val="315"/>
          <w:jc w:val="center"/>
        </w:trPr>
        <w:tc>
          <w:tcPr>
            <w:tcW w:w="6946" w:type="dxa"/>
            <w:gridSpan w:val="2"/>
            <w:tcBorders>
              <w:top w:val="nil"/>
              <w:left w:val="nil"/>
              <w:bottom w:val="nil"/>
              <w:right w:val="nil"/>
            </w:tcBorders>
            <w:noWrap/>
            <w:vAlign w:val="bottom"/>
            <w:hideMark/>
          </w:tcPr>
          <w:tbl>
            <w:tblPr>
              <w:tblW w:w="5338"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08"/>
              <w:gridCol w:w="1393"/>
              <w:gridCol w:w="1637"/>
            </w:tblGrid>
            <w:tr w:rsidR="00D54833" w:rsidRPr="00A66953" w:rsidTr="00097052">
              <w:trPr>
                <w:cantSplit/>
              </w:trPr>
              <w:tc>
                <w:tcPr>
                  <w:tcW w:w="5338" w:type="dxa"/>
                  <w:gridSpan w:val="3"/>
                  <w:vAlign w:val="center"/>
                </w:tcPr>
                <w:p w:rsidR="00D54833" w:rsidRPr="00A66953" w:rsidRDefault="00D54833" w:rsidP="00D54833">
                  <w:pPr>
                    <w:rPr>
                      <w:lang w:val="en-US"/>
                    </w:rPr>
                  </w:pPr>
                  <w:r w:rsidRPr="00A66953">
                    <w:rPr>
                      <w:lang w:val="en-US"/>
                    </w:rPr>
                    <w:t>One-Sample Kolmogorov-Smirnov Test</w:t>
                  </w:r>
                </w:p>
              </w:tc>
            </w:tr>
            <w:tr w:rsidR="00D54833" w:rsidRPr="00A66953" w:rsidTr="00097052">
              <w:trPr>
                <w:cantSplit/>
              </w:trPr>
              <w:tc>
                <w:tcPr>
                  <w:tcW w:w="3701" w:type="dxa"/>
                  <w:gridSpan w:val="2"/>
                  <w:vAlign w:val="bottom"/>
                </w:tcPr>
                <w:p w:rsidR="00D54833" w:rsidRPr="00A66953" w:rsidRDefault="00D54833" w:rsidP="00D54833">
                  <w:pPr>
                    <w:rPr>
                      <w:lang w:val="en-US"/>
                    </w:rPr>
                  </w:pPr>
                </w:p>
              </w:tc>
              <w:tc>
                <w:tcPr>
                  <w:tcW w:w="1637" w:type="dxa"/>
                  <w:vAlign w:val="bottom"/>
                </w:tcPr>
                <w:p w:rsidR="00D54833" w:rsidRPr="00A66953" w:rsidRDefault="00D54833" w:rsidP="00D54833">
                  <w:pPr>
                    <w:rPr>
                      <w:lang w:val="en-US"/>
                    </w:rPr>
                  </w:pPr>
                  <w:r w:rsidRPr="00A66953">
                    <w:rPr>
                      <w:lang w:val="en-US"/>
                    </w:rPr>
                    <w:t>Unstandardized Residual</w:t>
                  </w:r>
                </w:p>
              </w:tc>
            </w:tr>
            <w:tr w:rsidR="00D54833" w:rsidRPr="00A66953" w:rsidTr="00097052">
              <w:trPr>
                <w:cantSplit/>
              </w:trPr>
              <w:tc>
                <w:tcPr>
                  <w:tcW w:w="3701" w:type="dxa"/>
                  <w:gridSpan w:val="2"/>
                </w:tcPr>
                <w:p w:rsidR="00D54833" w:rsidRPr="00A66953" w:rsidRDefault="00D54833" w:rsidP="00D54833">
                  <w:pPr>
                    <w:rPr>
                      <w:lang w:val="en-US"/>
                    </w:rPr>
                  </w:pPr>
                  <w:r w:rsidRPr="00A66953">
                    <w:rPr>
                      <w:lang w:val="en-US"/>
                    </w:rPr>
                    <w:t>N</w:t>
                  </w:r>
                </w:p>
              </w:tc>
              <w:tc>
                <w:tcPr>
                  <w:tcW w:w="1637" w:type="dxa"/>
                </w:tcPr>
                <w:p w:rsidR="00D54833" w:rsidRPr="00A66953" w:rsidRDefault="00D54833" w:rsidP="00D54833">
                  <w:pPr>
                    <w:rPr>
                      <w:lang w:val="en-US"/>
                    </w:rPr>
                  </w:pPr>
                  <w:r w:rsidRPr="00A66953">
                    <w:rPr>
                      <w:lang w:val="en-US"/>
                    </w:rPr>
                    <w:t>96</w:t>
                  </w:r>
                </w:p>
              </w:tc>
            </w:tr>
            <w:tr w:rsidR="00D54833" w:rsidRPr="00A66953" w:rsidTr="00097052">
              <w:trPr>
                <w:cantSplit/>
              </w:trPr>
              <w:tc>
                <w:tcPr>
                  <w:tcW w:w="2308" w:type="dxa"/>
                  <w:vMerge w:val="restart"/>
                </w:tcPr>
                <w:p w:rsidR="00D54833" w:rsidRPr="00A66953" w:rsidRDefault="00D54833" w:rsidP="00D54833">
                  <w:pPr>
                    <w:rPr>
                      <w:lang w:val="en-US"/>
                    </w:rPr>
                  </w:pPr>
                  <w:r w:rsidRPr="00A66953">
                    <w:rPr>
                      <w:lang w:val="en-US"/>
                    </w:rPr>
                    <w:t xml:space="preserve">Normal </w:t>
                  </w:r>
                  <w:proofErr w:type="spellStart"/>
                  <w:proofErr w:type="gramStart"/>
                  <w:r w:rsidRPr="00A66953">
                    <w:rPr>
                      <w:lang w:val="en-US"/>
                    </w:rPr>
                    <w:t>Parameters</w:t>
                  </w:r>
                  <w:r w:rsidRPr="00A66953">
                    <w:rPr>
                      <w:vertAlign w:val="superscript"/>
                      <w:lang w:val="en-US"/>
                    </w:rPr>
                    <w:t>a,b</w:t>
                  </w:r>
                  <w:proofErr w:type="spellEnd"/>
                  <w:proofErr w:type="gramEnd"/>
                </w:p>
              </w:tc>
              <w:tc>
                <w:tcPr>
                  <w:tcW w:w="1393" w:type="dxa"/>
                </w:tcPr>
                <w:p w:rsidR="00D54833" w:rsidRPr="00A66953" w:rsidRDefault="00D54833" w:rsidP="00D54833">
                  <w:pPr>
                    <w:rPr>
                      <w:lang w:val="en-US"/>
                    </w:rPr>
                  </w:pPr>
                  <w:r w:rsidRPr="00A66953">
                    <w:rPr>
                      <w:lang w:val="en-US"/>
                    </w:rPr>
                    <w:t>Mean</w:t>
                  </w:r>
                </w:p>
              </w:tc>
              <w:tc>
                <w:tcPr>
                  <w:tcW w:w="1637" w:type="dxa"/>
                </w:tcPr>
                <w:p w:rsidR="00D54833" w:rsidRPr="00A66953" w:rsidRDefault="00D54833" w:rsidP="00D54833">
                  <w:pPr>
                    <w:rPr>
                      <w:lang w:val="en-US"/>
                    </w:rPr>
                  </w:pPr>
                  <w:r w:rsidRPr="00A66953">
                    <w:rPr>
                      <w:lang w:val="en-US"/>
                    </w:rPr>
                    <w:t>.0000000</w:t>
                  </w:r>
                </w:p>
              </w:tc>
            </w:tr>
            <w:tr w:rsidR="00D54833" w:rsidRPr="00A66953" w:rsidTr="00097052">
              <w:trPr>
                <w:cantSplit/>
              </w:trPr>
              <w:tc>
                <w:tcPr>
                  <w:tcW w:w="2308" w:type="dxa"/>
                  <w:vMerge/>
                </w:tcPr>
                <w:p w:rsidR="00D54833" w:rsidRPr="00A66953" w:rsidRDefault="00D54833" w:rsidP="00D54833">
                  <w:pPr>
                    <w:rPr>
                      <w:lang w:val="en-US"/>
                    </w:rPr>
                  </w:pPr>
                </w:p>
              </w:tc>
              <w:tc>
                <w:tcPr>
                  <w:tcW w:w="1393" w:type="dxa"/>
                </w:tcPr>
                <w:p w:rsidR="00D54833" w:rsidRPr="00A66953" w:rsidRDefault="00D54833" w:rsidP="00D54833">
                  <w:pPr>
                    <w:rPr>
                      <w:lang w:val="en-US"/>
                    </w:rPr>
                  </w:pPr>
                  <w:r w:rsidRPr="00A66953">
                    <w:rPr>
                      <w:lang w:val="en-US"/>
                    </w:rPr>
                    <w:t>Std. Deviation</w:t>
                  </w:r>
                </w:p>
              </w:tc>
              <w:tc>
                <w:tcPr>
                  <w:tcW w:w="1637" w:type="dxa"/>
                </w:tcPr>
                <w:p w:rsidR="00D54833" w:rsidRPr="00A66953" w:rsidRDefault="00D54833" w:rsidP="00D54833">
                  <w:pPr>
                    <w:rPr>
                      <w:lang w:val="en-US"/>
                    </w:rPr>
                  </w:pPr>
                  <w:r w:rsidRPr="00A66953">
                    <w:rPr>
                      <w:lang w:val="en-US"/>
                    </w:rPr>
                    <w:t>.34434061</w:t>
                  </w:r>
                </w:p>
              </w:tc>
            </w:tr>
            <w:tr w:rsidR="00D54833" w:rsidRPr="00A66953" w:rsidTr="00097052">
              <w:trPr>
                <w:cantSplit/>
              </w:trPr>
              <w:tc>
                <w:tcPr>
                  <w:tcW w:w="2308" w:type="dxa"/>
                  <w:vMerge w:val="restart"/>
                </w:tcPr>
                <w:p w:rsidR="00D54833" w:rsidRPr="00A66953" w:rsidRDefault="00D54833" w:rsidP="00D54833">
                  <w:pPr>
                    <w:rPr>
                      <w:lang w:val="en-US"/>
                    </w:rPr>
                  </w:pPr>
                  <w:r w:rsidRPr="00A66953">
                    <w:rPr>
                      <w:lang w:val="en-US"/>
                    </w:rPr>
                    <w:t>Most Extreme Differences</w:t>
                  </w:r>
                </w:p>
              </w:tc>
              <w:tc>
                <w:tcPr>
                  <w:tcW w:w="1393" w:type="dxa"/>
                </w:tcPr>
                <w:p w:rsidR="00D54833" w:rsidRPr="00A66953" w:rsidRDefault="00D54833" w:rsidP="00D54833">
                  <w:pPr>
                    <w:rPr>
                      <w:lang w:val="en-US"/>
                    </w:rPr>
                  </w:pPr>
                  <w:r w:rsidRPr="00A66953">
                    <w:rPr>
                      <w:lang w:val="en-US"/>
                    </w:rPr>
                    <w:t>Absolute</w:t>
                  </w:r>
                </w:p>
              </w:tc>
              <w:tc>
                <w:tcPr>
                  <w:tcW w:w="1637" w:type="dxa"/>
                </w:tcPr>
                <w:p w:rsidR="00D54833" w:rsidRPr="00A66953" w:rsidRDefault="00D54833" w:rsidP="00D54833">
                  <w:pPr>
                    <w:rPr>
                      <w:lang w:val="en-US"/>
                    </w:rPr>
                  </w:pPr>
                  <w:r w:rsidRPr="00A66953">
                    <w:rPr>
                      <w:lang w:val="en-US"/>
                    </w:rPr>
                    <w:t>.386</w:t>
                  </w:r>
                </w:p>
              </w:tc>
            </w:tr>
            <w:tr w:rsidR="00D54833" w:rsidRPr="00A66953" w:rsidTr="00097052">
              <w:trPr>
                <w:cantSplit/>
              </w:trPr>
              <w:tc>
                <w:tcPr>
                  <w:tcW w:w="2308" w:type="dxa"/>
                  <w:vMerge/>
                </w:tcPr>
                <w:p w:rsidR="00D54833" w:rsidRPr="00A66953" w:rsidRDefault="00D54833" w:rsidP="00D54833">
                  <w:pPr>
                    <w:rPr>
                      <w:lang w:val="en-US"/>
                    </w:rPr>
                  </w:pPr>
                </w:p>
              </w:tc>
              <w:tc>
                <w:tcPr>
                  <w:tcW w:w="1393" w:type="dxa"/>
                </w:tcPr>
                <w:p w:rsidR="00D54833" w:rsidRPr="00A66953" w:rsidRDefault="00D54833" w:rsidP="00D54833">
                  <w:pPr>
                    <w:rPr>
                      <w:lang w:val="en-US"/>
                    </w:rPr>
                  </w:pPr>
                  <w:r w:rsidRPr="00A66953">
                    <w:rPr>
                      <w:lang w:val="en-US"/>
                    </w:rPr>
                    <w:t>Positive</w:t>
                  </w:r>
                </w:p>
              </w:tc>
              <w:tc>
                <w:tcPr>
                  <w:tcW w:w="1637" w:type="dxa"/>
                </w:tcPr>
                <w:p w:rsidR="00D54833" w:rsidRPr="00A66953" w:rsidRDefault="00D54833" w:rsidP="00D54833">
                  <w:pPr>
                    <w:rPr>
                      <w:lang w:val="en-US"/>
                    </w:rPr>
                  </w:pPr>
                  <w:r w:rsidRPr="00A66953">
                    <w:rPr>
                      <w:lang w:val="en-US"/>
                    </w:rPr>
                    <w:t>.216</w:t>
                  </w:r>
                </w:p>
              </w:tc>
            </w:tr>
            <w:tr w:rsidR="00D54833" w:rsidRPr="00A66953" w:rsidTr="00097052">
              <w:trPr>
                <w:cantSplit/>
              </w:trPr>
              <w:tc>
                <w:tcPr>
                  <w:tcW w:w="2308" w:type="dxa"/>
                  <w:vMerge/>
                </w:tcPr>
                <w:p w:rsidR="00D54833" w:rsidRPr="00A66953" w:rsidRDefault="00D54833" w:rsidP="00D54833">
                  <w:pPr>
                    <w:rPr>
                      <w:lang w:val="en-US"/>
                    </w:rPr>
                  </w:pPr>
                </w:p>
              </w:tc>
              <w:tc>
                <w:tcPr>
                  <w:tcW w:w="1393" w:type="dxa"/>
                </w:tcPr>
                <w:p w:rsidR="00D54833" w:rsidRPr="00A66953" w:rsidRDefault="00D54833" w:rsidP="00D54833">
                  <w:pPr>
                    <w:rPr>
                      <w:lang w:val="en-US"/>
                    </w:rPr>
                  </w:pPr>
                  <w:r w:rsidRPr="00A66953">
                    <w:rPr>
                      <w:lang w:val="en-US"/>
                    </w:rPr>
                    <w:t>Negative</w:t>
                  </w:r>
                </w:p>
              </w:tc>
              <w:tc>
                <w:tcPr>
                  <w:tcW w:w="1637" w:type="dxa"/>
                </w:tcPr>
                <w:p w:rsidR="00D54833" w:rsidRPr="00A66953" w:rsidRDefault="00D54833" w:rsidP="00D54833">
                  <w:pPr>
                    <w:rPr>
                      <w:lang w:val="en-US"/>
                    </w:rPr>
                  </w:pPr>
                  <w:r w:rsidRPr="00A66953">
                    <w:rPr>
                      <w:lang w:val="en-US"/>
                    </w:rPr>
                    <w:t>-.386</w:t>
                  </w:r>
                </w:p>
              </w:tc>
            </w:tr>
            <w:tr w:rsidR="00D54833" w:rsidRPr="00A66953" w:rsidTr="00097052">
              <w:trPr>
                <w:cantSplit/>
              </w:trPr>
              <w:tc>
                <w:tcPr>
                  <w:tcW w:w="3701" w:type="dxa"/>
                  <w:gridSpan w:val="2"/>
                </w:tcPr>
                <w:p w:rsidR="00D54833" w:rsidRPr="00A66953" w:rsidRDefault="00D54833" w:rsidP="00D54833">
                  <w:pPr>
                    <w:rPr>
                      <w:lang w:val="en-US"/>
                    </w:rPr>
                  </w:pPr>
                  <w:r w:rsidRPr="00A66953">
                    <w:rPr>
                      <w:lang w:val="en-US"/>
                    </w:rPr>
                    <w:t>Test Statistic</w:t>
                  </w:r>
                </w:p>
              </w:tc>
              <w:tc>
                <w:tcPr>
                  <w:tcW w:w="1637" w:type="dxa"/>
                </w:tcPr>
                <w:p w:rsidR="00D54833" w:rsidRPr="00A66953" w:rsidRDefault="00D54833" w:rsidP="00D54833">
                  <w:pPr>
                    <w:rPr>
                      <w:lang w:val="en-US"/>
                    </w:rPr>
                  </w:pPr>
                  <w:r w:rsidRPr="00A66953">
                    <w:rPr>
                      <w:lang w:val="en-US"/>
                    </w:rPr>
                    <w:t>.386</w:t>
                  </w:r>
                </w:p>
              </w:tc>
            </w:tr>
            <w:tr w:rsidR="00D54833" w:rsidRPr="00A66953" w:rsidTr="00097052">
              <w:trPr>
                <w:cantSplit/>
              </w:trPr>
              <w:tc>
                <w:tcPr>
                  <w:tcW w:w="3701" w:type="dxa"/>
                  <w:gridSpan w:val="2"/>
                </w:tcPr>
                <w:p w:rsidR="00D54833" w:rsidRPr="00A66953" w:rsidRDefault="00D54833" w:rsidP="00D54833">
                  <w:pPr>
                    <w:rPr>
                      <w:lang w:val="en-US"/>
                    </w:rPr>
                  </w:pPr>
                  <w:proofErr w:type="spellStart"/>
                  <w:r w:rsidRPr="00A66953">
                    <w:rPr>
                      <w:lang w:val="en-US"/>
                    </w:rPr>
                    <w:t>Asymp</w:t>
                  </w:r>
                  <w:proofErr w:type="spellEnd"/>
                  <w:r w:rsidRPr="00A66953">
                    <w:rPr>
                      <w:lang w:val="en-US"/>
                    </w:rPr>
                    <w:t>. Sig. (2-tailed)</w:t>
                  </w:r>
                </w:p>
              </w:tc>
              <w:tc>
                <w:tcPr>
                  <w:tcW w:w="1637" w:type="dxa"/>
                </w:tcPr>
                <w:p w:rsidR="00D54833" w:rsidRPr="00A66953" w:rsidRDefault="00D54833" w:rsidP="00D54833">
                  <w:pPr>
                    <w:rPr>
                      <w:lang w:val="en-US"/>
                    </w:rPr>
                  </w:pPr>
                  <w:r w:rsidRPr="00A66953">
                    <w:rPr>
                      <w:lang w:val="en-US"/>
                    </w:rPr>
                    <w:t>.200</w:t>
                  </w:r>
                  <w:r w:rsidRPr="00A66953">
                    <w:rPr>
                      <w:vertAlign w:val="superscript"/>
                      <w:lang w:val="en-US"/>
                    </w:rPr>
                    <w:t>c</w:t>
                  </w:r>
                </w:p>
              </w:tc>
            </w:tr>
            <w:tr w:rsidR="00D54833" w:rsidRPr="00A66953" w:rsidTr="00097052">
              <w:trPr>
                <w:cantSplit/>
              </w:trPr>
              <w:tc>
                <w:tcPr>
                  <w:tcW w:w="5338" w:type="dxa"/>
                  <w:gridSpan w:val="3"/>
                </w:tcPr>
                <w:p w:rsidR="00D54833" w:rsidRPr="00A66953" w:rsidRDefault="00D54833" w:rsidP="00D54833">
                  <w:pPr>
                    <w:rPr>
                      <w:lang w:val="en-US"/>
                    </w:rPr>
                  </w:pPr>
                  <w:r w:rsidRPr="00A66953">
                    <w:rPr>
                      <w:lang w:val="en-US"/>
                    </w:rPr>
                    <w:t>a. Test distribution is Normal.</w:t>
                  </w:r>
                </w:p>
              </w:tc>
            </w:tr>
          </w:tbl>
          <w:p w:rsidR="00D54833" w:rsidRPr="00A66953" w:rsidRDefault="00D54833" w:rsidP="00D54833"/>
        </w:tc>
      </w:tr>
    </w:tbl>
    <w:p w:rsidR="00D54833" w:rsidRPr="00A66953" w:rsidRDefault="00D54833" w:rsidP="00D54833"/>
    <w:p w:rsidR="00D54833" w:rsidRPr="00A66953" w:rsidRDefault="00D54833" w:rsidP="00D54833">
      <w:pPr>
        <w:rPr>
          <w:lang w:val="en-US"/>
        </w:rPr>
      </w:pPr>
      <w:r w:rsidRPr="00A66953">
        <w:rPr>
          <w:lang w:val="en-US"/>
        </w:rPr>
        <w:t>The normality test in this study, using the non-parametric Kolmogorov-Smirnov statistic, indicates that the data from 24 food and beverage companies listed on the Indonesia Stock Exchange are normally distributed, with a significance level of 0.200. This value exceeds the normality test criterion threshold of 0.05.</w:t>
      </w:r>
    </w:p>
    <w:p w:rsidR="00D54833" w:rsidRPr="00A66953" w:rsidRDefault="00D54833" w:rsidP="00D54833">
      <w:pPr>
        <w:rPr>
          <w:lang w:val="en-US"/>
        </w:rPr>
      </w:pPr>
    </w:p>
    <w:p w:rsidR="00D54833" w:rsidRDefault="00D54833" w:rsidP="00D54833">
      <w:pPr>
        <w:rPr>
          <w:lang w:val="en-US"/>
        </w:rPr>
      </w:pPr>
      <w:r w:rsidRPr="00A66953">
        <w:rPr>
          <w:b/>
          <w:bCs/>
        </w:rPr>
        <w:t>Table 3</w:t>
      </w:r>
      <w:r w:rsidR="00522C34">
        <w:rPr>
          <w:b/>
          <w:bCs/>
        </w:rPr>
        <w:t xml:space="preserve"> </w:t>
      </w:r>
      <w:r w:rsidRPr="00A66953">
        <w:rPr>
          <w:b/>
          <w:bCs/>
          <w:lang w:val="en-US"/>
        </w:rPr>
        <w:t>Multicollinearity Test</w:t>
      </w:r>
      <w:r w:rsidRPr="00A66953">
        <w:rPr>
          <w:lang w:val="en-US"/>
        </w:rPr>
        <w:t xml:space="preserve"> </w:t>
      </w:r>
    </w:p>
    <w:p w:rsidR="00522C34" w:rsidRPr="00A66953" w:rsidRDefault="00522C34" w:rsidP="00D54833">
      <w:pPr>
        <w:rPr>
          <w:b/>
          <w:bCs/>
        </w:rPr>
      </w:pPr>
    </w:p>
    <w:tbl>
      <w:tblPr>
        <w:tblW w:w="0" w:type="auto"/>
        <w:tblBorders>
          <w:top w:val="single" w:sz="4" w:space="0" w:color="auto"/>
        </w:tblBorders>
        <w:tblCellMar>
          <w:left w:w="0" w:type="dxa"/>
          <w:right w:w="0" w:type="dxa"/>
        </w:tblCellMar>
        <w:tblLook w:val="0000" w:firstRow="0" w:lastRow="0" w:firstColumn="0" w:lastColumn="0" w:noHBand="0" w:noVBand="0"/>
      </w:tblPr>
      <w:tblGrid>
        <w:gridCol w:w="132"/>
        <w:gridCol w:w="1643"/>
        <w:gridCol w:w="1148"/>
        <w:gridCol w:w="1584"/>
        <w:gridCol w:w="1277"/>
        <w:gridCol w:w="975"/>
        <w:gridCol w:w="850"/>
        <w:gridCol w:w="1035"/>
        <w:gridCol w:w="992"/>
      </w:tblGrid>
      <w:tr w:rsidR="00D54833" w:rsidRPr="00A66953" w:rsidTr="00097052">
        <w:trPr>
          <w:cantSplit/>
        </w:trPr>
        <w:tc>
          <w:tcPr>
            <w:tcW w:w="0" w:type="auto"/>
            <w:gridSpan w:val="9"/>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roofErr w:type="spellStart"/>
            <w:r w:rsidRPr="00A66953">
              <w:rPr>
                <w:lang w:val="en-US"/>
              </w:rPr>
              <w:t>Coefficients</w:t>
            </w:r>
            <w:r w:rsidRPr="00A66953">
              <w:rPr>
                <w:vertAlign w:val="superscript"/>
                <w:lang w:val="en-US"/>
              </w:rPr>
              <w:t>a</w:t>
            </w:r>
            <w:proofErr w:type="spellEnd"/>
          </w:p>
        </w:tc>
      </w:tr>
      <w:tr w:rsidR="00D54833" w:rsidRPr="00A66953" w:rsidTr="00097052">
        <w:trPr>
          <w:cantSplit/>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Model</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Unstandardized Coefficients</w:t>
            </w:r>
          </w:p>
        </w:tc>
        <w:tc>
          <w:tcPr>
            <w:tcW w:w="1227"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Standardized Coefficients</w:t>
            </w: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Sig.</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Collinearity Statistics</w:t>
            </w:r>
          </w:p>
        </w:tc>
      </w:tr>
      <w:tr w:rsidR="00D54833" w:rsidRPr="00A66953" w:rsidTr="0009705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B</w:t>
            </w: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Std. Error</w:t>
            </w:r>
          </w:p>
        </w:tc>
        <w:tc>
          <w:tcPr>
            <w:tcW w:w="1227"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Beta</w:t>
            </w:r>
          </w:p>
        </w:tc>
        <w:tc>
          <w:tcPr>
            <w:tcW w:w="975" w:type="dxa"/>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Tolerance</w:t>
            </w:r>
          </w:p>
        </w:tc>
        <w:tc>
          <w:tcPr>
            <w:tcW w:w="908"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VIF</w:t>
            </w:r>
          </w:p>
        </w:tc>
      </w:tr>
      <w:tr w:rsidR="00D54833" w:rsidRPr="00A66953" w:rsidTr="00097052">
        <w:trPr>
          <w:cantSplit/>
        </w:trPr>
        <w:tc>
          <w:tcPr>
            <w:tcW w:w="0" w:type="auto"/>
            <w:vMerge w:val="restart"/>
            <w:tcBorders>
              <w:top w:val="single" w:sz="4" w:space="0" w:color="auto"/>
              <w:left w:val="single" w:sz="4" w:space="0" w:color="auto"/>
              <w:bottom w:val="single" w:sz="4" w:space="0" w:color="auto"/>
              <w:right w:val="single" w:sz="4" w:space="0" w:color="auto"/>
            </w:tcBorders>
          </w:tcPr>
          <w:p w:rsidR="00D54833" w:rsidRPr="00A66953" w:rsidRDefault="00D54833" w:rsidP="00D54833">
            <w:pPr>
              <w:rPr>
                <w:lang w:val="en-US"/>
              </w:rPr>
            </w:pPr>
            <w:r w:rsidRPr="00A66953">
              <w:rPr>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(Constant)</w:t>
            </w: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1.432</w:t>
            </w: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.602</w:t>
            </w:r>
          </w:p>
        </w:tc>
        <w:tc>
          <w:tcPr>
            <w:tcW w:w="1227"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97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4.717</w:t>
            </w:r>
          </w:p>
        </w:tc>
        <w:tc>
          <w:tcPr>
            <w:tcW w:w="850"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908"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r>
      <w:tr w:rsidR="00D54833" w:rsidRPr="00A66953" w:rsidTr="0009705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i/>
                <w:lang w:val="en-US"/>
              </w:rPr>
            </w:pPr>
            <w:r w:rsidRPr="00A66953">
              <w:rPr>
                <w:i/>
                <w:lang w:val="en-US"/>
              </w:rPr>
              <w:t>Company Size</w:t>
            </w: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.416</w:t>
            </w: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.021</w:t>
            </w:r>
          </w:p>
        </w:tc>
        <w:tc>
          <w:tcPr>
            <w:tcW w:w="1227"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.081</w:t>
            </w:r>
          </w:p>
        </w:tc>
        <w:tc>
          <w:tcPr>
            <w:tcW w:w="97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3.768</w:t>
            </w:r>
          </w:p>
        </w:tc>
        <w:tc>
          <w:tcPr>
            <w:tcW w:w="850"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.004</w:t>
            </w:r>
          </w:p>
        </w:tc>
        <w:tc>
          <w:tcPr>
            <w:tcW w:w="851"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.930</w:t>
            </w:r>
          </w:p>
        </w:tc>
        <w:tc>
          <w:tcPr>
            <w:tcW w:w="908"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1.076</w:t>
            </w:r>
          </w:p>
        </w:tc>
      </w:tr>
      <w:tr w:rsidR="00D54833" w:rsidRPr="00A66953" w:rsidTr="0009705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i/>
                <w:lang w:val="en-US"/>
              </w:rPr>
            </w:pPr>
            <w:r w:rsidRPr="00A66953">
              <w:rPr>
                <w:i/>
                <w:lang w:val="en-US"/>
              </w:rPr>
              <w:t>Company Age</w:t>
            </w: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.702</w:t>
            </w: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.002</w:t>
            </w:r>
          </w:p>
        </w:tc>
        <w:tc>
          <w:tcPr>
            <w:tcW w:w="1227"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.109</w:t>
            </w:r>
          </w:p>
        </w:tc>
        <w:tc>
          <w:tcPr>
            <w:tcW w:w="97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5.995</w:t>
            </w:r>
          </w:p>
        </w:tc>
        <w:tc>
          <w:tcPr>
            <w:tcW w:w="850"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.022</w:t>
            </w:r>
          </w:p>
        </w:tc>
        <w:tc>
          <w:tcPr>
            <w:tcW w:w="851"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.864</w:t>
            </w:r>
          </w:p>
        </w:tc>
        <w:tc>
          <w:tcPr>
            <w:tcW w:w="908"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1.158</w:t>
            </w:r>
          </w:p>
        </w:tc>
      </w:tr>
      <w:tr w:rsidR="00D54833" w:rsidRPr="00A66953" w:rsidTr="0009705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i/>
                <w:lang w:val="en-US"/>
              </w:rPr>
            </w:pPr>
            <w:r w:rsidRPr="00A66953">
              <w:rPr>
                <w:i/>
                <w:lang w:val="en-US"/>
              </w:rPr>
              <w:t>Capital Structure</w:t>
            </w: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.206</w:t>
            </w:r>
          </w:p>
        </w:tc>
        <w:tc>
          <w:tcPr>
            <w:tcW w:w="0" w:type="auto"/>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.104</w:t>
            </w:r>
          </w:p>
        </w:tc>
        <w:tc>
          <w:tcPr>
            <w:tcW w:w="1227"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.196</w:t>
            </w:r>
          </w:p>
        </w:tc>
        <w:tc>
          <w:tcPr>
            <w:tcW w:w="97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3.923</w:t>
            </w:r>
          </w:p>
        </w:tc>
        <w:tc>
          <w:tcPr>
            <w:tcW w:w="850"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.996</w:t>
            </w:r>
          </w:p>
        </w:tc>
        <w:tc>
          <w:tcPr>
            <w:tcW w:w="908"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1.004</w:t>
            </w:r>
          </w:p>
        </w:tc>
      </w:tr>
      <w:tr w:rsidR="00D54833" w:rsidRPr="00A66953" w:rsidTr="00097052">
        <w:trPr>
          <w:cantSplit/>
        </w:trPr>
        <w:tc>
          <w:tcPr>
            <w:tcW w:w="0" w:type="auto"/>
            <w:gridSpan w:val="9"/>
          </w:tcPr>
          <w:p w:rsidR="00D54833" w:rsidRPr="00A66953" w:rsidRDefault="00D54833" w:rsidP="00D54833">
            <w:pPr>
              <w:rPr>
                <w:lang w:val="en-US"/>
              </w:rPr>
            </w:pPr>
            <w:r w:rsidRPr="00A66953">
              <w:rPr>
                <w:lang w:val="en-US"/>
              </w:rPr>
              <w:t xml:space="preserve">a. Dependent Variable: </w:t>
            </w:r>
            <w:r w:rsidRPr="00A66953">
              <w:rPr>
                <w:i/>
                <w:lang w:val="en-US"/>
              </w:rPr>
              <w:t>Financial Performance</w:t>
            </w:r>
          </w:p>
        </w:tc>
      </w:tr>
    </w:tbl>
    <w:p w:rsidR="00D54833" w:rsidRPr="00A66953" w:rsidRDefault="00D54833" w:rsidP="00D54833">
      <w:pPr>
        <w:rPr>
          <w:lang w:val="en-US"/>
        </w:rPr>
      </w:pPr>
    </w:p>
    <w:p w:rsidR="00D54833" w:rsidRPr="00A66953" w:rsidRDefault="00D54833" w:rsidP="00D54833">
      <w:pPr>
        <w:rPr>
          <w:lang w:val="en-US"/>
        </w:rPr>
      </w:pPr>
      <w:r w:rsidRPr="00A66953">
        <w:rPr>
          <w:lang w:val="en-US"/>
        </w:rPr>
        <w:lastRenderedPageBreak/>
        <w:t>As shown in the table above, the VIF values of all independent variables are less than 10, and each independent variable has a tolerance value greater than 0.10. It can therefore be concluded that the independent variables in this study do not exhibit multicollinearity.</w:t>
      </w:r>
    </w:p>
    <w:p w:rsidR="00D54833" w:rsidRPr="00A66953" w:rsidRDefault="00D54833" w:rsidP="00D54833"/>
    <w:tbl>
      <w:tblPr>
        <w:tblW w:w="5000" w:type="pct"/>
        <w:jc w:val="center"/>
        <w:tblLook w:val="04A0" w:firstRow="1" w:lastRow="0" w:firstColumn="1" w:lastColumn="0" w:noHBand="0" w:noVBand="1"/>
      </w:tblPr>
      <w:tblGrid>
        <w:gridCol w:w="9964"/>
        <w:gridCol w:w="836"/>
      </w:tblGrid>
      <w:tr w:rsidR="00D54833" w:rsidRPr="00A66953" w:rsidTr="00097052">
        <w:trPr>
          <w:trHeight w:val="315"/>
          <w:jc w:val="center"/>
        </w:trPr>
        <w:tc>
          <w:tcPr>
            <w:tcW w:w="5000" w:type="pct"/>
            <w:gridSpan w:val="2"/>
            <w:tcBorders>
              <w:top w:val="nil"/>
              <w:left w:val="nil"/>
              <w:bottom w:val="nil"/>
              <w:right w:val="nil"/>
            </w:tcBorders>
            <w:noWrap/>
            <w:vAlign w:val="bottom"/>
            <w:hideMark/>
          </w:tcPr>
          <w:p w:rsidR="00D54833" w:rsidRPr="00522C34" w:rsidRDefault="00D54833" w:rsidP="00D54833">
            <w:pPr>
              <w:rPr>
                <w:b/>
                <w:bCs/>
              </w:rPr>
            </w:pPr>
            <w:r w:rsidRPr="00A66953">
              <w:rPr>
                <w:b/>
                <w:bCs/>
              </w:rPr>
              <w:t>Table 4</w:t>
            </w:r>
            <w:r w:rsidR="00522C34">
              <w:rPr>
                <w:b/>
                <w:bCs/>
              </w:rPr>
              <w:t xml:space="preserve"> </w:t>
            </w:r>
            <w:r w:rsidRPr="00A66953">
              <w:rPr>
                <w:b/>
                <w:bCs/>
                <w:lang w:val="en-US"/>
              </w:rPr>
              <w:t xml:space="preserve">Autocorrelation Test </w:t>
            </w:r>
            <w:r w:rsidRPr="00A66953">
              <w:rPr>
                <w:b/>
                <w:bCs/>
              </w:rPr>
              <w:t>(</w:t>
            </w:r>
            <w:r w:rsidRPr="00A66953">
              <w:rPr>
                <w:b/>
                <w:bCs/>
                <w:i/>
              </w:rPr>
              <w:t>Durbin Watson</w:t>
            </w:r>
            <w:r w:rsidRPr="00A66953">
              <w:rPr>
                <w:b/>
                <w:bCs/>
              </w:rPr>
              <w:t>)</w:t>
            </w:r>
          </w:p>
        </w:tc>
      </w:tr>
      <w:tr w:rsidR="00D54833" w:rsidRPr="00A66953" w:rsidTr="00097052">
        <w:trPr>
          <w:trHeight w:val="315"/>
          <w:jc w:val="center"/>
        </w:trPr>
        <w:tc>
          <w:tcPr>
            <w:tcW w:w="4613" w:type="pct"/>
            <w:tcBorders>
              <w:top w:val="nil"/>
              <w:left w:val="nil"/>
              <w:bottom w:val="nil"/>
              <w:right w:val="nil"/>
            </w:tcBorders>
            <w:noWrap/>
            <w:vAlign w:val="bottom"/>
            <w:hideMark/>
          </w:tcPr>
          <w:p w:rsidR="00D54833" w:rsidRPr="00A66953" w:rsidRDefault="00D54833" w:rsidP="00D54833">
            <w:pPr>
              <w:rPr>
                <w:lang w:val="en-US"/>
              </w:rPr>
            </w:pPr>
          </w:p>
          <w:tbl>
            <w:tblPr>
              <w:tblW w:w="6676"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4"/>
              <w:gridCol w:w="661"/>
              <w:gridCol w:w="931"/>
              <w:gridCol w:w="1386"/>
              <w:gridCol w:w="1713"/>
              <w:gridCol w:w="1191"/>
            </w:tblGrid>
            <w:tr w:rsidR="00D54833" w:rsidRPr="00A66953" w:rsidTr="00097052">
              <w:trPr>
                <w:cantSplit/>
              </w:trPr>
              <w:tc>
                <w:tcPr>
                  <w:tcW w:w="5000" w:type="pct"/>
                  <w:gridSpan w:val="6"/>
                  <w:vAlign w:val="center"/>
                </w:tcPr>
                <w:p w:rsidR="00D54833" w:rsidRPr="00A66953" w:rsidRDefault="00D54833" w:rsidP="00D54833">
                  <w:pPr>
                    <w:rPr>
                      <w:lang w:val="en-US"/>
                    </w:rPr>
                  </w:pPr>
                  <w:r w:rsidRPr="00A66953">
                    <w:rPr>
                      <w:lang w:val="en-US"/>
                    </w:rPr>
                    <w:t xml:space="preserve">Model </w:t>
                  </w:r>
                  <w:proofErr w:type="spellStart"/>
                  <w:r w:rsidRPr="00A66953">
                    <w:rPr>
                      <w:lang w:val="en-US"/>
                    </w:rPr>
                    <w:t>Summary</w:t>
                  </w:r>
                  <w:r w:rsidRPr="00A66953">
                    <w:rPr>
                      <w:vertAlign w:val="superscript"/>
                      <w:lang w:val="en-US"/>
                    </w:rPr>
                    <w:t>b</w:t>
                  </w:r>
                  <w:proofErr w:type="spellEnd"/>
                </w:p>
              </w:tc>
            </w:tr>
            <w:tr w:rsidR="00D54833" w:rsidRPr="00A66953" w:rsidTr="00097052">
              <w:trPr>
                <w:cantSplit/>
                <w:trHeight w:val="470"/>
              </w:trPr>
              <w:tc>
                <w:tcPr>
                  <w:tcW w:w="595" w:type="pct"/>
                  <w:vMerge w:val="restart"/>
                  <w:vAlign w:val="bottom"/>
                </w:tcPr>
                <w:p w:rsidR="00D54833" w:rsidRPr="00A66953" w:rsidRDefault="00D54833" w:rsidP="00D54833">
                  <w:pPr>
                    <w:rPr>
                      <w:lang w:val="en-US"/>
                    </w:rPr>
                  </w:pPr>
                  <w:r w:rsidRPr="00A66953">
                    <w:rPr>
                      <w:lang w:val="en-US"/>
                    </w:rPr>
                    <w:t>Model</w:t>
                  </w:r>
                </w:p>
              </w:tc>
              <w:tc>
                <w:tcPr>
                  <w:tcW w:w="495" w:type="pct"/>
                  <w:vMerge w:val="restart"/>
                  <w:vAlign w:val="bottom"/>
                </w:tcPr>
                <w:p w:rsidR="00D54833" w:rsidRPr="00A66953" w:rsidRDefault="00D54833" w:rsidP="00D54833">
                  <w:pPr>
                    <w:rPr>
                      <w:lang w:val="en-US"/>
                    </w:rPr>
                  </w:pPr>
                  <w:r w:rsidRPr="00A66953">
                    <w:rPr>
                      <w:lang w:val="en-US"/>
                    </w:rPr>
                    <w:t>R</w:t>
                  </w:r>
                </w:p>
              </w:tc>
              <w:tc>
                <w:tcPr>
                  <w:tcW w:w="697" w:type="pct"/>
                  <w:vMerge w:val="restart"/>
                  <w:vAlign w:val="bottom"/>
                </w:tcPr>
                <w:p w:rsidR="00D54833" w:rsidRPr="00A66953" w:rsidRDefault="00D54833" w:rsidP="00D54833">
                  <w:pPr>
                    <w:rPr>
                      <w:lang w:val="en-US"/>
                    </w:rPr>
                  </w:pPr>
                  <w:r w:rsidRPr="00A66953">
                    <w:rPr>
                      <w:lang w:val="en-US"/>
                    </w:rPr>
                    <w:t>R Square</w:t>
                  </w:r>
                </w:p>
              </w:tc>
              <w:tc>
                <w:tcPr>
                  <w:tcW w:w="1038" w:type="pct"/>
                  <w:vMerge w:val="restart"/>
                  <w:vAlign w:val="bottom"/>
                </w:tcPr>
                <w:p w:rsidR="00D54833" w:rsidRPr="00A66953" w:rsidRDefault="00D54833" w:rsidP="00D54833">
                  <w:pPr>
                    <w:rPr>
                      <w:lang w:val="en-US"/>
                    </w:rPr>
                  </w:pPr>
                  <w:r w:rsidRPr="00A66953">
                    <w:rPr>
                      <w:lang w:val="en-US"/>
                    </w:rPr>
                    <w:t>Adjusted R Square</w:t>
                  </w:r>
                </w:p>
              </w:tc>
              <w:tc>
                <w:tcPr>
                  <w:tcW w:w="1283" w:type="pct"/>
                  <w:vMerge w:val="restart"/>
                  <w:vAlign w:val="bottom"/>
                </w:tcPr>
                <w:p w:rsidR="00D54833" w:rsidRPr="00A66953" w:rsidRDefault="00D54833" w:rsidP="00D54833">
                  <w:pPr>
                    <w:rPr>
                      <w:lang w:val="en-US"/>
                    </w:rPr>
                  </w:pPr>
                  <w:r w:rsidRPr="00A66953">
                    <w:rPr>
                      <w:lang w:val="en-US"/>
                    </w:rPr>
                    <w:t>Std. Error of the Estimate</w:t>
                  </w:r>
                </w:p>
              </w:tc>
              <w:tc>
                <w:tcPr>
                  <w:tcW w:w="892" w:type="pct"/>
                  <w:vMerge w:val="restart"/>
                  <w:vAlign w:val="bottom"/>
                </w:tcPr>
                <w:p w:rsidR="00D54833" w:rsidRPr="00A66953" w:rsidRDefault="00D54833" w:rsidP="00D54833">
                  <w:pPr>
                    <w:rPr>
                      <w:lang w:val="en-US"/>
                    </w:rPr>
                  </w:pPr>
                  <w:r w:rsidRPr="00A66953">
                    <w:rPr>
                      <w:lang w:val="en-US"/>
                    </w:rPr>
                    <w:t>Durbin-Watson</w:t>
                  </w:r>
                </w:p>
              </w:tc>
            </w:tr>
            <w:tr w:rsidR="00D54833" w:rsidRPr="00A66953" w:rsidTr="00097052">
              <w:trPr>
                <w:cantSplit/>
                <w:trHeight w:val="470"/>
              </w:trPr>
              <w:tc>
                <w:tcPr>
                  <w:tcW w:w="595" w:type="pct"/>
                  <w:vMerge/>
                  <w:tcBorders>
                    <w:bottom w:val="single" w:sz="4" w:space="0" w:color="auto"/>
                  </w:tcBorders>
                  <w:vAlign w:val="bottom"/>
                </w:tcPr>
                <w:p w:rsidR="00D54833" w:rsidRPr="00A66953" w:rsidRDefault="00D54833" w:rsidP="00D54833">
                  <w:pPr>
                    <w:rPr>
                      <w:lang w:val="en-US"/>
                    </w:rPr>
                  </w:pPr>
                </w:p>
              </w:tc>
              <w:tc>
                <w:tcPr>
                  <w:tcW w:w="495" w:type="pct"/>
                  <w:vMerge/>
                  <w:tcBorders>
                    <w:bottom w:val="single" w:sz="4" w:space="0" w:color="auto"/>
                  </w:tcBorders>
                  <w:vAlign w:val="bottom"/>
                </w:tcPr>
                <w:p w:rsidR="00D54833" w:rsidRPr="00A66953" w:rsidRDefault="00D54833" w:rsidP="00D54833">
                  <w:pPr>
                    <w:rPr>
                      <w:lang w:val="en-US"/>
                    </w:rPr>
                  </w:pPr>
                </w:p>
              </w:tc>
              <w:tc>
                <w:tcPr>
                  <w:tcW w:w="697" w:type="pct"/>
                  <w:vMerge/>
                  <w:tcBorders>
                    <w:bottom w:val="single" w:sz="4" w:space="0" w:color="auto"/>
                  </w:tcBorders>
                  <w:vAlign w:val="bottom"/>
                </w:tcPr>
                <w:p w:rsidR="00D54833" w:rsidRPr="00A66953" w:rsidRDefault="00D54833" w:rsidP="00D54833">
                  <w:pPr>
                    <w:rPr>
                      <w:lang w:val="en-US"/>
                    </w:rPr>
                  </w:pPr>
                </w:p>
              </w:tc>
              <w:tc>
                <w:tcPr>
                  <w:tcW w:w="1038" w:type="pct"/>
                  <w:vMerge/>
                  <w:tcBorders>
                    <w:bottom w:val="single" w:sz="4" w:space="0" w:color="auto"/>
                  </w:tcBorders>
                  <w:vAlign w:val="bottom"/>
                </w:tcPr>
                <w:p w:rsidR="00D54833" w:rsidRPr="00A66953" w:rsidRDefault="00D54833" w:rsidP="00D54833">
                  <w:pPr>
                    <w:rPr>
                      <w:lang w:val="en-US"/>
                    </w:rPr>
                  </w:pPr>
                </w:p>
              </w:tc>
              <w:tc>
                <w:tcPr>
                  <w:tcW w:w="1283" w:type="pct"/>
                  <w:vMerge/>
                  <w:tcBorders>
                    <w:bottom w:val="single" w:sz="4" w:space="0" w:color="auto"/>
                  </w:tcBorders>
                  <w:vAlign w:val="bottom"/>
                </w:tcPr>
                <w:p w:rsidR="00D54833" w:rsidRPr="00A66953" w:rsidRDefault="00D54833" w:rsidP="00D54833">
                  <w:pPr>
                    <w:rPr>
                      <w:lang w:val="en-US"/>
                    </w:rPr>
                  </w:pPr>
                </w:p>
              </w:tc>
              <w:tc>
                <w:tcPr>
                  <w:tcW w:w="892" w:type="pct"/>
                  <w:vMerge/>
                  <w:tcBorders>
                    <w:bottom w:val="single" w:sz="4" w:space="0" w:color="auto"/>
                  </w:tcBorders>
                  <w:vAlign w:val="bottom"/>
                </w:tcPr>
                <w:p w:rsidR="00D54833" w:rsidRPr="00A66953" w:rsidRDefault="00D54833" w:rsidP="00D54833">
                  <w:pPr>
                    <w:rPr>
                      <w:lang w:val="en-US"/>
                    </w:rPr>
                  </w:pPr>
                </w:p>
              </w:tc>
            </w:tr>
            <w:tr w:rsidR="00D54833" w:rsidRPr="00A66953" w:rsidTr="00097052">
              <w:trPr>
                <w:cantSplit/>
              </w:trPr>
              <w:tc>
                <w:tcPr>
                  <w:tcW w:w="595" w:type="pct"/>
                  <w:tcBorders>
                    <w:bottom w:val="single" w:sz="4" w:space="0" w:color="auto"/>
                  </w:tcBorders>
                </w:tcPr>
                <w:p w:rsidR="00D54833" w:rsidRPr="00A66953" w:rsidRDefault="00D54833" w:rsidP="00D54833">
                  <w:pPr>
                    <w:rPr>
                      <w:lang w:val="en-US"/>
                    </w:rPr>
                  </w:pPr>
                  <w:r w:rsidRPr="00A66953">
                    <w:rPr>
                      <w:lang w:val="en-US"/>
                    </w:rPr>
                    <w:t>1</w:t>
                  </w:r>
                </w:p>
              </w:tc>
              <w:tc>
                <w:tcPr>
                  <w:tcW w:w="495" w:type="pct"/>
                  <w:tcBorders>
                    <w:bottom w:val="single" w:sz="4" w:space="0" w:color="auto"/>
                  </w:tcBorders>
                </w:tcPr>
                <w:p w:rsidR="00D54833" w:rsidRPr="00A66953" w:rsidRDefault="00D54833" w:rsidP="00D54833">
                  <w:pPr>
                    <w:rPr>
                      <w:lang w:val="en-US"/>
                    </w:rPr>
                  </w:pPr>
                  <w:r w:rsidRPr="00A66953">
                    <w:rPr>
                      <w:lang w:val="en-US"/>
                    </w:rPr>
                    <w:t>.641</w:t>
                  </w:r>
                  <w:r w:rsidRPr="00A66953">
                    <w:rPr>
                      <w:vertAlign w:val="superscript"/>
                      <w:lang w:val="en-US"/>
                    </w:rPr>
                    <w:t>a</w:t>
                  </w:r>
                </w:p>
              </w:tc>
              <w:tc>
                <w:tcPr>
                  <w:tcW w:w="697" w:type="pct"/>
                  <w:tcBorders>
                    <w:bottom w:val="single" w:sz="4" w:space="0" w:color="auto"/>
                  </w:tcBorders>
                </w:tcPr>
                <w:p w:rsidR="00D54833" w:rsidRPr="00A66953" w:rsidRDefault="00D54833" w:rsidP="00D54833">
                  <w:pPr>
                    <w:rPr>
                      <w:lang w:val="en-US"/>
                    </w:rPr>
                  </w:pPr>
                  <w:r w:rsidRPr="00A66953">
                    <w:rPr>
                      <w:lang w:val="en-US"/>
                    </w:rPr>
                    <w:t>.411</w:t>
                  </w:r>
                </w:p>
              </w:tc>
              <w:tc>
                <w:tcPr>
                  <w:tcW w:w="1038" w:type="pct"/>
                  <w:tcBorders>
                    <w:bottom w:val="single" w:sz="4" w:space="0" w:color="auto"/>
                  </w:tcBorders>
                </w:tcPr>
                <w:p w:rsidR="00D54833" w:rsidRPr="00A66953" w:rsidRDefault="00D54833" w:rsidP="00D54833">
                  <w:pPr>
                    <w:rPr>
                      <w:lang w:val="en-US"/>
                    </w:rPr>
                  </w:pPr>
                  <w:r w:rsidRPr="00A66953">
                    <w:rPr>
                      <w:lang w:val="en-US"/>
                    </w:rPr>
                    <w:t>.169</w:t>
                  </w:r>
                </w:p>
              </w:tc>
              <w:tc>
                <w:tcPr>
                  <w:tcW w:w="1283" w:type="pct"/>
                  <w:tcBorders>
                    <w:bottom w:val="single" w:sz="4" w:space="0" w:color="auto"/>
                  </w:tcBorders>
                </w:tcPr>
                <w:p w:rsidR="00D54833" w:rsidRPr="00A66953" w:rsidRDefault="00D54833" w:rsidP="00D54833">
                  <w:pPr>
                    <w:rPr>
                      <w:lang w:val="en-US"/>
                    </w:rPr>
                  </w:pPr>
                  <w:r w:rsidRPr="00A66953">
                    <w:rPr>
                      <w:lang w:val="en-US"/>
                    </w:rPr>
                    <w:t>.35182715</w:t>
                  </w:r>
                </w:p>
              </w:tc>
              <w:tc>
                <w:tcPr>
                  <w:tcW w:w="892" w:type="pct"/>
                  <w:tcBorders>
                    <w:bottom w:val="single" w:sz="4" w:space="0" w:color="auto"/>
                  </w:tcBorders>
                </w:tcPr>
                <w:p w:rsidR="00D54833" w:rsidRPr="00A66953" w:rsidRDefault="00D54833" w:rsidP="00D54833">
                  <w:pPr>
                    <w:rPr>
                      <w:lang w:val="en-US"/>
                    </w:rPr>
                  </w:pPr>
                  <w:r w:rsidRPr="00A66953">
                    <w:rPr>
                      <w:lang w:val="en-US"/>
                    </w:rPr>
                    <w:t>1.975</w:t>
                  </w:r>
                </w:p>
              </w:tc>
            </w:tr>
            <w:tr w:rsidR="00D54833" w:rsidRPr="00A66953" w:rsidTr="00097052">
              <w:trPr>
                <w:cantSplit/>
              </w:trPr>
              <w:tc>
                <w:tcPr>
                  <w:tcW w:w="5000" w:type="pct"/>
                  <w:gridSpan w:val="6"/>
                  <w:tcBorders>
                    <w:top w:val="single" w:sz="4" w:space="0" w:color="auto"/>
                    <w:left w:val="nil"/>
                    <w:bottom w:val="nil"/>
                    <w:right w:val="nil"/>
                  </w:tcBorders>
                </w:tcPr>
                <w:p w:rsidR="00D54833" w:rsidRPr="00A66953" w:rsidRDefault="00D54833" w:rsidP="00D54833">
                  <w:pPr>
                    <w:rPr>
                      <w:i/>
                      <w:lang w:val="en-US"/>
                    </w:rPr>
                  </w:pPr>
                  <w:r w:rsidRPr="00A66953">
                    <w:rPr>
                      <w:i/>
                      <w:lang w:val="en-US"/>
                    </w:rPr>
                    <w:t>a. Predictors: (Constant), Financial Performance, Capital Structure, Company Size, Company Age</w:t>
                  </w:r>
                </w:p>
              </w:tc>
            </w:tr>
            <w:tr w:rsidR="00D54833" w:rsidRPr="00A66953" w:rsidTr="00097052">
              <w:trPr>
                <w:cantSplit/>
              </w:trPr>
              <w:tc>
                <w:tcPr>
                  <w:tcW w:w="5000" w:type="pct"/>
                  <w:gridSpan w:val="6"/>
                  <w:tcBorders>
                    <w:top w:val="nil"/>
                    <w:left w:val="nil"/>
                    <w:bottom w:val="nil"/>
                    <w:right w:val="nil"/>
                  </w:tcBorders>
                </w:tcPr>
                <w:p w:rsidR="00D54833" w:rsidRPr="00A66953" w:rsidRDefault="00D54833" w:rsidP="00D54833">
                  <w:pPr>
                    <w:rPr>
                      <w:i/>
                      <w:lang w:val="en-US"/>
                    </w:rPr>
                  </w:pPr>
                  <w:r w:rsidRPr="00A66953">
                    <w:rPr>
                      <w:i/>
                      <w:lang w:val="en-US"/>
                    </w:rPr>
                    <w:t>b. Dependent Variable: Timelines of Financial Reporting</w:t>
                  </w:r>
                </w:p>
              </w:tc>
            </w:tr>
          </w:tbl>
          <w:p w:rsidR="00D54833" w:rsidRPr="00A66953" w:rsidRDefault="00D54833" w:rsidP="00D54833"/>
        </w:tc>
        <w:tc>
          <w:tcPr>
            <w:tcW w:w="387" w:type="pct"/>
            <w:tcBorders>
              <w:top w:val="nil"/>
              <w:left w:val="nil"/>
              <w:bottom w:val="nil"/>
              <w:right w:val="nil"/>
            </w:tcBorders>
            <w:noWrap/>
            <w:vAlign w:val="bottom"/>
            <w:hideMark/>
          </w:tcPr>
          <w:p w:rsidR="00D54833" w:rsidRPr="00A66953" w:rsidRDefault="00D54833" w:rsidP="00D54833"/>
        </w:tc>
      </w:tr>
    </w:tbl>
    <w:p w:rsidR="00D54833" w:rsidRPr="00A66953" w:rsidRDefault="00D54833" w:rsidP="00D54833">
      <w:r w:rsidRPr="00A66953">
        <w:rPr>
          <w:lang w:val="en-US"/>
        </w:rPr>
        <w:t>Based on the autocorrelation test using the Durbin-Watson statistic, the Durbin-Watson value for all variables is 1.975. Given that this study employs a sample size of 24 (n=24) and four independent variables (k=4), the Durbin-Watson table indicates a lower bound (dL) of 1.0131, an upper bound (</w:t>
      </w:r>
      <w:proofErr w:type="spellStart"/>
      <w:r w:rsidRPr="00A66953">
        <w:rPr>
          <w:lang w:val="en-US"/>
        </w:rPr>
        <w:t>dU</w:t>
      </w:r>
      <w:proofErr w:type="spellEnd"/>
      <w:r w:rsidRPr="00A66953">
        <w:rPr>
          <w:lang w:val="en-US"/>
        </w:rPr>
        <w:t xml:space="preserve">) of 1.7753, (4-dL) of 2.9869, and (4-dU) of 2.2247. It can thus be concluded that no autocorrelation is present in the regression model, as the d value lies between </w:t>
      </w:r>
      <w:proofErr w:type="spellStart"/>
      <w:r w:rsidRPr="00A66953">
        <w:rPr>
          <w:lang w:val="en-US"/>
        </w:rPr>
        <w:t>dU</w:t>
      </w:r>
      <w:proofErr w:type="spellEnd"/>
      <w:r w:rsidRPr="00A66953">
        <w:rPr>
          <w:lang w:val="en-US"/>
        </w:rPr>
        <w:t xml:space="preserve"> and 4-dU (1.7753 &lt; 1.975 &lt; 2.2247).</w:t>
      </w:r>
    </w:p>
    <w:p w:rsidR="00522C34" w:rsidRDefault="00522C34" w:rsidP="00D54833">
      <w:pPr>
        <w:rPr>
          <w:b/>
          <w:bCs/>
        </w:rPr>
      </w:pPr>
    </w:p>
    <w:p w:rsidR="00D54833" w:rsidRDefault="00D54833" w:rsidP="00D54833">
      <w:pPr>
        <w:rPr>
          <w:b/>
          <w:bCs/>
        </w:rPr>
      </w:pPr>
      <w:r w:rsidRPr="00A66953">
        <w:rPr>
          <w:b/>
          <w:bCs/>
        </w:rPr>
        <w:t>Direct Effects Testing</w:t>
      </w:r>
    </w:p>
    <w:p w:rsidR="00522C34" w:rsidRDefault="00522C34" w:rsidP="00D54833"/>
    <w:p w:rsidR="00522C34" w:rsidRPr="00A66953" w:rsidRDefault="00522C34" w:rsidP="00D54833">
      <w:r w:rsidRPr="00522C34">
        <w:t>Based on Table 5, it is shown that the R-square value in the “model summary” is 0.411. This indicates that the contribution of the variables Company Size (CZ), Company Age (CA), Capital Structure (CS), and Financial Performance (FP) to Timeliness of Financial Reporting (TF) is 41.1%, while the remaining 58.9% is explained by other variables not included in this study.</w:t>
      </w:r>
    </w:p>
    <w:tbl>
      <w:tblPr>
        <w:tblW w:w="8370" w:type="dxa"/>
        <w:tblInd w:w="108" w:type="dxa"/>
        <w:tblLook w:val="04A0" w:firstRow="1" w:lastRow="0" w:firstColumn="1" w:lastColumn="0" w:noHBand="0" w:noVBand="1"/>
      </w:tblPr>
      <w:tblGrid>
        <w:gridCol w:w="8370"/>
      </w:tblGrid>
      <w:tr w:rsidR="00D54833" w:rsidRPr="00A66953" w:rsidTr="00097052">
        <w:trPr>
          <w:trHeight w:val="315"/>
        </w:trPr>
        <w:tc>
          <w:tcPr>
            <w:tcW w:w="8370" w:type="dxa"/>
            <w:tcBorders>
              <w:top w:val="nil"/>
              <w:left w:val="nil"/>
              <w:bottom w:val="nil"/>
              <w:right w:val="nil"/>
            </w:tcBorders>
            <w:noWrap/>
            <w:vAlign w:val="bottom"/>
            <w:hideMark/>
          </w:tcPr>
          <w:p w:rsidR="00522C34" w:rsidRDefault="00522C34" w:rsidP="00D54833">
            <w:pPr>
              <w:rPr>
                <w:b/>
                <w:bCs/>
              </w:rPr>
            </w:pPr>
          </w:p>
          <w:p w:rsidR="00D54833" w:rsidRPr="00522C34" w:rsidRDefault="00D54833" w:rsidP="00D54833">
            <w:pPr>
              <w:rPr>
                <w:b/>
                <w:bCs/>
              </w:rPr>
            </w:pPr>
            <w:r w:rsidRPr="00A66953">
              <w:rPr>
                <w:b/>
                <w:bCs/>
              </w:rPr>
              <w:t>Table 5</w:t>
            </w:r>
            <w:r w:rsidR="00522C34">
              <w:rPr>
                <w:b/>
                <w:bCs/>
              </w:rPr>
              <w:t xml:space="preserve"> </w:t>
            </w:r>
            <w:r w:rsidRPr="00A66953">
              <w:rPr>
                <w:b/>
                <w:bCs/>
                <w:lang w:val="en-US"/>
              </w:rPr>
              <w:t>Test of the Coefficient of Determination</w:t>
            </w:r>
            <w:r w:rsidRPr="00A66953">
              <w:rPr>
                <w:b/>
                <w:bCs/>
                <w:lang w:val="sv-SE"/>
              </w:rPr>
              <w:t xml:space="preserve"> (R Square)</w:t>
            </w:r>
          </w:p>
        </w:tc>
      </w:tr>
      <w:tr w:rsidR="00D54833" w:rsidRPr="00A66953" w:rsidTr="00097052">
        <w:trPr>
          <w:trHeight w:val="315"/>
        </w:trPr>
        <w:tc>
          <w:tcPr>
            <w:tcW w:w="8370" w:type="dxa"/>
            <w:tcBorders>
              <w:top w:val="nil"/>
              <w:left w:val="nil"/>
              <w:bottom w:val="nil"/>
              <w:right w:val="nil"/>
            </w:tcBorders>
            <w:noWrap/>
            <w:vAlign w:val="bottom"/>
            <w:hideMark/>
          </w:tcPr>
          <w:p w:rsidR="00D54833" w:rsidRPr="00A66953" w:rsidRDefault="00D54833" w:rsidP="00D54833"/>
          <w:tbl>
            <w:tblPr>
              <w:tblW w:w="6676" w:type="dxa"/>
              <w:tblInd w:w="630" w:type="dxa"/>
              <w:tblCellMar>
                <w:left w:w="0" w:type="dxa"/>
                <w:right w:w="0" w:type="dxa"/>
              </w:tblCellMar>
              <w:tblLook w:val="0000" w:firstRow="0" w:lastRow="0" w:firstColumn="0" w:lastColumn="0" w:noHBand="0" w:noVBand="0"/>
            </w:tblPr>
            <w:tblGrid>
              <w:gridCol w:w="794"/>
              <w:gridCol w:w="661"/>
              <w:gridCol w:w="931"/>
              <w:gridCol w:w="1386"/>
              <w:gridCol w:w="1713"/>
              <w:gridCol w:w="1191"/>
            </w:tblGrid>
            <w:tr w:rsidR="00D54833" w:rsidRPr="00A66953" w:rsidTr="00097052">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b/>
                      <w:bCs/>
                      <w:lang w:val="en-US"/>
                    </w:rPr>
                    <w:t xml:space="preserve">Model </w:t>
                  </w:r>
                  <w:proofErr w:type="spellStart"/>
                  <w:r w:rsidRPr="00A66953">
                    <w:rPr>
                      <w:b/>
                      <w:bCs/>
                      <w:lang w:val="en-US"/>
                    </w:rPr>
                    <w:t>Summary</w:t>
                  </w:r>
                  <w:r w:rsidRPr="00A66953">
                    <w:rPr>
                      <w:b/>
                      <w:bCs/>
                      <w:vertAlign w:val="superscript"/>
                      <w:lang w:val="en-US"/>
                    </w:rPr>
                    <w:t>b</w:t>
                  </w:r>
                  <w:proofErr w:type="spellEnd"/>
                </w:p>
              </w:tc>
            </w:tr>
            <w:tr w:rsidR="00D54833" w:rsidRPr="00A66953" w:rsidTr="00097052">
              <w:trPr>
                <w:cantSplit/>
                <w:trHeight w:val="470"/>
              </w:trPr>
              <w:tc>
                <w:tcPr>
                  <w:tcW w:w="595" w:type="pct"/>
                  <w:vMerge w:val="restar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Model</w:t>
                  </w:r>
                </w:p>
              </w:tc>
              <w:tc>
                <w:tcPr>
                  <w:tcW w:w="495" w:type="pct"/>
                  <w:vMerge w:val="restar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R</w:t>
                  </w:r>
                </w:p>
              </w:tc>
              <w:tc>
                <w:tcPr>
                  <w:tcW w:w="697" w:type="pct"/>
                  <w:vMerge w:val="restar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R Square</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Adjusted R Square</w:t>
                  </w:r>
                </w:p>
              </w:tc>
              <w:tc>
                <w:tcPr>
                  <w:tcW w:w="1283" w:type="pct"/>
                  <w:vMerge w:val="restar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Std. Error of the Estimate</w:t>
                  </w:r>
                </w:p>
              </w:tc>
              <w:tc>
                <w:tcPr>
                  <w:tcW w:w="892" w:type="pct"/>
                  <w:vMerge w:val="restar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Durbin-Watson</w:t>
                  </w:r>
                </w:p>
              </w:tc>
            </w:tr>
            <w:tr w:rsidR="00D54833" w:rsidRPr="00A66953" w:rsidTr="00097052">
              <w:trPr>
                <w:cantSplit/>
                <w:trHeight w:val="470"/>
              </w:trPr>
              <w:tc>
                <w:tcPr>
                  <w:tcW w:w="595" w:type="pct"/>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495" w:type="pct"/>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697" w:type="pct"/>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1283" w:type="pct"/>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892" w:type="pct"/>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r>
            <w:tr w:rsidR="00D54833" w:rsidRPr="00A66953" w:rsidTr="00097052">
              <w:trPr>
                <w:cantSplit/>
              </w:trPr>
              <w:tc>
                <w:tcPr>
                  <w:tcW w:w="595" w:type="pc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w:t>
                  </w:r>
                </w:p>
              </w:tc>
              <w:tc>
                <w:tcPr>
                  <w:tcW w:w="495" w:type="pc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.641</w:t>
                  </w:r>
                  <w:r w:rsidRPr="00A66953">
                    <w:rPr>
                      <w:vertAlign w:val="superscript"/>
                      <w:lang w:val="en-US"/>
                    </w:rPr>
                    <w:t>a</w:t>
                  </w:r>
                </w:p>
              </w:tc>
              <w:tc>
                <w:tcPr>
                  <w:tcW w:w="697" w:type="pc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.411</w:t>
                  </w:r>
                </w:p>
              </w:tc>
              <w:tc>
                <w:tcPr>
                  <w:tcW w:w="1038" w:type="pc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.169</w:t>
                  </w:r>
                </w:p>
              </w:tc>
              <w:tc>
                <w:tcPr>
                  <w:tcW w:w="1283" w:type="pc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.35182715</w:t>
                  </w:r>
                </w:p>
              </w:tc>
              <w:tc>
                <w:tcPr>
                  <w:tcW w:w="892" w:type="pct"/>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1.975</w:t>
                  </w:r>
                </w:p>
              </w:tc>
            </w:tr>
            <w:tr w:rsidR="00D54833" w:rsidRPr="00A66953" w:rsidTr="00097052">
              <w:trPr>
                <w:cantSplit/>
              </w:trPr>
              <w:tc>
                <w:tcPr>
                  <w:tcW w:w="5000" w:type="pct"/>
                  <w:gridSpan w:val="6"/>
                  <w:tcBorders>
                    <w:top w:val="single" w:sz="4" w:space="0" w:color="auto"/>
                  </w:tcBorders>
                </w:tcPr>
                <w:p w:rsidR="00D54833" w:rsidRPr="00A66953" w:rsidRDefault="00D54833" w:rsidP="00D54833">
                  <w:pPr>
                    <w:rPr>
                      <w:i/>
                      <w:lang w:val="en-US"/>
                    </w:rPr>
                  </w:pPr>
                  <w:r w:rsidRPr="00A66953">
                    <w:rPr>
                      <w:i/>
                      <w:lang w:val="en-US"/>
                    </w:rPr>
                    <w:t>a. Predictors: (Constant), Financial Performance, Capital Structure, Company Size, Company Age</w:t>
                  </w:r>
                </w:p>
              </w:tc>
            </w:tr>
            <w:tr w:rsidR="00D54833" w:rsidRPr="00A66953" w:rsidTr="00097052">
              <w:trPr>
                <w:cantSplit/>
              </w:trPr>
              <w:tc>
                <w:tcPr>
                  <w:tcW w:w="5000" w:type="pct"/>
                  <w:gridSpan w:val="6"/>
                </w:tcPr>
                <w:p w:rsidR="00D54833" w:rsidRPr="00A66953" w:rsidRDefault="00D54833" w:rsidP="00D54833">
                  <w:pPr>
                    <w:rPr>
                      <w:i/>
                      <w:lang w:val="en-US"/>
                    </w:rPr>
                  </w:pPr>
                  <w:r w:rsidRPr="00A66953">
                    <w:rPr>
                      <w:i/>
                      <w:lang w:val="en-US"/>
                    </w:rPr>
                    <w:t>b. Dependent Variable: Timelines of Financial Reporting</w:t>
                  </w:r>
                </w:p>
              </w:tc>
            </w:tr>
          </w:tbl>
          <w:p w:rsidR="00D54833" w:rsidRPr="00A66953" w:rsidRDefault="00D54833" w:rsidP="00D54833"/>
        </w:tc>
      </w:tr>
    </w:tbl>
    <w:p w:rsidR="00D54833" w:rsidRPr="00A66953" w:rsidRDefault="00D54833" w:rsidP="00D54833">
      <w:pPr>
        <w:rPr>
          <w:lang w:val="en-US"/>
        </w:rPr>
      </w:pPr>
      <w:r w:rsidRPr="00A66953">
        <w:rPr>
          <w:noProof/>
          <w:lang w:val="en-US"/>
        </w:rPr>
        <w:lastRenderedPageBreak/>
        <w:drawing>
          <wp:inline distT="0" distB="0" distL="0" distR="0" wp14:anchorId="62D40B70" wp14:editId="7BC7ABB7">
            <wp:extent cx="5212080" cy="2383155"/>
            <wp:effectExtent l="0" t="0" r="0" b="0"/>
            <wp:docPr id="1956771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71490" name=""/>
                    <pic:cNvPicPr/>
                  </pic:nvPicPr>
                  <pic:blipFill>
                    <a:blip r:embed="rId12"/>
                    <a:stretch>
                      <a:fillRect/>
                    </a:stretch>
                  </pic:blipFill>
                  <pic:spPr>
                    <a:xfrm>
                      <a:off x="0" y="0"/>
                      <a:ext cx="5212080" cy="2383155"/>
                    </a:xfrm>
                    <a:prstGeom prst="rect">
                      <a:avLst/>
                    </a:prstGeom>
                  </pic:spPr>
                </pic:pic>
              </a:graphicData>
            </a:graphic>
          </wp:inline>
        </w:drawing>
      </w:r>
    </w:p>
    <w:p w:rsidR="00D54833" w:rsidRPr="00A66953" w:rsidRDefault="00D54833" w:rsidP="00D54833"/>
    <w:p w:rsidR="00D54833" w:rsidRPr="00A66953" w:rsidRDefault="00D54833" w:rsidP="00D54833">
      <w:pPr>
        <w:rPr>
          <w:b/>
          <w:bCs/>
          <w:lang w:val="sv-SE"/>
        </w:rPr>
      </w:pPr>
      <w:r w:rsidRPr="00A66953">
        <w:rPr>
          <w:b/>
          <w:bCs/>
          <w:lang w:val="sv-SE"/>
        </w:rPr>
        <w:t>Figure 2</w:t>
      </w:r>
      <w:r w:rsidR="00522C34">
        <w:rPr>
          <w:b/>
          <w:bCs/>
          <w:lang w:val="sv-SE"/>
        </w:rPr>
        <w:t xml:space="preserve"> </w:t>
      </w:r>
      <w:r w:rsidRPr="00A66953">
        <w:rPr>
          <w:b/>
          <w:bCs/>
          <w:lang w:val="sv-SE"/>
        </w:rPr>
        <w:t>Path Diagram of Structural Model</w:t>
      </w:r>
    </w:p>
    <w:p w:rsidR="00D54833" w:rsidRPr="00A66953" w:rsidRDefault="00D54833" w:rsidP="00D54833">
      <w:pPr>
        <w:rPr>
          <w:b/>
          <w:lang w:val="sv-SE"/>
        </w:rPr>
      </w:pPr>
    </w:p>
    <w:p w:rsidR="00D54833" w:rsidRDefault="00D54833" w:rsidP="00D54833">
      <w:pPr>
        <w:rPr>
          <w:b/>
          <w:lang w:val="sv-SE"/>
        </w:rPr>
      </w:pPr>
      <w:r w:rsidRPr="00A66953">
        <w:rPr>
          <w:b/>
          <w:lang w:val="sv-SE"/>
        </w:rPr>
        <w:t>Table 6</w:t>
      </w:r>
      <w:r w:rsidR="00522C34">
        <w:rPr>
          <w:b/>
          <w:lang w:val="sv-SE"/>
        </w:rPr>
        <w:t xml:space="preserve">: </w:t>
      </w:r>
      <w:r w:rsidRPr="00A66953">
        <w:rPr>
          <w:b/>
          <w:lang w:val="sv-SE"/>
        </w:rPr>
        <w:t>F test</w:t>
      </w:r>
      <w:r w:rsidR="00522C34">
        <w:rPr>
          <w:b/>
          <w:lang w:val="sv-SE"/>
        </w:rPr>
        <w:t xml:space="preserve"> of the study</w:t>
      </w:r>
    </w:p>
    <w:p w:rsidR="00522C34" w:rsidRPr="00A66953" w:rsidRDefault="00522C34" w:rsidP="00D54833">
      <w:pPr>
        <w:rPr>
          <w:b/>
          <w:lang w:val="sv-SE"/>
        </w:rPr>
      </w:pP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54833" w:rsidRPr="00A66953" w:rsidTr="00097052">
        <w:trPr>
          <w:cantSplit/>
        </w:trPr>
        <w:tc>
          <w:tcPr>
            <w:tcW w:w="7969" w:type="dxa"/>
            <w:gridSpan w:val="7"/>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roofErr w:type="spellStart"/>
            <w:r w:rsidRPr="00A66953">
              <w:rPr>
                <w:b/>
                <w:bCs/>
                <w:lang w:val="en-US"/>
              </w:rPr>
              <w:t>ANOVA</w:t>
            </w:r>
            <w:r w:rsidRPr="00A66953">
              <w:rPr>
                <w:b/>
                <w:bCs/>
                <w:vertAlign w:val="superscript"/>
                <w:lang w:val="en-US"/>
              </w:rPr>
              <w:t>a</w:t>
            </w:r>
            <w:proofErr w:type="spellEnd"/>
          </w:p>
        </w:tc>
      </w:tr>
      <w:tr w:rsidR="00D54833" w:rsidRPr="00A66953" w:rsidTr="00097052">
        <w:trPr>
          <w:cantSplit/>
        </w:trPr>
        <w:tc>
          <w:tcPr>
            <w:tcW w:w="2017" w:type="dxa"/>
            <w:gridSpan w:val="2"/>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Model</w:t>
            </w:r>
          </w:p>
        </w:tc>
        <w:tc>
          <w:tcPr>
            <w:tcW w:w="1469"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Sum of Squares</w:t>
            </w:r>
          </w:p>
        </w:tc>
        <w:tc>
          <w:tcPr>
            <w:tcW w:w="102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df</w:t>
            </w:r>
          </w:p>
        </w:tc>
        <w:tc>
          <w:tcPr>
            <w:tcW w:w="1408"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Mean Square</w:t>
            </w:r>
          </w:p>
        </w:tc>
        <w:tc>
          <w:tcPr>
            <w:tcW w:w="102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F</w:t>
            </w:r>
          </w:p>
        </w:tc>
        <w:tc>
          <w:tcPr>
            <w:tcW w:w="102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Sig.</w:t>
            </w:r>
          </w:p>
        </w:tc>
      </w:tr>
      <w:tr w:rsidR="00D54833" w:rsidRPr="00A66953" w:rsidTr="00097052">
        <w:trPr>
          <w:cantSplit/>
        </w:trPr>
        <w:tc>
          <w:tcPr>
            <w:tcW w:w="733" w:type="dxa"/>
            <w:vMerge w:val="restart"/>
            <w:tcBorders>
              <w:top w:val="single" w:sz="4" w:space="0" w:color="auto"/>
              <w:left w:val="single" w:sz="4" w:space="0" w:color="auto"/>
              <w:bottom w:val="single" w:sz="4" w:space="0" w:color="auto"/>
              <w:right w:val="single" w:sz="4" w:space="0" w:color="auto"/>
            </w:tcBorders>
          </w:tcPr>
          <w:p w:rsidR="00D54833" w:rsidRPr="00A66953" w:rsidRDefault="00D54833" w:rsidP="00D54833">
            <w:pPr>
              <w:rPr>
                <w:lang w:val="en-US"/>
              </w:rPr>
            </w:pPr>
            <w:r w:rsidRPr="00A66953">
              <w:rPr>
                <w:lang w:val="en-US"/>
              </w:rPr>
              <w:t>1</w:t>
            </w:r>
          </w:p>
        </w:tc>
        <w:tc>
          <w:tcPr>
            <w:tcW w:w="1284"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Regression</w:t>
            </w:r>
          </w:p>
        </w:tc>
        <w:tc>
          <w:tcPr>
            <w:tcW w:w="1469"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.694</w:t>
            </w:r>
          </w:p>
        </w:tc>
        <w:tc>
          <w:tcPr>
            <w:tcW w:w="102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4</w:t>
            </w:r>
          </w:p>
        </w:tc>
        <w:tc>
          <w:tcPr>
            <w:tcW w:w="1408"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.174</w:t>
            </w:r>
          </w:p>
        </w:tc>
        <w:tc>
          <w:tcPr>
            <w:tcW w:w="102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4.402</w:t>
            </w:r>
          </w:p>
        </w:tc>
        <w:tc>
          <w:tcPr>
            <w:tcW w:w="102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.000</w:t>
            </w:r>
            <w:r w:rsidRPr="00A66953">
              <w:rPr>
                <w:vertAlign w:val="superscript"/>
                <w:lang w:val="en-US"/>
              </w:rPr>
              <w:t>b</w:t>
            </w:r>
          </w:p>
        </w:tc>
      </w:tr>
      <w:tr w:rsidR="00D54833" w:rsidRPr="00A66953" w:rsidTr="00097052">
        <w:trPr>
          <w:cantSplit/>
        </w:trPr>
        <w:tc>
          <w:tcPr>
            <w:tcW w:w="733" w:type="dxa"/>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1284"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Residual</w:t>
            </w:r>
          </w:p>
        </w:tc>
        <w:tc>
          <w:tcPr>
            <w:tcW w:w="1469"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11.264</w:t>
            </w:r>
          </w:p>
        </w:tc>
        <w:tc>
          <w:tcPr>
            <w:tcW w:w="102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91</w:t>
            </w:r>
          </w:p>
        </w:tc>
        <w:tc>
          <w:tcPr>
            <w:tcW w:w="1408"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.124</w:t>
            </w:r>
          </w:p>
        </w:tc>
        <w:tc>
          <w:tcPr>
            <w:tcW w:w="102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102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r>
      <w:tr w:rsidR="00D54833" w:rsidRPr="00A66953" w:rsidTr="00097052">
        <w:trPr>
          <w:cantSplit/>
        </w:trPr>
        <w:tc>
          <w:tcPr>
            <w:tcW w:w="733" w:type="dxa"/>
            <w:vMerge/>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1284"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Total</w:t>
            </w:r>
          </w:p>
        </w:tc>
        <w:tc>
          <w:tcPr>
            <w:tcW w:w="1469"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11.958</w:t>
            </w:r>
          </w:p>
        </w:tc>
        <w:tc>
          <w:tcPr>
            <w:tcW w:w="102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r w:rsidRPr="00A66953">
              <w:rPr>
                <w:lang w:val="en-US"/>
              </w:rPr>
              <w:t>95</w:t>
            </w:r>
          </w:p>
        </w:tc>
        <w:tc>
          <w:tcPr>
            <w:tcW w:w="1408"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102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c>
          <w:tcPr>
            <w:tcW w:w="1025" w:type="dxa"/>
            <w:tcBorders>
              <w:top w:val="single" w:sz="4" w:space="0" w:color="auto"/>
              <w:left w:val="single" w:sz="4" w:space="0" w:color="auto"/>
              <w:bottom w:val="single" w:sz="4" w:space="0" w:color="auto"/>
              <w:right w:val="single" w:sz="4" w:space="0" w:color="auto"/>
            </w:tcBorders>
            <w:vAlign w:val="center"/>
          </w:tcPr>
          <w:p w:rsidR="00D54833" w:rsidRPr="00A66953" w:rsidRDefault="00D54833" w:rsidP="00D54833">
            <w:pPr>
              <w:rPr>
                <w:lang w:val="en-US"/>
              </w:rPr>
            </w:pPr>
          </w:p>
        </w:tc>
      </w:tr>
      <w:tr w:rsidR="00D54833" w:rsidRPr="00A66953" w:rsidTr="00097052">
        <w:trPr>
          <w:cantSplit/>
        </w:trPr>
        <w:tc>
          <w:tcPr>
            <w:tcW w:w="7969" w:type="dxa"/>
            <w:gridSpan w:val="7"/>
            <w:tcBorders>
              <w:top w:val="single" w:sz="4" w:space="0" w:color="auto"/>
            </w:tcBorders>
          </w:tcPr>
          <w:p w:rsidR="00D54833" w:rsidRPr="00A66953" w:rsidRDefault="00D54833" w:rsidP="00D54833">
            <w:pPr>
              <w:rPr>
                <w:lang w:val="en-US"/>
              </w:rPr>
            </w:pPr>
            <w:r w:rsidRPr="00A66953">
              <w:rPr>
                <w:lang w:val="en-US"/>
              </w:rPr>
              <w:t xml:space="preserve">a. </w:t>
            </w:r>
            <w:r w:rsidRPr="00A66953">
              <w:rPr>
                <w:i/>
                <w:lang w:val="en-US"/>
              </w:rPr>
              <w:t>Dependent Variable</w:t>
            </w:r>
            <w:r w:rsidRPr="00A66953">
              <w:rPr>
                <w:lang w:val="en-US"/>
              </w:rPr>
              <w:t xml:space="preserve">: </w:t>
            </w:r>
            <w:r w:rsidRPr="00A66953">
              <w:rPr>
                <w:i/>
                <w:lang w:val="en-US"/>
              </w:rPr>
              <w:t>Timelines of Financial Reporting</w:t>
            </w:r>
          </w:p>
        </w:tc>
      </w:tr>
      <w:tr w:rsidR="00D54833" w:rsidRPr="00A66953" w:rsidTr="00097052">
        <w:trPr>
          <w:cantSplit/>
        </w:trPr>
        <w:tc>
          <w:tcPr>
            <w:tcW w:w="7969" w:type="dxa"/>
            <w:gridSpan w:val="7"/>
          </w:tcPr>
          <w:p w:rsidR="00D54833" w:rsidRPr="00A66953" w:rsidRDefault="00D54833" w:rsidP="00D54833">
            <w:pPr>
              <w:rPr>
                <w:lang w:val="en-US"/>
              </w:rPr>
            </w:pPr>
            <w:r w:rsidRPr="00A66953">
              <w:rPr>
                <w:lang w:val="en-US"/>
              </w:rPr>
              <w:t xml:space="preserve">b. </w:t>
            </w:r>
            <w:r w:rsidRPr="00A66953">
              <w:rPr>
                <w:i/>
                <w:lang w:val="en-US"/>
              </w:rPr>
              <w:t>Predictors</w:t>
            </w:r>
            <w:r w:rsidRPr="00A66953">
              <w:rPr>
                <w:lang w:val="en-US"/>
              </w:rPr>
              <w:t>: (</w:t>
            </w:r>
            <w:r w:rsidRPr="00A66953">
              <w:rPr>
                <w:i/>
                <w:lang w:val="en-US"/>
              </w:rPr>
              <w:t>Constant</w:t>
            </w:r>
            <w:r w:rsidRPr="00A66953">
              <w:rPr>
                <w:lang w:val="en-US"/>
              </w:rPr>
              <w:t xml:space="preserve">), </w:t>
            </w:r>
            <w:r w:rsidRPr="00A66953">
              <w:rPr>
                <w:i/>
                <w:lang w:val="en-US"/>
              </w:rPr>
              <w:t>Financial Performance, Capital Structure, Company Size, Company Age</w:t>
            </w:r>
          </w:p>
        </w:tc>
      </w:tr>
    </w:tbl>
    <w:p w:rsidR="00D54833" w:rsidRPr="00A66953" w:rsidRDefault="00D54833" w:rsidP="00D54833">
      <w:r w:rsidRPr="00A66953">
        <w:rPr>
          <w:lang w:val="en-US"/>
        </w:rPr>
        <w:t>Based on the F-test conducted on both regression models, it can be observed that the significance values obtained for both models are 0.002 and 0.000, which are smaller than the threshold significance level of α = 0.05. The calculated F-value for regression model 2, as presented in Table 6, is 4.402, which is greater than the F-table value of 3.01. Therefore, it can be concluded that regression model 2, as shown in Table 6, is deemed appropriate to explain the influence of company size (CZ), company age (CA), capital structure (CS), and financial performance (FP) on the dependent variable timeliness of financial reporting (TF).</w:t>
      </w:r>
    </w:p>
    <w:p w:rsidR="00D54833" w:rsidRPr="00A66953" w:rsidRDefault="00D54833" w:rsidP="00D54833">
      <w:r w:rsidRPr="00A66953">
        <w:t>The hypothesis testing revealed several significant relationships.</w:t>
      </w:r>
    </w:p>
    <w:p w:rsidR="00D54833" w:rsidRPr="00A66953" w:rsidRDefault="00D54833" w:rsidP="00D54833">
      <w:pPr>
        <w:numPr>
          <w:ilvl w:val="0"/>
          <w:numId w:val="4"/>
        </w:numPr>
      </w:pPr>
      <w:r w:rsidRPr="00A66953">
        <w:rPr>
          <w:b/>
          <w:bCs/>
        </w:rPr>
        <w:t>Company size</w:t>
      </w:r>
      <w:r w:rsidRPr="00A66953">
        <w:t xml:space="preserve"> positively and significantly affects financial performance, supporting the assumption that larger firms benefit from economies of scale and better resource allocation.</w:t>
      </w:r>
    </w:p>
    <w:p w:rsidR="00D54833" w:rsidRPr="00A66953" w:rsidRDefault="00D54833" w:rsidP="00D54833">
      <w:pPr>
        <w:numPr>
          <w:ilvl w:val="0"/>
          <w:numId w:val="4"/>
        </w:numPr>
      </w:pPr>
      <w:r w:rsidRPr="00A66953">
        <w:rPr>
          <w:b/>
          <w:bCs/>
        </w:rPr>
        <w:t>Company age</w:t>
      </w:r>
      <w:r w:rsidRPr="00A66953">
        <w:t xml:space="preserve"> also has a positive effect on financial performance, suggesting that more established firms gain advantages from accumulated experience and reputation.</w:t>
      </w:r>
    </w:p>
    <w:p w:rsidR="00D54833" w:rsidRPr="00A66953" w:rsidRDefault="00D54833" w:rsidP="00D54833">
      <w:pPr>
        <w:numPr>
          <w:ilvl w:val="0"/>
          <w:numId w:val="4"/>
        </w:numPr>
      </w:pPr>
      <w:r w:rsidRPr="00A66953">
        <w:rPr>
          <w:b/>
          <w:bCs/>
        </w:rPr>
        <w:t>Capital structure</w:t>
      </w:r>
      <w:r w:rsidRPr="00A66953">
        <w:t xml:space="preserve"> exhibits a significant influence on financial performance, consistent with the trade-off theory regarding the balance of debt and equity.</w:t>
      </w:r>
    </w:p>
    <w:p w:rsidR="00D54833" w:rsidRPr="00A66953" w:rsidRDefault="00D54833" w:rsidP="00D54833">
      <w:pPr>
        <w:numPr>
          <w:ilvl w:val="0"/>
          <w:numId w:val="4"/>
        </w:numPr>
      </w:pPr>
      <w:r w:rsidRPr="00A66953">
        <w:t xml:space="preserve">In terms of reporting timeliness, </w:t>
      </w:r>
      <w:r w:rsidRPr="00A66953">
        <w:rPr>
          <w:b/>
          <w:bCs/>
        </w:rPr>
        <w:t>company size</w:t>
      </w:r>
      <w:r w:rsidRPr="00A66953">
        <w:t xml:space="preserve"> and </w:t>
      </w:r>
      <w:r w:rsidRPr="00A66953">
        <w:rPr>
          <w:b/>
          <w:bCs/>
        </w:rPr>
        <w:t>financial performance</w:t>
      </w:r>
      <w:r w:rsidRPr="00A66953">
        <w:t xml:space="preserve"> show significant positive effects, whereas capital structure demonstrated a weaker association.</w:t>
      </w:r>
    </w:p>
    <w:p w:rsidR="00D54833" w:rsidRPr="00A66953" w:rsidRDefault="00D54833" w:rsidP="00D54833">
      <w:r w:rsidRPr="00A66953">
        <w:rPr>
          <w:b/>
          <w:bCs/>
        </w:rPr>
        <w:t>Indirect Effects (Mediating Role of Financial Performance)</w:t>
      </w:r>
    </w:p>
    <w:p w:rsidR="00D54833" w:rsidRPr="00A66953" w:rsidRDefault="00D54833" w:rsidP="00D54833">
      <w:r w:rsidRPr="00A66953">
        <w:t xml:space="preserve">The mediating analysis demonstrated that financial performance partially mediates the relationship between company size, company age, and capital structure with </w:t>
      </w:r>
      <w:r w:rsidR="00D8431F" w:rsidRPr="00A66953">
        <w:t xml:space="preserve">the </w:t>
      </w:r>
      <w:r w:rsidRPr="00A66953">
        <w:t>timeliness of financial reporting. This implies that firm characteristics impact reporting timeliness both directly and indirectly through their influence on financial performance.</w:t>
      </w:r>
    </w:p>
    <w:p w:rsidR="00D54833" w:rsidRPr="00A66953" w:rsidRDefault="00D54833" w:rsidP="00D54833">
      <w:r w:rsidRPr="00A66953">
        <w:rPr>
          <w:b/>
          <w:bCs/>
          <w:lang w:val="en-US"/>
        </w:rPr>
        <w:lastRenderedPageBreak/>
        <w:t xml:space="preserve">H8: Company size has a positive effect on the timeliness of financial reporting through financial </w:t>
      </w:r>
      <w:proofErr w:type="spellStart"/>
      <w:proofErr w:type="gramStart"/>
      <w:r w:rsidRPr="00A66953">
        <w:rPr>
          <w:b/>
          <w:bCs/>
          <w:lang w:val="en-US"/>
        </w:rPr>
        <w:t>performance.</w:t>
      </w:r>
      <w:r w:rsidRPr="00A66953">
        <w:rPr>
          <w:lang w:val="en-US"/>
        </w:rPr>
        <w:t>As</w:t>
      </w:r>
      <w:proofErr w:type="spellEnd"/>
      <w:proofErr w:type="gramEnd"/>
      <w:r w:rsidRPr="00A66953">
        <w:rPr>
          <w:lang w:val="en-US"/>
        </w:rPr>
        <w:t xml:space="preserve"> shown in the results of the path analysis above:</w:t>
      </w:r>
    </w:p>
    <w:p w:rsidR="00D54833" w:rsidRPr="00A66953" w:rsidRDefault="00D54833" w:rsidP="00D54833">
      <w:pPr>
        <w:rPr>
          <w:lang w:val="en-US"/>
        </w:rPr>
      </w:pPr>
      <w:r w:rsidRPr="00A66953">
        <w:rPr>
          <w:lang w:val="en-US"/>
        </w:rPr>
        <w:t xml:space="preserve">Coefficient of Direct Effect: </w:t>
      </w:r>
      <w:r w:rsidRPr="00A66953">
        <w:rPr>
          <w:b/>
          <w:bCs/>
          <w:lang w:val="en-US"/>
        </w:rPr>
        <w:t>CZ → TF = 0.081</w:t>
      </w:r>
    </w:p>
    <w:p w:rsidR="00D54833" w:rsidRPr="00A66953" w:rsidRDefault="00D54833" w:rsidP="00D54833">
      <w:r w:rsidRPr="00A66953">
        <w:rPr>
          <w:lang w:val="en-US"/>
        </w:rPr>
        <w:t xml:space="preserve">Coefficient of Indirect Effect: </w:t>
      </w:r>
      <w:r w:rsidRPr="00A66953">
        <w:rPr>
          <w:b/>
          <w:bCs/>
          <w:lang w:val="en-US"/>
        </w:rPr>
        <w:t>CZ → FP → TF = 0.173 × 0.039 = 0.007</w:t>
      </w:r>
    </w:p>
    <w:p w:rsidR="00D54833" w:rsidRPr="00A66953" w:rsidRDefault="00D54833" w:rsidP="00D54833">
      <w:r w:rsidRPr="00A66953">
        <w:rPr>
          <w:b/>
          <w:bCs/>
        </w:rPr>
        <w:t>H9: Company age has a positive effect on the timeliness of financial reporting through financial performance.</w:t>
      </w:r>
    </w:p>
    <w:p w:rsidR="00D54833" w:rsidRPr="00A66953" w:rsidRDefault="00D54833" w:rsidP="00D54833">
      <w:r w:rsidRPr="00A66953">
        <w:t>As shown in the results of the path analysis above:</w:t>
      </w:r>
    </w:p>
    <w:p w:rsidR="00D54833" w:rsidRPr="00A66953" w:rsidRDefault="00D54833" w:rsidP="00D54833">
      <w:pPr>
        <w:numPr>
          <w:ilvl w:val="0"/>
          <w:numId w:val="5"/>
        </w:numPr>
      </w:pPr>
      <w:r w:rsidRPr="00A66953">
        <w:t xml:space="preserve">Coefficient of direct effect: </w:t>
      </w:r>
      <w:r w:rsidRPr="00A66953">
        <w:rPr>
          <w:b/>
          <w:bCs/>
        </w:rPr>
        <w:t>CA – TF = 0.109</w:t>
      </w:r>
    </w:p>
    <w:p w:rsidR="00D54833" w:rsidRPr="00A66953" w:rsidRDefault="00D54833" w:rsidP="00D54833">
      <w:pPr>
        <w:numPr>
          <w:ilvl w:val="0"/>
          <w:numId w:val="5"/>
        </w:numPr>
      </w:pPr>
      <w:r w:rsidRPr="00A66953">
        <w:t xml:space="preserve">Coefficient of indirect effect: </w:t>
      </w:r>
      <w:r w:rsidRPr="00A66953">
        <w:rPr>
          <w:b/>
          <w:bCs/>
        </w:rPr>
        <w:t>CA – FP – TF = 0.319 × 0.039 = 0.012</w:t>
      </w:r>
    </w:p>
    <w:p w:rsidR="00D54833" w:rsidRPr="00A66953" w:rsidRDefault="00D54833" w:rsidP="00D54833">
      <w:r w:rsidRPr="00A66953">
        <w:t xml:space="preserve">The coefficient of the direct effect of company age (CA) on timeliness of financial reporting (TF) is 0.109. Meanwhile, the coefficient of the indirect effect of company age (CA) on timeliness of financial reporting (TF) through financial performance (FP) is 0.012. The calculation shows that the coefficient of the indirect effect is smaller than that of the direct effect. This result supports the hypothesis that company age (CA) influences timeliness of financial reporting (TF) through financial performance (FP). Therefore, it can be concluded that company age (CA) affects the timeliness of financial reporting through financial performance, or in other words, </w:t>
      </w:r>
      <w:r w:rsidRPr="00A66953">
        <w:rPr>
          <w:b/>
          <w:bCs/>
        </w:rPr>
        <w:t>H9 is accepted</w:t>
      </w:r>
      <w:r w:rsidRPr="00A66953">
        <w:t>.</w:t>
      </w:r>
    </w:p>
    <w:p w:rsidR="00D54833" w:rsidRPr="00A66953" w:rsidRDefault="00D54833" w:rsidP="00D54833">
      <w:r w:rsidRPr="00A66953">
        <w:rPr>
          <w:b/>
          <w:bCs/>
        </w:rPr>
        <w:t>H10: Capital structure has an effect on the timeliness of financial reporting through financial performance.</w:t>
      </w:r>
    </w:p>
    <w:p w:rsidR="00D54833" w:rsidRPr="00A66953" w:rsidRDefault="00D54833" w:rsidP="00D54833">
      <w:r w:rsidRPr="00A66953">
        <w:t>As shown in the results of the path analysis above:</w:t>
      </w:r>
    </w:p>
    <w:p w:rsidR="00D54833" w:rsidRPr="00A66953" w:rsidRDefault="00D54833" w:rsidP="00D54833">
      <w:pPr>
        <w:numPr>
          <w:ilvl w:val="0"/>
          <w:numId w:val="6"/>
        </w:numPr>
      </w:pPr>
      <w:r w:rsidRPr="00A66953">
        <w:t xml:space="preserve">Coefficient of direct effect: </w:t>
      </w:r>
      <w:r w:rsidRPr="00A66953">
        <w:rPr>
          <w:b/>
          <w:bCs/>
        </w:rPr>
        <w:t>CS – TF = 0.196</w:t>
      </w:r>
    </w:p>
    <w:p w:rsidR="00D54833" w:rsidRPr="00A66953" w:rsidRDefault="00D54833" w:rsidP="00D54833">
      <w:pPr>
        <w:numPr>
          <w:ilvl w:val="0"/>
          <w:numId w:val="6"/>
        </w:numPr>
      </w:pPr>
      <w:r w:rsidRPr="00A66953">
        <w:t xml:space="preserve">Coefficient of indirect effect: </w:t>
      </w:r>
      <w:r w:rsidRPr="00A66953">
        <w:rPr>
          <w:b/>
          <w:bCs/>
        </w:rPr>
        <w:t>CS – FP – TF = –0.020 × 0.039 = –0.000</w:t>
      </w:r>
    </w:p>
    <w:p w:rsidR="00D54833" w:rsidRPr="00A66953" w:rsidRDefault="00D54833" w:rsidP="00D54833">
      <w:r w:rsidRPr="00A66953">
        <w:t xml:space="preserve">The coefficient of the direct effect of capital structure (CS) on timeliness of financial reporting (TF) is 0.196. Meanwhile, the coefficient of the indirect effect of capital structure (CS) on timeliness of financial reporting (TF) through financial performance (FP) is –0.000. The calculation indicates that the coefficient of the indirect effect is smaller than that of the direct effect. This finding is consistent with the hypothesis that capital structure (CS) influences timeliness of financial reporting (TF) through financial performance (FP). Therefore, it can be concluded that capital structure (CS) affects the timeliness of financial reporting through financial performance, or in other words, </w:t>
      </w:r>
      <w:r w:rsidRPr="00A66953">
        <w:rPr>
          <w:b/>
          <w:bCs/>
        </w:rPr>
        <w:t>H10 is accepted</w:t>
      </w:r>
      <w:r w:rsidRPr="00A66953">
        <w:t>.</w:t>
      </w:r>
    </w:p>
    <w:p w:rsidR="00D54833" w:rsidRPr="00A66953" w:rsidRDefault="00D54833" w:rsidP="00D54833"/>
    <w:p w:rsidR="00D54833" w:rsidRPr="00A66953" w:rsidRDefault="00D54833" w:rsidP="00D54833">
      <w:r w:rsidRPr="00A66953">
        <w:rPr>
          <w:noProof/>
          <w:lang w:val="en-US"/>
        </w:rPr>
        <w:drawing>
          <wp:inline distT="0" distB="0" distL="0" distR="0" wp14:anchorId="36138397" wp14:editId="25AC184A">
            <wp:extent cx="3597910" cy="1524000"/>
            <wp:effectExtent l="0" t="0" r="0" b="0"/>
            <wp:docPr id="1564025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25028" name="Picture 15640250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28950" cy="1537148"/>
                    </a:xfrm>
                    <a:prstGeom prst="rect">
                      <a:avLst/>
                    </a:prstGeom>
                  </pic:spPr>
                </pic:pic>
              </a:graphicData>
            </a:graphic>
          </wp:inline>
        </w:drawing>
      </w:r>
    </w:p>
    <w:p w:rsidR="00D54833" w:rsidRPr="00522C34" w:rsidRDefault="00D54833" w:rsidP="00D54833">
      <w:pPr>
        <w:rPr>
          <w:b/>
          <w:bCs/>
          <w:lang w:val="sv-SE"/>
        </w:rPr>
      </w:pPr>
      <w:r w:rsidRPr="00A66953">
        <w:rPr>
          <w:b/>
          <w:bCs/>
          <w:lang w:val="sv-SE"/>
        </w:rPr>
        <w:t>Figure 3</w:t>
      </w:r>
      <w:r w:rsidR="00522C34">
        <w:rPr>
          <w:b/>
          <w:bCs/>
          <w:lang w:val="sv-SE"/>
        </w:rPr>
        <w:t xml:space="preserve"> </w:t>
      </w:r>
      <w:r w:rsidRPr="00A66953">
        <w:rPr>
          <w:b/>
          <w:bCs/>
        </w:rPr>
        <w:t>Direct and Indirect Effects</w:t>
      </w:r>
    </w:p>
    <w:p w:rsidR="00D54833" w:rsidRPr="00A66953" w:rsidRDefault="00D54833" w:rsidP="00D54833">
      <w:pPr>
        <w:rPr>
          <w:lang w:val="en-US"/>
        </w:rPr>
      </w:pPr>
    </w:p>
    <w:p w:rsidR="00D54833" w:rsidRPr="00A66953" w:rsidRDefault="00D54833" w:rsidP="00D54833">
      <w:pPr>
        <w:rPr>
          <w:b/>
          <w:bCs/>
        </w:rPr>
      </w:pPr>
      <w:r w:rsidRPr="00A66953">
        <w:rPr>
          <w:b/>
          <w:bCs/>
        </w:rPr>
        <w:t>DISCUSSION AND CONCLUSION</w:t>
      </w:r>
    </w:p>
    <w:p w:rsidR="00D54833" w:rsidRPr="00A66953" w:rsidRDefault="00D54833" w:rsidP="00D54833">
      <w:pPr>
        <w:rPr>
          <w:b/>
          <w:bCs/>
        </w:rPr>
      </w:pPr>
      <w:r w:rsidRPr="00A66953">
        <w:rPr>
          <w:b/>
          <w:bCs/>
        </w:rPr>
        <w:t>5.1 Discussion</w:t>
      </w:r>
    </w:p>
    <w:p w:rsidR="00D54833" w:rsidRPr="00A66953" w:rsidRDefault="00D54833" w:rsidP="00D54833">
      <w:r w:rsidRPr="00A66953">
        <w:t>The findings of this study provide insights into the relationships between company characteristics, capital structure, financial performance, and the timeliness of financial reporting among food and beverage companies listed on the Indonesia Stock Exchange.</w:t>
      </w:r>
    </w:p>
    <w:p w:rsidR="00D54833" w:rsidRPr="00A66953" w:rsidRDefault="00D54833" w:rsidP="00D54833">
      <w:r w:rsidRPr="00A66953">
        <w:t xml:space="preserve">First, the results indicate that </w:t>
      </w:r>
      <w:r w:rsidRPr="00A66953">
        <w:rPr>
          <w:b/>
          <w:bCs/>
        </w:rPr>
        <w:t>company size</w:t>
      </w:r>
      <w:r w:rsidRPr="00A66953">
        <w:t xml:space="preserve"> positively affects financial performance. Larger firms tend to possess more abundant resources, stronger market power, and greater economies of scale, enabling them to achieve higher profitability. These findings are consistent with prior research by </w:t>
      </w:r>
      <w:r w:rsidRPr="00A66953">
        <w:fldChar w:fldCharType="begin" w:fldLock="1"/>
      </w:r>
      <w:r w:rsidRPr="00A66953">
        <w:instrText>ADDIN CSL_CITATION {"citationItems":[{"id":"ITEM-1","itemData":{"DOI":"10.1002/ijfe.1986","ISSN":"10991158","abstract":"This paper empirically investigates whether intellectual capital (IC) and shariah governance jointly affect the economic performance of Islamic banks (IBs). In contrast to prior research, this paper disaggregate IC and corporate governance features and examine whether the two are jointly related to economic performance. These relationships are further explored before, during and after the financial crisis based on a sample of 64 Islamic banks operating in different regions during the period 2007–2014. The required data to calculate different constituents of IC efficiency and governance mechanism is hand collected from 512 annual reports. After controlling for other corporate governance and bank-specific characteristics (operational type, bank size, listing status, risk, type of auditor, accounting standard and region), we find both intellectual capital efficiency and shariah governance proxies (size and dominance of prominent scholars of shariah supervisory board) to have a significant positive relationship with accounting measure of performance. However, based on market performance measure, only one proxy for shariah governance mechanism, that is, prominent scholars on SSB, is found to be significant but in the negative direction. These results provide important insights into the relationship between IC efficiency, corporate governance and performance in Islamic banking business model and have policy and practical implications.","author":[{"dropping-particle":"","family":"Nawaz","given":"Tasawar","non-dropping-particle":"","parse-names":false,"suffix":""},{"dropping-particle":"","family":"Haniffa","given":"Roszaini","non-dropping-particle":"","parse-names":false,"suffix":""},{"dropping-particle":"","family":"Hudaib","given":"Mohammad","non-dropping-particle":"","parse-names":false,"suffix":""}],"container-title":"International Journal of Finance and Economics","id":"ITEM-1","issue":"November 2019","issued":{"date-parts":[["2020"]]},"page":"1-18","title":"On intellectual capital efficiency and shariah governance in Islamic banking business model","type":"article-journal"},"uris":["http://www.mendeley.com/documents/?uuid=520a39ed-b04b-4ce7-a8ab-ec79c420219b"]}],"mendeley":{"formattedCitation":"(Nawaz et al., 2020)","plainTextFormattedCitation":"(Nawaz et al., 2020)","previouslyFormattedCitation":"(Nawaz et al., 2020)"},"properties":{"noteIndex":0},"schema":"https://github.com/citation-style-language/schema/raw/master/csl-citation.json"}</w:instrText>
      </w:r>
      <w:r w:rsidRPr="00A66953">
        <w:fldChar w:fldCharType="separate"/>
      </w:r>
      <w:r w:rsidRPr="00A66953">
        <w:rPr>
          <w:noProof/>
        </w:rPr>
        <w:t>(Nawaz et al., 2020)</w:t>
      </w:r>
      <w:r w:rsidRPr="00A66953">
        <w:fldChar w:fldCharType="end"/>
      </w:r>
      <w:r w:rsidRPr="00A66953">
        <w:t xml:space="preserve">, which </w:t>
      </w:r>
      <w:r w:rsidRPr="00A66953">
        <w:lastRenderedPageBreak/>
        <w:t xml:space="preserve">confirmed that company size significantly improves financial performance. Furthermore, company size was also found to influence the </w:t>
      </w:r>
      <w:r w:rsidRPr="00A66953">
        <w:rPr>
          <w:b/>
          <w:bCs/>
        </w:rPr>
        <w:t>timeliness of financial reporting</w:t>
      </w:r>
      <w:r w:rsidRPr="00A66953">
        <w:t>, suggesting that larger firms are more capable of employing sophisticated accounting systems and resources to accelerate the reporting process.</w:t>
      </w:r>
    </w:p>
    <w:p w:rsidR="00D54833" w:rsidRPr="00A66953" w:rsidRDefault="00D54833" w:rsidP="00D54833">
      <w:r w:rsidRPr="00A66953">
        <w:t xml:space="preserve">Second, </w:t>
      </w:r>
      <w:r w:rsidRPr="00A66953">
        <w:rPr>
          <w:b/>
          <w:bCs/>
        </w:rPr>
        <w:t>company age</w:t>
      </w:r>
      <w:r w:rsidRPr="00A66953">
        <w:t xml:space="preserve"> was found to positively influence financial performance and timeliness of reporting. Older firms benefit from accumulated experience, stronger reputations, and more established stakeholder relationships, which enhance operational efficiency and reporting discipline. These results are in line with </w:t>
      </w:r>
      <w:r w:rsidRPr="00A66953">
        <w:fldChar w:fldCharType="begin" w:fldLock="1"/>
      </w:r>
      <w:r w:rsidRPr="00A66953">
        <w:instrText>ADDIN CSL_CITATION {"citationItems":[{"id":"ITEM-1","itemData":{"DOI":"10.3390/su13116054","ISSN":"20711050","abstract":"The purpose of this study is to investigate the relationship between overconfident CEOs, voluntary disclosure of greenhouse gas emissions and firm value, and whether corporate (internal and external) governance affects this association. Using logistic regression and a firm-fixed effect model, I analyzed a sample of voluntary disclosing firms with the fiscal year in December that are listed in the Korean stock market for the period from 2011 to 2019, measuring corporate governance based on female representation within boards and industry-level competition. As a result, this study finds that, on average, CEO overconfidence is positively related to voluntary disclosure of greenhouse gas emissions. Moreover, in firms with more female representation on boards, the positive relationship between CEO overconfidence, voluntary disclosure of greenhouse gas emissions, and firm value is more pronounced, implying that women directors effectively monitor overconfident CEOs. Similarly, this positive relationship is also strengthened according to the degree of industry-level competition, which indicates that the external governance role of competition can alleviate CEO overconfidence. This study is meaningful as the first study to examine the effect of voluntary greenhouse gas (GHG) emissions disclosure on investors’ valuation in the Korean capital market, taking the characteristics of managers and governance structure into account.","author":[{"dropping-particle":"","family":"Lee","given":"Jaehong","non-dropping-particle":"","parse-names":false,"suffix":""}],"container-title":"Sustainability (Switzerland)","id":"ITEM-1","issue":"11","issued":{"date-parts":[["2021"]]},"title":"Ceo overconfidence and voluntary disclosure of greenhouse gas emissions: With a focus on the role of corporate governance","type":"article-journal","volume":"13"},"uris":["http://www.mendeley.com/documents/?uuid=fac9e600-ceec-48d8-b306-f66628b0ea9c"]}],"mendeley":{"formattedCitation":"(Lee, 2021)","plainTextFormattedCitation":"(Lee, 2021)","previouslyFormattedCitation":"(Lee, 2021)"},"properties":{"noteIndex":0},"schema":"https://github.com/citation-style-language/schema/raw/master/csl-citation.json"}</w:instrText>
      </w:r>
      <w:r w:rsidRPr="00A66953">
        <w:fldChar w:fldCharType="separate"/>
      </w:r>
      <w:r w:rsidRPr="00A66953">
        <w:rPr>
          <w:noProof/>
        </w:rPr>
        <w:t>(Lee, 2021)</w:t>
      </w:r>
      <w:r w:rsidRPr="00A66953">
        <w:fldChar w:fldCharType="end"/>
      </w:r>
      <w:r w:rsidRPr="00A66953">
        <w:t>, who found that firm age significantly contributes to performance outcomes.</w:t>
      </w:r>
    </w:p>
    <w:p w:rsidR="00D54833" w:rsidRPr="00A66953" w:rsidRDefault="00D54833" w:rsidP="00D54833">
      <w:r w:rsidRPr="00A66953">
        <w:t xml:space="preserve">Third, </w:t>
      </w:r>
      <w:r w:rsidRPr="00A66953">
        <w:rPr>
          <w:b/>
          <w:bCs/>
        </w:rPr>
        <w:t>capital structure</w:t>
      </w:r>
      <w:r w:rsidRPr="00A66953">
        <w:t xml:space="preserve"> demonstrates a significant effect on financial performance and reporting timeliness. Firms with balanced debt and equity structures may achieve optimal financial leverage, which enhances profitability and discipline in reporting obligations. This aligns with the trade-off theory, suggesting that firms strive to maintain an optimal capital structure to balance risk and return.</w:t>
      </w:r>
    </w:p>
    <w:p w:rsidR="00D54833" w:rsidRPr="00A66953" w:rsidRDefault="00D54833" w:rsidP="00D54833">
      <w:r w:rsidRPr="00A66953">
        <w:t xml:space="preserve">Fourth, the study shows that </w:t>
      </w:r>
      <w:r w:rsidRPr="00A66953">
        <w:rPr>
          <w:b/>
          <w:bCs/>
        </w:rPr>
        <w:t>financial performance</w:t>
      </w:r>
      <w:r w:rsidRPr="00A66953">
        <w:t xml:space="preserve"> significantly influences the timeliness of financial reporting. Companies with higher profitability and stronger financial stability are more likely to invest in accounting infrastructure and governance practices that ensure timely reporting. This confirms the argument that financial success provides not only resources but also incentives to comply with disclosure requirements.</w:t>
      </w:r>
    </w:p>
    <w:p w:rsidR="00D54833" w:rsidRPr="00A66953" w:rsidRDefault="00D54833" w:rsidP="00D54833">
      <w:r w:rsidRPr="00A66953">
        <w:t>Finally, the mediation analysis reveals that financial performance partially mediates the relationships between company size, company age, and capital structure on the timeliness of financial reporting. This implies that while firm characteristics directly affect reporting timeliness, part of the effect operates through their influence on financial performance.</w:t>
      </w:r>
    </w:p>
    <w:p w:rsidR="00D54833" w:rsidRPr="00A66953" w:rsidRDefault="00D54833" w:rsidP="00D54833">
      <w:pPr>
        <w:rPr>
          <w:b/>
          <w:bCs/>
        </w:rPr>
      </w:pPr>
      <w:r w:rsidRPr="00A66953">
        <w:rPr>
          <w:b/>
          <w:bCs/>
        </w:rPr>
        <w:t>5.2 Conclusion</w:t>
      </w:r>
    </w:p>
    <w:p w:rsidR="00D54833" w:rsidRPr="00A66953" w:rsidRDefault="00D54833" w:rsidP="00D54833">
      <w:r w:rsidRPr="00A66953">
        <w:t>This research concludes that company size, company age, and capital structure significantly affect both financial performance and the timeliness of financial reporting. Furthermore, financial performance itself is a critical determinant of reporting timeliness. The mediation analysis confirms that financial performance serves as a pathway linking firm characteristics to reporting outcomes.</w:t>
      </w:r>
    </w:p>
    <w:p w:rsidR="00D54833" w:rsidRDefault="00D54833" w:rsidP="00D54833">
      <w:r w:rsidRPr="00A66953">
        <w:t xml:space="preserve">The findings contribute both theoretically and practically. Theoretically, this study extends the application of </w:t>
      </w:r>
      <w:r w:rsidRPr="00A66953">
        <w:rPr>
          <w:b/>
          <w:bCs/>
        </w:rPr>
        <w:t xml:space="preserve">agency theory, </w:t>
      </w:r>
      <w:proofErr w:type="spellStart"/>
      <w:r w:rsidRPr="00A66953">
        <w:rPr>
          <w:b/>
          <w:bCs/>
        </w:rPr>
        <w:t>signaling</w:t>
      </w:r>
      <w:proofErr w:type="spellEnd"/>
      <w:r w:rsidRPr="00A66953">
        <w:rPr>
          <w:b/>
          <w:bCs/>
        </w:rPr>
        <w:t xml:space="preserve"> theory, and trade-off theory</w:t>
      </w:r>
      <w:r w:rsidRPr="00A66953">
        <w:t xml:space="preserve"> in explaining the determinants of financial reporting timeliness. Practically, the results emphasize the importance for firms to optimize their resources, leverage their experience, and manage capital structures effectively to ensure timely and reliable financial disclosures.</w:t>
      </w:r>
    </w:p>
    <w:p w:rsidR="00522C34" w:rsidRPr="00A66953" w:rsidRDefault="00522C34" w:rsidP="00D54833"/>
    <w:p w:rsidR="00D54833" w:rsidRPr="00A66953" w:rsidRDefault="00D54833" w:rsidP="00D54833">
      <w:pPr>
        <w:rPr>
          <w:b/>
          <w:bCs/>
        </w:rPr>
      </w:pPr>
      <w:r w:rsidRPr="00A66953">
        <w:rPr>
          <w:b/>
          <w:bCs/>
        </w:rPr>
        <w:t>5.3 Recommendations</w:t>
      </w:r>
    </w:p>
    <w:p w:rsidR="00D54833" w:rsidRPr="00A66953" w:rsidRDefault="00D54833" w:rsidP="00D54833">
      <w:r w:rsidRPr="00A66953">
        <w:t>For future studies, it is suggested to:</w:t>
      </w:r>
    </w:p>
    <w:p w:rsidR="00D54833" w:rsidRPr="00A66953" w:rsidRDefault="00D54833" w:rsidP="00D54833">
      <w:pPr>
        <w:numPr>
          <w:ilvl w:val="0"/>
          <w:numId w:val="7"/>
        </w:numPr>
      </w:pPr>
      <w:r w:rsidRPr="00A66953">
        <w:t>Expand the sample size beyond the food and beverage sector to improve generalizability.</w:t>
      </w:r>
    </w:p>
    <w:p w:rsidR="00D54833" w:rsidRPr="00A66953" w:rsidRDefault="00D54833" w:rsidP="00D54833">
      <w:pPr>
        <w:numPr>
          <w:ilvl w:val="0"/>
          <w:numId w:val="7"/>
        </w:numPr>
      </w:pPr>
      <w:r w:rsidRPr="00A66953">
        <w:t>Incorporate additional variables such as corporate governance mechanisms, audit quality, and ownership structure.</w:t>
      </w:r>
    </w:p>
    <w:p w:rsidR="00D54833" w:rsidRPr="00A66953" w:rsidRDefault="00D54833" w:rsidP="00D54833">
      <w:pPr>
        <w:numPr>
          <w:ilvl w:val="0"/>
          <w:numId w:val="7"/>
        </w:numPr>
      </w:pPr>
      <w:r w:rsidRPr="00A66953">
        <w:t>Use longitudinal data to capture dynamic changes over time.</w:t>
      </w:r>
    </w:p>
    <w:p w:rsidR="00D54833" w:rsidRPr="00A66953" w:rsidRDefault="00D54833" w:rsidP="00D54833">
      <w:r w:rsidRPr="00A66953">
        <w:t>Overall, this study highlights that company characteristics and financial performance play a central role in shaping the timeliness of financial reporting, thereby enhancing corporate transparency and stakeholder trust.</w:t>
      </w:r>
    </w:p>
    <w:p w:rsidR="00D54833" w:rsidRPr="00A66953" w:rsidRDefault="00D54833" w:rsidP="00D54833"/>
    <w:p w:rsidR="00CA0E14" w:rsidRDefault="00CA0E14" w:rsidP="00D54833">
      <w:pPr>
        <w:rPr>
          <w:b/>
          <w:bCs/>
          <w:lang w:val="en-GB"/>
        </w:rPr>
      </w:pPr>
    </w:p>
    <w:p w:rsidR="00CA0E14" w:rsidRDefault="00CA0E14" w:rsidP="00D54833">
      <w:pPr>
        <w:rPr>
          <w:b/>
          <w:bCs/>
          <w:lang w:val="en-GB"/>
        </w:rPr>
      </w:pPr>
    </w:p>
    <w:p w:rsidR="00D54833" w:rsidRPr="00A66953" w:rsidRDefault="00D54833" w:rsidP="00D54833">
      <w:pPr>
        <w:rPr>
          <w:lang w:val="en-GB"/>
        </w:rPr>
      </w:pPr>
      <w:r w:rsidRPr="00A66953">
        <w:rPr>
          <w:b/>
          <w:bCs/>
          <w:lang w:val="en-GB"/>
        </w:rPr>
        <w:t>COMPETING INTERESTS DISCLAIMER:</w:t>
      </w:r>
    </w:p>
    <w:p w:rsidR="00D54833" w:rsidRPr="00A66953" w:rsidRDefault="00D54833" w:rsidP="00D54833">
      <w:pPr>
        <w:rPr>
          <w:lang w:val="en-GB"/>
        </w:rPr>
      </w:pPr>
      <w:r w:rsidRPr="00A66953">
        <w:rPr>
          <w:lang w:val="en-GB"/>
        </w:rPr>
        <w:t>Authors have declared that they have no known competing financial interests OR non-financial interests OR personal relationships that could have appeared to influence the work reported in this paper.</w:t>
      </w:r>
    </w:p>
    <w:p w:rsidR="00D54833" w:rsidRPr="00A66953" w:rsidRDefault="00D54833" w:rsidP="00D54833">
      <w:pPr>
        <w:rPr>
          <w:lang w:val="en-GB"/>
        </w:rPr>
      </w:pPr>
    </w:p>
    <w:p w:rsidR="00D54833" w:rsidRPr="00A66953" w:rsidRDefault="00D54833" w:rsidP="00D54833">
      <w:pPr>
        <w:rPr>
          <w:b/>
          <w:lang w:val="en-GB"/>
        </w:rPr>
      </w:pPr>
    </w:p>
    <w:p w:rsidR="00D54833" w:rsidRPr="00A66953" w:rsidRDefault="00D54833" w:rsidP="00D54833">
      <w:pPr>
        <w:rPr>
          <w:b/>
          <w:lang w:val="en-US"/>
        </w:rPr>
      </w:pPr>
      <w:r w:rsidRPr="00A66953">
        <w:rPr>
          <w:b/>
          <w:lang w:val="en-US"/>
        </w:rPr>
        <w:t>Disclaimer (Artificial intelligence)</w:t>
      </w:r>
    </w:p>
    <w:p w:rsidR="00D54833" w:rsidRPr="00A66953" w:rsidRDefault="00D54833" w:rsidP="00D54833">
      <w:pPr>
        <w:rPr>
          <w:lang w:val="en-US"/>
        </w:rPr>
      </w:pPr>
    </w:p>
    <w:p w:rsidR="00D54833" w:rsidRDefault="00D54833" w:rsidP="00D54833">
      <w:pPr>
        <w:rPr>
          <w:lang w:val="en-US"/>
        </w:rPr>
      </w:pPr>
      <w:r w:rsidRPr="00A66953">
        <w:rPr>
          <w:lang w:val="en-US"/>
        </w:rPr>
        <w:lastRenderedPageBreak/>
        <w:t>Authors hereby declare that NO generative AI technologies such as Large Language Models (</w:t>
      </w:r>
      <w:proofErr w:type="spellStart"/>
      <w:r w:rsidRPr="00A66953">
        <w:rPr>
          <w:lang w:val="en-US"/>
        </w:rPr>
        <w:t>ChatGPT</w:t>
      </w:r>
      <w:proofErr w:type="spellEnd"/>
      <w:r w:rsidRPr="00A66953">
        <w:rPr>
          <w:lang w:val="en-US"/>
        </w:rPr>
        <w:t xml:space="preserve">, COPILOT, etc.) and text-to-image generators have been used during the writing or editing of this manuscript. </w:t>
      </w:r>
    </w:p>
    <w:p w:rsidR="00A66953" w:rsidRDefault="00A66953" w:rsidP="00D54833">
      <w:pPr>
        <w:rPr>
          <w:lang w:val="en-US"/>
        </w:rPr>
      </w:pPr>
    </w:p>
    <w:p w:rsidR="00A66953" w:rsidRPr="00A66953" w:rsidRDefault="00A66953" w:rsidP="00D54833">
      <w:pPr>
        <w:rPr>
          <w:lang w:val="en-US"/>
        </w:rPr>
      </w:pPr>
    </w:p>
    <w:p w:rsidR="00D54833" w:rsidRPr="00A66953" w:rsidRDefault="00D54833" w:rsidP="00D54833">
      <w:pPr>
        <w:rPr>
          <w:b/>
          <w:bCs/>
          <w:lang w:val="en-US"/>
        </w:rPr>
      </w:pPr>
      <w:r w:rsidRPr="00A66953">
        <w:rPr>
          <w:b/>
          <w:bCs/>
          <w:lang w:val="en-US"/>
        </w:rPr>
        <w:t>References</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lang w:val="en-US"/>
        </w:rPr>
        <w:fldChar w:fldCharType="begin" w:fldLock="1"/>
      </w:r>
      <w:r w:rsidRPr="00A66953">
        <w:rPr>
          <w:lang w:val="en-US"/>
        </w:rPr>
        <w:instrText xml:space="preserve">ADDIN Mendeley Bibliography CSL_BIBLIOGRAPHY </w:instrText>
      </w:r>
      <w:r w:rsidRPr="00A66953">
        <w:rPr>
          <w:lang w:val="en-US"/>
        </w:rPr>
        <w:fldChar w:fldCharType="separate"/>
      </w:r>
      <w:r w:rsidRPr="00A66953">
        <w:rPr>
          <w:rFonts w:ascii="Calibri" w:hAnsi="Calibri" w:cs="Calibri"/>
          <w:noProof/>
          <w:kern w:val="0"/>
          <w:lang w:val="en-US"/>
        </w:rPr>
        <w:t xml:space="preserve">Abdulwahab, A. N., Mohd, M. S. S., &amp; Bin, A. Z. (2020). CRM dimensions and performance of SMEs in Yemen: the moderating role of human capital. In </w:t>
      </w:r>
      <w:r w:rsidRPr="00A66953">
        <w:rPr>
          <w:rFonts w:ascii="Calibri" w:hAnsi="Calibri" w:cs="Calibri"/>
          <w:i/>
          <w:iCs/>
          <w:noProof/>
          <w:kern w:val="0"/>
          <w:lang w:val="en-US"/>
        </w:rPr>
        <w:t>Journal of Intellectual Capital: Vol. ahead-of-p</w:t>
      </w:r>
      <w:r w:rsidRPr="00A66953">
        <w:rPr>
          <w:rFonts w:ascii="Calibri" w:hAnsi="Calibri" w:cs="Calibri"/>
          <w:noProof/>
          <w:kern w:val="0"/>
          <w:lang w:val="en-US"/>
        </w:rPr>
        <w:t xml:space="preserve"> (Issue ahead-of-print). https://doi.org/10.1108/JIC-05-2020-0175</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Asyik, N. F. (2017). Dampak Struktur Modal Pada Sensitivitas Penerapan Kompensasi Opsi Saham Karyawan Terhadap Kinerja. </w:t>
      </w:r>
      <w:r w:rsidRPr="00A66953">
        <w:rPr>
          <w:rFonts w:ascii="Calibri" w:hAnsi="Calibri" w:cs="Calibri"/>
          <w:i/>
          <w:iCs/>
          <w:noProof/>
          <w:kern w:val="0"/>
          <w:lang w:val="en-US"/>
        </w:rPr>
        <w:t>EKUITAS (Jurnal Ekonomi Dan Keuangan)</w:t>
      </w:r>
      <w:r w:rsidRPr="00A66953">
        <w:rPr>
          <w:rFonts w:ascii="Calibri" w:hAnsi="Calibri" w:cs="Calibri"/>
          <w:noProof/>
          <w:kern w:val="0"/>
          <w:lang w:val="en-US"/>
        </w:rPr>
        <w:t xml:space="preserve">, </w:t>
      </w:r>
      <w:r w:rsidRPr="00A66953">
        <w:rPr>
          <w:rFonts w:ascii="Calibri" w:hAnsi="Calibri" w:cs="Calibri"/>
          <w:i/>
          <w:iCs/>
          <w:noProof/>
          <w:kern w:val="0"/>
          <w:lang w:val="en-US"/>
        </w:rPr>
        <w:t>14</w:t>
      </w:r>
      <w:r w:rsidRPr="00A66953">
        <w:rPr>
          <w:rFonts w:ascii="Calibri" w:hAnsi="Calibri" w:cs="Calibri"/>
          <w:noProof/>
          <w:kern w:val="0"/>
          <w:lang w:val="en-US"/>
        </w:rPr>
        <w:t>(1), 1. https://doi.org/10.24034/j25485024.y2010.v14.i1.2109</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Bontis, N., William Chua Chong, K., &amp; Richardson, S. (2000). Intellectual capital and business performance in Malaysian industries. </w:t>
      </w:r>
      <w:r w:rsidRPr="00A66953">
        <w:rPr>
          <w:rFonts w:ascii="Calibri" w:hAnsi="Calibri" w:cs="Calibri"/>
          <w:i/>
          <w:iCs/>
          <w:noProof/>
          <w:kern w:val="0"/>
          <w:lang w:val="en-US"/>
        </w:rPr>
        <w:t>Journal of Intellectual Capital</w:t>
      </w:r>
      <w:r w:rsidRPr="00A66953">
        <w:rPr>
          <w:rFonts w:ascii="Calibri" w:hAnsi="Calibri" w:cs="Calibri"/>
          <w:noProof/>
          <w:kern w:val="0"/>
          <w:lang w:val="en-US"/>
        </w:rPr>
        <w:t xml:space="preserve">, </w:t>
      </w:r>
      <w:r w:rsidRPr="00A66953">
        <w:rPr>
          <w:rFonts w:ascii="Calibri" w:hAnsi="Calibri" w:cs="Calibri"/>
          <w:i/>
          <w:iCs/>
          <w:noProof/>
          <w:kern w:val="0"/>
          <w:lang w:val="en-US"/>
        </w:rPr>
        <w:t>1</w:t>
      </w:r>
      <w:r w:rsidRPr="00A66953">
        <w:rPr>
          <w:rFonts w:ascii="Calibri" w:hAnsi="Calibri" w:cs="Calibri"/>
          <w:noProof/>
          <w:kern w:val="0"/>
          <w:lang w:val="en-US"/>
        </w:rPr>
        <w:t>(1), 85</w:t>
      </w:r>
      <w:r w:rsidRPr="00A66953">
        <w:rPr>
          <w:rFonts w:ascii="Calibri" w:hAnsi="Calibri" w:cs="Calibri" w:hint="cs"/>
          <w:noProof/>
          <w:kern w:val="0"/>
          <w:lang w:val="en-US"/>
        </w:rPr>
        <w:t>–</w:t>
      </w:r>
      <w:r w:rsidRPr="00A66953">
        <w:rPr>
          <w:rFonts w:ascii="Calibri" w:hAnsi="Calibri" w:cs="Calibri"/>
          <w:noProof/>
          <w:kern w:val="0"/>
          <w:lang w:val="en-US"/>
        </w:rPr>
        <w:t>100. https://doi.org/10.1108/14691930010324188</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Elisabet, E., &amp; Mulyani, S. D. (2019). Pengaruh Strategi Diferensiasi Produk, Struktur Modal Dan Corporate Social Responsibility Disclosure Terhadap Nilai Perusahaan Dengan Kepemilikan Institusional Sebagai Variabel Moderasi. </w:t>
      </w:r>
      <w:r w:rsidRPr="00A66953">
        <w:rPr>
          <w:rFonts w:ascii="Calibri" w:hAnsi="Calibri" w:cs="Calibri"/>
          <w:i/>
          <w:iCs/>
          <w:noProof/>
          <w:kern w:val="0"/>
          <w:lang w:val="en-US"/>
        </w:rPr>
        <w:t>Jurnal Magister Akuntansi Trisakti</w:t>
      </w:r>
      <w:r w:rsidRPr="00A66953">
        <w:rPr>
          <w:rFonts w:ascii="Calibri" w:hAnsi="Calibri" w:cs="Calibri"/>
          <w:noProof/>
          <w:kern w:val="0"/>
          <w:lang w:val="en-US"/>
        </w:rPr>
        <w:t xml:space="preserve">, </w:t>
      </w:r>
      <w:r w:rsidRPr="00A66953">
        <w:rPr>
          <w:rFonts w:ascii="Calibri" w:hAnsi="Calibri" w:cs="Calibri"/>
          <w:i/>
          <w:iCs/>
          <w:noProof/>
          <w:kern w:val="0"/>
          <w:lang w:val="en-US"/>
        </w:rPr>
        <w:t>5</w:t>
      </w:r>
      <w:r w:rsidRPr="00A66953">
        <w:rPr>
          <w:rFonts w:ascii="Calibri" w:hAnsi="Calibri" w:cs="Calibri"/>
          <w:noProof/>
          <w:kern w:val="0"/>
          <w:lang w:val="en-US"/>
        </w:rPr>
        <w:t>(2), 115</w:t>
      </w:r>
      <w:r w:rsidRPr="00A66953">
        <w:rPr>
          <w:rFonts w:ascii="Calibri" w:hAnsi="Calibri" w:cs="Calibri" w:hint="cs"/>
          <w:noProof/>
          <w:kern w:val="0"/>
          <w:lang w:val="en-US"/>
        </w:rPr>
        <w:t>–</w:t>
      </w:r>
      <w:r w:rsidRPr="00A66953">
        <w:rPr>
          <w:rFonts w:ascii="Calibri" w:hAnsi="Calibri" w:cs="Calibri"/>
          <w:noProof/>
          <w:kern w:val="0"/>
          <w:lang w:val="en-US"/>
        </w:rPr>
        <w:t>136. https://doi.org/10.25105/jmat.v5i2.5070</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Farooq, O., &amp; Zaher, A. A. (2020). Ownership structure and tax avoidance: evidence from indian smes. </w:t>
      </w:r>
      <w:r w:rsidRPr="00A66953">
        <w:rPr>
          <w:rFonts w:ascii="Calibri" w:hAnsi="Calibri" w:cs="Calibri"/>
          <w:i/>
          <w:iCs/>
          <w:noProof/>
          <w:kern w:val="0"/>
          <w:lang w:val="en-US"/>
        </w:rPr>
        <w:t>Review of Pacific Basin Financial Markets and Policies</w:t>
      </w:r>
      <w:r w:rsidRPr="00A66953">
        <w:rPr>
          <w:rFonts w:ascii="Calibri" w:hAnsi="Calibri" w:cs="Calibri"/>
          <w:noProof/>
          <w:kern w:val="0"/>
          <w:lang w:val="en-US"/>
        </w:rPr>
        <w:t xml:space="preserve">, </w:t>
      </w:r>
      <w:r w:rsidRPr="00A66953">
        <w:rPr>
          <w:rFonts w:ascii="Calibri" w:hAnsi="Calibri" w:cs="Calibri"/>
          <w:i/>
          <w:iCs/>
          <w:noProof/>
          <w:kern w:val="0"/>
          <w:lang w:val="en-US"/>
        </w:rPr>
        <w:t>23</w:t>
      </w:r>
      <w:r w:rsidRPr="00A66953">
        <w:rPr>
          <w:rFonts w:ascii="Calibri" w:hAnsi="Calibri" w:cs="Calibri"/>
          <w:noProof/>
          <w:kern w:val="0"/>
          <w:lang w:val="en-US"/>
        </w:rPr>
        <w:t>(2). https://doi.org/10.1142/S0219091520500125</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G. Harb, E., Nasrallah, N., El Khoury, R., &amp; Hussainey, K. (2023). Applying Benford</w:t>
      </w:r>
      <w:r w:rsidRPr="00A66953">
        <w:rPr>
          <w:rFonts w:ascii="Calibri" w:hAnsi="Calibri" w:cs="Calibri" w:hint="cs"/>
          <w:noProof/>
          <w:kern w:val="0"/>
          <w:lang w:val="en-US"/>
        </w:rPr>
        <w:t>’</w:t>
      </w:r>
      <w:r w:rsidRPr="00A66953">
        <w:rPr>
          <w:rFonts w:ascii="Calibri" w:hAnsi="Calibri" w:cs="Calibri"/>
          <w:noProof/>
          <w:kern w:val="0"/>
          <w:lang w:val="en-US"/>
        </w:rPr>
        <w:t xml:space="preserve">s law to detect accounting data manipulation in the pre- and post-financial engineering periods. </w:t>
      </w:r>
      <w:r w:rsidRPr="00A66953">
        <w:rPr>
          <w:rFonts w:ascii="Calibri" w:hAnsi="Calibri" w:cs="Calibri"/>
          <w:i/>
          <w:iCs/>
          <w:noProof/>
          <w:kern w:val="0"/>
          <w:lang w:val="en-US"/>
        </w:rPr>
        <w:t>Journal of Applied Accounting Research</w:t>
      </w:r>
      <w:r w:rsidRPr="00A66953">
        <w:rPr>
          <w:rFonts w:ascii="Calibri" w:hAnsi="Calibri" w:cs="Calibri"/>
          <w:noProof/>
          <w:kern w:val="0"/>
          <w:lang w:val="en-US"/>
        </w:rPr>
        <w:t xml:space="preserve">, </w:t>
      </w:r>
      <w:r w:rsidRPr="00A66953">
        <w:rPr>
          <w:rFonts w:ascii="Calibri" w:hAnsi="Calibri" w:cs="Calibri"/>
          <w:i/>
          <w:iCs/>
          <w:noProof/>
          <w:kern w:val="0"/>
          <w:lang w:val="en-US"/>
        </w:rPr>
        <w:t>24</w:t>
      </w:r>
      <w:r w:rsidRPr="00A66953">
        <w:rPr>
          <w:rFonts w:ascii="Calibri" w:hAnsi="Calibri" w:cs="Calibri"/>
          <w:noProof/>
          <w:kern w:val="0"/>
          <w:lang w:val="en-US"/>
        </w:rPr>
        <w:t>(4), 745</w:t>
      </w:r>
      <w:r w:rsidRPr="00A66953">
        <w:rPr>
          <w:rFonts w:ascii="Calibri" w:hAnsi="Calibri" w:cs="Calibri" w:hint="cs"/>
          <w:noProof/>
          <w:kern w:val="0"/>
          <w:lang w:val="en-US"/>
        </w:rPr>
        <w:t>–</w:t>
      </w:r>
      <w:r w:rsidRPr="00A66953">
        <w:rPr>
          <w:rFonts w:ascii="Calibri" w:hAnsi="Calibri" w:cs="Calibri"/>
          <w:noProof/>
          <w:kern w:val="0"/>
          <w:lang w:val="en-US"/>
        </w:rPr>
        <w:t>768. https://doi.org/10.1108/JAAR-05-2022-0097</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Gamayanti, P., Rahmiyati, N., &amp; Ratnawati, T. (2019). ANALISIS STRUKTUR ASSET, STRUKTUR MODAL DAN UKURAN PERUSAHAAN  TERHADAP NILAI PERUSAHAAN DENGAN EARNING GROWTH DAN RISIKO STRATEGI SEBAGAI VARIABEL INTERVENING PADA PERUSAHAAN MANUFAKTUR YANG TERDAFTAR DI BURSA EFEK INDONESIA. (STUDI PADA SEKTOR INDUSTRI. </w:t>
      </w:r>
      <w:r w:rsidRPr="00A66953">
        <w:rPr>
          <w:rFonts w:ascii="Calibri" w:hAnsi="Calibri" w:cs="Calibri"/>
          <w:i/>
          <w:iCs/>
          <w:noProof/>
          <w:kern w:val="0"/>
          <w:lang w:val="en-US"/>
        </w:rPr>
        <w:t>Jurnal Manajerial</w:t>
      </w:r>
      <w:r w:rsidRPr="00A66953">
        <w:rPr>
          <w:rFonts w:ascii="Calibri" w:hAnsi="Calibri" w:cs="Calibri"/>
          <w:noProof/>
          <w:kern w:val="0"/>
          <w:lang w:val="en-US"/>
        </w:rPr>
        <w:t xml:space="preserve">, </w:t>
      </w:r>
      <w:r w:rsidRPr="00A66953">
        <w:rPr>
          <w:rFonts w:ascii="Calibri" w:hAnsi="Calibri" w:cs="Calibri"/>
          <w:i/>
          <w:iCs/>
          <w:noProof/>
          <w:kern w:val="0"/>
          <w:lang w:val="en-US"/>
        </w:rPr>
        <w:t>6</w:t>
      </w:r>
      <w:r w:rsidRPr="00A66953">
        <w:rPr>
          <w:rFonts w:ascii="Calibri" w:hAnsi="Calibri" w:cs="Calibri"/>
          <w:noProof/>
          <w:kern w:val="0"/>
          <w:lang w:val="en-US"/>
        </w:rPr>
        <w:t>(2 SE-Articles), 1</w:t>
      </w:r>
      <w:r w:rsidRPr="00A66953">
        <w:rPr>
          <w:rFonts w:ascii="Calibri" w:hAnsi="Calibri" w:cs="Calibri" w:hint="cs"/>
          <w:noProof/>
          <w:kern w:val="0"/>
          <w:lang w:val="en-US"/>
        </w:rPr>
        <w:t>–</w:t>
      </w:r>
      <w:r w:rsidRPr="00A66953">
        <w:rPr>
          <w:rFonts w:ascii="Calibri" w:hAnsi="Calibri" w:cs="Calibri"/>
          <w:noProof/>
          <w:kern w:val="0"/>
          <w:lang w:val="en-US"/>
        </w:rPr>
        <w:t>8. https://doi.org/10.30587/jurnalmanajerial.v6i2.888</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Giblin, M. J. (2006). Structural elaboration and institutional isomorphism: The case of crime analysis units. </w:t>
      </w:r>
      <w:r w:rsidRPr="00A66953">
        <w:rPr>
          <w:rFonts w:ascii="Calibri" w:hAnsi="Calibri" w:cs="Calibri"/>
          <w:i/>
          <w:iCs/>
          <w:noProof/>
          <w:kern w:val="0"/>
          <w:lang w:val="en-US"/>
        </w:rPr>
        <w:t>Policing</w:t>
      </w:r>
      <w:r w:rsidRPr="00A66953">
        <w:rPr>
          <w:rFonts w:ascii="Calibri" w:hAnsi="Calibri" w:cs="Calibri"/>
          <w:noProof/>
          <w:kern w:val="0"/>
          <w:lang w:val="en-US"/>
        </w:rPr>
        <w:t xml:space="preserve">, </w:t>
      </w:r>
      <w:r w:rsidRPr="00A66953">
        <w:rPr>
          <w:rFonts w:ascii="Calibri" w:hAnsi="Calibri" w:cs="Calibri"/>
          <w:i/>
          <w:iCs/>
          <w:noProof/>
          <w:kern w:val="0"/>
          <w:lang w:val="en-US"/>
        </w:rPr>
        <w:t>29</w:t>
      </w:r>
      <w:r w:rsidRPr="00A66953">
        <w:rPr>
          <w:rFonts w:ascii="Calibri" w:hAnsi="Calibri" w:cs="Calibri"/>
          <w:noProof/>
          <w:kern w:val="0"/>
          <w:lang w:val="en-US"/>
        </w:rPr>
        <w:t>(4), 643</w:t>
      </w:r>
      <w:r w:rsidRPr="00A66953">
        <w:rPr>
          <w:rFonts w:ascii="Calibri" w:hAnsi="Calibri" w:cs="Calibri" w:hint="cs"/>
          <w:noProof/>
          <w:kern w:val="0"/>
          <w:lang w:val="en-US"/>
        </w:rPr>
        <w:t>–</w:t>
      </w:r>
      <w:r w:rsidRPr="00A66953">
        <w:rPr>
          <w:rFonts w:ascii="Calibri" w:hAnsi="Calibri" w:cs="Calibri"/>
          <w:noProof/>
          <w:kern w:val="0"/>
          <w:lang w:val="en-US"/>
        </w:rPr>
        <w:t>664. https://doi.org/10.1108/13639510610711583</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Lee, J. (2021). Ceo overconfidence and voluntary disclosure of greenhouse gas emissions: With a focus on the role of corporate governance. </w:t>
      </w:r>
      <w:r w:rsidRPr="00A66953">
        <w:rPr>
          <w:rFonts w:ascii="Calibri" w:hAnsi="Calibri" w:cs="Calibri"/>
          <w:i/>
          <w:iCs/>
          <w:noProof/>
          <w:kern w:val="0"/>
          <w:lang w:val="en-US"/>
        </w:rPr>
        <w:t>Sustainability (Switzerland)</w:t>
      </w:r>
      <w:r w:rsidRPr="00A66953">
        <w:rPr>
          <w:rFonts w:ascii="Calibri" w:hAnsi="Calibri" w:cs="Calibri"/>
          <w:noProof/>
          <w:kern w:val="0"/>
          <w:lang w:val="en-US"/>
        </w:rPr>
        <w:t xml:space="preserve">, </w:t>
      </w:r>
      <w:r w:rsidRPr="00A66953">
        <w:rPr>
          <w:rFonts w:ascii="Calibri" w:hAnsi="Calibri" w:cs="Calibri"/>
          <w:i/>
          <w:iCs/>
          <w:noProof/>
          <w:kern w:val="0"/>
          <w:lang w:val="en-US"/>
        </w:rPr>
        <w:t>13</w:t>
      </w:r>
      <w:r w:rsidRPr="00A66953">
        <w:rPr>
          <w:rFonts w:ascii="Calibri" w:hAnsi="Calibri" w:cs="Calibri"/>
          <w:noProof/>
          <w:kern w:val="0"/>
          <w:lang w:val="en-US"/>
        </w:rPr>
        <w:t>(11). https://doi.org/10.3390/su13116054</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Muafi, M., Syafri, W., Prabowo, H., &amp; Nur, S. A. (2021). Digital Entrepreneurship in Indonesia: A Human Capital Perspective. </w:t>
      </w:r>
      <w:r w:rsidRPr="00A66953">
        <w:rPr>
          <w:rFonts w:ascii="Calibri" w:hAnsi="Calibri" w:cs="Calibri"/>
          <w:i/>
          <w:iCs/>
          <w:noProof/>
          <w:kern w:val="0"/>
          <w:lang w:val="en-US"/>
        </w:rPr>
        <w:t>Journal of Asian Finance, Economics and Business</w:t>
      </w:r>
      <w:r w:rsidRPr="00A66953">
        <w:rPr>
          <w:rFonts w:ascii="Calibri" w:hAnsi="Calibri" w:cs="Calibri"/>
          <w:noProof/>
          <w:kern w:val="0"/>
          <w:lang w:val="en-US"/>
        </w:rPr>
        <w:t xml:space="preserve">, </w:t>
      </w:r>
      <w:r w:rsidRPr="00A66953">
        <w:rPr>
          <w:rFonts w:ascii="Calibri" w:hAnsi="Calibri" w:cs="Calibri"/>
          <w:i/>
          <w:iCs/>
          <w:noProof/>
          <w:kern w:val="0"/>
          <w:lang w:val="en-US"/>
        </w:rPr>
        <w:t>8</w:t>
      </w:r>
      <w:r w:rsidRPr="00A66953">
        <w:rPr>
          <w:rFonts w:ascii="Calibri" w:hAnsi="Calibri" w:cs="Calibri"/>
          <w:noProof/>
          <w:kern w:val="0"/>
          <w:lang w:val="en-US"/>
        </w:rPr>
        <w:t>(3), 351</w:t>
      </w:r>
      <w:r w:rsidRPr="00A66953">
        <w:rPr>
          <w:rFonts w:ascii="Calibri" w:hAnsi="Calibri" w:cs="Calibri" w:hint="cs"/>
          <w:noProof/>
          <w:kern w:val="0"/>
          <w:lang w:val="en-US"/>
        </w:rPr>
        <w:t>–</w:t>
      </w:r>
      <w:r w:rsidRPr="00A66953">
        <w:rPr>
          <w:rFonts w:ascii="Calibri" w:hAnsi="Calibri" w:cs="Calibri"/>
          <w:noProof/>
          <w:kern w:val="0"/>
          <w:lang w:val="en-US"/>
        </w:rPr>
        <w:t>359. https://doi.org/10.13106/jafeb.2021.vol8.no3.0351</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Nawaz, T., Haniffa, R., &amp; Hudaib, M. (2020). On intellectual capital efficiency and shariah governance in Islamic banking business model. </w:t>
      </w:r>
      <w:r w:rsidRPr="00A66953">
        <w:rPr>
          <w:rFonts w:ascii="Calibri" w:hAnsi="Calibri" w:cs="Calibri"/>
          <w:i/>
          <w:iCs/>
          <w:noProof/>
          <w:kern w:val="0"/>
          <w:lang w:val="en-US"/>
        </w:rPr>
        <w:t>International Journal of Finance and Economics</w:t>
      </w:r>
      <w:r w:rsidRPr="00A66953">
        <w:rPr>
          <w:rFonts w:ascii="Calibri" w:hAnsi="Calibri" w:cs="Calibri"/>
          <w:noProof/>
          <w:kern w:val="0"/>
          <w:lang w:val="en-US"/>
        </w:rPr>
        <w:t xml:space="preserve">, </w:t>
      </w:r>
      <w:r w:rsidRPr="00A66953">
        <w:rPr>
          <w:rFonts w:ascii="Calibri" w:hAnsi="Calibri" w:cs="Calibri"/>
          <w:i/>
          <w:iCs/>
          <w:noProof/>
          <w:kern w:val="0"/>
          <w:lang w:val="en-US"/>
        </w:rPr>
        <w:t>November 2019</w:t>
      </w:r>
      <w:r w:rsidRPr="00A66953">
        <w:rPr>
          <w:rFonts w:ascii="Calibri" w:hAnsi="Calibri" w:cs="Calibri"/>
          <w:noProof/>
          <w:kern w:val="0"/>
          <w:lang w:val="en-US"/>
        </w:rPr>
        <w:t>, 1</w:t>
      </w:r>
      <w:r w:rsidRPr="00A66953">
        <w:rPr>
          <w:rFonts w:ascii="Calibri" w:hAnsi="Calibri" w:cs="Calibri" w:hint="cs"/>
          <w:noProof/>
          <w:kern w:val="0"/>
          <w:lang w:val="en-US"/>
        </w:rPr>
        <w:t>–</w:t>
      </w:r>
      <w:r w:rsidRPr="00A66953">
        <w:rPr>
          <w:rFonts w:ascii="Calibri" w:hAnsi="Calibri" w:cs="Calibri"/>
          <w:noProof/>
          <w:kern w:val="0"/>
          <w:lang w:val="en-US"/>
        </w:rPr>
        <w:t>18. https://doi.org/10.1002/ijfe.1986</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Nguyen, V. C. (2020). Human capital, capital structure choice and firm profitability in developing countries: An empirical study in Vietnam. </w:t>
      </w:r>
      <w:r w:rsidRPr="00A66953">
        <w:rPr>
          <w:rFonts w:ascii="Calibri" w:hAnsi="Calibri" w:cs="Calibri"/>
          <w:i/>
          <w:iCs/>
          <w:noProof/>
          <w:kern w:val="0"/>
          <w:lang w:val="en-US"/>
        </w:rPr>
        <w:t>Accounting</w:t>
      </w:r>
      <w:r w:rsidRPr="00A66953">
        <w:rPr>
          <w:rFonts w:ascii="Calibri" w:hAnsi="Calibri" w:cs="Calibri"/>
          <w:noProof/>
          <w:kern w:val="0"/>
          <w:lang w:val="en-US"/>
        </w:rPr>
        <w:t xml:space="preserve">, </w:t>
      </w:r>
      <w:r w:rsidRPr="00A66953">
        <w:rPr>
          <w:rFonts w:ascii="Calibri" w:hAnsi="Calibri" w:cs="Calibri"/>
          <w:i/>
          <w:iCs/>
          <w:noProof/>
          <w:kern w:val="0"/>
          <w:lang w:val="en-US"/>
        </w:rPr>
        <w:t>6</w:t>
      </w:r>
      <w:r w:rsidRPr="00A66953">
        <w:rPr>
          <w:rFonts w:ascii="Calibri" w:hAnsi="Calibri" w:cs="Calibri"/>
          <w:noProof/>
          <w:kern w:val="0"/>
          <w:lang w:val="en-US"/>
        </w:rPr>
        <w:t>(2), 127</w:t>
      </w:r>
      <w:r w:rsidRPr="00A66953">
        <w:rPr>
          <w:rFonts w:ascii="Calibri" w:hAnsi="Calibri" w:cs="Calibri" w:hint="cs"/>
          <w:noProof/>
          <w:kern w:val="0"/>
          <w:lang w:val="en-US"/>
        </w:rPr>
        <w:t>–</w:t>
      </w:r>
      <w:r w:rsidRPr="00A66953">
        <w:rPr>
          <w:rFonts w:ascii="Calibri" w:hAnsi="Calibri" w:cs="Calibri"/>
          <w:noProof/>
          <w:kern w:val="0"/>
          <w:lang w:val="en-US"/>
        </w:rPr>
        <w:t>136. https://doi.org/10.5267/j.ac.2019.11.003</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Nurfaindah, N., &amp; Mudjijah, S. (2022). Pengaruh profitabilitas, modal intelektual dan struktur aktiva terhadap nilai perusahaan. </w:t>
      </w:r>
      <w:r w:rsidRPr="00A66953">
        <w:rPr>
          <w:rFonts w:ascii="Calibri" w:hAnsi="Calibri" w:cs="Calibri"/>
          <w:i/>
          <w:iCs/>
          <w:noProof/>
          <w:kern w:val="0"/>
          <w:lang w:val="en-US"/>
        </w:rPr>
        <w:t>Kinerja</w:t>
      </w:r>
      <w:r w:rsidRPr="00A66953">
        <w:rPr>
          <w:rFonts w:ascii="Calibri" w:hAnsi="Calibri" w:cs="Calibri"/>
          <w:noProof/>
          <w:kern w:val="0"/>
          <w:lang w:val="en-US"/>
        </w:rPr>
        <w:t xml:space="preserve">, </w:t>
      </w:r>
      <w:r w:rsidRPr="00A66953">
        <w:rPr>
          <w:rFonts w:ascii="Calibri" w:hAnsi="Calibri" w:cs="Calibri"/>
          <w:i/>
          <w:iCs/>
          <w:noProof/>
          <w:kern w:val="0"/>
          <w:lang w:val="en-US"/>
        </w:rPr>
        <w:t>19</w:t>
      </w:r>
      <w:r w:rsidRPr="00A66953">
        <w:rPr>
          <w:rFonts w:ascii="Calibri" w:hAnsi="Calibri" w:cs="Calibri"/>
          <w:noProof/>
          <w:kern w:val="0"/>
          <w:lang w:val="en-US"/>
        </w:rPr>
        <w:t>(1), 152</w:t>
      </w:r>
      <w:r w:rsidRPr="00A66953">
        <w:rPr>
          <w:rFonts w:ascii="Calibri" w:hAnsi="Calibri" w:cs="Calibri" w:hint="cs"/>
          <w:noProof/>
          <w:kern w:val="0"/>
          <w:lang w:val="en-US"/>
        </w:rPr>
        <w:t>–</w:t>
      </w:r>
      <w:r w:rsidRPr="00A66953">
        <w:rPr>
          <w:rFonts w:ascii="Calibri" w:hAnsi="Calibri" w:cs="Calibri"/>
          <w:noProof/>
          <w:kern w:val="0"/>
          <w:lang w:val="en-US"/>
        </w:rPr>
        <w:t>159. https://doi.org/10.30872/jkin.v19i1.10824</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Shaw, M. fu, Chang, J. jen, &amp; Fan, C. ping. (2018). Endogenous Debt-Equity Ratio and Balance-Sheet Channel: Implications for Growth and Welfare. </w:t>
      </w:r>
      <w:r w:rsidRPr="00A66953">
        <w:rPr>
          <w:rFonts w:ascii="Calibri" w:hAnsi="Calibri" w:cs="Calibri"/>
          <w:i/>
          <w:iCs/>
          <w:noProof/>
          <w:kern w:val="0"/>
          <w:lang w:val="en-US"/>
        </w:rPr>
        <w:t>Bulletin of Economic Research</w:t>
      </w:r>
      <w:r w:rsidRPr="00A66953">
        <w:rPr>
          <w:rFonts w:ascii="Calibri" w:hAnsi="Calibri" w:cs="Calibri"/>
          <w:noProof/>
          <w:kern w:val="0"/>
          <w:lang w:val="en-US"/>
        </w:rPr>
        <w:t>, 1</w:t>
      </w:r>
      <w:r w:rsidRPr="00A66953">
        <w:rPr>
          <w:rFonts w:ascii="Calibri" w:hAnsi="Calibri" w:cs="Calibri" w:hint="cs"/>
          <w:noProof/>
          <w:kern w:val="0"/>
          <w:lang w:val="en-US"/>
        </w:rPr>
        <w:t>–</w:t>
      </w:r>
      <w:r w:rsidRPr="00A66953">
        <w:rPr>
          <w:rFonts w:ascii="Calibri" w:hAnsi="Calibri" w:cs="Calibri"/>
          <w:noProof/>
          <w:kern w:val="0"/>
          <w:lang w:val="en-US"/>
        </w:rPr>
        <w:t>21. https://doi.org/10.1111/boer.12152</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Thakolwiroj, C., &amp; Sithipolvanichgul, J. (2021). Board Characteristics and Capital Structure: Evidence from Thai Listed Companies. </w:t>
      </w:r>
      <w:r w:rsidRPr="00A66953">
        <w:rPr>
          <w:rFonts w:ascii="Calibri" w:hAnsi="Calibri" w:cs="Calibri"/>
          <w:i/>
          <w:iCs/>
          <w:noProof/>
          <w:kern w:val="0"/>
          <w:lang w:val="en-US"/>
        </w:rPr>
        <w:t>Journal of Asian Finance, Economics and Business</w:t>
      </w:r>
      <w:r w:rsidRPr="00A66953">
        <w:rPr>
          <w:rFonts w:ascii="Calibri" w:hAnsi="Calibri" w:cs="Calibri"/>
          <w:noProof/>
          <w:kern w:val="0"/>
          <w:lang w:val="en-US"/>
        </w:rPr>
        <w:t xml:space="preserve">, </w:t>
      </w:r>
      <w:r w:rsidRPr="00A66953">
        <w:rPr>
          <w:rFonts w:ascii="Calibri" w:hAnsi="Calibri" w:cs="Calibri"/>
          <w:i/>
          <w:iCs/>
          <w:noProof/>
          <w:kern w:val="0"/>
          <w:lang w:val="en-US"/>
        </w:rPr>
        <w:t>8</w:t>
      </w:r>
      <w:r w:rsidRPr="00A66953">
        <w:rPr>
          <w:rFonts w:ascii="Calibri" w:hAnsi="Calibri" w:cs="Calibri"/>
          <w:noProof/>
          <w:kern w:val="0"/>
          <w:lang w:val="en-US"/>
        </w:rPr>
        <w:t>(2), 861</w:t>
      </w:r>
      <w:r w:rsidRPr="00A66953">
        <w:rPr>
          <w:rFonts w:ascii="Calibri" w:hAnsi="Calibri" w:cs="Calibri" w:hint="cs"/>
          <w:noProof/>
          <w:kern w:val="0"/>
          <w:lang w:val="en-US"/>
        </w:rPr>
        <w:t>–</w:t>
      </w:r>
      <w:r w:rsidRPr="00A66953">
        <w:rPr>
          <w:rFonts w:ascii="Calibri" w:hAnsi="Calibri" w:cs="Calibri"/>
          <w:noProof/>
          <w:kern w:val="0"/>
          <w:lang w:val="en-US"/>
        </w:rPr>
        <w:t xml:space="preserve">872. </w:t>
      </w:r>
      <w:r w:rsidRPr="00A66953">
        <w:rPr>
          <w:rFonts w:ascii="Calibri" w:hAnsi="Calibri" w:cs="Calibri"/>
          <w:noProof/>
          <w:kern w:val="0"/>
          <w:lang w:val="en-US"/>
        </w:rPr>
        <w:lastRenderedPageBreak/>
        <w:t>https://doi.org/10.13106/jafeb.2021.vol8.no2.0861</w:t>
      </w:r>
    </w:p>
    <w:p w:rsidR="00D54833" w:rsidRPr="00A66953" w:rsidRDefault="00D54833" w:rsidP="00D54833">
      <w:pPr>
        <w:widowControl w:val="0"/>
        <w:autoSpaceDE w:val="0"/>
        <w:autoSpaceDN w:val="0"/>
        <w:adjustRightInd w:val="0"/>
        <w:ind w:left="480" w:hanging="480"/>
        <w:rPr>
          <w:rFonts w:ascii="Calibri" w:hAnsi="Calibri" w:cs="Calibri"/>
          <w:noProof/>
        </w:rPr>
      </w:pPr>
      <w:r w:rsidRPr="00A66953">
        <w:rPr>
          <w:rFonts w:ascii="Calibri" w:hAnsi="Calibri" w:cs="Calibri"/>
          <w:noProof/>
          <w:kern w:val="0"/>
          <w:lang w:val="en-US"/>
        </w:rPr>
        <w:t xml:space="preserve">Veltri, S., &amp; Puntillo, P. (2020). On intellectual capital management as an evaluation criterion for university managers: a case study. In </w:t>
      </w:r>
      <w:r w:rsidRPr="00A66953">
        <w:rPr>
          <w:rFonts w:ascii="Calibri" w:hAnsi="Calibri" w:cs="Calibri"/>
          <w:i/>
          <w:iCs/>
          <w:noProof/>
          <w:kern w:val="0"/>
          <w:lang w:val="en-US"/>
        </w:rPr>
        <w:t>Journal of Management and Governance</w:t>
      </w:r>
      <w:r w:rsidRPr="00A66953">
        <w:rPr>
          <w:rFonts w:ascii="Calibri" w:hAnsi="Calibri" w:cs="Calibri"/>
          <w:noProof/>
          <w:kern w:val="0"/>
          <w:lang w:val="en-US"/>
        </w:rPr>
        <w:t xml:space="preserve"> (Vol. 24, Issue 1). Springer US. https://doi.org/10.1007/s10997-019-09461-5</w:t>
      </w:r>
    </w:p>
    <w:p w:rsidR="00D54833" w:rsidRPr="00A66953" w:rsidRDefault="00D54833" w:rsidP="00D54833">
      <w:pPr>
        <w:rPr>
          <w:lang w:val="en-US"/>
        </w:rPr>
      </w:pPr>
      <w:r w:rsidRPr="00A66953">
        <w:fldChar w:fldCharType="end"/>
      </w:r>
    </w:p>
    <w:p w:rsidR="00D54833" w:rsidRPr="00A66953" w:rsidRDefault="00D54833" w:rsidP="00D54833">
      <w:pPr>
        <w:rPr>
          <w:lang w:val="en-US"/>
        </w:rPr>
      </w:pP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fldChar w:fldCharType="begin" w:fldLock="1"/>
      </w:r>
      <w:r w:rsidRPr="00A66953">
        <w:instrText xml:space="preserve">ADDIN Mendeley Bibliography CSL_BIBLIOGRAPHY </w:instrText>
      </w:r>
      <w:r w:rsidRPr="00A66953">
        <w:fldChar w:fldCharType="separate"/>
      </w:r>
      <w:r w:rsidRPr="00A66953">
        <w:rPr>
          <w:rFonts w:ascii="Calibri" w:hAnsi="Calibri" w:cs="Calibri"/>
          <w:noProof/>
          <w:kern w:val="0"/>
          <w:lang w:val="en-US"/>
        </w:rPr>
        <w:t xml:space="preserve">Abdulwahab, A. N., Mohd, M. S. S., &amp; Bin, A. Z. (2020). CRM dimensions and performance of SMEs in Yemen: the moderating role of human capital. In </w:t>
      </w:r>
      <w:r w:rsidRPr="00A66953">
        <w:rPr>
          <w:rFonts w:ascii="Calibri" w:hAnsi="Calibri" w:cs="Calibri"/>
          <w:i/>
          <w:iCs/>
          <w:noProof/>
          <w:kern w:val="0"/>
          <w:lang w:val="en-US"/>
        </w:rPr>
        <w:t>Journal of Intellectual Capital: Vol. ahead-of-p</w:t>
      </w:r>
      <w:r w:rsidRPr="00A66953">
        <w:rPr>
          <w:rFonts w:ascii="Calibri" w:hAnsi="Calibri" w:cs="Calibri"/>
          <w:noProof/>
          <w:kern w:val="0"/>
          <w:lang w:val="en-US"/>
        </w:rPr>
        <w:t xml:space="preserve"> (Issue ahead-of-print). https://doi.org/10.1108/JIC-05-2020-0175</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Asyik, N. F. (2017). Dampak Struktur Modal Pada Sensitivitas Penerapan Kompensasi Opsi Saham Karyawan Terhadap Kinerja. </w:t>
      </w:r>
      <w:r w:rsidRPr="00A66953">
        <w:rPr>
          <w:rFonts w:ascii="Calibri" w:hAnsi="Calibri" w:cs="Calibri"/>
          <w:i/>
          <w:iCs/>
          <w:noProof/>
          <w:kern w:val="0"/>
          <w:lang w:val="en-US"/>
        </w:rPr>
        <w:t>EKUITAS (Jurnal Ekonomi Dan Keuangan)</w:t>
      </w:r>
      <w:r w:rsidRPr="00A66953">
        <w:rPr>
          <w:rFonts w:ascii="Calibri" w:hAnsi="Calibri" w:cs="Calibri"/>
          <w:noProof/>
          <w:kern w:val="0"/>
          <w:lang w:val="en-US"/>
        </w:rPr>
        <w:t xml:space="preserve">, </w:t>
      </w:r>
      <w:r w:rsidRPr="00A66953">
        <w:rPr>
          <w:rFonts w:ascii="Calibri" w:hAnsi="Calibri" w:cs="Calibri"/>
          <w:i/>
          <w:iCs/>
          <w:noProof/>
          <w:kern w:val="0"/>
          <w:lang w:val="en-US"/>
        </w:rPr>
        <w:t>14</w:t>
      </w:r>
      <w:r w:rsidRPr="00A66953">
        <w:rPr>
          <w:rFonts w:ascii="Calibri" w:hAnsi="Calibri" w:cs="Calibri"/>
          <w:noProof/>
          <w:kern w:val="0"/>
          <w:lang w:val="en-US"/>
        </w:rPr>
        <w:t>(1), 1. https://doi.org/10.24034/j25485024.y2010.v14.i1.2109</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Bontis, N., William Chua Chong, K., &amp; Richardson, S. (2000). Intellectual capital and business performance in Malaysian industries. </w:t>
      </w:r>
      <w:r w:rsidRPr="00A66953">
        <w:rPr>
          <w:rFonts w:ascii="Calibri" w:hAnsi="Calibri" w:cs="Calibri"/>
          <w:i/>
          <w:iCs/>
          <w:noProof/>
          <w:kern w:val="0"/>
          <w:lang w:val="en-US"/>
        </w:rPr>
        <w:t>Journal of Intellectual Capital</w:t>
      </w:r>
      <w:r w:rsidRPr="00A66953">
        <w:rPr>
          <w:rFonts w:ascii="Calibri" w:hAnsi="Calibri" w:cs="Calibri"/>
          <w:noProof/>
          <w:kern w:val="0"/>
          <w:lang w:val="en-US"/>
        </w:rPr>
        <w:t xml:space="preserve">, </w:t>
      </w:r>
      <w:r w:rsidRPr="00A66953">
        <w:rPr>
          <w:rFonts w:ascii="Calibri" w:hAnsi="Calibri" w:cs="Calibri"/>
          <w:i/>
          <w:iCs/>
          <w:noProof/>
          <w:kern w:val="0"/>
          <w:lang w:val="en-US"/>
        </w:rPr>
        <w:t>1</w:t>
      </w:r>
      <w:r w:rsidRPr="00A66953">
        <w:rPr>
          <w:rFonts w:ascii="Calibri" w:hAnsi="Calibri" w:cs="Calibri"/>
          <w:noProof/>
          <w:kern w:val="0"/>
          <w:lang w:val="en-US"/>
        </w:rPr>
        <w:t>(1), 85</w:t>
      </w:r>
      <w:r w:rsidRPr="00A66953">
        <w:rPr>
          <w:rFonts w:ascii="Calibri" w:hAnsi="Calibri" w:cs="Calibri" w:hint="cs"/>
          <w:noProof/>
          <w:kern w:val="0"/>
          <w:lang w:val="en-US"/>
        </w:rPr>
        <w:t>–</w:t>
      </w:r>
      <w:r w:rsidRPr="00A66953">
        <w:rPr>
          <w:rFonts w:ascii="Calibri" w:hAnsi="Calibri" w:cs="Calibri"/>
          <w:noProof/>
          <w:kern w:val="0"/>
          <w:lang w:val="en-US"/>
        </w:rPr>
        <w:t>100. https://doi.org/10.1108/14691930010324188</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Elisabet, E., &amp; Mulyani, S. D. (2019). Pengaruh Strategi Diferensiasi Produk, Struktur Modal Dan Corporate Social Responsibility Disclosure Terhadap Nilai Perusahaan Dengan Kepemilikan Institusional Sebagai Variabel Moderasi. </w:t>
      </w:r>
      <w:r w:rsidRPr="00A66953">
        <w:rPr>
          <w:rFonts w:ascii="Calibri" w:hAnsi="Calibri" w:cs="Calibri"/>
          <w:i/>
          <w:iCs/>
          <w:noProof/>
          <w:kern w:val="0"/>
          <w:lang w:val="en-US"/>
        </w:rPr>
        <w:t>Jurnal Magister Akuntansi Trisakti</w:t>
      </w:r>
      <w:r w:rsidRPr="00A66953">
        <w:rPr>
          <w:rFonts w:ascii="Calibri" w:hAnsi="Calibri" w:cs="Calibri"/>
          <w:noProof/>
          <w:kern w:val="0"/>
          <w:lang w:val="en-US"/>
        </w:rPr>
        <w:t xml:space="preserve">, </w:t>
      </w:r>
      <w:r w:rsidRPr="00A66953">
        <w:rPr>
          <w:rFonts w:ascii="Calibri" w:hAnsi="Calibri" w:cs="Calibri"/>
          <w:i/>
          <w:iCs/>
          <w:noProof/>
          <w:kern w:val="0"/>
          <w:lang w:val="en-US"/>
        </w:rPr>
        <w:t>5</w:t>
      </w:r>
      <w:r w:rsidRPr="00A66953">
        <w:rPr>
          <w:rFonts w:ascii="Calibri" w:hAnsi="Calibri" w:cs="Calibri"/>
          <w:noProof/>
          <w:kern w:val="0"/>
          <w:lang w:val="en-US"/>
        </w:rPr>
        <w:t>(2), 115</w:t>
      </w:r>
      <w:r w:rsidRPr="00A66953">
        <w:rPr>
          <w:rFonts w:ascii="Calibri" w:hAnsi="Calibri" w:cs="Calibri" w:hint="cs"/>
          <w:noProof/>
          <w:kern w:val="0"/>
          <w:lang w:val="en-US"/>
        </w:rPr>
        <w:t>–</w:t>
      </w:r>
      <w:r w:rsidRPr="00A66953">
        <w:rPr>
          <w:rFonts w:ascii="Calibri" w:hAnsi="Calibri" w:cs="Calibri"/>
          <w:noProof/>
          <w:kern w:val="0"/>
          <w:lang w:val="en-US"/>
        </w:rPr>
        <w:t>136. https://doi.org/10.25105/jmat.v5i2.5070</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Farooq, O., &amp; Zaher, A. A. (2020). Ownership structure and tax avoidance: evidence from indian smes. </w:t>
      </w:r>
      <w:r w:rsidRPr="00A66953">
        <w:rPr>
          <w:rFonts w:ascii="Calibri" w:hAnsi="Calibri" w:cs="Calibri"/>
          <w:i/>
          <w:iCs/>
          <w:noProof/>
          <w:kern w:val="0"/>
          <w:lang w:val="en-US"/>
        </w:rPr>
        <w:t>Review of Pacific Basin Financial Markets and Policies</w:t>
      </w:r>
      <w:r w:rsidRPr="00A66953">
        <w:rPr>
          <w:rFonts w:ascii="Calibri" w:hAnsi="Calibri" w:cs="Calibri"/>
          <w:noProof/>
          <w:kern w:val="0"/>
          <w:lang w:val="en-US"/>
        </w:rPr>
        <w:t xml:space="preserve">, </w:t>
      </w:r>
      <w:r w:rsidRPr="00A66953">
        <w:rPr>
          <w:rFonts w:ascii="Calibri" w:hAnsi="Calibri" w:cs="Calibri"/>
          <w:i/>
          <w:iCs/>
          <w:noProof/>
          <w:kern w:val="0"/>
          <w:lang w:val="en-US"/>
        </w:rPr>
        <w:t>23</w:t>
      </w:r>
      <w:r w:rsidRPr="00A66953">
        <w:rPr>
          <w:rFonts w:ascii="Calibri" w:hAnsi="Calibri" w:cs="Calibri"/>
          <w:noProof/>
          <w:kern w:val="0"/>
          <w:lang w:val="en-US"/>
        </w:rPr>
        <w:t>(2). https://doi.org/10.1142/S0219091520500125</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G. Harb, E., Nasrallah, N., El Khoury, R., &amp; Hussainey, K. (2023). Applying Benford</w:t>
      </w:r>
      <w:r w:rsidRPr="00A66953">
        <w:rPr>
          <w:rFonts w:ascii="Calibri" w:hAnsi="Calibri" w:cs="Calibri" w:hint="cs"/>
          <w:noProof/>
          <w:kern w:val="0"/>
          <w:lang w:val="en-US"/>
        </w:rPr>
        <w:t>’</w:t>
      </w:r>
      <w:r w:rsidRPr="00A66953">
        <w:rPr>
          <w:rFonts w:ascii="Calibri" w:hAnsi="Calibri" w:cs="Calibri"/>
          <w:noProof/>
          <w:kern w:val="0"/>
          <w:lang w:val="en-US"/>
        </w:rPr>
        <w:t xml:space="preserve">s law to detect accounting data manipulation in the pre- and post-financial engineering periods. </w:t>
      </w:r>
      <w:r w:rsidRPr="00A66953">
        <w:rPr>
          <w:rFonts w:ascii="Calibri" w:hAnsi="Calibri" w:cs="Calibri"/>
          <w:i/>
          <w:iCs/>
          <w:noProof/>
          <w:kern w:val="0"/>
          <w:lang w:val="en-US"/>
        </w:rPr>
        <w:t>Journal of Applied Accounting Research</w:t>
      </w:r>
      <w:r w:rsidRPr="00A66953">
        <w:rPr>
          <w:rFonts w:ascii="Calibri" w:hAnsi="Calibri" w:cs="Calibri"/>
          <w:noProof/>
          <w:kern w:val="0"/>
          <w:lang w:val="en-US"/>
        </w:rPr>
        <w:t xml:space="preserve">, </w:t>
      </w:r>
      <w:r w:rsidRPr="00A66953">
        <w:rPr>
          <w:rFonts w:ascii="Calibri" w:hAnsi="Calibri" w:cs="Calibri"/>
          <w:i/>
          <w:iCs/>
          <w:noProof/>
          <w:kern w:val="0"/>
          <w:lang w:val="en-US"/>
        </w:rPr>
        <w:t>24</w:t>
      </w:r>
      <w:r w:rsidRPr="00A66953">
        <w:rPr>
          <w:rFonts w:ascii="Calibri" w:hAnsi="Calibri" w:cs="Calibri"/>
          <w:noProof/>
          <w:kern w:val="0"/>
          <w:lang w:val="en-US"/>
        </w:rPr>
        <w:t>(4), 745</w:t>
      </w:r>
      <w:r w:rsidRPr="00A66953">
        <w:rPr>
          <w:rFonts w:ascii="Calibri" w:hAnsi="Calibri" w:cs="Calibri" w:hint="cs"/>
          <w:noProof/>
          <w:kern w:val="0"/>
          <w:lang w:val="en-US"/>
        </w:rPr>
        <w:t>–</w:t>
      </w:r>
      <w:r w:rsidRPr="00A66953">
        <w:rPr>
          <w:rFonts w:ascii="Calibri" w:hAnsi="Calibri" w:cs="Calibri"/>
          <w:noProof/>
          <w:kern w:val="0"/>
          <w:lang w:val="en-US"/>
        </w:rPr>
        <w:t>768. https://doi.org/10.1108/JAAR-05-2022-0097</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Gamayanti, P., Rahmiyati, N., &amp; Ratnawati, T. (2019). ANALISIS STRUKTUR ASSET, STRUKTUR MODAL DAN UKURAN PERUSAHAAN  TERHADAP NILAI PERUSAHAAN DENGAN EARNING GROWTH DAN RISIKO STRATEGI SEBAGAI VARIABEL INTERVENING PADA PERUSAHAAN MANUFAKTUR YANG TERDAFTAR DI BURSA EFEK INDONESIA. (STUDI PADA SEKTOR INDUSTRI. </w:t>
      </w:r>
      <w:r w:rsidRPr="00A66953">
        <w:rPr>
          <w:rFonts w:ascii="Calibri" w:hAnsi="Calibri" w:cs="Calibri"/>
          <w:i/>
          <w:iCs/>
          <w:noProof/>
          <w:kern w:val="0"/>
          <w:lang w:val="en-US"/>
        </w:rPr>
        <w:t>Jurnal Manajerial</w:t>
      </w:r>
      <w:r w:rsidRPr="00A66953">
        <w:rPr>
          <w:rFonts w:ascii="Calibri" w:hAnsi="Calibri" w:cs="Calibri"/>
          <w:noProof/>
          <w:kern w:val="0"/>
          <w:lang w:val="en-US"/>
        </w:rPr>
        <w:t xml:space="preserve">, </w:t>
      </w:r>
      <w:r w:rsidRPr="00A66953">
        <w:rPr>
          <w:rFonts w:ascii="Calibri" w:hAnsi="Calibri" w:cs="Calibri"/>
          <w:i/>
          <w:iCs/>
          <w:noProof/>
          <w:kern w:val="0"/>
          <w:lang w:val="en-US"/>
        </w:rPr>
        <w:t>6</w:t>
      </w:r>
      <w:r w:rsidRPr="00A66953">
        <w:rPr>
          <w:rFonts w:ascii="Calibri" w:hAnsi="Calibri" w:cs="Calibri"/>
          <w:noProof/>
          <w:kern w:val="0"/>
          <w:lang w:val="en-US"/>
        </w:rPr>
        <w:t>(2 SE-Articles), 1</w:t>
      </w:r>
      <w:r w:rsidRPr="00A66953">
        <w:rPr>
          <w:rFonts w:ascii="Calibri" w:hAnsi="Calibri" w:cs="Calibri" w:hint="cs"/>
          <w:noProof/>
          <w:kern w:val="0"/>
          <w:lang w:val="en-US"/>
        </w:rPr>
        <w:t>–</w:t>
      </w:r>
      <w:r w:rsidRPr="00A66953">
        <w:rPr>
          <w:rFonts w:ascii="Calibri" w:hAnsi="Calibri" w:cs="Calibri"/>
          <w:noProof/>
          <w:kern w:val="0"/>
          <w:lang w:val="en-US"/>
        </w:rPr>
        <w:t>8. https://doi.org/10.30587/jurnalmanajerial.v6i2.888</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Giblin, M. J. (2006). Structural elaboration and institutional isomorphism: The case of crime analysis units. </w:t>
      </w:r>
      <w:r w:rsidRPr="00A66953">
        <w:rPr>
          <w:rFonts w:ascii="Calibri" w:hAnsi="Calibri" w:cs="Calibri"/>
          <w:i/>
          <w:iCs/>
          <w:noProof/>
          <w:kern w:val="0"/>
          <w:lang w:val="en-US"/>
        </w:rPr>
        <w:t>Policing</w:t>
      </w:r>
      <w:r w:rsidRPr="00A66953">
        <w:rPr>
          <w:rFonts w:ascii="Calibri" w:hAnsi="Calibri" w:cs="Calibri"/>
          <w:noProof/>
          <w:kern w:val="0"/>
          <w:lang w:val="en-US"/>
        </w:rPr>
        <w:t xml:space="preserve">, </w:t>
      </w:r>
      <w:r w:rsidRPr="00A66953">
        <w:rPr>
          <w:rFonts w:ascii="Calibri" w:hAnsi="Calibri" w:cs="Calibri"/>
          <w:i/>
          <w:iCs/>
          <w:noProof/>
          <w:kern w:val="0"/>
          <w:lang w:val="en-US"/>
        </w:rPr>
        <w:t>29</w:t>
      </w:r>
      <w:r w:rsidRPr="00A66953">
        <w:rPr>
          <w:rFonts w:ascii="Calibri" w:hAnsi="Calibri" w:cs="Calibri"/>
          <w:noProof/>
          <w:kern w:val="0"/>
          <w:lang w:val="en-US"/>
        </w:rPr>
        <w:t>(4), 643</w:t>
      </w:r>
      <w:r w:rsidRPr="00A66953">
        <w:rPr>
          <w:rFonts w:ascii="Calibri" w:hAnsi="Calibri" w:cs="Calibri" w:hint="cs"/>
          <w:noProof/>
          <w:kern w:val="0"/>
          <w:lang w:val="en-US"/>
        </w:rPr>
        <w:t>–</w:t>
      </w:r>
      <w:r w:rsidRPr="00A66953">
        <w:rPr>
          <w:rFonts w:ascii="Calibri" w:hAnsi="Calibri" w:cs="Calibri"/>
          <w:noProof/>
          <w:kern w:val="0"/>
          <w:lang w:val="en-US"/>
        </w:rPr>
        <w:t>664. https://doi.org/10.1108/13639510610711583</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Lee, J. (2021). Ceo overconfidence and voluntary disclosure of greenhouse gas emissions: With a focus on the role of corporate governance. </w:t>
      </w:r>
      <w:r w:rsidRPr="00A66953">
        <w:rPr>
          <w:rFonts w:ascii="Calibri" w:hAnsi="Calibri" w:cs="Calibri"/>
          <w:i/>
          <w:iCs/>
          <w:noProof/>
          <w:kern w:val="0"/>
          <w:lang w:val="en-US"/>
        </w:rPr>
        <w:t>Sustainability (Switzerland)</w:t>
      </w:r>
      <w:r w:rsidRPr="00A66953">
        <w:rPr>
          <w:rFonts w:ascii="Calibri" w:hAnsi="Calibri" w:cs="Calibri"/>
          <w:noProof/>
          <w:kern w:val="0"/>
          <w:lang w:val="en-US"/>
        </w:rPr>
        <w:t xml:space="preserve">, </w:t>
      </w:r>
      <w:r w:rsidRPr="00A66953">
        <w:rPr>
          <w:rFonts w:ascii="Calibri" w:hAnsi="Calibri" w:cs="Calibri"/>
          <w:i/>
          <w:iCs/>
          <w:noProof/>
          <w:kern w:val="0"/>
          <w:lang w:val="en-US"/>
        </w:rPr>
        <w:t>13</w:t>
      </w:r>
      <w:r w:rsidRPr="00A66953">
        <w:rPr>
          <w:rFonts w:ascii="Calibri" w:hAnsi="Calibri" w:cs="Calibri"/>
          <w:noProof/>
          <w:kern w:val="0"/>
          <w:lang w:val="en-US"/>
        </w:rPr>
        <w:t>(11). https://doi.org/10.3390/su13116054</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Muafi, M., Syafri, W., Prabowo, H., &amp; Nur, S. A. (2021). Digital Entrepreneurship in Indonesia: A Human Capital Perspective. </w:t>
      </w:r>
      <w:r w:rsidRPr="00A66953">
        <w:rPr>
          <w:rFonts w:ascii="Calibri" w:hAnsi="Calibri" w:cs="Calibri"/>
          <w:i/>
          <w:iCs/>
          <w:noProof/>
          <w:kern w:val="0"/>
          <w:lang w:val="en-US"/>
        </w:rPr>
        <w:t>Journal of Asian Finance, Economics and Business</w:t>
      </w:r>
      <w:r w:rsidRPr="00A66953">
        <w:rPr>
          <w:rFonts w:ascii="Calibri" w:hAnsi="Calibri" w:cs="Calibri"/>
          <w:noProof/>
          <w:kern w:val="0"/>
          <w:lang w:val="en-US"/>
        </w:rPr>
        <w:t xml:space="preserve">, </w:t>
      </w:r>
      <w:r w:rsidRPr="00A66953">
        <w:rPr>
          <w:rFonts w:ascii="Calibri" w:hAnsi="Calibri" w:cs="Calibri"/>
          <w:i/>
          <w:iCs/>
          <w:noProof/>
          <w:kern w:val="0"/>
          <w:lang w:val="en-US"/>
        </w:rPr>
        <w:t>8</w:t>
      </w:r>
      <w:r w:rsidRPr="00A66953">
        <w:rPr>
          <w:rFonts w:ascii="Calibri" w:hAnsi="Calibri" w:cs="Calibri"/>
          <w:noProof/>
          <w:kern w:val="0"/>
          <w:lang w:val="en-US"/>
        </w:rPr>
        <w:t>(3), 351</w:t>
      </w:r>
      <w:r w:rsidRPr="00A66953">
        <w:rPr>
          <w:rFonts w:ascii="Calibri" w:hAnsi="Calibri" w:cs="Calibri" w:hint="cs"/>
          <w:noProof/>
          <w:kern w:val="0"/>
          <w:lang w:val="en-US"/>
        </w:rPr>
        <w:t>–</w:t>
      </w:r>
      <w:r w:rsidRPr="00A66953">
        <w:rPr>
          <w:rFonts w:ascii="Calibri" w:hAnsi="Calibri" w:cs="Calibri"/>
          <w:noProof/>
          <w:kern w:val="0"/>
          <w:lang w:val="en-US"/>
        </w:rPr>
        <w:t>359. https://doi.org/10.13106/jafeb.2021.vol8.no3.0351</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Nawaz, T., Haniffa, R., &amp; Hudaib, M. (2020). On intellectual capital efficiency and shariah governance in Islamic banking business model. </w:t>
      </w:r>
      <w:r w:rsidRPr="00A66953">
        <w:rPr>
          <w:rFonts w:ascii="Calibri" w:hAnsi="Calibri" w:cs="Calibri"/>
          <w:i/>
          <w:iCs/>
          <w:noProof/>
          <w:kern w:val="0"/>
          <w:lang w:val="en-US"/>
        </w:rPr>
        <w:t>International Journal of Finance and Economics</w:t>
      </w:r>
      <w:r w:rsidRPr="00A66953">
        <w:rPr>
          <w:rFonts w:ascii="Calibri" w:hAnsi="Calibri" w:cs="Calibri"/>
          <w:noProof/>
          <w:kern w:val="0"/>
          <w:lang w:val="en-US"/>
        </w:rPr>
        <w:t xml:space="preserve">, </w:t>
      </w:r>
      <w:r w:rsidRPr="00A66953">
        <w:rPr>
          <w:rFonts w:ascii="Calibri" w:hAnsi="Calibri" w:cs="Calibri"/>
          <w:i/>
          <w:iCs/>
          <w:noProof/>
          <w:kern w:val="0"/>
          <w:lang w:val="en-US"/>
        </w:rPr>
        <w:t>November 2019</w:t>
      </w:r>
      <w:r w:rsidRPr="00A66953">
        <w:rPr>
          <w:rFonts w:ascii="Calibri" w:hAnsi="Calibri" w:cs="Calibri"/>
          <w:noProof/>
          <w:kern w:val="0"/>
          <w:lang w:val="en-US"/>
        </w:rPr>
        <w:t>, 1</w:t>
      </w:r>
      <w:r w:rsidRPr="00A66953">
        <w:rPr>
          <w:rFonts w:ascii="Calibri" w:hAnsi="Calibri" w:cs="Calibri" w:hint="cs"/>
          <w:noProof/>
          <w:kern w:val="0"/>
          <w:lang w:val="en-US"/>
        </w:rPr>
        <w:t>–</w:t>
      </w:r>
      <w:r w:rsidRPr="00A66953">
        <w:rPr>
          <w:rFonts w:ascii="Calibri" w:hAnsi="Calibri" w:cs="Calibri"/>
          <w:noProof/>
          <w:kern w:val="0"/>
          <w:lang w:val="en-US"/>
        </w:rPr>
        <w:t>18. https://doi.org/10.1002/ijfe.1986</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Nguyen, V. C. (2020). Human capital, capital structure choice and firm profitability in developing countries: An empirical study in Vietnam. </w:t>
      </w:r>
      <w:r w:rsidRPr="00A66953">
        <w:rPr>
          <w:rFonts w:ascii="Calibri" w:hAnsi="Calibri" w:cs="Calibri"/>
          <w:i/>
          <w:iCs/>
          <w:noProof/>
          <w:kern w:val="0"/>
          <w:lang w:val="en-US"/>
        </w:rPr>
        <w:t>Accounting</w:t>
      </w:r>
      <w:r w:rsidRPr="00A66953">
        <w:rPr>
          <w:rFonts w:ascii="Calibri" w:hAnsi="Calibri" w:cs="Calibri"/>
          <w:noProof/>
          <w:kern w:val="0"/>
          <w:lang w:val="en-US"/>
        </w:rPr>
        <w:t xml:space="preserve">, </w:t>
      </w:r>
      <w:r w:rsidRPr="00A66953">
        <w:rPr>
          <w:rFonts w:ascii="Calibri" w:hAnsi="Calibri" w:cs="Calibri"/>
          <w:i/>
          <w:iCs/>
          <w:noProof/>
          <w:kern w:val="0"/>
          <w:lang w:val="en-US"/>
        </w:rPr>
        <w:t>6</w:t>
      </w:r>
      <w:r w:rsidRPr="00A66953">
        <w:rPr>
          <w:rFonts w:ascii="Calibri" w:hAnsi="Calibri" w:cs="Calibri"/>
          <w:noProof/>
          <w:kern w:val="0"/>
          <w:lang w:val="en-US"/>
        </w:rPr>
        <w:t>(2), 127</w:t>
      </w:r>
      <w:r w:rsidRPr="00A66953">
        <w:rPr>
          <w:rFonts w:ascii="Calibri" w:hAnsi="Calibri" w:cs="Calibri" w:hint="cs"/>
          <w:noProof/>
          <w:kern w:val="0"/>
          <w:lang w:val="en-US"/>
        </w:rPr>
        <w:t>–</w:t>
      </w:r>
      <w:r w:rsidRPr="00A66953">
        <w:rPr>
          <w:rFonts w:ascii="Calibri" w:hAnsi="Calibri" w:cs="Calibri"/>
          <w:noProof/>
          <w:kern w:val="0"/>
          <w:lang w:val="en-US"/>
        </w:rPr>
        <w:t>136. https://doi.org/10.5267/j.ac.2019.11.003</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Nurfaindah, N., &amp; Mudjijah, S. (2022). Pengaruh profitabilitas, modal intelektual dan struktur aktiva terhadap nilai perusahaan. </w:t>
      </w:r>
      <w:r w:rsidRPr="00A66953">
        <w:rPr>
          <w:rFonts w:ascii="Calibri" w:hAnsi="Calibri" w:cs="Calibri"/>
          <w:i/>
          <w:iCs/>
          <w:noProof/>
          <w:kern w:val="0"/>
          <w:lang w:val="en-US"/>
        </w:rPr>
        <w:t>Kinerja</w:t>
      </w:r>
      <w:r w:rsidRPr="00A66953">
        <w:rPr>
          <w:rFonts w:ascii="Calibri" w:hAnsi="Calibri" w:cs="Calibri"/>
          <w:noProof/>
          <w:kern w:val="0"/>
          <w:lang w:val="en-US"/>
        </w:rPr>
        <w:t xml:space="preserve">, </w:t>
      </w:r>
      <w:r w:rsidRPr="00A66953">
        <w:rPr>
          <w:rFonts w:ascii="Calibri" w:hAnsi="Calibri" w:cs="Calibri"/>
          <w:i/>
          <w:iCs/>
          <w:noProof/>
          <w:kern w:val="0"/>
          <w:lang w:val="en-US"/>
        </w:rPr>
        <w:t>19</w:t>
      </w:r>
      <w:r w:rsidRPr="00A66953">
        <w:rPr>
          <w:rFonts w:ascii="Calibri" w:hAnsi="Calibri" w:cs="Calibri"/>
          <w:noProof/>
          <w:kern w:val="0"/>
          <w:lang w:val="en-US"/>
        </w:rPr>
        <w:t>(1), 152</w:t>
      </w:r>
      <w:r w:rsidRPr="00A66953">
        <w:rPr>
          <w:rFonts w:ascii="Calibri" w:hAnsi="Calibri" w:cs="Calibri" w:hint="cs"/>
          <w:noProof/>
          <w:kern w:val="0"/>
          <w:lang w:val="en-US"/>
        </w:rPr>
        <w:t>–</w:t>
      </w:r>
      <w:r w:rsidRPr="00A66953">
        <w:rPr>
          <w:rFonts w:ascii="Calibri" w:hAnsi="Calibri" w:cs="Calibri"/>
          <w:noProof/>
          <w:kern w:val="0"/>
          <w:lang w:val="en-US"/>
        </w:rPr>
        <w:t>159. https://doi.org/10.30872/jkin.v19i1.10824</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Shaw, M. fu, Chang, J. jen, &amp; Fan, C. ping. (2018). Endogenous Debt-Equity Ratio and Balance-Sheet Channel: Implications for Growth and Welfare. </w:t>
      </w:r>
      <w:r w:rsidRPr="00A66953">
        <w:rPr>
          <w:rFonts w:ascii="Calibri" w:hAnsi="Calibri" w:cs="Calibri"/>
          <w:i/>
          <w:iCs/>
          <w:noProof/>
          <w:kern w:val="0"/>
          <w:lang w:val="en-US"/>
        </w:rPr>
        <w:t>Bulletin of Economic Research</w:t>
      </w:r>
      <w:r w:rsidRPr="00A66953">
        <w:rPr>
          <w:rFonts w:ascii="Calibri" w:hAnsi="Calibri" w:cs="Calibri"/>
          <w:noProof/>
          <w:kern w:val="0"/>
          <w:lang w:val="en-US"/>
        </w:rPr>
        <w:t>, 1</w:t>
      </w:r>
      <w:r w:rsidRPr="00A66953">
        <w:rPr>
          <w:rFonts w:ascii="Calibri" w:hAnsi="Calibri" w:cs="Calibri" w:hint="cs"/>
          <w:noProof/>
          <w:kern w:val="0"/>
          <w:lang w:val="en-US"/>
        </w:rPr>
        <w:t>–</w:t>
      </w:r>
      <w:r w:rsidRPr="00A66953">
        <w:rPr>
          <w:rFonts w:ascii="Calibri" w:hAnsi="Calibri" w:cs="Calibri"/>
          <w:noProof/>
          <w:kern w:val="0"/>
          <w:lang w:val="en-US"/>
        </w:rPr>
        <w:t>21. https://doi.org/10.1111/boer.12152</w:t>
      </w:r>
    </w:p>
    <w:p w:rsidR="00D54833" w:rsidRPr="00A66953" w:rsidRDefault="00D54833" w:rsidP="00D54833">
      <w:pPr>
        <w:widowControl w:val="0"/>
        <w:autoSpaceDE w:val="0"/>
        <w:autoSpaceDN w:val="0"/>
        <w:adjustRightInd w:val="0"/>
        <w:ind w:left="480" w:hanging="480"/>
        <w:rPr>
          <w:rFonts w:ascii="Calibri" w:hAnsi="Calibri" w:cs="Calibri"/>
          <w:noProof/>
          <w:kern w:val="0"/>
          <w:lang w:val="en-US"/>
        </w:rPr>
      </w:pPr>
      <w:r w:rsidRPr="00A66953">
        <w:rPr>
          <w:rFonts w:ascii="Calibri" w:hAnsi="Calibri" w:cs="Calibri"/>
          <w:noProof/>
          <w:kern w:val="0"/>
          <w:lang w:val="en-US"/>
        </w:rPr>
        <w:t xml:space="preserve">Thakolwiroj, C., &amp; Sithipolvanichgul, J. (2021). Board Characteristics and Capital Structure: Evidence from Thai </w:t>
      </w:r>
      <w:r w:rsidRPr="00A66953">
        <w:rPr>
          <w:rFonts w:ascii="Calibri" w:hAnsi="Calibri" w:cs="Calibri"/>
          <w:noProof/>
          <w:kern w:val="0"/>
          <w:lang w:val="en-US"/>
        </w:rPr>
        <w:lastRenderedPageBreak/>
        <w:t xml:space="preserve">Listed Companies. </w:t>
      </w:r>
      <w:r w:rsidRPr="00A66953">
        <w:rPr>
          <w:rFonts w:ascii="Calibri" w:hAnsi="Calibri" w:cs="Calibri"/>
          <w:i/>
          <w:iCs/>
          <w:noProof/>
          <w:kern w:val="0"/>
          <w:lang w:val="en-US"/>
        </w:rPr>
        <w:t>Journal of Asian Finance, Economics and Business</w:t>
      </w:r>
      <w:r w:rsidRPr="00A66953">
        <w:rPr>
          <w:rFonts w:ascii="Calibri" w:hAnsi="Calibri" w:cs="Calibri"/>
          <w:noProof/>
          <w:kern w:val="0"/>
          <w:lang w:val="en-US"/>
        </w:rPr>
        <w:t xml:space="preserve">, </w:t>
      </w:r>
      <w:r w:rsidRPr="00A66953">
        <w:rPr>
          <w:rFonts w:ascii="Calibri" w:hAnsi="Calibri" w:cs="Calibri"/>
          <w:i/>
          <w:iCs/>
          <w:noProof/>
          <w:kern w:val="0"/>
          <w:lang w:val="en-US"/>
        </w:rPr>
        <w:t>8</w:t>
      </w:r>
      <w:r w:rsidRPr="00A66953">
        <w:rPr>
          <w:rFonts w:ascii="Calibri" w:hAnsi="Calibri" w:cs="Calibri"/>
          <w:noProof/>
          <w:kern w:val="0"/>
          <w:lang w:val="en-US"/>
        </w:rPr>
        <w:t>(2), 861</w:t>
      </w:r>
      <w:r w:rsidRPr="00A66953">
        <w:rPr>
          <w:rFonts w:ascii="Calibri" w:hAnsi="Calibri" w:cs="Calibri" w:hint="cs"/>
          <w:noProof/>
          <w:kern w:val="0"/>
          <w:lang w:val="en-US"/>
        </w:rPr>
        <w:t>–</w:t>
      </w:r>
      <w:r w:rsidRPr="00A66953">
        <w:rPr>
          <w:rFonts w:ascii="Calibri" w:hAnsi="Calibri" w:cs="Calibri"/>
          <w:noProof/>
          <w:kern w:val="0"/>
          <w:lang w:val="en-US"/>
        </w:rPr>
        <w:t>872. https://doi.org/10.13106/jafeb.2021.vol8.no2.0861</w:t>
      </w:r>
    </w:p>
    <w:p w:rsidR="00D54833" w:rsidRPr="00A66953" w:rsidRDefault="00D54833" w:rsidP="00D54833">
      <w:pPr>
        <w:widowControl w:val="0"/>
        <w:autoSpaceDE w:val="0"/>
        <w:autoSpaceDN w:val="0"/>
        <w:adjustRightInd w:val="0"/>
        <w:ind w:left="480" w:hanging="480"/>
        <w:rPr>
          <w:rFonts w:ascii="Calibri" w:hAnsi="Calibri" w:cs="Calibri"/>
          <w:noProof/>
        </w:rPr>
      </w:pPr>
      <w:r w:rsidRPr="00A66953">
        <w:rPr>
          <w:rFonts w:ascii="Calibri" w:hAnsi="Calibri" w:cs="Calibri"/>
          <w:noProof/>
          <w:kern w:val="0"/>
          <w:lang w:val="en-US"/>
        </w:rPr>
        <w:t xml:space="preserve">Veltri, S., &amp; Puntillo, P. (2020). On intellectual capital management as an evaluation criterion for university managers: a case study. In </w:t>
      </w:r>
      <w:r w:rsidRPr="00A66953">
        <w:rPr>
          <w:rFonts w:ascii="Calibri" w:hAnsi="Calibri" w:cs="Calibri"/>
          <w:i/>
          <w:iCs/>
          <w:noProof/>
          <w:kern w:val="0"/>
          <w:lang w:val="en-US"/>
        </w:rPr>
        <w:t>Journal of Management and Governance</w:t>
      </w:r>
      <w:r w:rsidRPr="00A66953">
        <w:rPr>
          <w:rFonts w:ascii="Calibri" w:hAnsi="Calibri" w:cs="Calibri"/>
          <w:noProof/>
          <w:kern w:val="0"/>
          <w:lang w:val="en-US"/>
        </w:rPr>
        <w:t xml:space="preserve"> (Vol. 24, Issue 1). Springer US. https://doi.org/10.1007/s10997-019-09461-5</w:t>
      </w:r>
    </w:p>
    <w:p w:rsidR="00913E57" w:rsidRDefault="00D54833">
      <w:r w:rsidRPr="00A66953">
        <w:fldChar w:fldCharType="end"/>
      </w:r>
      <w:bookmarkStart w:id="0" w:name="_GoBack"/>
      <w:bookmarkEnd w:id="0"/>
    </w:p>
    <w:sectPr w:rsidR="00913E57" w:rsidSect="008C7AEE">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081" w:rsidRDefault="00D22081">
      <w:r>
        <w:separator/>
      </w:r>
    </w:p>
  </w:endnote>
  <w:endnote w:type="continuationSeparator" w:id="0">
    <w:p w:rsidR="00D22081" w:rsidRDefault="00D2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0BA" w:rsidRPr="00C37E61" w:rsidRDefault="006F10B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081" w:rsidRDefault="00D22081">
      <w:r>
        <w:separator/>
      </w:r>
    </w:p>
  </w:footnote>
  <w:footnote w:type="continuationSeparator" w:id="0">
    <w:p w:rsidR="00D22081" w:rsidRDefault="00D2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0BA" w:rsidRDefault="00D22081">
    <w:pPr>
      <w:pStyle w:val="Header"/>
    </w:pPr>
    <w:r>
      <w:rPr>
        <w:noProof/>
      </w:rPr>
      <w:pict w14:anchorId="56BCB23A">
        <v:shapetype id="_x0000_t202" coordsize="21600,21600" o:spt="202" path="m,l,21600r21600,l21600,xe">
          <v:stroke joinstyle="miter"/>
          <v:path gradientshapeok="t" o:connecttype="rect"/>
        </v:shapetype>
        <v:shape id="PowerPlusWaterMarkObject339483360" o:spid="_x0000_s2054" type="#_x0000_t202" style="position:absolute;margin-left:0;margin-top:0;width:520.65pt;height:57.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" o:allowincell="f" filled="f" stroked="f">
          <v:stroke joinstyle="round"/>
          <o:lock v:ext="edit" rotation="t" aspectratio="t" verticies="t" adjusthandles="t" grouping="t" shapetype="t"/>
          <v:textbox>
            <w:txbxContent>
              <w:p w:rsidR="006F10BA" w:rsidRDefault="007D7579" w:rsidP="00015FF0">
                <w:pPr>
                  <w:jc w:val="center"/>
                  <w:rPr>
                    <w:rFonts w:ascii="Helvetica" w:hAnsi="Helvetica"/>
                    <w:color w:val="C0C0C0"/>
                    <w:kern w:val="0"/>
                    <w:sz w:val="72"/>
                    <w:szCs w:val="72"/>
                    <w:lang w:val="en-US"/>
                    <w14:textFill>
                      <w14:solidFill>
                        <w14:srgbClr w14:val="C0C0C0">
                          <w14:alpha w14:val="50000"/>
                        </w14:srgbClr>
                      </w14:solidFill>
                    </w14:textFill>
                    <w14:ligatures w14:val="none"/>
                  </w:rPr>
                </w:pPr>
                <w:r>
                  <w:rPr>
                    <w:rFonts w:ascii="Helvetica" w:hAnsi="Helvetica"/>
                    <w:color w:val="C0C0C0"/>
                    <w:sz w:val="72"/>
                    <w:szCs w:val="72"/>
                    <w:lang w:val="en-US"/>
                    <w14:textFill>
                      <w14:solidFill>
                        <w14:srgbClr w14:val="C0C0C0">
                          <w14:alpha w14:val="50000"/>
                        </w14:srgbClr>
                      </w14:solidFill>
                    </w14:textFill>
                  </w:rPr>
                  <w:t>UNDER PEER REVIEW</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0BA" w:rsidRDefault="00D22081">
    <w:pPr>
      <w:pStyle w:val="Header"/>
    </w:pPr>
    <w:r>
      <w:rPr>
        <w:noProof/>
      </w:rPr>
      <w:pict w14:anchorId="07D82165">
        <v:shapetype id="_x0000_t202" coordsize="21600,21600" o:spt="202" path="m,l,21600r21600,l21600,xe">
          <v:stroke joinstyle="miter"/>
          <v:path gradientshapeok="t" o:connecttype="rect"/>
        </v:shapetype>
        <v:shape id="PowerPlusWaterMarkObject339483361" o:spid="_x0000_s2053" type="#_x0000_t202" style="position:absolute;margin-left:0;margin-top:0;width:520.65pt;height:57.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" o:allowincell="f" filled="f" stroked="f">
          <v:stroke joinstyle="round"/>
          <o:lock v:ext="edit" rotation="t" aspectratio="t" verticies="t" adjusthandles="t" grouping="t" shapetype="t"/>
          <v:textbox>
            <w:txbxContent>
              <w:p w:rsidR="006F10BA" w:rsidRDefault="007D7579" w:rsidP="00015FF0">
                <w:pPr>
                  <w:jc w:val="center"/>
                  <w:rPr>
                    <w:rFonts w:ascii="Helvetica" w:hAnsi="Helvetica"/>
                    <w:color w:val="C0C0C0"/>
                    <w:kern w:val="0"/>
                    <w:sz w:val="72"/>
                    <w:szCs w:val="72"/>
                    <w:lang w:val="en-US"/>
                    <w14:textFill>
                      <w14:solidFill>
                        <w14:srgbClr w14:val="C0C0C0">
                          <w14:alpha w14:val="50000"/>
                        </w14:srgbClr>
                      </w14:solidFill>
                    </w14:textFill>
                    <w14:ligatures w14:val="none"/>
                  </w:rPr>
                </w:pPr>
                <w:r>
                  <w:rPr>
                    <w:rFonts w:ascii="Helvetica" w:hAnsi="Helvetica"/>
                    <w:color w:val="C0C0C0"/>
                    <w:sz w:val="72"/>
                    <w:szCs w:val="72"/>
                    <w:lang w:val="en-US"/>
                    <w14:textFill>
                      <w14:solidFill>
                        <w14:srgbClr w14:val="C0C0C0">
                          <w14:alpha w14:val="50000"/>
                        </w14:srgbClr>
                      </w14:solidFill>
                    </w14:textFill>
                  </w:rPr>
                  <w:t>UNDER PEER REVIEW</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0BA" w:rsidRPr="00296529" w:rsidRDefault="00D22081" w:rsidP="00296529">
    <w:pPr>
      <w:ind w:left="2160"/>
      <w:jc w:val="center"/>
      <w:rPr>
        <w:rFonts w:ascii="Times New Roman" w:eastAsia="Calibri" w:hAnsi="Times New Roman"/>
        <w:i/>
        <w:sz w:val="18"/>
        <w:szCs w:val="22"/>
      </w:rPr>
    </w:pPr>
    <w:r>
      <w:rPr>
        <w:noProof/>
      </w:rPr>
      <w:pict w14:anchorId="0238ABB7">
        <v:shapetype id="_x0000_t202" coordsize="21600,21600" o:spt="202" path="m,l,21600r21600,l21600,xe">
          <v:stroke joinstyle="miter"/>
          <v:path gradientshapeok="t" o:connecttype="rect"/>
        </v:shapetype>
        <v:shape id="PowerPlusWaterMarkObject339483359" o:spid="_x0000_s2052" type="#_x0000_t202" style="position:absolute;left:0;text-align:left;margin-left:0;margin-top:0;width:520.65pt;height:57.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" o:allowincell="f" filled="f" stroked="f">
          <v:stroke joinstyle="round"/>
          <o:lock v:ext="edit" rotation="t" aspectratio="t" verticies="t" adjusthandles="t" grouping="t" shapetype="t"/>
          <v:textbox>
            <w:txbxContent>
              <w:p w:rsidR="006F10BA" w:rsidRDefault="007D7579" w:rsidP="00015FF0">
                <w:pPr>
                  <w:jc w:val="center"/>
                  <w:rPr>
                    <w:rFonts w:ascii="Helvetica" w:hAnsi="Helvetica"/>
                    <w:color w:val="C0C0C0"/>
                    <w:kern w:val="0"/>
                    <w:sz w:val="72"/>
                    <w:szCs w:val="72"/>
                    <w:lang w:val="en-US"/>
                    <w14:textFill>
                      <w14:solidFill>
                        <w14:srgbClr w14:val="C0C0C0">
                          <w14:alpha w14:val="50000"/>
                        </w14:srgbClr>
                      </w14:solidFill>
                    </w14:textFill>
                    <w14:ligatures w14:val="none"/>
                  </w:rPr>
                </w:pPr>
                <w:r>
                  <w:rPr>
                    <w:rFonts w:ascii="Helvetica" w:hAnsi="Helvetica"/>
                    <w:color w:val="C0C0C0"/>
                    <w:sz w:val="72"/>
                    <w:szCs w:val="72"/>
                    <w:lang w:val="en-US"/>
                    <w14:textFill>
                      <w14:solidFill>
                        <w14:srgbClr w14:val="C0C0C0">
                          <w14:alpha w14:val="50000"/>
                        </w14:srgbClr>
                      </w14:solidFill>
                    </w14:textFill>
                  </w:rPr>
                  <w:t>UNDER PEER REVIEW</w:t>
                </w:r>
              </w:p>
            </w:txbxContent>
          </v:textbox>
          <w10:wrap anchorx="margin" anchory="margin"/>
        </v:shape>
      </w:pict>
    </w:r>
  </w:p>
  <w:p w:rsidR="006F10BA" w:rsidRPr="00296529" w:rsidRDefault="007D757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6F10BA" w:rsidRPr="00296529" w:rsidRDefault="007D7579" w:rsidP="00296529">
    <w:pPr>
      <w:jc w:val="center"/>
      <w:rPr>
        <w:rFonts w:ascii="Times New Roman" w:eastAsia="Calibri" w:hAnsi="Times New Roman"/>
        <w:i/>
        <w:sz w:val="18"/>
        <w:szCs w:val="22"/>
      </w:rPr>
    </w:pPr>
    <w:r>
      <w:rPr>
        <w:rFonts w:ascii="Times New Roman" w:eastAsia="Calibri" w:hAnsi="Times New Roman"/>
        <w:i/>
        <w:sz w:val="18"/>
        <w:szCs w:val="22"/>
      </w:rPr>
      <w:t>.</w:t>
    </w:r>
  </w:p>
  <w:p w:rsidR="006F10BA" w:rsidRPr="00296529" w:rsidRDefault="007D757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6F10BA" w:rsidRDefault="007D757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6F10BA" w:rsidRDefault="007D757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F10BA" w:rsidRDefault="007D757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0BA" w:rsidRDefault="00D22081">
    <w:pPr>
      <w:pStyle w:val="Header"/>
    </w:pPr>
    <w:r>
      <w:rPr>
        <w:noProof/>
      </w:rPr>
      <w:pict w14:anchorId="59F54908">
        <v:shapetype id="_x0000_t202" coordsize="21600,21600" o:spt="202" path="m,l,21600r21600,l21600,xe">
          <v:stroke joinstyle="miter"/>
          <v:path gradientshapeok="t" o:connecttype="rect"/>
        </v:shapetype>
        <v:shape id="PowerPlusWaterMarkObject339483363" o:spid="_x0000_s2051" type="#_x0000_t202" style="position:absolute;margin-left:0;margin-top:0;width:520.65pt;height:57.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" o:allowincell="f" filled="f" stroked="f">
          <v:stroke joinstyle="round"/>
          <o:lock v:ext="edit" rotation="t" aspectratio="t" verticies="t" adjusthandles="t" grouping="t" shapetype="t"/>
          <v:textbox>
            <w:txbxContent>
              <w:p w:rsidR="006F10BA" w:rsidRDefault="007D7579" w:rsidP="00015FF0">
                <w:pPr>
                  <w:jc w:val="center"/>
                  <w:rPr>
                    <w:rFonts w:ascii="Helvetica" w:hAnsi="Helvetica"/>
                    <w:color w:val="C0C0C0"/>
                    <w:kern w:val="0"/>
                    <w:sz w:val="72"/>
                    <w:szCs w:val="72"/>
                    <w:lang w:val="en-US"/>
                    <w14:textFill>
                      <w14:solidFill>
                        <w14:srgbClr w14:val="C0C0C0">
                          <w14:alpha w14:val="50000"/>
                        </w14:srgbClr>
                      </w14:solidFill>
                    </w14:textFill>
                    <w14:ligatures w14:val="none"/>
                  </w:rPr>
                </w:pPr>
                <w:r>
                  <w:rPr>
                    <w:rFonts w:ascii="Helvetica" w:hAnsi="Helvetica"/>
                    <w:color w:val="C0C0C0"/>
                    <w:sz w:val="72"/>
                    <w:szCs w:val="72"/>
                    <w:lang w:val="en-US"/>
                    <w14:textFill>
                      <w14:solidFill>
                        <w14:srgbClr w14:val="C0C0C0">
                          <w14:alpha w14:val="50000"/>
                        </w14:srgbClr>
                      </w14:solidFill>
                    </w14:textFill>
                  </w:rPr>
                  <w:t>UNDER PEER REVIEW</w:t>
                </w:r>
              </w:p>
            </w:txbxContent>
          </v:textbox>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0BA" w:rsidRDefault="00D22081">
    <w:pPr>
      <w:pStyle w:val="Header"/>
    </w:pPr>
    <w:r>
      <w:rPr>
        <w:noProof/>
      </w:rPr>
      <w:pict w14:anchorId="4B5D4289">
        <v:shapetype id="_x0000_t202" coordsize="21600,21600" o:spt="202" path="m,l,21600r21600,l21600,xe">
          <v:stroke joinstyle="miter"/>
          <v:path gradientshapeok="t" o:connecttype="rect"/>
        </v:shapetype>
        <v:shape id="PowerPlusWaterMarkObject339483364" o:spid="_x0000_s2050" type="#_x0000_t202" style="position:absolute;margin-left:0;margin-top:0;width:520.65pt;height:57.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" o:allowincell="f" filled="f" stroked="f">
          <v:stroke joinstyle="round"/>
          <o:lock v:ext="edit" rotation="t" aspectratio="t" verticies="t" adjusthandles="t" grouping="t" shapetype="t"/>
          <v:textbox>
            <w:txbxContent>
              <w:p w:rsidR="006F10BA" w:rsidRDefault="007D7579" w:rsidP="00015FF0">
                <w:pPr>
                  <w:jc w:val="center"/>
                  <w:rPr>
                    <w:rFonts w:ascii="Helvetica" w:hAnsi="Helvetica"/>
                    <w:color w:val="C0C0C0"/>
                    <w:kern w:val="0"/>
                    <w:sz w:val="72"/>
                    <w:szCs w:val="72"/>
                    <w:lang w:val="en-US"/>
                    <w14:textFill>
                      <w14:solidFill>
                        <w14:srgbClr w14:val="C0C0C0">
                          <w14:alpha w14:val="50000"/>
                        </w14:srgbClr>
                      </w14:solidFill>
                    </w14:textFill>
                    <w14:ligatures w14:val="none"/>
                  </w:rPr>
                </w:pPr>
                <w:r>
                  <w:rPr>
                    <w:rFonts w:ascii="Helvetica" w:hAnsi="Helvetica"/>
                    <w:color w:val="C0C0C0"/>
                    <w:sz w:val="72"/>
                    <w:szCs w:val="72"/>
                    <w:lang w:val="en-US"/>
                    <w14:textFill>
                      <w14:solidFill>
                        <w14:srgbClr w14:val="C0C0C0">
                          <w14:alpha w14:val="50000"/>
                        </w14:srgbClr>
                      </w14:solidFill>
                    </w14:textFill>
                  </w:rPr>
                  <w:t>UNDER PEER REVIEW</w:t>
                </w:r>
              </w:p>
            </w:txbxContent>
          </v:textbox>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0BA" w:rsidRDefault="00D22081">
    <w:pPr>
      <w:pStyle w:val="Header"/>
    </w:pPr>
    <w:r>
      <w:rPr>
        <w:noProof/>
      </w:rPr>
      <w:pict w14:anchorId="00BA10D2">
        <v:shapetype id="_x0000_t202" coordsize="21600,21600" o:spt="202" path="m,l,21600r21600,l21600,xe">
          <v:stroke joinstyle="miter"/>
          <v:path gradientshapeok="t" o:connecttype="rect"/>
        </v:shapetype>
        <v:shape id="PowerPlusWaterMarkObject339483362" o:spid="_x0000_s2049" type="#_x0000_t202" style="position:absolute;margin-left:0;margin-top:0;width:520.65pt;height:57.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" o:allowincell="f" filled="f" stroked="f">
          <v:stroke joinstyle="round"/>
          <o:lock v:ext="edit" rotation="t" aspectratio="t" verticies="t" adjusthandles="t" grouping="t" shapetype="t"/>
          <v:textbox>
            <w:txbxContent>
              <w:p w:rsidR="006F10BA" w:rsidRDefault="007D7579" w:rsidP="00015FF0">
                <w:pPr>
                  <w:jc w:val="center"/>
                  <w:rPr>
                    <w:rFonts w:ascii="Helvetica" w:hAnsi="Helvetica"/>
                    <w:color w:val="C0C0C0"/>
                    <w:kern w:val="0"/>
                    <w:sz w:val="72"/>
                    <w:szCs w:val="72"/>
                    <w:lang w:val="en-US"/>
                    <w14:textFill>
                      <w14:solidFill>
                        <w14:srgbClr w14:val="C0C0C0">
                          <w14:alpha w14:val="50000"/>
                        </w14:srgbClr>
                      </w14:solidFill>
                    </w14:textFill>
                    <w14:ligatures w14:val="none"/>
                  </w:rPr>
                </w:pPr>
                <w:r>
                  <w:rPr>
                    <w:rFonts w:ascii="Helvetica" w:hAnsi="Helvetica"/>
                    <w:color w:val="C0C0C0"/>
                    <w:sz w:val="72"/>
                    <w:szCs w:val="72"/>
                    <w:lang w:val="en-US"/>
                    <w14:textFill>
                      <w14:solidFill>
                        <w14:srgbClr w14:val="C0C0C0">
                          <w14:alpha w14:val="50000"/>
                        </w14:srgbClr>
                      </w14:solidFill>
                    </w14:textFill>
                  </w:rPr>
                  <w:t>UNDER PEER REVIEW</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304C"/>
    <w:multiLevelType w:val="multilevel"/>
    <w:tmpl w:val="2DA2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D4266"/>
    <w:multiLevelType w:val="multilevel"/>
    <w:tmpl w:val="F5F4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27E32"/>
    <w:multiLevelType w:val="multilevel"/>
    <w:tmpl w:val="3292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E44D8"/>
    <w:multiLevelType w:val="multilevel"/>
    <w:tmpl w:val="9300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101990"/>
    <w:multiLevelType w:val="multilevel"/>
    <w:tmpl w:val="9A18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22642"/>
    <w:multiLevelType w:val="multilevel"/>
    <w:tmpl w:val="B138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41879"/>
    <w:multiLevelType w:val="multilevel"/>
    <w:tmpl w:val="32CE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0NTUyMDY0MjY0szRT0lEKTi0uzszPAykwrAUA4nT9XywAAAA="/>
  </w:docVars>
  <w:rsids>
    <w:rsidRoot w:val="00D54833"/>
    <w:rsid w:val="00226741"/>
    <w:rsid w:val="0050249E"/>
    <w:rsid w:val="00522C34"/>
    <w:rsid w:val="006F10BA"/>
    <w:rsid w:val="00716F4B"/>
    <w:rsid w:val="007A7B1C"/>
    <w:rsid w:val="007D7579"/>
    <w:rsid w:val="008A006F"/>
    <w:rsid w:val="00913E57"/>
    <w:rsid w:val="00A66953"/>
    <w:rsid w:val="00CA0E14"/>
    <w:rsid w:val="00CD2A3E"/>
    <w:rsid w:val="00D22081"/>
    <w:rsid w:val="00D54833"/>
    <w:rsid w:val="00D8431F"/>
    <w:rsid w:val="00E050B3"/>
    <w:rsid w:val="00F11174"/>
    <w:rsid w:val="00F654D3"/>
    <w:rsid w:val="00FA13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9489DF2"/>
  <w15:chartTrackingRefBased/>
  <w15:docId w15:val="{81D46ABB-0C0F-E841-AB60-F69F8334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54833"/>
    <w:pPr>
      <w:tabs>
        <w:tab w:val="center" w:pos="4680"/>
        <w:tab w:val="right" w:pos="9360"/>
      </w:tabs>
    </w:pPr>
  </w:style>
  <w:style w:type="character" w:customStyle="1" w:styleId="FooterChar">
    <w:name w:val="Footer Char"/>
    <w:basedOn w:val="DefaultParagraphFont"/>
    <w:link w:val="Footer"/>
    <w:uiPriority w:val="99"/>
    <w:semiHidden/>
    <w:rsid w:val="00D54833"/>
  </w:style>
  <w:style w:type="paragraph" w:styleId="Header">
    <w:name w:val="header"/>
    <w:basedOn w:val="Normal"/>
    <w:link w:val="HeaderChar"/>
    <w:uiPriority w:val="99"/>
    <w:semiHidden/>
    <w:unhideWhenUsed/>
    <w:rsid w:val="00D54833"/>
    <w:pPr>
      <w:tabs>
        <w:tab w:val="center" w:pos="4680"/>
        <w:tab w:val="right" w:pos="9360"/>
      </w:tabs>
    </w:pPr>
  </w:style>
  <w:style w:type="character" w:customStyle="1" w:styleId="HeaderChar">
    <w:name w:val="Header Char"/>
    <w:basedOn w:val="DefaultParagraphFont"/>
    <w:link w:val="Header"/>
    <w:uiPriority w:val="99"/>
    <w:semiHidden/>
    <w:rsid w:val="00D54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75FED-D6BC-41C4-A4B1-169F226B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11925</Words>
  <Characters>67973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1158</cp:lastModifiedBy>
  <cp:revision>11</cp:revision>
  <dcterms:created xsi:type="dcterms:W3CDTF">2025-09-09T09:03:00Z</dcterms:created>
  <dcterms:modified xsi:type="dcterms:W3CDTF">2025-09-19T07:54:00Z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http://www.zotero.org/styles/american-geophysical-union</vt:lpwstr>
  </property>
  <property fmtid="{D5CDD505-2E9C-101B-9397-08002B2CF9AE}" pid="3" name="Mendeley Recent Style Name 0_1">
    <vt:lpwstr>American Geophysical Union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49287326-f991-3140-abf8-5887c38a7066</vt:lpwstr>
  </property>
  <property fmtid="{D5CDD505-2E9C-101B-9397-08002B2CF9AE}" pid="24" name="Mendeley Citation Style_1">
    <vt:lpwstr>http://www.zotero.org/styles/apa</vt:lpwstr>
  </property>
</Properties>
</file>