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419B" w14:textId="292D4F2C" w:rsidR="00E16628" w:rsidRDefault="0012720A" w:rsidP="00713924">
      <w:pPr>
        <w:jc w:val="center"/>
        <w:rPr>
          <w:rFonts w:ascii="Times New Roman" w:hAnsi="Times New Roman" w:cs="Times New Roman"/>
          <w:sz w:val="24"/>
        </w:rPr>
      </w:pPr>
      <w:r w:rsidRPr="0012720A">
        <w:rPr>
          <w:rFonts w:ascii="Times New Roman" w:hAnsi="Times New Roman" w:cs="Times New Roman"/>
          <w:sz w:val="30"/>
          <w:szCs w:val="30"/>
        </w:rPr>
        <w:t>New-type Productive Forces Promote Trade Development</w:t>
      </w:r>
    </w:p>
    <w:p w14:paraId="55A58E5C" w14:textId="77777777" w:rsidR="00D80C45" w:rsidRPr="00A41C16" w:rsidRDefault="00D80C45" w:rsidP="00713924">
      <w:pPr>
        <w:jc w:val="center"/>
        <w:rPr>
          <w:rFonts w:ascii="Times New Roman" w:hAnsi="Times New Roman" w:cs="Times New Roman"/>
          <w:sz w:val="24"/>
        </w:rPr>
      </w:pPr>
    </w:p>
    <w:p w14:paraId="67FDEF01" w14:textId="101B0A07" w:rsidR="00890CB6" w:rsidRPr="00890CB6" w:rsidRDefault="00AB335E" w:rsidP="00890CB6">
      <w:pPr>
        <w:rPr>
          <w:rFonts w:ascii="Times New Roman" w:hAnsi="Times New Roman" w:cs="Times New Roman"/>
          <w:sz w:val="24"/>
        </w:rPr>
      </w:pPr>
      <w:r w:rsidRPr="00AF0039">
        <w:rPr>
          <w:rFonts w:ascii="Times New Roman" w:hAnsi="Times New Roman" w:cs="Times New Roman"/>
          <w:b/>
          <w:bCs/>
          <w:sz w:val="24"/>
        </w:rPr>
        <w:t>A</w:t>
      </w:r>
      <w:r w:rsidR="00DC6688" w:rsidRPr="00AF0039">
        <w:rPr>
          <w:rFonts w:ascii="Times New Roman" w:hAnsi="Times New Roman" w:cs="Times New Roman" w:hint="eastAsia"/>
          <w:b/>
          <w:bCs/>
          <w:sz w:val="24"/>
        </w:rPr>
        <w:t>BSTRACT</w:t>
      </w:r>
      <w:r w:rsidRPr="00AB335E">
        <w:rPr>
          <w:rFonts w:ascii="Times New Roman" w:hAnsi="Times New Roman" w:cs="Times New Roman"/>
          <w:sz w:val="24"/>
        </w:rPr>
        <w:t xml:space="preserve">: </w:t>
      </w:r>
      <w:r w:rsidR="00890CB6" w:rsidRPr="00890CB6">
        <w:rPr>
          <w:rFonts w:ascii="Times New Roman" w:hAnsi="Times New Roman" w:cs="Times New Roman"/>
          <w:sz w:val="24"/>
        </w:rPr>
        <w:t>This paper uses theory to analyze the enabling role of the new quality of productivity on the development of international trade, and specifically discusses three aspects, namely, the enabling mechanism, practical challenges and policy responses. In terms of the enabling mechanism, through optimizing global factor allocation, promoting technology-intensive trade, and generating new forms of digital trade and other multiple paths, the new quality of productivity accelerates trade efficiency, reshapes the trade structure, and broadens trade boundaries, and the global value chain has been upgraded because of the increase in technological sophistication and added value of products. In terms of practical challenges, in the process of empowerment, new quality productivity faces such practical challenges as uneven regional development, conflict between technical standards and rules, and disconnection between science and technology innovation and industrial structure, which constrain the release of its potential. In view of these challenges, policy suggestions such as building a cross-regional technology sharing mechanism, actively participating in international standardization, and setting up a platform for industrial technology adaptation are put forward to promote the deep integration of new productivity and the trading system, and to provide theoretical references and practical paths for the high-quality development of global trade.</w:t>
      </w:r>
    </w:p>
    <w:p w14:paraId="677FEEB5" w14:textId="4DFA5F8E" w:rsidR="00AB335E" w:rsidRDefault="00AB335E" w:rsidP="00890CB6">
      <w:pPr>
        <w:rPr>
          <w:rFonts w:ascii="Times New Roman" w:hAnsi="Times New Roman" w:cs="Times New Roman"/>
          <w:sz w:val="24"/>
        </w:rPr>
      </w:pPr>
      <w:r w:rsidRPr="00AB335E">
        <w:rPr>
          <w:rFonts w:ascii="Times New Roman" w:hAnsi="Times New Roman" w:cs="Times New Roman"/>
          <w:sz w:val="24"/>
        </w:rPr>
        <w:t>Keywords: New Quality Productivity; Trade; Technology; Industrial Structure</w:t>
      </w:r>
    </w:p>
    <w:p w14:paraId="31F57B35" w14:textId="77777777" w:rsidR="00F50D35" w:rsidRDefault="00F50D35" w:rsidP="00AB335E">
      <w:pPr>
        <w:rPr>
          <w:rFonts w:ascii="Times New Roman" w:hAnsi="Times New Roman" w:cs="Times New Roman"/>
          <w:sz w:val="24"/>
        </w:rPr>
      </w:pPr>
    </w:p>
    <w:p w14:paraId="318477D9" w14:textId="77777777" w:rsidR="00F50D35" w:rsidRPr="00692158" w:rsidRDefault="00D25744" w:rsidP="00D25744">
      <w:pPr>
        <w:rPr>
          <w:rFonts w:ascii="Times New Roman" w:hAnsi="Times New Roman" w:cs="Times New Roman"/>
          <w:b/>
          <w:bCs/>
          <w:sz w:val="24"/>
        </w:rPr>
      </w:pPr>
      <w:r w:rsidRPr="00692158">
        <w:rPr>
          <w:rFonts w:ascii="Times New Roman" w:hAnsi="Times New Roman" w:cs="Times New Roman"/>
          <w:b/>
          <w:bCs/>
          <w:sz w:val="24"/>
        </w:rPr>
        <w:t xml:space="preserve">1. </w:t>
      </w:r>
      <w:r w:rsidR="00F50D35" w:rsidRPr="00692158">
        <w:rPr>
          <w:rFonts w:ascii="Times New Roman" w:hAnsi="Times New Roman" w:cs="Times New Roman"/>
          <w:b/>
          <w:bCs/>
          <w:sz w:val="24"/>
        </w:rPr>
        <w:t>Introduction</w:t>
      </w:r>
    </w:p>
    <w:p w14:paraId="1C566350" w14:textId="77777777" w:rsidR="0043750F" w:rsidRDefault="00F539E1" w:rsidP="00F539E1">
      <w:pPr>
        <w:rPr>
          <w:rFonts w:ascii="Times New Roman" w:hAnsi="Times New Roman" w:cs="Times New Roman"/>
          <w:sz w:val="24"/>
        </w:rPr>
      </w:pPr>
      <w:r w:rsidRPr="00F539E1">
        <w:rPr>
          <w:rFonts w:ascii="Times New Roman" w:hAnsi="Times New Roman" w:cs="Times New Roman"/>
          <w:sz w:val="24"/>
        </w:rPr>
        <w:t>In September 2023, Chinese officials for the first time put forward the “new quality productivity” and defined it as: "New quality productivity is the advanced productivity quality where innovation plays a leading role, free from the traditional economic growth mode and productivity development path, with high-tech, high-efficiency and high-quality features, and in line with the new development concept. Productivity quality. It is spawned by revolutionary breakthroughs in technology, innovative allocation of production factors, and in-depth transformation and upgrading of industries, with the leap of workers, labor materials, labor objects and their optimal combinations as the basic connotation, and a significant increase in total factor productivity as the core symbol, characterized by innovation, the key to quality, and the essence of advanced productivity." This has been talked about many times in subsequent meetings, in order to elaborate the methodology of developing new quality productive forces, so that it can be better integrated with policies and play a practical value.</w:t>
      </w:r>
    </w:p>
    <w:p w14:paraId="28A3B900" w14:textId="6BF3B9F6" w:rsidR="00F50D35" w:rsidRPr="00F50D35" w:rsidRDefault="0043750F" w:rsidP="00F539E1">
      <w:pPr>
        <w:rPr>
          <w:rFonts w:ascii="Times New Roman" w:hAnsi="Times New Roman" w:cs="Times New Roman"/>
          <w:sz w:val="24"/>
        </w:rPr>
      </w:pPr>
      <w:r w:rsidRPr="0043750F">
        <w:rPr>
          <w:rFonts w:ascii="Times New Roman" w:hAnsi="Times New Roman" w:cs="Times New Roman"/>
          <w:sz w:val="24"/>
        </w:rPr>
        <w:t xml:space="preserve">Trade was a major driver of a country's economic development, and it had a close synergy with the development of social productivity. At present, the world trade pattern is undergoing a profound transformation, with the rise of trade protectionism, the intensification of geopolitical conflicts, the frequent occurrence of trade frictions, and the changing integration of trade and productivity. Richard Baldwin pointed out that recent geopolitical events such as epidemics have forced the supply chain to shift from “efficiency first” to “security and resilience first”. to “security and resilience first”. As </w:t>
      </w:r>
      <w:r w:rsidRPr="0043750F">
        <w:rPr>
          <w:rFonts w:ascii="Times New Roman" w:hAnsi="Times New Roman" w:cs="Times New Roman"/>
          <w:sz w:val="24"/>
        </w:rPr>
        <w:lastRenderedPageBreak/>
        <w:t xml:space="preserve">a result, “friendly outsourcing” and industry chain backflow may lead to problems such as reduced productivity and increased production costs </w:t>
      </w:r>
      <w:r w:rsidRPr="008619C3">
        <w:rPr>
          <w:rFonts w:ascii="Times New Roman" w:hAnsi="Times New Roman" w:cs="Times New Roman"/>
          <w:sz w:val="24"/>
          <w:vertAlign w:val="superscript"/>
        </w:rPr>
        <w:t>[1]</w:t>
      </w:r>
      <w:r w:rsidRPr="0043750F">
        <w:rPr>
          <w:rFonts w:ascii="Times New Roman" w:hAnsi="Times New Roman" w:cs="Times New Roman"/>
          <w:sz w:val="24"/>
        </w:rPr>
        <w:t>. Under the general environment of economic transformation and upgrading faced by some developing countries, new quality productivity can both promote the country's position in the global value chain and provide a new impetus for the development of the global economy by reshaping the factor structure, industrial pattern and competitive pattern of international trade. New-quality productivity changes the internal logic of international trade: from competition for resources to control of the innovation ecosystem, and from competition over prices to competition over standards. For developing countries, this is not only a historic opportunity to break the “middle-technology trap”, but also to face the technology blockade of developed countries and the low-cost catch-up of developing countries. On this basis, we should continue to promote the trinity strategy of “technological breakthroughs, institutional openness and export of rules”, so that China's advantage in new productivity can be transformed into institutional discourse in international trade, thus providing a strategic fulcrum for the formation of a new development pattern.</w:t>
      </w:r>
    </w:p>
    <w:p w14:paraId="2BFCF7FD" w14:textId="77777777" w:rsidR="00F50D35" w:rsidRPr="00E86A7D" w:rsidRDefault="00F50D35" w:rsidP="00F50D35">
      <w:pPr>
        <w:rPr>
          <w:rFonts w:ascii="Times New Roman" w:hAnsi="Times New Roman" w:cs="Times New Roman"/>
          <w:b/>
          <w:bCs/>
          <w:sz w:val="24"/>
        </w:rPr>
      </w:pPr>
      <w:r w:rsidRPr="00E86A7D">
        <w:rPr>
          <w:rFonts w:ascii="Times New Roman" w:hAnsi="Times New Roman" w:cs="Times New Roman" w:hint="eastAsia"/>
          <w:b/>
          <w:bCs/>
          <w:sz w:val="24"/>
        </w:rPr>
        <w:t>2.</w:t>
      </w:r>
      <w:r w:rsidRPr="00E86A7D">
        <w:rPr>
          <w:b/>
          <w:bCs/>
        </w:rPr>
        <w:t xml:space="preserve"> </w:t>
      </w:r>
      <w:r w:rsidRPr="00E86A7D">
        <w:rPr>
          <w:rFonts w:ascii="Times New Roman" w:hAnsi="Times New Roman" w:cs="Times New Roman"/>
          <w:b/>
          <w:bCs/>
          <w:sz w:val="24"/>
        </w:rPr>
        <w:t>Literature Review</w:t>
      </w:r>
    </w:p>
    <w:p w14:paraId="4E7B09B4" w14:textId="77777777" w:rsidR="00CC4F01" w:rsidRDefault="00CC4F01" w:rsidP="00F50D35">
      <w:pPr>
        <w:rPr>
          <w:rFonts w:ascii="Times New Roman" w:hAnsi="Times New Roman" w:cs="Times New Roman"/>
          <w:sz w:val="24"/>
        </w:rPr>
      </w:pPr>
      <w:r w:rsidRPr="00CC4F01">
        <w:rPr>
          <w:rFonts w:ascii="Times New Roman" w:hAnsi="Times New Roman" w:cs="Times New Roman"/>
          <w:sz w:val="24"/>
        </w:rPr>
        <w:t xml:space="preserve">According to Perez, the scientific and technological revolution has led to a change in the “techno-economic paradigm”, which has profoundly re-conceptualized the mode of production organization and the global division of labor worldwide. The restructuring of industries has not only improved the efficiency of factor allocation, but also promoted new forms of trade, such as digital trade and intelligent manufacturing </w:t>
      </w:r>
      <w:r w:rsidRPr="00CC4F01">
        <w:rPr>
          <w:rFonts w:ascii="Times New Roman" w:hAnsi="Times New Roman" w:cs="Times New Roman"/>
          <w:sz w:val="24"/>
          <w:vertAlign w:val="superscript"/>
        </w:rPr>
        <w:t>[2]</w:t>
      </w:r>
      <w:r w:rsidRPr="00CC4F01">
        <w:rPr>
          <w:rFonts w:ascii="Times New Roman" w:hAnsi="Times New Roman" w:cs="Times New Roman"/>
          <w:sz w:val="24"/>
        </w:rPr>
        <w:t xml:space="preserve">. In addition, Feldman &amp; Yoon believe that based on common technologies such as big data and artificial intelligence, it can effectively reduce the synergy and transaction costs of cross-border trade, which is especially important for the international expansion of service trade and digital platforms </w:t>
      </w:r>
      <w:r w:rsidRPr="00CC4F01">
        <w:rPr>
          <w:rFonts w:ascii="Times New Roman" w:hAnsi="Times New Roman" w:cs="Times New Roman"/>
          <w:sz w:val="24"/>
          <w:vertAlign w:val="superscript"/>
        </w:rPr>
        <w:t>[3]</w:t>
      </w:r>
      <w:r w:rsidRPr="00CC4F01">
        <w:rPr>
          <w:rFonts w:ascii="Times New Roman" w:hAnsi="Times New Roman" w:cs="Times New Roman"/>
          <w:sz w:val="24"/>
        </w:rPr>
        <w:t>.</w:t>
      </w:r>
    </w:p>
    <w:p w14:paraId="2D90A26C" w14:textId="1217AA30" w:rsidR="00654332" w:rsidRDefault="00D44792" w:rsidP="00F50D35">
      <w:pPr>
        <w:rPr>
          <w:rFonts w:ascii="Times New Roman" w:hAnsi="Times New Roman" w:cs="Times New Roman"/>
          <w:sz w:val="24"/>
        </w:rPr>
      </w:pPr>
      <w:r w:rsidRPr="00D44792">
        <w:rPr>
          <w:rFonts w:ascii="Times New Roman" w:hAnsi="Times New Roman" w:cs="Times New Roman"/>
          <w:sz w:val="24"/>
        </w:rPr>
        <w:t xml:space="preserve">Feldman and Yoon proposed that the promotion of technological transformation and industrial upgrading requires the establishment of a sound intellectual property protection system and compatible innovation policies </w:t>
      </w:r>
      <w:r w:rsidRPr="00D44792">
        <w:rPr>
          <w:rFonts w:ascii="Times New Roman" w:hAnsi="Times New Roman" w:cs="Times New Roman"/>
          <w:sz w:val="24"/>
          <w:vertAlign w:val="superscript"/>
        </w:rPr>
        <w:t>[4]</w:t>
      </w:r>
      <w:r w:rsidRPr="00D44792">
        <w:rPr>
          <w:rFonts w:ascii="Times New Roman" w:hAnsi="Times New Roman" w:cs="Times New Roman"/>
          <w:sz w:val="24"/>
        </w:rPr>
        <w:t>. At the same time, Stiglitz also emphasized that countries should strengthen policy cooperation in digital trade rules and cross-border flow of data to create a favorable international environment for the development of new technologies and new industries</w:t>
      </w:r>
      <w:r w:rsidRPr="00D44792">
        <w:rPr>
          <w:rFonts w:ascii="Times New Roman" w:hAnsi="Times New Roman" w:cs="Times New Roman"/>
          <w:sz w:val="24"/>
          <w:vertAlign w:val="superscript"/>
        </w:rPr>
        <w:t xml:space="preserve"> [5]</w:t>
      </w:r>
      <w:r w:rsidRPr="00D44792">
        <w:rPr>
          <w:rFonts w:ascii="Times New Roman" w:hAnsi="Times New Roman" w:cs="Times New Roman"/>
          <w:sz w:val="24"/>
        </w:rPr>
        <w:t>.</w:t>
      </w:r>
      <w:r w:rsidR="00733526">
        <w:rPr>
          <w:rFonts w:ascii="Times New Roman" w:hAnsi="Times New Roman" w:cs="Times New Roman" w:hint="eastAsia"/>
          <w:sz w:val="24"/>
        </w:rPr>
        <w:t xml:space="preserve"> </w:t>
      </w:r>
      <w:r w:rsidRPr="00D44792">
        <w:rPr>
          <w:rFonts w:ascii="Times New Roman" w:hAnsi="Times New Roman" w:cs="Times New Roman"/>
          <w:sz w:val="24"/>
        </w:rPr>
        <w:t xml:space="preserve">Maskin and </w:t>
      </w:r>
      <w:proofErr w:type="spellStart"/>
      <w:r w:rsidRPr="00D44792">
        <w:rPr>
          <w:rFonts w:ascii="Times New Roman" w:hAnsi="Times New Roman" w:cs="Times New Roman"/>
          <w:sz w:val="24"/>
        </w:rPr>
        <w:t>Tirole</w:t>
      </w:r>
      <w:r w:rsidR="00F70FB8">
        <w:rPr>
          <w:rFonts w:ascii="Times New Roman" w:hAnsi="Times New Roman" w:cs="Times New Roman"/>
          <w:sz w:val="24"/>
        </w:rPr>
        <w:t>’</w:t>
      </w:r>
      <w:r w:rsidRPr="00D44792">
        <w:rPr>
          <w:rFonts w:ascii="Times New Roman" w:hAnsi="Times New Roman" w:cs="Times New Roman"/>
          <w:sz w:val="24"/>
        </w:rPr>
        <w:t>s</w:t>
      </w:r>
      <w:proofErr w:type="spellEnd"/>
      <w:r w:rsidRPr="00D44792">
        <w:rPr>
          <w:rFonts w:ascii="Times New Roman" w:hAnsi="Times New Roman" w:cs="Times New Roman"/>
          <w:sz w:val="24"/>
        </w:rPr>
        <w:t xml:space="preserve"> empirical results show that an inclusive and prudent regulatory framework and a flexible policy regime can provide sufficient room for trial and error for the development of new technologies and new industries, which can in turn speed up the generation of new quality productivity </w:t>
      </w:r>
      <w:r w:rsidRPr="00D44792">
        <w:rPr>
          <w:rFonts w:ascii="Times New Roman" w:hAnsi="Times New Roman" w:cs="Times New Roman"/>
          <w:sz w:val="24"/>
          <w:vertAlign w:val="superscript"/>
        </w:rPr>
        <w:t>[6]</w:t>
      </w:r>
      <w:r w:rsidRPr="00D44792">
        <w:rPr>
          <w:rFonts w:ascii="Times New Roman" w:hAnsi="Times New Roman" w:cs="Times New Roman"/>
          <w:sz w:val="24"/>
        </w:rPr>
        <w:t>.</w:t>
      </w:r>
    </w:p>
    <w:p w14:paraId="41567DB3" w14:textId="512E0ACE" w:rsidR="00447F21" w:rsidRDefault="0023437F" w:rsidP="00F50D35">
      <w:pPr>
        <w:rPr>
          <w:rFonts w:ascii="Times New Roman" w:hAnsi="Times New Roman" w:cs="Times New Roman" w:hint="eastAsia"/>
          <w:sz w:val="24"/>
        </w:rPr>
      </w:pPr>
      <w:r w:rsidRPr="0023437F">
        <w:rPr>
          <w:rFonts w:ascii="Times New Roman" w:hAnsi="Times New Roman" w:cs="Times New Roman"/>
          <w:sz w:val="24"/>
        </w:rPr>
        <w:t>However, in the process of promoting productivity improvement, technological innovation encounters structural challenges.</w:t>
      </w:r>
      <w:r w:rsidR="00733526">
        <w:rPr>
          <w:rFonts w:ascii="Times New Roman" w:hAnsi="Times New Roman" w:cs="Times New Roman" w:hint="eastAsia"/>
          <w:sz w:val="24"/>
        </w:rPr>
        <w:t xml:space="preserve"> </w:t>
      </w:r>
      <w:r w:rsidRPr="0023437F">
        <w:rPr>
          <w:rFonts w:ascii="Times New Roman" w:hAnsi="Times New Roman" w:cs="Times New Roman"/>
          <w:sz w:val="24"/>
        </w:rPr>
        <w:t xml:space="preserve">Autor&amp; Salomons research shows that the degree of scientific and technological penetration across countries and regions has obvious differences, with developed countries relying on their advantages of technological accumulation and market mechanisms to be in the upstream of the industrial chain, while developing countries are facing the risks of technological lock-in and structural rupture </w:t>
      </w:r>
      <w:r w:rsidRPr="0023437F">
        <w:rPr>
          <w:rFonts w:ascii="Times New Roman" w:hAnsi="Times New Roman" w:cs="Times New Roman"/>
          <w:sz w:val="24"/>
          <w:vertAlign w:val="superscript"/>
        </w:rPr>
        <w:t>[7]</w:t>
      </w:r>
      <w:r w:rsidRPr="0023437F">
        <w:rPr>
          <w:rFonts w:ascii="Times New Roman" w:hAnsi="Times New Roman" w:cs="Times New Roman"/>
          <w:sz w:val="24"/>
        </w:rPr>
        <w:t xml:space="preserve">. According to Keller, due to ideological and institutional differences, the gap in technological standards between countries is getting wider and </w:t>
      </w:r>
      <w:r w:rsidRPr="0023437F">
        <w:rPr>
          <w:rFonts w:ascii="Times New Roman" w:hAnsi="Times New Roman" w:cs="Times New Roman"/>
          <w:sz w:val="24"/>
        </w:rPr>
        <w:lastRenderedPageBreak/>
        <w:t xml:space="preserve">wider, which results in digital trade barriers as well as the rise of techno-nationalism, which has become a substantial obstacle to technology diffusion </w:t>
      </w:r>
      <w:r w:rsidRPr="0023437F">
        <w:rPr>
          <w:rFonts w:ascii="Times New Roman" w:hAnsi="Times New Roman" w:cs="Times New Roman"/>
          <w:sz w:val="24"/>
          <w:vertAlign w:val="superscript"/>
        </w:rPr>
        <w:t>[8]</w:t>
      </w:r>
      <w:r w:rsidRPr="0023437F">
        <w:rPr>
          <w:rFonts w:ascii="Times New Roman" w:hAnsi="Times New Roman" w:cs="Times New Roman"/>
          <w:sz w:val="24"/>
        </w:rPr>
        <w:t xml:space="preserve">. To solve these problems, Stiglitz argues that broader technology diffusion should be promoted by optimizing national innovation systems and strengthening inter-regional technological cooperation </w:t>
      </w:r>
      <w:r w:rsidRPr="0023437F">
        <w:rPr>
          <w:rFonts w:ascii="Times New Roman" w:hAnsi="Times New Roman" w:cs="Times New Roman"/>
          <w:sz w:val="24"/>
          <w:vertAlign w:val="superscript"/>
        </w:rPr>
        <w:t>[9]</w:t>
      </w:r>
      <w:r w:rsidRPr="0023437F">
        <w:rPr>
          <w:rFonts w:ascii="Times New Roman" w:hAnsi="Times New Roman" w:cs="Times New Roman"/>
          <w:sz w:val="24"/>
        </w:rPr>
        <w:t>.</w:t>
      </w:r>
      <w:r w:rsidR="00634406">
        <w:rPr>
          <w:rFonts w:ascii="Times New Roman" w:hAnsi="Times New Roman" w:cs="Times New Roman"/>
          <w:sz w:val="24"/>
        </w:rPr>
        <w:t xml:space="preserve"> </w:t>
      </w:r>
      <w:proofErr w:type="gramStart"/>
      <w:r w:rsidRPr="0023437F">
        <w:rPr>
          <w:rFonts w:ascii="Times New Roman" w:hAnsi="Times New Roman" w:cs="Times New Roman"/>
          <w:sz w:val="24"/>
        </w:rPr>
        <w:t>Baldwin</w:t>
      </w:r>
      <w:proofErr w:type="gramEnd"/>
      <w:r w:rsidRPr="0023437F">
        <w:rPr>
          <w:rFonts w:ascii="Times New Roman" w:hAnsi="Times New Roman" w:cs="Times New Roman"/>
          <w:sz w:val="24"/>
        </w:rPr>
        <w:t xml:space="preserve"> argues that future world trade rules need to be more in line with the needs of the development of the digital economy, strengthen international collaboration between intellectual property rights and technical standards, and ensure the flow of data </w:t>
      </w:r>
      <w:r w:rsidRPr="0023437F">
        <w:rPr>
          <w:rFonts w:ascii="Times New Roman" w:hAnsi="Times New Roman" w:cs="Times New Roman"/>
          <w:sz w:val="24"/>
          <w:vertAlign w:val="superscript"/>
        </w:rPr>
        <w:t>[10]</w:t>
      </w:r>
      <w:r w:rsidRPr="0023437F">
        <w:rPr>
          <w:rFonts w:ascii="Times New Roman" w:hAnsi="Times New Roman" w:cs="Times New Roman"/>
          <w:sz w:val="24"/>
        </w:rPr>
        <w:t>.</w:t>
      </w:r>
    </w:p>
    <w:p w14:paraId="46FFEFF5" w14:textId="77777777" w:rsidR="003248BF" w:rsidRDefault="003248BF" w:rsidP="003248BF">
      <w:pPr>
        <w:rPr>
          <w:rFonts w:ascii="Times New Roman" w:hAnsi="Times New Roman" w:cs="Times New Roman"/>
          <w:b/>
          <w:bCs/>
          <w:sz w:val="24"/>
        </w:rPr>
      </w:pPr>
      <w:r w:rsidRPr="00057A34">
        <w:rPr>
          <w:rFonts w:ascii="Times New Roman" w:hAnsi="Times New Roman" w:cs="Times New Roman"/>
          <w:b/>
          <w:bCs/>
          <w:sz w:val="24"/>
        </w:rPr>
        <w:t>3.</w:t>
      </w:r>
      <w:r w:rsidRPr="00057A34">
        <w:rPr>
          <w:b/>
          <w:bCs/>
        </w:rPr>
        <w:t xml:space="preserve"> </w:t>
      </w:r>
      <w:r w:rsidRPr="00057A34">
        <w:rPr>
          <w:rFonts w:ascii="Times New Roman" w:hAnsi="Times New Roman" w:cs="Times New Roman"/>
          <w:b/>
          <w:bCs/>
          <w:sz w:val="24"/>
        </w:rPr>
        <w:t>The Logical Mechanism of New Quality Productivity Empowering Trade Development</w:t>
      </w:r>
    </w:p>
    <w:p w14:paraId="58BFB4BA" w14:textId="42D78EAF" w:rsidR="00561094" w:rsidRPr="00561094" w:rsidRDefault="00561094" w:rsidP="003248BF">
      <w:pPr>
        <w:rPr>
          <w:rFonts w:ascii="Times New Roman" w:hAnsi="Times New Roman" w:cs="Times New Roman" w:hint="eastAsia"/>
          <w:sz w:val="24"/>
        </w:rPr>
      </w:pPr>
      <w:r w:rsidRPr="00561094">
        <w:rPr>
          <w:rFonts w:ascii="Times New Roman" w:hAnsi="Times New Roman" w:cs="Times New Roman"/>
          <w:sz w:val="24"/>
        </w:rPr>
        <w:t xml:space="preserve">New quality productivity has an important contribution to the development of international trade in a number of ways, which are manifested in three aspects, namely, the optimization of factor allocation, the enhancement of the efficiency of the value chain, and the emergence of digital trade. Some scholars have also studied the relationship between NQP and trade from different perspectives, and Baldwin argues that digitalization and artificial intelligence can greatly reduce the transaction costs of international trade and provide more opportunities for small and medium-sized enterprises by optimizing supply chain management and cross-border payment processes </w:t>
      </w:r>
      <w:r w:rsidRPr="00561094">
        <w:rPr>
          <w:rFonts w:ascii="Times New Roman" w:hAnsi="Times New Roman" w:cs="Times New Roman"/>
          <w:sz w:val="24"/>
          <w:vertAlign w:val="superscript"/>
        </w:rPr>
        <w:t>[11]</w:t>
      </w:r>
      <w:r w:rsidRPr="00561094">
        <w:rPr>
          <w:rFonts w:ascii="Times New Roman" w:hAnsi="Times New Roman" w:cs="Times New Roman"/>
          <w:sz w:val="24"/>
        </w:rPr>
        <w:t xml:space="preserve">. In addition, Lee highlighted that new technologies, products and services brought by new quality productivity have brought new growth points for trade, such as digital services, intellectual property trade and other new trade patterns, which have already played a huge role in promoting the development of world trade </w:t>
      </w:r>
      <w:r w:rsidRPr="00561094">
        <w:rPr>
          <w:rFonts w:ascii="Times New Roman" w:hAnsi="Times New Roman" w:cs="Times New Roman"/>
          <w:sz w:val="24"/>
          <w:vertAlign w:val="superscript"/>
        </w:rPr>
        <w:t>[12]</w:t>
      </w:r>
      <w:r w:rsidRPr="00561094">
        <w:rPr>
          <w:rFonts w:ascii="Times New Roman" w:hAnsi="Times New Roman" w:cs="Times New Roman"/>
          <w:sz w:val="24"/>
        </w:rPr>
        <w:t>. It is found that the new quality productivity not only improves the efficiency of traditional trade, but also changes the development pattern and development mode of world trade.</w:t>
      </w:r>
    </w:p>
    <w:p w14:paraId="63A555AE" w14:textId="77777777" w:rsidR="003248BF" w:rsidRPr="00057A34" w:rsidRDefault="003248BF" w:rsidP="003248BF">
      <w:pPr>
        <w:rPr>
          <w:rFonts w:ascii="Times New Roman" w:hAnsi="Times New Roman" w:cs="Times New Roman"/>
          <w:b/>
          <w:bCs/>
          <w:sz w:val="24"/>
        </w:rPr>
      </w:pPr>
      <w:r w:rsidRPr="00057A34">
        <w:rPr>
          <w:rFonts w:ascii="Times New Roman" w:hAnsi="Times New Roman" w:cs="Times New Roman"/>
          <w:b/>
          <w:bCs/>
          <w:sz w:val="24"/>
        </w:rPr>
        <w:t>3.1 Optimizing Global Factor Allocation and Enhancing Fundamental Trade Efficiency</w:t>
      </w:r>
    </w:p>
    <w:p w14:paraId="79EEADEB" w14:textId="6E616B28" w:rsidR="005E3A54" w:rsidRDefault="0030102C" w:rsidP="003248BF">
      <w:pPr>
        <w:rPr>
          <w:rFonts w:ascii="Times New Roman" w:hAnsi="Times New Roman" w:cs="Times New Roman"/>
          <w:sz w:val="24"/>
        </w:rPr>
      </w:pPr>
      <w:r w:rsidRPr="0030102C">
        <w:rPr>
          <w:rFonts w:ascii="Times New Roman" w:hAnsi="Times New Roman" w:cs="Times New Roman"/>
          <w:sz w:val="24"/>
        </w:rPr>
        <w:t>New-quality productivity is profoundly affecting the world trading system by reshaping the pattern of factor allocation and improving the efficiency of the trade process. The core mechanism is that through a new generation of information technologies, such as big data, artificial intelligence, the Internet of Things and blockchain, information asymmetry and transaction costs can be effectively reduced, thereby better facilitating the identification, matching and flow of global factors of production. For example, intelligent algorithms can achieve dynamic optimization of cross-border supply chains; digital platforms can help small and medium-sized enterprises participate in the worldwide division of labor; and the use of blockchain technology can improve the credibility and traceability of transaction data, which can greatly improve the efficiency of coordinating the flow of logistics, capital, and information.</w:t>
      </w:r>
      <w:r w:rsidR="00634406">
        <w:rPr>
          <w:rFonts w:ascii="Times New Roman" w:hAnsi="Times New Roman" w:cs="Times New Roman"/>
          <w:sz w:val="24"/>
        </w:rPr>
        <w:t xml:space="preserve"> </w:t>
      </w:r>
      <w:r w:rsidRPr="0030102C">
        <w:rPr>
          <w:rFonts w:ascii="Times New Roman" w:hAnsi="Times New Roman" w:cs="Times New Roman"/>
          <w:sz w:val="24"/>
        </w:rPr>
        <w:t xml:space="preserve">An OECD report shows that if data and information can be allowed to flow freely, total factor productivity could be increased by 1.5% to 2.6%, while the total value of digital services exports from OECD countries in 2022 is $4.25 trillion, or 61% of total services exports </w:t>
      </w:r>
      <w:r w:rsidRPr="0030102C">
        <w:rPr>
          <w:rFonts w:ascii="Times New Roman" w:hAnsi="Times New Roman" w:cs="Times New Roman"/>
          <w:sz w:val="24"/>
          <w:vertAlign w:val="superscript"/>
        </w:rPr>
        <w:t>[13]</w:t>
      </w:r>
      <w:r w:rsidRPr="0030102C">
        <w:rPr>
          <w:rFonts w:ascii="Times New Roman" w:hAnsi="Times New Roman" w:cs="Times New Roman"/>
          <w:sz w:val="24"/>
        </w:rPr>
        <w:t>. This enhances countries' comparative advantages in practice and promotes the development of trade patterns towards digitization, intelligence and flexibility, providing both a technical and institutional basis for improving the fundamental efficiency of world trade.</w:t>
      </w:r>
    </w:p>
    <w:p w14:paraId="79923C21" w14:textId="1695551B" w:rsidR="003248BF" w:rsidRPr="0028268A" w:rsidRDefault="003248BF" w:rsidP="003248BF">
      <w:pPr>
        <w:rPr>
          <w:rFonts w:ascii="Times New Roman" w:hAnsi="Times New Roman" w:cs="Times New Roman"/>
          <w:b/>
          <w:bCs/>
          <w:sz w:val="24"/>
        </w:rPr>
      </w:pPr>
      <w:r w:rsidRPr="0028268A">
        <w:rPr>
          <w:rFonts w:ascii="Times New Roman" w:hAnsi="Times New Roman" w:cs="Times New Roman"/>
          <w:b/>
          <w:bCs/>
          <w:sz w:val="24"/>
        </w:rPr>
        <w:t>3.2 Promoting Technology-Intensive Trade and Value Chain Upgrading</w:t>
      </w:r>
    </w:p>
    <w:p w14:paraId="76B8DE90" w14:textId="07EA80B9" w:rsidR="00673D3E" w:rsidRDefault="00634406" w:rsidP="003248BF">
      <w:pPr>
        <w:rPr>
          <w:rFonts w:ascii="Times New Roman" w:hAnsi="Times New Roman" w:cs="Times New Roman"/>
          <w:sz w:val="24"/>
        </w:rPr>
      </w:pPr>
      <w:r w:rsidRPr="00634406">
        <w:rPr>
          <w:rFonts w:ascii="Times New Roman" w:hAnsi="Times New Roman" w:cs="Times New Roman"/>
          <w:sz w:val="24"/>
        </w:rPr>
        <w:lastRenderedPageBreak/>
        <w:t xml:space="preserve">New-quality productive forces can drive the international trade structure in a technology-intensive direction through technological innovation and knowledge spillovers, thereby enhancing a country's position in the global value chain. This process is reflected in the following: first, new productivity, mainly characterized by artificial intelligence, advanced manufacturing and R&amp;D innovation, drives trade demand for high-tech intermediates and manufactured goods, such as high-end equipment, key components and digital solutions, replacing some of the traditional </w:t>
      </w:r>
      <w:proofErr w:type="spellStart"/>
      <w:r w:rsidRPr="00634406">
        <w:rPr>
          <w:rFonts w:ascii="Times New Roman" w:hAnsi="Times New Roman" w:cs="Times New Roman"/>
          <w:sz w:val="24"/>
        </w:rPr>
        <w:t>labour-intensive</w:t>
      </w:r>
      <w:proofErr w:type="spellEnd"/>
      <w:r w:rsidRPr="00634406">
        <w:rPr>
          <w:rFonts w:ascii="Times New Roman" w:hAnsi="Times New Roman" w:cs="Times New Roman"/>
          <w:sz w:val="24"/>
        </w:rPr>
        <w:t xml:space="preserve"> industries. Secondly, by upgrading the technological digestion, absorption and re-innovation capacity of local enterprises, it realizes its role in the global knowledge-intensive value chain and achieves a structural shift from processing manufacturing to high value-added industries. The third is to promote the internationalization of intellectual property transactions and technical services by means of standard-setting, patent licensing and core technology cooperation. This is of great significance in promoting the optimization of the trade structure and the enhancement of a country's voice and competitiveness in international industrial transfer.</w:t>
      </w:r>
      <w:r>
        <w:rPr>
          <w:rFonts w:ascii="Times New Roman" w:hAnsi="Times New Roman" w:cs="Times New Roman" w:hint="eastAsia"/>
          <w:sz w:val="24"/>
        </w:rPr>
        <w:t xml:space="preserve"> </w:t>
      </w:r>
      <w:r w:rsidR="00673D3E" w:rsidRPr="00673D3E">
        <w:rPr>
          <w:rFonts w:ascii="Times New Roman" w:hAnsi="Times New Roman" w:cs="Times New Roman"/>
          <w:sz w:val="24"/>
        </w:rPr>
        <w:t xml:space="preserve">South Korea's semiconductor enterprises have been innovating through continuous R&amp;D investment, making them leaders in the memory industry: Samsung and SK Hynix jointly control 70% of global DRAMs and have gained high monopoly profits by virtue of technological barriers </w:t>
      </w:r>
      <w:r w:rsidR="00673D3E" w:rsidRPr="00673D3E">
        <w:rPr>
          <w:rFonts w:ascii="Times New Roman" w:hAnsi="Times New Roman" w:cs="Times New Roman"/>
          <w:sz w:val="24"/>
          <w:vertAlign w:val="superscript"/>
        </w:rPr>
        <w:t>[14][15]</w:t>
      </w:r>
      <w:r w:rsidR="00673D3E" w:rsidRPr="00673D3E">
        <w:rPr>
          <w:rFonts w:ascii="Times New Roman" w:hAnsi="Times New Roman" w:cs="Times New Roman"/>
          <w:sz w:val="24"/>
        </w:rPr>
        <w:t>.</w:t>
      </w:r>
    </w:p>
    <w:p w14:paraId="47C7B960" w14:textId="7075EAAD" w:rsidR="003248BF" w:rsidRPr="00F31518" w:rsidRDefault="003248BF" w:rsidP="003248BF">
      <w:pPr>
        <w:rPr>
          <w:rFonts w:ascii="Times New Roman" w:hAnsi="Times New Roman" w:cs="Times New Roman"/>
          <w:b/>
          <w:bCs/>
          <w:sz w:val="24"/>
        </w:rPr>
      </w:pPr>
      <w:r w:rsidRPr="00F31518">
        <w:rPr>
          <w:rFonts w:ascii="Times New Roman" w:hAnsi="Times New Roman" w:cs="Times New Roman"/>
          <w:b/>
          <w:bCs/>
          <w:sz w:val="24"/>
        </w:rPr>
        <w:t>3.3 Catalyzing New Forms of Digital Trade, Expanding Trade Boundaries</w:t>
      </w:r>
    </w:p>
    <w:p w14:paraId="541F7E9A" w14:textId="56B9491E" w:rsidR="00AB335E" w:rsidRDefault="00DF7BB9" w:rsidP="003248BF">
      <w:pPr>
        <w:rPr>
          <w:rFonts w:ascii="Times New Roman" w:hAnsi="Times New Roman" w:cs="Times New Roman"/>
          <w:sz w:val="24"/>
        </w:rPr>
      </w:pPr>
      <w:r w:rsidRPr="00DF7BB9">
        <w:rPr>
          <w:rFonts w:ascii="Times New Roman" w:hAnsi="Times New Roman" w:cs="Times New Roman"/>
          <w:sz w:val="24"/>
        </w:rPr>
        <w:t>Through the innovation and application of digital technology, the new quality productivity has profoundly reconfigured traditional trade forms and boundaries, forming a new digital trade model characterized by data-driven, platform operation and intelligent collaboration. Its core mechanism is the application of technologies such as the Internet of Things (IoT), Big Data, Artificial Intelligence (AI), and Blockchain, which reduces the cost of acquiring, matching, and fulfilling information, and makes services, knowledge, and data across national borders important trading objects. Cloud computing, software, digital content, and the gig economy, all of which allow both supply and demand around the world to be efficiently connected, greatly expanding the range of tradable goods. Through its research on the integration of digital trade in Asia, the Bank has concluded that digital platforms and cross-border data resources have had a profound impact on Asia's trade landscape. With the integration of the world economy, the internationalization of small and medium-sized enterprises (SMEs) has been increasing, the openness of trade in services has been growing, and economic and trade links between regions have become increasingly close</w:t>
      </w:r>
      <w:r w:rsidRPr="00DF7BB9">
        <w:rPr>
          <w:rFonts w:ascii="Times New Roman" w:hAnsi="Times New Roman" w:cs="Times New Roman"/>
          <w:sz w:val="24"/>
          <w:vertAlign w:val="superscript"/>
        </w:rPr>
        <w:t xml:space="preserve"> [16]</w:t>
      </w:r>
      <w:r w:rsidRPr="00DF7BB9">
        <w:rPr>
          <w:rFonts w:ascii="Times New Roman" w:hAnsi="Times New Roman" w:cs="Times New Roman"/>
          <w:sz w:val="24"/>
        </w:rPr>
        <w:t>. At the same time, emerging financial systems such as smart contracts and digital currencies have put forward higher requirements for the efficiency and security of cross-border payments. This shift will contribute to the transformation of world trade from being led by the real economy to being digitalized and service-oriented.</w:t>
      </w:r>
    </w:p>
    <w:p w14:paraId="5748B4E8" w14:textId="77777777" w:rsidR="00D25744" w:rsidRPr="00D3028D" w:rsidRDefault="00D25744" w:rsidP="00D25744">
      <w:pPr>
        <w:rPr>
          <w:rFonts w:ascii="Times New Roman" w:hAnsi="Times New Roman" w:cs="Times New Roman"/>
          <w:b/>
          <w:bCs/>
          <w:sz w:val="24"/>
        </w:rPr>
      </w:pPr>
      <w:r w:rsidRPr="00D3028D">
        <w:rPr>
          <w:rFonts w:ascii="Times New Roman" w:hAnsi="Times New Roman" w:cs="Times New Roman"/>
          <w:b/>
          <w:bCs/>
          <w:sz w:val="24"/>
        </w:rPr>
        <w:t>4. The Practical Challenges of New Quality Productivity Empowering Trade Development</w:t>
      </w:r>
    </w:p>
    <w:p w14:paraId="1B5115C1" w14:textId="77777777" w:rsidR="00D25744" w:rsidRPr="00D3028D" w:rsidRDefault="00D25744" w:rsidP="00D25744">
      <w:pPr>
        <w:rPr>
          <w:rFonts w:ascii="Times New Roman" w:hAnsi="Times New Roman" w:cs="Times New Roman"/>
          <w:b/>
          <w:bCs/>
          <w:sz w:val="24"/>
        </w:rPr>
      </w:pPr>
      <w:r w:rsidRPr="00D3028D">
        <w:rPr>
          <w:rFonts w:ascii="Times New Roman" w:hAnsi="Times New Roman" w:cs="Times New Roman"/>
          <w:b/>
          <w:bCs/>
          <w:sz w:val="24"/>
        </w:rPr>
        <w:t>4.1 Regional Development Imbalances Constrain Overall Potential Release</w:t>
      </w:r>
    </w:p>
    <w:p w14:paraId="04D5A501" w14:textId="77777777" w:rsidR="00042E7D" w:rsidRDefault="00042E7D" w:rsidP="00D25744">
      <w:pPr>
        <w:rPr>
          <w:rFonts w:ascii="Times New Roman" w:hAnsi="Times New Roman" w:cs="Times New Roman"/>
          <w:sz w:val="24"/>
        </w:rPr>
      </w:pPr>
      <w:r w:rsidRPr="00042E7D">
        <w:rPr>
          <w:rFonts w:ascii="Times New Roman" w:hAnsi="Times New Roman" w:cs="Times New Roman"/>
          <w:sz w:val="24"/>
        </w:rPr>
        <w:t xml:space="preserve">The importance of new quality productivity to the development of world trade is becoming more and more prominent, but the unbalanced development among regions </w:t>
      </w:r>
      <w:r w:rsidRPr="00042E7D">
        <w:rPr>
          <w:rFonts w:ascii="Times New Roman" w:hAnsi="Times New Roman" w:cs="Times New Roman"/>
          <w:sz w:val="24"/>
        </w:rPr>
        <w:lastRenderedPageBreak/>
        <w:t>limits the overall enhancement of new quality productivity. This problem is mainly manifested at three levels: first, in terms of factor endowment, developed and advanced regions with better digital infrastructure, stronger R&amp;D resources and better qualified personnel can rapidly absorb and apply cutting-edge technologies, thus creating an ever-strengthening innovation cycle. However, due to insufficient network coverage, insufficient investment in scientific research and talent drain, it is difficult for developing countries and border regions to effectively connect with the world trade network based on new technologies, and the “digital divide” is widening. Secondly, from the perspective of industrial ecology, economically developed regions are more prone to develop high-tech industrial clusters and form good interaction with them; due to the weak industrial foundation and weak transformation capacity of enterprises in late-developed regions, there is often the problem of technological “de-embedding”, which makes it difficult to transform common technological achievements into competitive advantages of local trade. Thirdly, in terms of policies and institutions, it is difficult to transform common technological achievements into competitive advantages for local trade. Thirdly, in terms of policies and institutions, some regions, due to outdated or inflexible management systems, have difficulty in formulating support measures for technology diffusion and model innovation, thus further widening the development gap between regions. This spatial asymmetry not only weakens the value of international trade growth, but also affects more inclusive and durable global value chains.</w:t>
      </w:r>
    </w:p>
    <w:p w14:paraId="23317992" w14:textId="035F94A1" w:rsidR="00D25744" w:rsidRPr="002735A8" w:rsidRDefault="00D25744" w:rsidP="00D25744">
      <w:pPr>
        <w:rPr>
          <w:rFonts w:ascii="Times New Roman" w:hAnsi="Times New Roman" w:cs="Times New Roman"/>
          <w:b/>
          <w:bCs/>
          <w:sz w:val="24"/>
        </w:rPr>
      </w:pPr>
      <w:r w:rsidRPr="002735A8">
        <w:rPr>
          <w:rFonts w:ascii="Times New Roman" w:hAnsi="Times New Roman" w:cs="Times New Roman"/>
          <w:b/>
          <w:bCs/>
          <w:sz w:val="24"/>
        </w:rPr>
        <w:t>4.2 Trade Frictions Arising from Conflicts in Technical Standards and Regulatory Systems</w:t>
      </w:r>
    </w:p>
    <w:p w14:paraId="29F644EF" w14:textId="77777777" w:rsidR="00200FEB" w:rsidRPr="00200FEB" w:rsidRDefault="00200FEB" w:rsidP="00200FEB">
      <w:pPr>
        <w:rPr>
          <w:rFonts w:ascii="Times New Roman" w:hAnsi="Times New Roman" w:cs="Times New Roman"/>
          <w:sz w:val="24"/>
        </w:rPr>
      </w:pPr>
      <w:r w:rsidRPr="00200FEB">
        <w:rPr>
          <w:rFonts w:ascii="Times New Roman" w:hAnsi="Times New Roman" w:cs="Times New Roman"/>
          <w:sz w:val="24"/>
        </w:rPr>
        <w:t xml:space="preserve">The development of new qualitative productive forces represented by digital technology, artificial intelligence and green technology is profoundly intensifying the contradictions between technical standards and international trade rules among countries around the world, thus triggering a new round of trade disputes. The root of the problem lies in the following: first, from the perspective of technical norms, countries are actively promoting the formulation of international standards such as ethical norms for artificial intelligence, cross-border flow of data, the Internet of Things and low-carbon certification, in an attempt to transform technological advantages into institutional rights. For example, the European Union has utilized the General Data Protection Regulation, and the United States, represented by the Cloud Act, has strengthened its rules and regulations. This game of “rules of the game” directly creates compliance needs and barriers to entry for enterprises in different markets, greatly increasing the institutional costs of trade. Secondly, in terms of rule coordination, the WTO-centered multilateral trading system is difficult to effectively deal with new issues such as digital commodities, non-personal data flow and algorithmic governance, while the legal gaps and lags among countries make it necessary for them to construct exclusive clubs through regional agreements, resulting in the fragmentation of digital trade governance. Third, the conflict of international economic and trade rules often involves sensitive issues such as national security, ethics, and industrial policy, which are utilized by certain countries as a new non-tariff barrier, thus exacerbating trade disputes. The European Union's imposition of a mandatory carbon price on imports </w:t>
      </w:r>
      <w:r w:rsidRPr="00200FEB">
        <w:rPr>
          <w:rFonts w:ascii="Times New Roman" w:hAnsi="Times New Roman" w:cs="Times New Roman"/>
          <w:sz w:val="24"/>
        </w:rPr>
        <w:lastRenderedPageBreak/>
        <w:t xml:space="preserve">conflicts with existing production regulations in developing countries. According to UNCTAD's estimates, this mechanism could reduce developing countries' steel and cement exports to the European region by almost 14%, and would add $80 to $90 per ton </w:t>
      </w:r>
      <w:r w:rsidRPr="00200FEB">
        <w:rPr>
          <w:rFonts w:ascii="Times New Roman" w:hAnsi="Times New Roman" w:cs="Times New Roman"/>
          <w:sz w:val="24"/>
          <w:vertAlign w:val="superscript"/>
        </w:rPr>
        <w:t>[17]</w:t>
      </w:r>
      <w:r w:rsidRPr="00200FEB">
        <w:rPr>
          <w:rFonts w:ascii="Times New Roman" w:hAnsi="Times New Roman" w:cs="Times New Roman"/>
          <w:sz w:val="24"/>
        </w:rPr>
        <w:t>.</w:t>
      </w:r>
    </w:p>
    <w:p w14:paraId="150EB9F4" w14:textId="77777777" w:rsidR="00682041" w:rsidRDefault="00200FEB" w:rsidP="00200FEB">
      <w:pPr>
        <w:rPr>
          <w:rFonts w:ascii="Times New Roman" w:hAnsi="Times New Roman" w:cs="Times New Roman"/>
          <w:sz w:val="24"/>
        </w:rPr>
      </w:pPr>
      <w:r w:rsidRPr="00200FEB">
        <w:rPr>
          <w:rFonts w:ascii="Times New Roman" w:hAnsi="Times New Roman" w:cs="Times New Roman"/>
          <w:sz w:val="24"/>
        </w:rPr>
        <w:t>This shows that the new quality of productivity both promotes the innovation of trade patterns and triggers the reshaping of new international competition patterns, so how to achieve efficient international cooperation and rule compatibility at the international level is an important issue for future trade stability and sustainable development.</w:t>
      </w:r>
    </w:p>
    <w:p w14:paraId="0DA42932" w14:textId="1916A6EE" w:rsidR="00D25744" w:rsidRPr="00B40747" w:rsidRDefault="00D25744" w:rsidP="00200FEB">
      <w:pPr>
        <w:rPr>
          <w:rFonts w:ascii="Times New Roman" w:hAnsi="Times New Roman" w:cs="Times New Roman"/>
          <w:b/>
          <w:bCs/>
          <w:sz w:val="24"/>
        </w:rPr>
      </w:pPr>
      <w:r w:rsidRPr="00B40747">
        <w:rPr>
          <w:rFonts w:ascii="Times New Roman" w:hAnsi="Times New Roman" w:cs="Times New Roman"/>
          <w:b/>
          <w:bCs/>
          <w:sz w:val="24"/>
        </w:rPr>
        <w:t>4.3 Disconnect Between Technological Innovation and Existing Industrial Structures</w:t>
      </w:r>
    </w:p>
    <w:p w14:paraId="42866A78" w14:textId="77777777" w:rsidR="000227E7" w:rsidRPr="000227E7" w:rsidRDefault="000227E7" w:rsidP="000227E7">
      <w:pPr>
        <w:rPr>
          <w:rFonts w:ascii="Times New Roman" w:hAnsi="Times New Roman" w:cs="Times New Roman"/>
          <w:sz w:val="24"/>
        </w:rPr>
      </w:pPr>
      <w:r w:rsidRPr="000227E7">
        <w:rPr>
          <w:rFonts w:ascii="Times New Roman" w:hAnsi="Times New Roman" w:cs="Times New Roman"/>
          <w:sz w:val="24"/>
        </w:rPr>
        <w:t>At present, the obvious severance between high technology content and traditional industrial structure is a major practical problem facing the development of new quality productivity. This structural contradiction is manifested in the following ways: First, at the level of technology supply, although disruptive technologies such as artificial intelligence, big data, new materials and so on are emerging in an endless stream, their research and development paths are mostly based on laboratories or ideal scenarios, and they are not combined with the real pain points of the traditional industries and the cost constraints of transformation, which results in a lot of innovations staying at the “proof of concept” stage. As a result, many innovations remain in the “proof of concept” stage and cannot be applied to large-scale commercial applications. Secondly, in terms of industry demand, many traditional manufacturing, agricultural and small and medium-sized trading companies are facing difficulties in transformation due to financial strength, talent reserves and organizational inertia, etc. Existing equipment, processes and management systems are difficult to directly interface with high-tech solutions, thus leading to a “match” between supply and demand of technology. Thirdly, the relatively backward construction of intermediary services and public technology platforms within the innovation ecosystem has aggravated the failure of the connection between industry, academia and research, resulting in the ineffective flow and penetration of key factors of production, such as knowledge, technology and data, among various industrial entities.</w:t>
      </w:r>
    </w:p>
    <w:p w14:paraId="1CA8A866" w14:textId="77777777" w:rsidR="000227E7" w:rsidRDefault="000227E7" w:rsidP="000227E7">
      <w:pPr>
        <w:rPr>
          <w:rFonts w:ascii="Times New Roman" w:hAnsi="Times New Roman" w:cs="Times New Roman"/>
          <w:sz w:val="24"/>
        </w:rPr>
      </w:pPr>
      <w:r w:rsidRPr="000227E7">
        <w:rPr>
          <w:rFonts w:ascii="Times New Roman" w:hAnsi="Times New Roman" w:cs="Times New Roman"/>
          <w:sz w:val="24"/>
        </w:rPr>
        <w:t>This has led to inefficiencies in the allocation of scientific and technological resources, impeded the process of empowering new-quality productivity to traditional industries, and limited the overall depth and breadth of the digital transformation of China's economy, which has become an important bottleneck restricting new-quality productivity from giving full play to its driving potential.</w:t>
      </w:r>
    </w:p>
    <w:p w14:paraId="62A17119" w14:textId="14D724BA" w:rsidR="0057006E" w:rsidRPr="00B40747" w:rsidRDefault="00A32344" w:rsidP="000227E7">
      <w:pPr>
        <w:rPr>
          <w:rFonts w:ascii="Times New Roman" w:hAnsi="Times New Roman" w:cs="Times New Roman"/>
          <w:b/>
          <w:bCs/>
          <w:sz w:val="24"/>
        </w:rPr>
      </w:pPr>
      <w:r w:rsidRPr="00B40747">
        <w:rPr>
          <w:rFonts w:ascii="Times New Roman" w:hAnsi="Times New Roman" w:cs="Times New Roman"/>
          <w:b/>
          <w:bCs/>
          <w:sz w:val="24"/>
        </w:rPr>
        <w:t xml:space="preserve">5. </w:t>
      </w:r>
      <w:r w:rsidR="0057006E" w:rsidRPr="00B40747">
        <w:rPr>
          <w:rFonts w:ascii="Times New Roman" w:hAnsi="Times New Roman" w:cs="Times New Roman"/>
          <w:b/>
          <w:bCs/>
          <w:sz w:val="24"/>
        </w:rPr>
        <w:t>Policy Recommendations for Empowering Trade Development through New Quality Productivity</w:t>
      </w:r>
    </w:p>
    <w:p w14:paraId="667CCA2F" w14:textId="77777777" w:rsidR="0057006E" w:rsidRPr="0057006E" w:rsidRDefault="0057006E" w:rsidP="0057006E">
      <w:pPr>
        <w:rPr>
          <w:rFonts w:ascii="Times New Roman" w:hAnsi="Times New Roman" w:cs="Times New Roman"/>
          <w:sz w:val="24"/>
        </w:rPr>
      </w:pPr>
      <w:r w:rsidRPr="00B40747">
        <w:rPr>
          <w:rFonts w:ascii="Times New Roman" w:hAnsi="Times New Roman" w:cs="Times New Roman"/>
          <w:b/>
          <w:bCs/>
          <w:sz w:val="24"/>
        </w:rPr>
        <w:t>5.1 Establishing Cross-Regional Technology Sharing and Capacity Building Mechanisms</w:t>
      </w:r>
    </w:p>
    <w:p w14:paraId="719493F7" w14:textId="77777777" w:rsidR="00AC4C87" w:rsidRPr="00AC4C87" w:rsidRDefault="00AC4C87" w:rsidP="00AC4C87">
      <w:pPr>
        <w:rPr>
          <w:rFonts w:ascii="Times New Roman" w:hAnsi="Times New Roman" w:cs="Times New Roman"/>
          <w:sz w:val="24"/>
        </w:rPr>
      </w:pPr>
      <w:r w:rsidRPr="00AC4C87">
        <w:rPr>
          <w:rFonts w:ascii="Times New Roman" w:hAnsi="Times New Roman" w:cs="Times New Roman"/>
          <w:sz w:val="24"/>
        </w:rPr>
        <w:t xml:space="preserve">Through “digital enclaves + collaborative innovation platforms”, we can break through geographical and resource constraints and realize the spatial redistribution of advanced productive forces. Through state-led, leading enterprises and high-level research institutes, and with the support of cloud computing, edge computing, 5G private network, etc., the “digital enclave” will be embedded in underdeveloped regions with a </w:t>
      </w:r>
      <w:r w:rsidRPr="00AC4C87">
        <w:rPr>
          <w:rFonts w:ascii="Times New Roman" w:hAnsi="Times New Roman" w:cs="Times New Roman"/>
          <w:sz w:val="24"/>
        </w:rPr>
        <w:lastRenderedPageBreak/>
        <w:t>weak digital foundation and obvious industrial characteristics, realizing remote access to high-end computing power and industrial Internet platforms, and at the same time, saving the additional investment in infrastructure. At the same time, based on the local advantageous industries, it builds a cooperation and innovation platform integrating “industry, academia, research and application”, reduces the threshold of digital transformation by means of modularized and low-code technology, and promotes the application of common technologies such as artificial intelligence and Internet of Things in localized application scenarios.</w:t>
      </w:r>
    </w:p>
    <w:p w14:paraId="38664241" w14:textId="6BFD5281" w:rsidR="0057006E" w:rsidRPr="0057006E" w:rsidRDefault="00AC4C87" w:rsidP="00AC4C87">
      <w:pPr>
        <w:rPr>
          <w:rFonts w:ascii="Times New Roman" w:hAnsi="Times New Roman" w:cs="Times New Roman"/>
          <w:sz w:val="24"/>
        </w:rPr>
      </w:pPr>
      <w:r w:rsidRPr="00AC4C87">
        <w:rPr>
          <w:rFonts w:ascii="Times New Roman" w:hAnsi="Times New Roman" w:cs="Times New Roman"/>
          <w:sz w:val="24"/>
        </w:rPr>
        <w:t>This move not only allows backward regions to cross the heavy asset investment stage in the past and enter the world digital trade network at a lower cost, but also establishes differentiated technological innovation and trade competitive advantages by utilizing local characteristics, thus improving the penetration range of new productivity and trade efficiency, and promoting synergistic development between regions to form a situation of complementary advantages under the condition of constructing a unified big market. The situation.</w:t>
      </w:r>
    </w:p>
    <w:p w14:paraId="46087B59" w14:textId="77777777" w:rsidR="0057006E" w:rsidRPr="00996359" w:rsidRDefault="0057006E" w:rsidP="0057006E">
      <w:pPr>
        <w:rPr>
          <w:rFonts w:ascii="Times New Roman" w:hAnsi="Times New Roman" w:cs="Times New Roman"/>
          <w:b/>
          <w:bCs/>
          <w:sz w:val="24"/>
        </w:rPr>
      </w:pPr>
      <w:r w:rsidRPr="00996359">
        <w:rPr>
          <w:rFonts w:ascii="Times New Roman" w:hAnsi="Times New Roman" w:cs="Times New Roman"/>
          <w:b/>
          <w:bCs/>
          <w:sz w:val="24"/>
        </w:rPr>
        <w:t>5.2 Establishing a Dual-Track Governance Framework for Multilateral Participation in Standard Innovation</w:t>
      </w:r>
    </w:p>
    <w:p w14:paraId="4D103126" w14:textId="77777777" w:rsidR="00FD62AE" w:rsidRPr="00FD62AE" w:rsidRDefault="00FD62AE" w:rsidP="00FD62AE">
      <w:pPr>
        <w:rPr>
          <w:rFonts w:ascii="Times New Roman" w:hAnsi="Times New Roman" w:cs="Times New Roman"/>
          <w:sz w:val="24"/>
        </w:rPr>
      </w:pPr>
      <w:r w:rsidRPr="00FD62AE">
        <w:rPr>
          <w:rFonts w:ascii="Times New Roman" w:hAnsi="Times New Roman" w:cs="Times New Roman"/>
          <w:sz w:val="24"/>
        </w:rPr>
        <w:t>In order to enhance a country's right to speak in international rule-making and improve the adaptability of enterprises to international regulatory changes, it is necessary to actively build a dual-track governance model of “inclusive multi-party participation and adaptive standards innovation”.</w:t>
      </w:r>
    </w:p>
    <w:p w14:paraId="45753188" w14:textId="77777777" w:rsidR="00FD62AE" w:rsidRDefault="00FD62AE" w:rsidP="00FD62AE">
      <w:pPr>
        <w:rPr>
          <w:rFonts w:ascii="Times New Roman" w:hAnsi="Times New Roman" w:cs="Times New Roman"/>
          <w:sz w:val="24"/>
        </w:rPr>
      </w:pPr>
      <w:r w:rsidRPr="00FD62AE">
        <w:rPr>
          <w:rFonts w:ascii="Times New Roman" w:hAnsi="Times New Roman" w:cs="Times New Roman"/>
          <w:sz w:val="24"/>
        </w:rPr>
        <w:t>Specifically, it includes: firstly, in the areas of artificial intelligence governance, cross-border flow of data and green certification, we should deeply participate in the formulation of a new round of international standards, and in multilateral organizations such as the WTO and ISO, we should join hands with countries with similar positions to jointly propose a set of international technical standards with a high degree of compatibility and inclusiveness based on the idea of the community of human destiny, so as to prevent the fragmentation and opposing groups of the world's digital green trade governance. The WTO recognizes that reasons such as geopolitics and disease outbreaks are driving supply chains towards a “resilience first” approach, but this should not lead to protectionism or fragmentation of the world economy. The real solution lies in “re-globalization”, i.e., enabling more developing countries, more diversified enterprises and more people to benefit from the global trading system</w:t>
      </w:r>
      <w:r w:rsidRPr="00FD62AE">
        <w:rPr>
          <w:rFonts w:ascii="Times New Roman" w:hAnsi="Times New Roman" w:cs="Times New Roman"/>
          <w:sz w:val="24"/>
          <w:vertAlign w:val="superscript"/>
        </w:rPr>
        <w:t xml:space="preserve"> [18]</w:t>
      </w:r>
      <w:r w:rsidRPr="00FD62AE">
        <w:rPr>
          <w:rFonts w:ascii="Times New Roman" w:hAnsi="Times New Roman" w:cs="Times New Roman"/>
          <w:sz w:val="24"/>
        </w:rPr>
        <w:t>. Secondly, to build a number of “high-benchmark stress-testing zones” to allow foreign investors and domestic market players to test the compatibility of advanced international regulations and China's existing regulatory measures under the regulatory mechanism, so as to enhance the resilience and security of the systematic opening up. By combining active participation with adaptation and innovation, we can effectively reduce cross-border compliance costs and trade frictions, while completing the strategic transformation from passive acceptance to active shaping, driven by new quality productivity.</w:t>
      </w:r>
    </w:p>
    <w:p w14:paraId="6BA6470C" w14:textId="39E29B86" w:rsidR="0057006E" w:rsidRPr="00996359" w:rsidRDefault="0057006E" w:rsidP="00FD62AE">
      <w:pPr>
        <w:rPr>
          <w:rFonts w:ascii="Times New Roman" w:hAnsi="Times New Roman" w:cs="Times New Roman"/>
          <w:b/>
          <w:bCs/>
          <w:sz w:val="24"/>
        </w:rPr>
      </w:pPr>
      <w:r w:rsidRPr="00996359">
        <w:rPr>
          <w:rFonts w:ascii="Times New Roman" w:hAnsi="Times New Roman" w:cs="Times New Roman"/>
          <w:b/>
          <w:bCs/>
          <w:sz w:val="24"/>
        </w:rPr>
        <w:t>5.3 Establishing a Dual-Drive Mechanism of Platforms and Ecosystems</w:t>
      </w:r>
    </w:p>
    <w:p w14:paraId="25320F03" w14:textId="5B1DD78F" w:rsidR="00A21045" w:rsidRDefault="008F1A3B" w:rsidP="0057006E">
      <w:pPr>
        <w:rPr>
          <w:rFonts w:ascii="Times New Roman" w:hAnsi="Times New Roman" w:cs="Times New Roman"/>
          <w:sz w:val="24"/>
        </w:rPr>
      </w:pPr>
      <w:r w:rsidRPr="008F1A3B">
        <w:rPr>
          <w:rFonts w:ascii="Times New Roman" w:hAnsi="Times New Roman" w:cs="Times New Roman"/>
          <w:sz w:val="24"/>
        </w:rPr>
        <w:t xml:space="preserve">Establishing a dual-wheel drive model of “industrial technology matching platform + scenario innovation ecology” to solve the current problem of uncoordinated science and </w:t>
      </w:r>
      <w:r w:rsidRPr="008F1A3B">
        <w:rPr>
          <w:rFonts w:ascii="Times New Roman" w:hAnsi="Times New Roman" w:cs="Times New Roman"/>
          <w:sz w:val="24"/>
        </w:rPr>
        <w:lastRenderedPageBreak/>
        <w:t>technology innovation and industrial structure. An industrial technology matching platform led by the government and led by leading enterprises and new R&amp;D organizations. The platform will deeply explore the specific application scenarios and transformation difficulties of traditional manufacturing, agriculture, energy and other key industries, and combine them with the cutting-edge scientific and technological achievements of universities and research institutes to carry out customized secondary research and development and modular transformation, so as to help enterprises, especially small and medium-sized enterprises (SMEs), better adapt to the thresholds and risks of the new technologies. At the same time, through the establishment of “open funds” and the issuance of “industry demand lists”, we guide local governments and parks to open up to real production environments, so as to provide more trial-and-error points and iteration space for new production factors such as artificial intelligence and the industrial Internet. In specific scenarios, it realizes the effective coupling of innovation supply and industrial demand, accelerates the industrial application and dissemination of new technologies, guides science and technology innovation to provide practical support for the transformation and upgrading of the real economy, and ultimately realizes the high-quality development centered on the new quality of productive forces, and the in-depth combination of technology and industry.</w:t>
      </w:r>
    </w:p>
    <w:p w14:paraId="5CCE9121" w14:textId="586748C9" w:rsidR="00E404D1" w:rsidRPr="00E404D1" w:rsidRDefault="008F1A3B" w:rsidP="00E404D1">
      <w:pPr>
        <w:rPr>
          <w:rFonts w:ascii="Times New Roman" w:hAnsi="Times New Roman" w:cs="Times New Roman" w:hint="eastAsia"/>
          <w:b/>
          <w:bCs/>
          <w:sz w:val="24"/>
        </w:rPr>
      </w:pPr>
      <w:r w:rsidRPr="008F1A3B">
        <w:rPr>
          <w:rFonts w:ascii="Times New Roman" w:hAnsi="Times New Roman" w:cs="Times New Roman" w:hint="eastAsia"/>
          <w:b/>
          <w:bCs/>
          <w:sz w:val="24"/>
        </w:rPr>
        <w:t>6.</w:t>
      </w:r>
      <w:r>
        <w:rPr>
          <w:rFonts w:ascii="Times New Roman" w:hAnsi="Times New Roman" w:cs="Times New Roman" w:hint="eastAsia"/>
          <w:b/>
          <w:bCs/>
          <w:sz w:val="24"/>
        </w:rPr>
        <w:t xml:space="preserve"> </w:t>
      </w:r>
      <w:r w:rsidR="00E404D1" w:rsidRPr="00E404D1">
        <w:rPr>
          <w:rFonts w:ascii="Times New Roman" w:hAnsi="Times New Roman" w:cs="Times New Roman"/>
          <w:b/>
          <w:bCs/>
          <w:sz w:val="24"/>
        </w:rPr>
        <w:t>Concluding Remarks</w:t>
      </w:r>
    </w:p>
    <w:p w14:paraId="0C76A39C" w14:textId="7BA28E2E" w:rsidR="00A21045" w:rsidRDefault="00E404D1" w:rsidP="00E404D1">
      <w:pPr>
        <w:rPr>
          <w:rFonts w:ascii="Times New Roman" w:hAnsi="Times New Roman" w:cs="Times New Roman"/>
          <w:sz w:val="24"/>
        </w:rPr>
      </w:pPr>
      <w:r w:rsidRPr="00E404D1">
        <w:rPr>
          <w:rFonts w:ascii="Times New Roman" w:hAnsi="Times New Roman" w:cs="Times New Roman"/>
          <w:sz w:val="24"/>
        </w:rPr>
        <w:t>This study theoretically analyzes the real dilemma of the new quality productivity, and argues that the new quality productivity enhances the trade development through various ways, such as technological innovation, upgrading of the factor configuration, and expansion of the trade boundary. The new production factors represented by digital technology and artificial intelligence not only improve the efficiency of traditional trade, but also bring a new impetus and new business forms and modes to world trade. Accompanied by the continuous development of the new round of technological revolution, the new quality of productivity will certainly play a powerful role in promoting the reconstruction of the global trade pattern and the high-quality development of trade. However, there are still many problems in the deep-level integration between the new quality productivity and trade development, which need to be further researched and are also the direction of scholars' research.</w:t>
      </w:r>
    </w:p>
    <w:p w14:paraId="3E6F5005" w14:textId="77777777" w:rsidR="00A21045" w:rsidRDefault="00A21045" w:rsidP="0057006E">
      <w:pPr>
        <w:rPr>
          <w:rFonts w:ascii="Times New Roman" w:hAnsi="Times New Roman" w:cs="Times New Roman"/>
          <w:sz w:val="24"/>
        </w:rPr>
      </w:pPr>
    </w:p>
    <w:p w14:paraId="4F5D9A12" w14:textId="77777777" w:rsidR="00C145E0" w:rsidRDefault="00C145E0" w:rsidP="0057006E">
      <w:pPr>
        <w:rPr>
          <w:rFonts w:ascii="Times New Roman" w:hAnsi="Times New Roman" w:cs="Times New Roman"/>
          <w:sz w:val="32"/>
          <w:szCs w:val="32"/>
        </w:rPr>
      </w:pPr>
    </w:p>
    <w:p w14:paraId="10C548FE" w14:textId="77777777" w:rsidR="00B27406" w:rsidRDefault="00B27406" w:rsidP="0057006E">
      <w:pPr>
        <w:rPr>
          <w:rFonts w:ascii="Times New Roman" w:hAnsi="Times New Roman" w:cs="Times New Roman"/>
          <w:sz w:val="32"/>
          <w:szCs w:val="32"/>
        </w:rPr>
      </w:pPr>
    </w:p>
    <w:p w14:paraId="0F466EAA" w14:textId="77777777" w:rsidR="00B27406" w:rsidRDefault="00B27406" w:rsidP="0057006E">
      <w:pPr>
        <w:rPr>
          <w:rFonts w:ascii="Times New Roman" w:hAnsi="Times New Roman" w:cs="Times New Roman" w:hint="eastAsia"/>
          <w:sz w:val="32"/>
          <w:szCs w:val="32"/>
        </w:rPr>
      </w:pPr>
    </w:p>
    <w:p w14:paraId="0FC1C087" w14:textId="77777777" w:rsidR="00C145E0" w:rsidRDefault="00C145E0" w:rsidP="0057006E">
      <w:pPr>
        <w:rPr>
          <w:rFonts w:ascii="Times New Roman" w:hAnsi="Times New Roman" w:cs="Times New Roman"/>
          <w:sz w:val="32"/>
          <w:szCs w:val="32"/>
        </w:rPr>
      </w:pPr>
    </w:p>
    <w:p w14:paraId="3543A284" w14:textId="77777777" w:rsidR="00B27406" w:rsidRDefault="00B27406" w:rsidP="0057006E">
      <w:pPr>
        <w:rPr>
          <w:rFonts w:ascii="Times New Roman" w:hAnsi="Times New Roman" w:cs="Times New Roman"/>
          <w:sz w:val="32"/>
          <w:szCs w:val="32"/>
        </w:rPr>
      </w:pPr>
    </w:p>
    <w:p w14:paraId="6D57E423" w14:textId="77777777" w:rsidR="00B27406" w:rsidRDefault="00B27406" w:rsidP="0057006E">
      <w:pPr>
        <w:rPr>
          <w:rFonts w:ascii="Times New Roman" w:hAnsi="Times New Roman" w:cs="Times New Roman"/>
          <w:sz w:val="32"/>
          <w:szCs w:val="32"/>
        </w:rPr>
      </w:pPr>
    </w:p>
    <w:p w14:paraId="00014B9F" w14:textId="77777777" w:rsidR="00B27406" w:rsidRDefault="00B27406" w:rsidP="0057006E">
      <w:pPr>
        <w:rPr>
          <w:rFonts w:ascii="Times New Roman" w:hAnsi="Times New Roman" w:cs="Times New Roman"/>
          <w:sz w:val="32"/>
          <w:szCs w:val="32"/>
        </w:rPr>
      </w:pPr>
    </w:p>
    <w:p w14:paraId="4D6EC7D8" w14:textId="77777777" w:rsidR="00B27406" w:rsidRDefault="00B27406" w:rsidP="0057006E">
      <w:pPr>
        <w:rPr>
          <w:rFonts w:ascii="Times New Roman" w:hAnsi="Times New Roman" w:cs="Times New Roman" w:hint="eastAsia"/>
          <w:sz w:val="32"/>
          <w:szCs w:val="32"/>
        </w:rPr>
      </w:pPr>
    </w:p>
    <w:p w14:paraId="71F3DFB9" w14:textId="77777777" w:rsidR="003C3566" w:rsidRDefault="003C3566" w:rsidP="003C3566">
      <w:pPr>
        <w:rPr>
          <w:highlight w:val="yellow"/>
        </w:rPr>
      </w:pPr>
      <w:r>
        <w:rPr>
          <w:highlight w:val="yellow"/>
        </w:rPr>
        <w:t>Disclaimer (Artificial intelligence)</w:t>
      </w:r>
    </w:p>
    <w:p w14:paraId="33DAB465" w14:textId="77777777" w:rsidR="003C3566" w:rsidRDefault="003C3566" w:rsidP="003C3566">
      <w:pPr>
        <w:rPr>
          <w:highlight w:val="yellow"/>
        </w:rPr>
      </w:pPr>
    </w:p>
    <w:p w14:paraId="684747A7" w14:textId="77777777" w:rsidR="003C3566" w:rsidRDefault="003C3566" w:rsidP="003C3566">
      <w:pPr>
        <w:rPr>
          <w:highlight w:val="yellow"/>
        </w:rPr>
      </w:pPr>
      <w:r>
        <w:rPr>
          <w:highlight w:val="yellow"/>
        </w:rPr>
        <w:t xml:space="preserve">Option 1: </w:t>
      </w:r>
    </w:p>
    <w:p w14:paraId="1194BE04" w14:textId="77777777" w:rsidR="003C3566" w:rsidRDefault="003C3566" w:rsidP="003C3566">
      <w:pPr>
        <w:rPr>
          <w:highlight w:val="yellow"/>
        </w:rPr>
      </w:pPr>
    </w:p>
    <w:p w14:paraId="124A6BF5" w14:textId="77777777" w:rsidR="003C3566" w:rsidRDefault="003C3566" w:rsidP="003C356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8BD4D58" w14:textId="77777777" w:rsidR="00C145E0" w:rsidRDefault="00C145E0" w:rsidP="0057006E"/>
    <w:p w14:paraId="0E24CE05" w14:textId="77777777" w:rsidR="00B27406" w:rsidRDefault="00B27406" w:rsidP="0057006E"/>
    <w:p w14:paraId="682AE6DB" w14:textId="77777777" w:rsidR="00B27406" w:rsidRDefault="00B27406" w:rsidP="0057006E"/>
    <w:p w14:paraId="525DE68B" w14:textId="77777777" w:rsidR="00B27406" w:rsidRDefault="00B27406" w:rsidP="0057006E">
      <w:pPr>
        <w:rPr>
          <w:rFonts w:ascii="Times New Roman" w:hAnsi="Times New Roman" w:cs="Times New Roman" w:hint="eastAsia"/>
          <w:sz w:val="32"/>
          <w:szCs w:val="32"/>
        </w:rPr>
      </w:pPr>
    </w:p>
    <w:p w14:paraId="414D1219" w14:textId="77777777" w:rsidR="00A21045" w:rsidRDefault="00A21045" w:rsidP="0057006E">
      <w:pPr>
        <w:rPr>
          <w:rFonts w:ascii="Times New Roman" w:hAnsi="Times New Roman" w:cs="Times New Roman"/>
          <w:sz w:val="32"/>
          <w:szCs w:val="32"/>
        </w:rPr>
      </w:pPr>
      <w:r w:rsidRPr="00A21045">
        <w:rPr>
          <w:rFonts w:ascii="Times New Roman" w:hAnsi="Times New Roman" w:cs="Times New Roman"/>
          <w:sz w:val="32"/>
          <w:szCs w:val="32"/>
        </w:rPr>
        <w:t>References</w:t>
      </w:r>
      <w:r>
        <w:rPr>
          <w:rFonts w:ascii="Times New Roman" w:hAnsi="Times New Roman" w:cs="Times New Roman" w:hint="eastAsia"/>
          <w:sz w:val="32"/>
          <w:szCs w:val="32"/>
        </w:rPr>
        <w:t>：</w:t>
      </w:r>
    </w:p>
    <w:p w14:paraId="6F817655"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 xml:space="preserve">[1] Richard </w:t>
      </w:r>
      <w:proofErr w:type="gramStart"/>
      <w:r w:rsidRPr="002A5F95">
        <w:rPr>
          <w:rFonts w:ascii="Times New Roman" w:hAnsi="Times New Roman" w:cs="Times New Roman"/>
          <w:sz w:val="24"/>
        </w:rPr>
        <w:t>Baldwin .</w:t>
      </w:r>
      <w:proofErr w:type="gramEnd"/>
      <w:r w:rsidRPr="002A5F95">
        <w:rPr>
          <w:rFonts w:ascii="Times New Roman" w:hAnsi="Times New Roman" w:cs="Times New Roman"/>
          <w:sz w:val="24"/>
        </w:rPr>
        <w:t xml:space="preserve"> The Geopolitics of Trade and the Resilience of Global Supply Chains. </w:t>
      </w:r>
      <w:proofErr w:type="spellStart"/>
      <w:r w:rsidRPr="002A5F95">
        <w:rPr>
          <w:rFonts w:ascii="Times New Roman" w:hAnsi="Times New Roman" w:cs="Times New Roman"/>
          <w:sz w:val="24"/>
        </w:rPr>
        <w:t>VoxEU</w:t>
      </w:r>
      <w:proofErr w:type="spellEnd"/>
      <w:r w:rsidRPr="002A5F95">
        <w:rPr>
          <w:rFonts w:ascii="Times New Roman" w:hAnsi="Times New Roman" w:cs="Times New Roman"/>
          <w:sz w:val="24"/>
        </w:rPr>
        <w:t>/CEPR,2023</w:t>
      </w:r>
    </w:p>
    <w:p w14:paraId="54A58C18"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[2] Perez, C. Technological Revolutions and Financial Capital: The Dynamics of Bubbles and Golden Ages[M]. Edward Elgar,2002</w:t>
      </w:r>
    </w:p>
    <w:p w14:paraId="6DFC603D"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[3] Feldman, M. P., &amp; Yoon, J. W. The evolving roles of technology in global trade[J]. Research Policy, 2022,51(1), 104451</w:t>
      </w:r>
    </w:p>
    <w:p w14:paraId="0604F71B"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[4] Feldman, M. P., &amp; Yoon, J. W. Innovation Policy and Technological Transformation: Evidence from Advanced Manufacturing[J]. Research Policy, 2022</w:t>
      </w:r>
      <w:r w:rsidRPr="002A5F95">
        <w:rPr>
          <w:rFonts w:ascii="Times New Roman" w:hAnsi="Times New Roman" w:cs="Times New Roman"/>
          <w:sz w:val="24"/>
        </w:rPr>
        <w:t>，</w:t>
      </w:r>
      <w:r w:rsidRPr="002A5F95">
        <w:rPr>
          <w:rFonts w:ascii="Times New Roman" w:hAnsi="Times New Roman" w:cs="Times New Roman"/>
          <w:sz w:val="24"/>
        </w:rPr>
        <w:t>51(8), 104578</w:t>
      </w:r>
    </w:p>
    <w:p w14:paraId="07886C5A"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[5] Stiglitz, J. E. The Road to Freedom: Economics and the Good Society[M]. W. W. Norton &amp; Company,2023</w:t>
      </w:r>
    </w:p>
    <w:p w14:paraId="17B16C40"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 xml:space="preserve">[6] Maskin, E., &amp; </w:t>
      </w:r>
      <w:proofErr w:type="spellStart"/>
      <w:r w:rsidRPr="002A5F95">
        <w:rPr>
          <w:rFonts w:ascii="Times New Roman" w:hAnsi="Times New Roman" w:cs="Times New Roman"/>
          <w:sz w:val="24"/>
        </w:rPr>
        <w:t>Tirole</w:t>
      </w:r>
      <w:proofErr w:type="spellEnd"/>
      <w:r w:rsidRPr="002A5F95">
        <w:rPr>
          <w:rFonts w:ascii="Times New Roman" w:hAnsi="Times New Roman" w:cs="Times New Roman"/>
          <w:sz w:val="24"/>
        </w:rPr>
        <w:t>, J. New Technologies and Regulatory Challenges[J]. Journal of Economic Perspectives, 2022,36(4)</w:t>
      </w:r>
      <w:r w:rsidRPr="002A5F95">
        <w:rPr>
          <w:rFonts w:ascii="Times New Roman" w:hAnsi="Times New Roman" w:cs="Times New Roman"/>
          <w:sz w:val="24"/>
        </w:rPr>
        <w:t>：</w:t>
      </w:r>
      <w:r w:rsidRPr="002A5F95">
        <w:rPr>
          <w:rFonts w:ascii="Times New Roman" w:hAnsi="Times New Roman" w:cs="Times New Roman"/>
          <w:sz w:val="24"/>
        </w:rPr>
        <w:t xml:space="preserve"> 87-106</w:t>
      </w:r>
    </w:p>
    <w:p w14:paraId="0C928588"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[7] Autor, D., &amp; Salomons, A. Is automation labor-displacing? Productivity growth, employment, and the labor share[J]. Brookings Papers on Economic Activity, 2018(Fall)</w:t>
      </w:r>
      <w:r w:rsidRPr="002A5F95">
        <w:rPr>
          <w:rFonts w:ascii="Times New Roman" w:hAnsi="Times New Roman" w:cs="Times New Roman"/>
          <w:sz w:val="24"/>
        </w:rPr>
        <w:t>：</w:t>
      </w:r>
      <w:r w:rsidRPr="002A5F95">
        <w:rPr>
          <w:rFonts w:ascii="Times New Roman" w:hAnsi="Times New Roman" w:cs="Times New Roman"/>
          <w:sz w:val="24"/>
        </w:rPr>
        <w:t>1-87</w:t>
      </w:r>
    </w:p>
    <w:p w14:paraId="6C19614F"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[8] Keller, W. International Technology Diffusion[J</w:t>
      </w:r>
      <w:proofErr w:type="gramStart"/>
      <w:r w:rsidRPr="002A5F95">
        <w:rPr>
          <w:rFonts w:ascii="Times New Roman" w:hAnsi="Times New Roman" w:cs="Times New Roman"/>
          <w:sz w:val="24"/>
        </w:rPr>
        <w:t>].Journal</w:t>
      </w:r>
      <w:proofErr w:type="gramEnd"/>
      <w:r w:rsidRPr="002A5F95">
        <w:rPr>
          <w:rFonts w:ascii="Times New Roman" w:hAnsi="Times New Roman" w:cs="Times New Roman"/>
          <w:sz w:val="24"/>
        </w:rPr>
        <w:t xml:space="preserve"> of Economic Literature, 2020</w:t>
      </w:r>
      <w:r w:rsidRPr="002A5F95">
        <w:rPr>
          <w:rFonts w:ascii="Times New Roman" w:hAnsi="Times New Roman" w:cs="Times New Roman"/>
          <w:sz w:val="24"/>
        </w:rPr>
        <w:t>，</w:t>
      </w:r>
      <w:r w:rsidRPr="002A5F95">
        <w:rPr>
          <w:rFonts w:ascii="Times New Roman" w:hAnsi="Times New Roman" w:cs="Times New Roman"/>
          <w:sz w:val="24"/>
        </w:rPr>
        <w:t>58(</w:t>
      </w:r>
      <w:proofErr w:type="gramStart"/>
      <w:r w:rsidRPr="002A5F95">
        <w:rPr>
          <w:rFonts w:ascii="Times New Roman" w:hAnsi="Times New Roman" w:cs="Times New Roman"/>
          <w:sz w:val="24"/>
        </w:rPr>
        <w:t>3)</w:t>
      </w:r>
      <w:r w:rsidRPr="002A5F95">
        <w:rPr>
          <w:rFonts w:ascii="Times New Roman" w:hAnsi="Times New Roman" w:cs="Times New Roman"/>
          <w:sz w:val="24"/>
        </w:rPr>
        <w:t>：</w:t>
      </w:r>
      <w:proofErr w:type="gramEnd"/>
      <w:r w:rsidRPr="002A5F95">
        <w:rPr>
          <w:rFonts w:ascii="Times New Roman" w:hAnsi="Times New Roman" w:cs="Times New Roman"/>
          <w:sz w:val="24"/>
        </w:rPr>
        <w:t>643-684</w:t>
      </w:r>
    </w:p>
    <w:p w14:paraId="24B708AA"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 xml:space="preserve">[9] Stiglitz, </w:t>
      </w:r>
      <w:proofErr w:type="spellStart"/>
      <w:r w:rsidRPr="002A5F95">
        <w:rPr>
          <w:rFonts w:ascii="Times New Roman" w:hAnsi="Times New Roman" w:cs="Times New Roman"/>
          <w:sz w:val="24"/>
        </w:rPr>
        <w:t>J.</w:t>
      </w:r>
      <w:proofErr w:type="gramStart"/>
      <w:r w:rsidRPr="002A5F95">
        <w:rPr>
          <w:rFonts w:ascii="Times New Roman" w:hAnsi="Times New Roman" w:cs="Times New Roman"/>
          <w:sz w:val="24"/>
        </w:rPr>
        <w:t>E.People</w:t>
      </w:r>
      <w:proofErr w:type="spellEnd"/>
      <w:proofErr w:type="gramEnd"/>
      <w:r w:rsidRPr="002A5F95">
        <w:rPr>
          <w:rFonts w:ascii="Times New Roman" w:hAnsi="Times New Roman" w:cs="Times New Roman"/>
          <w:sz w:val="24"/>
        </w:rPr>
        <w:t>, Power, and Profits: Progressive Capitalism for an Age of Discontent[M]. W.W. Norton &amp; Company</w:t>
      </w:r>
      <w:r w:rsidRPr="002A5F95">
        <w:rPr>
          <w:rFonts w:ascii="Times New Roman" w:hAnsi="Times New Roman" w:cs="Times New Roman"/>
          <w:sz w:val="24"/>
        </w:rPr>
        <w:t>，</w:t>
      </w:r>
      <w:r w:rsidRPr="002A5F95">
        <w:rPr>
          <w:rFonts w:ascii="Times New Roman" w:hAnsi="Times New Roman" w:cs="Times New Roman"/>
          <w:sz w:val="24"/>
        </w:rPr>
        <w:t>2019</w:t>
      </w:r>
    </w:p>
    <w:p w14:paraId="1CD42A11"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 xml:space="preserve">[10] Baldwin, </w:t>
      </w:r>
      <w:proofErr w:type="spellStart"/>
      <w:proofErr w:type="gramStart"/>
      <w:r w:rsidRPr="002A5F95">
        <w:rPr>
          <w:rFonts w:ascii="Times New Roman" w:hAnsi="Times New Roman" w:cs="Times New Roman"/>
          <w:sz w:val="24"/>
        </w:rPr>
        <w:t>R.The</w:t>
      </w:r>
      <w:proofErr w:type="spellEnd"/>
      <w:proofErr w:type="gramEnd"/>
      <w:r w:rsidRPr="002A5F95">
        <w:rPr>
          <w:rFonts w:ascii="Times New Roman" w:hAnsi="Times New Roman" w:cs="Times New Roman"/>
          <w:sz w:val="24"/>
        </w:rPr>
        <w:t xml:space="preserve"> Great Convergence: Information Technology and the New Globalization[M]. Harvard University Press</w:t>
      </w:r>
      <w:r w:rsidRPr="002A5F95">
        <w:rPr>
          <w:rFonts w:ascii="Times New Roman" w:hAnsi="Times New Roman" w:cs="Times New Roman"/>
          <w:sz w:val="24"/>
        </w:rPr>
        <w:t>，</w:t>
      </w:r>
      <w:r w:rsidRPr="002A5F95">
        <w:rPr>
          <w:rFonts w:ascii="Times New Roman" w:hAnsi="Times New Roman" w:cs="Times New Roman"/>
          <w:sz w:val="24"/>
        </w:rPr>
        <w:t>2016</w:t>
      </w:r>
    </w:p>
    <w:p w14:paraId="125E8C85"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lastRenderedPageBreak/>
        <w:t>[11] Baldwin, R. Digital Technologies and the Future of Global Trade[J]. Journal of International Economics, 2023,145, 103819</w:t>
      </w:r>
    </w:p>
    <w:p w14:paraId="50418296"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[12] Lee, M. J. New Technologies and the Emergence of Digital Trade[J]. World Economy, 2023,46(5):1120-1145.</w:t>
      </w:r>
    </w:p>
    <w:p w14:paraId="7C3B9E23"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[13] OECD. OECD digital trade outlook 2023. OECD Publishing,2023</w:t>
      </w:r>
    </w:p>
    <w:p w14:paraId="162EA944"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 xml:space="preserve">[14] </w:t>
      </w:r>
      <w:proofErr w:type="spellStart"/>
      <w:r w:rsidRPr="002A5F95">
        <w:rPr>
          <w:rFonts w:ascii="Times New Roman" w:hAnsi="Times New Roman" w:cs="Times New Roman"/>
          <w:sz w:val="24"/>
        </w:rPr>
        <w:t>TrendForce</w:t>
      </w:r>
      <w:proofErr w:type="spellEnd"/>
      <w:r w:rsidRPr="002A5F95">
        <w:rPr>
          <w:rFonts w:ascii="Times New Roman" w:hAnsi="Times New Roman" w:cs="Times New Roman"/>
          <w:sz w:val="24"/>
        </w:rPr>
        <w:t>. DRAM &amp; NAND Flash Industry Analysis. 2024, Q1</w:t>
      </w:r>
    </w:p>
    <w:p w14:paraId="1720559F"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[15] McKinsey &amp; Company. The semiconductor decade: A trillion-dollar industry.2023</w:t>
      </w:r>
    </w:p>
    <w:p w14:paraId="4E8165EA"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[16] World Bank. East Asia and Pacific economic update, October 2023: Navigating uncertainty. World Bank Group,2023</w:t>
      </w:r>
    </w:p>
    <w:p w14:paraId="552FA1D7" w14:textId="77777777" w:rsidR="002A5F95" w:rsidRPr="002A5F95" w:rsidRDefault="002A5F95" w:rsidP="002A5F95">
      <w:pPr>
        <w:rPr>
          <w:rFonts w:ascii="Times New Roman" w:hAnsi="Times New Roman" w:cs="Times New Roman"/>
          <w:sz w:val="24"/>
        </w:rPr>
      </w:pPr>
      <w:r w:rsidRPr="002A5F95">
        <w:rPr>
          <w:rFonts w:ascii="Times New Roman" w:hAnsi="Times New Roman" w:cs="Times New Roman"/>
          <w:sz w:val="24"/>
        </w:rPr>
        <w:t>[17] United Nations Conference on Trade and Development (UNCTAD). A European Union carbon border adjustment mechanism: Implications for developing countries. UNCTAD,2021</w:t>
      </w:r>
    </w:p>
    <w:p w14:paraId="754BD564" w14:textId="1F609B29" w:rsidR="00A21045" w:rsidRDefault="002A5F95" w:rsidP="002A5F95">
      <w:pPr>
        <w:rPr>
          <w:rFonts w:ascii="Times New Roman" w:hAnsi="Times New Roman" w:cs="Times New Roman"/>
          <w:sz w:val="24"/>
        </w:rPr>
      </w:pPr>
      <w:r w:rsidRPr="002A5F95">
        <w:rPr>
          <w:rFonts w:ascii="Times New Roman" w:hAnsi="Times New Roman" w:cs="Times New Roman"/>
          <w:sz w:val="24"/>
        </w:rPr>
        <w:t xml:space="preserve">[18] World Trade Organization. World trade report 2023: </w:t>
      </w:r>
      <w:proofErr w:type="spellStart"/>
      <w:r w:rsidRPr="002A5F95">
        <w:rPr>
          <w:rFonts w:ascii="Times New Roman" w:hAnsi="Times New Roman" w:cs="Times New Roman"/>
          <w:sz w:val="24"/>
        </w:rPr>
        <w:t>Reglobalization</w:t>
      </w:r>
      <w:proofErr w:type="spellEnd"/>
      <w:r w:rsidRPr="002A5F95">
        <w:rPr>
          <w:rFonts w:ascii="Times New Roman" w:hAnsi="Times New Roman" w:cs="Times New Roman"/>
          <w:sz w:val="24"/>
        </w:rPr>
        <w:t xml:space="preserve"> for a secure, inclusive and sustainable future. WTO</w:t>
      </w:r>
      <w:r w:rsidRPr="002A5F95">
        <w:rPr>
          <w:rFonts w:ascii="Times New Roman" w:hAnsi="Times New Roman" w:cs="Times New Roman"/>
          <w:sz w:val="24"/>
        </w:rPr>
        <w:t>，</w:t>
      </w:r>
      <w:r w:rsidRPr="002A5F95">
        <w:rPr>
          <w:rFonts w:ascii="Times New Roman" w:hAnsi="Times New Roman" w:cs="Times New Roman"/>
          <w:sz w:val="24"/>
        </w:rPr>
        <w:t>2023</w:t>
      </w:r>
    </w:p>
    <w:p w14:paraId="3CBFA11A" w14:textId="77777777" w:rsidR="00203E59" w:rsidRDefault="00203E59" w:rsidP="00A21045">
      <w:pPr>
        <w:rPr>
          <w:rFonts w:ascii="Times New Roman" w:hAnsi="Times New Roman" w:cs="Times New Roman"/>
          <w:sz w:val="24"/>
        </w:rPr>
      </w:pPr>
    </w:p>
    <w:p w14:paraId="35446BF0" w14:textId="77777777" w:rsidR="00203E59" w:rsidRDefault="00203E59" w:rsidP="00A21045">
      <w:pPr>
        <w:rPr>
          <w:rFonts w:ascii="Times New Roman" w:hAnsi="Times New Roman" w:cs="Times New Roman"/>
          <w:sz w:val="24"/>
        </w:rPr>
      </w:pPr>
    </w:p>
    <w:p w14:paraId="63C66263" w14:textId="77777777" w:rsidR="00203E59" w:rsidRDefault="00203E59" w:rsidP="00A21045">
      <w:pPr>
        <w:rPr>
          <w:rFonts w:ascii="Times New Roman" w:hAnsi="Times New Roman" w:cs="Times New Roman"/>
          <w:sz w:val="24"/>
        </w:rPr>
      </w:pPr>
    </w:p>
    <w:p w14:paraId="7F9B441A" w14:textId="77777777" w:rsidR="00203E59" w:rsidRDefault="00203E59" w:rsidP="00A21045">
      <w:pPr>
        <w:rPr>
          <w:rFonts w:ascii="Times New Roman" w:hAnsi="Times New Roman" w:cs="Times New Roman"/>
          <w:sz w:val="24"/>
        </w:rPr>
      </w:pPr>
    </w:p>
    <w:p w14:paraId="001E4A29" w14:textId="2E56D5F5" w:rsidR="00203E59" w:rsidRPr="00203E59" w:rsidRDefault="00203E59" w:rsidP="00A21045">
      <w:pPr>
        <w:rPr>
          <w:rFonts w:ascii="Times New Roman" w:hAnsi="Times New Roman" w:cs="Times New Roman"/>
          <w:color w:val="FF0000"/>
          <w:sz w:val="24"/>
        </w:rPr>
      </w:pPr>
    </w:p>
    <w:sectPr w:rsidR="00203E59" w:rsidRPr="00203E5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539F" w14:textId="77777777" w:rsidR="00FC4D7D" w:rsidRDefault="00FC4D7D" w:rsidP="00D80C45">
      <w:r>
        <w:separator/>
      </w:r>
    </w:p>
  </w:endnote>
  <w:endnote w:type="continuationSeparator" w:id="0">
    <w:p w14:paraId="168BA30A" w14:textId="77777777" w:rsidR="00FC4D7D" w:rsidRDefault="00FC4D7D" w:rsidP="00D8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871D" w14:textId="77777777" w:rsidR="00D80C45" w:rsidRDefault="00D80C4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B59B" w14:textId="77777777" w:rsidR="00D80C45" w:rsidRDefault="00D80C4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AA47" w14:textId="77777777" w:rsidR="00D80C45" w:rsidRDefault="00D80C4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F650" w14:textId="77777777" w:rsidR="00FC4D7D" w:rsidRDefault="00FC4D7D" w:rsidP="00D80C45">
      <w:r>
        <w:separator/>
      </w:r>
    </w:p>
  </w:footnote>
  <w:footnote w:type="continuationSeparator" w:id="0">
    <w:p w14:paraId="35D751CD" w14:textId="77777777" w:rsidR="00FC4D7D" w:rsidRDefault="00FC4D7D" w:rsidP="00D8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3217" w14:textId="5943A890" w:rsidR="00D80C45" w:rsidRDefault="00FC4D7D">
    <w:pPr>
      <w:pStyle w:val="af"/>
    </w:pPr>
    <w:r>
      <w:rPr>
        <w:noProof/>
      </w:rPr>
      <w:pict w14:anchorId="57DD2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751" o:spid="_x0000_s1027" type="#_x0000_t136" alt="" style="position:absolute;left:0;text-align:left;margin-left:0;margin-top:0;width:526.9pt;height:5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E31E" w14:textId="0BD74975" w:rsidR="00D80C45" w:rsidRDefault="00FC4D7D">
    <w:pPr>
      <w:pStyle w:val="af"/>
    </w:pPr>
    <w:r>
      <w:rPr>
        <w:noProof/>
      </w:rPr>
      <w:pict w14:anchorId="03FC9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752" o:spid="_x0000_s1026" type="#_x0000_t136" alt="" style="position:absolute;left:0;text-align:left;margin-left:0;margin-top:0;width:526.9pt;height:5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28C2" w14:textId="6BADFC59" w:rsidR="00D80C45" w:rsidRDefault="00FC4D7D">
    <w:pPr>
      <w:pStyle w:val="af"/>
    </w:pPr>
    <w:r>
      <w:rPr>
        <w:noProof/>
      </w:rPr>
      <w:pict w14:anchorId="3ECD7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750" o:spid="_x0000_s1025" type="#_x0000_t136" alt="" style="position:absolute;left:0;text-align:left;margin-left:0;margin-top:0;width:526.9pt;height:5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2729"/>
    <w:multiLevelType w:val="hybridMultilevel"/>
    <w:tmpl w:val="45B0D734"/>
    <w:lvl w:ilvl="0" w:tplc="30524A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81746CC"/>
    <w:multiLevelType w:val="hybridMultilevel"/>
    <w:tmpl w:val="FAE245F2"/>
    <w:lvl w:ilvl="0" w:tplc="DE68D9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60310127">
    <w:abstractNumId w:val="0"/>
  </w:num>
  <w:num w:numId="2" w16cid:durableId="109893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471"/>
    <w:rsid w:val="000227E7"/>
    <w:rsid w:val="00042E7D"/>
    <w:rsid w:val="00057A34"/>
    <w:rsid w:val="000670C0"/>
    <w:rsid w:val="00083B58"/>
    <w:rsid w:val="0012720A"/>
    <w:rsid w:val="00127CE6"/>
    <w:rsid w:val="00200FEB"/>
    <w:rsid w:val="00203E59"/>
    <w:rsid w:val="0023437F"/>
    <w:rsid w:val="002735A8"/>
    <w:rsid w:val="0028268A"/>
    <w:rsid w:val="002A5F95"/>
    <w:rsid w:val="002E2C8F"/>
    <w:rsid w:val="0030102C"/>
    <w:rsid w:val="003248BF"/>
    <w:rsid w:val="00354802"/>
    <w:rsid w:val="003A7F87"/>
    <w:rsid w:val="003C2A3E"/>
    <w:rsid w:val="003C3566"/>
    <w:rsid w:val="003D187C"/>
    <w:rsid w:val="00414249"/>
    <w:rsid w:val="0043750F"/>
    <w:rsid w:val="00447F21"/>
    <w:rsid w:val="00561094"/>
    <w:rsid w:val="0057006E"/>
    <w:rsid w:val="005B0D95"/>
    <w:rsid w:val="005B2AD7"/>
    <w:rsid w:val="005E3A54"/>
    <w:rsid w:val="005F5471"/>
    <w:rsid w:val="0063211C"/>
    <w:rsid w:val="00634406"/>
    <w:rsid w:val="0064296A"/>
    <w:rsid w:val="00654332"/>
    <w:rsid w:val="00673D3E"/>
    <w:rsid w:val="00682041"/>
    <w:rsid w:val="00692158"/>
    <w:rsid w:val="00713924"/>
    <w:rsid w:val="00733526"/>
    <w:rsid w:val="007D5F42"/>
    <w:rsid w:val="008619C3"/>
    <w:rsid w:val="00890CB6"/>
    <w:rsid w:val="008F1A3B"/>
    <w:rsid w:val="009457BF"/>
    <w:rsid w:val="009844BD"/>
    <w:rsid w:val="00996359"/>
    <w:rsid w:val="00A21045"/>
    <w:rsid w:val="00A32344"/>
    <w:rsid w:val="00A41C16"/>
    <w:rsid w:val="00AB335E"/>
    <w:rsid w:val="00AC4C87"/>
    <w:rsid w:val="00AF0039"/>
    <w:rsid w:val="00AF127E"/>
    <w:rsid w:val="00B27406"/>
    <w:rsid w:val="00B40747"/>
    <w:rsid w:val="00B87FB8"/>
    <w:rsid w:val="00C145E0"/>
    <w:rsid w:val="00C27B99"/>
    <w:rsid w:val="00C4062E"/>
    <w:rsid w:val="00CC4F01"/>
    <w:rsid w:val="00D069F9"/>
    <w:rsid w:val="00D25744"/>
    <w:rsid w:val="00D3028D"/>
    <w:rsid w:val="00D44792"/>
    <w:rsid w:val="00D64B75"/>
    <w:rsid w:val="00D80C45"/>
    <w:rsid w:val="00DC6688"/>
    <w:rsid w:val="00DF7BB9"/>
    <w:rsid w:val="00E16628"/>
    <w:rsid w:val="00E35F40"/>
    <w:rsid w:val="00E404D1"/>
    <w:rsid w:val="00E86A7D"/>
    <w:rsid w:val="00EA6246"/>
    <w:rsid w:val="00EE0118"/>
    <w:rsid w:val="00F31518"/>
    <w:rsid w:val="00F50D35"/>
    <w:rsid w:val="00F539E1"/>
    <w:rsid w:val="00F70FB8"/>
    <w:rsid w:val="00FC3026"/>
    <w:rsid w:val="00FC4D7D"/>
    <w:rsid w:val="00FD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9960B"/>
  <w15:chartTrackingRefBased/>
  <w15:docId w15:val="{E28FCAA7-89F3-B046-A898-681BC7F3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5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4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47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47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47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F547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471"/>
    <w:rPr>
      <w:rFonts w:cstheme="majorBidi"/>
      <w:color w:val="2F5496" w:themeColor="accent1" w:themeShade="BF"/>
      <w:sz w:val="28"/>
      <w:szCs w:val="28"/>
    </w:rPr>
  </w:style>
  <w:style w:type="character" w:customStyle="1" w:styleId="50">
    <w:name w:val="标题 5 字符"/>
    <w:basedOn w:val="a0"/>
    <w:link w:val="5"/>
    <w:uiPriority w:val="9"/>
    <w:semiHidden/>
    <w:rsid w:val="005F5471"/>
    <w:rPr>
      <w:rFonts w:cstheme="majorBidi"/>
      <w:color w:val="2F5496" w:themeColor="accent1" w:themeShade="BF"/>
      <w:sz w:val="24"/>
    </w:rPr>
  </w:style>
  <w:style w:type="character" w:customStyle="1" w:styleId="60">
    <w:name w:val="标题 6 字符"/>
    <w:basedOn w:val="a0"/>
    <w:link w:val="6"/>
    <w:uiPriority w:val="9"/>
    <w:semiHidden/>
    <w:rsid w:val="005F5471"/>
    <w:rPr>
      <w:rFonts w:cstheme="majorBidi"/>
      <w:b/>
      <w:bCs/>
      <w:color w:val="2F5496" w:themeColor="accent1" w:themeShade="BF"/>
    </w:rPr>
  </w:style>
  <w:style w:type="character" w:customStyle="1" w:styleId="70">
    <w:name w:val="标题 7 字符"/>
    <w:basedOn w:val="a0"/>
    <w:link w:val="7"/>
    <w:uiPriority w:val="9"/>
    <w:semiHidden/>
    <w:rsid w:val="005F5471"/>
    <w:rPr>
      <w:rFonts w:cstheme="majorBidi"/>
      <w:b/>
      <w:bCs/>
      <w:color w:val="595959" w:themeColor="text1" w:themeTint="A6"/>
    </w:rPr>
  </w:style>
  <w:style w:type="character" w:customStyle="1" w:styleId="80">
    <w:name w:val="标题 8 字符"/>
    <w:basedOn w:val="a0"/>
    <w:link w:val="8"/>
    <w:uiPriority w:val="9"/>
    <w:semiHidden/>
    <w:rsid w:val="005F5471"/>
    <w:rPr>
      <w:rFonts w:cstheme="majorBidi"/>
      <w:color w:val="595959" w:themeColor="text1" w:themeTint="A6"/>
    </w:rPr>
  </w:style>
  <w:style w:type="character" w:customStyle="1" w:styleId="90">
    <w:name w:val="标题 9 字符"/>
    <w:basedOn w:val="a0"/>
    <w:link w:val="9"/>
    <w:uiPriority w:val="9"/>
    <w:semiHidden/>
    <w:rsid w:val="005F5471"/>
    <w:rPr>
      <w:rFonts w:eastAsiaTheme="majorEastAsia" w:cstheme="majorBidi"/>
      <w:color w:val="595959" w:themeColor="text1" w:themeTint="A6"/>
    </w:rPr>
  </w:style>
  <w:style w:type="paragraph" w:styleId="a3">
    <w:name w:val="Title"/>
    <w:basedOn w:val="a"/>
    <w:next w:val="a"/>
    <w:link w:val="a4"/>
    <w:uiPriority w:val="10"/>
    <w:qFormat/>
    <w:rsid w:val="005F54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4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471"/>
    <w:pPr>
      <w:spacing w:before="160" w:after="160"/>
      <w:jc w:val="center"/>
    </w:pPr>
    <w:rPr>
      <w:i/>
      <w:iCs/>
      <w:color w:val="404040" w:themeColor="text1" w:themeTint="BF"/>
    </w:rPr>
  </w:style>
  <w:style w:type="character" w:customStyle="1" w:styleId="a8">
    <w:name w:val="引用 字符"/>
    <w:basedOn w:val="a0"/>
    <w:link w:val="a7"/>
    <w:uiPriority w:val="29"/>
    <w:rsid w:val="005F5471"/>
    <w:rPr>
      <w:i/>
      <w:iCs/>
      <w:color w:val="404040" w:themeColor="text1" w:themeTint="BF"/>
    </w:rPr>
  </w:style>
  <w:style w:type="paragraph" w:styleId="a9">
    <w:name w:val="List Paragraph"/>
    <w:basedOn w:val="a"/>
    <w:uiPriority w:val="34"/>
    <w:qFormat/>
    <w:rsid w:val="005F5471"/>
    <w:pPr>
      <w:ind w:left="720"/>
      <w:contextualSpacing/>
    </w:pPr>
  </w:style>
  <w:style w:type="character" w:styleId="aa">
    <w:name w:val="Intense Emphasis"/>
    <w:basedOn w:val="a0"/>
    <w:uiPriority w:val="21"/>
    <w:qFormat/>
    <w:rsid w:val="005F5471"/>
    <w:rPr>
      <w:i/>
      <w:iCs/>
      <w:color w:val="2F5496" w:themeColor="accent1" w:themeShade="BF"/>
    </w:rPr>
  </w:style>
  <w:style w:type="paragraph" w:styleId="ab">
    <w:name w:val="Intense Quote"/>
    <w:basedOn w:val="a"/>
    <w:next w:val="a"/>
    <w:link w:val="ac"/>
    <w:uiPriority w:val="30"/>
    <w:qFormat/>
    <w:rsid w:val="005F5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471"/>
    <w:rPr>
      <w:i/>
      <w:iCs/>
      <w:color w:val="2F5496" w:themeColor="accent1" w:themeShade="BF"/>
    </w:rPr>
  </w:style>
  <w:style w:type="character" w:styleId="ad">
    <w:name w:val="Intense Reference"/>
    <w:basedOn w:val="a0"/>
    <w:uiPriority w:val="32"/>
    <w:qFormat/>
    <w:rsid w:val="005F5471"/>
    <w:rPr>
      <w:b/>
      <w:bCs/>
      <w:smallCaps/>
      <w:color w:val="2F5496" w:themeColor="accent1" w:themeShade="BF"/>
      <w:spacing w:val="5"/>
    </w:rPr>
  </w:style>
  <w:style w:type="character" w:styleId="ae">
    <w:name w:val="Hyperlink"/>
    <w:basedOn w:val="a0"/>
    <w:uiPriority w:val="99"/>
    <w:unhideWhenUsed/>
    <w:rsid w:val="00B87FB8"/>
    <w:rPr>
      <w:color w:val="0563C1" w:themeColor="hyperlink"/>
      <w:u w:val="single"/>
    </w:rPr>
  </w:style>
  <w:style w:type="character" w:customStyle="1" w:styleId="11">
    <w:name w:val="未处理的提及1"/>
    <w:basedOn w:val="a0"/>
    <w:uiPriority w:val="99"/>
    <w:semiHidden/>
    <w:unhideWhenUsed/>
    <w:rsid w:val="00B87FB8"/>
    <w:rPr>
      <w:color w:val="605E5C"/>
      <w:shd w:val="clear" w:color="auto" w:fill="E1DFDD"/>
    </w:rPr>
  </w:style>
  <w:style w:type="paragraph" w:styleId="af">
    <w:name w:val="header"/>
    <w:basedOn w:val="a"/>
    <w:link w:val="af0"/>
    <w:uiPriority w:val="99"/>
    <w:unhideWhenUsed/>
    <w:rsid w:val="00D80C45"/>
    <w:pPr>
      <w:tabs>
        <w:tab w:val="center" w:pos="4680"/>
        <w:tab w:val="right" w:pos="9360"/>
      </w:tabs>
    </w:pPr>
  </w:style>
  <w:style w:type="character" w:customStyle="1" w:styleId="af0">
    <w:name w:val="页眉 字符"/>
    <w:basedOn w:val="a0"/>
    <w:link w:val="af"/>
    <w:uiPriority w:val="99"/>
    <w:rsid w:val="00D80C45"/>
  </w:style>
  <w:style w:type="paragraph" w:styleId="af1">
    <w:name w:val="footer"/>
    <w:basedOn w:val="a"/>
    <w:link w:val="af2"/>
    <w:uiPriority w:val="99"/>
    <w:unhideWhenUsed/>
    <w:rsid w:val="00D80C45"/>
    <w:pPr>
      <w:tabs>
        <w:tab w:val="center" w:pos="4680"/>
        <w:tab w:val="right" w:pos="9360"/>
      </w:tabs>
    </w:pPr>
  </w:style>
  <w:style w:type="character" w:customStyle="1" w:styleId="af2">
    <w:name w:val="页脚 字符"/>
    <w:basedOn w:val="a0"/>
    <w:link w:val="af1"/>
    <w:uiPriority w:val="99"/>
    <w:rsid w:val="00D8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05730">
      <w:bodyDiv w:val="1"/>
      <w:marLeft w:val="0"/>
      <w:marRight w:val="0"/>
      <w:marTop w:val="0"/>
      <w:marBottom w:val="0"/>
      <w:divBdr>
        <w:top w:val="none" w:sz="0" w:space="0" w:color="auto"/>
        <w:left w:val="none" w:sz="0" w:space="0" w:color="auto"/>
        <w:bottom w:val="none" w:sz="0" w:space="0" w:color="auto"/>
        <w:right w:val="none" w:sz="0" w:space="0" w:color="auto"/>
      </w:divBdr>
    </w:div>
    <w:div w:id="1059786843">
      <w:bodyDiv w:val="1"/>
      <w:marLeft w:val="0"/>
      <w:marRight w:val="0"/>
      <w:marTop w:val="0"/>
      <w:marBottom w:val="0"/>
      <w:divBdr>
        <w:top w:val="none" w:sz="0" w:space="0" w:color="auto"/>
        <w:left w:val="none" w:sz="0" w:space="0" w:color="auto"/>
        <w:bottom w:val="none" w:sz="0" w:space="0" w:color="auto"/>
        <w:right w:val="none" w:sz="0" w:space="0" w:color="auto"/>
      </w:divBdr>
    </w:div>
    <w:div w:id="17471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4345</Words>
  <Characters>24767</Characters>
  <Application>Microsoft Office Word</Application>
  <DocSecurity>0</DocSecurity>
  <Lines>206</Lines>
  <Paragraphs>58</Paragraphs>
  <ScaleCrop>false</ScaleCrop>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李佩珊</dc:creator>
  <cp:keywords/>
  <dc:description/>
  <cp:lastModifiedBy>李佩珊</cp:lastModifiedBy>
  <cp:revision>189</cp:revision>
  <dcterms:created xsi:type="dcterms:W3CDTF">2025-08-29T07:09:00Z</dcterms:created>
  <dcterms:modified xsi:type="dcterms:W3CDTF">2025-09-01T05:48:00Z</dcterms:modified>
</cp:coreProperties>
</file>