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3F738" w14:textId="40B81B81" w:rsidR="00754C9A" w:rsidRDefault="00754C9A" w:rsidP="001A2219">
      <w:pPr>
        <w:pStyle w:val="Title"/>
        <w:spacing w:after="0"/>
        <w:jc w:val="both"/>
        <w:rPr>
          <w:rFonts w:ascii="Arial" w:hAnsi="Arial" w:cs="Arial"/>
        </w:rPr>
      </w:pPr>
    </w:p>
    <w:p w14:paraId="50EED1D6" w14:textId="77777777" w:rsidR="00FA65F4" w:rsidRDefault="00FA65F4" w:rsidP="001A2219">
      <w:pPr>
        <w:pStyle w:val="Title"/>
        <w:spacing w:after="0"/>
        <w:jc w:val="both"/>
        <w:rPr>
          <w:rFonts w:ascii="Arial" w:hAnsi="Arial" w:cs="Arial"/>
        </w:rPr>
      </w:pPr>
    </w:p>
    <w:p w14:paraId="130C9F4D" w14:textId="77777777" w:rsidR="00FA65F4" w:rsidRDefault="00FA65F4" w:rsidP="001A2219">
      <w:pPr>
        <w:pStyle w:val="Title"/>
        <w:spacing w:after="0"/>
        <w:jc w:val="both"/>
        <w:rPr>
          <w:rFonts w:ascii="Arial" w:hAnsi="Arial" w:cs="Arial"/>
        </w:rPr>
      </w:pPr>
    </w:p>
    <w:p w14:paraId="727716C2" w14:textId="2C062366" w:rsidR="00FA65F4" w:rsidRDefault="00FA65F4" w:rsidP="001A2219">
      <w:pPr>
        <w:pStyle w:val="Title"/>
        <w:spacing w:after="0"/>
        <w:jc w:val="both"/>
        <w:rPr>
          <w:rFonts w:ascii="Arial" w:hAnsi="Arial" w:cs="Arial"/>
        </w:rPr>
      </w:pPr>
      <w:r w:rsidRPr="00031E92">
        <w:rPr>
          <w:rFonts w:ascii="Arial" w:hAnsi="Arial" w:cs="Arial"/>
          <w:highlight w:val="yellow"/>
        </w:rPr>
        <w:t>Enterprise Risk Management, Sustainability, and Governance: Implications for Financial Performance in Indonesia</w:t>
      </w:r>
    </w:p>
    <w:p w14:paraId="09F14B8B" w14:textId="2A9BF617" w:rsidR="00A258C3" w:rsidRPr="00790ADA" w:rsidRDefault="002C4929" w:rsidP="0034189D">
      <w:pPr>
        <w:pStyle w:val="Author"/>
        <w:spacing w:line="240" w:lineRule="auto"/>
        <w:rPr>
          <w:rFonts w:ascii="Arial" w:hAnsi="Arial" w:cs="Arial"/>
          <w:sz w:val="36"/>
        </w:rPr>
      </w:pPr>
      <w:r>
        <w:rPr>
          <w:rFonts w:ascii="Arial" w:hAnsi="Arial" w:cs="Arial"/>
          <w:bCs/>
          <w:iCs/>
          <w:kern w:val="28"/>
          <w:sz w:val="36"/>
        </w:rPr>
        <w:tab/>
      </w:r>
    </w:p>
    <w:p w14:paraId="4769722A" w14:textId="77777777" w:rsidR="006D682C" w:rsidRPr="00FB3A86" w:rsidRDefault="006D682C" w:rsidP="001A2219">
      <w:pPr>
        <w:pStyle w:val="Affiliation"/>
        <w:spacing w:after="0" w:line="240" w:lineRule="auto"/>
        <w:jc w:val="both"/>
        <w:rPr>
          <w:rFonts w:ascii="Arial" w:hAnsi="Arial" w:cs="Arial"/>
        </w:rPr>
      </w:pPr>
    </w:p>
    <w:p w14:paraId="1409995E" w14:textId="00CDEA58" w:rsidR="00B01FCD" w:rsidRPr="00FB3A86" w:rsidRDefault="0000771B" w:rsidP="001A2219">
      <w:pPr>
        <w:pStyle w:val="Copyright"/>
        <w:spacing w:after="0" w:line="240" w:lineRule="auto"/>
        <w:jc w:val="both"/>
        <w:rPr>
          <w:rFonts w:ascii="Arial" w:hAnsi="Arial" w:cs="Arial"/>
        </w:rPr>
        <w:sectPr w:rsidR="00B01FCD" w:rsidRPr="00FB3A86" w:rsidSect="00842790">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DE316DB" wp14:editId="3601DED2">
                <wp:extent cx="5303520" cy="635"/>
                <wp:effectExtent l="11430" t="11430" r="9525" b="17145"/>
                <wp:docPr id="6637020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3171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F4D77E0" w14:textId="0AC8CD54" w:rsidR="00B01FCD" w:rsidRDefault="00B01FCD" w:rsidP="001A2219">
      <w:pPr>
        <w:pStyle w:val="AbstHead"/>
        <w:spacing w:after="0"/>
        <w:jc w:val="both"/>
        <w:rPr>
          <w:rFonts w:ascii="Arial" w:hAnsi="Arial" w:cs="Arial"/>
        </w:rPr>
      </w:pPr>
      <w:r w:rsidRPr="00FB3A86">
        <w:rPr>
          <w:rFonts w:ascii="Arial" w:hAnsi="Arial" w:cs="Arial"/>
        </w:rPr>
        <w:t>ABSTRACT</w:t>
      </w:r>
    </w:p>
    <w:p w14:paraId="69FCA636" w14:textId="77777777" w:rsidR="00790ADA" w:rsidRPr="00FB3A86" w:rsidRDefault="00790ADA" w:rsidP="00116B1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D84BAB" w14:textId="77777777" w:rsidTr="001E44FE">
        <w:tc>
          <w:tcPr>
            <w:tcW w:w="9576" w:type="dxa"/>
            <w:shd w:val="clear" w:color="auto" w:fill="F2F2F2"/>
          </w:tcPr>
          <w:p w14:paraId="021B42EA" w14:textId="25D71371" w:rsidR="00116B17" w:rsidRPr="00116B17" w:rsidRDefault="008E0081" w:rsidP="00116B17">
            <w:pPr>
              <w:pStyle w:val="NormalWeb"/>
              <w:spacing w:before="0" w:beforeAutospacing="0" w:after="0" w:afterAutospacing="0"/>
              <w:jc w:val="both"/>
            </w:pPr>
            <w:r w:rsidRPr="00031E92">
              <w:rPr>
                <w:highlight w:val="yellow"/>
              </w:rPr>
              <w:t>T</w:t>
            </w:r>
            <w:r w:rsidRPr="00031E92">
              <w:rPr>
                <w:highlight w:val="yellow"/>
              </w:rPr>
              <w:t xml:space="preserve">he transportation and warehousing sector contributed more than 4% to Indonesia’s Gross Domestic Product (GDP), underscoring its strategic importance. However, despite its significant potential, the sector has experienced substantial fluctuations in financial performance, particularly in Return on Assets (ROA), during the 2019–2024 period. </w:t>
            </w:r>
            <w:r w:rsidR="00F7158C" w:rsidRPr="00031E92">
              <w:rPr>
                <w:highlight w:val="yellow"/>
              </w:rPr>
              <w:t>Enterprise Risk Management (ERM) can strengthen organisational resilience</w:t>
            </w:r>
            <w:r w:rsidR="00F7158C" w:rsidRPr="00031E92">
              <w:rPr>
                <w:highlight w:val="yellow"/>
              </w:rPr>
              <w:t xml:space="preserve">. </w:t>
            </w:r>
            <w:r w:rsidR="00F7158C" w:rsidRPr="00031E92">
              <w:rPr>
                <w:highlight w:val="yellow"/>
              </w:rPr>
              <w:t>However, the moderating effect of ERM remains underexplored in emerging market contexts</w:t>
            </w:r>
            <w:r w:rsidR="00F7158C" w:rsidRPr="00031E92">
              <w:rPr>
                <w:highlight w:val="yellow"/>
              </w:rPr>
              <w:t>.</w:t>
            </w:r>
            <w:r w:rsidR="0064352B">
              <w:t xml:space="preserve"> </w:t>
            </w:r>
            <w:r w:rsidR="00116B17" w:rsidRPr="00116B17">
              <w:t xml:space="preserve">This study aims to examine the effect of environmental performance, firm size, and managerial ownership on the financial performance of transportation and logistics companies listed on the Indonesia Stock Exchange (IDX), as well as to </w:t>
            </w:r>
            <w:r w:rsidR="002258BA" w:rsidRPr="00031E92">
              <w:rPr>
                <w:highlight w:val="yellow"/>
              </w:rPr>
              <w:t>analyse</w:t>
            </w:r>
            <w:r w:rsidR="002258BA" w:rsidRPr="00116B17">
              <w:t xml:space="preserve"> </w:t>
            </w:r>
            <w:r w:rsidR="00116B17" w:rsidRPr="00116B17">
              <w:t>the moderating role of Enterprise Risk Management (ERM) in these relationships.</w:t>
            </w:r>
            <w:r w:rsidR="003A6AD7">
              <w:t xml:space="preserve"> </w:t>
            </w:r>
            <w:r w:rsidR="00116B17" w:rsidRPr="00116B17">
              <w:t xml:space="preserve">The study employs a quantitative approach with a causal </w:t>
            </w:r>
            <w:r w:rsidR="00116B17" w:rsidRPr="00031E92">
              <w:rPr>
                <w:highlight w:val="yellow"/>
              </w:rPr>
              <w:t xml:space="preserve">design, </w:t>
            </w:r>
            <w:r w:rsidR="002258BA" w:rsidRPr="00031E92">
              <w:rPr>
                <w:highlight w:val="yellow"/>
              </w:rPr>
              <w:t>utilising</w:t>
            </w:r>
            <w:r w:rsidR="002258BA" w:rsidRPr="00116B17">
              <w:t xml:space="preserve"> </w:t>
            </w:r>
            <w:r w:rsidR="00116B17" w:rsidRPr="00116B17">
              <w:t>Moderated Regression Analysis (MRA) on panel data with a Fixed Effect Model (FEM).</w:t>
            </w:r>
            <w:r w:rsidR="0083647A">
              <w:t xml:space="preserve"> </w:t>
            </w:r>
            <w:r w:rsidR="00116B17" w:rsidRPr="00116B17">
              <w:t xml:space="preserve">The research is conducted using secondary data </w:t>
            </w:r>
            <w:r w:rsidR="00116B17" w:rsidRPr="00031E92">
              <w:rPr>
                <w:highlight w:val="yellow"/>
              </w:rPr>
              <w:t>obtained from reports</w:t>
            </w:r>
            <w:r w:rsidR="00116B17" w:rsidRPr="00116B17">
              <w:t xml:space="preserve"> of transportation and logistics companies listed on the </w:t>
            </w:r>
            <w:r w:rsidR="00116B17" w:rsidRPr="00031E92">
              <w:rPr>
                <w:highlight w:val="yellow"/>
              </w:rPr>
              <w:t>IDX</w:t>
            </w:r>
            <w:r w:rsidR="00C65D69" w:rsidRPr="00031E92">
              <w:rPr>
                <w:highlight w:val="yellow"/>
              </w:rPr>
              <w:t xml:space="preserve"> </w:t>
            </w:r>
            <w:r w:rsidR="00116B17" w:rsidRPr="00031E92">
              <w:rPr>
                <w:highlight w:val="yellow"/>
              </w:rPr>
              <w:t>from</w:t>
            </w:r>
            <w:r w:rsidR="00116B17" w:rsidRPr="00116B17">
              <w:t xml:space="preserve"> January 2021 to December 2024.</w:t>
            </w:r>
            <w:r w:rsidR="00C65D69">
              <w:t xml:space="preserve"> </w:t>
            </w:r>
            <w:r w:rsidR="00116B17" w:rsidRPr="00031E92">
              <w:rPr>
                <w:highlight w:val="yellow"/>
              </w:rPr>
              <w:t>The sample</w:t>
            </w:r>
            <w:r w:rsidR="00116B17" w:rsidRPr="00116B17">
              <w:t xml:space="preserve"> consists of 30 transportation and logistics companies that meet the sampling </w:t>
            </w:r>
            <w:r w:rsidR="00116B17" w:rsidRPr="00031E92">
              <w:rPr>
                <w:highlight w:val="yellow"/>
              </w:rPr>
              <w:t xml:space="preserve">criteria. </w:t>
            </w:r>
            <w:r w:rsidR="00F81E8F" w:rsidRPr="00031E92">
              <w:rPr>
                <w:highlight w:val="yellow"/>
              </w:rPr>
              <w:t>The findings show that while firm size and managerial ownership improve financial performance, environmental performance has a negative influence. ERM strengthens the relationship between environmental and financial performance but weakens the benefit of managerial ownership.</w:t>
            </w:r>
            <w:r w:rsidR="0098543E" w:rsidRPr="00031E92">
              <w:rPr>
                <w:highlight w:val="yellow"/>
              </w:rPr>
              <w:t xml:space="preserve"> </w:t>
            </w:r>
            <w:r w:rsidR="0098543E" w:rsidRPr="00031E92">
              <w:rPr>
                <w:highlight w:val="yellow"/>
              </w:rPr>
              <w:t>The Resource-Based View (RBV) can serve as a source of sustainable competitive advantage. Similarly, Stakeholder Theory emphasises that companies are accountable not only to shareholders but also to a broader set of stakeholders, and that legitimacy is essential for sustaining business operations. Lastly, Agency Theory explains the conflict of interest between principals and agents as well as governance mechanisms. In the context of this study, managerial ownership serves as an incentive alignment mechanism, encouraging managers to focus on improving financial performance.</w:t>
            </w:r>
            <w:r w:rsidR="0025187B">
              <w:t xml:space="preserve"> </w:t>
            </w:r>
            <w:r w:rsidR="00116B17" w:rsidRPr="00116B17">
              <w:t xml:space="preserve">ERM functions as a moderator that can enhance the financial benefits of environmental initiatives but may limit the positive effects of managerial ownership. Integrating ERM with sustainability practices can improve profitability, </w:t>
            </w:r>
            <w:r w:rsidR="00116B17" w:rsidRPr="00116B17">
              <w:lastRenderedPageBreak/>
              <w:t>although its implementation should be balanced to avoid excessive constraints on managerial decision-making.</w:t>
            </w:r>
          </w:p>
          <w:p w14:paraId="603BA713" w14:textId="55ECC615" w:rsidR="00163AA2" w:rsidRPr="00163AA2" w:rsidRDefault="00163AA2" w:rsidP="00116B17">
            <w:pPr>
              <w:pStyle w:val="Body"/>
              <w:spacing w:after="0"/>
              <w:rPr>
                <w:rFonts w:ascii="Arial" w:eastAsia="Calibri" w:hAnsi="Arial" w:cs="Arial"/>
                <w:szCs w:val="22"/>
              </w:rPr>
            </w:pPr>
          </w:p>
          <w:p w14:paraId="62608B99" w14:textId="7CB7F3EC" w:rsidR="00505F06" w:rsidRPr="00BA1B01" w:rsidRDefault="00505F06" w:rsidP="00116B17">
            <w:pPr>
              <w:pStyle w:val="Body"/>
              <w:spacing w:after="0"/>
              <w:rPr>
                <w:rFonts w:ascii="Arial" w:eastAsia="Calibri" w:hAnsi="Arial" w:cs="Arial"/>
                <w:szCs w:val="22"/>
              </w:rPr>
            </w:pPr>
          </w:p>
        </w:tc>
      </w:tr>
    </w:tbl>
    <w:p w14:paraId="00DBA5DC" w14:textId="77777777" w:rsidR="00636EB2" w:rsidRDefault="00636EB2" w:rsidP="001A2219">
      <w:pPr>
        <w:pStyle w:val="Body"/>
        <w:spacing w:after="0"/>
        <w:rPr>
          <w:rFonts w:ascii="Arial" w:hAnsi="Arial" w:cs="Arial"/>
          <w:i/>
        </w:rPr>
      </w:pPr>
    </w:p>
    <w:p w14:paraId="05768805" w14:textId="471190DF" w:rsidR="00A24E7E" w:rsidRDefault="00A24E7E" w:rsidP="001A2219">
      <w:pPr>
        <w:pStyle w:val="Body"/>
        <w:spacing w:after="0"/>
        <w:rPr>
          <w:rFonts w:ascii="Arial" w:hAnsi="Arial" w:cs="Arial"/>
          <w:i/>
        </w:rPr>
      </w:pPr>
      <w:r w:rsidRPr="00031E92">
        <w:rPr>
          <w:rFonts w:ascii="Arial" w:hAnsi="Arial" w:cs="Arial"/>
          <w:b/>
          <w:bCs/>
          <w:iCs/>
        </w:rPr>
        <w:t>Keywords</w:t>
      </w:r>
      <w:r>
        <w:rPr>
          <w:rFonts w:ascii="Arial" w:hAnsi="Arial" w:cs="Arial"/>
          <w:i/>
        </w:rPr>
        <w:t xml:space="preserve">: </w:t>
      </w:r>
      <w:r w:rsidR="00D713CA" w:rsidRPr="00D713CA">
        <w:rPr>
          <w:rFonts w:ascii="Arial" w:hAnsi="Arial" w:cs="Arial"/>
          <w:i/>
        </w:rPr>
        <w:t>Environmental Performance; Firm Size; Managerial Ownership; Enterprise Risk Management (ERM); Financial Performance</w:t>
      </w:r>
    </w:p>
    <w:p w14:paraId="2B18CEAD" w14:textId="77777777" w:rsidR="00116B17" w:rsidRDefault="00116B17" w:rsidP="001A2219">
      <w:pPr>
        <w:pStyle w:val="Body"/>
        <w:spacing w:after="0"/>
        <w:rPr>
          <w:rFonts w:ascii="Arial" w:hAnsi="Arial" w:cs="Arial"/>
          <w:i/>
        </w:rPr>
      </w:pPr>
    </w:p>
    <w:p w14:paraId="460D83EC" w14:textId="77777777" w:rsidR="00116B17" w:rsidRDefault="00116B17" w:rsidP="001A2219">
      <w:pPr>
        <w:pStyle w:val="Body"/>
        <w:spacing w:after="0"/>
        <w:rPr>
          <w:rFonts w:ascii="Arial" w:hAnsi="Arial" w:cs="Arial"/>
          <w:i/>
        </w:rPr>
      </w:pPr>
    </w:p>
    <w:p w14:paraId="6F37D100" w14:textId="2B6200E4" w:rsidR="00F506F3" w:rsidRPr="00FB3A86" w:rsidRDefault="00F506F3" w:rsidP="00F506F3">
      <w:pPr>
        <w:pStyle w:val="AbstHead"/>
        <w:spacing w:after="0"/>
        <w:jc w:val="both"/>
        <w:rPr>
          <w:rFonts w:ascii="Arial" w:hAnsi="Arial" w:cs="Arial"/>
        </w:rPr>
      </w:pPr>
      <w:r>
        <w:rPr>
          <w:rFonts w:ascii="Arial" w:hAnsi="Arial" w:cs="Arial"/>
        </w:rPr>
        <w:t>1. INTRODUCTION</w:t>
      </w:r>
    </w:p>
    <w:p w14:paraId="59D16D6B" w14:textId="77777777" w:rsidR="001A2219" w:rsidRDefault="001A2219" w:rsidP="001A2219">
      <w:pPr>
        <w:pStyle w:val="Body"/>
        <w:spacing w:after="0"/>
        <w:rPr>
          <w:rFonts w:ascii="Arial" w:hAnsi="Arial" w:cs="Arial"/>
        </w:rPr>
      </w:pPr>
    </w:p>
    <w:p w14:paraId="233FE61F" w14:textId="77777777" w:rsidR="0034189D" w:rsidRDefault="0034189D" w:rsidP="001A2219">
      <w:pPr>
        <w:pStyle w:val="Body"/>
        <w:spacing w:after="0"/>
        <w:rPr>
          <w:rFonts w:ascii="Arial" w:hAnsi="Arial" w:cs="Arial"/>
        </w:rPr>
        <w:sectPr w:rsidR="0034189D" w:rsidSect="00842790">
          <w:headerReference w:type="even" r:id="rId12"/>
          <w:headerReference w:type="default" r:id="rId13"/>
          <w:footerReference w:type="default" r:id="rId14"/>
          <w:headerReference w:type="first" r:id="rId15"/>
          <w:type w:val="continuous"/>
          <w:pgSz w:w="12240" w:h="15840"/>
          <w:pgMar w:top="1440" w:right="2016" w:bottom="2016" w:left="2016" w:header="720" w:footer="1123" w:gutter="0"/>
          <w:cols w:space="720"/>
          <w:docGrid w:linePitch="272"/>
        </w:sectPr>
      </w:pPr>
    </w:p>
    <w:p w14:paraId="6CEB1848" w14:textId="07EF850B" w:rsidR="00B5139E" w:rsidRPr="00B5139E" w:rsidRDefault="00B5139E" w:rsidP="00B5139E">
      <w:pPr>
        <w:pStyle w:val="Body"/>
        <w:spacing w:after="0"/>
        <w:rPr>
          <w:rFonts w:ascii="Arial" w:hAnsi="Arial" w:cs="Arial"/>
        </w:rPr>
      </w:pPr>
      <w:r w:rsidRPr="00031E92">
        <w:rPr>
          <w:rFonts w:ascii="Arial" w:hAnsi="Arial" w:cs="Arial"/>
          <w:highlight w:val="yellow"/>
        </w:rPr>
        <w:t>The</w:t>
      </w:r>
      <w:r w:rsidRPr="00B5139E">
        <w:rPr>
          <w:rFonts w:ascii="Arial" w:hAnsi="Arial" w:cs="Arial"/>
        </w:rPr>
        <w:t xml:space="preserve"> transportation sector plays a crucial role in supporting Indonesia’s economic growth by facilitating trade, mobility, and infrastructure development. According to Statistics Indonesia (BPS, 2021), the transportation and warehousing sector contributed more than 4% to Indonesia’s Gross Domestic Product (GDP), underscoring its strategic importance. However, despite its significant potential, the sector has experienced substantial fluctuations in financial performance, particularly in Return on Assets (ROA), during the 2019–2024 period. This decline reflects problematic financial performance among firms.</w:t>
      </w:r>
    </w:p>
    <w:p w14:paraId="120F721A" w14:textId="0B6B0DF8" w:rsidR="00B5139E" w:rsidRPr="00B5139E" w:rsidRDefault="004D6014" w:rsidP="00B5139E">
      <w:pPr>
        <w:pStyle w:val="Body"/>
        <w:spacing w:after="0"/>
        <w:rPr>
          <w:rFonts w:ascii="Arial" w:hAnsi="Arial" w:cs="Arial"/>
        </w:rPr>
      </w:pPr>
      <w:r w:rsidRPr="00031E92">
        <w:rPr>
          <w:rFonts w:ascii="Arial" w:hAnsi="Arial" w:cs="Arial"/>
          <w:highlight w:val="yellow"/>
        </w:rPr>
        <w:t>Most companies evaluate their stability by looking at their financial performance. Besides, the financial performance identifies how well a company generates revenues and manages its assets, liabilities, and the financial interests of its stakeholders</w:t>
      </w:r>
      <w:r w:rsidRPr="00031E92">
        <w:rPr>
          <w:rFonts w:ascii="Arial" w:hAnsi="Arial" w:cs="Arial"/>
          <w:highlight w:val="yellow"/>
        </w:rPr>
        <w:t xml:space="preserve">. </w:t>
      </w:r>
      <w:r w:rsidRPr="00031E92">
        <w:rPr>
          <w:rFonts w:ascii="Arial" w:hAnsi="Arial" w:cs="Arial"/>
          <w:highlight w:val="yellow"/>
        </w:rPr>
        <w:t>Generally, the financial statements of a company are used to define the financial performance of a firm</w:t>
      </w:r>
      <w:r w:rsidR="009210F6" w:rsidRPr="00031E92">
        <w:rPr>
          <w:rFonts w:ascii="Arial" w:hAnsi="Arial" w:cs="Arial"/>
          <w:highlight w:val="yellow"/>
        </w:rPr>
        <w:t xml:space="preserve"> (</w:t>
      </w:r>
      <w:r w:rsidR="001422A7" w:rsidRPr="00C46A59">
        <w:rPr>
          <w:highlight w:val="yellow"/>
        </w:rPr>
        <w:t>Hassan</w:t>
      </w:r>
      <w:r w:rsidR="001422A7">
        <w:rPr>
          <w:highlight w:val="yellow"/>
        </w:rPr>
        <w:t xml:space="preserve"> et al., 2022; </w:t>
      </w:r>
      <w:r w:rsidR="00501E2F" w:rsidRPr="00031E92">
        <w:rPr>
          <w:highlight w:val="yellow"/>
        </w:rPr>
        <w:t>Matar</w:t>
      </w:r>
      <w:r w:rsidR="00501E2F">
        <w:rPr>
          <w:highlight w:val="yellow"/>
        </w:rPr>
        <w:t xml:space="preserve"> </w:t>
      </w:r>
      <w:r w:rsidR="00501E2F" w:rsidRPr="00031E92">
        <w:rPr>
          <w:highlight w:val="yellow"/>
        </w:rPr>
        <w:t xml:space="preserve">&amp; Eneizan, </w:t>
      </w:r>
      <w:r w:rsidR="00501E2F">
        <w:rPr>
          <w:highlight w:val="yellow"/>
        </w:rPr>
        <w:t>2018</w:t>
      </w:r>
      <w:r w:rsidR="009210F6" w:rsidRPr="00031E92">
        <w:rPr>
          <w:rFonts w:ascii="Arial" w:hAnsi="Arial" w:cs="Arial"/>
          <w:highlight w:val="yellow"/>
        </w:rPr>
        <w:t>)</w:t>
      </w:r>
      <w:r w:rsidRPr="00031E92">
        <w:rPr>
          <w:rFonts w:ascii="Arial" w:hAnsi="Arial" w:cs="Arial"/>
          <w:highlight w:val="yellow"/>
        </w:rPr>
        <w:t>.</w:t>
      </w:r>
      <w:r>
        <w:rPr>
          <w:rFonts w:ascii="Arial" w:hAnsi="Arial" w:cs="Arial"/>
        </w:rPr>
        <w:t xml:space="preserve"> </w:t>
      </w:r>
      <w:r w:rsidR="00B5139E" w:rsidRPr="00B5139E">
        <w:rPr>
          <w:rFonts w:ascii="Arial" w:hAnsi="Arial" w:cs="Arial"/>
        </w:rPr>
        <w:t>Externally, the COVID-19 pandemic caused severe disruptions to supply chains, mobility restrictions, and a sharp decline in transportation demand (Ministry of Transportation, 2020). For instance, in 2020, the number of domestic air passengers fell by 55.7% compared to the previous year (BPS, 2021). Internally, companies faced rising operational costs such as fuel, fleet maintenance, and employee wages, as well as significant depreciation of fixed assets, all of which eroded profitability (Yusdianto &amp; Ramadhoni, 2023).</w:t>
      </w:r>
    </w:p>
    <w:p w14:paraId="7599114E" w14:textId="77777777" w:rsidR="00B5139E" w:rsidRPr="00B5139E" w:rsidRDefault="00B5139E" w:rsidP="00B5139E">
      <w:pPr>
        <w:pStyle w:val="Body"/>
        <w:spacing w:after="0"/>
        <w:rPr>
          <w:rFonts w:ascii="Arial" w:hAnsi="Arial" w:cs="Arial"/>
        </w:rPr>
      </w:pPr>
      <w:r w:rsidRPr="00B5139E">
        <w:rPr>
          <w:rFonts w:ascii="Arial" w:hAnsi="Arial" w:cs="Arial"/>
        </w:rPr>
        <w:t xml:space="preserve">In addition, the sector faces increasing pressure regarding environmental issues. </w:t>
      </w:r>
      <w:r w:rsidRPr="00B5139E">
        <w:rPr>
          <w:rFonts w:ascii="Arial" w:hAnsi="Arial" w:cs="Arial"/>
        </w:rPr>
        <w:t>Transportation is a major contributor to greenhouse gas emissions, which has triggered calls for greater environmental accountability and compliance with sustainability reporting standards such as the Global Reporting Initiative (GRI) (Ministry of Environment and Forestry, 2019). Studies by Fauziah et al. (2022), Limano et al. (2022), and Dita &amp; Ervina (2021) reveal that strong environmental performance can attract sustainability-focused investors and reduce reputational risk, ultimately enhancing financial performance. However, Rahmawati et al. (2023) and Hanif et al. (2020) found no significant relationship, suggesting that the financial benefits of environmental initiatives may not be immediately apparent.</w:t>
      </w:r>
    </w:p>
    <w:p w14:paraId="0C39D094" w14:textId="0ACFBC29" w:rsidR="00B5139E" w:rsidRPr="00B5139E" w:rsidRDefault="00B5139E" w:rsidP="00B5139E">
      <w:pPr>
        <w:pStyle w:val="Body"/>
        <w:spacing w:after="0"/>
        <w:rPr>
          <w:rFonts w:ascii="Arial" w:hAnsi="Arial" w:cs="Arial"/>
        </w:rPr>
      </w:pPr>
      <w:r w:rsidRPr="00B5139E">
        <w:rPr>
          <w:rFonts w:ascii="Arial" w:hAnsi="Arial" w:cs="Arial"/>
        </w:rPr>
        <w:t xml:space="preserve">Firm size has also been identified as an important determinant of financial performance. Larger firms generally enjoy economies of scale, better market access, and greater bargaining power with suppliers and customers (Meiyana &amp; Aisyah, 2019; Aziza et al., 2020). Nonetheless, some studies report insignificant or even negative effects of firm size on profitability, particularly when large </w:t>
      </w:r>
      <w:r w:rsidR="000169EB" w:rsidRPr="00031E92">
        <w:rPr>
          <w:rFonts w:ascii="Arial" w:hAnsi="Arial" w:cs="Arial"/>
          <w:highlight w:val="yellow"/>
        </w:rPr>
        <w:t>organisations</w:t>
      </w:r>
      <w:r w:rsidR="000169EB" w:rsidRPr="00031E92">
        <w:rPr>
          <w:rFonts w:ascii="Arial" w:hAnsi="Arial" w:cs="Arial"/>
          <w:highlight w:val="yellow"/>
        </w:rPr>
        <w:t xml:space="preserve"> </w:t>
      </w:r>
      <w:r w:rsidRPr="00031E92">
        <w:rPr>
          <w:rFonts w:ascii="Arial" w:hAnsi="Arial" w:cs="Arial"/>
          <w:highlight w:val="yellow"/>
        </w:rPr>
        <w:t>suffer</w:t>
      </w:r>
      <w:r w:rsidRPr="00B5139E">
        <w:rPr>
          <w:rFonts w:ascii="Arial" w:hAnsi="Arial" w:cs="Arial"/>
        </w:rPr>
        <w:t xml:space="preserve"> from bureaucratic inefficiencies (Syah et al., 2021; Dita &amp; Ervina, 2021).</w:t>
      </w:r>
    </w:p>
    <w:p w14:paraId="21037F55" w14:textId="77777777" w:rsidR="00B5139E" w:rsidRPr="00B5139E" w:rsidRDefault="00B5139E" w:rsidP="00B5139E">
      <w:pPr>
        <w:pStyle w:val="Body"/>
        <w:spacing w:after="0"/>
        <w:rPr>
          <w:rFonts w:ascii="Arial" w:hAnsi="Arial" w:cs="Arial"/>
        </w:rPr>
      </w:pPr>
      <w:r w:rsidRPr="00B5139E">
        <w:rPr>
          <w:rFonts w:ascii="Arial" w:hAnsi="Arial" w:cs="Arial"/>
        </w:rPr>
        <w:t xml:space="preserve">Managerial ownership is another governance factor that aligns managerial decision-making with shareholder interests. Jaya et al. (2019) and Sutrisno &amp; Riduwan (2022) found a significant positive relationship between managerial ownership and financial performance, indicating that managers with equity stakes are more motivated to enhance firm value. Conversely, Nilayanti &amp; Suaryana (2019) </w:t>
      </w:r>
      <w:r w:rsidRPr="00B5139E">
        <w:rPr>
          <w:rFonts w:ascii="Arial" w:hAnsi="Arial" w:cs="Arial"/>
        </w:rPr>
        <w:lastRenderedPageBreak/>
        <w:t>and Malau et al. (2024) reported insignificant relationships, particularly when managerial ownership levels are too low to influence strategic decisions.</w:t>
      </w:r>
    </w:p>
    <w:p w14:paraId="1E3890E2" w14:textId="59ED5913" w:rsidR="00B5139E" w:rsidRPr="00B5139E" w:rsidRDefault="00B5139E" w:rsidP="00B5139E">
      <w:pPr>
        <w:pStyle w:val="Body"/>
        <w:spacing w:after="0"/>
        <w:rPr>
          <w:rFonts w:ascii="Arial" w:hAnsi="Arial" w:cs="Arial"/>
        </w:rPr>
      </w:pPr>
      <w:r w:rsidRPr="00B5139E">
        <w:rPr>
          <w:rFonts w:ascii="Arial" w:hAnsi="Arial" w:cs="Arial"/>
        </w:rPr>
        <w:t xml:space="preserve">The inconsistencies in prior findings highlight the need for a moderating factor to better explain these dynamics. Enterprise Risk Management (ERM) is a strategic framework designed to identify, assess, and manage risks across the </w:t>
      </w:r>
      <w:r w:rsidR="000169EB" w:rsidRPr="00031E92">
        <w:rPr>
          <w:rFonts w:ascii="Arial" w:hAnsi="Arial" w:cs="Arial"/>
          <w:highlight w:val="yellow"/>
        </w:rPr>
        <w:t>organisation</w:t>
      </w:r>
      <w:r w:rsidR="000169EB" w:rsidRPr="00031E92">
        <w:rPr>
          <w:rFonts w:ascii="Arial" w:hAnsi="Arial" w:cs="Arial"/>
          <w:highlight w:val="yellow"/>
        </w:rPr>
        <w:t xml:space="preserve"> </w:t>
      </w:r>
      <w:r w:rsidRPr="00031E92">
        <w:rPr>
          <w:rFonts w:ascii="Arial" w:hAnsi="Arial" w:cs="Arial"/>
          <w:highlight w:val="yellow"/>
        </w:rPr>
        <w:t>by integrating</w:t>
      </w:r>
      <w:r w:rsidRPr="00B5139E">
        <w:rPr>
          <w:rFonts w:ascii="Arial" w:hAnsi="Arial" w:cs="Arial"/>
        </w:rPr>
        <w:t xml:space="preserve"> risk management into decision-making processes (COSO, 2017). Beasley et al. (2005), Farrell &amp; Gallagher (2019), and Karina et al. (2023) demonstrated that ERM can strengthen </w:t>
      </w:r>
      <w:r w:rsidR="000169EB">
        <w:rPr>
          <w:rFonts w:ascii="Arial" w:hAnsi="Arial" w:cs="Arial"/>
        </w:rPr>
        <w:t>o</w:t>
      </w:r>
      <w:r w:rsidR="000169EB" w:rsidRPr="00031E92">
        <w:rPr>
          <w:rFonts w:ascii="Arial" w:hAnsi="Arial" w:cs="Arial"/>
          <w:highlight w:val="yellow"/>
        </w:rPr>
        <w:t>rganisational</w:t>
      </w:r>
      <w:r w:rsidR="000169EB" w:rsidRPr="00B5139E">
        <w:rPr>
          <w:rFonts w:ascii="Arial" w:hAnsi="Arial" w:cs="Arial"/>
        </w:rPr>
        <w:t xml:space="preserve"> </w:t>
      </w:r>
      <w:r w:rsidRPr="00B5139E">
        <w:rPr>
          <w:rFonts w:ascii="Arial" w:hAnsi="Arial" w:cs="Arial"/>
        </w:rPr>
        <w:t>resilience, improve resource allocation, and potentially reinforce the relationship between corporate strategies</w:t>
      </w:r>
      <w:r>
        <w:rPr>
          <w:rFonts w:ascii="Arial" w:hAnsi="Arial" w:cs="Arial"/>
        </w:rPr>
        <w:t xml:space="preserve"> </w:t>
      </w:r>
      <w:r w:rsidRPr="00B5139E">
        <w:rPr>
          <w:rFonts w:ascii="Arial" w:hAnsi="Arial" w:cs="Arial"/>
        </w:rPr>
        <w:t>such as environmental initiatives or governance structures</w:t>
      </w:r>
      <w:r>
        <w:rPr>
          <w:rFonts w:ascii="Arial" w:hAnsi="Arial" w:cs="Arial"/>
        </w:rPr>
        <w:t xml:space="preserve"> </w:t>
      </w:r>
      <w:r w:rsidRPr="00B5139E">
        <w:rPr>
          <w:rFonts w:ascii="Arial" w:hAnsi="Arial" w:cs="Arial"/>
        </w:rPr>
        <w:t xml:space="preserve">and financial performance. </w:t>
      </w:r>
      <w:r w:rsidR="00716072" w:rsidRPr="00031E92">
        <w:rPr>
          <w:rFonts w:ascii="Arial" w:hAnsi="Arial" w:cs="Arial"/>
          <w:highlight w:val="yellow"/>
        </w:rPr>
        <w:t xml:space="preserve">Issues occurring in institutions may cause considerable negative consequences on the whole economy. </w:t>
      </w:r>
      <w:r w:rsidR="00716072">
        <w:rPr>
          <w:rFonts w:ascii="Arial" w:hAnsi="Arial" w:cs="Arial"/>
          <w:highlight w:val="yellow"/>
        </w:rPr>
        <w:t>T</w:t>
      </w:r>
      <w:r w:rsidR="00716072" w:rsidRPr="00031E92">
        <w:rPr>
          <w:rFonts w:ascii="Arial" w:hAnsi="Arial" w:cs="Arial"/>
          <w:highlight w:val="yellow"/>
        </w:rPr>
        <w:t>he collapse of even a single financial organi</w:t>
      </w:r>
      <w:r w:rsidR="00716072">
        <w:rPr>
          <w:rFonts w:ascii="Arial" w:hAnsi="Arial" w:cs="Arial"/>
          <w:highlight w:val="yellow"/>
        </w:rPr>
        <w:t>s</w:t>
      </w:r>
      <w:r w:rsidR="00716072" w:rsidRPr="00031E92">
        <w:rPr>
          <w:rFonts w:ascii="Arial" w:hAnsi="Arial" w:cs="Arial"/>
          <w:highlight w:val="yellow"/>
        </w:rPr>
        <w:t xml:space="preserve">ation can harm the entire financial mechanism of a country and cause system-wide failure, which will subsequently transfer to other industries, to the macroeconomy, and worldwide (e.g., </w:t>
      </w:r>
      <w:r w:rsidR="00716072">
        <w:rPr>
          <w:rFonts w:ascii="Arial" w:hAnsi="Arial" w:cs="Arial"/>
          <w:highlight w:val="yellow"/>
        </w:rPr>
        <w:t xml:space="preserve">the </w:t>
      </w:r>
      <w:r w:rsidR="00716072" w:rsidRPr="00031E92">
        <w:rPr>
          <w:rFonts w:ascii="Arial" w:hAnsi="Arial" w:cs="Arial"/>
          <w:highlight w:val="yellow"/>
        </w:rPr>
        <w:t>financial crisis of 2008). Thus, ERM has risen as a significant area of interest within financial institutions</w:t>
      </w:r>
      <w:r w:rsidR="00716072">
        <w:rPr>
          <w:rFonts w:ascii="Arial" w:hAnsi="Arial" w:cs="Arial"/>
          <w:highlight w:val="yellow"/>
        </w:rPr>
        <w:t xml:space="preserve"> (</w:t>
      </w:r>
      <w:r w:rsidR="006A0AD1" w:rsidRPr="00C46A59">
        <w:rPr>
          <w:highlight w:val="yellow"/>
        </w:rPr>
        <w:t>Saeidi</w:t>
      </w:r>
      <w:r w:rsidR="006A0AD1">
        <w:rPr>
          <w:highlight w:val="yellow"/>
        </w:rPr>
        <w:t xml:space="preserve"> et al., 2021</w:t>
      </w:r>
      <w:r w:rsidR="00533427">
        <w:rPr>
          <w:highlight w:val="yellow"/>
        </w:rPr>
        <w:t xml:space="preserve">; </w:t>
      </w:r>
      <w:r w:rsidR="00533427" w:rsidRPr="00C46A59">
        <w:rPr>
          <w:highlight w:val="yellow"/>
        </w:rPr>
        <w:t>Okeyo</w:t>
      </w:r>
      <w:r w:rsidR="00533427">
        <w:rPr>
          <w:highlight w:val="yellow"/>
        </w:rPr>
        <w:t>, 2025</w:t>
      </w:r>
      <w:r w:rsidR="00716072">
        <w:rPr>
          <w:rFonts w:ascii="Arial" w:hAnsi="Arial" w:cs="Arial"/>
          <w:highlight w:val="yellow"/>
        </w:rPr>
        <w:t>)</w:t>
      </w:r>
      <w:r w:rsidR="00716072" w:rsidRPr="00031E92">
        <w:rPr>
          <w:rFonts w:ascii="Arial" w:hAnsi="Arial" w:cs="Arial"/>
          <w:highlight w:val="yellow"/>
        </w:rPr>
        <w:t>.</w:t>
      </w:r>
      <w:r w:rsidR="00716072" w:rsidRPr="00716072">
        <w:rPr>
          <w:rFonts w:ascii="Arial" w:hAnsi="Arial" w:cs="Arial"/>
        </w:rPr>
        <w:t xml:space="preserve"> </w:t>
      </w:r>
      <w:r w:rsidRPr="00B5139E">
        <w:rPr>
          <w:rFonts w:ascii="Arial" w:hAnsi="Arial" w:cs="Arial"/>
        </w:rPr>
        <w:t>However, the moderating effect of ERM remains underexplored in emerging market contexts, particularly in high-risk and asset-intensive industries such as transportation and logistics.</w:t>
      </w:r>
    </w:p>
    <w:p w14:paraId="6F8278C3" w14:textId="41B9C5E1" w:rsidR="005571D4" w:rsidRDefault="00B5139E" w:rsidP="00B5139E">
      <w:pPr>
        <w:pStyle w:val="Body"/>
        <w:spacing w:after="0"/>
        <w:rPr>
          <w:rFonts w:ascii="Arial" w:hAnsi="Arial" w:cs="Arial"/>
        </w:rPr>
      </w:pPr>
      <w:r w:rsidRPr="00B5139E">
        <w:rPr>
          <w:rFonts w:ascii="Arial" w:hAnsi="Arial" w:cs="Arial"/>
        </w:rPr>
        <w:t>Against this background, this study aims to examine the influence of environmental performance, firm size, and managerial ownership on financial performance, with ERM as a moderating variable. This research contributes to the literature by addressing the empirical gap regarding ERM’s moderating role in emerging markets and offers practical insights for managers, investors, and regulators to enhance financial outcomes while advancing sustainability practices</w:t>
      </w:r>
      <w:r w:rsidR="005571D4" w:rsidRPr="005571D4">
        <w:rPr>
          <w:rFonts w:ascii="Arial" w:hAnsi="Arial" w:cs="Arial"/>
        </w:rPr>
        <w:t>.</w:t>
      </w:r>
    </w:p>
    <w:p w14:paraId="6528E956" w14:textId="77777777" w:rsidR="00B5139E" w:rsidRDefault="00B5139E" w:rsidP="00B5139E">
      <w:pPr>
        <w:pStyle w:val="Body"/>
        <w:spacing w:after="0"/>
        <w:rPr>
          <w:rFonts w:ascii="Arial" w:hAnsi="Arial" w:cs="Arial"/>
          <w:b/>
          <w:bCs/>
          <w:sz w:val="22"/>
          <w:szCs w:val="22"/>
        </w:rPr>
      </w:pPr>
    </w:p>
    <w:p w14:paraId="4F42D390" w14:textId="34D4DCD7" w:rsidR="00B5139E" w:rsidRPr="00B5139E" w:rsidRDefault="00B5139E" w:rsidP="00B5139E">
      <w:pPr>
        <w:pStyle w:val="Body"/>
        <w:spacing w:after="0"/>
        <w:rPr>
          <w:rFonts w:ascii="Arial" w:hAnsi="Arial" w:cs="Arial"/>
          <w:b/>
          <w:bCs/>
        </w:rPr>
      </w:pPr>
      <w:r w:rsidRPr="00B5139E">
        <w:rPr>
          <w:rFonts w:ascii="Arial" w:hAnsi="Arial" w:cs="Arial"/>
          <w:b/>
          <w:bCs/>
        </w:rPr>
        <w:t>2. LITERATURE REVIEW</w:t>
      </w:r>
    </w:p>
    <w:p w14:paraId="51BB1766" w14:textId="77777777" w:rsidR="00B5139E" w:rsidRPr="00B5139E" w:rsidRDefault="00B5139E" w:rsidP="00B5139E">
      <w:pPr>
        <w:pStyle w:val="Body"/>
        <w:spacing w:after="0"/>
        <w:rPr>
          <w:rFonts w:ascii="Arial" w:hAnsi="Arial" w:cs="Arial"/>
          <w:b/>
          <w:bCs/>
        </w:rPr>
      </w:pPr>
      <w:r w:rsidRPr="00B5139E">
        <w:rPr>
          <w:rFonts w:ascii="Arial" w:hAnsi="Arial" w:cs="Arial"/>
          <w:b/>
          <w:bCs/>
        </w:rPr>
        <w:t>Agency Theory</w:t>
      </w:r>
    </w:p>
    <w:p w14:paraId="117D86F7" w14:textId="77777777" w:rsidR="00B5139E" w:rsidRPr="00B5139E" w:rsidRDefault="00B5139E" w:rsidP="00B5139E">
      <w:pPr>
        <w:pStyle w:val="Body"/>
        <w:spacing w:after="0"/>
        <w:rPr>
          <w:rFonts w:ascii="Arial" w:hAnsi="Arial" w:cs="Arial"/>
        </w:rPr>
      </w:pPr>
      <w:r w:rsidRPr="00B5139E">
        <w:rPr>
          <w:rFonts w:ascii="Arial" w:hAnsi="Arial" w:cs="Arial"/>
        </w:rPr>
        <w:t>Agency Theory explains the conflict of interest between principals (shareholders) and agents (managers), as well as governance mechanisms that align their objectives (Jensen &amp; Meckling, 1976; Eisenhardt, 1989; Fama &amp; Jensen, 1983). In the context of this study, managerial ownership serves as an incentive alignment mechanism, encouraging managers to focus on improving financial performance.</w:t>
      </w:r>
    </w:p>
    <w:p w14:paraId="17AF5C38" w14:textId="77777777" w:rsidR="00B5139E" w:rsidRPr="00B5139E" w:rsidRDefault="00B5139E" w:rsidP="00B5139E">
      <w:pPr>
        <w:pStyle w:val="Body"/>
        <w:spacing w:after="0"/>
        <w:rPr>
          <w:rFonts w:ascii="Arial" w:hAnsi="Arial" w:cs="Arial"/>
          <w:b/>
          <w:bCs/>
        </w:rPr>
      </w:pPr>
      <w:r w:rsidRPr="00B5139E">
        <w:rPr>
          <w:rFonts w:ascii="Arial" w:hAnsi="Arial" w:cs="Arial"/>
          <w:b/>
          <w:bCs/>
        </w:rPr>
        <w:t>Stakeholder Theory</w:t>
      </w:r>
    </w:p>
    <w:p w14:paraId="3D718372" w14:textId="017F07D2" w:rsidR="00B5139E" w:rsidRPr="00B5139E" w:rsidRDefault="00B5139E" w:rsidP="00B5139E">
      <w:pPr>
        <w:pStyle w:val="Body"/>
        <w:spacing w:after="0"/>
        <w:rPr>
          <w:rFonts w:ascii="Arial" w:hAnsi="Arial" w:cs="Arial"/>
        </w:rPr>
      </w:pPr>
      <w:r w:rsidRPr="00B5139E">
        <w:rPr>
          <w:rFonts w:ascii="Arial" w:hAnsi="Arial" w:cs="Arial"/>
        </w:rPr>
        <w:t>Stakeholder Theory emphasi</w:t>
      </w:r>
      <w:r w:rsidR="00585986">
        <w:rPr>
          <w:rFonts w:ascii="Arial" w:hAnsi="Arial" w:cs="Arial"/>
        </w:rPr>
        <w:t>s</w:t>
      </w:r>
      <w:r w:rsidRPr="00B5139E">
        <w:rPr>
          <w:rFonts w:ascii="Arial" w:hAnsi="Arial" w:cs="Arial"/>
        </w:rPr>
        <w:t>es that companies are accountable not only to shareholders but also to a broader set of stakeholders, and that legitimacy is essential for sustaining business operations (Freeman, 1984 in Donaldson &amp; Preston, 1995; Freeman &amp; Dmytriyev, 2023). Environmental performance and sustainability disclosure are seen as tools to build trust and secure stakeholder support.</w:t>
      </w:r>
    </w:p>
    <w:p w14:paraId="46CC819C" w14:textId="77777777" w:rsidR="00B5139E" w:rsidRPr="00B5139E" w:rsidRDefault="00B5139E" w:rsidP="00B5139E">
      <w:pPr>
        <w:pStyle w:val="Body"/>
        <w:spacing w:after="0"/>
        <w:rPr>
          <w:rFonts w:ascii="Arial" w:hAnsi="Arial" w:cs="Arial"/>
          <w:b/>
          <w:bCs/>
        </w:rPr>
      </w:pPr>
      <w:r w:rsidRPr="00B5139E">
        <w:rPr>
          <w:rFonts w:ascii="Arial" w:hAnsi="Arial" w:cs="Arial"/>
          <w:b/>
          <w:bCs/>
        </w:rPr>
        <w:t>Resource-Based View (RBV)</w:t>
      </w:r>
    </w:p>
    <w:p w14:paraId="2E95054E" w14:textId="365150F2" w:rsidR="00B5139E" w:rsidRPr="00B5139E" w:rsidRDefault="00B5139E" w:rsidP="00B5139E">
      <w:pPr>
        <w:pStyle w:val="Body"/>
        <w:spacing w:after="0"/>
        <w:rPr>
          <w:rFonts w:ascii="Arial" w:hAnsi="Arial" w:cs="Arial"/>
        </w:rPr>
      </w:pPr>
      <w:r w:rsidRPr="00B5139E">
        <w:rPr>
          <w:rFonts w:ascii="Arial" w:hAnsi="Arial" w:cs="Arial"/>
        </w:rPr>
        <w:t xml:space="preserve">The RBV posits that internal capabilities that are valuable, rare, inimitable, and non-substitutable (VRIN) can serve as a source of sustainable competitive advantage (Barney, 1991). Enterprise Risk Management (ERM) is viewed as an </w:t>
      </w:r>
      <w:r w:rsidR="00DF31E9" w:rsidRPr="00031E92">
        <w:rPr>
          <w:rFonts w:ascii="Arial" w:hAnsi="Arial" w:cs="Arial"/>
          <w:highlight w:val="yellow"/>
        </w:rPr>
        <w:t>organisational</w:t>
      </w:r>
      <w:r w:rsidR="00DF31E9" w:rsidRPr="00031E92">
        <w:rPr>
          <w:rFonts w:ascii="Arial" w:hAnsi="Arial" w:cs="Arial"/>
          <w:highlight w:val="yellow"/>
        </w:rPr>
        <w:t xml:space="preserve"> </w:t>
      </w:r>
      <w:r w:rsidRPr="00031E92">
        <w:rPr>
          <w:rFonts w:ascii="Arial" w:hAnsi="Arial" w:cs="Arial"/>
          <w:highlight w:val="yellow"/>
        </w:rPr>
        <w:t>capability</w:t>
      </w:r>
      <w:r w:rsidRPr="00B5139E">
        <w:rPr>
          <w:rFonts w:ascii="Arial" w:hAnsi="Arial" w:cs="Arial"/>
        </w:rPr>
        <w:t xml:space="preserve"> that enhances resilience, improves decision-making, and </w:t>
      </w:r>
      <w:r w:rsidR="00DF31E9" w:rsidRPr="00031E92">
        <w:rPr>
          <w:rFonts w:ascii="Arial" w:hAnsi="Arial" w:cs="Arial"/>
          <w:highlight w:val="yellow"/>
        </w:rPr>
        <w:t>optimises</w:t>
      </w:r>
      <w:r w:rsidR="00DF31E9" w:rsidRPr="00B5139E">
        <w:rPr>
          <w:rFonts w:ascii="Arial" w:hAnsi="Arial" w:cs="Arial"/>
        </w:rPr>
        <w:t xml:space="preserve"> </w:t>
      </w:r>
      <w:r w:rsidRPr="00B5139E">
        <w:rPr>
          <w:rFonts w:ascii="Arial" w:hAnsi="Arial" w:cs="Arial"/>
        </w:rPr>
        <w:t>resource allocation (Mikes &amp; Kaplan, 2013; Hoyt &amp; Liebenberg, 2011a).</w:t>
      </w:r>
    </w:p>
    <w:p w14:paraId="25F94DB1" w14:textId="77777777" w:rsidR="00B5139E" w:rsidRPr="00B5139E" w:rsidRDefault="00B5139E" w:rsidP="00B5139E">
      <w:pPr>
        <w:pStyle w:val="Body"/>
        <w:spacing w:after="0"/>
        <w:rPr>
          <w:rFonts w:ascii="Arial" w:hAnsi="Arial" w:cs="Arial"/>
          <w:b/>
          <w:bCs/>
        </w:rPr>
      </w:pPr>
      <w:r w:rsidRPr="00B5139E">
        <w:rPr>
          <w:rFonts w:ascii="Arial" w:hAnsi="Arial" w:cs="Arial"/>
          <w:b/>
          <w:bCs/>
        </w:rPr>
        <w:t>Legitimacy Theory</w:t>
      </w:r>
    </w:p>
    <w:p w14:paraId="6826364C" w14:textId="77777777" w:rsidR="00B5139E" w:rsidRPr="00B5139E" w:rsidRDefault="00B5139E" w:rsidP="00B5139E">
      <w:pPr>
        <w:pStyle w:val="Body"/>
        <w:spacing w:after="0"/>
        <w:rPr>
          <w:rFonts w:ascii="Arial" w:hAnsi="Arial" w:cs="Arial"/>
        </w:rPr>
      </w:pPr>
      <w:r w:rsidRPr="00B5139E">
        <w:rPr>
          <w:rFonts w:ascii="Arial" w:hAnsi="Arial" w:cs="Arial"/>
        </w:rPr>
        <w:t>Legitimacy Theory highlights that firms strive to ensure their operations are perceived as consistent with societal norms and values in order to secure public acceptance (Suchman, 1995; Dowling &amp; Pfeffer, 1975; Deegan, 2002). Environmental disclosure (e.g., through the GRI framework) functions as a legitimacy tool that can ultimately enhance firm value and financial performance.</w:t>
      </w:r>
    </w:p>
    <w:p w14:paraId="1CFDE7E4" w14:textId="689B2E03" w:rsidR="00B5139E" w:rsidRPr="00B5139E" w:rsidRDefault="00B5139E" w:rsidP="00B5139E">
      <w:pPr>
        <w:pStyle w:val="Body"/>
        <w:spacing w:after="0"/>
        <w:rPr>
          <w:rFonts w:ascii="Arial" w:hAnsi="Arial" w:cs="Arial"/>
        </w:rPr>
      </w:pPr>
      <w:r w:rsidRPr="00B5139E">
        <w:rPr>
          <w:rFonts w:ascii="Arial" w:hAnsi="Arial" w:cs="Arial"/>
        </w:rPr>
        <w:t xml:space="preserve">Financial performance reflects the efficiency and profitability of a company, commonly measured by Return on Assets (ROA) (Gitman &amp; Zutter, 2012/2015; Brigham &amp; Houston, 2019). In the transportation and logistics sector, ROA is highly sensitive to operational efficiency due to high fixed costs and asset </w:t>
      </w:r>
      <w:r w:rsidRPr="00B5139E">
        <w:rPr>
          <w:rFonts w:ascii="Arial" w:hAnsi="Arial" w:cs="Arial"/>
        </w:rPr>
        <w:lastRenderedPageBreak/>
        <w:t xml:space="preserve">depreciation. Environmental performance, typically assessed using the GRI 300 indicators (GRI 301–307), encompasses aspects such as energy, emissions, water/waste, and compliance (Ministry of Environment and Forestry, 2019; Epstein &amp; Buhovac, 2014). Strong environmental performance is expected to reduce litigation and reputational risks and attract sustainability-oriented investors, although its financial benefits may take time to </w:t>
      </w:r>
      <w:r w:rsidR="00DF31E9" w:rsidRPr="00031E92">
        <w:rPr>
          <w:rFonts w:ascii="Arial" w:hAnsi="Arial" w:cs="Arial"/>
          <w:highlight w:val="yellow"/>
        </w:rPr>
        <w:t>materialise</w:t>
      </w:r>
      <w:r w:rsidRPr="00031E92">
        <w:rPr>
          <w:rFonts w:ascii="Arial" w:hAnsi="Arial" w:cs="Arial"/>
          <w:highlight w:val="yellow"/>
        </w:rPr>
        <w:t>.</w:t>
      </w:r>
    </w:p>
    <w:p w14:paraId="53B5C6FB" w14:textId="24410F5E" w:rsidR="00B5139E" w:rsidRPr="00B5139E" w:rsidRDefault="00B5139E" w:rsidP="00B5139E">
      <w:pPr>
        <w:pStyle w:val="Body"/>
        <w:spacing w:after="0"/>
        <w:rPr>
          <w:rFonts w:ascii="Arial" w:hAnsi="Arial" w:cs="Arial"/>
        </w:rPr>
      </w:pPr>
      <w:r w:rsidRPr="00B5139E">
        <w:rPr>
          <w:rFonts w:ascii="Arial" w:hAnsi="Arial" w:cs="Arial"/>
        </w:rPr>
        <w:t xml:space="preserve">Firm size, often measured using the natural logarithm of total assets, reflects the firm’s resource capacity, economies of scale, and access to capital, but may also create bureaucratic inefficiencies (Penrose in Aziza et al., 2020; Chen &amp; Robert, 2020). Managerial ownership, measured by the percentage of shares owned by management, aligns managerial incentives with shareholder wealth </w:t>
      </w:r>
      <w:r w:rsidR="00DF31E9" w:rsidRPr="00031E92">
        <w:rPr>
          <w:rFonts w:ascii="Arial" w:hAnsi="Arial" w:cs="Arial"/>
          <w:highlight w:val="yellow"/>
        </w:rPr>
        <w:t>maximisation</w:t>
      </w:r>
      <w:r w:rsidR="00DF31E9" w:rsidRPr="00B5139E">
        <w:rPr>
          <w:rFonts w:ascii="Arial" w:hAnsi="Arial" w:cs="Arial"/>
        </w:rPr>
        <w:t xml:space="preserve"> </w:t>
      </w:r>
      <w:r w:rsidRPr="00B5139E">
        <w:rPr>
          <w:rFonts w:ascii="Arial" w:hAnsi="Arial" w:cs="Arial"/>
        </w:rPr>
        <w:t>and reduces agency costs (Jensen &amp; Meckling, 1976; Jaya et al., 2019; Sutrisno &amp; Riduwan, 2022). Finally, Enterprise Risk Management (ERM), as defined by COSO (2017), is an integrated framework for identifying, assessing, and responding to risks in alignment with strategic objectives. Empirical evidence shows its association with improved firm value and financial performance, as well as its interaction with ESG and environmental practices (Beasley et al., 2005; Hoyt &amp; Liebenberg, 2011a; Farrell &amp; Gallagher, 2019; Chairani &amp; Siregar, 2021; Karina et al., 2023).</w:t>
      </w:r>
    </w:p>
    <w:p w14:paraId="21D95E82" w14:textId="6977432E" w:rsidR="00B5139E" w:rsidRPr="00B5139E" w:rsidRDefault="00B5139E" w:rsidP="00B5139E">
      <w:pPr>
        <w:pStyle w:val="Body"/>
        <w:spacing w:after="0"/>
        <w:rPr>
          <w:rFonts w:ascii="Arial" w:hAnsi="Arial" w:cs="Arial"/>
          <w:b/>
          <w:bCs/>
        </w:rPr>
      </w:pPr>
      <w:r w:rsidRPr="00B5139E">
        <w:rPr>
          <w:rFonts w:ascii="Arial" w:hAnsi="Arial" w:cs="Arial"/>
          <w:b/>
          <w:bCs/>
        </w:rPr>
        <w:t>Hypotheses Development</w:t>
      </w:r>
      <w:r>
        <w:rPr>
          <w:rFonts w:ascii="Arial" w:hAnsi="Arial" w:cs="Arial"/>
          <w:b/>
          <w:bCs/>
        </w:rPr>
        <w:t>:</w:t>
      </w:r>
    </w:p>
    <w:p w14:paraId="2B0B63FD" w14:textId="77777777" w:rsidR="00B5139E" w:rsidRPr="00B5139E" w:rsidRDefault="00B5139E" w:rsidP="00B5139E">
      <w:pPr>
        <w:pStyle w:val="Body"/>
        <w:spacing w:after="0"/>
        <w:rPr>
          <w:rFonts w:ascii="Arial" w:hAnsi="Arial" w:cs="Arial"/>
        </w:rPr>
      </w:pPr>
      <w:r w:rsidRPr="00B5139E">
        <w:rPr>
          <w:rFonts w:ascii="Arial" w:hAnsi="Arial" w:cs="Arial"/>
          <w:b/>
          <w:bCs/>
        </w:rPr>
        <w:t>The Positive Effect of Environmental Performance on Financial Performance</w:t>
      </w:r>
      <w:r w:rsidRPr="00B5139E">
        <w:rPr>
          <w:rFonts w:ascii="Arial" w:hAnsi="Arial" w:cs="Arial"/>
        </w:rPr>
        <w:br/>
        <w:t xml:space="preserve">Strong environmental performance has the potential to improve corporate reputation, reduce legal costs, and mitigate risks associated with environmental issues (Fauziah et al., 2022). Companies that actively manage their environmental impacts tend to attract sustainability-conscious investors, thereby contributing to better financial performance (Latifah &amp; Nikmah, 2024). Moreover, strong environmental performance is often associated with Corporate Social Responsibility (CSR), which can enhance </w:t>
      </w:r>
      <w:r w:rsidRPr="00B5139E">
        <w:rPr>
          <w:rFonts w:ascii="Arial" w:hAnsi="Arial" w:cs="Arial"/>
        </w:rPr>
        <w:t>customer loyalty and strengthen market positioning (Angelina &amp; Nursasi, 2021). Previous studies by Limano et al. (2022) and Dita &amp; Ervina (2021) confirmed that environmental performance positively influences financial performance.</w:t>
      </w:r>
      <w:r w:rsidRPr="00B5139E">
        <w:rPr>
          <w:rFonts w:ascii="Arial" w:hAnsi="Arial" w:cs="Arial"/>
        </w:rPr>
        <w:br/>
      </w:r>
      <w:r w:rsidRPr="00B5139E">
        <w:rPr>
          <w:rFonts w:ascii="Arial" w:hAnsi="Arial" w:cs="Arial"/>
          <w:b/>
          <w:bCs/>
        </w:rPr>
        <w:t>H1: Environmental Performance has a Positive Effect on Financial Performance</w:t>
      </w:r>
    </w:p>
    <w:p w14:paraId="6F07B4AD" w14:textId="77777777" w:rsidR="00B5139E" w:rsidRPr="00B5139E" w:rsidRDefault="00B5139E" w:rsidP="00B5139E">
      <w:pPr>
        <w:pStyle w:val="Body"/>
        <w:spacing w:after="0"/>
        <w:rPr>
          <w:rFonts w:ascii="Arial" w:hAnsi="Arial" w:cs="Arial"/>
        </w:rPr>
      </w:pPr>
      <w:r w:rsidRPr="00B5139E">
        <w:rPr>
          <w:rFonts w:ascii="Arial" w:hAnsi="Arial" w:cs="Arial"/>
          <w:b/>
          <w:bCs/>
        </w:rPr>
        <w:t>The Effect of Firm Size on Financial Performance</w:t>
      </w:r>
      <w:r w:rsidRPr="00B5139E">
        <w:rPr>
          <w:rFonts w:ascii="Arial" w:hAnsi="Arial" w:cs="Arial"/>
        </w:rPr>
        <w:br/>
        <w:t>Firm size often indicates a company’s ability to access resources, raise capital, and achieve operational efficiency. Larger firms typically benefit from economies of scale, broader market access, and greater investment capacity, all of which can enhance financial performance (Meiyana &amp; Aisyah, 2019). Aziza et al. (2020) found that larger firms exhibit better financial performance. However, Syah et al. (2021) noted that larger firm size does not always guarantee superior financial performance, as bureaucratic challenges and reduced flexibility may arise.</w:t>
      </w:r>
      <w:r w:rsidRPr="00B5139E">
        <w:rPr>
          <w:rFonts w:ascii="Arial" w:hAnsi="Arial" w:cs="Arial"/>
        </w:rPr>
        <w:br/>
      </w:r>
      <w:r w:rsidRPr="00B5139E">
        <w:rPr>
          <w:rFonts w:ascii="Arial" w:hAnsi="Arial" w:cs="Arial"/>
          <w:b/>
          <w:bCs/>
        </w:rPr>
        <w:t>H2: Firm Size has a Positive Effect on Financial Performance</w:t>
      </w:r>
    </w:p>
    <w:p w14:paraId="15AB53E6" w14:textId="77777777" w:rsidR="00B5139E" w:rsidRPr="00B5139E" w:rsidRDefault="00B5139E" w:rsidP="00B5139E">
      <w:pPr>
        <w:pStyle w:val="Body"/>
        <w:spacing w:after="0"/>
        <w:rPr>
          <w:rFonts w:ascii="Arial" w:hAnsi="Arial" w:cs="Arial"/>
        </w:rPr>
      </w:pPr>
      <w:r w:rsidRPr="00B5139E">
        <w:rPr>
          <w:rFonts w:ascii="Arial" w:hAnsi="Arial" w:cs="Arial"/>
          <w:b/>
          <w:bCs/>
        </w:rPr>
        <w:t>The Effect of Managerial Ownership on Financial Performance</w:t>
      </w:r>
      <w:r w:rsidRPr="00B5139E">
        <w:rPr>
          <w:rFonts w:ascii="Arial" w:hAnsi="Arial" w:cs="Arial"/>
        </w:rPr>
        <w:br/>
        <w:t>Managerial ownership, defined as the proportion of shares held by managers or executives, can reduce agency conflicts and align the interests of management with those of shareholders. According to Agency Theory (Jensen &amp; Meckling, 1976), managers with ownership stakes are more motivated to improve firm performance, as they directly benefit from increases in firm value. Studies by Jaya et al. (2019) and Sutrisno &amp; Riduwan (2022) demonstrated a positive effect of managerial ownership on financial performance, as managers become more cautious in making decisions that impact firm value.</w:t>
      </w:r>
      <w:r w:rsidRPr="00B5139E">
        <w:rPr>
          <w:rFonts w:ascii="Arial" w:hAnsi="Arial" w:cs="Arial"/>
        </w:rPr>
        <w:br/>
      </w:r>
      <w:r w:rsidRPr="00B5139E">
        <w:rPr>
          <w:rFonts w:ascii="Arial" w:hAnsi="Arial" w:cs="Arial"/>
          <w:b/>
          <w:bCs/>
        </w:rPr>
        <w:t>H3: Managerial Ownership has a Positive Effect on Financial Performance</w:t>
      </w:r>
    </w:p>
    <w:p w14:paraId="68BE6C8E" w14:textId="77777777" w:rsidR="00B5139E" w:rsidRPr="00B5139E" w:rsidRDefault="00B5139E" w:rsidP="00B5139E">
      <w:pPr>
        <w:pStyle w:val="Body"/>
        <w:spacing w:after="0"/>
        <w:rPr>
          <w:rFonts w:ascii="Arial" w:hAnsi="Arial" w:cs="Arial"/>
        </w:rPr>
      </w:pPr>
      <w:r w:rsidRPr="00B5139E">
        <w:rPr>
          <w:rFonts w:ascii="Arial" w:hAnsi="Arial" w:cs="Arial"/>
          <w:b/>
          <w:bCs/>
        </w:rPr>
        <w:t>ERM as a Moderator of the Relationship between Environmental Performance and Financial Performance</w:t>
      </w:r>
      <w:r w:rsidRPr="00B5139E">
        <w:rPr>
          <w:rFonts w:ascii="Arial" w:hAnsi="Arial" w:cs="Arial"/>
        </w:rPr>
        <w:br/>
        <w:t xml:space="preserve">ERM is a systematic approach to identifying, managing, and monitoring risks </w:t>
      </w:r>
      <w:r w:rsidRPr="00B5139E">
        <w:rPr>
          <w:rFonts w:ascii="Arial" w:hAnsi="Arial" w:cs="Arial"/>
        </w:rPr>
        <w:lastRenderedPageBreak/>
        <w:t>that may affect corporate objectives. In the context of environmental performance, ERM enables companies to manage environmental risks more effectively, thereby reinforcing the positive impact of environmental performance on financial performance. Karina et al. (2023) and Hakim &amp; Suardi (2023) found that firms with strong ERM systems respond more efficiently to environmental risks, strengthening the link between environmental and financial performance. ERM thus improves transparency and risk governance, which in turn benefits financial performance (Pérez-Cornejo &amp; de Quevedo-Puente, 2023).</w:t>
      </w:r>
      <w:r w:rsidRPr="00B5139E">
        <w:rPr>
          <w:rFonts w:ascii="Arial" w:hAnsi="Arial" w:cs="Arial"/>
        </w:rPr>
        <w:br/>
      </w:r>
      <w:r w:rsidRPr="00B5139E">
        <w:rPr>
          <w:rFonts w:ascii="Arial" w:hAnsi="Arial" w:cs="Arial"/>
          <w:b/>
          <w:bCs/>
        </w:rPr>
        <w:t>H4: ERM Moderates the Effect of Environmental Performance on Financial Performance</w:t>
      </w:r>
    </w:p>
    <w:p w14:paraId="6C5760CB" w14:textId="77777777" w:rsidR="00B5139E" w:rsidRPr="00B5139E" w:rsidRDefault="00B5139E" w:rsidP="00B5139E">
      <w:pPr>
        <w:pStyle w:val="Body"/>
        <w:spacing w:after="0"/>
        <w:rPr>
          <w:rFonts w:ascii="Arial" w:hAnsi="Arial" w:cs="Arial"/>
        </w:rPr>
      </w:pPr>
      <w:r w:rsidRPr="00B5139E">
        <w:rPr>
          <w:rFonts w:ascii="Arial" w:hAnsi="Arial" w:cs="Arial"/>
          <w:b/>
          <w:bCs/>
        </w:rPr>
        <w:t>ERM as a Moderator of the Relationship between Firm Size and Financial Performance</w:t>
      </w:r>
      <w:r w:rsidRPr="00B5139E">
        <w:rPr>
          <w:rFonts w:ascii="Arial" w:hAnsi="Arial" w:cs="Arial"/>
        </w:rPr>
        <w:br/>
        <w:t xml:space="preserve">While larger firms possess greater resource capacity, they also face more complex risks. ERM helps large firms manage these risks more effectively, thereby reinforcing the positive effect of firm size on financial performance. Syafitri et al. (2023) argued that ERM strengthens firm performance by proactively managing larger-scale risks. Similarly, Yang et al. </w:t>
      </w:r>
      <w:r w:rsidRPr="00B5139E">
        <w:rPr>
          <w:rFonts w:ascii="Arial" w:hAnsi="Arial" w:cs="Arial"/>
        </w:rPr>
        <w:t>(2018) showed that large firms implementing ERM effectively achieve better financial performance, as ERM enables them to handle complex risks more efficiently.</w:t>
      </w:r>
      <w:r w:rsidRPr="00B5139E">
        <w:rPr>
          <w:rFonts w:ascii="Arial" w:hAnsi="Arial" w:cs="Arial"/>
        </w:rPr>
        <w:br/>
      </w:r>
      <w:r w:rsidRPr="00B5139E">
        <w:rPr>
          <w:rFonts w:ascii="Arial" w:hAnsi="Arial" w:cs="Arial"/>
          <w:b/>
          <w:bCs/>
        </w:rPr>
        <w:t>H5: ERM Moderates the Effect of Firm Size on Financial Performance</w:t>
      </w:r>
    </w:p>
    <w:p w14:paraId="6F294A73" w14:textId="77777777" w:rsidR="00B5139E" w:rsidRPr="00B5139E" w:rsidRDefault="00B5139E" w:rsidP="00B5139E">
      <w:pPr>
        <w:pStyle w:val="Body"/>
        <w:spacing w:after="0"/>
        <w:rPr>
          <w:rFonts w:ascii="Arial" w:hAnsi="Arial" w:cs="Arial"/>
        </w:rPr>
      </w:pPr>
      <w:r w:rsidRPr="00B5139E">
        <w:rPr>
          <w:rFonts w:ascii="Arial" w:hAnsi="Arial" w:cs="Arial"/>
          <w:b/>
          <w:bCs/>
        </w:rPr>
        <w:t>ERM as a Moderator of the Relationship between Managerial Ownership and Financial Performance</w:t>
      </w:r>
      <w:r w:rsidRPr="00B5139E">
        <w:rPr>
          <w:rFonts w:ascii="Arial" w:hAnsi="Arial" w:cs="Arial"/>
        </w:rPr>
        <w:br/>
        <w:t>Although managerial ownership can enhance financial performance, overly rigid or misaligned ERM implementation may restrict managerial flexibility in making strategic decisions, thereby weakening the positive effect of managerial ownership on financial performance. Dewanti et al. (2025) found that managers with higher ownership stakes have stronger incentives to improve firm performance. However, strict ERM practices may constrain managerial discretion, potentially reducing the positive influence of managerial ownership on financial performance (Al Matari &amp; Hussein Mgammal, 2019).</w:t>
      </w:r>
      <w:r w:rsidRPr="00B5139E">
        <w:rPr>
          <w:rFonts w:ascii="Arial" w:hAnsi="Arial" w:cs="Arial"/>
        </w:rPr>
        <w:br/>
      </w:r>
      <w:r w:rsidRPr="00B5139E">
        <w:rPr>
          <w:rFonts w:ascii="Arial" w:hAnsi="Arial" w:cs="Arial"/>
          <w:b/>
          <w:bCs/>
        </w:rPr>
        <w:t>H6: ERM Moderates the Effect of Managerial Ownership on Financial Performance</w:t>
      </w:r>
    </w:p>
    <w:p w14:paraId="3A9B1CF2" w14:textId="77777777" w:rsidR="00DB11E9" w:rsidRDefault="00DB11E9" w:rsidP="005571D4">
      <w:pPr>
        <w:pStyle w:val="Body"/>
        <w:spacing w:after="0"/>
        <w:rPr>
          <w:rFonts w:ascii="Arial" w:hAnsi="Arial" w:cs="Arial"/>
        </w:rPr>
      </w:pPr>
    </w:p>
    <w:p w14:paraId="6E41BB40" w14:textId="77777777" w:rsidR="00B5139E" w:rsidRDefault="00B5139E" w:rsidP="005571D4">
      <w:pPr>
        <w:pStyle w:val="Body"/>
        <w:spacing w:after="0"/>
        <w:rPr>
          <w:rFonts w:ascii="Arial" w:hAnsi="Arial" w:cs="Arial"/>
        </w:rPr>
      </w:pPr>
    </w:p>
    <w:p w14:paraId="26EC20E2" w14:textId="77777777" w:rsidR="00B5139E" w:rsidRDefault="00B5139E" w:rsidP="005571D4">
      <w:pPr>
        <w:pStyle w:val="Body"/>
        <w:spacing w:after="0"/>
        <w:sectPr w:rsidR="00B5139E" w:rsidSect="00842790">
          <w:type w:val="continuous"/>
          <w:pgSz w:w="12240" w:h="15840"/>
          <w:pgMar w:top="1440" w:right="2016" w:bottom="2016" w:left="2016" w:header="720" w:footer="1123" w:gutter="0"/>
          <w:cols w:num="2" w:space="720"/>
          <w:docGrid w:linePitch="272"/>
        </w:sectPr>
      </w:pPr>
    </w:p>
    <w:p w14:paraId="73F1C7E3" w14:textId="65D855A0" w:rsidR="00B5139E" w:rsidRDefault="00B5139E" w:rsidP="005571D4">
      <w:pPr>
        <w:pStyle w:val="Body"/>
        <w:spacing w:after="0"/>
        <w:rPr>
          <w:rFonts w:ascii="Arial" w:hAnsi="Arial" w:cs="Arial"/>
        </w:rPr>
        <w:sectPr w:rsidR="00B5139E" w:rsidSect="00842790">
          <w:type w:val="continuous"/>
          <w:pgSz w:w="12240" w:h="15840"/>
          <w:pgMar w:top="1440" w:right="2016" w:bottom="2016" w:left="2016" w:header="720" w:footer="1123" w:gutter="0"/>
          <w:cols w:space="720"/>
          <w:docGrid w:linePitch="272"/>
        </w:sectPr>
      </w:pPr>
      <w:r>
        <w:t>“Based on the hypothesis development above, the research framework can be described as follows</w:t>
      </w:r>
    </w:p>
    <w:p w14:paraId="4BB639F8" w14:textId="77777777" w:rsidR="00B5139E" w:rsidRDefault="00B5139E" w:rsidP="005571D4">
      <w:pPr>
        <w:pStyle w:val="Body"/>
        <w:spacing w:after="0"/>
        <w:rPr>
          <w:rFonts w:ascii="Arial" w:hAnsi="Arial" w:cs="Arial"/>
        </w:rPr>
        <w:sectPr w:rsidR="00B5139E" w:rsidSect="00842790">
          <w:type w:val="continuous"/>
          <w:pgSz w:w="12240" w:h="15840"/>
          <w:pgMar w:top="1440" w:right="2016" w:bottom="2016" w:left="2016" w:header="720" w:footer="1123" w:gutter="0"/>
          <w:cols w:space="720"/>
          <w:docGrid w:linePitch="272"/>
        </w:sectPr>
      </w:pPr>
    </w:p>
    <w:p w14:paraId="78C82592" w14:textId="6FA4F06A" w:rsidR="00DB11E9" w:rsidRPr="005571D4" w:rsidRDefault="00914A7C" w:rsidP="005571D4">
      <w:pPr>
        <w:pStyle w:val="Body"/>
        <w:spacing w:after="0"/>
        <w:rPr>
          <w:rFonts w:ascii="Arial" w:hAnsi="Arial" w:cs="Arial"/>
        </w:rPr>
      </w:pPr>
      <w:r>
        <w:rPr>
          <w:rFonts w:ascii="Times New Roman" w:hAnsi="Times New Roman"/>
          <w:noProof/>
        </w:rPr>
        <w:drawing>
          <wp:anchor distT="0" distB="0" distL="114300" distR="114300" simplePos="0" relativeHeight="251661312" behindDoc="1" locked="0" layoutInCell="1" allowOverlap="1" wp14:anchorId="1B7D8C93" wp14:editId="3A86B2D4">
            <wp:simplePos x="0" y="0"/>
            <wp:positionH relativeFrom="column">
              <wp:posOffset>716280</wp:posOffset>
            </wp:positionH>
            <wp:positionV relativeFrom="paragraph">
              <wp:posOffset>29210</wp:posOffset>
            </wp:positionV>
            <wp:extent cx="3365500" cy="1841500"/>
            <wp:effectExtent l="0" t="0" r="0" b="0"/>
            <wp:wrapNone/>
            <wp:docPr id="163730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0355" name="Picture 163730355"/>
                    <pic:cNvPicPr/>
                  </pic:nvPicPr>
                  <pic:blipFill>
                    <a:blip r:embed="rId16">
                      <a:extLst>
                        <a:ext uri="{28A0092B-C50C-407E-A947-70E740481C1C}">
                          <a14:useLocalDpi xmlns:a14="http://schemas.microsoft.com/office/drawing/2010/main" val="0"/>
                        </a:ext>
                      </a:extLst>
                    </a:blip>
                    <a:stretch>
                      <a:fillRect/>
                    </a:stretch>
                  </pic:blipFill>
                  <pic:spPr>
                    <a:xfrm>
                      <a:off x="0" y="0"/>
                      <a:ext cx="3365500" cy="1841500"/>
                    </a:xfrm>
                    <a:prstGeom prst="rect">
                      <a:avLst/>
                    </a:prstGeom>
                  </pic:spPr>
                </pic:pic>
              </a:graphicData>
            </a:graphic>
            <wp14:sizeRelH relativeFrom="page">
              <wp14:pctWidth>0</wp14:pctWidth>
            </wp14:sizeRelH>
            <wp14:sizeRelV relativeFrom="page">
              <wp14:pctHeight>0</wp14:pctHeight>
            </wp14:sizeRelV>
          </wp:anchor>
        </w:drawing>
      </w:r>
    </w:p>
    <w:p w14:paraId="2A81A72B" w14:textId="48DEF289" w:rsidR="005571D4" w:rsidRDefault="005571D4" w:rsidP="005571D4">
      <w:pPr>
        <w:pStyle w:val="Body"/>
        <w:spacing w:after="0"/>
        <w:rPr>
          <w:rFonts w:ascii="Arial" w:hAnsi="Arial" w:cs="Arial"/>
          <w:b/>
          <w:bCs/>
        </w:rPr>
      </w:pPr>
    </w:p>
    <w:p w14:paraId="2505275C" w14:textId="32B971AD" w:rsidR="005571D4" w:rsidRDefault="005571D4" w:rsidP="005571D4">
      <w:pPr>
        <w:pStyle w:val="Body"/>
        <w:spacing w:after="0"/>
        <w:rPr>
          <w:rFonts w:ascii="Arial" w:hAnsi="Arial" w:cs="Arial"/>
          <w:b/>
          <w:bCs/>
        </w:rPr>
      </w:pPr>
    </w:p>
    <w:p w14:paraId="51945D5C" w14:textId="723BE4D6" w:rsidR="009E7C3F" w:rsidRDefault="009E7C3F" w:rsidP="005571D4">
      <w:pPr>
        <w:pStyle w:val="Body"/>
        <w:spacing w:after="0"/>
        <w:rPr>
          <w:rFonts w:ascii="Arial" w:hAnsi="Arial" w:cs="Arial"/>
          <w:b/>
          <w:bCs/>
        </w:rPr>
      </w:pPr>
    </w:p>
    <w:p w14:paraId="79DA085E" w14:textId="77777777" w:rsidR="009E7C3F" w:rsidRDefault="009E7C3F" w:rsidP="005571D4">
      <w:pPr>
        <w:pStyle w:val="Body"/>
        <w:spacing w:after="0"/>
        <w:rPr>
          <w:rFonts w:ascii="Arial" w:hAnsi="Arial" w:cs="Arial"/>
          <w:b/>
          <w:bCs/>
        </w:rPr>
      </w:pPr>
    </w:p>
    <w:p w14:paraId="56C586E0" w14:textId="77777777" w:rsidR="009E7C3F" w:rsidRDefault="009E7C3F" w:rsidP="005571D4">
      <w:pPr>
        <w:pStyle w:val="Body"/>
        <w:spacing w:after="0"/>
        <w:rPr>
          <w:rFonts w:ascii="Arial" w:hAnsi="Arial" w:cs="Arial"/>
          <w:b/>
          <w:bCs/>
        </w:rPr>
      </w:pPr>
    </w:p>
    <w:p w14:paraId="435DDAB3" w14:textId="77777777" w:rsidR="009E7C3F" w:rsidRDefault="009E7C3F" w:rsidP="005571D4">
      <w:pPr>
        <w:pStyle w:val="Body"/>
        <w:spacing w:after="0"/>
        <w:rPr>
          <w:rFonts w:ascii="Arial" w:hAnsi="Arial" w:cs="Arial"/>
          <w:b/>
          <w:bCs/>
        </w:rPr>
      </w:pPr>
    </w:p>
    <w:p w14:paraId="3467DBE0" w14:textId="77777777" w:rsidR="009E7C3F" w:rsidRDefault="009E7C3F" w:rsidP="005571D4">
      <w:pPr>
        <w:pStyle w:val="Body"/>
        <w:spacing w:after="0"/>
        <w:rPr>
          <w:rFonts w:ascii="Arial" w:hAnsi="Arial" w:cs="Arial"/>
          <w:b/>
          <w:bCs/>
        </w:rPr>
      </w:pPr>
    </w:p>
    <w:p w14:paraId="42554A0F" w14:textId="77777777" w:rsidR="009E7C3F" w:rsidRDefault="009E7C3F" w:rsidP="005571D4">
      <w:pPr>
        <w:pStyle w:val="Body"/>
        <w:spacing w:after="0"/>
        <w:rPr>
          <w:rFonts w:ascii="Arial" w:hAnsi="Arial" w:cs="Arial"/>
          <w:b/>
          <w:bCs/>
        </w:rPr>
      </w:pPr>
    </w:p>
    <w:p w14:paraId="7B4F883A" w14:textId="77777777" w:rsidR="009E7C3F" w:rsidRDefault="009E7C3F" w:rsidP="009E7C3F">
      <w:pPr>
        <w:pStyle w:val="Body"/>
        <w:spacing w:after="0"/>
        <w:jc w:val="center"/>
        <w:rPr>
          <w:rFonts w:ascii="Arial" w:hAnsi="Arial" w:cs="Arial"/>
          <w:b/>
          <w:bCs/>
        </w:rPr>
      </w:pPr>
    </w:p>
    <w:p w14:paraId="481BF4AD" w14:textId="77777777" w:rsidR="00914A7C" w:rsidRDefault="00914A7C" w:rsidP="009E7C3F">
      <w:pPr>
        <w:pStyle w:val="Body"/>
        <w:spacing w:after="0"/>
        <w:jc w:val="center"/>
        <w:rPr>
          <w:rFonts w:ascii="Arial" w:hAnsi="Arial" w:cs="Arial"/>
          <w:b/>
          <w:bCs/>
        </w:rPr>
      </w:pPr>
    </w:p>
    <w:p w14:paraId="2722B6D6" w14:textId="77777777" w:rsidR="00914A7C" w:rsidRDefault="00914A7C" w:rsidP="009E7C3F">
      <w:pPr>
        <w:pStyle w:val="Body"/>
        <w:spacing w:after="0"/>
        <w:jc w:val="center"/>
        <w:rPr>
          <w:rFonts w:ascii="Arial" w:hAnsi="Arial" w:cs="Arial"/>
          <w:b/>
          <w:bCs/>
        </w:rPr>
      </w:pPr>
    </w:p>
    <w:p w14:paraId="7D63E1D8" w14:textId="77777777" w:rsidR="009E7C3F" w:rsidRDefault="009E7C3F" w:rsidP="005571D4">
      <w:pPr>
        <w:pStyle w:val="Body"/>
        <w:spacing w:after="0"/>
        <w:rPr>
          <w:rFonts w:ascii="Arial" w:hAnsi="Arial" w:cs="Arial"/>
          <w:b/>
          <w:bCs/>
        </w:rPr>
      </w:pPr>
    </w:p>
    <w:p w14:paraId="2E085926" w14:textId="77777777" w:rsidR="009E7C3F" w:rsidRDefault="009E7C3F" w:rsidP="0034189D">
      <w:pPr>
        <w:pStyle w:val="Body"/>
        <w:spacing w:after="0"/>
        <w:jc w:val="center"/>
        <w:rPr>
          <w:rFonts w:ascii="Arial" w:hAnsi="Arial" w:cs="Arial"/>
          <w:b/>
          <w:bCs/>
        </w:rPr>
      </w:pPr>
      <w:r>
        <w:rPr>
          <w:rFonts w:ascii="Arial" w:hAnsi="Arial" w:cs="Arial"/>
          <w:b/>
          <w:bCs/>
        </w:rPr>
        <w:t>F</w:t>
      </w:r>
      <w:r w:rsidRPr="009E7C3F">
        <w:rPr>
          <w:rFonts w:ascii="Arial" w:hAnsi="Arial" w:cs="Arial"/>
          <w:b/>
          <w:bCs/>
        </w:rPr>
        <w:t>ig</w:t>
      </w:r>
      <w:r w:rsidR="00B5139E">
        <w:rPr>
          <w:rFonts w:ascii="Arial" w:hAnsi="Arial" w:cs="Arial"/>
          <w:b/>
          <w:bCs/>
        </w:rPr>
        <w:t xml:space="preserve">ure </w:t>
      </w:r>
      <w:r w:rsidRPr="009E7C3F">
        <w:rPr>
          <w:rFonts w:ascii="Arial" w:hAnsi="Arial" w:cs="Arial"/>
          <w:b/>
          <w:bCs/>
        </w:rPr>
        <w:t>1.</w:t>
      </w:r>
      <w:r w:rsidR="00B5139E">
        <w:rPr>
          <w:rFonts w:ascii="Arial" w:hAnsi="Arial" w:cs="Arial"/>
          <w:b/>
          <w:bCs/>
        </w:rPr>
        <w:t xml:space="preserve"> Research</w:t>
      </w:r>
      <w:r w:rsidRPr="009E7C3F">
        <w:rPr>
          <w:rFonts w:ascii="Arial" w:hAnsi="Arial" w:cs="Arial"/>
          <w:b/>
          <w:bCs/>
        </w:rPr>
        <w:t xml:space="preserve"> framewor</w:t>
      </w:r>
      <w:r w:rsidR="00F506F3">
        <w:rPr>
          <w:rFonts w:ascii="Arial" w:hAnsi="Arial" w:cs="Arial"/>
          <w:b/>
          <w:bCs/>
        </w:rPr>
        <w:t>k</w:t>
      </w:r>
    </w:p>
    <w:p w14:paraId="29E7B9A1" w14:textId="77777777" w:rsidR="00354040" w:rsidRDefault="00354040" w:rsidP="0034189D">
      <w:pPr>
        <w:pStyle w:val="Body"/>
        <w:spacing w:after="0"/>
        <w:jc w:val="center"/>
        <w:rPr>
          <w:rFonts w:ascii="Arial" w:hAnsi="Arial" w:cs="Arial"/>
          <w:b/>
          <w:bCs/>
        </w:rPr>
      </w:pPr>
    </w:p>
    <w:p w14:paraId="656C012F" w14:textId="0C86225B" w:rsidR="00354040" w:rsidRPr="005571D4" w:rsidRDefault="00354040" w:rsidP="0034189D">
      <w:pPr>
        <w:pStyle w:val="Body"/>
        <w:spacing w:after="0"/>
        <w:jc w:val="center"/>
        <w:rPr>
          <w:rFonts w:ascii="Arial" w:hAnsi="Arial" w:cs="Arial"/>
          <w:b/>
          <w:bCs/>
        </w:rPr>
        <w:sectPr w:rsidR="00354040" w:rsidRPr="005571D4" w:rsidSect="00842790">
          <w:type w:val="continuous"/>
          <w:pgSz w:w="12240" w:h="15840"/>
          <w:pgMar w:top="1440" w:right="2016" w:bottom="2016" w:left="2016" w:header="720" w:footer="1123" w:gutter="0"/>
          <w:cols w:space="720"/>
          <w:docGrid w:linePitch="272"/>
        </w:sectPr>
      </w:pPr>
    </w:p>
    <w:p w14:paraId="4A4A3381" w14:textId="6EF760AA" w:rsidR="00790ADA" w:rsidRDefault="00902823" w:rsidP="001A2219">
      <w:pPr>
        <w:pStyle w:val="AbstHead"/>
        <w:spacing w:after="0"/>
        <w:jc w:val="both"/>
        <w:rPr>
          <w:rFonts w:ascii="Arial" w:hAnsi="Arial" w:cs="Arial"/>
        </w:rPr>
      </w:pPr>
      <w:r>
        <w:rPr>
          <w:rFonts w:ascii="Arial" w:hAnsi="Arial" w:cs="Arial"/>
        </w:rPr>
        <w:t xml:space="preserve">2. </w:t>
      </w:r>
      <w:r w:rsidR="0014733C" w:rsidRPr="00031E92">
        <w:rPr>
          <w:rFonts w:ascii="Arial" w:hAnsi="Arial" w:cs="Arial"/>
          <w:highlight w:val="yellow"/>
        </w:rPr>
        <w:t>Materials</w:t>
      </w:r>
      <w:r w:rsidR="0014733C">
        <w:rPr>
          <w:rFonts w:ascii="Arial" w:hAnsi="Arial" w:cs="Arial"/>
        </w:rPr>
        <w:t xml:space="preserve"> </w:t>
      </w:r>
      <w:r>
        <w:rPr>
          <w:rFonts w:ascii="Arial" w:hAnsi="Arial" w:cs="Arial"/>
        </w:rPr>
        <w:t>and</w:t>
      </w:r>
      <w:r w:rsidR="005D5BF2">
        <w:rPr>
          <w:rFonts w:ascii="Arial" w:hAnsi="Arial" w:cs="Arial"/>
        </w:rPr>
        <w:t xml:space="preserve"> METHODS</w:t>
      </w:r>
    </w:p>
    <w:p w14:paraId="4C752BE8" w14:textId="77777777" w:rsidR="0034189D" w:rsidRPr="00FB3A86" w:rsidRDefault="0034189D" w:rsidP="001A2219">
      <w:pPr>
        <w:pStyle w:val="AbstHead"/>
        <w:spacing w:after="0"/>
        <w:jc w:val="both"/>
        <w:rPr>
          <w:rFonts w:ascii="Arial" w:hAnsi="Arial" w:cs="Arial"/>
        </w:rPr>
      </w:pPr>
    </w:p>
    <w:p w14:paraId="4CE94F1C" w14:textId="77777777" w:rsidR="00354040" w:rsidRPr="00354040" w:rsidRDefault="00354040" w:rsidP="00354040">
      <w:pPr>
        <w:pStyle w:val="Body"/>
        <w:spacing w:after="0"/>
        <w:rPr>
          <w:rFonts w:ascii="Arial" w:hAnsi="Arial" w:cs="Arial"/>
        </w:rPr>
      </w:pPr>
      <w:r w:rsidRPr="00354040">
        <w:rPr>
          <w:rFonts w:ascii="Arial" w:hAnsi="Arial" w:cs="Arial"/>
        </w:rPr>
        <w:t xml:space="preserve">This study employs a quantitative approach with a causal design to examine </w:t>
      </w:r>
      <w:r w:rsidRPr="00354040">
        <w:rPr>
          <w:rFonts w:ascii="Arial" w:hAnsi="Arial" w:cs="Arial"/>
        </w:rPr>
        <w:t xml:space="preserve">the influence of environmental performance, firm size, and managerial ownership on financial performance, with Enterprise Risk Management (ERM) as a </w:t>
      </w:r>
      <w:r w:rsidRPr="00354040">
        <w:rPr>
          <w:rFonts w:ascii="Arial" w:hAnsi="Arial" w:cs="Arial"/>
        </w:rPr>
        <w:lastRenderedPageBreak/>
        <w:t>moderating variable. The population consists of all transportation and logistics companies listed on the Indonesia Stock Exchange (IDX). The total population includes 57 companies in the transportation and logistics sector during the 2019–2024 period.</w:t>
      </w:r>
    </w:p>
    <w:p w14:paraId="2D8CC708" w14:textId="77777777" w:rsidR="00354040" w:rsidRPr="00354040" w:rsidRDefault="00354040" w:rsidP="00354040">
      <w:pPr>
        <w:pStyle w:val="Body"/>
        <w:spacing w:after="0"/>
        <w:rPr>
          <w:rFonts w:ascii="Arial" w:hAnsi="Arial" w:cs="Arial"/>
        </w:rPr>
      </w:pPr>
      <w:r w:rsidRPr="00354040">
        <w:rPr>
          <w:rFonts w:ascii="Arial" w:hAnsi="Arial" w:cs="Arial"/>
        </w:rPr>
        <w:t>The research sample was determined using purposive sampling with the following criteria:</w:t>
      </w:r>
    </w:p>
    <w:p w14:paraId="0CBC39ED" w14:textId="77777777" w:rsidR="00354040" w:rsidRPr="00354040" w:rsidRDefault="00354040" w:rsidP="00354040">
      <w:pPr>
        <w:pStyle w:val="Body"/>
        <w:numPr>
          <w:ilvl w:val="0"/>
          <w:numId w:val="35"/>
        </w:numPr>
        <w:spacing w:after="0"/>
        <w:rPr>
          <w:rFonts w:ascii="Arial" w:hAnsi="Arial" w:cs="Arial"/>
        </w:rPr>
      </w:pPr>
      <w:r w:rsidRPr="00354040">
        <w:rPr>
          <w:rFonts w:ascii="Arial" w:hAnsi="Arial" w:cs="Arial"/>
        </w:rPr>
        <w:t>Companies consistently listed on the IDX during the 2021–2024 period.</w:t>
      </w:r>
    </w:p>
    <w:p w14:paraId="2C06FF88" w14:textId="77777777" w:rsidR="00354040" w:rsidRPr="00354040" w:rsidRDefault="00354040" w:rsidP="00354040">
      <w:pPr>
        <w:pStyle w:val="Body"/>
        <w:numPr>
          <w:ilvl w:val="0"/>
          <w:numId w:val="35"/>
        </w:numPr>
        <w:spacing w:after="0"/>
        <w:rPr>
          <w:rFonts w:ascii="Arial" w:hAnsi="Arial" w:cs="Arial"/>
        </w:rPr>
      </w:pPr>
      <w:r w:rsidRPr="00354040">
        <w:rPr>
          <w:rFonts w:ascii="Arial" w:hAnsi="Arial" w:cs="Arial"/>
        </w:rPr>
        <w:t>Availability of complete annual reports and sustainability reports during the observation years.</w:t>
      </w:r>
    </w:p>
    <w:p w14:paraId="2385D45B" w14:textId="77777777" w:rsidR="00354040" w:rsidRPr="00354040" w:rsidRDefault="00354040" w:rsidP="00354040">
      <w:pPr>
        <w:pStyle w:val="Body"/>
        <w:numPr>
          <w:ilvl w:val="0"/>
          <w:numId w:val="35"/>
        </w:numPr>
        <w:spacing w:after="0"/>
        <w:rPr>
          <w:rFonts w:ascii="Arial" w:hAnsi="Arial" w:cs="Arial"/>
        </w:rPr>
      </w:pPr>
      <w:r w:rsidRPr="00354040">
        <w:rPr>
          <w:rFonts w:ascii="Arial" w:hAnsi="Arial" w:cs="Arial"/>
        </w:rPr>
        <w:t>Availability of data on environmental performance, firm size, managerial ownership, and Enterprise Risk Management (ERM).</w:t>
      </w:r>
    </w:p>
    <w:p w14:paraId="3EB6F5C6" w14:textId="1F5BC602" w:rsidR="00354040" w:rsidRPr="00354040" w:rsidRDefault="00354040" w:rsidP="00354040">
      <w:pPr>
        <w:pStyle w:val="Body"/>
        <w:spacing w:after="0"/>
        <w:rPr>
          <w:rFonts w:ascii="Arial" w:hAnsi="Arial" w:cs="Arial"/>
        </w:rPr>
      </w:pPr>
      <w:r w:rsidRPr="00354040">
        <w:rPr>
          <w:rFonts w:ascii="Arial" w:hAnsi="Arial" w:cs="Arial"/>
        </w:rPr>
        <w:t>Based on these criteria, 30 companies met the sample requirements.</w:t>
      </w:r>
    </w:p>
    <w:p w14:paraId="0BFF7012" w14:textId="77777777" w:rsidR="00354040" w:rsidRPr="00354040" w:rsidRDefault="00354040" w:rsidP="00354040">
      <w:pPr>
        <w:pStyle w:val="Body"/>
        <w:spacing w:after="0"/>
        <w:rPr>
          <w:rFonts w:ascii="Arial" w:hAnsi="Arial" w:cs="Arial"/>
          <w:b/>
          <w:bCs/>
        </w:rPr>
      </w:pPr>
      <w:r w:rsidRPr="00354040">
        <w:rPr>
          <w:rFonts w:ascii="Arial" w:hAnsi="Arial" w:cs="Arial"/>
          <w:b/>
          <w:bCs/>
        </w:rPr>
        <w:t>Operational Definition and Measurement of Variables</w:t>
      </w:r>
    </w:p>
    <w:p w14:paraId="1217A785" w14:textId="77777777" w:rsidR="00354040" w:rsidRDefault="00354040" w:rsidP="00354040">
      <w:pPr>
        <w:pStyle w:val="Body"/>
        <w:spacing w:after="0"/>
        <w:rPr>
          <w:rFonts w:ascii="Arial" w:hAnsi="Arial" w:cs="Arial"/>
          <w:b/>
          <w:bCs/>
        </w:rPr>
      </w:pPr>
      <w:r w:rsidRPr="00354040">
        <w:rPr>
          <w:rFonts w:ascii="Arial" w:hAnsi="Arial" w:cs="Arial"/>
          <w:b/>
          <w:bCs/>
        </w:rPr>
        <w:t>Financial Performance (ROA)</w:t>
      </w:r>
    </w:p>
    <w:p w14:paraId="617B0C6C" w14:textId="23443998" w:rsidR="00354040" w:rsidRPr="00354040" w:rsidRDefault="00354040" w:rsidP="00354040">
      <w:pPr>
        <w:pStyle w:val="Body"/>
        <w:spacing w:after="0"/>
        <w:rPr>
          <w:rFonts w:ascii="Arial" w:hAnsi="Arial" w:cs="Arial"/>
          <w:b/>
          <w:bCs/>
        </w:rPr>
      </w:pPr>
      <w:r w:rsidRPr="00354040">
        <w:rPr>
          <w:rFonts w:ascii="Arial" w:hAnsi="Arial" w:cs="Arial"/>
        </w:rPr>
        <w:t xml:space="preserve">Financial performance reflects a firm’s ability to generate profits from its total assets. It is measured using the Return on Assets (ROA) ratio, calculated by dividing net income by total assets. ROA is widely used as a profitability indicator because it measures how efficiently management </w:t>
      </w:r>
      <w:r w:rsidR="0014733C" w:rsidRPr="00031E92">
        <w:rPr>
          <w:rFonts w:ascii="Arial" w:hAnsi="Arial" w:cs="Arial"/>
          <w:highlight w:val="yellow"/>
        </w:rPr>
        <w:t>utilises</w:t>
      </w:r>
      <w:r w:rsidR="0014733C" w:rsidRPr="00354040">
        <w:rPr>
          <w:rFonts w:ascii="Arial" w:hAnsi="Arial" w:cs="Arial"/>
        </w:rPr>
        <w:t xml:space="preserve"> </w:t>
      </w:r>
      <w:r w:rsidRPr="00354040">
        <w:rPr>
          <w:rFonts w:ascii="Arial" w:hAnsi="Arial" w:cs="Arial"/>
        </w:rPr>
        <w:t>assets to generate earnings (Gitman &amp; Zutter, 2015).</w:t>
      </w:r>
    </w:p>
    <w:p w14:paraId="3C9AAC48" w14:textId="77777777" w:rsidR="00354040" w:rsidRDefault="00354040" w:rsidP="00354040">
      <w:pPr>
        <w:pStyle w:val="Body"/>
        <w:spacing w:after="0"/>
        <w:rPr>
          <w:rFonts w:ascii="Arial" w:hAnsi="Arial" w:cs="Arial"/>
          <w:b/>
          <w:bCs/>
        </w:rPr>
      </w:pPr>
      <w:r w:rsidRPr="00354040">
        <w:rPr>
          <w:rFonts w:ascii="Arial" w:hAnsi="Arial" w:cs="Arial"/>
          <w:b/>
          <w:bCs/>
        </w:rPr>
        <w:t>Environmental Performance (EP)</w:t>
      </w:r>
    </w:p>
    <w:p w14:paraId="489879AE" w14:textId="52A3FC20" w:rsidR="00354040" w:rsidRPr="00354040" w:rsidRDefault="00354040" w:rsidP="00354040">
      <w:pPr>
        <w:pStyle w:val="Body"/>
        <w:spacing w:after="0"/>
        <w:rPr>
          <w:rFonts w:ascii="Arial" w:hAnsi="Arial" w:cs="Arial"/>
        </w:rPr>
      </w:pPr>
      <w:r w:rsidRPr="00354040">
        <w:rPr>
          <w:rFonts w:ascii="Arial" w:hAnsi="Arial" w:cs="Arial"/>
        </w:rPr>
        <w:t xml:space="preserve">Environmental performance represents the company’s achievement in managing environmental aspects and </w:t>
      </w:r>
      <w:r w:rsidR="0098685B" w:rsidRPr="00031E92">
        <w:rPr>
          <w:rFonts w:ascii="Arial" w:hAnsi="Arial" w:cs="Arial"/>
          <w:highlight w:val="yellow"/>
        </w:rPr>
        <w:t>minimising</w:t>
      </w:r>
      <w:r w:rsidR="0098685B" w:rsidRPr="00031E92">
        <w:rPr>
          <w:rFonts w:ascii="Arial" w:hAnsi="Arial" w:cs="Arial"/>
          <w:highlight w:val="yellow"/>
        </w:rPr>
        <w:t xml:space="preserve"> </w:t>
      </w:r>
      <w:r w:rsidRPr="00031E92">
        <w:rPr>
          <w:rFonts w:ascii="Arial" w:hAnsi="Arial" w:cs="Arial"/>
          <w:highlight w:val="yellow"/>
        </w:rPr>
        <w:t>negative</w:t>
      </w:r>
      <w:r w:rsidRPr="00354040">
        <w:rPr>
          <w:rFonts w:ascii="Arial" w:hAnsi="Arial" w:cs="Arial"/>
        </w:rPr>
        <w:t xml:space="preserve"> impacts. In this study, environmental performance is measured using the Global Reporting Initiative (GRI) 300 disclosure index, which includes indicators related to raw materials, energy use, water consumption, biodiversity, emissions, waste, and environmental compliance. The GRI framework ensures </w:t>
      </w:r>
      <w:r w:rsidR="0098685B" w:rsidRPr="00031E92">
        <w:rPr>
          <w:rFonts w:ascii="Arial" w:hAnsi="Arial" w:cs="Arial"/>
          <w:highlight w:val="yellow"/>
        </w:rPr>
        <w:t>standardised</w:t>
      </w:r>
      <w:r w:rsidR="0098685B" w:rsidRPr="00354040">
        <w:rPr>
          <w:rFonts w:ascii="Arial" w:hAnsi="Arial" w:cs="Arial"/>
        </w:rPr>
        <w:t xml:space="preserve"> </w:t>
      </w:r>
      <w:r w:rsidRPr="00354040">
        <w:rPr>
          <w:rFonts w:ascii="Arial" w:hAnsi="Arial" w:cs="Arial"/>
        </w:rPr>
        <w:t xml:space="preserve">and comparable </w:t>
      </w:r>
      <w:r w:rsidRPr="00354040">
        <w:rPr>
          <w:rFonts w:ascii="Arial" w:hAnsi="Arial" w:cs="Arial"/>
        </w:rPr>
        <w:t>measurement across firms (GRI, 2020; Epstein &amp; Buhovac, 2014).</w:t>
      </w:r>
    </w:p>
    <w:p w14:paraId="7CCE0435" w14:textId="77777777" w:rsidR="00354040" w:rsidRDefault="00354040" w:rsidP="00354040">
      <w:pPr>
        <w:pStyle w:val="Body"/>
        <w:spacing w:after="0"/>
        <w:rPr>
          <w:rFonts w:ascii="Arial" w:hAnsi="Arial" w:cs="Arial"/>
          <w:b/>
          <w:bCs/>
        </w:rPr>
      </w:pPr>
      <w:r w:rsidRPr="00354040">
        <w:rPr>
          <w:rFonts w:ascii="Arial" w:hAnsi="Arial" w:cs="Arial"/>
          <w:b/>
          <w:bCs/>
        </w:rPr>
        <w:t>Firm Size (SIZE)</w:t>
      </w:r>
    </w:p>
    <w:p w14:paraId="1C80D803" w14:textId="7A13D7FC" w:rsidR="00354040" w:rsidRPr="00354040" w:rsidRDefault="00354040" w:rsidP="00354040">
      <w:pPr>
        <w:pStyle w:val="Body"/>
        <w:spacing w:after="0"/>
        <w:rPr>
          <w:rFonts w:ascii="Arial" w:hAnsi="Arial" w:cs="Arial"/>
        </w:rPr>
      </w:pPr>
      <w:r w:rsidRPr="00354040">
        <w:rPr>
          <w:rFonts w:ascii="Arial" w:hAnsi="Arial" w:cs="Arial"/>
        </w:rPr>
        <w:t>Firm size refers to the scale of a company’s operations and its resource capacity. It is measured using the natural logarithm of total assets. Larger firms generally have greater access to capital, economies of scale, and stronger market positions, although they may also face bureaucratic inefficiencies (Aziza et al., 2020).</w:t>
      </w:r>
    </w:p>
    <w:p w14:paraId="28979D33" w14:textId="77777777" w:rsidR="00354040" w:rsidRDefault="00354040" w:rsidP="00354040">
      <w:pPr>
        <w:pStyle w:val="Body"/>
        <w:spacing w:after="0"/>
        <w:rPr>
          <w:rFonts w:ascii="Arial" w:hAnsi="Arial" w:cs="Arial"/>
          <w:b/>
          <w:bCs/>
        </w:rPr>
      </w:pPr>
      <w:r w:rsidRPr="00354040">
        <w:rPr>
          <w:rFonts w:ascii="Arial" w:hAnsi="Arial" w:cs="Arial"/>
          <w:b/>
          <w:bCs/>
        </w:rPr>
        <w:t>Managerial Ownership (MO)</w:t>
      </w:r>
    </w:p>
    <w:p w14:paraId="15EBAFBA" w14:textId="780C3FB3" w:rsidR="00354040" w:rsidRPr="00354040" w:rsidRDefault="00354040" w:rsidP="00354040">
      <w:pPr>
        <w:pStyle w:val="Body"/>
        <w:spacing w:after="0"/>
        <w:rPr>
          <w:rFonts w:ascii="Arial" w:hAnsi="Arial" w:cs="Arial"/>
        </w:rPr>
      </w:pPr>
      <w:r w:rsidRPr="00354040">
        <w:rPr>
          <w:rFonts w:ascii="Arial" w:hAnsi="Arial" w:cs="Arial"/>
        </w:rPr>
        <w:t xml:space="preserve">Managerial ownership measures the proportion of company shares held by management. This variable reflects the alignment of managerial and shareholder interests, as higher managerial ownership is expected to reduce agency conflicts and improve decision-making quality. MO is calculated by dividing the number of shares owned by management by the total outstanding shares, then </w:t>
      </w:r>
      <w:r w:rsidR="0098685B" w:rsidRPr="00031E92">
        <w:rPr>
          <w:rFonts w:ascii="Arial" w:hAnsi="Arial" w:cs="Arial"/>
          <w:highlight w:val="yellow"/>
        </w:rPr>
        <w:t>multiplying</w:t>
      </w:r>
      <w:r w:rsidR="0098685B" w:rsidRPr="00031E92">
        <w:rPr>
          <w:rFonts w:ascii="Arial" w:hAnsi="Arial" w:cs="Arial"/>
          <w:highlight w:val="yellow"/>
        </w:rPr>
        <w:t xml:space="preserve"> </w:t>
      </w:r>
      <w:r w:rsidRPr="00031E92">
        <w:rPr>
          <w:rFonts w:ascii="Arial" w:hAnsi="Arial" w:cs="Arial"/>
          <w:highlight w:val="yellow"/>
        </w:rPr>
        <w:t>by 100% (</w:t>
      </w:r>
      <w:r w:rsidRPr="00354040">
        <w:rPr>
          <w:rFonts w:ascii="Arial" w:hAnsi="Arial" w:cs="Arial"/>
        </w:rPr>
        <w:t>Sutrisno &amp; Riduwan, 2022).</w:t>
      </w:r>
    </w:p>
    <w:p w14:paraId="203FF76E" w14:textId="77777777" w:rsidR="00354040" w:rsidRDefault="00354040" w:rsidP="00354040">
      <w:pPr>
        <w:pStyle w:val="Body"/>
        <w:spacing w:after="0"/>
        <w:rPr>
          <w:rFonts w:ascii="Arial" w:hAnsi="Arial" w:cs="Arial"/>
          <w:b/>
          <w:bCs/>
        </w:rPr>
      </w:pPr>
      <w:r w:rsidRPr="00354040">
        <w:rPr>
          <w:rFonts w:ascii="Arial" w:hAnsi="Arial" w:cs="Arial"/>
          <w:b/>
          <w:bCs/>
        </w:rPr>
        <w:t>Enterprise Risk Management (ERM)</w:t>
      </w:r>
    </w:p>
    <w:p w14:paraId="0DC134BC" w14:textId="329EB3ED" w:rsidR="00354040" w:rsidRPr="00354040" w:rsidRDefault="00354040" w:rsidP="00354040">
      <w:pPr>
        <w:pStyle w:val="Body"/>
        <w:spacing w:after="0"/>
        <w:rPr>
          <w:rFonts w:ascii="Arial" w:hAnsi="Arial" w:cs="Arial"/>
        </w:rPr>
      </w:pPr>
      <w:r w:rsidRPr="00354040">
        <w:rPr>
          <w:rFonts w:ascii="Arial" w:hAnsi="Arial" w:cs="Arial"/>
        </w:rPr>
        <w:t>Enterprise Risk Management is an integrated framework used by firms to identify, assess, and manage risks in alignment with corporate strategy. In this study, ERM is measured using a disclosure index based on the COSO ERM 2017 framework, which covers governance and culture, strategy and objective-setting, performance, review and revision, and information, communication, and reporting. Effective ERM implementation is expected to enhance resilience and support the achievement of strategic and financial objectives (COSO, 2017; Hoyt &amp; Liebenberg, 2011a).</w:t>
      </w:r>
    </w:p>
    <w:p w14:paraId="62F8AE70" w14:textId="3FD9E55E" w:rsidR="00AA74E0" w:rsidRDefault="00B47D16" w:rsidP="001A2219">
      <w:pPr>
        <w:pStyle w:val="Body"/>
        <w:spacing w:after="0"/>
        <w:rPr>
          <w:rFonts w:ascii="Arial" w:hAnsi="Arial" w:cs="Arial"/>
          <w:b/>
          <w:bCs/>
        </w:rPr>
      </w:pPr>
      <w:r w:rsidRPr="00B47D16">
        <w:rPr>
          <w:rFonts w:ascii="Arial" w:hAnsi="Arial" w:cs="Arial"/>
        </w:rPr>
        <w:t>.</w:t>
      </w:r>
    </w:p>
    <w:p w14:paraId="351E7B84" w14:textId="77777777" w:rsidR="00354040" w:rsidRDefault="00354040" w:rsidP="0034189D">
      <w:pPr>
        <w:pStyle w:val="Body"/>
        <w:spacing w:after="0"/>
        <w:rPr>
          <w:rFonts w:ascii="Arial" w:hAnsi="Arial" w:cs="Arial"/>
          <w:b/>
          <w:bCs/>
          <w:sz w:val="22"/>
          <w:szCs w:val="22"/>
        </w:rPr>
      </w:pPr>
      <w:r w:rsidRPr="00354040">
        <w:rPr>
          <w:rFonts w:ascii="Arial" w:hAnsi="Arial" w:cs="Arial"/>
          <w:b/>
          <w:bCs/>
          <w:sz w:val="22"/>
          <w:szCs w:val="22"/>
        </w:rPr>
        <w:t>Definitions of Variables</w:t>
      </w:r>
    </w:p>
    <w:p w14:paraId="24473624" w14:textId="77777777" w:rsidR="00C20E90" w:rsidRPr="00354040" w:rsidRDefault="00354040" w:rsidP="0034189D">
      <w:pPr>
        <w:pStyle w:val="Body"/>
        <w:spacing w:after="0"/>
        <w:rPr>
          <w:rFonts w:ascii="Arial" w:hAnsi="Arial" w:cs="Arial"/>
        </w:rPr>
      </w:pPr>
      <w:r w:rsidRPr="00354040">
        <w:rPr>
          <w:rFonts w:ascii="Arial" w:hAnsi="Arial" w:cs="Arial"/>
          <w:sz w:val="22"/>
          <w:szCs w:val="22"/>
        </w:rPr>
        <w:t>Table 1 presents the operational definitions, measurement, scale, and references for each variable used in this study.</w:t>
      </w:r>
    </w:p>
    <w:p w14:paraId="0359B9F0" w14:textId="0CDEB871" w:rsidR="00354040" w:rsidRPr="0034189D" w:rsidRDefault="00354040" w:rsidP="0034189D">
      <w:pPr>
        <w:pStyle w:val="Body"/>
        <w:spacing w:after="0"/>
        <w:rPr>
          <w:rFonts w:ascii="Arial" w:hAnsi="Arial" w:cs="Arial"/>
        </w:rPr>
        <w:sectPr w:rsidR="00354040" w:rsidRPr="0034189D" w:rsidSect="00842790">
          <w:type w:val="continuous"/>
          <w:pgSz w:w="12240" w:h="15840"/>
          <w:pgMar w:top="1440" w:right="2016" w:bottom="2016" w:left="2016" w:header="720" w:footer="1123" w:gutter="0"/>
          <w:cols w:num="2" w:space="720"/>
          <w:docGrid w:linePitch="272"/>
        </w:sectPr>
      </w:pPr>
    </w:p>
    <w:p w14:paraId="2F06B4B1" w14:textId="77777777" w:rsidR="00354040" w:rsidRDefault="00354040" w:rsidP="0034189D">
      <w:pPr>
        <w:pStyle w:val="Body"/>
        <w:spacing w:after="0"/>
        <w:jc w:val="center"/>
        <w:rPr>
          <w:rFonts w:ascii="Arial" w:hAnsi="Arial" w:cs="Arial"/>
          <w:b/>
          <w:bCs/>
        </w:rPr>
      </w:pPr>
    </w:p>
    <w:p w14:paraId="52B46D21" w14:textId="77777777" w:rsidR="00354040" w:rsidRPr="00354040" w:rsidRDefault="00354040" w:rsidP="00354040">
      <w:pPr>
        <w:pStyle w:val="Body"/>
        <w:spacing w:after="0"/>
        <w:jc w:val="center"/>
        <w:rPr>
          <w:rFonts w:ascii="Arial" w:hAnsi="Arial" w:cs="Arial"/>
          <w:b/>
          <w:bCs/>
        </w:rPr>
      </w:pPr>
      <w:r w:rsidRPr="00354040">
        <w:rPr>
          <w:rFonts w:ascii="Arial" w:hAnsi="Arial" w:cs="Arial"/>
          <w:b/>
          <w:bCs/>
        </w:rPr>
        <w:t>Table 1. Operational Definitions and Measurement of Variables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
        <w:gridCol w:w="1773"/>
        <w:gridCol w:w="2147"/>
        <w:gridCol w:w="2058"/>
        <w:gridCol w:w="1858"/>
      </w:tblGrid>
      <w:tr w:rsidR="00354040" w:rsidRPr="00354040" w14:paraId="45354C4C" w14:textId="77777777" w:rsidTr="00354040">
        <w:trPr>
          <w:tblHeader/>
          <w:tblCellSpacing w:w="15" w:type="dxa"/>
        </w:trPr>
        <w:tc>
          <w:tcPr>
            <w:tcW w:w="0" w:type="auto"/>
            <w:vAlign w:val="center"/>
            <w:hideMark/>
          </w:tcPr>
          <w:p w14:paraId="6ECB62BA" w14:textId="77777777" w:rsidR="00354040" w:rsidRPr="00354040" w:rsidRDefault="00354040" w:rsidP="00354040">
            <w:pPr>
              <w:pStyle w:val="Body"/>
              <w:jc w:val="center"/>
              <w:rPr>
                <w:rFonts w:ascii="Arial" w:hAnsi="Arial" w:cs="Arial"/>
                <w:b/>
                <w:bCs/>
              </w:rPr>
            </w:pPr>
            <w:r w:rsidRPr="00354040">
              <w:rPr>
                <w:rFonts w:ascii="Arial" w:hAnsi="Arial" w:cs="Arial"/>
                <w:b/>
                <w:bCs/>
              </w:rPr>
              <w:lastRenderedPageBreak/>
              <w:t>No</w:t>
            </w:r>
          </w:p>
        </w:tc>
        <w:tc>
          <w:tcPr>
            <w:tcW w:w="0" w:type="auto"/>
            <w:vAlign w:val="center"/>
            <w:hideMark/>
          </w:tcPr>
          <w:p w14:paraId="0B976E50" w14:textId="77777777" w:rsidR="00354040" w:rsidRPr="00354040" w:rsidRDefault="00354040" w:rsidP="00354040">
            <w:pPr>
              <w:pStyle w:val="Body"/>
              <w:jc w:val="center"/>
              <w:rPr>
                <w:rFonts w:ascii="Arial" w:hAnsi="Arial" w:cs="Arial"/>
                <w:b/>
                <w:bCs/>
              </w:rPr>
            </w:pPr>
            <w:r w:rsidRPr="00354040">
              <w:rPr>
                <w:rFonts w:ascii="Arial" w:hAnsi="Arial" w:cs="Arial"/>
                <w:b/>
                <w:bCs/>
              </w:rPr>
              <w:t>Variable</w:t>
            </w:r>
          </w:p>
        </w:tc>
        <w:tc>
          <w:tcPr>
            <w:tcW w:w="0" w:type="auto"/>
            <w:vAlign w:val="center"/>
            <w:hideMark/>
          </w:tcPr>
          <w:p w14:paraId="4B6FA68A" w14:textId="77777777" w:rsidR="00354040" w:rsidRPr="00354040" w:rsidRDefault="00354040" w:rsidP="00354040">
            <w:pPr>
              <w:pStyle w:val="Body"/>
              <w:jc w:val="center"/>
              <w:rPr>
                <w:rFonts w:ascii="Arial" w:hAnsi="Arial" w:cs="Arial"/>
                <w:b/>
                <w:bCs/>
              </w:rPr>
            </w:pPr>
            <w:r w:rsidRPr="00354040">
              <w:rPr>
                <w:rFonts w:ascii="Arial" w:hAnsi="Arial" w:cs="Arial"/>
                <w:b/>
                <w:bCs/>
              </w:rPr>
              <w:t>Definition</w:t>
            </w:r>
          </w:p>
        </w:tc>
        <w:tc>
          <w:tcPr>
            <w:tcW w:w="0" w:type="auto"/>
            <w:vAlign w:val="center"/>
            <w:hideMark/>
          </w:tcPr>
          <w:p w14:paraId="1554CDCF" w14:textId="77777777" w:rsidR="00354040" w:rsidRPr="00354040" w:rsidRDefault="00354040" w:rsidP="00354040">
            <w:pPr>
              <w:pStyle w:val="Body"/>
              <w:jc w:val="center"/>
              <w:rPr>
                <w:rFonts w:ascii="Arial" w:hAnsi="Arial" w:cs="Arial"/>
                <w:b/>
                <w:bCs/>
              </w:rPr>
            </w:pPr>
            <w:r w:rsidRPr="00354040">
              <w:rPr>
                <w:rFonts w:ascii="Arial" w:hAnsi="Arial" w:cs="Arial"/>
                <w:b/>
                <w:bCs/>
              </w:rPr>
              <w:t>Indicator</w:t>
            </w:r>
          </w:p>
        </w:tc>
        <w:tc>
          <w:tcPr>
            <w:tcW w:w="0" w:type="auto"/>
            <w:vAlign w:val="center"/>
            <w:hideMark/>
          </w:tcPr>
          <w:p w14:paraId="71683139" w14:textId="77777777" w:rsidR="00354040" w:rsidRPr="00354040" w:rsidRDefault="00354040" w:rsidP="00354040">
            <w:pPr>
              <w:pStyle w:val="Body"/>
              <w:jc w:val="center"/>
              <w:rPr>
                <w:rFonts w:ascii="Arial" w:hAnsi="Arial" w:cs="Arial"/>
                <w:b/>
                <w:bCs/>
              </w:rPr>
            </w:pPr>
            <w:r w:rsidRPr="00354040">
              <w:rPr>
                <w:rFonts w:ascii="Arial" w:hAnsi="Arial" w:cs="Arial"/>
                <w:b/>
                <w:bCs/>
              </w:rPr>
              <w:t>Measurement Scale</w:t>
            </w:r>
          </w:p>
        </w:tc>
      </w:tr>
      <w:tr w:rsidR="00354040" w:rsidRPr="00354040" w14:paraId="0638FFF4" w14:textId="77777777" w:rsidTr="00354040">
        <w:trPr>
          <w:tblCellSpacing w:w="15" w:type="dxa"/>
        </w:trPr>
        <w:tc>
          <w:tcPr>
            <w:tcW w:w="0" w:type="auto"/>
            <w:vAlign w:val="center"/>
            <w:hideMark/>
          </w:tcPr>
          <w:p w14:paraId="28BCCB5D" w14:textId="77777777" w:rsidR="00354040" w:rsidRPr="00354040" w:rsidRDefault="00354040" w:rsidP="00354040">
            <w:pPr>
              <w:pStyle w:val="Body"/>
              <w:jc w:val="center"/>
              <w:rPr>
                <w:rFonts w:ascii="Arial" w:hAnsi="Arial" w:cs="Arial"/>
              </w:rPr>
            </w:pPr>
            <w:r w:rsidRPr="00354040">
              <w:rPr>
                <w:rFonts w:ascii="Arial" w:hAnsi="Arial" w:cs="Arial"/>
              </w:rPr>
              <w:t>1</w:t>
            </w:r>
          </w:p>
        </w:tc>
        <w:tc>
          <w:tcPr>
            <w:tcW w:w="0" w:type="auto"/>
            <w:vAlign w:val="center"/>
            <w:hideMark/>
          </w:tcPr>
          <w:p w14:paraId="6DD27AC3" w14:textId="77777777" w:rsidR="00354040" w:rsidRPr="00354040" w:rsidRDefault="00354040" w:rsidP="00354040">
            <w:pPr>
              <w:pStyle w:val="Body"/>
              <w:jc w:val="left"/>
              <w:rPr>
                <w:rFonts w:ascii="Arial" w:hAnsi="Arial" w:cs="Arial"/>
              </w:rPr>
            </w:pPr>
            <w:r w:rsidRPr="00354040">
              <w:rPr>
                <w:rFonts w:ascii="Arial" w:hAnsi="Arial" w:cs="Arial"/>
              </w:rPr>
              <w:t>Financial Performance (Dependent Variable)</w:t>
            </w:r>
          </w:p>
        </w:tc>
        <w:tc>
          <w:tcPr>
            <w:tcW w:w="0" w:type="auto"/>
            <w:vAlign w:val="center"/>
            <w:hideMark/>
          </w:tcPr>
          <w:p w14:paraId="3EBC6BB9" w14:textId="77777777" w:rsidR="00354040" w:rsidRPr="00354040" w:rsidRDefault="00354040" w:rsidP="00354040">
            <w:pPr>
              <w:pStyle w:val="Body"/>
              <w:jc w:val="center"/>
              <w:rPr>
                <w:rFonts w:ascii="Arial" w:hAnsi="Arial" w:cs="Arial"/>
              </w:rPr>
            </w:pPr>
            <w:r w:rsidRPr="00354040">
              <w:rPr>
                <w:rFonts w:ascii="Arial" w:hAnsi="Arial" w:cs="Arial"/>
              </w:rPr>
              <w:t>The efficiency of a company in generating profits from its assets.</w:t>
            </w:r>
          </w:p>
        </w:tc>
        <w:tc>
          <w:tcPr>
            <w:tcW w:w="0" w:type="auto"/>
            <w:vAlign w:val="center"/>
            <w:hideMark/>
          </w:tcPr>
          <w:p w14:paraId="5D7D6CCD" w14:textId="77777777" w:rsidR="00354040" w:rsidRPr="00354040" w:rsidRDefault="00354040" w:rsidP="00354040">
            <w:pPr>
              <w:pStyle w:val="Body"/>
              <w:jc w:val="left"/>
              <w:rPr>
                <w:rFonts w:ascii="Arial" w:hAnsi="Arial" w:cs="Arial"/>
              </w:rPr>
            </w:pPr>
            <w:r w:rsidRPr="00354040">
              <w:rPr>
                <w:rFonts w:ascii="Arial" w:hAnsi="Arial" w:cs="Arial"/>
              </w:rPr>
              <w:t>Return on Assets (ROA) = (Net Income / Total Assets) × 100%</w:t>
            </w:r>
          </w:p>
        </w:tc>
        <w:tc>
          <w:tcPr>
            <w:tcW w:w="0" w:type="auto"/>
            <w:vAlign w:val="center"/>
            <w:hideMark/>
          </w:tcPr>
          <w:p w14:paraId="2FC3D116" w14:textId="77777777" w:rsidR="00354040" w:rsidRPr="00354040" w:rsidRDefault="00354040" w:rsidP="00354040">
            <w:pPr>
              <w:pStyle w:val="Body"/>
              <w:jc w:val="center"/>
              <w:rPr>
                <w:rFonts w:ascii="Arial" w:hAnsi="Arial" w:cs="Arial"/>
              </w:rPr>
            </w:pPr>
            <w:r w:rsidRPr="00354040">
              <w:rPr>
                <w:rFonts w:ascii="Arial" w:hAnsi="Arial" w:cs="Arial"/>
              </w:rPr>
              <w:t>Ratio</w:t>
            </w:r>
          </w:p>
        </w:tc>
      </w:tr>
      <w:tr w:rsidR="00354040" w:rsidRPr="00354040" w14:paraId="02EEC821" w14:textId="77777777" w:rsidTr="00354040">
        <w:trPr>
          <w:tblCellSpacing w:w="15" w:type="dxa"/>
        </w:trPr>
        <w:tc>
          <w:tcPr>
            <w:tcW w:w="0" w:type="auto"/>
            <w:vAlign w:val="center"/>
            <w:hideMark/>
          </w:tcPr>
          <w:p w14:paraId="53BFE7A4" w14:textId="77777777" w:rsidR="00354040" w:rsidRPr="00354040" w:rsidRDefault="00354040" w:rsidP="00354040">
            <w:pPr>
              <w:pStyle w:val="Body"/>
              <w:jc w:val="center"/>
              <w:rPr>
                <w:rFonts w:ascii="Arial" w:hAnsi="Arial" w:cs="Arial"/>
              </w:rPr>
            </w:pPr>
            <w:r w:rsidRPr="00354040">
              <w:rPr>
                <w:rFonts w:ascii="Arial" w:hAnsi="Arial" w:cs="Arial"/>
              </w:rPr>
              <w:t>2</w:t>
            </w:r>
          </w:p>
        </w:tc>
        <w:tc>
          <w:tcPr>
            <w:tcW w:w="0" w:type="auto"/>
            <w:vAlign w:val="center"/>
            <w:hideMark/>
          </w:tcPr>
          <w:p w14:paraId="04265AAB" w14:textId="77777777" w:rsidR="00354040" w:rsidRPr="00354040" w:rsidRDefault="00354040" w:rsidP="00354040">
            <w:pPr>
              <w:pStyle w:val="Body"/>
              <w:jc w:val="left"/>
              <w:rPr>
                <w:rFonts w:ascii="Arial" w:hAnsi="Arial" w:cs="Arial"/>
              </w:rPr>
            </w:pPr>
            <w:r w:rsidRPr="00354040">
              <w:rPr>
                <w:rFonts w:ascii="Arial" w:hAnsi="Arial" w:cs="Arial"/>
              </w:rPr>
              <w:t>Environmental Performance (Independent Variable 1)</w:t>
            </w:r>
          </w:p>
        </w:tc>
        <w:tc>
          <w:tcPr>
            <w:tcW w:w="0" w:type="auto"/>
            <w:vAlign w:val="center"/>
            <w:hideMark/>
          </w:tcPr>
          <w:p w14:paraId="4E710EAA" w14:textId="77777777" w:rsidR="00354040" w:rsidRPr="00354040" w:rsidRDefault="00354040" w:rsidP="00354040">
            <w:pPr>
              <w:pStyle w:val="Body"/>
              <w:jc w:val="center"/>
              <w:rPr>
                <w:rFonts w:ascii="Arial" w:hAnsi="Arial" w:cs="Arial"/>
              </w:rPr>
            </w:pPr>
            <w:r w:rsidRPr="00354040">
              <w:rPr>
                <w:rFonts w:ascii="Arial" w:hAnsi="Arial" w:cs="Arial"/>
              </w:rPr>
              <w:t>The company’s ability to manage the environmental impact of its operations in a sustainable manner.</w:t>
            </w:r>
          </w:p>
        </w:tc>
        <w:tc>
          <w:tcPr>
            <w:tcW w:w="0" w:type="auto"/>
            <w:vAlign w:val="center"/>
            <w:hideMark/>
          </w:tcPr>
          <w:p w14:paraId="624C609B" w14:textId="77777777" w:rsidR="00354040" w:rsidRPr="00354040" w:rsidRDefault="00354040" w:rsidP="00354040">
            <w:pPr>
              <w:pStyle w:val="Body"/>
              <w:jc w:val="left"/>
              <w:rPr>
                <w:rFonts w:ascii="Arial" w:hAnsi="Arial" w:cs="Arial"/>
              </w:rPr>
            </w:pPr>
            <w:r w:rsidRPr="00354040">
              <w:rPr>
                <w:rFonts w:ascii="Arial" w:hAnsi="Arial" w:cs="Arial"/>
              </w:rPr>
              <w:t xml:space="preserve">Disclosure Index based on GRI 300 (GRI 301–307). Example items: </w:t>
            </w:r>
            <w:r w:rsidRPr="00354040">
              <w:rPr>
                <w:rFonts w:ascii="Arial" w:hAnsi="Arial" w:cs="Arial"/>
              </w:rPr>
              <w:br/>
              <w:t xml:space="preserve">• Energy (GRI 302) </w:t>
            </w:r>
            <w:r w:rsidRPr="00354040">
              <w:rPr>
                <w:rFonts w:ascii="Arial" w:hAnsi="Arial" w:cs="Arial"/>
              </w:rPr>
              <w:br/>
              <w:t xml:space="preserve">• Emissions (GRI 305) </w:t>
            </w:r>
            <w:r w:rsidRPr="00354040">
              <w:rPr>
                <w:rFonts w:ascii="Arial" w:hAnsi="Arial" w:cs="Arial"/>
              </w:rPr>
              <w:br/>
              <w:t xml:space="preserve">• Waste and Water (GRI 303 &amp; 306) </w:t>
            </w:r>
            <w:r w:rsidRPr="00354040">
              <w:rPr>
                <w:rFonts w:ascii="Arial" w:hAnsi="Arial" w:cs="Arial"/>
              </w:rPr>
              <w:br/>
              <w:t xml:space="preserve">• Environmental Compliance (GRI 307) </w:t>
            </w:r>
            <w:r w:rsidRPr="00354040">
              <w:rPr>
                <w:rFonts w:ascii="Arial" w:hAnsi="Arial" w:cs="Arial"/>
              </w:rPr>
              <w:br/>
              <w:t xml:space="preserve">• Material Use (GRI 301) </w:t>
            </w:r>
            <w:r w:rsidRPr="00354040">
              <w:rPr>
                <w:rFonts w:ascii="Arial" w:hAnsi="Arial" w:cs="Arial"/>
              </w:rPr>
              <w:br/>
            </w:r>
            <w:r w:rsidRPr="00354040">
              <w:rPr>
                <w:rFonts w:ascii="Arial" w:hAnsi="Arial" w:cs="Arial"/>
                <w:i/>
                <w:iCs/>
              </w:rPr>
              <w:t>Scoring: 1 = disclosed, 0 = not disclosed</w:t>
            </w:r>
          </w:p>
        </w:tc>
        <w:tc>
          <w:tcPr>
            <w:tcW w:w="0" w:type="auto"/>
            <w:vAlign w:val="center"/>
            <w:hideMark/>
          </w:tcPr>
          <w:p w14:paraId="2722F3C6" w14:textId="77777777" w:rsidR="00354040" w:rsidRPr="00354040" w:rsidRDefault="00354040" w:rsidP="00354040">
            <w:pPr>
              <w:pStyle w:val="Body"/>
              <w:jc w:val="center"/>
              <w:rPr>
                <w:rFonts w:ascii="Arial" w:hAnsi="Arial" w:cs="Arial"/>
              </w:rPr>
            </w:pPr>
            <w:r w:rsidRPr="00354040">
              <w:rPr>
                <w:rFonts w:ascii="Arial" w:hAnsi="Arial" w:cs="Arial"/>
              </w:rPr>
              <w:t>Ratio (Disclosure Index = number of items disclosed / total items)</w:t>
            </w:r>
          </w:p>
        </w:tc>
      </w:tr>
      <w:tr w:rsidR="00354040" w:rsidRPr="00354040" w14:paraId="7F5BBC3A" w14:textId="77777777" w:rsidTr="00354040">
        <w:trPr>
          <w:tblCellSpacing w:w="15" w:type="dxa"/>
        </w:trPr>
        <w:tc>
          <w:tcPr>
            <w:tcW w:w="0" w:type="auto"/>
            <w:vAlign w:val="center"/>
            <w:hideMark/>
          </w:tcPr>
          <w:p w14:paraId="1D803B42" w14:textId="77777777" w:rsidR="00354040" w:rsidRPr="00354040" w:rsidRDefault="00354040" w:rsidP="00354040">
            <w:pPr>
              <w:pStyle w:val="Body"/>
              <w:jc w:val="center"/>
              <w:rPr>
                <w:rFonts w:ascii="Arial" w:hAnsi="Arial" w:cs="Arial"/>
              </w:rPr>
            </w:pPr>
            <w:r w:rsidRPr="00354040">
              <w:rPr>
                <w:rFonts w:ascii="Arial" w:hAnsi="Arial" w:cs="Arial"/>
              </w:rPr>
              <w:t>3</w:t>
            </w:r>
          </w:p>
        </w:tc>
        <w:tc>
          <w:tcPr>
            <w:tcW w:w="0" w:type="auto"/>
            <w:vAlign w:val="center"/>
            <w:hideMark/>
          </w:tcPr>
          <w:p w14:paraId="5B6E1F54" w14:textId="77777777" w:rsidR="00354040" w:rsidRPr="00354040" w:rsidRDefault="00354040" w:rsidP="00354040">
            <w:pPr>
              <w:pStyle w:val="Body"/>
              <w:jc w:val="left"/>
              <w:rPr>
                <w:rFonts w:ascii="Arial" w:hAnsi="Arial" w:cs="Arial"/>
              </w:rPr>
            </w:pPr>
            <w:r w:rsidRPr="00354040">
              <w:rPr>
                <w:rFonts w:ascii="Arial" w:hAnsi="Arial" w:cs="Arial"/>
              </w:rPr>
              <w:t>Firm Size (Independent Variable 2)</w:t>
            </w:r>
          </w:p>
        </w:tc>
        <w:tc>
          <w:tcPr>
            <w:tcW w:w="0" w:type="auto"/>
            <w:vAlign w:val="center"/>
            <w:hideMark/>
          </w:tcPr>
          <w:p w14:paraId="2AB4CDE2" w14:textId="77777777" w:rsidR="00354040" w:rsidRPr="00354040" w:rsidRDefault="00354040" w:rsidP="00354040">
            <w:pPr>
              <w:pStyle w:val="Body"/>
              <w:jc w:val="center"/>
              <w:rPr>
                <w:rFonts w:ascii="Arial" w:hAnsi="Arial" w:cs="Arial"/>
              </w:rPr>
            </w:pPr>
            <w:r w:rsidRPr="00354040">
              <w:rPr>
                <w:rFonts w:ascii="Arial" w:hAnsi="Arial" w:cs="Arial"/>
              </w:rPr>
              <w:t>The magnitude of a company based on total assets.</w:t>
            </w:r>
          </w:p>
        </w:tc>
        <w:tc>
          <w:tcPr>
            <w:tcW w:w="0" w:type="auto"/>
            <w:vAlign w:val="center"/>
            <w:hideMark/>
          </w:tcPr>
          <w:p w14:paraId="754B0DF2" w14:textId="77777777" w:rsidR="00354040" w:rsidRPr="00354040" w:rsidRDefault="00354040" w:rsidP="00354040">
            <w:pPr>
              <w:pStyle w:val="Body"/>
              <w:jc w:val="left"/>
              <w:rPr>
                <w:rFonts w:ascii="Arial" w:hAnsi="Arial" w:cs="Arial"/>
              </w:rPr>
            </w:pPr>
            <w:r w:rsidRPr="00354040">
              <w:rPr>
                <w:rFonts w:ascii="Arial" w:hAnsi="Arial" w:cs="Arial"/>
              </w:rPr>
              <w:t>Natural Logarithm (Total Assets)</w:t>
            </w:r>
          </w:p>
        </w:tc>
        <w:tc>
          <w:tcPr>
            <w:tcW w:w="0" w:type="auto"/>
            <w:vAlign w:val="center"/>
            <w:hideMark/>
          </w:tcPr>
          <w:p w14:paraId="5B62FB9E" w14:textId="77777777" w:rsidR="00354040" w:rsidRPr="00354040" w:rsidRDefault="00354040" w:rsidP="00354040">
            <w:pPr>
              <w:pStyle w:val="Body"/>
              <w:jc w:val="center"/>
              <w:rPr>
                <w:rFonts w:ascii="Arial" w:hAnsi="Arial" w:cs="Arial"/>
              </w:rPr>
            </w:pPr>
            <w:r w:rsidRPr="00354040">
              <w:rPr>
                <w:rFonts w:ascii="Arial" w:hAnsi="Arial" w:cs="Arial"/>
              </w:rPr>
              <w:t>Ratio</w:t>
            </w:r>
          </w:p>
        </w:tc>
      </w:tr>
      <w:tr w:rsidR="00354040" w:rsidRPr="00354040" w14:paraId="70946F7F" w14:textId="77777777" w:rsidTr="00354040">
        <w:trPr>
          <w:tblCellSpacing w:w="15" w:type="dxa"/>
        </w:trPr>
        <w:tc>
          <w:tcPr>
            <w:tcW w:w="0" w:type="auto"/>
            <w:vAlign w:val="center"/>
            <w:hideMark/>
          </w:tcPr>
          <w:p w14:paraId="7D51097C" w14:textId="77777777" w:rsidR="00354040" w:rsidRPr="00354040" w:rsidRDefault="00354040" w:rsidP="00354040">
            <w:pPr>
              <w:pStyle w:val="Body"/>
              <w:jc w:val="center"/>
              <w:rPr>
                <w:rFonts w:ascii="Arial" w:hAnsi="Arial" w:cs="Arial"/>
              </w:rPr>
            </w:pPr>
            <w:r w:rsidRPr="00354040">
              <w:rPr>
                <w:rFonts w:ascii="Arial" w:hAnsi="Arial" w:cs="Arial"/>
              </w:rPr>
              <w:t>4</w:t>
            </w:r>
          </w:p>
        </w:tc>
        <w:tc>
          <w:tcPr>
            <w:tcW w:w="0" w:type="auto"/>
            <w:vAlign w:val="center"/>
            <w:hideMark/>
          </w:tcPr>
          <w:p w14:paraId="28E5C32C" w14:textId="77777777" w:rsidR="00354040" w:rsidRPr="00354040" w:rsidRDefault="00354040" w:rsidP="00354040">
            <w:pPr>
              <w:pStyle w:val="Body"/>
              <w:jc w:val="left"/>
              <w:rPr>
                <w:rFonts w:ascii="Arial" w:hAnsi="Arial" w:cs="Arial"/>
              </w:rPr>
            </w:pPr>
            <w:r w:rsidRPr="00354040">
              <w:rPr>
                <w:rFonts w:ascii="Arial" w:hAnsi="Arial" w:cs="Arial"/>
              </w:rPr>
              <w:t>Managerial Ownership (Independent Variable 3)</w:t>
            </w:r>
          </w:p>
        </w:tc>
        <w:tc>
          <w:tcPr>
            <w:tcW w:w="0" w:type="auto"/>
            <w:vAlign w:val="center"/>
            <w:hideMark/>
          </w:tcPr>
          <w:p w14:paraId="117D42D5" w14:textId="77777777" w:rsidR="00354040" w:rsidRPr="00354040" w:rsidRDefault="00354040" w:rsidP="00354040">
            <w:pPr>
              <w:pStyle w:val="Body"/>
              <w:jc w:val="center"/>
              <w:rPr>
                <w:rFonts w:ascii="Arial" w:hAnsi="Arial" w:cs="Arial"/>
              </w:rPr>
            </w:pPr>
            <w:r w:rsidRPr="00354040">
              <w:rPr>
                <w:rFonts w:ascii="Arial" w:hAnsi="Arial" w:cs="Arial"/>
              </w:rPr>
              <w:t>The proportion of company shares owned by management.</w:t>
            </w:r>
          </w:p>
        </w:tc>
        <w:tc>
          <w:tcPr>
            <w:tcW w:w="0" w:type="auto"/>
            <w:vAlign w:val="center"/>
            <w:hideMark/>
          </w:tcPr>
          <w:p w14:paraId="0D79A2AC" w14:textId="77777777" w:rsidR="00354040" w:rsidRPr="00354040" w:rsidRDefault="00354040" w:rsidP="00354040">
            <w:pPr>
              <w:pStyle w:val="Body"/>
              <w:jc w:val="left"/>
              <w:rPr>
                <w:rFonts w:ascii="Arial" w:hAnsi="Arial" w:cs="Arial"/>
              </w:rPr>
            </w:pPr>
            <w:r w:rsidRPr="00354040">
              <w:rPr>
                <w:rFonts w:ascii="Arial" w:hAnsi="Arial" w:cs="Arial"/>
              </w:rPr>
              <w:t>(Number of shares owned by management / Total outstanding shares) × 100%</w:t>
            </w:r>
          </w:p>
        </w:tc>
        <w:tc>
          <w:tcPr>
            <w:tcW w:w="0" w:type="auto"/>
            <w:vAlign w:val="center"/>
            <w:hideMark/>
          </w:tcPr>
          <w:p w14:paraId="0E626A4B" w14:textId="77777777" w:rsidR="00354040" w:rsidRPr="00354040" w:rsidRDefault="00354040" w:rsidP="00354040">
            <w:pPr>
              <w:pStyle w:val="Body"/>
              <w:jc w:val="center"/>
              <w:rPr>
                <w:rFonts w:ascii="Arial" w:hAnsi="Arial" w:cs="Arial"/>
              </w:rPr>
            </w:pPr>
            <w:r w:rsidRPr="00354040">
              <w:rPr>
                <w:rFonts w:ascii="Arial" w:hAnsi="Arial" w:cs="Arial"/>
              </w:rPr>
              <w:t>Ratio</w:t>
            </w:r>
          </w:p>
        </w:tc>
      </w:tr>
      <w:tr w:rsidR="00354040" w:rsidRPr="00354040" w14:paraId="2B3C9556" w14:textId="77777777" w:rsidTr="00354040">
        <w:trPr>
          <w:tblCellSpacing w:w="15" w:type="dxa"/>
        </w:trPr>
        <w:tc>
          <w:tcPr>
            <w:tcW w:w="0" w:type="auto"/>
            <w:vAlign w:val="center"/>
            <w:hideMark/>
          </w:tcPr>
          <w:p w14:paraId="09865A72" w14:textId="77777777" w:rsidR="00354040" w:rsidRPr="00354040" w:rsidRDefault="00354040" w:rsidP="00354040">
            <w:pPr>
              <w:pStyle w:val="Body"/>
              <w:jc w:val="center"/>
              <w:rPr>
                <w:rFonts w:ascii="Arial" w:hAnsi="Arial" w:cs="Arial"/>
              </w:rPr>
            </w:pPr>
            <w:r w:rsidRPr="00354040">
              <w:rPr>
                <w:rFonts w:ascii="Arial" w:hAnsi="Arial" w:cs="Arial"/>
              </w:rPr>
              <w:t>5</w:t>
            </w:r>
          </w:p>
        </w:tc>
        <w:tc>
          <w:tcPr>
            <w:tcW w:w="0" w:type="auto"/>
            <w:vAlign w:val="center"/>
            <w:hideMark/>
          </w:tcPr>
          <w:p w14:paraId="02486BE9" w14:textId="77777777" w:rsidR="00354040" w:rsidRPr="00354040" w:rsidRDefault="00354040" w:rsidP="00354040">
            <w:pPr>
              <w:pStyle w:val="Body"/>
              <w:jc w:val="left"/>
              <w:rPr>
                <w:rFonts w:ascii="Arial" w:hAnsi="Arial" w:cs="Arial"/>
              </w:rPr>
            </w:pPr>
            <w:r w:rsidRPr="00354040">
              <w:rPr>
                <w:rFonts w:ascii="Arial" w:hAnsi="Arial" w:cs="Arial"/>
              </w:rPr>
              <w:t>Enterprise Risk Management (ERM) (Moderating Variable)</w:t>
            </w:r>
          </w:p>
        </w:tc>
        <w:tc>
          <w:tcPr>
            <w:tcW w:w="0" w:type="auto"/>
            <w:vAlign w:val="center"/>
            <w:hideMark/>
          </w:tcPr>
          <w:p w14:paraId="2F60685E" w14:textId="77777777" w:rsidR="00354040" w:rsidRPr="00354040" w:rsidRDefault="00354040" w:rsidP="00354040">
            <w:pPr>
              <w:pStyle w:val="Body"/>
              <w:jc w:val="center"/>
              <w:rPr>
                <w:rFonts w:ascii="Arial" w:hAnsi="Arial" w:cs="Arial"/>
              </w:rPr>
            </w:pPr>
            <w:r w:rsidRPr="00354040">
              <w:rPr>
                <w:rFonts w:ascii="Arial" w:hAnsi="Arial" w:cs="Arial"/>
              </w:rPr>
              <w:t>A systematic approach to identifying and managing corporate risks based on the COSO framework.</w:t>
            </w:r>
          </w:p>
        </w:tc>
        <w:tc>
          <w:tcPr>
            <w:tcW w:w="0" w:type="auto"/>
            <w:vAlign w:val="center"/>
            <w:hideMark/>
          </w:tcPr>
          <w:p w14:paraId="2090A3C3" w14:textId="77777777" w:rsidR="00354040" w:rsidRPr="00354040" w:rsidRDefault="00354040" w:rsidP="00354040">
            <w:pPr>
              <w:pStyle w:val="Body"/>
              <w:jc w:val="left"/>
              <w:rPr>
                <w:rFonts w:ascii="Arial" w:hAnsi="Arial" w:cs="Arial"/>
              </w:rPr>
            </w:pPr>
            <w:r w:rsidRPr="00354040">
              <w:rPr>
                <w:rFonts w:ascii="Arial" w:hAnsi="Arial" w:cs="Arial"/>
              </w:rPr>
              <w:t xml:space="preserve">Disclosure Index based on COSO ERM 2017, including: </w:t>
            </w:r>
            <w:r w:rsidRPr="00354040">
              <w:rPr>
                <w:rFonts w:ascii="Arial" w:hAnsi="Arial" w:cs="Arial"/>
              </w:rPr>
              <w:br/>
              <w:t xml:space="preserve">• Governance &amp; Culture </w:t>
            </w:r>
            <w:r w:rsidRPr="00354040">
              <w:rPr>
                <w:rFonts w:ascii="Arial" w:hAnsi="Arial" w:cs="Arial"/>
              </w:rPr>
              <w:br/>
              <w:t xml:space="preserve">• Strategy &amp; Objective-Setting </w:t>
            </w:r>
            <w:r w:rsidRPr="00354040">
              <w:rPr>
                <w:rFonts w:ascii="Arial" w:hAnsi="Arial" w:cs="Arial"/>
              </w:rPr>
              <w:br/>
              <w:t xml:space="preserve">• Performance </w:t>
            </w:r>
            <w:r w:rsidRPr="00354040">
              <w:rPr>
                <w:rFonts w:ascii="Arial" w:hAnsi="Arial" w:cs="Arial"/>
              </w:rPr>
              <w:br/>
              <w:t xml:space="preserve">• Review &amp; Revision </w:t>
            </w:r>
            <w:r w:rsidRPr="00354040">
              <w:rPr>
                <w:rFonts w:ascii="Arial" w:hAnsi="Arial" w:cs="Arial"/>
              </w:rPr>
              <w:br/>
              <w:t xml:space="preserve">• Information, Communication &amp; Reporting </w:t>
            </w:r>
            <w:r w:rsidRPr="00354040">
              <w:rPr>
                <w:rFonts w:ascii="Arial" w:hAnsi="Arial" w:cs="Arial"/>
              </w:rPr>
              <w:br/>
            </w:r>
            <w:r w:rsidRPr="00354040">
              <w:rPr>
                <w:rFonts w:ascii="Arial" w:hAnsi="Arial" w:cs="Arial"/>
                <w:i/>
                <w:iCs/>
              </w:rPr>
              <w:t>Scoring: 1 = disclosed, 0 = not disclosed</w:t>
            </w:r>
          </w:p>
        </w:tc>
        <w:tc>
          <w:tcPr>
            <w:tcW w:w="0" w:type="auto"/>
            <w:vAlign w:val="center"/>
            <w:hideMark/>
          </w:tcPr>
          <w:p w14:paraId="67E73080" w14:textId="77777777" w:rsidR="00354040" w:rsidRPr="00354040" w:rsidRDefault="00354040" w:rsidP="00354040">
            <w:pPr>
              <w:pStyle w:val="Body"/>
              <w:jc w:val="center"/>
              <w:rPr>
                <w:rFonts w:ascii="Arial" w:hAnsi="Arial" w:cs="Arial"/>
              </w:rPr>
            </w:pPr>
            <w:r w:rsidRPr="00354040">
              <w:rPr>
                <w:rFonts w:ascii="Arial" w:hAnsi="Arial" w:cs="Arial"/>
              </w:rPr>
              <w:t>Ratio (Disclosure Index = number of items disclosed / total items)</w:t>
            </w:r>
          </w:p>
        </w:tc>
      </w:tr>
    </w:tbl>
    <w:p w14:paraId="4E39E13A" w14:textId="77777777" w:rsidR="00354040" w:rsidRPr="00354040" w:rsidRDefault="00354040" w:rsidP="00354040">
      <w:pPr>
        <w:pStyle w:val="Body"/>
        <w:spacing w:after="0"/>
        <w:rPr>
          <w:rFonts w:ascii="Arial" w:hAnsi="Arial" w:cs="Arial"/>
        </w:rPr>
      </w:pPr>
      <w:r w:rsidRPr="00354040">
        <w:rPr>
          <w:rFonts w:ascii="Arial" w:hAnsi="Arial" w:cs="Arial"/>
        </w:rPr>
        <w:lastRenderedPageBreak/>
        <w:t>Source: Processed data by the author, 2024</w:t>
      </w:r>
    </w:p>
    <w:p w14:paraId="27395276" w14:textId="159AEB82" w:rsidR="00C20E90" w:rsidRPr="00A94178" w:rsidRDefault="00C20E90" w:rsidP="001A2219">
      <w:pPr>
        <w:pStyle w:val="Body"/>
        <w:spacing w:after="0"/>
        <w:rPr>
          <w:rFonts w:ascii="Arial" w:hAnsi="Arial" w:cs="Arial"/>
        </w:rPr>
        <w:sectPr w:rsidR="00C20E90" w:rsidRPr="00A94178" w:rsidSect="00842790">
          <w:type w:val="continuous"/>
          <w:pgSz w:w="12240" w:h="15840"/>
          <w:pgMar w:top="1440" w:right="2016" w:bottom="2016" w:left="2016" w:header="720" w:footer="1123" w:gutter="0"/>
          <w:cols w:space="720"/>
          <w:docGrid w:linePitch="272"/>
        </w:sectPr>
      </w:pPr>
    </w:p>
    <w:p w14:paraId="7948E57C" w14:textId="77777777" w:rsidR="00790ADA" w:rsidRPr="00FB3A86" w:rsidRDefault="00790ADA" w:rsidP="001A2219">
      <w:pPr>
        <w:pStyle w:val="Body"/>
        <w:spacing w:after="0"/>
        <w:rPr>
          <w:rFonts w:ascii="Arial" w:hAnsi="Arial" w:cs="Arial"/>
        </w:rPr>
      </w:pPr>
    </w:p>
    <w:p w14:paraId="493331B3" w14:textId="77777777" w:rsidR="00E82096" w:rsidRDefault="00E82096" w:rsidP="001A2219">
      <w:pPr>
        <w:pStyle w:val="Head1"/>
        <w:spacing w:after="0"/>
        <w:jc w:val="both"/>
        <w:rPr>
          <w:rFonts w:ascii="Arial" w:hAnsi="Arial" w:cs="Arial"/>
        </w:rPr>
        <w:sectPr w:rsidR="00E82096" w:rsidSect="00842790">
          <w:type w:val="continuous"/>
          <w:pgSz w:w="12240" w:h="15840"/>
          <w:pgMar w:top="1440" w:right="2016" w:bottom="2016" w:left="2016" w:header="720" w:footer="1123" w:gutter="0"/>
          <w:cols w:space="720"/>
          <w:docGrid w:linePitch="272"/>
        </w:sectPr>
      </w:pPr>
    </w:p>
    <w:p w14:paraId="69AA3AE4" w14:textId="55B8179A" w:rsidR="0034189D" w:rsidRDefault="00000F8F" w:rsidP="001A2219">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22DDCAB" w14:textId="77777777" w:rsidR="00E82096" w:rsidRDefault="00E82096" w:rsidP="001A2219">
      <w:pPr>
        <w:pStyle w:val="Head1"/>
        <w:spacing w:after="0"/>
        <w:jc w:val="both"/>
        <w:rPr>
          <w:rFonts w:ascii="Arial" w:hAnsi="Arial" w:cs="Arial"/>
        </w:rPr>
      </w:pPr>
    </w:p>
    <w:p w14:paraId="591C0F3E" w14:textId="163402B5" w:rsidR="004E5F37" w:rsidRDefault="00250E3E" w:rsidP="00C20E90">
      <w:pPr>
        <w:pStyle w:val="Body"/>
        <w:spacing w:after="0"/>
        <w:rPr>
          <w:rFonts w:ascii="Arial" w:hAnsi="Arial" w:cs="Arial"/>
          <w:b/>
          <w:bCs/>
          <w:caps/>
          <w:sz w:val="22"/>
          <w:lang w:bidi="en-US"/>
        </w:rPr>
      </w:pPr>
      <w:r>
        <w:rPr>
          <w:rFonts w:ascii="Arial" w:hAnsi="Arial" w:cs="Arial"/>
          <w:b/>
          <w:bCs/>
          <w:caps/>
          <w:sz w:val="22"/>
          <w:lang w:bidi="en-US"/>
        </w:rPr>
        <w:t xml:space="preserve">3.1 </w:t>
      </w:r>
      <w:r w:rsidR="000419AA">
        <w:rPr>
          <w:rFonts w:ascii="Arial" w:hAnsi="Arial" w:cs="Arial"/>
          <w:b/>
          <w:bCs/>
          <w:caps/>
          <w:sz w:val="22"/>
          <w:lang w:bidi="en-US"/>
        </w:rPr>
        <w:t>Equation I</w:t>
      </w:r>
    </w:p>
    <w:p w14:paraId="45CC2BBC" w14:textId="77777777" w:rsidR="000419AA" w:rsidRDefault="000419AA" w:rsidP="00250E3E">
      <w:pPr>
        <w:pStyle w:val="Body"/>
        <w:spacing w:after="0"/>
        <w:rPr>
          <w:rFonts w:ascii="Arial" w:hAnsi="Arial" w:cs="Arial"/>
          <w:bCs/>
          <w:szCs w:val="18"/>
          <w:lang w:bidi="en-US"/>
        </w:rPr>
      </w:pPr>
    </w:p>
    <w:p w14:paraId="4C068A5A" w14:textId="77777777" w:rsidR="00E82096" w:rsidRDefault="00E82096" w:rsidP="00250E3E">
      <w:pPr>
        <w:jc w:val="center"/>
        <w:rPr>
          <w:b/>
          <w:bCs/>
        </w:rPr>
        <w:sectPr w:rsidR="00E82096" w:rsidSect="00842790">
          <w:type w:val="continuous"/>
          <w:pgSz w:w="12240" w:h="15840"/>
          <w:pgMar w:top="1440" w:right="2016" w:bottom="2016" w:left="2016" w:header="720" w:footer="1123" w:gutter="0"/>
          <w:cols w:num="2" w:space="720"/>
          <w:docGrid w:linePitch="272"/>
        </w:sectPr>
      </w:pPr>
    </w:p>
    <w:p w14:paraId="34C5A0F1" w14:textId="510B599B" w:rsidR="00250E3E" w:rsidRDefault="00981878" w:rsidP="00250E3E">
      <w:pPr>
        <w:jc w:val="center"/>
        <w:rPr>
          <w:rFonts w:ascii="Arial" w:hAnsi="Arial" w:cs="Arial"/>
          <w:b/>
          <w:bCs/>
        </w:rPr>
      </w:pPr>
      <w:r w:rsidRPr="00981878">
        <w:rPr>
          <w:rFonts w:ascii="Arial" w:hAnsi="Arial" w:cs="Arial"/>
          <w:b/>
          <w:bCs/>
        </w:rPr>
        <w:t>Table 2. Model Selection Test Results – Equation I</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1481"/>
        <w:gridCol w:w="692"/>
        <w:gridCol w:w="1184"/>
      </w:tblGrid>
      <w:tr w:rsidR="005D5160" w:rsidRPr="005D5160" w14:paraId="17670A66" w14:textId="77777777" w:rsidTr="005D5160">
        <w:trPr>
          <w:tblHeader/>
          <w:tblCellSpacing w:w="15" w:type="dxa"/>
          <w:jc w:val="center"/>
        </w:trPr>
        <w:tc>
          <w:tcPr>
            <w:tcW w:w="0" w:type="auto"/>
            <w:vAlign w:val="center"/>
            <w:hideMark/>
          </w:tcPr>
          <w:p w14:paraId="03285298" w14:textId="77777777" w:rsidR="005D5160" w:rsidRPr="005D5160" w:rsidRDefault="005D5160" w:rsidP="005D5160">
            <w:pPr>
              <w:jc w:val="center"/>
              <w:rPr>
                <w:rFonts w:ascii="Arial" w:hAnsi="Arial" w:cs="Arial"/>
                <w:b/>
                <w:bCs/>
              </w:rPr>
            </w:pPr>
            <w:r w:rsidRPr="005D5160">
              <w:rPr>
                <w:rFonts w:ascii="Arial" w:hAnsi="Arial" w:cs="Arial"/>
                <w:b/>
                <w:bCs/>
              </w:rPr>
              <w:t>Test</w:t>
            </w:r>
          </w:p>
        </w:tc>
        <w:tc>
          <w:tcPr>
            <w:tcW w:w="0" w:type="auto"/>
            <w:vAlign w:val="center"/>
            <w:hideMark/>
          </w:tcPr>
          <w:p w14:paraId="3CF55029" w14:textId="77777777" w:rsidR="005D5160" w:rsidRPr="005D5160" w:rsidRDefault="005D5160" w:rsidP="005D5160">
            <w:pPr>
              <w:jc w:val="center"/>
              <w:rPr>
                <w:rFonts w:ascii="Arial" w:hAnsi="Arial" w:cs="Arial"/>
                <w:b/>
                <w:bCs/>
              </w:rPr>
            </w:pPr>
            <w:r w:rsidRPr="005D5160">
              <w:rPr>
                <w:rFonts w:ascii="Arial" w:hAnsi="Arial" w:cs="Arial"/>
                <w:b/>
                <w:bCs/>
              </w:rPr>
              <w:t>Test Criteria</w:t>
            </w:r>
          </w:p>
        </w:tc>
        <w:tc>
          <w:tcPr>
            <w:tcW w:w="0" w:type="auto"/>
            <w:vAlign w:val="center"/>
            <w:hideMark/>
          </w:tcPr>
          <w:p w14:paraId="2A10FE8E" w14:textId="77777777" w:rsidR="005D5160" w:rsidRPr="005D5160" w:rsidRDefault="005D5160" w:rsidP="005D5160">
            <w:pPr>
              <w:jc w:val="center"/>
              <w:rPr>
                <w:rFonts w:ascii="Arial" w:hAnsi="Arial" w:cs="Arial"/>
                <w:b/>
                <w:bCs/>
              </w:rPr>
            </w:pPr>
            <w:r w:rsidRPr="005D5160">
              <w:rPr>
                <w:rFonts w:ascii="Arial" w:hAnsi="Arial" w:cs="Arial"/>
                <w:b/>
                <w:bCs/>
              </w:rPr>
              <w:t>Prob.</w:t>
            </w:r>
          </w:p>
        </w:tc>
        <w:tc>
          <w:tcPr>
            <w:tcW w:w="0" w:type="auto"/>
            <w:vAlign w:val="center"/>
            <w:hideMark/>
          </w:tcPr>
          <w:p w14:paraId="690246E7" w14:textId="77777777" w:rsidR="005D5160" w:rsidRPr="005D5160" w:rsidRDefault="005D5160" w:rsidP="005D5160">
            <w:pPr>
              <w:jc w:val="center"/>
              <w:rPr>
                <w:rFonts w:ascii="Arial" w:hAnsi="Arial" w:cs="Arial"/>
                <w:b/>
                <w:bCs/>
              </w:rPr>
            </w:pPr>
            <w:r w:rsidRPr="005D5160">
              <w:rPr>
                <w:rFonts w:ascii="Arial" w:hAnsi="Arial" w:cs="Arial"/>
                <w:b/>
                <w:bCs/>
              </w:rPr>
              <w:t>Conclusion</w:t>
            </w:r>
          </w:p>
        </w:tc>
      </w:tr>
      <w:tr w:rsidR="005D5160" w:rsidRPr="005D5160" w14:paraId="4F8AEEDB" w14:textId="77777777" w:rsidTr="005D5160">
        <w:trPr>
          <w:tblCellSpacing w:w="15" w:type="dxa"/>
          <w:jc w:val="center"/>
        </w:trPr>
        <w:tc>
          <w:tcPr>
            <w:tcW w:w="0" w:type="auto"/>
            <w:vAlign w:val="center"/>
            <w:hideMark/>
          </w:tcPr>
          <w:p w14:paraId="6706B5E8" w14:textId="77777777" w:rsidR="005D5160" w:rsidRPr="005D5160" w:rsidRDefault="005D5160" w:rsidP="005D5160">
            <w:pPr>
              <w:rPr>
                <w:rFonts w:ascii="Arial" w:hAnsi="Arial" w:cs="Arial"/>
              </w:rPr>
            </w:pPr>
            <w:r w:rsidRPr="005D5160">
              <w:rPr>
                <w:rFonts w:ascii="Arial" w:hAnsi="Arial" w:cs="Arial"/>
              </w:rPr>
              <w:t>Chow</w:t>
            </w:r>
          </w:p>
        </w:tc>
        <w:tc>
          <w:tcPr>
            <w:tcW w:w="0" w:type="auto"/>
            <w:vAlign w:val="center"/>
            <w:hideMark/>
          </w:tcPr>
          <w:p w14:paraId="077D70BB" w14:textId="77777777" w:rsidR="005D5160" w:rsidRPr="005D5160" w:rsidRDefault="005D5160" w:rsidP="005D5160">
            <w:pPr>
              <w:rPr>
                <w:rFonts w:ascii="Arial" w:hAnsi="Arial" w:cs="Arial"/>
              </w:rPr>
            </w:pPr>
            <w:r w:rsidRPr="005D5160">
              <w:rPr>
                <w:rFonts w:ascii="Arial" w:hAnsi="Arial" w:cs="Arial"/>
              </w:rPr>
              <w:t>Cross-section F</w:t>
            </w:r>
          </w:p>
        </w:tc>
        <w:tc>
          <w:tcPr>
            <w:tcW w:w="0" w:type="auto"/>
            <w:vAlign w:val="center"/>
            <w:hideMark/>
          </w:tcPr>
          <w:p w14:paraId="725A7B8A" w14:textId="77777777" w:rsidR="005D5160" w:rsidRPr="005D5160" w:rsidRDefault="005D5160" w:rsidP="002D5675">
            <w:pPr>
              <w:jc w:val="center"/>
              <w:rPr>
                <w:rFonts w:ascii="Arial" w:hAnsi="Arial" w:cs="Arial"/>
              </w:rPr>
            </w:pPr>
            <w:r w:rsidRPr="005D5160">
              <w:rPr>
                <w:rFonts w:ascii="Arial" w:hAnsi="Arial" w:cs="Arial"/>
              </w:rPr>
              <w:t>0.0347</w:t>
            </w:r>
          </w:p>
        </w:tc>
        <w:tc>
          <w:tcPr>
            <w:tcW w:w="0" w:type="auto"/>
            <w:vAlign w:val="center"/>
            <w:hideMark/>
          </w:tcPr>
          <w:p w14:paraId="14425386" w14:textId="77777777" w:rsidR="005D5160" w:rsidRPr="005D5160" w:rsidRDefault="005D5160" w:rsidP="002D5675">
            <w:pPr>
              <w:jc w:val="center"/>
              <w:rPr>
                <w:rFonts w:ascii="Arial" w:hAnsi="Arial" w:cs="Arial"/>
              </w:rPr>
            </w:pPr>
            <w:r w:rsidRPr="005D5160">
              <w:rPr>
                <w:rFonts w:ascii="Arial" w:hAnsi="Arial" w:cs="Arial"/>
              </w:rPr>
              <w:t>FEM</w:t>
            </w:r>
          </w:p>
        </w:tc>
      </w:tr>
      <w:tr w:rsidR="005D5160" w:rsidRPr="005D5160" w14:paraId="1C33B16A" w14:textId="77777777" w:rsidTr="005D5160">
        <w:trPr>
          <w:tblCellSpacing w:w="15" w:type="dxa"/>
          <w:jc w:val="center"/>
        </w:trPr>
        <w:tc>
          <w:tcPr>
            <w:tcW w:w="0" w:type="auto"/>
            <w:vAlign w:val="center"/>
            <w:hideMark/>
          </w:tcPr>
          <w:p w14:paraId="1FFA23B9" w14:textId="77777777" w:rsidR="005D5160" w:rsidRPr="005D5160" w:rsidRDefault="005D5160" w:rsidP="005D5160">
            <w:pPr>
              <w:rPr>
                <w:rFonts w:ascii="Arial" w:hAnsi="Arial" w:cs="Arial"/>
              </w:rPr>
            </w:pPr>
            <w:r w:rsidRPr="005D5160">
              <w:rPr>
                <w:rFonts w:ascii="Arial" w:hAnsi="Arial" w:cs="Arial"/>
              </w:rPr>
              <w:t>Hausman</w:t>
            </w:r>
          </w:p>
        </w:tc>
        <w:tc>
          <w:tcPr>
            <w:tcW w:w="0" w:type="auto"/>
            <w:vAlign w:val="center"/>
            <w:hideMark/>
          </w:tcPr>
          <w:p w14:paraId="5A3933B7" w14:textId="77777777" w:rsidR="005D5160" w:rsidRPr="005D5160" w:rsidRDefault="005D5160" w:rsidP="005D5160">
            <w:pPr>
              <w:rPr>
                <w:rFonts w:ascii="Arial" w:hAnsi="Arial" w:cs="Arial"/>
              </w:rPr>
            </w:pPr>
            <w:r w:rsidRPr="005D5160">
              <w:rPr>
                <w:rFonts w:ascii="Arial" w:hAnsi="Arial" w:cs="Arial"/>
              </w:rPr>
              <w:t>Chi-square</w:t>
            </w:r>
          </w:p>
        </w:tc>
        <w:tc>
          <w:tcPr>
            <w:tcW w:w="0" w:type="auto"/>
            <w:vAlign w:val="center"/>
            <w:hideMark/>
          </w:tcPr>
          <w:p w14:paraId="5F81E692" w14:textId="77777777" w:rsidR="005D5160" w:rsidRPr="005D5160" w:rsidRDefault="005D5160" w:rsidP="002D5675">
            <w:pPr>
              <w:jc w:val="center"/>
              <w:rPr>
                <w:rFonts w:ascii="Arial" w:hAnsi="Arial" w:cs="Arial"/>
              </w:rPr>
            </w:pPr>
            <w:r w:rsidRPr="005D5160">
              <w:rPr>
                <w:rFonts w:ascii="Arial" w:hAnsi="Arial" w:cs="Arial"/>
              </w:rPr>
              <w:t>0.0139</w:t>
            </w:r>
          </w:p>
        </w:tc>
        <w:tc>
          <w:tcPr>
            <w:tcW w:w="0" w:type="auto"/>
            <w:vAlign w:val="center"/>
            <w:hideMark/>
          </w:tcPr>
          <w:p w14:paraId="157748E2" w14:textId="77777777" w:rsidR="005D5160" w:rsidRPr="005D5160" w:rsidRDefault="005D5160" w:rsidP="002D5675">
            <w:pPr>
              <w:jc w:val="center"/>
              <w:rPr>
                <w:rFonts w:ascii="Arial" w:hAnsi="Arial" w:cs="Arial"/>
              </w:rPr>
            </w:pPr>
            <w:r w:rsidRPr="005D5160">
              <w:rPr>
                <w:rFonts w:ascii="Arial" w:hAnsi="Arial" w:cs="Arial"/>
              </w:rPr>
              <w:t>FEM</w:t>
            </w:r>
          </w:p>
        </w:tc>
      </w:tr>
    </w:tbl>
    <w:p w14:paraId="28CD2E86" w14:textId="77777777" w:rsidR="005D5160" w:rsidRDefault="005D5160" w:rsidP="005D5160">
      <w:pPr>
        <w:rPr>
          <w:rFonts w:ascii="Arial" w:hAnsi="Arial" w:cs="Arial"/>
          <w:i/>
          <w:iCs/>
        </w:rPr>
      </w:pPr>
      <w:r w:rsidRPr="005D5160">
        <w:rPr>
          <w:rFonts w:ascii="Arial" w:hAnsi="Arial" w:cs="Arial"/>
          <w:i/>
          <w:iCs/>
        </w:rPr>
        <w:t>Source: Processed data, EViews 12 (2025)</w:t>
      </w:r>
    </w:p>
    <w:p w14:paraId="443867CA" w14:textId="77777777" w:rsidR="005D5160" w:rsidRPr="005D5160" w:rsidRDefault="005D5160" w:rsidP="005D5160">
      <w:pPr>
        <w:rPr>
          <w:rFonts w:ascii="Arial" w:hAnsi="Arial" w:cs="Arial"/>
        </w:rPr>
      </w:pPr>
    </w:p>
    <w:p w14:paraId="3A0B1C21" w14:textId="77777777" w:rsidR="00F16BFD" w:rsidRDefault="00F16BFD" w:rsidP="00F16BFD">
      <w:pPr>
        <w:jc w:val="both"/>
        <w:rPr>
          <w:rFonts w:ascii="Arial" w:hAnsi="Arial" w:cs="Arial"/>
        </w:rPr>
        <w:sectPr w:rsidR="00F16BFD" w:rsidSect="00842790">
          <w:type w:val="continuous"/>
          <w:pgSz w:w="12240" w:h="15840"/>
          <w:pgMar w:top="1440" w:right="2016" w:bottom="2016" w:left="2016" w:header="720" w:footer="1123" w:gutter="0"/>
          <w:cols w:space="720"/>
          <w:docGrid w:linePitch="272"/>
        </w:sectPr>
      </w:pPr>
    </w:p>
    <w:p w14:paraId="6162B9FF" w14:textId="2D578F98" w:rsidR="00250E3E" w:rsidRPr="00F16BFD" w:rsidRDefault="005D5160" w:rsidP="00F16BFD">
      <w:pPr>
        <w:jc w:val="both"/>
        <w:rPr>
          <w:rFonts w:ascii="Arial" w:hAnsi="Arial" w:cs="Arial"/>
        </w:rPr>
      </w:pPr>
      <w:r w:rsidRPr="005D5160">
        <w:rPr>
          <w:rFonts w:ascii="Arial" w:hAnsi="Arial" w:cs="Arial"/>
        </w:rPr>
        <w:t xml:space="preserve">The Chow and Hausman tests indicate that the Fixed Effect Model (FEM) is the most appropriate for Equation I. The F-test is </w:t>
      </w:r>
      <w:r w:rsidRPr="005D5160">
        <w:rPr>
          <w:rFonts w:ascii="Arial" w:hAnsi="Arial" w:cs="Arial"/>
        </w:rPr>
        <w:t>significant (Prob. = 0.0386), confirming that the model is fit for use.</w:t>
      </w:r>
    </w:p>
    <w:p w14:paraId="5742FA00" w14:textId="77777777" w:rsidR="00F16BFD" w:rsidRDefault="00F16BFD" w:rsidP="00F16BFD">
      <w:pPr>
        <w:pStyle w:val="Body"/>
        <w:spacing w:after="0"/>
        <w:rPr>
          <w:rFonts w:ascii="Arial" w:hAnsi="Arial" w:cs="Arial"/>
          <w:b/>
          <w:bCs/>
          <w:szCs w:val="18"/>
          <w:lang w:bidi="en-US"/>
        </w:rPr>
        <w:sectPr w:rsidR="00F16BFD" w:rsidSect="00842790">
          <w:type w:val="continuous"/>
          <w:pgSz w:w="12240" w:h="15840"/>
          <w:pgMar w:top="1440" w:right="2016" w:bottom="2016" w:left="2016" w:header="720" w:footer="1123" w:gutter="0"/>
          <w:cols w:num="2" w:space="720"/>
          <w:docGrid w:linePitch="272"/>
        </w:sectPr>
      </w:pPr>
    </w:p>
    <w:p w14:paraId="575664EB" w14:textId="77777777" w:rsidR="00F16BFD" w:rsidRDefault="00F16BFD" w:rsidP="00F16BFD">
      <w:pPr>
        <w:pStyle w:val="Body"/>
        <w:spacing w:after="0"/>
        <w:rPr>
          <w:rFonts w:ascii="Arial" w:hAnsi="Arial" w:cs="Arial"/>
          <w:b/>
          <w:bCs/>
          <w:szCs w:val="18"/>
          <w:lang w:bidi="en-US"/>
        </w:rPr>
      </w:pPr>
    </w:p>
    <w:p w14:paraId="362FFC50" w14:textId="77777777" w:rsidR="00F16BFD" w:rsidRDefault="00F16BFD" w:rsidP="00F16BFD">
      <w:pPr>
        <w:pStyle w:val="Body"/>
        <w:spacing w:after="0"/>
        <w:rPr>
          <w:rFonts w:ascii="Arial" w:hAnsi="Arial" w:cs="Arial"/>
          <w:b/>
          <w:bCs/>
          <w:szCs w:val="18"/>
          <w:lang w:bidi="en-US"/>
        </w:rPr>
      </w:pPr>
    </w:p>
    <w:p w14:paraId="7BF03FE0" w14:textId="0064CD98" w:rsidR="00F16BFD" w:rsidRPr="00F16BFD" w:rsidRDefault="00F16BFD" w:rsidP="00F16BFD">
      <w:pPr>
        <w:pStyle w:val="Body"/>
        <w:spacing w:after="0"/>
        <w:jc w:val="center"/>
        <w:rPr>
          <w:rFonts w:ascii="Arial" w:hAnsi="Arial" w:cs="Arial"/>
          <w:bCs/>
          <w:szCs w:val="18"/>
          <w:lang w:bidi="en-US"/>
        </w:rPr>
      </w:pPr>
      <w:r w:rsidRPr="00F16BFD">
        <w:rPr>
          <w:rFonts w:ascii="Arial" w:hAnsi="Arial" w:cs="Arial"/>
          <w:b/>
          <w:bCs/>
          <w:szCs w:val="18"/>
          <w:lang w:bidi="en-US"/>
        </w:rPr>
        <w:t>Table 3. Panel Regression Results – Equation I</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1114"/>
        <w:gridCol w:w="992"/>
        <w:gridCol w:w="707"/>
      </w:tblGrid>
      <w:tr w:rsidR="00F16BFD" w:rsidRPr="00F16BFD" w14:paraId="25ADA8D1" w14:textId="77777777" w:rsidTr="00F16BFD">
        <w:trPr>
          <w:tblHeader/>
          <w:tblCellSpacing w:w="15" w:type="dxa"/>
          <w:jc w:val="center"/>
        </w:trPr>
        <w:tc>
          <w:tcPr>
            <w:tcW w:w="0" w:type="auto"/>
            <w:vAlign w:val="center"/>
            <w:hideMark/>
          </w:tcPr>
          <w:p w14:paraId="4ACF5CAD" w14:textId="77777777" w:rsidR="00F16BFD" w:rsidRPr="00F16BFD" w:rsidRDefault="00F16BFD" w:rsidP="00F16BFD">
            <w:pPr>
              <w:pStyle w:val="Body"/>
              <w:spacing w:after="0"/>
              <w:rPr>
                <w:rFonts w:ascii="Arial" w:hAnsi="Arial" w:cs="Arial"/>
                <w:b/>
                <w:bCs/>
                <w:szCs w:val="18"/>
                <w:lang w:bidi="en-US"/>
              </w:rPr>
            </w:pPr>
            <w:r w:rsidRPr="00F16BFD">
              <w:rPr>
                <w:rFonts w:ascii="Arial" w:hAnsi="Arial" w:cs="Arial"/>
                <w:b/>
                <w:bCs/>
                <w:szCs w:val="18"/>
                <w:lang w:bidi="en-US"/>
              </w:rPr>
              <w:t>Variable</w:t>
            </w:r>
          </w:p>
        </w:tc>
        <w:tc>
          <w:tcPr>
            <w:tcW w:w="0" w:type="auto"/>
            <w:vAlign w:val="center"/>
            <w:hideMark/>
          </w:tcPr>
          <w:p w14:paraId="10232CB2" w14:textId="77777777" w:rsidR="00F16BFD" w:rsidRPr="00F16BFD" w:rsidRDefault="00F16BFD" w:rsidP="00F16BFD">
            <w:pPr>
              <w:pStyle w:val="Body"/>
              <w:spacing w:after="0"/>
              <w:rPr>
                <w:rFonts w:ascii="Arial" w:hAnsi="Arial" w:cs="Arial"/>
                <w:b/>
                <w:bCs/>
                <w:szCs w:val="18"/>
                <w:lang w:bidi="en-US"/>
              </w:rPr>
            </w:pPr>
            <w:r w:rsidRPr="00F16BFD">
              <w:rPr>
                <w:rFonts w:ascii="Arial" w:hAnsi="Arial" w:cs="Arial"/>
                <w:b/>
                <w:bCs/>
                <w:szCs w:val="18"/>
                <w:lang w:bidi="en-US"/>
              </w:rPr>
              <w:t>Coefficient</w:t>
            </w:r>
          </w:p>
        </w:tc>
        <w:tc>
          <w:tcPr>
            <w:tcW w:w="0" w:type="auto"/>
            <w:vAlign w:val="center"/>
            <w:hideMark/>
          </w:tcPr>
          <w:p w14:paraId="307665F5" w14:textId="77777777" w:rsidR="00F16BFD" w:rsidRPr="00F16BFD" w:rsidRDefault="00F16BFD" w:rsidP="00F16BFD">
            <w:pPr>
              <w:pStyle w:val="Body"/>
              <w:spacing w:after="0"/>
              <w:rPr>
                <w:rFonts w:ascii="Arial" w:hAnsi="Arial" w:cs="Arial"/>
                <w:b/>
                <w:bCs/>
                <w:szCs w:val="18"/>
                <w:lang w:bidi="en-US"/>
              </w:rPr>
            </w:pPr>
            <w:r w:rsidRPr="00F16BFD">
              <w:rPr>
                <w:rFonts w:ascii="Arial" w:hAnsi="Arial" w:cs="Arial"/>
                <w:b/>
                <w:bCs/>
                <w:szCs w:val="18"/>
                <w:lang w:bidi="en-US"/>
              </w:rPr>
              <w:t>t-Statistic</w:t>
            </w:r>
          </w:p>
        </w:tc>
        <w:tc>
          <w:tcPr>
            <w:tcW w:w="0" w:type="auto"/>
            <w:vAlign w:val="center"/>
            <w:hideMark/>
          </w:tcPr>
          <w:p w14:paraId="493231CF" w14:textId="77777777" w:rsidR="00F16BFD" w:rsidRPr="00F16BFD" w:rsidRDefault="00F16BFD" w:rsidP="00F16BFD">
            <w:pPr>
              <w:pStyle w:val="Body"/>
              <w:spacing w:after="0"/>
              <w:rPr>
                <w:rFonts w:ascii="Arial" w:hAnsi="Arial" w:cs="Arial"/>
                <w:b/>
                <w:bCs/>
                <w:szCs w:val="18"/>
                <w:lang w:bidi="en-US"/>
              </w:rPr>
            </w:pPr>
            <w:r w:rsidRPr="00F16BFD">
              <w:rPr>
                <w:rFonts w:ascii="Arial" w:hAnsi="Arial" w:cs="Arial"/>
                <w:b/>
                <w:bCs/>
                <w:szCs w:val="18"/>
                <w:lang w:bidi="en-US"/>
              </w:rPr>
              <w:t>Prob.</w:t>
            </w:r>
          </w:p>
        </w:tc>
      </w:tr>
      <w:tr w:rsidR="00F16BFD" w:rsidRPr="00F16BFD" w14:paraId="191A554A" w14:textId="77777777" w:rsidTr="00F16BFD">
        <w:trPr>
          <w:tblCellSpacing w:w="15" w:type="dxa"/>
          <w:jc w:val="center"/>
        </w:trPr>
        <w:tc>
          <w:tcPr>
            <w:tcW w:w="0" w:type="auto"/>
            <w:vAlign w:val="center"/>
            <w:hideMark/>
          </w:tcPr>
          <w:p w14:paraId="123232DE" w14:textId="77777777" w:rsidR="00F16BFD" w:rsidRPr="00F16BFD" w:rsidRDefault="00F16BFD" w:rsidP="00F16BFD">
            <w:pPr>
              <w:pStyle w:val="Body"/>
              <w:spacing w:after="0"/>
              <w:rPr>
                <w:rFonts w:ascii="Arial" w:hAnsi="Arial" w:cs="Arial"/>
                <w:bCs/>
                <w:szCs w:val="18"/>
                <w:lang w:bidi="en-US"/>
              </w:rPr>
            </w:pPr>
            <w:r w:rsidRPr="00F16BFD">
              <w:rPr>
                <w:rFonts w:ascii="Arial" w:hAnsi="Arial" w:cs="Arial"/>
                <w:bCs/>
                <w:szCs w:val="18"/>
                <w:lang w:bidi="en-US"/>
              </w:rPr>
              <w:t>C</w:t>
            </w:r>
          </w:p>
        </w:tc>
        <w:tc>
          <w:tcPr>
            <w:tcW w:w="0" w:type="auto"/>
            <w:vAlign w:val="center"/>
            <w:hideMark/>
          </w:tcPr>
          <w:p w14:paraId="2AD6396E"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−0.6715</w:t>
            </w:r>
          </w:p>
        </w:tc>
        <w:tc>
          <w:tcPr>
            <w:tcW w:w="0" w:type="auto"/>
            <w:vAlign w:val="center"/>
            <w:hideMark/>
          </w:tcPr>
          <w:p w14:paraId="7765EF13"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−3.392</w:t>
            </w:r>
          </w:p>
        </w:tc>
        <w:tc>
          <w:tcPr>
            <w:tcW w:w="0" w:type="auto"/>
            <w:vAlign w:val="center"/>
            <w:hideMark/>
          </w:tcPr>
          <w:p w14:paraId="1C919BFF"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0.0000</w:t>
            </w:r>
          </w:p>
        </w:tc>
      </w:tr>
      <w:tr w:rsidR="00F16BFD" w:rsidRPr="00F16BFD" w14:paraId="617C65AC" w14:textId="77777777" w:rsidTr="00F16BFD">
        <w:trPr>
          <w:tblCellSpacing w:w="15" w:type="dxa"/>
          <w:jc w:val="center"/>
        </w:trPr>
        <w:tc>
          <w:tcPr>
            <w:tcW w:w="0" w:type="auto"/>
            <w:vAlign w:val="center"/>
            <w:hideMark/>
          </w:tcPr>
          <w:p w14:paraId="2246AE95" w14:textId="77777777" w:rsidR="00F16BFD" w:rsidRPr="00F16BFD" w:rsidRDefault="00F16BFD" w:rsidP="00F16BFD">
            <w:pPr>
              <w:pStyle w:val="Body"/>
              <w:spacing w:after="0"/>
              <w:rPr>
                <w:rFonts w:ascii="Arial" w:hAnsi="Arial" w:cs="Arial"/>
                <w:bCs/>
                <w:szCs w:val="18"/>
                <w:lang w:bidi="en-US"/>
              </w:rPr>
            </w:pPr>
            <w:r w:rsidRPr="00F16BFD">
              <w:rPr>
                <w:rFonts w:ascii="Arial" w:hAnsi="Arial" w:cs="Arial"/>
                <w:bCs/>
                <w:szCs w:val="18"/>
                <w:lang w:bidi="en-US"/>
              </w:rPr>
              <w:t>EDI</w:t>
            </w:r>
          </w:p>
        </w:tc>
        <w:tc>
          <w:tcPr>
            <w:tcW w:w="0" w:type="auto"/>
            <w:vAlign w:val="center"/>
            <w:hideMark/>
          </w:tcPr>
          <w:p w14:paraId="0CA45489"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−0.171</w:t>
            </w:r>
          </w:p>
        </w:tc>
        <w:tc>
          <w:tcPr>
            <w:tcW w:w="0" w:type="auto"/>
            <w:vAlign w:val="center"/>
            <w:hideMark/>
          </w:tcPr>
          <w:p w14:paraId="174BCD69"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−0.550</w:t>
            </w:r>
          </w:p>
        </w:tc>
        <w:tc>
          <w:tcPr>
            <w:tcW w:w="0" w:type="auto"/>
            <w:vAlign w:val="center"/>
            <w:hideMark/>
          </w:tcPr>
          <w:p w14:paraId="5213ED1D"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0.5837</w:t>
            </w:r>
          </w:p>
        </w:tc>
      </w:tr>
      <w:tr w:rsidR="00F16BFD" w:rsidRPr="00F16BFD" w14:paraId="4440D8FC" w14:textId="77777777" w:rsidTr="00F16BFD">
        <w:trPr>
          <w:tblCellSpacing w:w="15" w:type="dxa"/>
          <w:jc w:val="center"/>
        </w:trPr>
        <w:tc>
          <w:tcPr>
            <w:tcW w:w="0" w:type="auto"/>
            <w:vAlign w:val="center"/>
            <w:hideMark/>
          </w:tcPr>
          <w:p w14:paraId="7C556626" w14:textId="77777777" w:rsidR="00F16BFD" w:rsidRPr="00F16BFD" w:rsidRDefault="00F16BFD" w:rsidP="00F16BFD">
            <w:pPr>
              <w:pStyle w:val="Body"/>
              <w:spacing w:after="0"/>
              <w:rPr>
                <w:rFonts w:ascii="Arial" w:hAnsi="Arial" w:cs="Arial"/>
                <w:bCs/>
                <w:szCs w:val="18"/>
                <w:lang w:bidi="en-US"/>
              </w:rPr>
            </w:pPr>
            <w:r w:rsidRPr="00F16BFD">
              <w:rPr>
                <w:rFonts w:ascii="Arial" w:hAnsi="Arial" w:cs="Arial"/>
                <w:bCs/>
                <w:szCs w:val="18"/>
                <w:lang w:bidi="en-US"/>
              </w:rPr>
              <w:t>SIZE</w:t>
            </w:r>
          </w:p>
        </w:tc>
        <w:tc>
          <w:tcPr>
            <w:tcW w:w="0" w:type="auto"/>
            <w:vAlign w:val="center"/>
            <w:hideMark/>
          </w:tcPr>
          <w:p w14:paraId="733CCADE"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0.236</w:t>
            </w:r>
          </w:p>
        </w:tc>
        <w:tc>
          <w:tcPr>
            <w:tcW w:w="0" w:type="auto"/>
            <w:vAlign w:val="center"/>
            <w:hideMark/>
          </w:tcPr>
          <w:p w14:paraId="7E3FABA5"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3.397</w:t>
            </w:r>
          </w:p>
        </w:tc>
        <w:tc>
          <w:tcPr>
            <w:tcW w:w="0" w:type="auto"/>
            <w:vAlign w:val="center"/>
            <w:hideMark/>
          </w:tcPr>
          <w:p w14:paraId="6BA8C2AA"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0.0000</w:t>
            </w:r>
          </w:p>
        </w:tc>
      </w:tr>
      <w:tr w:rsidR="00F16BFD" w:rsidRPr="00F16BFD" w14:paraId="3EAD38CC" w14:textId="77777777" w:rsidTr="00F16BFD">
        <w:trPr>
          <w:tblCellSpacing w:w="15" w:type="dxa"/>
          <w:jc w:val="center"/>
        </w:trPr>
        <w:tc>
          <w:tcPr>
            <w:tcW w:w="0" w:type="auto"/>
            <w:vAlign w:val="center"/>
            <w:hideMark/>
          </w:tcPr>
          <w:p w14:paraId="06D124AD" w14:textId="77777777" w:rsidR="00F16BFD" w:rsidRPr="00F16BFD" w:rsidRDefault="00F16BFD" w:rsidP="00F16BFD">
            <w:pPr>
              <w:pStyle w:val="Body"/>
              <w:spacing w:after="0"/>
              <w:rPr>
                <w:rFonts w:ascii="Arial" w:hAnsi="Arial" w:cs="Arial"/>
                <w:bCs/>
                <w:szCs w:val="18"/>
                <w:lang w:bidi="en-US"/>
              </w:rPr>
            </w:pPr>
            <w:r w:rsidRPr="00F16BFD">
              <w:rPr>
                <w:rFonts w:ascii="Arial" w:hAnsi="Arial" w:cs="Arial"/>
                <w:bCs/>
                <w:szCs w:val="18"/>
                <w:lang w:bidi="en-US"/>
              </w:rPr>
              <w:t>MOWN</w:t>
            </w:r>
          </w:p>
        </w:tc>
        <w:tc>
          <w:tcPr>
            <w:tcW w:w="0" w:type="auto"/>
            <w:vAlign w:val="center"/>
            <w:hideMark/>
          </w:tcPr>
          <w:p w14:paraId="2078AE42"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0.006</w:t>
            </w:r>
          </w:p>
        </w:tc>
        <w:tc>
          <w:tcPr>
            <w:tcW w:w="0" w:type="auto"/>
            <w:vAlign w:val="center"/>
            <w:hideMark/>
          </w:tcPr>
          <w:p w14:paraId="50C1D04D"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0.928</w:t>
            </w:r>
          </w:p>
        </w:tc>
        <w:tc>
          <w:tcPr>
            <w:tcW w:w="0" w:type="auto"/>
            <w:vAlign w:val="center"/>
            <w:hideMark/>
          </w:tcPr>
          <w:p w14:paraId="3660E7E6"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0.3559</w:t>
            </w:r>
          </w:p>
        </w:tc>
      </w:tr>
      <w:tr w:rsidR="00F16BFD" w:rsidRPr="00F16BFD" w14:paraId="465313DD" w14:textId="77777777" w:rsidTr="00F16BFD">
        <w:trPr>
          <w:tblCellSpacing w:w="15" w:type="dxa"/>
          <w:jc w:val="center"/>
        </w:trPr>
        <w:tc>
          <w:tcPr>
            <w:tcW w:w="0" w:type="auto"/>
            <w:vAlign w:val="center"/>
          </w:tcPr>
          <w:p w14:paraId="036CE263" w14:textId="77777777" w:rsidR="00F16BFD" w:rsidRDefault="00F16BFD" w:rsidP="00F16BFD">
            <w:pPr>
              <w:pStyle w:val="Body"/>
              <w:spacing w:after="0"/>
              <w:rPr>
                <w:rFonts w:ascii="Arial" w:hAnsi="Arial" w:cs="Arial"/>
                <w:bCs/>
                <w:szCs w:val="18"/>
                <w:lang w:bidi="en-US"/>
              </w:rPr>
            </w:pPr>
          </w:p>
        </w:tc>
        <w:tc>
          <w:tcPr>
            <w:tcW w:w="0" w:type="auto"/>
            <w:vAlign w:val="center"/>
          </w:tcPr>
          <w:p w14:paraId="033594AF" w14:textId="77777777" w:rsidR="00F16BFD" w:rsidRPr="00F16BFD" w:rsidRDefault="00F16BFD" w:rsidP="002B70AA">
            <w:pPr>
              <w:pStyle w:val="Body"/>
              <w:spacing w:after="0"/>
              <w:jc w:val="center"/>
              <w:rPr>
                <w:rFonts w:ascii="Arial" w:hAnsi="Arial" w:cs="Arial"/>
                <w:szCs w:val="18"/>
                <w:lang w:bidi="en-US"/>
              </w:rPr>
            </w:pPr>
          </w:p>
        </w:tc>
        <w:tc>
          <w:tcPr>
            <w:tcW w:w="0" w:type="auto"/>
            <w:vAlign w:val="center"/>
          </w:tcPr>
          <w:p w14:paraId="3995B133" w14:textId="77777777" w:rsidR="00F16BFD" w:rsidRPr="00F16BFD" w:rsidRDefault="00F16BFD" w:rsidP="002B70AA">
            <w:pPr>
              <w:pStyle w:val="Body"/>
              <w:spacing w:after="0"/>
              <w:jc w:val="center"/>
              <w:rPr>
                <w:rFonts w:ascii="Arial" w:hAnsi="Arial" w:cs="Arial"/>
                <w:bCs/>
                <w:szCs w:val="18"/>
                <w:lang w:bidi="en-US"/>
              </w:rPr>
            </w:pPr>
          </w:p>
        </w:tc>
        <w:tc>
          <w:tcPr>
            <w:tcW w:w="0" w:type="auto"/>
            <w:vAlign w:val="center"/>
          </w:tcPr>
          <w:p w14:paraId="3EBBD123" w14:textId="77777777" w:rsidR="00F16BFD" w:rsidRPr="00F16BFD" w:rsidRDefault="00F16BFD" w:rsidP="002B70AA">
            <w:pPr>
              <w:pStyle w:val="Body"/>
              <w:spacing w:after="0"/>
              <w:jc w:val="center"/>
              <w:rPr>
                <w:rFonts w:ascii="Arial" w:hAnsi="Arial" w:cs="Arial"/>
                <w:bCs/>
                <w:szCs w:val="18"/>
                <w:lang w:bidi="en-US"/>
              </w:rPr>
            </w:pPr>
          </w:p>
        </w:tc>
      </w:tr>
      <w:tr w:rsidR="00F16BFD" w:rsidRPr="00F16BFD" w14:paraId="4AF78BF2" w14:textId="77777777" w:rsidTr="00F16BFD">
        <w:trPr>
          <w:tblCellSpacing w:w="15" w:type="dxa"/>
          <w:jc w:val="center"/>
        </w:trPr>
        <w:tc>
          <w:tcPr>
            <w:tcW w:w="0" w:type="auto"/>
            <w:vAlign w:val="center"/>
          </w:tcPr>
          <w:p w14:paraId="002529D8" w14:textId="6F7C8493" w:rsidR="00F16BFD" w:rsidRPr="00F16BFD" w:rsidRDefault="00F16BFD" w:rsidP="00F16BFD">
            <w:pPr>
              <w:pStyle w:val="Body"/>
              <w:spacing w:after="0"/>
              <w:rPr>
                <w:rFonts w:ascii="Arial" w:hAnsi="Arial" w:cs="Arial"/>
                <w:bCs/>
                <w:szCs w:val="18"/>
                <w:lang w:bidi="en-US"/>
              </w:rPr>
            </w:pPr>
            <w:r>
              <w:rPr>
                <w:rFonts w:ascii="Arial" w:hAnsi="Arial" w:cs="Arial"/>
                <w:bCs/>
                <w:szCs w:val="18"/>
                <w:lang w:bidi="en-US"/>
              </w:rPr>
              <w:t>F-statistic</w:t>
            </w:r>
          </w:p>
        </w:tc>
        <w:tc>
          <w:tcPr>
            <w:tcW w:w="0" w:type="auto"/>
            <w:vAlign w:val="center"/>
          </w:tcPr>
          <w:p w14:paraId="2CC2ED81" w14:textId="7C4AC321" w:rsidR="00F16BFD" w:rsidRPr="00F16BFD" w:rsidRDefault="00F16BFD" w:rsidP="002B70AA">
            <w:pPr>
              <w:pStyle w:val="Body"/>
              <w:spacing w:after="0"/>
              <w:jc w:val="center"/>
              <w:rPr>
                <w:rFonts w:ascii="Arial" w:hAnsi="Arial" w:cs="Arial"/>
                <w:bCs/>
                <w:szCs w:val="18"/>
                <w:lang w:bidi="en-US"/>
              </w:rPr>
            </w:pPr>
          </w:p>
        </w:tc>
        <w:tc>
          <w:tcPr>
            <w:tcW w:w="0" w:type="auto"/>
            <w:vAlign w:val="center"/>
          </w:tcPr>
          <w:p w14:paraId="4D1E43E2" w14:textId="64BA2E2D" w:rsidR="00F16BFD" w:rsidRPr="00F16BFD" w:rsidRDefault="005F07D4" w:rsidP="002B70AA">
            <w:pPr>
              <w:pStyle w:val="Body"/>
              <w:spacing w:after="0"/>
              <w:jc w:val="center"/>
              <w:rPr>
                <w:rFonts w:ascii="Arial" w:hAnsi="Arial" w:cs="Arial"/>
                <w:bCs/>
                <w:szCs w:val="18"/>
                <w:lang w:bidi="en-US"/>
              </w:rPr>
            </w:pPr>
            <w:r w:rsidRPr="00F16BFD">
              <w:rPr>
                <w:rFonts w:ascii="Arial" w:hAnsi="Arial" w:cs="Arial"/>
                <w:szCs w:val="18"/>
                <w:lang w:bidi="en-US"/>
              </w:rPr>
              <w:t>1.630</w:t>
            </w:r>
          </w:p>
        </w:tc>
        <w:tc>
          <w:tcPr>
            <w:tcW w:w="0" w:type="auto"/>
            <w:vAlign w:val="center"/>
          </w:tcPr>
          <w:p w14:paraId="1D1F0B0C" w14:textId="32FAA88F" w:rsidR="00F16BFD" w:rsidRPr="00F16BFD" w:rsidRDefault="005F07D4" w:rsidP="002B70AA">
            <w:pPr>
              <w:pStyle w:val="Body"/>
              <w:spacing w:after="0"/>
              <w:jc w:val="center"/>
              <w:rPr>
                <w:rFonts w:ascii="Arial" w:hAnsi="Arial" w:cs="Arial"/>
                <w:bCs/>
                <w:szCs w:val="18"/>
                <w:lang w:bidi="en-US"/>
              </w:rPr>
            </w:pPr>
            <w:r w:rsidRPr="00F16BFD">
              <w:rPr>
                <w:rFonts w:ascii="Arial" w:hAnsi="Arial" w:cs="Arial"/>
                <w:szCs w:val="18"/>
                <w:lang w:bidi="en-US"/>
              </w:rPr>
              <w:t>0.0386</w:t>
            </w:r>
          </w:p>
        </w:tc>
      </w:tr>
      <w:tr w:rsidR="00F16BFD" w:rsidRPr="00F16BFD" w14:paraId="2F81D080" w14:textId="77777777" w:rsidTr="00F16BFD">
        <w:trPr>
          <w:tblCellSpacing w:w="15" w:type="dxa"/>
          <w:jc w:val="center"/>
        </w:trPr>
        <w:tc>
          <w:tcPr>
            <w:tcW w:w="0" w:type="auto"/>
            <w:vAlign w:val="center"/>
          </w:tcPr>
          <w:p w14:paraId="256F65EB" w14:textId="4D650DA7" w:rsidR="00F16BFD" w:rsidRPr="00F16BFD" w:rsidRDefault="00F16BFD" w:rsidP="00F16BFD">
            <w:pPr>
              <w:pStyle w:val="Body"/>
              <w:spacing w:after="0"/>
              <w:rPr>
                <w:rFonts w:ascii="Arial" w:hAnsi="Arial" w:cs="Arial"/>
                <w:bCs/>
                <w:szCs w:val="18"/>
                <w:vertAlign w:val="superscript"/>
                <w:lang w:bidi="en-US"/>
              </w:rPr>
            </w:pPr>
            <w:r>
              <w:rPr>
                <w:rFonts w:ascii="Arial" w:hAnsi="Arial" w:cs="Arial"/>
                <w:bCs/>
                <w:szCs w:val="18"/>
                <w:lang w:bidi="en-US"/>
              </w:rPr>
              <w:t>R</w:t>
            </w:r>
            <w:r>
              <w:rPr>
                <w:rFonts w:ascii="Arial" w:hAnsi="Arial" w:cs="Arial"/>
                <w:bCs/>
                <w:szCs w:val="18"/>
                <w:vertAlign w:val="superscript"/>
                <w:lang w:bidi="en-US"/>
              </w:rPr>
              <w:t>2</w:t>
            </w:r>
          </w:p>
        </w:tc>
        <w:tc>
          <w:tcPr>
            <w:tcW w:w="0" w:type="auto"/>
            <w:vAlign w:val="center"/>
          </w:tcPr>
          <w:p w14:paraId="3DA5A849" w14:textId="5146DDC4" w:rsidR="00F16BFD" w:rsidRPr="00F16BFD" w:rsidRDefault="00F16BFD" w:rsidP="002B70AA">
            <w:pPr>
              <w:pStyle w:val="Body"/>
              <w:spacing w:after="0"/>
              <w:jc w:val="center"/>
              <w:rPr>
                <w:rFonts w:ascii="Arial" w:hAnsi="Arial" w:cs="Arial"/>
                <w:bCs/>
                <w:szCs w:val="18"/>
                <w:lang w:bidi="en-US"/>
              </w:rPr>
            </w:pPr>
            <w:r>
              <w:rPr>
                <w:rFonts w:ascii="Arial" w:hAnsi="Arial" w:cs="Arial"/>
                <w:bCs/>
                <w:szCs w:val="18"/>
                <w:lang w:bidi="en-US"/>
              </w:rPr>
              <w:t>0.374</w:t>
            </w:r>
          </w:p>
        </w:tc>
        <w:tc>
          <w:tcPr>
            <w:tcW w:w="0" w:type="auto"/>
            <w:vAlign w:val="center"/>
          </w:tcPr>
          <w:p w14:paraId="1735D00A" w14:textId="77777777" w:rsidR="00F16BFD" w:rsidRPr="00F16BFD" w:rsidRDefault="00F16BFD" w:rsidP="002B70AA">
            <w:pPr>
              <w:pStyle w:val="Body"/>
              <w:spacing w:after="0"/>
              <w:jc w:val="center"/>
              <w:rPr>
                <w:rFonts w:ascii="Arial" w:hAnsi="Arial" w:cs="Arial"/>
                <w:bCs/>
                <w:szCs w:val="18"/>
                <w:lang w:bidi="en-US"/>
              </w:rPr>
            </w:pPr>
          </w:p>
        </w:tc>
        <w:tc>
          <w:tcPr>
            <w:tcW w:w="0" w:type="auto"/>
            <w:vAlign w:val="center"/>
          </w:tcPr>
          <w:p w14:paraId="067AC91B" w14:textId="77777777" w:rsidR="00F16BFD" w:rsidRPr="00F16BFD" w:rsidRDefault="00F16BFD" w:rsidP="002B70AA">
            <w:pPr>
              <w:pStyle w:val="Body"/>
              <w:spacing w:after="0"/>
              <w:jc w:val="center"/>
              <w:rPr>
                <w:rFonts w:ascii="Arial" w:hAnsi="Arial" w:cs="Arial"/>
                <w:bCs/>
                <w:szCs w:val="18"/>
                <w:lang w:bidi="en-US"/>
              </w:rPr>
            </w:pPr>
          </w:p>
        </w:tc>
      </w:tr>
    </w:tbl>
    <w:p w14:paraId="1668C693" w14:textId="72CCB44E" w:rsidR="00F16BFD" w:rsidRDefault="00F16BFD" w:rsidP="00F16BFD">
      <w:pPr>
        <w:pStyle w:val="Body"/>
        <w:spacing w:after="0"/>
        <w:ind w:left="1440" w:firstLine="720"/>
        <w:rPr>
          <w:rFonts w:ascii="Arial" w:hAnsi="Arial" w:cs="Arial"/>
          <w:i/>
          <w:iCs/>
          <w:szCs w:val="18"/>
          <w:lang w:bidi="en-US"/>
        </w:rPr>
      </w:pPr>
      <w:r w:rsidRPr="00F16BFD">
        <w:rPr>
          <w:rFonts w:ascii="Arial" w:hAnsi="Arial" w:cs="Arial"/>
          <w:i/>
          <w:iCs/>
          <w:szCs w:val="18"/>
          <w:lang w:bidi="en-US"/>
        </w:rPr>
        <w:t>Source: Processed data, EViews 12 (2025)</w:t>
      </w:r>
    </w:p>
    <w:p w14:paraId="331FE6DD" w14:textId="77777777" w:rsidR="00F16BFD" w:rsidRDefault="00F16BFD" w:rsidP="00F16BFD">
      <w:pPr>
        <w:pStyle w:val="Body"/>
        <w:spacing w:after="0"/>
        <w:rPr>
          <w:rFonts w:ascii="Arial" w:hAnsi="Arial" w:cs="Arial"/>
          <w:szCs w:val="18"/>
          <w:lang w:bidi="en-US"/>
        </w:rPr>
        <w:sectPr w:rsidR="00F16BFD" w:rsidSect="00842790">
          <w:type w:val="continuous"/>
          <w:pgSz w:w="12240" w:h="15840"/>
          <w:pgMar w:top="1440" w:right="2016" w:bottom="2016" w:left="2016" w:header="720" w:footer="1123" w:gutter="0"/>
          <w:cols w:space="720"/>
          <w:docGrid w:linePitch="272"/>
        </w:sectPr>
      </w:pPr>
    </w:p>
    <w:p w14:paraId="4234AA99" w14:textId="77777777" w:rsidR="00F16BFD" w:rsidRDefault="00F16BFD" w:rsidP="00BF283B">
      <w:pPr>
        <w:pStyle w:val="Body"/>
        <w:spacing w:after="0"/>
        <w:rPr>
          <w:rFonts w:ascii="Arial" w:hAnsi="Arial" w:cs="Arial"/>
          <w:szCs w:val="18"/>
          <w:lang w:bidi="en-US"/>
        </w:rPr>
      </w:pPr>
      <w:r w:rsidRPr="00F16BFD">
        <w:rPr>
          <w:rFonts w:ascii="Arial" w:hAnsi="Arial" w:cs="Arial"/>
          <w:szCs w:val="18"/>
          <w:lang w:bidi="en-US"/>
        </w:rPr>
        <w:t xml:space="preserve">The model explains 37.4% of the variation in ROA. Firm size (SIZE) has a positive and significant effect, while environmental </w:t>
      </w:r>
      <w:r w:rsidRPr="00F16BFD">
        <w:rPr>
          <w:rFonts w:ascii="Arial" w:hAnsi="Arial" w:cs="Arial"/>
          <w:szCs w:val="18"/>
          <w:lang w:bidi="en-US"/>
        </w:rPr>
        <w:t>performance (EDI) and managerial ownership (MOWN) are not significant.</w:t>
      </w:r>
    </w:p>
    <w:p w14:paraId="69E8750A" w14:textId="0BEC81F7" w:rsidR="002D5675" w:rsidRPr="002D5675" w:rsidRDefault="002D5675" w:rsidP="00BF283B">
      <w:pPr>
        <w:pStyle w:val="Body"/>
        <w:spacing w:after="0"/>
        <w:rPr>
          <w:rFonts w:ascii="Arial" w:hAnsi="Arial" w:cs="Arial"/>
          <w:szCs w:val="18"/>
          <w:lang w:bidi="en-US"/>
        </w:rPr>
        <w:sectPr w:rsidR="002D5675" w:rsidRPr="002D5675" w:rsidSect="00842790">
          <w:type w:val="continuous"/>
          <w:pgSz w:w="12240" w:h="15840"/>
          <w:pgMar w:top="1440" w:right="2016" w:bottom="2016" w:left="2016" w:header="720" w:footer="1123" w:gutter="0"/>
          <w:cols w:num="2" w:space="720"/>
          <w:docGrid w:linePitch="272"/>
        </w:sectPr>
      </w:pPr>
    </w:p>
    <w:p w14:paraId="21C2E0E4" w14:textId="1CE37D83" w:rsidR="002D5675" w:rsidRPr="00F16BFD" w:rsidRDefault="002D5675" w:rsidP="0034189D">
      <w:pPr>
        <w:pStyle w:val="Body"/>
        <w:spacing w:after="0"/>
        <w:rPr>
          <w:rFonts w:ascii="Arial" w:hAnsi="Arial" w:cs="Arial"/>
          <w:bCs/>
          <w:szCs w:val="18"/>
          <w:lang w:bidi="en-US"/>
        </w:rPr>
        <w:sectPr w:rsidR="002D5675" w:rsidRPr="00F16BFD" w:rsidSect="00842790">
          <w:type w:val="continuous"/>
          <w:pgSz w:w="12240" w:h="15840"/>
          <w:pgMar w:top="1440" w:right="2016" w:bottom="2016" w:left="2016" w:header="720" w:footer="1123" w:gutter="0"/>
          <w:cols w:space="720"/>
          <w:docGrid w:linePitch="272"/>
        </w:sectPr>
      </w:pPr>
    </w:p>
    <w:p w14:paraId="1584580E" w14:textId="034CE24D" w:rsidR="00B70F24" w:rsidRPr="009F158D" w:rsidRDefault="002D5675" w:rsidP="0034189D">
      <w:pPr>
        <w:pStyle w:val="Body"/>
        <w:spacing w:after="0"/>
        <w:rPr>
          <w:rFonts w:ascii="Arial" w:hAnsi="Arial" w:cs="Arial"/>
          <w:b/>
          <w:bCs/>
          <w:lang w:bidi="en-US"/>
        </w:rPr>
      </w:pPr>
      <w:r>
        <w:rPr>
          <w:rFonts w:ascii="Arial" w:hAnsi="Arial" w:cs="Arial"/>
          <w:b/>
          <w:bCs/>
          <w:sz w:val="22"/>
          <w:lang w:bidi="en-US"/>
        </w:rPr>
        <w:t>3</w:t>
      </w:r>
      <w:r w:rsidRPr="009F158D">
        <w:rPr>
          <w:rFonts w:ascii="Arial" w:hAnsi="Arial" w:cs="Arial"/>
          <w:b/>
          <w:bCs/>
          <w:lang w:bidi="en-US"/>
        </w:rPr>
        <w:t>.2 EQUATION I</w:t>
      </w:r>
      <w:r w:rsidR="002B70AA">
        <w:rPr>
          <w:rFonts w:ascii="Arial" w:hAnsi="Arial" w:cs="Arial"/>
          <w:b/>
          <w:bCs/>
          <w:lang w:bidi="en-US"/>
        </w:rPr>
        <w:t>I</w:t>
      </w:r>
    </w:p>
    <w:p w14:paraId="35655996" w14:textId="77777777" w:rsidR="002D5675" w:rsidRPr="002D5675" w:rsidRDefault="002D5675" w:rsidP="006C137D">
      <w:pPr>
        <w:jc w:val="center"/>
        <w:rPr>
          <w:rFonts w:ascii="Arial" w:hAnsi="Arial" w:cs="Arial"/>
        </w:rPr>
      </w:pPr>
      <w:r w:rsidRPr="002D5675">
        <w:rPr>
          <w:rFonts w:ascii="Arial" w:hAnsi="Arial" w:cs="Arial"/>
          <w:b/>
          <w:bCs/>
        </w:rPr>
        <w:t>Table 4. Model Selection Test Results – Equation II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907"/>
        <w:gridCol w:w="692"/>
        <w:gridCol w:w="1184"/>
      </w:tblGrid>
      <w:tr w:rsidR="002D5675" w:rsidRPr="002D5675" w14:paraId="372C7E0C" w14:textId="77777777" w:rsidTr="002D5675">
        <w:trPr>
          <w:tblHeader/>
          <w:tblCellSpacing w:w="15" w:type="dxa"/>
        </w:trPr>
        <w:tc>
          <w:tcPr>
            <w:tcW w:w="0" w:type="auto"/>
            <w:vAlign w:val="center"/>
            <w:hideMark/>
          </w:tcPr>
          <w:p w14:paraId="0C2A95A1" w14:textId="77777777" w:rsidR="002D5675" w:rsidRPr="002D5675" w:rsidRDefault="002D5675" w:rsidP="002D5675">
            <w:pPr>
              <w:jc w:val="center"/>
              <w:rPr>
                <w:rFonts w:ascii="Arial" w:hAnsi="Arial" w:cs="Arial"/>
                <w:b/>
                <w:bCs/>
              </w:rPr>
            </w:pPr>
            <w:r w:rsidRPr="002D5675">
              <w:rPr>
                <w:rFonts w:ascii="Arial" w:hAnsi="Arial" w:cs="Arial"/>
                <w:b/>
                <w:bCs/>
              </w:rPr>
              <w:t>Test</w:t>
            </w:r>
          </w:p>
        </w:tc>
        <w:tc>
          <w:tcPr>
            <w:tcW w:w="0" w:type="auto"/>
            <w:vAlign w:val="center"/>
            <w:hideMark/>
          </w:tcPr>
          <w:p w14:paraId="58BAF590" w14:textId="77777777" w:rsidR="002D5675" w:rsidRPr="002D5675" w:rsidRDefault="002D5675" w:rsidP="002D5675">
            <w:pPr>
              <w:jc w:val="center"/>
              <w:rPr>
                <w:rFonts w:ascii="Arial" w:hAnsi="Arial" w:cs="Arial"/>
                <w:b/>
                <w:bCs/>
              </w:rPr>
            </w:pPr>
            <w:r w:rsidRPr="002D5675">
              <w:rPr>
                <w:rFonts w:ascii="Arial" w:hAnsi="Arial" w:cs="Arial"/>
                <w:b/>
                <w:bCs/>
              </w:rPr>
              <w:t>Test Criteria</w:t>
            </w:r>
          </w:p>
        </w:tc>
        <w:tc>
          <w:tcPr>
            <w:tcW w:w="0" w:type="auto"/>
            <w:vAlign w:val="center"/>
            <w:hideMark/>
          </w:tcPr>
          <w:p w14:paraId="176B785F" w14:textId="77777777" w:rsidR="002D5675" w:rsidRPr="002D5675" w:rsidRDefault="002D5675" w:rsidP="002D5675">
            <w:pPr>
              <w:jc w:val="center"/>
              <w:rPr>
                <w:rFonts w:ascii="Arial" w:hAnsi="Arial" w:cs="Arial"/>
                <w:b/>
                <w:bCs/>
              </w:rPr>
            </w:pPr>
            <w:r w:rsidRPr="002D5675">
              <w:rPr>
                <w:rFonts w:ascii="Arial" w:hAnsi="Arial" w:cs="Arial"/>
                <w:b/>
                <w:bCs/>
              </w:rPr>
              <w:t>Prob.</w:t>
            </w:r>
          </w:p>
        </w:tc>
        <w:tc>
          <w:tcPr>
            <w:tcW w:w="0" w:type="auto"/>
            <w:vAlign w:val="center"/>
            <w:hideMark/>
          </w:tcPr>
          <w:p w14:paraId="10F58CF0" w14:textId="77777777" w:rsidR="002D5675" w:rsidRPr="002D5675" w:rsidRDefault="002D5675" w:rsidP="002D5675">
            <w:pPr>
              <w:jc w:val="center"/>
              <w:rPr>
                <w:rFonts w:ascii="Arial" w:hAnsi="Arial" w:cs="Arial"/>
                <w:b/>
                <w:bCs/>
              </w:rPr>
            </w:pPr>
            <w:r w:rsidRPr="002D5675">
              <w:rPr>
                <w:rFonts w:ascii="Arial" w:hAnsi="Arial" w:cs="Arial"/>
                <w:b/>
                <w:bCs/>
              </w:rPr>
              <w:t>Conclusion</w:t>
            </w:r>
          </w:p>
        </w:tc>
      </w:tr>
      <w:tr w:rsidR="002D5675" w:rsidRPr="002D5675" w14:paraId="50156A25" w14:textId="77777777" w:rsidTr="002D5675">
        <w:trPr>
          <w:tblCellSpacing w:w="15" w:type="dxa"/>
        </w:trPr>
        <w:tc>
          <w:tcPr>
            <w:tcW w:w="0" w:type="auto"/>
            <w:vAlign w:val="center"/>
            <w:hideMark/>
          </w:tcPr>
          <w:p w14:paraId="40EC684D" w14:textId="77777777" w:rsidR="002D5675" w:rsidRPr="002D5675" w:rsidRDefault="002D5675" w:rsidP="002D5675">
            <w:pPr>
              <w:rPr>
                <w:rFonts w:ascii="Arial" w:hAnsi="Arial" w:cs="Arial"/>
              </w:rPr>
            </w:pPr>
            <w:r w:rsidRPr="002D5675">
              <w:rPr>
                <w:rFonts w:ascii="Arial" w:hAnsi="Arial" w:cs="Arial"/>
              </w:rPr>
              <w:t>Chow</w:t>
            </w:r>
          </w:p>
        </w:tc>
        <w:tc>
          <w:tcPr>
            <w:tcW w:w="0" w:type="auto"/>
            <w:vAlign w:val="center"/>
            <w:hideMark/>
          </w:tcPr>
          <w:p w14:paraId="486A38ED" w14:textId="77777777" w:rsidR="002D5675" w:rsidRPr="002D5675" w:rsidRDefault="002D5675" w:rsidP="002D5675">
            <w:pPr>
              <w:rPr>
                <w:rFonts w:ascii="Arial" w:hAnsi="Arial" w:cs="Arial"/>
              </w:rPr>
            </w:pPr>
            <w:r w:rsidRPr="002D5675">
              <w:rPr>
                <w:rFonts w:ascii="Arial" w:hAnsi="Arial" w:cs="Arial"/>
              </w:rPr>
              <w:t>Cross-section F</w:t>
            </w:r>
          </w:p>
        </w:tc>
        <w:tc>
          <w:tcPr>
            <w:tcW w:w="0" w:type="auto"/>
            <w:vAlign w:val="center"/>
            <w:hideMark/>
          </w:tcPr>
          <w:p w14:paraId="2E16A59B" w14:textId="77777777" w:rsidR="002D5675" w:rsidRPr="002D5675" w:rsidRDefault="002D5675" w:rsidP="002D5675">
            <w:pPr>
              <w:jc w:val="center"/>
              <w:rPr>
                <w:rFonts w:ascii="Arial" w:hAnsi="Arial" w:cs="Arial"/>
              </w:rPr>
            </w:pPr>
            <w:r w:rsidRPr="002D5675">
              <w:rPr>
                <w:rFonts w:ascii="Arial" w:hAnsi="Arial" w:cs="Arial"/>
              </w:rPr>
              <w:t>0.0000</w:t>
            </w:r>
          </w:p>
        </w:tc>
        <w:tc>
          <w:tcPr>
            <w:tcW w:w="0" w:type="auto"/>
            <w:vAlign w:val="center"/>
            <w:hideMark/>
          </w:tcPr>
          <w:p w14:paraId="35DBE60E" w14:textId="77777777" w:rsidR="002D5675" w:rsidRPr="002D5675" w:rsidRDefault="002D5675" w:rsidP="002D5675">
            <w:pPr>
              <w:jc w:val="center"/>
              <w:rPr>
                <w:rFonts w:ascii="Arial" w:hAnsi="Arial" w:cs="Arial"/>
              </w:rPr>
            </w:pPr>
            <w:r w:rsidRPr="002D5675">
              <w:rPr>
                <w:rFonts w:ascii="Arial" w:hAnsi="Arial" w:cs="Arial"/>
              </w:rPr>
              <w:t>FEM</w:t>
            </w:r>
          </w:p>
        </w:tc>
      </w:tr>
      <w:tr w:rsidR="002D5675" w:rsidRPr="002D5675" w14:paraId="2098E8DC" w14:textId="77777777" w:rsidTr="002D5675">
        <w:trPr>
          <w:tblCellSpacing w:w="15" w:type="dxa"/>
        </w:trPr>
        <w:tc>
          <w:tcPr>
            <w:tcW w:w="0" w:type="auto"/>
            <w:vAlign w:val="center"/>
            <w:hideMark/>
          </w:tcPr>
          <w:p w14:paraId="6095FD15" w14:textId="77777777" w:rsidR="002D5675" w:rsidRPr="002D5675" w:rsidRDefault="002D5675" w:rsidP="002D5675">
            <w:pPr>
              <w:rPr>
                <w:rFonts w:ascii="Arial" w:hAnsi="Arial" w:cs="Arial"/>
              </w:rPr>
            </w:pPr>
            <w:r w:rsidRPr="002D5675">
              <w:rPr>
                <w:rFonts w:ascii="Arial" w:hAnsi="Arial" w:cs="Arial"/>
              </w:rPr>
              <w:t>Hausman</w:t>
            </w:r>
          </w:p>
        </w:tc>
        <w:tc>
          <w:tcPr>
            <w:tcW w:w="0" w:type="auto"/>
            <w:vAlign w:val="center"/>
            <w:hideMark/>
          </w:tcPr>
          <w:p w14:paraId="751B0131" w14:textId="77777777" w:rsidR="002D5675" w:rsidRPr="002D5675" w:rsidRDefault="002D5675" w:rsidP="002D5675">
            <w:pPr>
              <w:rPr>
                <w:rFonts w:ascii="Arial" w:hAnsi="Arial" w:cs="Arial"/>
              </w:rPr>
            </w:pPr>
            <w:r w:rsidRPr="002D5675">
              <w:rPr>
                <w:rFonts w:ascii="Arial" w:hAnsi="Arial" w:cs="Arial"/>
              </w:rPr>
              <w:t>Chi-square</w:t>
            </w:r>
          </w:p>
        </w:tc>
        <w:tc>
          <w:tcPr>
            <w:tcW w:w="0" w:type="auto"/>
            <w:vAlign w:val="center"/>
            <w:hideMark/>
          </w:tcPr>
          <w:p w14:paraId="2809AA97" w14:textId="77777777" w:rsidR="002D5675" w:rsidRPr="002D5675" w:rsidRDefault="002D5675" w:rsidP="002D5675">
            <w:pPr>
              <w:jc w:val="center"/>
              <w:rPr>
                <w:rFonts w:ascii="Arial" w:hAnsi="Arial" w:cs="Arial"/>
              </w:rPr>
            </w:pPr>
            <w:r w:rsidRPr="002D5675">
              <w:rPr>
                <w:rFonts w:ascii="Arial" w:hAnsi="Arial" w:cs="Arial"/>
              </w:rPr>
              <w:t>0.0000</w:t>
            </w:r>
          </w:p>
        </w:tc>
        <w:tc>
          <w:tcPr>
            <w:tcW w:w="0" w:type="auto"/>
            <w:vAlign w:val="center"/>
            <w:hideMark/>
          </w:tcPr>
          <w:p w14:paraId="15E22B04" w14:textId="77777777" w:rsidR="002D5675" w:rsidRPr="002D5675" w:rsidRDefault="002D5675" w:rsidP="002D5675">
            <w:pPr>
              <w:jc w:val="center"/>
              <w:rPr>
                <w:rFonts w:ascii="Arial" w:hAnsi="Arial" w:cs="Arial"/>
              </w:rPr>
            </w:pPr>
            <w:r w:rsidRPr="002D5675">
              <w:rPr>
                <w:rFonts w:ascii="Arial" w:hAnsi="Arial" w:cs="Arial"/>
              </w:rPr>
              <w:t>FEM</w:t>
            </w:r>
          </w:p>
        </w:tc>
      </w:tr>
    </w:tbl>
    <w:p w14:paraId="252A0070" w14:textId="77777777" w:rsidR="002D5675" w:rsidRPr="009F158D" w:rsidRDefault="002D5675" w:rsidP="002D5675">
      <w:pPr>
        <w:rPr>
          <w:rFonts w:ascii="Arial" w:hAnsi="Arial" w:cs="Arial"/>
          <w:i/>
          <w:iCs/>
        </w:rPr>
      </w:pPr>
      <w:r w:rsidRPr="002D5675">
        <w:rPr>
          <w:rFonts w:ascii="Arial" w:hAnsi="Arial" w:cs="Arial"/>
          <w:i/>
          <w:iCs/>
        </w:rPr>
        <w:t>Source: Processed data, EViews 12 (2025)</w:t>
      </w:r>
    </w:p>
    <w:p w14:paraId="3D7EA833" w14:textId="77777777" w:rsidR="002D5675" w:rsidRPr="009F158D" w:rsidRDefault="002D5675" w:rsidP="002D5675">
      <w:pPr>
        <w:spacing w:before="100" w:beforeAutospacing="1" w:after="100" w:afterAutospacing="1"/>
        <w:jc w:val="both"/>
        <w:rPr>
          <w:rFonts w:ascii="Arial" w:hAnsi="Arial" w:cs="Arial"/>
        </w:rPr>
      </w:pPr>
      <w:r w:rsidRPr="002D5675">
        <w:rPr>
          <w:rFonts w:ascii="Arial" w:hAnsi="Arial" w:cs="Arial"/>
        </w:rPr>
        <w:t>The Chow and Hausman tests confirm FEM as the most appropriate model for Equation II. The F-test is significant (Prob. = 0.0000), validating the model’s fit.</w:t>
      </w:r>
    </w:p>
    <w:p w14:paraId="076CEEF0" w14:textId="2468CE87" w:rsidR="002D5675" w:rsidRPr="002D5675" w:rsidRDefault="00165C7F" w:rsidP="006C137D">
      <w:pPr>
        <w:jc w:val="center"/>
        <w:rPr>
          <w:rFonts w:ascii="Arial" w:hAnsi="Arial" w:cs="Arial"/>
        </w:rPr>
      </w:pPr>
      <w:r>
        <w:rPr>
          <w:rFonts w:ascii="Arial" w:hAnsi="Arial" w:cs="Arial"/>
          <w:b/>
          <w:bCs/>
        </w:rPr>
        <w:t>T</w:t>
      </w:r>
      <w:r w:rsidR="002D5675" w:rsidRPr="002D5675">
        <w:rPr>
          <w:rFonts w:ascii="Arial" w:hAnsi="Arial" w:cs="Arial"/>
          <w:b/>
          <w:bCs/>
        </w:rPr>
        <w:t>able 5. Panel Regression Results – Equation II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8"/>
        <w:gridCol w:w="1000"/>
        <w:gridCol w:w="772"/>
        <w:gridCol w:w="684"/>
        <w:gridCol w:w="490"/>
      </w:tblGrid>
      <w:tr w:rsidR="004B7057" w:rsidRPr="002D5675" w14:paraId="3DB16899" w14:textId="77777777" w:rsidTr="005F07D4">
        <w:trPr>
          <w:tblHeader/>
          <w:tblCellSpacing w:w="15" w:type="dxa"/>
        </w:trPr>
        <w:tc>
          <w:tcPr>
            <w:tcW w:w="0" w:type="auto"/>
            <w:vAlign w:val="center"/>
            <w:hideMark/>
          </w:tcPr>
          <w:p w14:paraId="79172FDF"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Variable</w:t>
            </w:r>
          </w:p>
        </w:tc>
        <w:tc>
          <w:tcPr>
            <w:tcW w:w="0" w:type="auto"/>
            <w:vAlign w:val="center"/>
            <w:hideMark/>
          </w:tcPr>
          <w:p w14:paraId="0994712E"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Coefficient</w:t>
            </w:r>
          </w:p>
        </w:tc>
        <w:tc>
          <w:tcPr>
            <w:tcW w:w="0" w:type="auto"/>
            <w:vAlign w:val="center"/>
            <w:hideMark/>
          </w:tcPr>
          <w:p w14:paraId="1EC6AC3B"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t-Statistic</w:t>
            </w:r>
          </w:p>
        </w:tc>
        <w:tc>
          <w:tcPr>
            <w:tcW w:w="70" w:type="dxa"/>
            <w:vAlign w:val="center"/>
            <w:hideMark/>
          </w:tcPr>
          <w:p w14:paraId="46CA27F4"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Prob.</w:t>
            </w:r>
          </w:p>
        </w:tc>
        <w:tc>
          <w:tcPr>
            <w:tcW w:w="1029" w:type="dxa"/>
            <w:vAlign w:val="center"/>
            <w:hideMark/>
          </w:tcPr>
          <w:p w14:paraId="546B9148"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Note</w:t>
            </w:r>
          </w:p>
        </w:tc>
      </w:tr>
      <w:tr w:rsidR="004B7057" w:rsidRPr="002D5675" w14:paraId="7EF691CC" w14:textId="77777777" w:rsidTr="005F07D4">
        <w:trPr>
          <w:tblCellSpacing w:w="15" w:type="dxa"/>
        </w:trPr>
        <w:tc>
          <w:tcPr>
            <w:tcW w:w="0" w:type="auto"/>
            <w:vAlign w:val="center"/>
            <w:hideMark/>
          </w:tcPr>
          <w:p w14:paraId="5A068F92" w14:textId="77777777" w:rsidR="002D5675" w:rsidRPr="002D5675" w:rsidRDefault="002D5675" w:rsidP="002D5675">
            <w:pPr>
              <w:rPr>
                <w:rFonts w:ascii="Arial" w:hAnsi="Arial" w:cs="Arial"/>
                <w:sz w:val="18"/>
                <w:szCs w:val="18"/>
              </w:rPr>
            </w:pPr>
            <w:r w:rsidRPr="002D5675">
              <w:rPr>
                <w:rFonts w:ascii="Arial" w:hAnsi="Arial" w:cs="Arial"/>
                <w:sz w:val="18"/>
                <w:szCs w:val="18"/>
              </w:rPr>
              <w:t>C</w:t>
            </w:r>
          </w:p>
        </w:tc>
        <w:tc>
          <w:tcPr>
            <w:tcW w:w="0" w:type="auto"/>
            <w:vAlign w:val="center"/>
            <w:hideMark/>
          </w:tcPr>
          <w:p w14:paraId="48BEB3A6"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−0.938</w:t>
            </w:r>
          </w:p>
        </w:tc>
        <w:tc>
          <w:tcPr>
            <w:tcW w:w="0" w:type="auto"/>
            <w:vAlign w:val="center"/>
            <w:hideMark/>
          </w:tcPr>
          <w:p w14:paraId="56FEB873"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−1.128</w:t>
            </w:r>
          </w:p>
        </w:tc>
        <w:tc>
          <w:tcPr>
            <w:tcW w:w="70" w:type="dxa"/>
            <w:vAlign w:val="center"/>
            <w:hideMark/>
          </w:tcPr>
          <w:p w14:paraId="04F7091E"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0.2625</w:t>
            </w:r>
          </w:p>
        </w:tc>
        <w:tc>
          <w:tcPr>
            <w:tcW w:w="1029" w:type="dxa"/>
            <w:vAlign w:val="center"/>
            <w:hideMark/>
          </w:tcPr>
          <w:p w14:paraId="1425889C" w14:textId="77777777" w:rsidR="002D5675" w:rsidRPr="002D5675" w:rsidRDefault="002D5675" w:rsidP="002B70AA">
            <w:pPr>
              <w:jc w:val="center"/>
              <w:rPr>
                <w:rFonts w:ascii="Arial" w:hAnsi="Arial" w:cs="Arial"/>
                <w:sz w:val="18"/>
                <w:szCs w:val="18"/>
              </w:rPr>
            </w:pPr>
          </w:p>
        </w:tc>
      </w:tr>
      <w:tr w:rsidR="004B7057" w:rsidRPr="002D5675" w14:paraId="178FCBF7" w14:textId="77777777" w:rsidTr="005F07D4">
        <w:trPr>
          <w:tblCellSpacing w:w="15" w:type="dxa"/>
        </w:trPr>
        <w:tc>
          <w:tcPr>
            <w:tcW w:w="0" w:type="auto"/>
            <w:vAlign w:val="center"/>
            <w:hideMark/>
          </w:tcPr>
          <w:p w14:paraId="54444A1A" w14:textId="77777777" w:rsidR="002D5675" w:rsidRPr="002D5675" w:rsidRDefault="002D5675" w:rsidP="002D5675">
            <w:pPr>
              <w:rPr>
                <w:rFonts w:ascii="Arial" w:hAnsi="Arial" w:cs="Arial"/>
                <w:sz w:val="18"/>
                <w:szCs w:val="18"/>
              </w:rPr>
            </w:pPr>
            <w:r w:rsidRPr="002D5675">
              <w:rPr>
                <w:rFonts w:ascii="Arial" w:hAnsi="Arial" w:cs="Arial"/>
                <w:sz w:val="18"/>
                <w:szCs w:val="18"/>
              </w:rPr>
              <w:t>EDI</w:t>
            </w:r>
          </w:p>
        </w:tc>
        <w:tc>
          <w:tcPr>
            <w:tcW w:w="0" w:type="auto"/>
            <w:vAlign w:val="center"/>
            <w:hideMark/>
          </w:tcPr>
          <w:p w14:paraId="5ADB9F2F"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−0.072</w:t>
            </w:r>
          </w:p>
        </w:tc>
        <w:tc>
          <w:tcPr>
            <w:tcW w:w="0" w:type="auto"/>
            <w:vAlign w:val="center"/>
            <w:hideMark/>
          </w:tcPr>
          <w:p w14:paraId="3676C2D0"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−1.404</w:t>
            </w:r>
          </w:p>
        </w:tc>
        <w:tc>
          <w:tcPr>
            <w:tcW w:w="70" w:type="dxa"/>
            <w:vAlign w:val="center"/>
            <w:hideMark/>
          </w:tcPr>
          <w:p w14:paraId="051C7F41"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0.1638</w:t>
            </w:r>
          </w:p>
        </w:tc>
        <w:tc>
          <w:tcPr>
            <w:tcW w:w="1029" w:type="dxa"/>
            <w:vAlign w:val="center"/>
            <w:hideMark/>
          </w:tcPr>
          <w:p w14:paraId="314AA45A" w14:textId="77777777" w:rsidR="002D5675" w:rsidRPr="002D5675" w:rsidRDefault="002D5675" w:rsidP="002B70AA">
            <w:pPr>
              <w:jc w:val="center"/>
              <w:rPr>
                <w:rFonts w:ascii="Arial" w:hAnsi="Arial" w:cs="Arial"/>
                <w:sz w:val="18"/>
                <w:szCs w:val="18"/>
              </w:rPr>
            </w:pPr>
          </w:p>
        </w:tc>
      </w:tr>
      <w:tr w:rsidR="004B7057" w:rsidRPr="002D5675" w14:paraId="704266ED" w14:textId="77777777" w:rsidTr="005F07D4">
        <w:trPr>
          <w:tblCellSpacing w:w="15" w:type="dxa"/>
        </w:trPr>
        <w:tc>
          <w:tcPr>
            <w:tcW w:w="0" w:type="auto"/>
            <w:vAlign w:val="center"/>
            <w:hideMark/>
          </w:tcPr>
          <w:p w14:paraId="02909036" w14:textId="77777777" w:rsidR="002D5675" w:rsidRPr="002D5675" w:rsidRDefault="002D5675" w:rsidP="002D5675">
            <w:pPr>
              <w:rPr>
                <w:rFonts w:ascii="Arial" w:hAnsi="Arial" w:cs="Arial"/>
                <w:sz w:val="18"/>
                <w:szCs w:val="18"/>
              </w:rPr>
            </w:pPr>
            <w:r w:rsidRPr="002D5675">
              <w:rPr>
                <w:rFonts w:ascii="Arial" w:hAnsi="Arial" w:cs="Arial"/>
                <w:sz w:val="18"/>
                <w:szCs w:val="18"/>
              </w:rPr>
              <w:t>SIZE</w:t>
            </w:r>
          </w:p>
        </w:tc>
        <w:tc>
          <w:tcPr>
            <w:tcW w:w="0" w:type="auto"/>
            <w:vAlign w:val="center"/>
            <w:hideMark/>
          </w:tcPr>
          <w:p w14:paraId="7EF9140C"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0.059</w:t>
            </w:r>
          </w:p>
        </w:tc>
        <w:tc>
          <w:tcPr>
            <w:tcW w:w="0" w:type="auto"/>
            <w:vAlign w:val="center"/>
            <w:hideMark/>
          </w:tcPr>
          <w:p w14:paraId="3483058D"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2.010</w:t>
            </w:r>
          </w:p>
        </w:tc>
        <w:tc>
          <w:tcPr>
            <w:tcW w:w="70" w:type="dxa"/>
            <w:vAlign w:val="center"/>
            <w:hideMark/>
          </w:tcPr>
          <w:p w14:paraId="2178C013"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0.0476</w:t>
            </w:r>
          </w:p>
        </w:tc>
        <w:tc>
          <w:tcPr>
            <w:tcW w:w="1029" w:type="dxa"/>
            <w:vAlign w:val="center"/>
            <w:hideMark/>
          </w:tcPr>
          <w:p w14:paraId="306D682E"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w:t>
            </w:r>
          </w:p>
        </w:tc>
      </w:tr>
      <w:tr w:rsidR="004B7057" w:rsidRPr="002D5675" w14:paraId="6B3DCEC3" w14:textId="77777777" w:rsidTr="005F07D4">
        <w:trPr>
          <w:tblCellSpacing w:w="15" w:type="dxa"/>
        </w:trPr>
        <w:tc>
          <w:tcPr>
            <w:tcW w:w="0" w:type="auto"/>
            <w:vAlign w:val="center"/>
            <w:hideMark/>
          </w:tcPr>
          <w:p w14:paraId="3E739778" w14:textId="77777777" w:rsidR="002D5675" w:rsidRPr="002D5675" w:rsidRDefault="002D5675" w:rsidP="002D5675">
            <w:pPr>
              <w:rPr>
                <w:rFonts w:ascii="Arial" w:hAnsi="Arial" w:cs="Arial"/>
                <w:sz w:val="18"/>
                <w:szCs w:val="18"/>
              </w:rPr>
            </w:pPr>
            <w:r w:rsidRPr="002D5675">
              <w:rPr>
                <w:rFonts w:ascii="Arial" w:hAnsi="Arial" w:cs="Arial"/>
                <w:sz w:val="18"/>
                <w:szCs w:val="18"/>
              </w:rPr>
              <w:t>MOWN</w:t>
            </w:r>
          </w:p>
        </w:tc>
        <w:tc>
          <w:tcPr>
            <w:tcW w:w="0" w:type="auto"/>
            <w:vAlign w:val="center"/>
            <w:hideMark/>
          </w:tcPr>
          <w:p w14:paraId="7386BCB8"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0.002</w:t>
            </w:r>
          </w:p>
        </w:tc>
        <w:tc>
          <w:tcPr>
            <w:tcW w:w="0" w:type="auto"/>
            <w:vAlign w:val="center"/>
            <w:hideMark/>
          </w:tcPr>
          <w:p w14:paraId="1302CECA"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1.920</w:t>
            </w:r>
          </w:p>
        </w:tc>
        <w:tc>
          <w:tcPr>
            <w:tcW w:w="70" w:type="dxa"/>
            <w:vAlign w:val="center"/>
            <w:hideMark/>
          </w:tcPr>
          <w:p w14:paraId="6DC3DD3E"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0.0582</w:t>
            </w:r>
          </w:p>
        </w:tc>
        <w:tc>
          <w:tcPr>
            <w:tcW w:w="1029" w:type="dxa"/>
            <w:vAlign w:val="center"/>
            <w:hideMark/>
          </w:tcPr>
          <w:p w14:paraId="0E0B86C4"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w:t>
            </w:r>
          </w:p>
        </w:tc>
      </w:tr>
      <w:tr w:rsidR="004B7057" w:rsidRPr="002D5675" w14:paraId="044D0505" w14:textId="77777777" w:rsidTr="005F07D4">
        <w:trPr>
          <w:tblCellSpacing w:w="15" w:type="dxa"/>
        </w:trPr>
        <w:tc>
          <w:tcPr>
            <w:tcW w:w="0" w:type="auto"/>
            <w:vAlign w:val="center"/>
            <w:hideMark/>
          </w:tcPr>
          <w:p w14:paraId="3D320C92" w14:textId="77777777" w:rsidR="002D5675" w:rsidRPr="002D5675" w:rsidRDefault="002D5675" w:rsidP="002D5675">
            <w:pPr>
              <w:rPr>
                <w:rFonts w:ascii="Arial" w:hAnsi="Arial" w:cs="Arial"/>
                <w:sz w:val="18"/>
                <w:szCs w:val="18"/>
              </w:rPr>
            </w:pPr>
            <w:r w:rsidRPr="002D5675">
              <w:rPr>
                <w:rFonts w:ascii="Arial" w:hAnsi="Arial" w:cs="Arial"/>
                <w:sz w:val="18"/>
                <w:szCs w:val="18"/>
              </w:rPr>
              <w:t>ERM</w:t>
            </w:r>
          </w:p>
        </w:tc>
        <w:tc>
          <w:tcPr>
            <w:tcW w:w="0" w:type="auto"/>
            <w:vAlign w:val="center"/>
            <w:hideMark/>
          </w:tcPr>
          <w:p w14:paraId="44190F16"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−1.253</w:t>
            </w:r>
          </w:p>
        </w:tc>
        <w:tc>
          <w:tcPr>
            <w:tcW w:w="0" w:type="auto"/>
            <w:vAlign w:val="center"/>
            <w:hideMark/>
          </w:tcPr>
          <w:p w14:paraId="106494DD"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−2.190</w:t>
            </w:r>
          </w:p>
        </w:tc>
        <w:tc>
          <w:tcPr>
            <w:tcW w:w="70" w:type="dxa"/>
            <w:vAlign w:val="center"/>
            <w:hideMark/>
          </w:tcPr>
          <w:p w14:paraId="7DAF9BE7"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0.0312</w:t>
            </w:r>
          </w:p>
        </w:tc>
        <w:tc>
          <w:tcPr>
            <w:tcW w:w="1029" w:type="dxa"/>
            <w:vAlign w:val="center"/>
            <w:hideMark/>
          </w:tcPr>
          <w:p w14:paraId="54FCE0E8"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w:t>
            </w:r>
          </w:p>
        </w:tc>
      </w:tr>
      <w:tr w:rsidR="009F158D" w:rsidRPr="002D5675" w14:paraId="3C0E79DA" w14:textId="77777777" w:rsidTr="005F07D4">
        <w:trPr>
          <w:tblCellSpacing w:w="15" w:type="dxa"/>
        </w:trPr>
        <w:tc>
          <w:tcPr>
            <w:tcW w:w="0" w:type="auto"/>
            <w:vAlign w:val="center"/>
          </w:tcPr>
          <w:p w14:paraId="32DBCAEE" w14:textId="77777777" w:rsidR="009F158D" w:rsidRPr="002D5675" w:rsidRDefault="009F158D" w:rsidP="002D5675">
            <w:pPr>
              <w:rPr>
                <w:rFonts w:ascii="Arial" w:hAnsi="Arial" w:cs="Arial"/>
                <w:sz w:val="18"/>
                <w:szCs w:val="18"/>
              </w:rPr>
            </w:pPr>
          </w:p>
        </w:tc>
        <w:tc>
          <w:tcPr>
            <w:tcW w:w="0" w:type="auto"/>
            <w:vAlign w:val="center"/>
          </w:tcPr>
          <w:p w14:paraId="3504C87B" w14:textId="77777777" w:rsidR="009F158D" w:rsidRPr="002D5675" w:rsidRDefault="009F158D" w:rsidP="002B70AA">
            <w:pPr>
              <w:jc w:val="center"/>
              <w:rPr>
                <w:rFonts w:ascii="Arial" w:hAnsi="Arial" w:cs="Arial"/>
                <w:sz w:val="18"/>
                <w:szCs w:val="18"/>
              </w:rPr>
            </w:pPr>
          </w:p>
        </w:tc>
        <w:tc>
          <w:tcPr>
            <w:tcW w:w="0" w:type="auto"/>
            <w:vAlign w:val="center"/>
          </w:tcPr>
          <w:p w14:paraId="138BDD1F" w14:textId="77777777" w:rsidR="009F158D" w:rsidRPr="002D5675" w:rsidRDefault="009F158D" w:rsidP="002B70AA">
            <w:pPr>
              <w:jc w:val="center"/>
              <w:rPr>
                <w:rFonts w:ascii="Arial" w:hAnsi="Arial" w:cs="Arial"/>
                <w:sz w:val="18"/>
                <w:szCs w:val="18"/>
              </w:rPr>
            </w:pPr>
          </w:p>
        </w:tc>
        <w:tc>
          <w:tcPr>
            <w:tcW w:w="70" w:type="dxa"/>
            <w:vAlign w:val="center"/>
          </w:tcPr>
          <w:p w14:paraId="77AE97D8" w14:textId="77777777" w:rsidR="009F158D" w:rsidRPr="002D5675" w:rsidRDefault="009F158D" w:rsidP="002B70AA">
            <w:pPr>
              <w:jc w:val="center"/>
              <w:rPr>
                <w:rFonts w:ascii="Arial" w:hAnsi="Arial" w:cs="Arial"/>
                <w:sz w:val="18"/>
                <w:szCs w:val="18"/>
              </w:rPr>
            </w:pPr>
          </w:p>
        </w:tc>
        <w:tc>
          <w:tcPr>
            <w:tcW w:w="1029" w:type="dxa"/>
            <w:vAlign w:val="center"/>
          </w:tcPr>
          <w:p w14:paraId="00043268" w14:textId="77777777" w:rsidR="009F158D" w:rsidRPr="002D5675" w:rsidRDefault="009F158D" w:rsidP="002B70AA">
            <w:pPr>
              <w:jc w:val="center"/>
              <w:rPr>
                <w:rFonts w:ascii="Arial" w:hAnsi="Arial" w:cs="Arial"/>
                <w:sz w:val="18"/>
                <w:szCs w:val="18"/>
              </w:rPr>
            </w:pPr>
          </w:p>
        </w:tc>
      </w:tr>
      <w:tr w:rsidR="004B7057" w:rsidRPr="002D5675" w14:paraId="23551E08" w14:textId="77777777" w:rsidTr="005F07D4">
        <w:trPr>
          <w:tblCellSpacing w:w="15" w:type="dxa"/>
        </w:trPr>
        <w:tc>
          <w:tcPr>
            <w:tcW w:w="0" w:type="auto"/>
            <w:vAlign w:val="center"/>
          </w:tcPr>
          <w:p w14:paraId="738A0216" w14:textId="7F28DFDC" w:rsidR="004B7057" w:rsidRPr="002D5675" w:rsidRDefault="004B7057" w:rsidP="004B7057">
            <w:pPr>
              <w:rPr>
                <w:rFonts w:ascii="Arial" w:hAnsi="Arial" w:cs="Arial"/>
                <w:sz w:val="18"/>
                <w:szCs w:val="18"/>
              </w:rPr>
            </w:pPr>
            <w:r>
              <w:rPr>
                <w:rFonts w:ascii="Arial" w:hAnsi="Arial" w:cs="Arial"/>
                <w:bCs/>
                <w:szCs w:val="18"/>
                <w:lang w:bidi="en-US"/>
              </w:rPr>
              <w:t>F-statistic</w:t>
            </w:r>
          </w:p>
        </w:tc>
        <w:tc>
          <w:tcPr>
            <w:tcW w:w="0" w:type="auto"/>
            <w:vAlign w:val="center"/>
          </w:tcPr>
          <w:p w14:paraId="107F0B98" w14:textId="128246DE" w:rsidR="004B7057" w:rsidRPr="002D5675" w:rsidRDefault="004B7057" w:rsidP="002B70AA">
            <w:pPr>
              <w:jc w:val="center"/>
              <w:rPr>
                <w:rFonts w:ascii="Arial" w:hAnsi="Arial" w:cs="Arial"/>
                <w:sz w:val="18"/>
                <w:szCs w:val="18"/>
              </w:rPr>
            </w:pPr>
          </w:p>
        </w:tc>
        <w:tc>
          <w:tcPr>
            <w:tcW w:w="0" w:type="auto"/>
            <w:vAlign w:val="center"/>
          </w:tcPr>
          <w:p w14:paraId="74EC7499" w14:textId="213F5AAC" w:rsidR="004B7057" w:rsidRPr="002D5675" w:rsidRDefault="005F07D4" w:rsidP="002B70AA">
            <w:pPr>
              <w:jc w:val="center"/>
              <w:rPr>
                <w:rFonts w:ascii="Arial" w:hAnsi="Arial" w:cs="Arial"/>
                <w:sz w:val="18"/>
                <w:szCs w:val="18"/>
              </w:rPr>
            </w:pPr>
            <w:r w:rsidRPr="00F16BFD">
              <w:rPr>
                <w:rFonts w:ascii="Arial" w:hAnsi="Arial" w:cs="Arial"/>
                <w:szCs w:val="18"/>
                <w:lang w:bidi="en-US"/>
              </w:rPr>
              <w:t>1.630</w:t>
            </w:r>
          </w:p>
        </w:tc>
        <w:tc>
          <w:tcPr>
            <w:tcW w:w="70" w:type="dxa"/>
            <w:vAlign w:val="center"/>
          </w:tcPr>
          <w:p w14:paraId="2E41FC22" w14:textId="71427C16" w:rsidR="004B7057" w:rsidRPr="002D5675" w:rsidRDefault="005F07D4" w:rsidP="002B70AA">
            <w:pPr>
              <w:jc w:val="center"/>
              <w:rPr>
                <w:rFonts w:ascii="Arial" w:hAnsi="Arial" w:cs="Arial"/>
                <w:sz w:val="18"/>
                <w:szCs w:val="18"/>
              </w:rPr>
            </w:pPr>
            <w:r w:rsidRPr="00F16BFD">
              <w:rPr>
                <w:rFonts w:ascii="Arial" w:hAnsi="Arial" w:cs="Arial"/>
                <w:szCs w:val="18"/>
                <w:lang w:bidi="en-US"/>
              </w:rPr>
              <w:t>0.0386</w:t>
            </w:r>
          </w:p>
        </w:tc>
        <w:tc>
          <w:tcPr>
            <w:tcW w:w="1029" w:type="dxa"/>
            <w:vAlign w:val="center"/>
          </w:tcPr>
          <w:p w14:paraId="34726338" w14:textId="77777777" w:rsidR="004B7057" w:rsidRPr="002D5675" w:rsidRDefault="004B7057" w:rsidP="002B70AA">
            <w:pPr>
              <w:jc w:val="center"/>
              <w:rPr>
                <w:rFonts w:ascii="Arial" w:hAnsi="Arial" w:cs="Arial"/>
                <w:sz w:val="18"/>
                <w:szCs w:val="18"/>
              </w:rPr>
            </w:pPr>
          </w:p>
        </w:tc>
      </w:tr>
      <w:tr w:rsidR="004B7057" w:rsidRPr="002D5675" w14:paraId="162AC415" w14:textId="77777777" w:rsidTr="005F07D4">
        <w:trPr>
          <w:tblCellSpacing w:w="15" w:type="dxa"/>
        </w:trPr>
        <w:tc>
          <w:tcPr>
            <w:tcW w:w="0" w:type="auto"/>
            <w:vAlign w:val="center"/>
          </w:tcPr>
          <w:p w14:paraId="4B5AB590" w14:textId="5C10CAE0" w:rsidR="004B7057" w:rsidRPr="002D5675" w:rsidRDefault="004B7057" w:rsidP="004B7057">
            <w:pPr>
              <w:rPr>
                <w:rFonts w:ascii="Arial" w:hAnsi="Arial" w:cs="Arial"/>
                <w:sz w:val="18"/>
                <w:szCs w:val="18"/>
              </w:rPr>
            </w:pPr>
            <w:r>
              <w:rPr>
                <w:rFonts w:ascii="Arial" w:hAnsi="Arial" w:cs="Arial"/>
                <w:bCs/>
                <w:szCs w:val="18"/>
                <w:lang w:bidi="en-US"/>
              </w:rPr>
              <w:t>R</w:t>
            </w:r>
            <w:r>
              <w:rPr>
                <w:rFonts w:ascii="Arial" w:hAnsi="Arial" w:cs="Arial"/>
                <w:bCs/>
                <w:szCs w:val="18"/>
                <w:vertAlign w:val="superscript"/>
                <w:lang w:bidi="en-US"/>
              </w:rPr>
              <w:t>2</w:t>
            </w:r>
          </w:p>
        </w:tc>
        <w:tc>
          <w:tcPr>
            <w:tcW w:w="0" w:type="auto"/>
            <w:vAlign w:val="center"/>
          </w:tcPr>
          <w:p w14:paraId="71F437FE" w14:textId="0B43C965" w:rsidR="004B7057" w:rsidRPr="002D5675" w:rsidRDefault="004B7057" w:rsidP="004B7057">
            <w:pPr>
              <w:rPr>
                <w:rFonts w:ascii="Arial" w:hAnsi="Arial" w:cs="Arial"/>
                <w:sz w:val="18"/>
                <w:szCs w:val="18"/>
              </w:rPr>
            </w:pPr>
            <w:r>
              <w:rPr>
                <w:rFonts w:ascii="Arial" w:hAnsi="Arial" w:cs="Arial"/>
                <w:bCs/>
                <w:szCs w:val="18"/>
                <w:lang w:bidi="en-US"/>
              </w:rPr>
              <w:t>0.374</w:t>
            </w:r>
          </w:p>
        </w:tc>
        <w:tc>
          <w:tcPr>
            <w:tcW w:w="0" w:type="auto"/>
            <w:vAlign w:val="center"/>
          </w:tcPr>
          <w:p w14:paraId="4114ED94" w14:textId="77777777" w:rsidR="004B7057" w:rsidRPr="002D5675" w:rsidRDefault="004B7057" w:rsidP="004B7057">
            <w:pPr>
              <w:rPr>
                <w:rFonts w:ascii="Arial" w:hAnsi="Arial" w:cs="Arial"/>
                <w:sz w:val="18"/>
                <w:szCs w:val="18"/>
              </w:rPr>
            </w:pPr>
          </w:p>
        </w:tc>
        <w:tc>
          <w:tcPr>
            <w:tcW w:w="70" w:type="dxa"/>
            <w:vAlign w:val="center"/>
          </w:tcPr>
          <w:p w14:paraId="5AEB2C98" w14:textId="77777777" w:rsidR="004B7057" w:rsidRPr="002D5675" w:rsidRDefault="004B7057" w:rsidP="004B7057">
            <w:pPr>
              <w:rPr>
                <w:rFonts w:ascii="Arial" w:hAnsi="Arial" w:cs="Arial"/>
                <w:sz w:val="18"/>
                <w:szCs w:val="18"/>
              </w:rPr>
            </w:pPr>
          </w:p>
        </w:tc>
        <w:tc>
          <w:tcPr>
            <w:tcW w:w="1029" w:type="dxa"/>
            <w:vAlign w:val="center"/>
          </w:tcPr>
          <w:p w14:paraId="0B1A974B" w14:textId="77777777" w:rsidR="004B7057" w:rsidRPr="002D5675" w:rsidRDefault="004B7057" w:rsidP="004B7057">
            <w:pPr>
              <w:rPr>
                <w:rFonts w:ascii="Arial" w:hAnsi="Arial" w:cs="Arial"/>
                <w:sz w:val="18"/>
                <w:szCs w:val="18"/>
              </w:rPr>
            </w:pPr>
          </w:p>
        </w:tc>
      </w:tr>
    </w:tbl>
    <w:p w14:paraId="19C6310A" w14:textId="7FFDBA09" w:rsidR="002D5675" w:rsidRPr="002D5675" w:rsidRDefault="002D5675" w:rsidP="004B7057">
      <w:pPr>
        <w:rPr>
          <w:rFonts w:ascii="Arial" w:hAnsi="Arial" w:cs="Arial"/>
        </w:rPr>
      </w:pPr>
      <w:r w:rsidRPr="002D5675">
        <w:rPr>
          <w:rFonts w:ascii="Arial" w:hAnsi="Arial" w:cs="Arial"/>
        </w:rPr>
        <w:br/>
      </w:r>
      <w:r w:rsidRPr="002D5675">
        <w:rPr>
          <w:rFonts w:ascii="Arial" w:hAnsi="Arial" w:cs="Arial"/>
          <w:i/>
          <w:iCs/>
        </w:rPr>
        <w:t xml:space="preserve">Notes: ** = significant at 5%; * = </w:t>
      </w:r>
      <w:r w:rsidRPr="002D5675">
        <w:rPr>
          <w:rFonts w:ascii="Arial" w:hAnsi="Arial" w:cs="Arial"/>
          <w:i/>
          <w:iCs/>
        </w:rPr>
        <w:lastRenderedPageBreak/>
        <w:t>significant at 10%</w:t>
      </w:r>
      <w:r w:rsidRPr="002D5675">
        <w:rPr>
          <w:rFonts w:ascii="Arial" w:hAnsi="Arial" w:cs="Arial"/>
        </w:rPr>
        <w:br/>
      </w:r>
      <w:r w:rsidRPr="002D5675">
        <w:rPr>
          <w:rFonts w:ascii="Arial" w:hAnsi="Arial" w:cs="Arial"/>
          <w:i/>
          <w:iCs/>
        </w:rPr>
        <w:t>Source: Processed data, EViews 12 (2025)</w:t>
      </w:r>
    </w:p>
    <w:p w14:paraId="63540427" w14:textId="1C18EFBA" w:rsidR="002D5675" w:rsidRDefault="002D5675" w:rsidP="004B7057">
      <w:pPr>
        <w:spacing w:before="100" w:beforeAutospacing="1" w:after="100" w:afterAutospacing="1"/>
        <w:jc w:val="both"/>
        <w:rPr>
          <w:rFonts w:ascii="Arial" w:hAnsi="Arial" w:cs="Arial"/>
        </w:rPr>
      </w:pPr>
      <w:r w:rsidRPr="002D5675">
        <w:rPr>
          <w:rFonts w:ascii="Arial" w:hAnsi="Arial" w:cs="Arial"/>
        </w:rPr>
        <w:t xml:space="preserve"> ERM included, the explanatory power of the model increases to 75.13%. Significant variables are SIZE (positive, 5%), MOWN (positive, 10%), and ERM (negative, 5%).</w:t>
      </w:r>
    </w:p>
    <w:p w14:paraId="705A9986" w14:textId="09837125" w:rsidR="00165C7F" w:rsidRPr="009F158D" w:rsidRDefault="00165C7F" w:rsidP="00165C7F">
      <w:pPr>
        <w:pStyle w:val="Body"/>
        <w:spacing w:after="0"/>
        <w:rPr>
          <w:rFonts w:ascii="Arial" w:hAnsi="Arial" w:cs="Arial"/>
          <w:b/>
          <w:bCs/>
          <w:lang w:bidi="en-US"/>
        </w:rPr>
      </w:pPr>
      <w:r>
        <w:rPr>
          <w:rFonts w:ascii="Arial" w:hAnsi="Arial" w:cs="Arial"/>
          <w:b/>
          <w:bCs/>
          <w:sz w:val="22"/>
          <w:lang w:bidi="en-US"/>
        </w:rPr>
        <w:t>3</w:t>
      </w:r>
      <w:r w:rsidRPr="009F158D">
        <w:rPr>
          <w:rFonts w:ascii="Arial" w:hAnsi="Arial" w:cs="Arial"/>
          <w:b/>
          <w:bCs/>
          <w:lang w:bidi="en-US"/>
        </w:rPr>
        <w:t>.</w:t>
      </w:r>
      <w:r>
        <w:rPr>
          <w:rFonts w:ascii="Arial" w:hAnsi="Arial" w:cs="Arial"/>
          <w:b/>
          <w:bCs/>
          <w:lang w:bidi="en-US"/>
        </w:rPr>
        <w:t xml:space="preserve">3 </w:t>
      </w:r>
      <w:r w:rsidRPr="009F158D">
        <w:rPr>
          <w:rFonts w:ascii="Arial" w:hAnsi="Arial" w:cs="Arial"/>
          <w:b/>
          <w:bCs/>
          <w:lang w:bidi="en-US"/>
        </w:rPr>
        <w:t>EQUATION I</w:t>
      </w:r>
      <w:r w:rsidR="002B70AA">
        <w:rPr>
          <w:rFonts w:ascii="Arial" w:hAnsi="Arial" w:cs="Arial"/>
          <w:b/>
          <w:bCs/>
          <w:lang w:bidi="en-US"/>
        </w:rPr>
        <w:t>II</w:t>
      </w:r>
    </w:p>
    <w:p w14:paraId="5EC09FFD" w14:textId="5F3AC2E1" w:rsidR="00165C7F" w:rsidRPr="002D5675" w:rsidRDefault="00165C7F" w:rsidP="00165C7F">
      <w:pPr>
        <w:jc w:val="center"/>
        <w:rPr>
          <w:rFonts w:ascii="Arial" w:hAnsi="Arial" w:cs="Arial"/>
        </w:rPr>
      </w:pPr>
      <w:r w:rsidRPr="002D5675">
        <w:rPr>
          <w:rFonts w:ascii="Arial" w:hAnsi="Arial" w:cs="Arial"/>
          <w:b/>
          <w:bCs/>
        </w:rPr>
        <w:t xml:space="preserve">Table </w:t>
      </w:r>
      <w:r>
        <w:rPr>
          <w:rFonts w:ascii="Arial" w:hAnsi="Arial" w:cs="Arial"/>
          <w:b/>
          <w:bCs/>
        </w:rPr>
        <w:t>6</w:t>
      </w:r>
      <w:r w:rsidRPr="002D5675">
        <w:rPr>
          <w:rFonts w:ascii="Arial" w:hAnsi="Arial" w:cs="Arial"/>
          <w:b/>
          <w:bCs/>
        </w:rPr>
        <w:t>. Model Selection Test Results –Equation II</w:t>
      </w:r>
      <w:r>
        <w:rPr>
          <w:rFonts w:ascii="Arial" w:hAnsi="Arial" w:cs="Arial"/>
          <w:b/>
          <w:bCs/>
        </w:rPr>
        <w:t>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907"/>
        <w:gridCol w:w="692"/>
        <w:gridCol w:w="1184"/>
      </w:tblGrid>
      <w:tr w:rsidR="00ED0056" w:rsidRPr="00ED0056" w14:paraId="2466BDCB" w14:textId="77777777" w:rsidTr="00ED0056">
        <w:trPr>
          <w:tblHeader/>
          <w:tblCellSpacing w:w="15" w:type="dxa"/>
        </w:trPr>
        <w:tc>
          <w:tcPr>
            <w:tcW w:w="0" w:type="auto"/>
            <w:vAlign w:val="center"/>
            <w:hideMark/>
          </w:tcPr>
          <w:p w14:paraId="2C4C0CA8" w14:textId="77777777" w:rsidR="00ED0056" w:rsidRPr="00ED0056" w:rsidRDefault="00ED0056" w:rsidP="00ED0056">
            <w:pPr>
              <w:pStyle w:val="Body"/>
              <w:spacing w:after="0"/>
              <w:rPr>
                <w:rFonts w:ascii="Arial" w:hAnsi="Arial" w:cs="Arial"/>
                <w:b/>
                <w:bCs/>
                <w:szCs w:val="18"/>
                <w:lang w:bidi="en-US"/>
              </w:rPr>
            </w:pPr>
            <w:r w:rsidRPr="00ED0056">
              <w:rPr>
                <w:rFonts w:ascii="Arial" w:hAnsi="Arial" w:cs="Arial"/>
                <w:b/>
                <w:bCs/>
                <w:szCs w:val="18"/>
                <w:lang w:bidi="en-US"/>
              </w:rPr>
              <w:t>Test</w:t>
            </w:r>
          </w:p>
        </w:tc>
        <w:tc>
          <w:tcPr>
            <w:tcW w:w="0" w:type="auto"/>
            <w:vAlign w:val="center"/>
            <w:hideMark/>
          </w:tcPr>
          <w:p w14:paraId="7C8E4F9C" w14:textId="77777777" w:rsidR="00ED0056" w:rsidRPr="00ED0056" w:rsidRDefault="00ED0056" w:rsidP="00ED0056">
            <w:pPr>
              <w:pStyle w:val="Body"/>
              <w:spacing w:after="0"/>
              <w:rPr>
                <w:rFonts w:ascii="Arial" w:hAnsi="Arial" w:cs="Arial"/>
                <w:b/>
                <w:bCs/>
                <w:szCs w:val="18"/>
                <w:lang w:bidi="en-US"/>
              </w:rPr>
            </w:pPr>
            <w:r w:rsidRPr="00ED0056">
              <w:rPr>
                <w:rFonts w:ascii="Arial" w:hAnsi="Arial" w:cs="Arial"/>
                <w:b/>
                <w:bCs/>
                <w:szCs w:val="18"/>
                <w:lang w:bidi="en-US"/>
              </w:rPr>
              <w:t>Test Criteria</w:t>
            </w:r>
          </w:p>
        </w:tc>
        <w:tc>
          <w:tcPr>
            <w:tcW w:w="0" w:type="auto"/>
            <w:vAlign w:val="center"/>
            <w:hideMark/>
          </w:tcPr>
          <w:p w14:paraId="7A9117EB" w14:textId="77777777" w:rsidR="00ED0056" w:rsidRPr="00ED0056" w:rsidRDefault="00ED0056" w:rsidP="00ED0056">
            <w:pPr>
              <w:pStyle w:val="Body"/>
              <w:spacing w:after="0"/>
              <w:rPr>
                <w:rFonts w:ascii="Arial" w:hAnsi="Arial" w:cs="Arial"/>
                <w:b/>
                <w:bCs/>
                <w:szCs w:val="18"/>
                <w:lang w:bidi="en-US"/>
              </w:rPr>
            </w:pPr>
            <w:r w:rsidRPr="00ED0056">
              <w:rPr>
                <w:rFonts w:ascii="Arial" w:hAnsi="Arial" w:cs="Arial"/>
                <w:b/>
                <w:bCs/>
                <w:szCs w:val="18"/>
                <w:lang w:bidi="en-US"/>
              </w:rPr>
              <w:t>Prob.</w:t>
            </w:r>
          </w:p>
        </w:tc>
        <w:tc>
          <w:tcPr>
            <w:tcW w:w="0" w:type="auto"/>
            <w:vAlign w:val="center"/>
            <w:hideMark/>
          </w:tcPr>
          <w:p w14:paraId="2B4F8324" w14:textId="77777777" w:rsidR="00ED0056" w:rsidRPr="00ED0056" w:rsidRDefault="00ED0056" w:rsidP="00ED0056">
            <w:pPr>
              <w:pStyle w:val="Body"/>
              <w:spacing w:after="0"/>
              <w:rPr>
                <w:rFonts w:ascii="Arial" w:hAnsi="Arial" w:cs="Arial"/>
                <w:b/>
                <w:bCs/>
                <w:szCs w:val="18"/>
                <w:lang w:bidi="en-US"/>
              </w:rPr>
            </w:pPr>
            <w:r w:rsidRPr="00ED0056">
              <w:rPr>
                <w:rFonts w:ascii="Arial" w:hAnsi="Arial" w:cs="Arial"/>
                <w:b/>
                <w:bCs/>
                <w:szCs w:val="18"/>
                <w:lang w:bidi="en-US"/>
              </w:rPr>
              <w:t>Conclusion</w:t>
            </w:r>
          </w:p>
        </w:tc>
      </w:tr>
      <w:tr w:rsidR="00ED0056" w:rsidRPr="00ED0056" w14:paraId="15C26BB1" w14:textId="77777777" w:rsidTr="00ED0056">
        <w:trPr>
          <w:tblCellSpacing w:w="15" w:type="dxa"/>
        </w:trPr>
        <w:tc>
          <w:tcPr>
            <w:tcW w:w="0" w:type="auto"/>
            <w:vAlign w:val="center"/>
            <w:hideMark/>
          </w:tcPr>
          <w:p w14:paraId="148BD3B0" w14:textId="77777777" w:rsidR="00ED0056" w:rsidRPr="00ED0056" w:rsidRDefault="00ED0056" w:rsidP="00ED0056">
            <w:pPr>
              <w:pStyle w:val="Body"/>
              <w:spacing w:after="0"/>
              <w:rPr>
                <w:rFonts w:ascii="Arial" w:hAnsi="Arial" w:cs="Arial"/>
                <w:szCs w:val="18"/>
                <w:lang w:bidi="en-US"/>
              </w:rPr>
            </w:pPr>
            <w:r w:rsidRPr="00ED0056">
              <w:rPr>
                <w:rFonts w:ascii="Arial" w:hAnsi="Arial" w:cs="Arial"/>
                <w:szCs w:val="18"/>
                <w:lang w:bidi="en-US"/>
              </w:rPr>
              <w:t>Chow</w:t>
            </w:r>
          </w:p>
        </w:tc>
        <w:tc>
          <w:tcPr>
            <w:tcW w:w="0" w:type="auto"/>
            <w:vAlign w:val="center"/>
            <w:hideMark/>
          </w:tcPr>
          <w:p w14:paraId="5344D097" w14:textId="77777777" w:rsidR="00ED0056" w:rsidRPr="00ED0056" w:rsidRDefault="00ED0056" w:rsidP="00ED0056">
            <w:pPr>
              <w:pStyle w:val="Body"/>
              <w:spacing w:after="0"/>
              <w:rPr>
                <w:rFonts w:ascii="Arial" w:hAnsi="Arial" w:cs="Arial"/>
                <w:szCs w:val="18"/>
                <w:lang w:bidi="en-US"/>
              </w:rPr>
            </w:pPr>
            <w:r w:rsidRPr="00ED0056">
              <w:rPr>
                <w:rFonts w:ascii="Arial" w:hAnsi="Arial" w:cs="Arial"/>
                <w:szCs w:val="18"/>
                <w:lang w:bidi="en-US"/>
              </w:rPr>
              <w:t>Cross-section F</w:t>
            </w:r>
          </w:p>
        </w:tc>
        <w:tc>
          <w:tcPr>
            <w:tcW w:w="0" w:type="auto"/>
            <w:vAlign w:val="center"/>
            <w:hideMark/>
          </w:tcPr>
          <w:p w14:paraId="12031FE7" w14:textId="77777777" w:rsidR="00ED0056" w:rsidRPr="00ED0056" w:rsidRDefault="00ED0056" w:rsidP="002B70AA">
            <w:pPr>
              <w:pStyle w:val="Body"/>
              <w:spacing w:after="0"/>
              <w:jc w:val="center"/>
              <w:rPr>
                <w:rFonts w:ascii="Arial" w:hAnsi="Arial" w:cs="Arial"/>
                <w:szCs w:val="18"/>
                <w:lang w:bidi="en-US"/>
              </w:rPr>
            </w:pPr>
            <w:r w:rsidRPr="00ED0056">
              <w:rPr>
                <w:rFonts w:ascii="Arial" w:hAnsi="Arial" w:cs="Arial"/>
                <w:szCs w:val="18"/>
                <w:lang w:bidi="en-US"/>
              </w:rPr>
              <w:t>0.0000</w:t>
            </w:r>
          </w:p>
        </w:tc>
        <w:tc>
          <w:tcPr>
            <w:tcW w:w="0" w:type="auto"/>
            <w:vAlign w:val="center"/>
            <w:hideMark/>
          </w:tcPr>
          <w:p w14:paraId="1CEB9BBD" w14:textId="77777777" w:rsidR="00ED0056" w:rsidRPr="00ED0056" w:rsidRDefault="00ED0056" w:rsidP="002B70AA">
            <w:pPr>
              <w:pStyle w:val="Body"/>
              <w:spacing w:after="0"/>
              <w:jc w:val="center"/>
              <w:rPr>
                <w:rFonts w:ascii="Arial" w:hAnsi="Arial" w:cs="Arial"/>
                <w:szCs w:val="18"/>
                <w:lang w:bidi="en-US"/>
              </w:rPr>
            </w:pPr>
            <w:r w:rsidRPr="00ED0056">
              <w:rPr>
                <w:rFonts w:ascii="Arial" w:hAnsi="Arial" w:cs="Arial"/>
                <w:szCs w:val="18"/>
                <w:lang w:bidi="en-US"/>
              </w:rPr>
              <w:t>FEM</w:t>
            </w:r>
          </w:p>
        </w:tc>
      </w:tr>
      <w:tr w:rsidR="00ED0056" w:rsidRPr="00ED0056" w14:paraId="19D12540" w14:textId="77777777" w:rsidTr="00ED0056">
        <w:trPr>
          <w:tblCellSpacing w:w="15" w:type="dxa"/>
        </w:trPr>
        <w:tc>
          <w:tcPr>
            <w:tcW w:w="0" w:type="auto"/>
            <w:vAlign w:val="center"/>
            <w:hideMark/>
          </w:tcPr>
          <w:p w14:paraId="5EAA2A75" w14:textId="77777777" w:rsidR="00ED0056" w:rsidRPr="00ED0056" w:rsidRDefault="00ED0056" w:rsidP="00ED0056">
            <w:pPr>
              <w:pStyle w:val="Body"/>
              <w:spacing w:after="0"/>
              <w:rPr>
                <w:rFonts w:ascii="Arial" w:hAnsi="Arial" w:cs="Arial"/>
                <w:szCs w:val="18"/>
                <w:lang w:bidi="en-US"/>
              </w:rPr>
            </w:pPr>
            <w:r w:rsidRPr="00ED0056">
              <w:rPr>
                <w:rFonts w:ascii="Arial" w:hAnsi="Arial" w:cs="Arial"/>
                <w:szCs w:val="18"/>
                <w:lang w:bidi="en-US"/>
              </w:rPr>
              <w:t>Hausman</w:t>
            </w:r>
          </w:p>
        </w:tc>
        <w:tc>
          <w:tcPr>
            <w:tcW w:w="0" w:type="auto"/>
            <w:vAlign w:val="center"/>
            <w:hideMark/>
          </w:tcPr>
          <w:p w14:paraId="412BBD72" w14:textId="77777777" w:rsidR="00ED0056" w:rsidRPr="00ED0056" w:rsidRDefault="00ED0056" w:rsidP="00ED0056">
            <w:pPr>
              <w:pStyle w:val="Body"/>
              <w:spacing w:after="0"/>
              <w:rPr>
                <w:rFonts w:ascii="Arial" w:hAnsi="Arial" w:cs="Arial"/>
                <w:szCs w:val="18"/>
                <w:lang w:bidi="en-US"/>
              </w:rPr>
            </w:pPr>
            <w:r w:rsidRPr="00ED0056">
              <w:rPr>
                <w:rFonts w:ascii="Arial" w:hAnsi="Arial" w:cs="Arial"/>
                <w:szCs w:val="18"/>
                <w:lang w:bidi="en-US"/>
              </w:rPr>
              <w:t>Chi-square</w:t>
            </w:r>
          </w:p>
        </w:tc>
        <w:tc>
          <w:tcPr>
            <w:tcW w:w="0" w:type="auto"/>
            <w:vAlign w:val="center"/>
            <w:hideMark/>
          </w:tcPr>
          <w:p w14:paraId="460F8A51" w14:textId="77777777" w:rsidR="00ED0056" w:rsidRPr="00ED0056" w:rsidRDefault="00ED0056" w:rsidP="002B70AA">
            <w:pPr>
              <w:pStyle w:val="Body"/>
              <w:spacing w:after="0"/>
              <w:jc w:val="center"/>
              <w:rPr>
                <w:rFonts w:ascii="Arial" w:hAnsi="Arial" w:cs="Arial"/>
                <w:szCs w:val="18"/>
                <w:lang w:bidi="en-US"/>
              </w:rPr>
            </w:pPr>
            <w:r w:rsidRPr="00ED0056">
              <w:rPr>
                <w:rFonts w:ascii="Arial" w:hAnsi="Arial" w:cs="Arial"/>
                <w:szCs w:val="18"/>
                <w:lang w:bidi="en-US"/>
              </w:rPr>
              <w:t>0.0000</w:t>
            </w:r>
          </w:p>
        </w:tc>
        <w:tc>
          <w:tcPr>
            <w:tcW w:w="0" w:type="auto"/>
            <w:vAlign w:val="center"/>
            <w:hideMark/>
          </w:tcPr>
          <w:p w14:paraId="5D3A1F57" w14:textId="77777777" w:rsidR="00ED0056" w:rsidRPr="00ED0056" w:rsidRDefault="00ED0056" w:rsidP="002B70AA">
            <w:pPr>
              <w:pStyle w:val="Body"/>
              <w:spacing w:after="0"/>
              <w:jc w:val="center"/>
              <w:rPr>
                <w:rFonts w:ascii="Arial" w:hAnsi="Arial" w:cs="Arial"/>
                <w:szCs w:val="18"/>
                <w:lang w:bidi="en-US"/>
              </w:rPr>
            </w:pPr>
            <w:r w:rsidRPr="00ED0056">
              <w:rPr>
                <w:rFonts w:ascii="Arial" w:hAnsi="Arial" w:cs="Arial"/>
                <w:szCs w:val="18"/>
                <w:lang w:bidi="en-US"/>
              </w:rPr>
              <w:t>FEM</w:t>
            </w:r>
          </w:p>
        </w:tc>
      </w:tr>
    </w:tbl>
    <w:p w14:paraId="078EB729" w14:textId="77777777" w:rsidR="00ED0056" w:rsidRDefault="00ED0056" w:rsidP="00ED0056">
      <w:pPr>
        <w:pStyle w:val="Body"/>
        <w:spacing w:after="0"/>
        <w:rPr>
          <w:rFonts w:ascii="Arial" w:hAnsi="Arial" w:cs="Arial"/>
          <w:i/>
          <w:iCs/>
          <w:sz w:val="22"/>
          <w:lang w:bidi="en-US"/>
        </w:rPr>
      </w:pPr>
      <w:r w:rsidRPr="00ED0056">
        <w:rPr>
          <w:rFonts w:ascii="Arial" w:hAnsi="Arial" w:cs="Arial"/>
          <w:i/>
          <w:iCs/>
          <w:sz w:val="22"/>
          <w:lang w:bidi="en-US"/>
        </w:rPr>
        <w:t>Source: Processed data, EViews 12 (2025)</w:t>
      </w:r>
    </w:p>
    <w:p w14:paraId="0BD4D222" w14:textId="77777777" w:rsidR="00ED0056" w:rsidRPr="00ED0056" w:rsidRDefault="00ED0056" w:rsidP="00ED0056">
      <w:pPr>
        <w:pStyle w:val="Body"/>
        <w:spacing w:after="0"/>
        <w:rPr>
          <w:rFonts w:ascii="Arial" w:hAnsi="Arial" w:cs="Arial"/>
          <w:sz w:val="22"/>
          <w:lang w:bidi="en-US"/>
        </w:rPr>
      </w:pPr>
    </w:p>
    <w:p w14:paraId="09154822" w14:textId="77777777" w:rsidR="00ED0056" w:rsidRPr="00ED0056" w:rsidRDefault="00ED0056" w:rsidP="00ED0056">
      <w:pPr>
        <w:pStyle w:val="Body"/>
        <w:spacing w:after="0"/>
        <w:rPr>
          <w:rFonts w:ascii="Arial" w:hAnsi="Arial" w:cs="Arial"/>
          <w:sz w:val="22"/>
          <w:lang w:bidi="en-US"/>
        </w:rPr>
      </w:pPr>
      <w:r w:rsidRPr="00ED0056">
        <w:rPr>
          <w:rFonts w:ascii="Arial" w:hAnsi="Arial" w:cs="Arial"/>
          <w:sz w:val="22"/>
          <w:lang w:bidi="en-US"/>
        </w:rPr>
        <w:t>The Chow and Hausman tests again confirm FEM as the most suitable model. The F-test is significant (Prob. = 0.0000), ensuring model validity.</w:t>
      </w:r>
    </w:p>
    <w:p w14:paraId="20A42A47" w14:textId="77777777" w:rsidR="002D5675" w:rsidRDefault="002D5675" w:rsidP="0034189D">
      <w:pPr>
        <w:pStyle w:val="Body"/>
        <w:spacing w:after="0"/>
        <w:rPr>
          <w:rFonts w:ascii="Arial" w:hAnsi="Arial" w:cs="Arial"/>
          <w:sz w:val="22"/>
          <w:lang w:bidi="en-US"/>
        </w:rPr>
      </w:pPr>
    </w:p>
    <w:p w14:paraId="417C36C8" w14:textId="5BC00930" w:rsidR="002B70AA" w:rsidRPr="002B70AA" w:rsidRDefault="002B70AA" w:rsidP="002B70AA">
      <w:pPr>
        <w:rPr>
          <w:rFonts w:ascii="Times New Roman" w:hAnsi="Times New Roman"/>
          <w:sz w:val="24"/>
          <w:szCs w:val="24"/>
        </w:rPr>
      </w:pPr>
      <w:r w:rsidRPr="002B70AA">
        <w:rPr>
          <w:rFonts w:ascii="Times New Roman" w:hAnsi="Times New Roman"/>
          <w:b/>
          <w:bCs/>
          <w:sz w:val="24"/>
          <w:szCs w:val="24"/>
        </w:rPr>
        <w:t>Table 7. Panel Regression Results – Equation III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2"/>
        <w:gridCol w:w="1011"/>
        <w:gridCol w:w="785"/>
        <w:gridCol w:w="631"/>
        <w:gridCol w:w="495"/>
      </w:tblGrid>
      <w:tr w:rsidR="002B70AA" w:rsidRPr="002B70AA" w14:paraId="42EF0CCB" w14:textId="77777777" w:rsidTr="002B70AA">
        <w:trPr>
          <w:tblHeader/>
          <w:tblCellSpacing w:w="15" w:type="dxa"/>
        </w:trPr>
        <w:tc>
          <w:tcPr>
            <w:tcW w:w="0" w:type="auto"/>
            <w:vAlign w:val="center"/>
            <w:hideMark/>
          </w:tcPr>
          <w:p w14:paraId="554E7F1B"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Variable</w:t>
            </w:r>
          </w:p>
        </w:tc>
        <w:tc>
          <w:tcPr>
            <w:tcW w:w="0" w:type="auto"/>
            <w:vAlign w:val="center"/>
            <w:hideMark/>
          </w:tcPr>
          <w:p w14:paraId="3F6F1C0E"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Coefficient</w:t>
            </w:r>
          </w:p>
        </w:tc>
        <w:tc>
          <w:tcPr>
            <w:tcW w:w="0" w:type="auto"/>
            <w:vAlign w:val="center"/>
            <w:hideMark/>
          </w:tcPr>
          <w:p w14:paraId="2494187C"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t-Statistic</w:t>
            </w:r>
          </w:p>
        </w:tc>
        <w:tc>
          <w:tcPr>
            <w:tcW w:w="0" w:type="auto"/>
            <w:vAlign w:val="center"/>
            <w:hideMark/>
          </w:tcPr>
          <w:p w14:paraId="607C06E4"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Prob.</w:t>
            </w:r>
          </w:p>
        </w:tc>
        <w:tc>
          <w:tcPr>
            <w:tcW w:w="0" w:type="auto"/>
            <w:vAlign w:val="center"/>
            <w:hideMark/>
          </w:tcPr>
          <w:p w14:paraId="11213B5D"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Note</w:t>
            </w:r>
          </w:p>
        </w:tc>
      </w:tr>
      <w:tr w:rsidR="002B70AA" w:rsidRPr="002B70AA" w14:paraId="3BE67584" w14:textId="77777777" w:rsidTr="002B70AA">
        <w:trPr>
          <w:tblCellSpacing w:w="15" w:type="dxa"/>
        </w:trPr>
        <w:tc>
          <w:tcPr>
            <w:tcW w:w="0" w:type="auto"/>
            <w:vAlign w:val="center"/>
            <w:hideMark/>
          </w:tcPr>
          <w:p w14:paraId="67CA8F73" w14:textId="77777777" w:rsidR="002B70AA" w:rsidRPr="002B70AA" w:rsidRDefault="002B70AA" w:rsidP="002B70AA">
            <w:pPr>
              <w:rPr>
                <w:rFonts w:ascii="Arial" w:hAnsi="Arial" w:cs="Arial"/>
                <w:sz w:val="18"/>
                <w:szCs w:val="18"/>
              </w:rPr>
            </w:pPr>
            <w:r w:rsidRPr="002B70AA">
              <w:rPr>
                <w:rFonts w:ascii="Arial" w:hAnsi="Arial" w:cs="Arial"/>
                <w:sz w:val="18"/>
                <w:szCs w:val="18"/>
              </w:rPr>
              <w:t>C</w:t>
            </w:r>
          </w:p>
        </w:tc>
        <w:tc>
          <w:tcPr>
            <w:tcW w:w="0" w:type="auto"/>
            <w:vAlign w:val="center"/>
            <w:hideMark/>
          </w:tcPr>
          <w:p w14:paraId="60EE2876"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−5.485</w:t>
            </w:r>
          </w:p>
        </w:tc>
        <w:tc>
          <w:tcPr>
            <w:tcW w:w="0" w:type="auto"/>
            <w:vAlign w:val="center"/>
            <w:hideMark/>
          </w:tcPr>
          <w:p w14:paraId="2B93101C"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−2.325</w:t>
            </w:r>
          </w:p>
        </w:tc>
        <w:tc>
          <w:tcPr>
            <w:tcW w:w="0" w:type="auto"/>
            <w:vAlign w:val="center"/>
            <w:hideMark/>
          </w:tcPr>
          <w:p w14:paraId="43DDC276"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0.0225</w:t>
            </w:r>
          </w:p>
        </w:tc>
        <w:tc>
          <w:tcPr>
            <w:tcW w:w="0" w:type="auto"/>
            <w:vAlign w:val="center"/>
            <w:hideMark/>
          </w:tcPr>
          <w:p w14:paraId="2D79FCDD"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34819141" w14:textId="77777777" w:rsidTr="002B70AA">
        <w:trPr>
          <w:tblCellSpacing w:w="15" w:type="dxa"/>
        </w:trPr>
        <w:tc>
          <w:tcPr>
            <w:tcW w:w="0" w:type="auto"/>
            <w:vAlign w:val="center"/>
            <w:hideMark/>
          </w:tcPr>
          <w:p w14:paraId="13370A85" w14:textId="77777777" w:rsidR="002B70AA" w:rsidRPr="002B70AA" w:rsidRDefault="002B70AA" w:rsidP="002B70AA">
            <w:pPr>
              <w:rPr>
                <w:rFonts w:ascii="Arial" w:hAnsi="Arial" w:cs="Arial"/>
                <w:sz w:val="18"/>
                <w:szCs w:val="18"/>
              </w:rPr>
            </w:pPr>
            <w:r w:rsidRPr="002B70AA">
              <w:rPr>
                <w:rFonts w:ascii="Arial" w:hAnsi="Arial" w:cs="Arial"/>
                <w:sz w:val="18"/>
                <w:szCs w:val="18"/>
              </w:rPr>
              <w:t>EDI</w:t>
            </w:r>
          </w:p>
        </w:tc>
        <w:tc>
          <w:tcPr>
            <w:tcW w:w="0" w:type="auto"/>
            <w:vAlign w:val="center"/>
            <w:hideMark/>
          </w:tcPr>
          <w:p w14:paraId="419B4152"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−1.293</w:t>
            </w:r>
          </w:p>
        </w:tc>
        <w:tc>
          <w:tcPr>
            <w:tcW w:w="0" w:type="auto"/>
            <w:vAlign w:val="center"/>
            <w:hideMark/>
          </w:tcPr>
          <w:p w14:paraId="7C25B8AF"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−5.184</w:t>
            </w:r>
          </w:p>
        </w:tc>
        <w:tc>
          <w:tcPr>
            <w:tcW w:w="0" w:type="auto"/>
            <w:vAlign w:val="center"/>
            <w:hideMark/>
          </w:tcPr>
          <w:p w14:paraId="4E2AFFDE"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0.0000</w:t>
            </w:r>
          </w:p>
        </w:tc>
        <w:tc>
          <w:tcPr>
            <w:tcW w:w="0" w:type="auto"/>
            <w:vAlign w:val="center"/>
            <w:hideMark/>
          </w:tcPr>
          <w:p w14:paraId="62A6CFDF"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769550E4" w14:textId="77777777" w:rsidTr="002B70AA">
        <w:trPr>
          <w:tblCellSpacing w:w="15" w:type="dxa"/>
        </w:trPr>
        <w:tc>
          <w:tcPr>
            <w:tcW w:w="0" w:type="auto"/>
            <w:vAlign w:val="center"/>
            <w:hideMark/>
          </w:tcPr>
          <w:p w14:paraId="69AE2C06" w14:textId="77777777" w:rsidR="002B70AA" w:rsidRPr="002B70AA" w:rsidRDefault="002B70AA" w:rsidP="002B70AA">
            <w:pPr>
              <w:rPr>
                <w:rFonts w:ascii="Arial" w:hAnsi="Arial" w:cs="Arial"/>
                <w:sz w:val="18"/>
                <w:szCs w:val="18"/>
              </w:rPr>
            </w:pPr>
            <w:r w:rsidRPr="002B70AA">
              <w:rPr>
                <w:rFonts w:ascii="Arial" w:hAnsi="Arial" w:cs="Arial"/>
                <w:sz w:val="18"/>
                <w:szCs w:val="18"/>
              </w:rPr>
              <w:t>SIZE</w:t>
            </w:r>
          </w:p>
        </w:tc>
        <w:tc>
          <w:tcPr>
            <w:tcW w:w="0" w:type="auto"/>
            <w:vAlign w:val="center"/>
            <w:hideMark/>
          </w:tcPr>
          <w:p w14:paraId="59DBD1F9"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0.130</w:t>
            </w:r>
          </w:p>
        </w:tc>
        <w:tc>
          <w:tcPr>
            <w:tcW w:w="0" w:type="auto"/>
            <w:vAlign w:val="center"/>
            <w:hideMark/>
          </w:tcPr>
          <w:p w14:paraId="61131798"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1.579</w:t>
            </w:r>
          </w:p>
        </w:tc>
        <w:tc>
          <w:tcPr>
            <w:tcW w:w="0" w:type="auto"/>
            <w:vAlign w:val="center"/>
            <w:hideMark/>
          </w:tcPr>
          <w:p w14:paraId="347D0FC4"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0.1181</w:t>
            </w:r>
          </w:p>
        </w:tc>
        <w:tc>
          <w:tcPr>
            <w:tcW w:w="0" w:type="auto"/>
            <w:vAlign w:val="center"/>
            <w:hideMark/>
          </w:tcPr>
          <w:p w14:paraId="3CD29B1C" w14:textId="77777777" w:rsidR="002B70AA" w:rsidRPr="002B70AA" w:rsidRDefault="002B70AA" w:rsidP="002B70AA">
            <w:pPr>
              <w:jc w:val="center"/>
              <w:rPr>
                <w:rFonts w:ascii="Arial" w:hAnsi="Arial" w:cs="Arial"/>
                <w:sz w:val="18"/>
                <w:szCs w:val="18"/>
              </w:rPr>
            </w:pPr>
          </w:p>
        </w:tc>
      </w:tr>
      <w:tr w:rsidR="002B70AA" w:rsidRPr="002B70AA" w14:paraId="6599DE0E" w14:textId="77777777" w:rsidTr="002B70AA">
        <w:trPr>
          <w:tblCellSpacing w:w="15" w:type="dxa"/>
        </w:trPr>
        <w:tc>
          <w:tcPr>
            <w:tcW w:w="0" w:type="auto"/>
            <w:vAlign w:val="center"/>
            <w:hideMark/>
          </w:tcPr>
          <w:p w14:paraId="594D4538" w14:textId="77777777" w:rsidR="002B70AA" w:rsidRPr="002B70AA" w:rsidRDefault="002B70AA" w:rsidP="002B70AA">
            <w:pPr>
              <w:rPr>
                <w:rFonts w:ascii="Arial" w:hAnsi="Arial" w:cs="Arial"/>
                <w:sz w:val="18"/>
                <w:szCs w:val="18"/>
              </w:rPr>
            </w:pPr>
            <w:r w:rsidRPr="002B70AA">
              <w:rPr>
                <w:rFonts w:ascii="Arial" w:hAnsi="Arial" w:cs="Arial"/>
                <w:sz w:val="18"/>
                <w:szCs w:val="18"/>
              </w:rPr>
              <w:t>MOWN</w:t>
            </w:r>
          </w:p>
        </w:tc>
        <w:tc>
          <w:tcPr>
            <w:tcW w:w="0" w:type="auto"/>
            <w:vAlign w:val="center"/>
            <w:hideMark/>
          </w:tcPr>
          <w:p w14:paraId="04656212"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0.049</w:t>
            </w:r>
          </w:p>
        </w:tc>
        <w:tc>
          <w:tcPr>
            <w:tcW w:w="0" w:type="auto"/>
            <w:vAlign w:val="center"/>
            <w:hideMark/>
          </w:tcPr>
          <w:p w14:paraId="406FEF28"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8.463</w:t>
            </w:r>
          </w:p>
        </w:tc>
        <w:tc>
          <w:tcPr>
            <w:tcW w:w="0" w:type="auto"/>
            <w:vAlign w:val="center"/>
            <w:hideMark/>
          </w:tcPr>
          <w:p w14:paraId="2136A83A"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0.0000</w:t>
            </w:r>
          </w:p>
        </w:tc>
        <w:tc>
          <w:tcPr>
            <w:tcW w:w="0" w:type="auto"/>
            <w:vAlign w:val="center"/>
            <w:hideMark/>
          </w:tcPr>
          <w:p w14:paraId="48E0729D"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07D0DF89" w14:textId="77777777" w:rsidTr="002B70AA">
        <w:trPr>
          <w:tblCellSpacing w:w="15" w:type="dxa"/>
        </w:trPr>
        <w:tc>
          <w:tcPr>
            <w:tcW w:w="0" w:type="auto"/>
            <w:vAlign w:val="center"/>
            <w:hideMark/>
          </w:tcPr>
          <w:p w14:paraId="5AE8A3F0" w14:textId="77777777" w:rsidR="002B70AA" w:rsidRPr="002B70AA" w:rsidRDefault="002B70AA" w:rsidP="002B70AA">
            <w:pPr>
              <w:rPr>
                <w:rFonts w:ascii="Arial" w:hAnsi="Arial" w:cs="Arial"/>
                <w:sz w:val="18"/>
                <w:szCs w:val="18"/>
              </w:rPr>
            </w:pPr>
            <w:r w:rsidRPr="002B70AA">
              <w:rPr>
                <w:rFonts w:ascii="Arial" w:hAnsi="Arial" w:cs="Arial"/>
                <w:sz w:val="18"/>
                <w:szCs w:val="18"/>
              </w:rPr>
              <w:t>ERM</w:t>
            </w:r>
          </w:p>
        </w:tc>
        <w:tc>
          <w:tcPr>
            <w:tcW w:w="0" w:type="auto"/>
            <w:vAlign w:val="center"/>
            <w:hideMark/>
          </w:tcPr>
          <w:p w14:paraId="29E61AC3"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6.704</w:t>
            </w:r>
          </w:p>
        </w:tc>
        <w:tc>
          <w:tcPr>
            <w:tcW w:w="0" w:type="auto"/>
            <w:vAlign w:val="center"/>
            <w:hideMark/>
          </w:tcPr>
          <w:p w14:paraId="7B9D65E1"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2.089</w:t>
            </w:r>
          </w:p>
        </w:tc>
        <w:tc>
          <w:tcPr>
            <w:tcW w:w="0" w:type="auto"/>
            <w:vAlign w:val="center"/>
            <w:hideMark/>
          </w:tcPr>
          <w:p w14:paraId="605A6E09"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0.0398</w:t>
            </w:r>
          </w:p>
        </w:tc>
        <w:tc>
          <w:tcPr>
            <w:tcW w:w="0" w:type="auto"/>
            <w:vAlign w:val="center"/>
            <w:hideMark/>
          </w:tcPr>
          <w:p w14:paraId="083C2E82"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3DF7D32B" w14:textId="77777777" w:rsidTr="002B70AA">
        <w:trPr>
          <w:tblCellSpacing w:w="15" w:type="dxa"/>
        </w:trPr>
        <w:tc>
          <w:tcPr>
            <w:tcW w:w="0" w:type="auto"/>
            <w:vAlign w:val="center"/>
            <w:hideMark/>
          </w:tcPr>
          <w:p w14:paraId="731C47FC" w14:textId="77777777" w:rsidR="002B70AA" w:rsidRPr="002B70AA" w:rsidRDefault="002B70AA" w:rsidP="002B70AA">
            <w:pPr>
              <w:rPr>
                <w:rFonts w:ascii="Arial" w:hAnsi="Arial" w:cs="Arial"/>
                <w:sz w:val="18"/>
                <w:szCs w:val="18"/>
              </w:rPr>
            </w:pPr>
            <w:r w:rsidRPr="002B70AA">
              <w:rPr>
                <w:rFonts w:ascii="Arial" w:hAnsi="Arial" w:cs="Arial"/>
                <w:sz w:val="18"/>
                <w:szCs w:val="18"/>
              </w:rPr>
              <w:t>EDI × ERM</w:t>
            </w:r>
          </w:p>
        </w:tc>
        <w:tc>
          <w:tcPr>
            <w:tcW w:w="0" w:type="auto"/>
            <w:vAlign w:val="center"/>
            <w:hideMark/>
          </w:tcPr>
          <w:p w14:paraId="1F0277C0"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1.515</w:t>
            </w:r>
          </w:p>
        </w:tc>
        <w:tc>
          <w:tcPr>
            <w:tcW w:w="0" w:type="auto"/>
            <w:vAlign w:val="center"/>
            <w:hideMark/>
          </w:tcPr>
          <w:p w14:paraId="3CB8B520"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4.326</w:t>
            </w:r>
          </w:p>
        </w:tc>
        <w:tc>
          <w:tcPr>
            <w:tcW w:w="0" w:type="auto"/>
            <w:vAlign w:val="center"/>
            <w:hideMark/>
          </w:tcPr>
          <w:p w14:paraId="15096531"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0.0000</w:t>
            </w:r>
          </w:p>
        </w:tc>
        <w:tc>
          <w:tcPr>
            <w:tcW w:w="0" w:type="auto"/>
            <w:vAlign w:val="center"/>
            <w:hideMark/>
          </w:tcPr>
          <w:p w14:paraId="247BD71A"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019C5AB5" w14:textId="77777777" w:rsidTr="002B70AA">
        <w:trPr>
          <w:tblCellSpacing w:w="15" w:type="dxa"/>
        </w:trPr>
        <w:tc>
          <w:tcPr>
            <w:tcW w:w="0" w:type="auto"/>
            <w:vAlign w:val="center"/>
            <w:hideMark/>
          </w:tcPr>
          <w:p w14:paraId="676CE07A" w14:textId="77777777" w:rsidR="002B70AA" w:rsidRPr="002B70AA" w:rsidRDefault="002B70AA" w:rsidP="002B70AA">
            <w:pPr>
              <w:rPr>
                <w:rFonts w:ascii="Arial" w:hAnsi="Arial" w:cs="Arial"/>
                <w:sz w:val="18"/>
                <w:szCs w:val="18"/>
              </w:rPr>
            </w:pPr>
            <w:r w:rsidRPr="002B70AA">
              <w:rPr>
                <w:rFonts w:ascii="Arial" w:hAnsi="Arial" w:cs="Arial"/>
                <w:sz w:val="18"/>
                <w:szCs w:val="18"/>
              </w:rPr>
              <w:t>SIZE × ERM</w:t>
            </w:r>
          </w:p>
        </w:tc>
        <w:tc>
          <w:tcPr>
            <w:tcW w:w="0" w:type="auto"/>
            <w:vAlign w:val="center"/>
            <w:hideMark/>
          </w:tcPr>
          <w:p w14:paraId="56EC8993"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−0.126</w:t>
            </w:r>
          </w:p>
        </w:tc>
        <w:tc>
          <w:tcPr>
            <w:tcW w:w="0" w:type="auto"/>
            <w:vAlign w:val="center"/>
            <w:hideMark/>
          </w:tcPr>
          <w:p w14:paraId="4B66C3C3"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−1.140</w:t>
            </w:r>
          </w:p>
        </w:tc>
        <w:tc>
          <w:tcPr>
            <w:tcW w:w="0" w:type="auto"/>
            <w:vAlign w:val="center"/>
            <w:hideMark/>
          </w:tcPr>
          <w:p w14:paraId="4070F73E"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0.2575</w:t>
            </w:r>
          </w:p>
        </w:tc>
        <w:tc>
          <w:tcPr>
            <w:tcW w:w="0" w:type="auto"/>
            <w:vAlign w:val="center"/>
            <w:hideMark/>
          </w:tcPr>
          <w:p w14:paraId="48C9D279" w14:textId="77777777" w:rsidR="002B70AA" w:rsidRPr="002B70AA" w:rsidRDefault="002B70AA" w:rsidP="002B70AA">
            <w:pPr>
              <w:jc w:val="center"/>
              <w:rPr>
                <w:rFonts w:ascii="Arial" w:hAnsi="Arial" w:cs="Arial"/>
                <w:sz w:val="18"/>
                <w:szCs w:val="18"/>
              </w:rPr>
            </w:pPr>
          </w:p>
        </w:tc>
      </w:tr>
      <w:tr w:rsidR="002B70AA" w:rsidRPr="002B70AA" w14:paraId="3C00F349" w14:textId="77777777" w:rsidTr="002B70AA">
        <w:trPr>
          <w:tblCellSpacing w:w="15" w:type="dxa"/>
        </w:trPr>
        <w:tc>
          <w:tcPr>
            <w:tcW w:w="0" w:type="auto"/>
            <w:vAlign w:val="center"/>
            <w:hideMark/>
          </w:tcPr>
          <w:p w14:paraId="665070B3" w14:textId="77777777" w:rsidR="002B70AA" w:rsidRPr="002B70AA" w:rsidRDefault="002B70AA" w:rsidP="002B70AA">
            <w:pPr>
              <w:rPr>
                <w:rFonts w:ascii="Arial" w:hAnsi="Arial" w:cs="Arial"/>
                <w:sz w:val="18"/>
                <w:szCs w:val="18"/>
              </w:rPr>
            </w:pPr>
            <w:r w:rsidRPr="002B70AA">
              <w:rPr>
                <w:rFonts w:ascii="Arial" w:hAnsi="Arial" w:cs="Arial"/>
                <w:sz w:val="18"/>
                <w:szCs w:val="18"/>
              </w:rPr>
              <w:t>MOWN × ERM</w:t>
            </w:r>
          </w:p>
        </w:tc>
        <w:tc>
          <w:tcPr>
            <w:tcW w:w="0" w:type="auto"/>
            <w:vAlign w:val="center"/>
            <w:hideMark/>
          </w:tcPr>
          <w:p w14:paraId="37005D8B"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−0.075</w:t>
            </w:r>
          </w:p>
        </w:tc>
        <w:tc>
          <w:tcPr>
            <w:tcW w:w="0" w:type="auto"/>
            <w:vAlign w:val="center"/>
            <w:hideMark/>
          </w:tcPr>
          <w:p w14:paraId="24116C9F"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−9.946</w:t>
            </w:r>
          </w:p>
        </w:tc>
        <w:tc>
          <w:tcPr>
            <w:tcW w:w="0" w:type="auto"/>
            <w:vAlign w:val="center"/>
            <w:hideMark/>
          </w:tcPr>
          <w:p w14:paraId="4B80E268"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0.0000</w:t>
            </w:r>
          </w:p>
        </w:tc>
        <w:tc>
          <w:tcPr>
            <w:tcW w:w="0" w:type="auto"/>
            <w:vAlign w:val="center"/>
            <w:hideMark/>
          </w:tcPr>
          <w:p w14:paraId="2A7A9709"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0D00093F" w14:textId="77777777" w:rsidTr="002B70AA">
        <w:trPr>
          <w:tblCellSpacing w:w="15" w:type="dxa"/>
        </w:trPr>
        <w:tc>
          <w:tcPr>
            <w:tcW w:w="0" w:type="auto"/>
            <w:vAlign w:val="center"/>
          </w:tcPr>
          <w:p w14:paraId="06CA1B8F" w14:textId="77777777" w:rsidR="002B70AA" w:rsidRPr="002B70AA" w:rsidRDefault="002B70AA" w:rsidP="002B70AA">
            <w:pPr>
              <w:rPr>
                <w:rFonts w:ascii="Arial" w:hAnsi="Arial" w:cs="Arial"/>
                <w:sz w:val="18"/>
                <w:szCs w:val="18"/>
              </w:rPr>
            </w:pPr>
          </w:p>
        </w:tc>
        <w:tc>
          <w:tcPr>
            <w:tcW w:w="0" w:type="auto"/>
            <w:vAlign w:val="center"/>
          </w:tcPr>
          <w:p w14:paraId="128FF466" w14:textId="77777777" w:rsidR="002B70AA" w:rsidRPr="002B70AA" w:rsidRDefault="002B70AA" w:rsidP="002B70AA">
            <w:pPr>
              <w:jc w:val="center"/>
              <w:rPr>
                <w:rFonts w:ascii="Arial" w:hAnsi="Arial" w:cs="Arial"/>
                <w:sz w:val="18"/>
                <w:szCs w:val="18"/>
              </w:rPr>
            </w:pPr>
          </w:p>
        </w:tc>
        <w:tc>
          <w:tcPr>
            <w:tcW w:w="0" w:type="auto"/>
            <w:vAlign w:val="center"/>
          </w:tcPr>
          <w:p w14:paraId="379FB06B" w14:textId="77777777" w:rsidR="002B70AA" w:rsidRPr="002B70AA" w:rsidRDefault="002B70AA" w:rsidP="002B70AA">
            <w:pPr>
              <w:jc w:val="center"/>
              <w:rPr>
                <w:rFonts w:ascii="Arial" w:hAnsi="Arial" w:cs="Arial"/>
                <w:sz w:val="18"/>
                <w:szCs w:val="18"/>
              </w:rPr>
            </w:pPr>
          </w:p>
        </w:tc>
        <w:tc>
          <w:tcPr>
            <w:tcW w:w="0" w:type="auto"/>
            <w:vAlign w:val="center"/>
          </w:tcPr>
          <w:p w14:paraId="043FB7AA" w14:textId="77777777" w:rsidR="002B70AA" w:rsidRPr="002B70AA" w:rsidRDefault="002B70AA" w:rsidP="002B70AA">
            <w:pPr>
              <w:jc w:val="center"/>
              <w:rPr>
                <w:rFonts w:ascii="Arial" w:hAnsi="Arial" w:cs="Arial"/>
                <w:sz w:val="18"/>
                <w:szCs w:val="18"/>
              </w:rPr>
            </w:pPr>
          </w:p>
        </w:tc>
        <w:tc>
          <w:tcPr>
            <w:tcW w:w="0" w:type="auto"/>
            <w:vAlign w:val="center"/>
          </w:tcPr>
          <w:p w14:paraId="1B75B07A" w14:textId="77777777" w:rsidR="002B70AA" w:rsidRPr="002B70AA" w:rsidRDefault="002B70AA" w:rsidP="002B70AA">
            <w:pPr>
              <w:jc w:val="center"/>
              <w:rPr>
                <w:rFonts w:ascii="Arial" w:hAnsi="Arial" w:cs="Arial"/>
                <w:sz w:val="18"/>
                <w:szCs w:val="18"/>
              </w:rPr>
            </w:pPr>
          </w:p>
        </w:tc>
      </w:tr>
      <w:tr w:rsidR="002B70AA" w:rsidRPr="002B70AA" w14:paraId="643DD755" w14:textId="77777777" w:rsidTr="002B70AA">
        <w:trPr>
          <w:tblCellSpacing w:w="15" w:type="dxa"/>
        </w:trPr>
        <w:tc>
          <w:tcPr>
            <w:tcW w:w="0" w:type="auto"/>
            <w:vAlign w:val="center"/>
          </w:tcPr>
          <w:p w14:paraId="556F6FF5" w14:textId="4A7DCBD8" w:rsidR="002B70AA" w:rsidRPr="002B70AA" w:rsidRDefault="005F07D4" w:rsidP="002B70AA">
            <w:pPr>
              <w:rPr>
                <w:rFonts w:ascii="Arial" w:hAnsi="Arial" w:cs="Arial"/>
                <w:sz w:val="18"/>
                <w:szCs w:val="18"/>
              </w:rPr>
            </w:pPr>
            <w:r>
              <w:rPr>
                <w:rFonts w:ascii="Arial" w:hAnsi="Arial" w:cs="Arial"/>
                <w:bCs/>
                <w:szCs w:val="18"/>
                <w:lang w:bidi="en-US"/>
              </w:rPr>
              <w:t>F-statistic</w:t>
            </w:r>
          </w:p>
        </w:tc>
        <w:tc>
          <w:tcPr>
            <w:tcW w:w="0" w:type="auto"/>
            <w:vAlign w:val="center"/>
          </w:tcPr>
          <w:p w14:paraId="2F26DB14" w14:textId="77777777" w:rsidR="002B70AA" w:rsidRPr="002B70AA" w:rsidRDefault="002B70AA" w:rsidP="002B70AA">
            <w:pPr>
              <w:jc w:val="center"/>
              <w:rPr>
                <w:rFonts w:ascii="Arial" w:hAnsi="Arial" w:cs="Arial"/>
                <w:sz w:val="18"/>
                <w:szCs w:val="18"/>
              </w:rPr>
            </w:pPr>
          </w:p>
        </w:tc>
        <w:tc>
          <w:tcPr>
            <w:tcW w:w="0" w:type="auto"/>
            <w:vAlign w:val="center"/>
          </w:tcPr>
          <w:p w14:paraId="00AF5647" w14:textId="016EF600" w:rsidR="002B70AA" w:rsidRPr="005F07D4" w:rsidRDefault="005F07D4" w:rsidP="005F07D4">
            <w:pPr>
              <w:jc w:val="center"/>
              <w:rPr>
                <w:rFonts w:ascii="Times New Roman" w:hAnsi="Times New Roman"/>
                <w:b/>
              </w:rPr>
            </w:pPr>
            <w:r>
              <w:rPr>
                <w:rFonts w:ascii="Times New Roman" w:hAnsi="Times New Roman"/>
              </w:rPr>
              <w:t>21.663</w:t>
            </w:r>
          </w:p>
        </w:tc>
        <w:tc>
          <w:tcPr>
            <w:tcW w:w="0" w:type="auto"/>
            <w:vAlign w:val="center"/>
          </w:tcPr>
          <w:p w14:paraId="618D8442" w14:textId="53EF61CE" w:rsidR="002B70AA" w:rsidRPr="002B70AA" w:rsidRDefault="005F07D4" w:rsidP="002B70AA">
            <w:pPr>
              <w:jc w:val="center"/>
              <w:rPr>
                <w:rFonts w:ascii="Arial" w:hAnsi="Arial" w:cs="Arial"/>
                <w:sz w:val="18"/>
                <w:szCs w:val="18"/>
              </w:rPr>
            </w:pPr>
            <w:r>
              <w:rPr>
                <w:rFonts w:ascii="Arial" w:hAnsi="Arial" w:cs="Arial"/>
                <w:sz w:val="18"/>
                <w:szCs w:val="18"/>
              </w:rPr>
              <w:t>0.0000</w:t>
            </w:r>
          </w:p>
        </w:tc>
        <w:tc>
          <w:tcPr>
            <w:tcW w:w="0" w:type="auto"/>
            <w:vAlign w:val="center"/>
          </w:tcPr>
          <w:p w14:paraId="0D17C71A" w14:textId="77777777" w:rsidR="002B70AA" w:rsidRPr="002B70AA" w:rsidRDefault="002B70AA" w:rsidP="002B70AA">
            <w:pPr>
              <w:jc w:val="center"/>
              <w:rPr>
                <w:rFonts w:ascii="Arial" w:hAnsi="Arial" w:cs="Arial"/>
                <w:sz w:val="18"/>
                <w:szCs w:val="18"/>
              </w:rPr>
            </w:pPr>
          </w:p>
        </w:tc>
      </w:tr>
      <w:tr w:rsidR="002B70AA" w:rsidRPr="002B70AA" w14:paraId="7D90AC77" w14:textId="77777777" w:rsidTr="002B70AA">
        <w:trPr>
          <w:tblCellSpacing w:w="15" w:type="dxa"/>
        </w:trPr>
        <w:tc>
          <w:tcPr>
            <w:tcW w:w="0" w:type="auto"/>
            <w:vAlign w:val="center"/>
          </w:tcPr>
          <w:p w14:paraId="2C1038C3" w14:textId="6B5A5243" w:rsidR="002B70AA" w:rsidRPr="005F07D4" w:rsidRDefault="005F07D4" w:rsidP="002B70AA">
            <w:pPr>
              <w:rPr>
                <w:rFonts w:ascii="Arial" w:hAnsi="Arial" w:cs="Arial"/>
                <w:sz w:val="18"/>
                <w:szCs w:val="18"/>
                <w:vertAlign w:val="superscript"/>
              </w:rPr>
            </w:pPr>
            <w:r>
              <w:rPr>
                <w:rFonts w:ascii="Arial" w:hAnsi="Arial" w:cs="Arial"/>
                <w:sz w:val="18"/>
                <w:szCs w:val="18"/>
              </w:rPr>
              <w:t>R</w:t>
            </w:r>
            <w:r>
              <w:rPr>
                <w:rFonts w:ascii="Arial" w:hAnsi="Arial" w:cs="Arial"/>
                <w:sz w:val="18"/>
                <w:szCs w:val="18"/>
                <w:vertAlign w:val="superscript"/>
              </w:rPr>
              <w:t>2</w:t>
            </w:r>
          </w:p>
        </w:tc>
        <w:tc>
          <w:tcPr>
            <w:tcW w:w="0" w:type="auto"/>
            <w:vAlign w:val="center"/>
          </w:tcPr>
          <w:p w14:paraId="055E4DC3" w14:textId="1AA1FDD7" w:rsidR="002B70AA" w:rsidRPr="002B70AA" w:rsidRDefault="005F07D4" w:rsidP="002B70AA">
            <w:pPr>
              <w:jc w:val="center"/>
              <w:rPr>
                <w:rFonts w:ascii="Arial" w:hAnsi="Arial" w:cs="Arial"/>
                <w:sz w:val="18"/>
                <w:szCs w:val="18"/>
              </w:rPr>
            </w:pPr>
            <w:r>
              <w:rPr>
                <w:rFonts w:ascii="Arial" w:hAnsi="Arial" w:cs="Arial"/>
                <w:sz w:val="18"/>
                <w:szCs w:val="18"/>
              </w:rPr>
              <w:t>0.903</w:t>
            </w:r>
          </w:p>
        </w:tc>
        <w:tc>
          <w:tcPr>
            <w:tcW w:w="0" w:type="auto"/>
            <w:vAlign w:val="center"/>
          </w:tcPr>
          <w:p w14:paraId="0DD9D8CE" w14:textId="77777777" w:rsidR="002B70AA" w:rsidRPr="002B70AA" w:rsidRDefault="002B70AA" w:rsidP="002B70AA">
            <w:pPr>
              <w:jc w:val="center"/>
              <w:rPr>
                <w:rFonts w:ascii="Arial" w:hAnsi="Arial" w:cs="Arial"/>
                <w:sz w:val="18"/>
                <w:szCs w:val="18"/>
              </w:rPr>
            </w:pPr>
          </w:p>
        </w:tc>
        <w:tc>
          <w:tcPr>
            <w:tcW w:w="0" w:type="auto"/>
            <w:vAlign w:val="center"/>
          </w:tcPr>
          <w:p w14:paraId="795F1BB1" w14:textId="77777777" w:rsidR="002B70AA" w:rsidRPr="002B70AA" w:rsidRDefault="002B70AA" w:rsidP="002B70AA">
            <w:pPr>
              <w:jc w:val="center"/>
              <w:rPr>
                <w:rFonts w:ascii="Arial" w:hAnsi="Arial" w:cs="Arial"/>
                <w:sz w:val="18"/>
                <w:szCs w:val="18"/>
              </w:rPr>
            </w:pPr>
          </w:p>
        </w:tc>
        <w:tc>
          <w:tcPr>
            <w:tcW w:w="0" w:type="auto"/>
            <w:vAlign w:val="center"/>
          </w:tcPr>
          <w:p w14:paraId="50B652BB" w14:textId="77777777" w:rsidR="002B70AA" w:rsidRPr="002B70AA" w:rsidRDefault="002B70AA" w:rsidP="002B70AA">
            <w:pPr>
              <w:jc w:val="center"/>
              <w:rPr>
                <w:rFonts w:ascii="Arial" w:hAnsi="Arial" w:cs="Arial"/>
                <w:sz w:val="18"/>
                <w:szCs w:val="18"/>
              </w:rPr>
            </w:pPr>
          </w:p>
        </w:tc>
      </w:tr>
    </w:tbl>
    <w:p w14:paraId="4B9C1004" w14:textId="77777777" w:rsidR="00417A27" w:rsidRPr="00417A27" w:rsidRDefault="002B70AA" w:rsidP="00417A27">
      <w:pPr>
        <w:jc w:val="both"/>
        <w:rPr>
          <w:rFonts w:ascii="Arial" w:hAnsi="Arial" w:cs="Arial"/>
          <w:i/>
          <w:iCs/>
        </w:rPr>
      </w:pPr>
      <w:r w:rsidRPr="00417A27">
        <w:rPr>
          <w:rFonts w:ascii="Arial" w:hAnsi="Arial" w:cs="Arial"/>
          <w:i/>
          <w:iCs/>
        </w:rPr>
        <w:t>Notes: *** = significant at 1%; ** = significant at 5%</w:t>
      </w:r>
      <w:r w:rsidRPr="00417A27">
        <w:rPr>
          <w:rFonts w:ascii="Arial" w:hAnsi="Arial" w:cs="Arial"/>
        </w:rPr>
        <w:br/>
      </w:r>
      <w:r w:rsidRPr="00417A27">
        <w:rPr>
          <w:rFonts w:ascii="Arial" w:hAnsi="Arial" w:cs="Arial"/>
          <w:i/>
          <w:iCs/>
        </w:rPr>
        <w:t>Source: Processed data, EViews 12 (2025)</w:t>
      </w:r>
    </w:p>
    <w:p w14:paraId="36FB3828" w14:textId="6487DFA8" w:rsidR="002D5675" w:rsidRDefault="002B70AA" w:rsidP="00417A27">
      <w:pPr>
        <w:jc w:val="both"/>
        <w:rPr>
          <w:rFonts w:ascii="Arial" w:hAnsi="Arial" w:cs="Arial"/>
        </w:rPr>
      </w:pPr>
      <w:r w:rsidRPr="00417A27">
        <w:rPr>
          <w:rFonts w:ascii="Arial" w:hAnsi="Arial" w:cs="Arial"/>
        </w:rPr>
        <w:br/>
        <w:t>The model explains approximately 90.3% of the variation in ROA. Significant variables include: EDI (negative), MOWN (positive), ERM (positive), EDI × ERM (positive), and MOWN × ERM (negative). SIZE and SIZE × ERM are not significant.</w:t>
      </w:r>
    </w:p>
    <w:p w14:paraId="39DD8123" w14:textId="77777777" w:rsidR="00417A27" w:rsidRPr="00417A27" w:rsidRDefault="00417A27" w:rsidP="00417A27">
      <w:pPr>
        <w:jc w:val="both"/>
        <w:rPr>
          <w:rFonts w:ascii="Arial" w:hAnsi="Arial" w:cs="Arial"/>
          <w:i/>
          <w:iCs/>
        </w:rPr>
      </w:pPr>
    </w:p>
    <w:p w14:paraId="722DFF37" w14:textId="727AA8D4" w:rsidR="00417A27" w:rsidRDefault="0034189D" w:rsidP="0034189D">
      <w:pPr>
        <w:pStyle w:val="Body"/>
        <w:spacing w:after="0"/>
        <w:rPr>
          <w:rFonts w:ascii="Arial" w:hAnsi="Arial" w:cs="Arial"/>
          <w:b/>
          <w:bCs/>
          <w:sz w:val="22"/>
          <w:lang w:bidi="en-US"/>
        </w:rPr>
      </w:pPr>
      <w:r>
        <w:rPr>
          <w:rFonts w:ascii="Arial" w:hAnsi="Arial" w:cs="Arial"/>
          <w:b/>
          <w:bCs/>
          <w:sz w:val="22"/>
          <w:lang w:bidi="en-US"/>
        </w:rPr>
        <w:t xml:space="preserve">3.3 </w:t>
      </w:r>
      <w:r w:rsidRPr="0034189D">
        <w:rPr>
          <w:rFonts w:ascii="Arial" w:hAnsi="Arial" w:cs="Arial"/>
          <w:b/>
          <w:bCs/>
          <w:sz w:val="22"/>
          <w:lang w:bidi="en-US"/>
        </w:rPr>
        <w:t>Discussion</w:t>
      </w:r>
    </w:p>
    <w:p w14:paraId="7CC8668E" w14:textId="77777777" w:rsidR="0034189D" w:rsidRDefault="0034189D" w:rsidP="0034189D">
      <w:pPr>
        <w:pStyle w:val="Body"/>
        <w:spacing w:after="0"/>
        <w:rPr>
          <w:rFonts w:ascii="Arial" w:hAnsi="Arial" w:cs="Arial"/>
          <w:b/>
          <w:bCs/>
          <w:sz w:val="22"/>
          <w:lang w:bidi="en-US"/>
        </w:rPr>
      </w:pPr>
    </w:p>
    <w:p w14:paraId="4288DFB5" w14:textId="77777777" w:rsidR="00914A7C" w:rsidRDefault="00914A7C" w:rsidP="00914A7C">
      <w:pPr>
        <w:pStyle w:val="Body"/>
        <w:spacing w:after="0"/>
        <w:rPr>
          <w:rFonts w:ascii="Arial" w:hAnsi="Arial" w:cs="Arial"/>
          <w:b/>
          <w:bCs/>
          <w:lang w:bidi="en-US"/>
        </w:rPr>
      </w:pPr>
      <w:r w:rsidRPr="00914A7C">
        <w:rPr>
          <w:rFonts w:ascii="Arial" w:hAnsi="Arial" w:cs="Arial"/>
          <w:b/>
          <w:bCs/>
          <w:lang w:bidi="en-US"/>
        </w:rPr>
        <w:t>Hypothesis 1 – The Effect of Environmental Performance on Financial Performance</w:t>
      </w:r>
    </w:p>
    <w:p w14:paraId="26080F74" w14:textId="08F49B56" w:rsidR="00914A7C" w:rsidRPr="00914A7C" w:rsidRDefault="00914A7C" w:rsidP="00914A7C">
      <w:pPr>
        <w:pStyle w:val="Body"/>
        <w:spacing w:after="0"/>
        <w:rPr>
          <w:rFonts w:ascii="Arial" w:hAnsi="Arial" w:cs="Arial"/>
          <w:lang w:bidi="en-US"/>
        </w:rPr>
      </w:pPr>
      <w:r w:rsidRPr="00914A7C">
        <w:rPr>
          <w:rFonts w:ascii="Arial" w:hAnsi="Arial" w:cs="Arial"/>
          <w:lang w:bidi="en-US"/>
        </w:rPr>
        <w:t xml:space="preserve">The findings reveal that environmental performance (EDI) has a negative and significant effect on ROA in the baseline model. This indicates that efforts to improve environmental disclosure often require substantial costs, which reduce short-term profitability. This result is consistent with Hanif et al. (2020), who reported that environmental investments do not directly improve profitability due to the financial burden of implementation. However, when Enterprise Risk Management (ERM) is introduced as a moderating variable, the effect shifts to positive and significant. This suggests that firms with effective ERM integration are better able to mitigate risks arising from environmental initiatives and </w:t>
      </w:r>
      <w:r w:rsidR="00543672" w:rsidRPr="00031E92">
        <w:rPr>
          <w:rFonts w:ascii="Arial" w:hAnsi="Arial" w:cs="Arial"/>
          <w:highlight w:val="yellow"/>
          <w:lang w:bidi="en-US"/>
        </w:rPr>
        <w:t>optimise</w:t>
      </w:r>
      <w:r w:rsidR="00543672" w:rsidRPr="00031E92">
        <w:rPr>
          <w:rFonts w:ascii="Arial" w:hAnsi="Arial" w:cs="Arial"/>
          <w:highlight w:val="yellow"/>
          <w:lang w:bidi="en-US"/>
        </w:rPr>
        <w:t xml:space="preserve"> </w:t>
      </w:r>
      <w:r w:rsidRPr="00031E92">
        <w:rPr>
          <w:rFonts w:ascii="Arial" w:hAnsi="Arial" w:cs="Arial"/>
          <w:highlight w:val="yellow"/>
          <w:lang w:bidi="en-US"/>
        </w:rPr>
        <w:t>their benefits.</w:t>
      </w:r>
      <w:r w:rsidRPr="00914A7C">
        <w:rPr>
          <w:rFonts w:ascii="Arial" w:hAnsi="Arial" w:cs="Arial"/>
          <w:lang w:bidi="en-US"/>
        </w:rPr>
        <w:t xml:space="preserve"> Karina et al. (2023) support this argument, highlighting that ERM strengthens the relationship between ESG practices and financial performance by minimizing environmental risks.</w:t>
      </w:r>
    </w:p>
    <w:p w14:paraId="6E1AF59C" w14:textId="77777777" w:rsidR="00914A7C" w:rsidRPr="00914A7C" w:rsidRDefault="00914A7C" w:rsidP="00914A7C">
      <w:pPr>
        <w:pStyle w:val="Body"/>
        <w:spacing w:after="0"/>
        <w:rPr>
          <w:rFonts w:ascii="Arial" w:hAnsi="Arial" w:cs="Arial"/>
          <w:b/>
          <w:bCs/>
          <w:lang w:bidi="en-US"/>
        </w:rPr>
      </w:pPr>
      <w:r w:rsidRPr="00914A7C">
        <w:rPr>
          <w:rFonts w:ascii="Arial" w:hAnsi="Arial" w:cs="Arial"/>
          <w:b/>
          <w:bCs/>
          <w:lang w:bidi="en-US"/>
        </w:rPr>
        <w:t>Hypothesis 2 – The Effect of Firm Size on Financial Performance</w:t>
      </w:r>
    </w:p>
    <w:p w14:paraId="02A1FC82" w14:textId="2AF7D589" w:rsidR="00914A7C" w:rsidRPr="00914A7C" w:rsidRDefault="00914A7C" w:rsidP="00914A7C">
      <w:pPr>
        <w:pStyle w:val="Body"/>
        <w:spacing w:after="0"/>
        <w:rPr>
          <w:rFonts w:ascii="Arial" w:hAnsi="Arial" w:cs="Arial"/>
          <w:b/>
          <w:bCs/>
          <w:lang w:bidi="en-US"/>
        </w:rPr>
      </w:pPr>
      <w:r w:rsidRPr="00914A7C">
        <w:rPr>
          <w:rFonts w:ascii="Arial" w:hAnsi="Arial" w:cs="Arial"/>
          <w:lang w:bidi="en-US"/>
        </w:rPr>
        <w:t xml:space="preserve">Firm size has a positive and significant effect on ROA in the baseline model, which implies that larger firms tend to have stronger capacities in resource management, capital market access, and economies of scale. This is consistent with Meiyana &amp; Aisyah (2019), who found that larger firms are financially more stable and more capable </w:t>
      </w:r>
      <w:r w:rsidRPr="00031E92">
        <w:rPr>
          <w:rFonts w:ascii="Arial" w:hAnsi="Arial" w:cs="Arial"/>
          <w:highlight w:val="yellow"/>
          <w:lang w:bidi="en-US"/>
        </w:rPr>
        <w:t xml:space="preserve">of </w:t>
      </w:r>
      <w:r w:rsidR="00543672" w:rsidRPr="00031E92">
        <w:rPr>
          <w:rFonts w:ascii="Arial" w:hAnsi="Arial" w:cs="Arial"/>
          <w:highlight w:val="yellow"/>
          <w:lang w:bidi="en-US"/>
        </w:rPr>
        <w:t>utilising</w:t>
      </w:r>
      <w:r w:rsidR="00543672" w:rsidRPr="00914A7C">
        <w:rPr>
          <w:rFonts w:ascii="Arial" w:hAnsi="Arial" w:cs="Arial"/>
          <w:lang w:bidi="en-US"/>
        </w:rPr>
        <w:t xml:space="preserve"> </w:t>
      </w:r>
      <w:r w:rsidRPr="00914A7C">
        <w:rPr>
          <w:rFonts w:ascii="Arial" w:hAnsi="Arial" w:cs="Arial"/>
          <w:lang w:bidi="en-US"/>
        </w:rPr>
        <w:t xml:space="preserve">their assets for efficiency and profitability. Nevertheless, when the interaction with ERM is considered, the effect of firm size on ROA becomes insignificant. This indicates that </w:t>
      </w:r>
      <w:r w:rsidRPr="00914A7C">
        <w:rPr>
          <w:rFonts w:ascii="Arial" w:hAnsi="Arial" w:cs="Arial"/>
          <w:lang w:bidi="en-US"/>
        </w:rPr>
        <w:lastRenderedPageBreak/>
        <w:t>while firm size contributes to profitability, ERM does not significantly enhance the relationship. This result aligns with Syafitri et al. (2023), who argue that large corporations already possess strong internal risk control mechanisms, thereby reducing the marginal value of ERM on profitability</w:t>
      </w:r>
      <w:r w:rsidRPr="00914A7C">
        <w:rPr>
          <w:rFonts w:ascii="Arial" w:hAnsi="Arial" w:cs="Arial"/>
          <w:b/>
          <w:bCs/>
          <w:lang w:bidi="en-US"/>
        </w:rPr>
        <w:t>.</w:t>
      </w:r>
    </w:p>
    <w:p w14:paraId="1B60BFCD" w14:textId="77777777" w:rsidR="00914A7C" w:rsidRPr="00914A7C" w:rsidRDefault="00914A7C" w:rsidP="00914A7C">
      <w:pPr>
        <w:pStyle w:val="Body"/>
        <w:spacing w:after="0"/>
        <w:rPr>
          <w:rFonts w:ascii="Arial" w:hAnsi="Arial" w:cs="Arial"/>
          <w:b/>
          <w:bCs/>
          <w:lang w:bidi="en-US"/>
        </w:rPr>
      </w:pPr>
      <w:r w:rsidRPr="00914A7C">
        <w:rPr>
          <w:rFonts w:ascii="Arial" w:hAnsi="Arial" w:cs="Arial"/>
          <w:b/>
          <w:bCs/>
          <w:lang w:bidi="en-US"/>
        </w:rPr>
        <w:t>Hypothesis 3 – The Effect of Managerial Ownership on Financial Performance</w:t>
      </w:r>
    </w:p>
    <w:p w14:paraId="599E3FC5" w14:textId="00C7B174" w:rsidR="00914A7C" w:rsidRPr="00914A7C" w:rsidRDefault="00914A7C" w:rsidP="00914A7C">
      <w:pPr>
        <w:pStyle w:val="Body"/>
        <w:spacing w:after="0"/>
        <w:rPr>
          <w:rFonts w:ascii="Arial" w:hAnsi="Arial" w:cs="Arial"/>
          <w:lang w:bidi="en-US"/>
        </w:rPr>
      </w:pPr>
      <w:r w:rsidRPr="00914A7C">
        <w:rPr>
          <w:rFonts w:ascii="Arial" w:hAnsi="Arial" w:cs="Arial"/>
          <w:lang w:bidi="en-US"/>
        </w:rPr>
        <w:t xml:space="preserve">Managerial ownership has a positive and significant impact on ROA, which supports Agency Theory (Jensen &amp; Meckling, 1976) by suggesting that higher levels of managerial ownership align managers’ interests with shareholders, thus reducing agency conflict. However, the interaction with ERM shows a negative and significant effect, meaning that the implementation of ERM restricts managerial discretion in making </w:t>
      </w:r>
      <w:r w:rsidR="00543672" w:rsidRPr="00031E92">
        <w:rPr>
          <w:rFonts w:ascii="Arial" w:hAnsi="Arial" w:cs="Arial"/>
          <w:highlight w:val="yellow"/>
          <w:lang w:bidi="en-US"/>
        </w:rPr>
        <w:t>profit-maximising</w:t>
      </w:r>
      <w:r w:rsidRPr="00914A7C">
        <w:rPr>
          <w:rFonts w:ascii="Arial" w:hAnsi="Arial" w:cs="Arial"/>
          <w:lang w:bidi="en-US"/>
        </w:rPr>
        <w:t xml:space="preserve"> decisions. This finding is consistent with Malau et al. (2024), who demonstrated that strict risk management systems can reduce managerial flexibility, thereby weakening the positive effect of managerial ownership on firm performance.</w:t>
      </w:r>
    </w:p>
    <w:p w14:paraId="7715592C" w14:textId="77777777" w:rsidR="00914A7C" w:rsidRPr="00914A7C" w:rsidRDefault="00914A7C" w:rsidP="003D6E65">
      <w:pPr>
        <w:pStyle w:val="Body"/>
        <w:spacing w:after="0"/>
        <w:rPr>
          <w:rFonts w:ascii="Arial" w:hAnsi="Arial" w:cs="Arial"/>
          <w:b/>
          <w:bCs/>
          <w:lang w:bidi="en-US"/>
        </w:rPr>
      </w:pPr>
      <w:r w:rsidRPr="00914A7C">
        <w:rPr>
          <w:rFonts w:ascii="Arial" w:hAnsi="Arial" w:cs="Arial"/>
          <w:b/>
          <w:bCs/>
          <w:lang w:bidi="en-US"/>
        </w:rPr>
        <w:t>Hypothesis 4 – The Moderating Role of ERM on the Relationship between Environmental Performance and Financial Performance</w:t>
      </w:r>
    </w:p>
    <w:p w14:paraId="12168051" w14:textId="77777777" w:rsidR="003D6E65" w:rsidRDefault="00914A7C" w:rsidP="003D6E65">
      <w:pPr>
        <w:pStyle w:val="Body"/>
        <w:spacing w:after="0"/>
        <w:rPr>
          <w:rFonts w:ascii="Arial" w:hAnsi="Arial" w:cs="Arial"/>
          <w:lang w:bidi="en-US"/>
        </w:rPr>
      </w:pPr>
      <w:r w:rsidRPr="003D6E65">
        <w:rPr>
          <w:rFonts w:ascii="Arial" w:hAnsi="Arial" w:cs="Arial"/>
          <w:lang w:bidi="en-US"/>
        </w:rPr>
        <w:t>ERM has a positive and significant moderating role in strengthening the relationship between environmental performance and ROA. This suggests that firms that integrate ERM into their sustainability practices are able to control risks and costs effectively, resulting in improved profitability. The result is supported by Karina et al. (2023), who found that ERM assists firms in mitigating ESG-related risks while enhancing financial returns from environmental initiatives. Thus, ERM not only provides legitimacy benefits but also contributes to financial gains from sustainability practices.</w:t>
      </w:r>
    </w:p>
    <w:p w14:paraId="78D1F330" w14:textId="2921D5DE" w:rsidR="00914A7C" w:rsidRPr="003D6E65" w:rsidRDefault="00914A7C" w:rsidP="003D6E65">
      <w:pPr>
        <w:pStyle w:val="Body"/>
        <w:spacing w:after="0"/>
        <w:rPr>
          <w:rFonts w:ascii="Arial" w:hAnsi="Arial" w:cs="Arial"/>
          <w:lang w:bidi="en-US"/>
        </w:rPr>
      </w:pPr>
      <w:r w:rsidRPr="00914A7C">
        <w:rPr>
          <w:rFonts w:ascii="Arial" w:hAnsi="Arial" w:cs="Arial"/>
          <w:b/>
          <w:bCs/>
          <w:lang w:bidi="en-US"/>
        </w:rPr>
        <w:t>Hypothesis 5 – The Moderating Role of ERM on the Relationship between Firm Size and Financial Performance</w:t>
      </w:r>
    </w:p>
    <w:p w14:paraId="1714CA8A" w14:textId="77777777" w:rsidR="00914A7C" w:rsidRPr="003D6E65" w:rsidRDefault="00914A7C" w:rsidP="00914A7C">
      <w:pPr>
        <w:pStyle w:val="Body"/>
        <w:rPr>
          <w:rFonts w:ascii="Arial" w:hAnsi="Arial" w:cs="Arial"/>
          <w:lang w:bidi="en-US"/>
        </w:rPr>
      </w:pPr>
      <w:r w:rsidRPr="003D6E65">
        <w:rPr>
          <w:rFonts w:ascii="Arial" w:hAnsi="Arial" w:cs="Arial"/>
          <w:lang w:bidi="en-US"/>
        </w:rPr>
        <w:t xml:space="preserve">The results indicate that ERM does not significantly moderate the relationship </w:t>
      </w:r>
      <w:r w:rsidRPr="003D6E65">
        <w:rPr>
          <w:rFonts w:ascii="Arial" w:hAnsi="Arial" w:cs="Arial"/>
          <w:lang w:bidi="en-US"/>
        </w:rPr>
        <w:t>between firm size and ROA. Although larger firms enjoy structural advantages in resources and efficiency, the presence of ERM does not provide additional value to their financial performance. This finding is in line with Syafitri et al. (2023), who stated that large firms generally have established risk management frameworks, making the incremental benefits of ERM less impactful. Hence, the role of ERM may be more critical in smaller or medium-sized firms where structured risk management systems are less developed.</w:t>
      </w:r>
    </w:p>
    <w:p w14:paraId="13AABD8B" w14:textId="77777777" w:rsidR="00914A7C" w:rsidRPr="00914A7C" w:rsidRDefault="00914A7C" w:rsidP="00914A7C">
      <w:pPr>
        <w:pStyle w:val="Body"/>
        <w:rPr>
          <w:rFonts w:ascii="Arial" w:hAnsi="Arial" w:cs="Arial"/>
          <w:b/>
          <w:bCs/>
          <w:lang w:bidi="en-US"/>
        </w:rPr>
      </w:pPr>
    </w:p>
    <w:p w14:paraId="183633D2" w14:textId="77777777" w:rsidR="00914A7C" w:rsidRPr="00914A7C" w:rsidRDefault="00914A7C" w:rsidP="003D6E65">
      <w:pPr>
        <w:pStyle w:val="Body"/>
        <w:spacing w:after="0"/>
        <w:rPr>
          <w:rFonts w:ascii="Arial" w:hAnsi="Arial" w:cs="Arial"/>
          <w:b/>
          <w:bCs/>
          <w:lang w:bidi="en-US"/>
        </w:rPr>
      </w:pPr>
      <w:r w:rsidRPr="00914A7C">
        <w:rPr>
          <w:rFonts w:ascii="Arial" w:hAnsi="Arial" w:cs="Arial"/>
          <w:b/>
          <w:bCs/>
          <w:lang w:bidi="en-US"/>
        </w:rPr>
        <w:t>Hypothesis 6 – The Moderating Role of ERM on the Relationship between Managerial Ownership and Financial Performance</w:t>
      </w:r>
    </w:p>
    <w:p w14:paraId="40D08FB4" w14:textId="4A0B493E" w:rsidR="00B43A70" w:rsidRDefault="00914A7C" w:rsidP="00914A7C">
      <w:pPr>
        <w:pStyle w:val="Body"/>
        <w:spacing w:after="0"/>
        <w:rPr>
          <w:rFonts w:ascii="Arial" w:hAnsi="Arial" w:cs="Arial"/>
          <w:lang w:bidi="en-US"/>
        </w:rPr>
      </w:pPr>
      <w:r w:rsidRPr="003D6E65">
        <w:rPr>
          <w:rFonts w:ascii="Arial" w:hAnsi="Arial" w:cs="Arial"/>
          <w:lang w:bidi="en-US"/>
        </w:rPr>
        <w:t>The findings demonstrate that ERM negatively and significantly moderates the relationship between managerial ownership and ROA. While managerial ownership increases the alignment of interests and can boost performance, ERM appears to weaken this effect by restricting managerial flexibility in decision-making. Malau et al. (2024) also reported that strict ERM frameworks may limit managerial initiative in adopting aggressive strategies that could potentially increase profitability. This indicates that a balance between managerial ownership and decision-making flexibility is necessary to ensure that ERM does not diminish the potential benefits of managerial ownership for financial performance.</w:t>
      </w:r>
    </w:p>
    <w:p w14:paraId="4EC1F9B6" w14:textId="77777777" w:rsidR="00A3302B" w:rsidRDefault="00A3302B" w:rsidP="00914A7C">
      <w:pPr>
        <w:pStyle w:val="Body"/>
        <w:spacing w:after="0"/>
        <w:rPr>
          <w:rFonts w:ascii="Arial" w:hAnsi="Arial" w:cs="Arial"/>
          <w:lang w:bidi="en-US"/>
        </w:rPr>
      </w:pPr>
    </w:p>
    <w:p w14:paraId="6771CEC2" w14:textId="07DBB693" w:rsidR="00A3302B" w:rsidRPr="00031E92" w:rsidRDefault="00A3302B" w:rsidP="00914A7C">
      <w:pPr>
        <w:pStyle w:val="Body"/>
        <w:spacing w:after="0"/>
        <w:rPr>
          <w:rFonts w:ascii="Arial" w:hAnsi="Arial" w:cs="Arial"/>
          <w:b/>
          <w:bCs/>
          <w:highlight w:val="yellow"/>
          <w:lang w:bidi="en-US"/>
        </w:rPr>
      </w:pPr>
      <w:r w:rsidRPr="00031E92">
        <w:rPr>
          <w:rFonts w:ascii="Arial" w:hAnsi="Arial" w:cs="Arial"/>
          <w:b/>
          <w:bCs/>
          <w:highlight w:val="yellow"/>
          <w:lang w:bidi="en-US"/>
        </w:rPr>
        <w:t>Conclusion</w:t>
      </w:r>
    </w:p>
    <w:p w14:paraId="7C027595" w14:textId="774920A7" w:rsidR="00B43A70" w:rsidRPr="005F07D4" w:rsidRDefault="006B34B8" w:rsidP="005F07D4">
      <w:pPr>
        <w:pStyle w:val="Body"/>
        <w:spacing w:after="0"/>
        <w:rPr>
          <w:rFonts w:ascii="Arial" w:hAnsi="Arial" w:cs="Arial"/>
        </w:rPr>
      </w:pPr>
      <w:r w:rsidRPr="00031E92">
        <w:rPr>
          <w:rFonts w:ascii="Arial" w:hAnsi="Arial" w:cs="Arial"/>
          <w:highlight w:val="yellow"/>
        </w:rPr>
        <w:t xml:space="preserve">The study concluded that </w:t>
      </w:r>
      <w:r w:rsidRPr="00031E92">
        <w:rPr>
          <w:rFonts w:ascii="Arial" w:hAnsi="Arial" w:cs="Arial"/>
          <w:highlight w:val="yellow"/>
        </w:rPr>
        <w:t>ERM functions as a moderator that can enhance the financial benefits of environmental initiatives but may limit the positive effects of managerial ownership. Integrating ERM with sustainability practices can improve profitability, although its implementation should be balanced to avoid excessive constraints on managerial decision-making.</w:t>
      </w:r>
    </w:p>
    <w:p w14:paraId="4C3A4306" w14:textId="77777777" w:rsidR="00E82096" w:rsidRDefault="00E82096" w:rsidP="001A2219">
      <w:pPr>
        <w:pStyle w:val="Body"/>
        <w:spacing w:after="0"/>
        <w:rPr>
          <w:rFonts w:ascii="Arial" w:hAnsi="Arial" w:cs="Arial"/>
        </w:rPr>
        <w:sectPr w:rsidR="00E82096" w:rsidSect="00842790">
          <w:type w:val="continuous"/>
          <w:pgSz w:w="12240" w:h="15840"/>
          <w:pgMar w:top="1440" w:right="2016" w:bottom="2016" w:left="2016" w:header="720" w:footer="1123" w:gutter="0"/>
          <w:cols w:num="2" w:space="720"/>
          <w:docGrid w:linePitch="272"/>
        </w:sectPr>
      </w:pPr>
    </w:p>
    <w:p w14:paraId="28A79645" w14:textId="77777777" w:rsidR="00860000" w:rsidRDefault="00860000" w:rsidP="001A2219">
      <w:pPr>
        <w:pStyle w:val="ReferHead"/>
        <w:spacing w:after="0"/>
        <w:jc w:val="both"/>
        <w:rPr>
          <w:rFonts w:ascii="Arial" w:hAnsi="Arial" w:cs="Arial"/>
        </w:rPr>
      </w:pPr>
    </w:p>
    <w:p w14:paraId="2D474BC4" w14:textId="77777777" w:rsidR="00121FB1" w:rsidRDefault="00121FB1" w:rsidP="001A2219">
      <w:pPr>
        <w:pStyle w:val="ReferHead"/>
        <w:spacing w:after="0"/>
        <w:jc w:val="both"/>
        <w:rPr>
          <w:rFonts w:ascii="Arial" w:hAnsi="Arial" w:cs="Arial"/>
        </w:rPr>
        <w:sectPr w:rsidR="00121FB1" w:rsidSect="00842790">
          <w:type w:val="continuous"/>
          <w:pgSz w:w="12240" w:h="15840"/>
          <w:pgMar w:top="1440" w:right="2016" w:bottom="2016" w:left="2016" w:header="720" w:footer="1123" w:gutter="0"/>
          <w:cols w:space="720"/>
          <w:docGrid w:linePitch="272"/>
        </w:sectPr>
      </w:pPr>
    </w:p>
    <w:p w14:paraId="13B903D1" w14:textId="77777777" w:rsidR="003C2306" w:rsidRDefault="003C2306" w:rsidP="001A2219">
      <w:pPr>
        <w:pStyle w:val="ReferHead"/>
        <w:spacing w:after="0"/>
        <w:jc w:val="both"/>
        <w:rPr>
          <w:rFonts w:ascii="Arial" w:hAnsi="Arial" w:cs="Arial"/>
        </w:rPr>
      </w:pPr>
    </w:p>
    <w:p w14:paraId="78DBD5A1" w14:textId="77777777" w:rsidR="003C2306" w:rsidRPr="00270720" w:rsidRDefault="003C2306" w:rsidP="003C2306">
      <w:pPr>
        <w:rPr>
          <w:highlight w:val="yellow"/>
        </w:rPr>
      </w:pPr>
      <w:r w:rsidRPr="00270720">
        <w:rPr>
          <w:highlight w:val="yellow"/>
        </w:rPr>
        <w:t>Disclaimer (Artificial intelligence)</w:t>
      </w:r>
    </w:p>
    <w:p w14:paraId="249F84D7" w14:textId="77777777" w:rsidR="003C2306" w:rsidRPr="00270720" w:rsidRDefault="003C2306" w:rsidP="003C2306">
      <w:pPr>
        <w:rPr>
          <w:highlight w:val="yellow"/>
        </w:rPr>
      </w:pPr>
    </w:p>
    <w:p w14:paraId="16B7EF9E" w14:textId="77777777" w:rsidR="003C2306" w:rsidRPr="00270720" w:rsidRDefault="003C2306" w:rsidP="003C2306">
      <w:pPr>
        <w:rPr>
          <w:highlight w:val="yellow"/>
        </w:rPr>
      </w:pPr>
      <w:r w:rsidRPr="00270720">
        <w:rPr>
          <w:highlight w:val="yellow"/>
        </w:rPr>
        <w:t xml:space="preserve">Option 1: </w:t>
      </w:r>
    </w:p>
    <w:p w14:paraId="29704D20" w14:textId="77777777" w:rsidR="003C2306" w:rsidRPr="00270720" w:rsidRDefault="003C2306" w:rsidP="003C2306">
      <w:pPr>
        <w:rPr>
          <w:highlight w:val="yellow"/>
        </w:rPr>
      </w:pPr>
    </w:p>
    <w:p w14:paraId="544B9E77" w14:textId="77777777" w:rsidR="003C2306" w:rsidRPr="00270720" w:rsidRDefault="003C2306" w:rsidP="003C2306">
      <w:pPr>
        <w:rPr>
          <w:highlight w:val="yellow"/>
        </w:rPr>
      </w:pPr>
      <w:r w:rsidRPr="00270720">
        <w:rPr>
          <w:highlight w:val="yellow"/>
        </w:rPr>
        <w:t xml:space="preserve">Author(s) hereby declare that NO generative AI technologies such as Large Language Models (ChatGPT, COPILOT, etc.) and text-to-image generators have been used during the writing or editing of this manuscript. </w:t>
      </w:r>
    </w:p>
    <w:p w14:paraId="740B0CE6" w14:textId="77777777" w:rsidR="003C2306" w:rsidRPr="00270720" w:rsidRDefault="003C2306" w:rsidP="003C2306">
      <w:pPr>
        <w:rPr>
          <w:highlight w:val="yellow"/>
        </w:rPr>
      </w:pPr>
    </w:p>
    <w:p w14:paraId="66FAD34E" w14:textId="77777777" w:rsidR="003C2306" w:rsidRPr="00270720" w:rsidRDefault="003C2306" w:rsidP="003C2306">
      <w:pPr>
        <w:rPr>
          <w:highlight w:val="yellow"/>
        </w:rPr>
      </w:pPr>
      <w:r w:rsidRPr="00270720">
        <w:rPr>
          <w:highlight w:val="yellow"/>
        </w:rPr>
        <w:t xml:space="preserve">Option 2: </w:t>
      </w:r>
    </w:p>
    <w:p w14:paraId="3F894C00" w14:textId="77777777" w:rsidR="003C2306" w:rsidRPr="00270720" w:rsidRDefault="003C2306" w:rsidP="003C2306">
      <w:pPr>
        <w:rPr>
          <w:highlight w:val="yellow"/>
        </w:rPr>
      </w:pPr>
    </w:p>
    <w:p w14:paraId="11356EB9" w14:textId="77777777" w:rsidR="003C2306" w:rsidRPr="00270720" w:rsidRDefault="003C2306" w:rsidP="003C2306">
      <w:pPr>
        <w:rPr>
          <w:highlight w:val="yellow"/>
        </w:rPr>
      </w:pPr>
      <w:r w:rsidRPr="00270720">
        <w:rPr>
          <w:highlight w:val="yellow"/>
        </w:rPr>
        <w:t xml:space="preserve">Author(s) hereby declare that generative AI technologies such as Large Language </w:t>
      </w:r>
      <w:r w:rsidRPr="00270720">
        <w:rPr>
          <w:highlight w:val="yellow"/>
        </w:rPr>
        <w:t>Models, etc. have been used during the writing or editing of manuscripts. This explanation will include the name, version, model, and source of the generative AI technology and as well as all input prompts provided to the generative AI technology</w:t>
      </w:r>
    </w:p>
    <w:p w14:paraId="49E57710" w14:textId="77777777" w:rsidR="003C2306" w:rsidRPr="00270720" w:rsidRDefault="003C2306" w:rsidP="003C2306">
      <w:pPr>
        <w:rPr>
          <w:highlight w:val="yellow"/>
        </w:rPr>
      </w:pPr>
    </w:p>
    <w:p w14:paraId="03158213" w14:textId="77777777" w:rsidR="003C2306" w:rsidRPr="00270720" w:rsidRDefault="003C2306" w:rsidP="003C2306">
      <w:pPr>
        <w:rPr>
          <w:highlight w:val="yellow"/>
        </w:rPr>
      </w:pPr>
      <w:r w:rsidRPr="00270720">
        <w:rPr>
          <w:highlight w:val="yellow"/>
        </w:rPr>
        <w:t>Details of the AI usage are given below:</w:t>
      </w:r>
    </w:p>
    <w:p w14:paraId="6B2BBD89" w14:textId="77777777" w:rsidR="003C2306" w:rsidRPr="00270720" w:rsidRDefault="003C2306" w:rsidP="003C2306">
      <w:pPr>
        <w:rPr>
          <w:highlight w:val="yellow"/>
        </w:rPr>
      </w:pPr>
      <w:r w:rsidRPr="00270720">
        <w:rPr>
          <w:highlight w:val="yellow"/>
        </w:rPr>
        <w:t>1.</w:t>
      </w:r>
    </w:p>
    <w:p w14:paraId="0813182D" w14:textId="77777777" w:rsidR="003C2306" w:rsidRPr="00270720" w:rsidRDefault="003C2306" w:rsidP="003C2306">
      <w:pPr>
        <w:rPr>
          <w:highlight w:val="yellow"/>
        </w:rPr>
      </w:pPr>
      <w:r w:rsidRPr="00270720">
        <w:rPr>
          <w:highlight w:val="yellow"/>
        </w:rPr>
        <w:t>2.</w:t>
      </w:r>
    </w:p>
    <w:p w14:paraId="5F933403" w14:textId="77777777" w:rsidR="003C2306" w:rsidRPr="00270720" w:rsidRDefault="003C2306" w:rsidP="003C2306">
      <w:r w:rsidRPr="00270720">
        <w:rPr>
          <w:highlight w:val="yellow"/>
        </w:rPr>
        <w:t>3.</w:t>
      </w:r>
    </w:p>
    <w:p w14:paraId="529D553D" w14:textId="77777777" w:rsidR="003C2306" w:rsidRDefault="003C2306" w:rsidP="001A2219">
      <w:pPr>
        <w:pStyle w:val="ReferHead"/>
        <w:spacing w:after="0"/>
        <w:jc w:val="both"/>
        <w:rPr>
          <w:rFonts w:ascii="Arial" w:hAnsi="Arial" w:cs="Arial"/>
        </w:rPr>
      </w:pPr>
    </w:p>
    <w:p w14:paraId="403C9A3A" w14:textId="3BD417AE" w:rsidR="00B01FCD" w:rsidRDefault="00B01FCD" w:rsidP="001A2219">
      <w:pPr>
        <w:pStyle w:val="ReferHead"/>
        <w:spacing w:after="0"/>
        <w:jc w:val="both"/>
        <w:rPr>
          <w:rFonts w:ascii="Arial" w:hAnsi="Arial" w:cs="Arial"/>
        </w:rPr>
      </w:pPr>
      <w:r w:rsidRPr="00FB3A86">
        <w:rPr>
          <w:rFonts w:ascii="Arial" w:hAnsi="Arial" w:cs="Arial"/>
        </w:rPr>
        <w:t>References</w:t>
      </w:r>
    </w:p>
    <w:p w14:paraId="49E2EF33" w14:textId="77777777" w:rsidR="00121FB1" w:rsidRDefault="00121FB1" w:rsidP="00121FB1">
      <w:pPr>
        <w:pStyle w:val="ReferHead"/>
        <w:spacing w:after="0"/>
        <w:ind w:left="567" w:hanging="567"/>
        <w:jc w:val="both"/>
        <w:rPr>
          <w:rFonts w:ascii="Arial" w:hAnsi="Arial" w:cs="Arial"/>
          <w:b w:val="0"/>
          <w:caps w:val="0"/>
          <w:szCs w:val="18"/>
        </w:rPr>
        <w:sectPr w:rsidR="00121FB1" w:rsidSect="00842790">
          <w:type w:val="continuous"/>
          <w:pgSz w:w="12240" w:h="15840"/>
          <w:pgMar w:top="1440" w:right="2016" w:bottom="2016" w:left="2016" w:header="720" w:footer="1123" w:gutter="0"/>
          <w:cols w:num="2" w:space="720"/>
          <w:docGrid w:linePitch="272"/>
        </w:sectPr>
      </w:pPr>
    </w:p>
    <w:p w14:paraId="229D5170" w14:textId="77777777" w:rsidR="00121FB1" w:rsidRDefault="00121FB1" w:rsidP="00121FB1">
      <w:pPr>
        <w:pStyle w:val="ReferHead"/>
        <w:spacing w:after="0"/>
        <w:ind w:left="567" w:hanging="567"/>
        <w:jc w:val="both"/>
        <w:rPr>
          <w:rFonts w:ascii="Arial" w:hAnsi="Arial" w:cs="Arial"/>
          <w:b w:val="0"/>
          <w:caps w:val="0"/>
          <w:szCs w:val="18"/>
        </w:rPr>
      </w:pPr>
      <w:r w:rsidRPr="002258BA">
        <w:rPr>
          <w:rFonts w:ascii="Arial" w:hAnsi="Arial" w:cs="Arial"/>
          <w:b w:val="0"/>
          <w:caps w:val="0"/>
          <w:szCs w:val="18"/>
          <w:lang w:val="es-US"/>
        </w:rPr>
        <w:t xml:space="preserve">Al Matari, E. M., &amp; Hussein Mgammal, M. H. (2019). </w:t>
      </w:r>
      <w:r w:rsidRPr="00121FB1">
        <w:rPr>
          <w:rFonts w:ascii="Arial" w:hAnsi="Arial" w:cs="Arial"/>
          <w:b w:val="0"/>
          <w:caps w:val="0"/>
          <w:szCs w:val="18"/>
        </w:rPr>
        <w:t xml:space="preserve">The Moderating Effect Of Corporate Governance On The Relationship Between Ownership Structure And Firm Performance In Oman. </w:t>
      </w:r>
      <w:r w:rsidRPr="00121FB1">
        <w:rPr>
          <w:rFonts w:ascii="Arial" w:hAnsi="Arial" w:cs="Arial"/>
          <w:b w:val="0"/>
          <w:i/>
          <w:iCs/>
          <w:caps w:val="0"/>
          <w:szCs w:val="18"/>
        </w:rPr>
        <w:t>International Journal Of Academic Research In Accounting, Finance And Management Sciences</w:t>
      </w:r>
      <w:r w:rsidRPr="00121FB1">
        <w:rPr>
          <w:rFonts w:ascii="Arial" w:hAnsi="Arial" w:cs="Arial"/>
          <w:b w:val="0"/>
          <w:caps w:val="0"/>
          <w:szCs w:val="18"/>
        </w:rPr>
        <w:t>, 9(3), 12–26.</w:t>
      </w:r>
    </w:p>
    <w:p w14:paraId="024A985B" w14:textId="77777777" w:rsidR="00121FB1" w:rsidRDefault="00121FB1" w:rsidP="004F1336">
      <w:pPr>
        <w:pStyle w:val="ReferHead"/>
        <w:spacing w:after="0"/>
        <w:ind w:left="567"/>
        <w:jc w:val="both"/>
        <w:rPr>
          <w:rFonts w:ascii="Arial" w:hAnsi="Arial" w:cs="Arial"/>
          <w:b w:val="0"/>
          <w:caps w:val="0"/>
          <w:szCs w:val="18"/>
        </w:rPr>
      </w:pPr>
      <w:hyperlink r:id="rId17" w:history="1">
        <w:r w:rsidRPr="001B3319">
          <w:rPr>
            <w:rStyle w:val="Hyperlink"/>
            <w:rFonts w:ascii="Arial" w:hAnsi="Arial" w:cs="Arial"/>
            <w:b w:val="0"/>
            <w:caps w:val="0"/>
            <w:szCs w:val="18"/>
          </w:rPr>
          <w:t>Https://Doi.Org/10.6007/Ijarafms/V9-I3/6346</w:t>
        </w:r>
      </w:hyperlink>
      <w:r>
        <w:rPr>
          <w:rFonts w:ascii="Arial" w:hAnsi="Arial" w:cs="Arial"/>
          <w:b w:val="0"/>
          <w:caps w:val="0"/>
          <w:szCs w:val="18"/>
        </w:rPr>
        <w:t xml:space="preserve"> </w:t>
      </w:r>
    </w:p>
    <w:p w14:paraId="3063EB9B" w14:textId="1597E5DD" w:rsidR="00121FB1" w:rsidRPr="00121FB1" w:rsidRDefault="00121FB1" w:rsidP="00121FB1">
      <w:pPr>
        <w:pStyle w:val="ReferHead"/>
        <w:spacing w:after="0"/>
        <w:ind w:left="567" w:hanging="567"/>
        <w:jc w:val="both"/>
        <w:rPr>
          <w:rFonts w:ascii="Arial" w:hAnsi="Arial" w:cs="Arial"/>
          <w:b w:val="0"/>
          <w:caps w:val="0"/>
          <w:szCs w:val="18"/>
        </w:rPr>
      </w:pPr>
      <w:r w:rsidRPr="00031E92">
        <w:rPr>
          <w:rFonts w:ascii="Arial" w:hAnsi="Arial" w:cs="Arial"/>
          <w:b w:val="0"/>
          <w:caps w:val="0"/>
          <w:szCs w:val="18"/>
          <w:lang w:val="es-US"/>
        </w:rPr>
        <w:t xml:space="preserve">Angelina, T., &amp; Nursasi, E. (2021). Pengaruh Kinerja Lingkungan Terhadap Kinerja Keuangan Perusahaan. </w:t>
      </w:r>
      <w:r w:rsidRPr="00121FB1">
        <w:rPr>
          <w:rFonts w:ascii="Arial" w:hAnsi="Arial" w:cs="Arial"/>
          <w:b w:val="0"/>
          <w:i/>
          <w:iCs/>
          <w:caps w:val="0"/>
          <w:szCs w:val="18"/>
        </w:rPr>
        <w:t>Jurnal Akuntansi Multiparadigma</w:t>
      </w:r>
      <w:r w:rsidRPr="00121FB1">
        <w:rPr>
          <w:rFonts w:ascii="Arial" w:hAnsi="Arial" w:cs="Arial"/>
          <w:b w:val="0"/>
          <w:caps w:val="0"/>
          <w:szCs w:val="18"/>
        </w:rPr>
        <w:t xml:space="preserve">, 12(2), 330–344. </w:t>
      </w:r>
      <w:hyperlink r:id="rId18" w:history="1">
        <w:r w:rsidRPr="001B3319">
          <w:rPr>
            <w:rStyle w:val="Hyperlink"/>
            <w:rFonts w:ascii="Arial" w:hAnsi="Arial" w:cs="Arial"/>
            <w:b w:val="0"/>
            <w:caps w:val="0"/>
            <w:szCs w:val="18"/>
          </w:rPr>
          <w:t>Https://Doi.Org/10.18202/Jamal.2021.08.10023</w:t>
        </w:r>
      </w:hyperlink>
      <w:r>
        <w:rPr>
          <w:rFonts w:ascii="Arial" w:hAnsi="Arial" w:cs="Arial"/>
          <w:b w:val="0"/>
          <w:caps w:val="0"/>
          <w:szCs w:val="18"/>
        </w:rPr>
        <w:t xml:space="preserve"> </w:t>
      </w:r>
    </w:p>
    <w:p w14:paraId="1AF80E2C" w14:textId="77777777" w:rsidR="004F1336" w:rsidRDefault="00121FB1" w:rsidP="00121FB1">
      <w:pPr>
        <w:pStyle w:val="ReferHead"/>
        <w:spacing w:after="0"/>
        <w:ind w:left="567" w:hanging="567"/>
        <w:jc w:val="both"/>
        <w:rPr>
          <w:rFonts w:ascii="Arial" w:hAnsi="Arial" w:cs="Arial"/>
          <w:b w:val="0"/>
          <w:caps w:val="0"/>
          <w:szCs w:val="18"/>
        </w:rPr>
      </w:pPr>
      <w:r>
        <w:rPr>
          <w:rFonts w:ascii="Arial" w:hAnsi="Arial" w:cs="Arial"/>
          <w:b w:val="0"/>
          <w:caps w:val="0"/>
          <w:szCs w:val="18"/>
        </w:rPr>
        <w:t>A</w:t>
      </w:r>
      <w:r w:rsidRPr="00121FB1">
        <w:rPr>
          <w:rFonts w:ascii="Arial" w:hAnsi="Arial" w:cs="Arial"/>
          <w:b w:val="0"/>
          <w:caps w:val="0"/>
          <w:szCs w:val="18"/>
        </w:rPr>
        <w:t xml:space="preserve">zdra, N., Suryadi, S., &amp; Fitriana, R. (2023). Environmental Performance And Firm Value: The Moderating Role Of Corporate Governance. </w:t>
      </w:r>
      <w:r w:rsidRPr="00121FB1">
        <w:rPr>
          <w:rFonts w:ascii="Arial" w:hAnsi="Arial" w:cs="Arial"/>
          <w:b w:val="0"/>
          <w:i/>
          <w:iCs/>
          <w:caps w:val="0"/>
          <w:szCs w:val="18"/>
        </w:rPr>
        <w:t>Jurnal Keuangan Dan Perbankan</w:t>
      </w:r>
      <w:r w:rsidRPr="00121FB1">
        <w:rPr>
          <w:rFonts w:ascii="Arial" w:hAnsi="Arial" w:cs="Arial"/>
          <w:b w:val="0"/>
          <w:caps w:val="0"/>
          <w:szCs w:val="18"/>
        </w:rPr>
        <w:t xml:space="preserve">, 27(1), 88–99. </w:t>
      </w:r>
    </w:p>
    <w:p w14:paraId="04527759" w14:textId="657BB4E7" w:rsidR="00121FB1" w:rsidRPr="00121FB1" w:rsidRDefault="004F1336" w:rsidP="004F1336">
      <w:pPr>
        <w:pStyle w:val="ReferHead"/>
        <w:spacing w:after="0"/>
        <w:ind w:left="567"/>
        <w:jc w:val="both"/>
        <w:rPr>
          <w:rFonts w:ascii="Arial" w:hAnsi="Arial" w:cs="Arial"/>
          <w:b w:val="0"/>
          <w:szCs w:val="18"/>
        </w:rPr>
      </w:pPr>
      <w:hyperlink r:id="rId19" w:history="1">
        <w:r w:rsidRPr="001B3319">
          <w:rPr>
            <w:rStyle w:val="Hyperlink"/>
            <w:rFonts w:ascii="Arial" w:hAnsi="Arial" w:cs="Arial"/>
            <w:b w:val="0"/>
            <w:caps w:val="0"/>
            <w:szCs w:val="18"/>
          </w:rPr>
          <w:t>Https://Doi.Org/10.26905/Jkdp.V27i1.8924</w:t>
        </w:r>
      </w:hyperlink>
      <w:r w:rsidR="00121FB1">
        <w:rPr>
          <w:rFonts w:ascii="Arial" w:hAnsi="Arial" w:cs="Arial"/>
          <w:b w:val="0"/>
          <w:caps w:val="0"/>
          <w:szCs w:val="18"/>
        </w:rPr>
        <w:t xml:space="preserve"> </w:t>
      </w:r>
    </w:p>
    <w:p w14:paraId="58882CE1" w14:textId="77777777" w:rsidR="00121FB1"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Aziza, N., Wardani, R., &amp; Rahmawati, E. (2020). Firm Size, Profitability, And Environmental Disclosure: Evidence From Indonesia. </w:t>
      </w:r>
      <w:r w:rsidRPr="00121FB1">
        <w:rPr>
          <w:rFonts w:ascii="Arial" w:hAnsi="Arial" w:cs="Arial"/>
          <w:b w:val="0"/>
          <w:i/>
          <w:iCs/>
          <w:caps w:val="0"/>
          <w:szCs w:val="18"/>
        </w:rPr>
        <w:t xml:space="preserve">Jurnal </w:t>
      </w:r>
      <w:r w:rsidRPr="00121FB1">
        <w:rPr>
          <w:rFonts w:ascii="Arial" w:hAnsi="Arial" w:cs="Arial"/>
          <w:b w:val="0"/>
          <w:i/>
          <w:iCs/>
          <w:caps w:val="0"/>
          <w:szCs w:val="18"/>
        </w:rPr>
        <w:t>Akuntansi Dan Auditing Indonesia</w:t>
      </w:r>
      <w:r w:rsidRPr="00121FB1">
        <w:rPr>
          <w:rFonts w:ascii="Arial" w:hAnsi="Arial" w:cs="Arial"/>
          <w:b w:val="0"/>
          <w:caps w:val="0"/>
          <w:szCs w:val="18"/>
        </w:rPr>
        <w:t xml:space="preserve">, 24(2), 141–151. </w:t>
      </w:r>
    </w:p>
    <w:p w14:paraId="6AB9433B" w14:textId="514F3881" w:rsidR="00121FB1" w:rsidRPr="00121FB1" w:rsidRDefault="00121FB1" w:rsidP="00121FB1">
      <w:pPr>
        <w:pStyle w:val="ReferHead"/>
        <w:spacing w:after="0"/>
        <w:ind w:left="426"/>
        <w:jc w:val="both"/>
        <w:rPr>
          <w:rFonts w:ascii="Arial" w:hAnsi="Arial" w:cs="Arial"/>
          <w:b w:val="0"/>
          <w:szCs w:val="18"/>
        </w:rPr>
      </w:pPr>
      <w:hyperlink r:id="rId20" w:history="1">
        <w:r w:rsidRPr="001B3319">
          <w:rPr>
            <w:rStyle w:val="Hyperlink"/>
            <w:rFonts w:ascii="Arial" w:hAnsi="Arial" w:cs="Arial"/>
            <w:b w:val="0"/>
            <w:caps w:val="0"/>
            <w:szCs w:val="18"/>
          </w:rPr>
          <w:t>Https://Doi.Org/10.20885/Jaai.Vol24.Iss2.Art6</w:t>
        </w:r>
      </w:hyperlink>
      <w:r>
        <w:rPr>
          <w:rFonts w:ascii="Arial" w:hAnsi="Arial" w:cs="Arial"/>
          <w:b w:val="0"/>
          <w:caps w:val="0"/>
          <w:szCs w:val="18"/>
        </w:rPr>
        <w:t xml:space="preserve"> </w:t>
      </w:r>
    </w:p>
    <w:p w14:paraId="42387579" w14:textId="77777777" w:rsidR="004F1336"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Barney, J. (1991). Firm Resources And Sustained Competitive Advantage. </w:t>
      </w:r>
      <w:r w:rsidRPr="00121FB1">
        <w:rPr>
          <w:rFonts w:ascii="Arial" w:hAnsi="Arial" w:cs="Arial"/>
          <w:b w:val="0"/>
          <w:i/>
          <w:iCs/>
          <w:caps w:val="0"/>
          <w:szCs w:val="18"/>
        </w:rPr>
        <w:t>Journal Of Management</w:t>
      </w:r>
      <w:r w:rsidRPr="00121FB1">
        <w:rPr>
          <w:rFonts w:ascii="Arial" w:hAnsi="Arial" w:cs="Arial"/>
          <w:b w:val="0"/>
          <w:caps w:val="0"/>
          <w:szCs w:val="18"/>
        </w:rPr>
        <w:t>, 17(1), 99–120.</w:t>
      </w:r>
    </w:p>
    <w:p w14:paraId="60552D96" w14:textId="1112F2A5" w:rsidR="00121FB1" w:rsidRPr="00121FB1" w:rsidRDefault="004F1336" w:rsidP="004F1336">
      <w:pPr>
        <w:pStyle w:val="ReferHead"/>
        <w:spacing w:after="0"/>
        <w:ind w:left="426"/>
        <w:jc w:val="both"/>
        <w:rPr>
          <w:rFonts w:ascii="Arial" w:hAnsi="Arial" w:cs="Arial"/>
          <w:b w:val="0"/>
          <w:szCs w:val="18"/>
        </w:rPr>
      </w:pPr>
      <w:hyperlink r:id="rId21" w:history="1">
        <w:r w:rsidRPr="001B3319">
          <w:rPr>
            <w:rStyle w:val="Hyperlink"/>
            <w:rFonts w:ascii="Arial" w:hAnsi="Arial" w:cs="Arial"/>
            <w:b w:val="0"/>
            <w:caps w:val="0"/>
            <w:szCs w:val="18"/>
          </w:rPr>
          <w:t>Https://Doi.Org/10.1177/014920639101700108</w:t>
        </w:r>
      </w:hyperlink>
      <w:r w:rsidR="00121FB1">
        <w:rPr>
          <w:rFonts w:ascii="Arial" w:hAnsi="Arial" w:cs="Arial"/>
          <w:b w:val="0"/>
          <w:caps w:val="0"/>
          <w:szCs w:val="18"/>
        </w:rPr>
        <w:t xml:space="preserve"> </w:t>
      </w:r>
    </w:p>
    <w:p w14:paraId="1CA96037" w14:textId="77777777" w:rsidR="00121FB1"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Beasley, M. S., Clune, R., &amp; Hermanson, D. R. (2005). Enterprise Risk Management: An Empirical Analysis Of Factors Associated With The Extent Of Implementation. </w:t>
      </w:r>
      <w:r w:rsidRPr="00121FB1">
        <w:rPr>
          <w:rFonts w:ascii="Arial" w:hAnsi="Arial" w:cs="Arial"/>
          <w:b w:val="0"/>
          <w:i/>
          <w:iCs/>
          <w:caps w:val="0"/>
          <w:szCs w:val="18"/>
        </w:rPr>
        <w:t>Journal Of Accounting And Public Policy</w:t>
      </w:r>
      <w:r w:rsidRPr="00121FB1">
        <w:rPr>
          <w:rFonts w:ascii="Arial" w:hAnsi="Arial" w:cs="Arial"/>
          <w:b w:val="0"/>
          <w:caps w:val="0"/>
          <w:szCs w:val="18"/>
        </w:rPr>
        <w:t>, 24(6), 521–531.</w:t>
      </w:r>
    </w:p>
    <w:p w14:paraId="3EC2B6B3" w14:textId="2B21DF0F" w:rsidR="00121FB1" w:rsidRPr="00121FB1" w:rsidRDefault="00121FB1" w:rsidP="00121FB1">
      <w:pPr>
        <w:pStyle w:val="ReferHead"/>
        <w:spacing w:after="0"/>
        <w:ind w:left="426"/>
        <w:jc w:val="both"/>
        <w:rPr>
          <w:rFonts w:ascii="Arial" w:hAnsi="Arial" w:cs="Arial"/>
          <w:b w:val="0"/>
          <w:szCs w:val="18"/>
        </w:rPr>
      </w:pPr>
      <w:hyperlink r:id="rId22" w:history="1">
        <w:r w:rsidRPr="001B3319">
          <w:rPr>
            <w:rStyle w:val="Hyperlink"/>
            <w:rFonts w:ascii="Arial" w:hAnsi="Arial" w:cs="Arial"/>
            <w:b w:val="0"/>
            <w:caps w:val="0"/>
            <w:szCs w:val="18"/>
          </w:rPr>
          <w:t>Https://Doi.Org/10.1016/J.Jaccpubpol.2005.10.001</w:t>
        </w:r>
      </w:hyperlink>
      <w:r>
        <w:rPr>
          <w:rFonts w:ascii="Arial" w:hAnsi="Arial" w:cs="Arial"/>
          <w:b w:val="0"/>
          <w:caps w:val="0"/>
          <w:szCs w:val="18"/>
        </w:rPr>
        <w:t xml:space="preserve"> </w:t>
      </w:r>
    </w:p>
    <w:p w14:paraId="4EE7B762" w14:textId="160FE517"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Brigham, E. F., &amp; Houston, J. F. (2019). </w:t>
      </w:r>
      <w:r w:rsidRPr="00121FB1">
        <w:rPr>
          <w:rFonts w:ascii="Arial" w:hAnsi="Arial" w:cs="Arial"/>
          <w:b w:val="0"/>
          <w:i/>
          <w:iCs/>
          <w:caps w:val="0"/>
          <w:szCs w:val="18"/>
        </w:rPr>
        <w:t>Fundamentals Of Financial Management</w:t>
      </w:r>
      <w:r w:rsidRPr="00121FB1">
        <w:rPr>
          <w:rFonts w:ascii="Arial" w:hAnsi="Arial" w:cs="Arial"/>
          <w:b w:val="0"/>
          <w:caps w:val="0"/>
          <w:szCs w:val="18"/>
        </w:rPr>
        <w:t xml:space="preserve"> (15th Ed.). Cengage Learning.</w:t>
      </w:r>
    </w:p>
    <w:p w14:paraId="2A7319F2" w14:textId="38671B7C"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Chairani, N., &amp; Siregar, S. V. (2021). Enterprise Risk Management, Intellectual Capital, And Firm Performance. </w:t>
      </w:r>
      <w:r w:rsidRPr="00121FB1">
        <w:rPr>
          <w:rFonts w:ascii="Arial" w:hAnsi="Arial" w:cs="Arial"/>
          <w:b w:val="0"/>
          <w:i/>
          <w:iCs/>
          <w:caps w:val="0"/>
          <w:szCs w:val="18"/>
        </w:rPr>
        <w:t>Jurnal Akuntansi Dan Auditing Indonesia</w:t>
      </w:r>
      <w:r w:rsidRPr="00121FB1">
        <w:rPr>
          <w:rFonts w:ascii="Arial" w:hAnsi="Arial" w:cs="Arial"/>
          <w:b w:val="0"/>
          <w:caps w:val="0"/>
          <w:szCs w:val="18"/>
        </w:rPr>
        <w:t xml:space="preserve">, 25(1), 53–67. </w:t>
      </w:r>
      <w:hyperlink r:id="rId23" w:history="1">
        <w:r w:rsidRPr="001B3319">
          <w:rPr>
            <w:rStyle w:val="Hyperlink"/>
            <w:rFonts w:ascii="Arial" w:hAnsi="Arial" w:cs="Arial"/>
            <w:b w:val="0"/>
            <w:caps w:val="0"/>
            <w:szCs w:val="18"/>
          </w:rPr>
          <w:t>Https://Doi.Org/10.20885/Jaai.Vol25.Iss1.Art4</w:t>
        </w:r>
      </w:hyperlink>
      <w:r>
        <w:rPr>
          <w:rFonts w:ascii="Arial" w:hAnsi="Arial" w:cs="Arial"/>
          <w:b w:val="0"/>
          <w:caps w:val="0"/>
          <w:szCs w:val="18"/>
        </w:rPr>
        <w:t xml:space="preserve"> </w:t>
      </w:r>
    </w:p>
    <w:p w14:paraId="5F60FB55" w14:textId="77777777" w:rsidR="00121FB1"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Chen, C., &amp; Robert, S. (2020). Firm Size And Corporate Performance: </w:t>
      </w:r>
      <w:r w:rsidRPr="00121FB1">
        <w:rPr>
          <w:rFonts w:ascii="Arial" w:hAnsi="Arial" w:cs="Arial"/>
          <w:b w:val="0"/>
          <w:caps w:val="0"/>
          <w:szCs w:val="18"/>
        </w:rPr>
        <w:lastRenderedPageBreak/>
        <w:t xml:space="preserve">Evidence From China. </w:t>
      </w:r>
      <w:r w:rsidRPr="00121FB1">
        <w:rPr>
          <w:rFonts w:ascii="Arial" w:hAnsi="Arial" w:cs="Arial"/>
          <w:b w:val="0"/>
          <w:i/>
          <w:iCs/>
          <w:caps w:val="0"/>
          <w:szCs w:val="18"/>
        </w:rPr>
        <w:t>Asian Journal Of Business And Accounting</w:t>
      </w:r>
      <w:r w:rsidRPr="00121FB1">
        <w:rPr>
          <w:rFonts w:ascii="Arial" w:hAnsi="Arial" w:cs="Arial"/>
          <w:b w:val="0"/>
          <w:caps w:val="0"/>
          <w:szCs w:val="18"/>
        </w:rPr>
        <w:t>, 13(1), 1–23.</w:t>
      </w:r>
    </w:p>
    <w:p w14:paraId="1CB72F9C" w14:textId="66642E47" w:rsidR="00121FB1" w:rsidRPr="00121FB1" w:rsidRDefault="00521F72" w:rsidP="00121FB1">
      <w:pPr>
        <w:pStyle w:val="ReferHead"/>
        <w:spacing w:after="0"/>
        <w:ind w:firstLine="426"/>
        <w:jc w:val="both"/>
        <w:rPr>
          <w:rFonts w:ascii="Arial" w:hAnsi="Arial" w:cs="Arial"/>
          <w:b w:val="0"/>
          <w:szCs w:val="18"/>
        </w:rPr>
      </w:pPr>
      <w:hyperlink r:id="rId24" w:history="1">
        <w:r w:rsidRPr="001B3319">
          <w:rPr>
            <w:rStyle w:val="Hyperlink"/>
            <w:rFonts w:ascii="Arial" w:hAnsi="Arial" w:cs="Arial"/>
            <w:b w:val="0"/>
            <w:caps w:val="0"/>
            <w:szCs w:val="18"/>
          </w:rPr>
          <w:t>Https://Doi.Org/10.22452/Ajba.Vol13no1.1</w:t>
        </w:r>
      </w:hyperlink>
      <w:r w:rsidR="00121FB1">
        <w:rPr>
          <w:rFonts w:ascii="Arial" w:hAnsi="Arial" w:cs="Arial"/>
          <w:b w:val="0"/>
          <w:caps w:val="0"/>
          <w:szCs w:val="18"/>
        </w:rPr>
        <w:t xml:space="preserve"> </w:t>
      </w:r>
    </w:p>
    <w:p w14:paraId="3AAA2D38" w14:textId="1627B8C3"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Coso. (2017). </w:t>
      </w:r>
      <w:r w:rsidRPr="00121FB1">
        <w:rPr>
          <w:rFonts w:ascii="Arial" w:hAnsi="Arial" w:cs="Arial"/>
          <w:b w:val="0"/>
          <w:i/>
          <w:iCs/>
          <w:caps w:val="0"/>
          <w:szCs w:val="18"/>
        </w:rPr>
        <w:t>Enterprise Risk Management – Integrating With Strategy And Performance</w:t>
      </w:r>
      <w:r w:rsidRPr="00121FB1">
        <w:rPr>
          <w:rFonts w:ascii="Arial" w:hAnsi="Arial" w:cs="Arial"/>
          <w:b w:val="0"/>
          <w:caps w:val="0"/>
          <w:szCs w:val="18"/>
        </w:rPr>
        <w:t>. Committee Of Sponsoring Organizations Of The Treadway Commission.</w:t>
      </w:r>
    </w:p>
    <w:p w14:paraId="2D958401" w14:textId="738BFA1D"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Deegan, C. (2002). The Legitimising Effect Of Social And Environmental Disclosures – A Theoretical Foundation. </w:t>
      </w:r>
      <w:r w:rsidRPr="00121FB1">
        <w:rPr>
          <w:rFonts w:ascii="Arial" w:hAnsi="Arial" w:cs="Arial"/>
          <w:b w:val="0"/>
          <w:i/>
          <w:iCs/>
          <w:caps w:val="0"/>
          <w:szCs w:val="18"/>
        </w:rPr>
        <w:t>Accounting, Auditing &amp; Accountability Journal</w:t>
      </w:r>
      <w:r w:rsidRPr="00121FB1">
        <w:rPr>
          <w:rFonts w:ascii="Arial" w:hAnsi="Arial" w:cs="Arial"/>
          <w:b w:val="0"/>
          <w:caps w:val="0"/>
          <w:szCs w:val="18"/>
        </w:rPr>
        <w:t xml:space="preserve">, 15(3), 282–311. </w:t>
      </w:r>
      <w:hyperlink r:id="rId25" w:history="1">
        <w:r w:rsidR="00521F72" w:rsidRPr="001B3319">
          <w:rPr>
            <w:rStyle w:val="Hyperlink"/>
            <w:rFonts w:ascii="Arial" w:hAnsi="Arial" w:cs="Arial"/>
            <w:b w:val="0"/>
            <w:caps w:val="0"/>
            <w:szCs w:val="18"/>
          </w:rPr>
          <w:t>Https://Doi.Org/10.1108/09513570210435852</w:t>
        </w:r>
      </w:hyperlink>
      <w:r w:rsidR="00521F72">
        <w:rPr>
          <w:rFonts w:ascii="Arial" w:hAnsi="Arial" w:cs="Arial"/>
          <w:b w:val="0"/>
          <w:caps w:val="0"/>
          <w:szCs w:val="18"/>
        </w:rPr>
        <w:t xml:space="preserve"> </w:t>
      </w:r>
    </w:p>
    <w:p w14:paraId="794FB60D" w14:textId="77777777" w:rsidR="004F1336" w:rsidRDefault="00121FB1" w:rsidP="00121FB1">
      <w:pPr>
        <w:pStyle w:val="ReferHead"/>
        <w:spacing w:after="0"/>
        <w:ind w:left="426" w:hanging="426"/>
        <w:jc w:val="both"/>
        <w:rPr>
          <w:rFonts w:ascii="Arial" w:hAnsi="Arial" w:cs="Arial"/>
          <w:b w:val="0"/>
          <w:caps w:val="0"/>
          <w:szCs w:val="18"/>
        </w:rPr>
      </w:pPr>
      <w:r w:rsidRPr="002258BA">
        <w:rPr>
          <w:rFonts w:ascii="Arial" w:hAnsi="Arial" w:cs="Arial"/>
          <w:b w:val="0"/>
          <w:caps w:val="0"/>
          <w:szCs w:val="18"/>
          <w:lang w:val="es-US"/>
        </w:rPr>
        <w:t xml:space="preserve">Dita, A. P., &amp; Ervina, D. (2021). </w:t>
      </w:r>
      <w:r w:rsidRPr="00121FB1">
        <w:rPr>
          <w:rFonts w:ascii="Arial" w:hAnsi="Arial" w:cs="Arial"/>
          <w:b w:val="0"/>
          <w:caps w:val="0"/>
          <w:szCs w:val="18"/>
        </w:rPr>
        <w:t xml:space="preserve">The Effect Of Firm Size, Leverage, And Liquidity On Financial Performance. </w:t>
      </w:r>
      <w:r w:rsidRPr="00121FB1">
        <w:rPr>
          <w:rFonts w:ascii="Arial" w:hAnsi="Arial" w:cs="Arial"/>
          <w:b w:val="0"/>
          <w:i/>
          <w:iCs/>
          <w:caps w:val="0"/>
          <w:szCs w:val="18"/>
        </w:rPr>
        <w:t>Jurnal Ekonomi Dan Bisnis</w:t>
      </w:r>
      <w:r w:rsidRPr="00121FB1">
        <w:rPr>
          <w:rFonts w:ascii="Arial" w:hAnsi="Arial" w:cs="Arial"/>
          <w:b w:val="0"/>
          <w:caps w:val="0"/>
          <w:szCs w:val="18"/>
        </w:rPr>
        <w:t xml:space="preserve">, 24(1), 15–27. </w:t>
      </w:r>
    </w:p>
    <w:p w14:paraId="5BF5D8DA" w14:textId="19251328" w:rsidR="00121FB1" w:rsidRPr="00121FB1" w:rsidRDefault="004F1336" w:rsidP="004F1336">
      <w:pPr>
        <w:pStyle w:val="ReferHead"/>
        <w:spacing w:after="0"/>
        <w:ind w:left="426"/>
        <w:jc w:val="both"/>
        <w:rPr>
          <w:rFonts w:ascii="Arial" w:hAnsi="Arial" w:cs="Arial"/>
          <w:b w:val="0"/>
          <w:szCs w:val="18"/>
        </w:rPr>
      </w:pPr>
      <w:hyperlink r:id="rId26" w:history="1">
        <w:r w:rsidRPr="001B3319">
          <w:rPr>
            <w:rStyle w:val="Hyperlink"/>
            <w:rFonts w:ascii="Arial" w:hAnsi="Arial" w:cs="Arial"/>
            <w:b w:val="0"/>
            <w:caps w:val="0"/>
            <w:szCs w:val="18"/>
          </w:rPr>
          <w:t>Https://Doi.Org/10.17977/Um042v24i1p15-27</w:t>
        </w:r>
      </w:hyperlink>
      <w:r w:rsidR="00521F72">
        <w:rPr>
          <w:rFonts w:ascii="Arial" w:hAnsi="Arial" w:cs="Arial"/>
          <w:b w:val="0"/>
          <w:caps w:val="0"/>
          <w:szCs w:val="18"/>
        </w:rPr>
        <w:t xml:space="preserve"> </w:t>
      </w:r>
    </w:p>
    <w:p w14:paraId="018D0FC5" w14:textId="27615097"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Donaldson, T., &amp; Preston, L. E. (1995). The Stakeholder Theory Of The Corporation: Concepts, Evidence, And Implications. </w:t>
      </w:r>
      <w:r w:rsidRPr="00121FB1">
        <w:rPr>
          <w:rFonts w:ascii="Arial" w:hAnsi="Arial" w:cs="Arial"/>
          <w:b w:val="0"/>
          <w:i/>
          <w:iCs/>
          <w:caps w:val="0"/>
          <w:szCs w:val="18"/>
        </w:rPr>
        <w:t>Academy Of Management Review</w:t>
      </w:r>
      <w:r w:rsidRPr="00121FB1">
        <w:rPr>
          <w:rFonts w:ascii="Arial" w:hAnsi="Arial" w:cs="Arial"/>
          <w:b w:val="0"/>
          <w:caps w:val="0"/>
          <w:szCs w:val="18"/>
        </w:rPr>
        <w:t xml:space="preserve">, 20(1), 65–91. </w:t>
      </w:r>
      <w:hyperlink r:id="rId27" w:history="1">
        <w:r w:rsidR="00521F72" w:rsidRPr="001B3319">
          <w:rPr>
            <w:rStyle w:val="Hyperlink"/>
            <w:rFonts w:ascii="Arial" w:hAnsi="Arial" w:cs="Arial"/>
            <w:b w:val="0"/>
            <w:caps w:val="0"/>
            <w:szCs w:val="18"/>
          </w:rPr>
          <w:t>Https://Doi.Org/10.5465/Amr.1995.9503271992</w:t>
        </w:r>
      </w:hyperlink>
      <w:r w:rsidR="00521F72">
        <w:rPr>
          <w:rFonts w:ascii="Arial" w:hAnsi="Arial" w:cs="Arial"/>
          <w:b w:val="0"/>
          <w:caps w:val="0"/>
          <w:szCs w:val="18"/>
        </w:rPr>
        <w:t xml:space="preserve"> </w:t>
      </w:r>
    </w:p>
    <w:p w14:paraId="33BB0741" w14:textId="77777777" w:rsidR="00521F72"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Dowling, J., &amp; Pfeffer, J. (1975). Organizational Legitimacy: Social Values And Organizational Behavior. </w:t>
      </w:r>
      <w:r w:rsidRPr="00121FB1">
        <w:rPr>
          <w:rFonts w:ascii="Arial" w:hAnsi="Arial" w:cs="Arial"/>
          <w:b w:val="0"/>
          <w:i/>
          <w:iCs/>
          <w:caps w:val="0"/>
          <w:szCs w:val="18"/>
        </w:rPr>
        <w:t>Pacific Sociological Review</w:t>
      </w:r>
      <w:r w:rsidRPr="00121FB1">
        <w:rPr>
          <w:rFonts w:ascii="Arial" w:hAnsi="Arial" w:cs="Arial"/>
          <w:b w:val="0"/>
          <w:caps w:val="0"/>
          <w:szCs w:val="18"/>
        </w:rPr>
        <w:t>, 18(1), 122–136.</w:t>
      </w:r>
    </w:p>
    <w:p w14:paraId="1BA2B39D" w14:textId="3545BD5E" w:rsidR="00121FB1" w:rsidRPr="00121FB1" w:rsidRDefault="00521F72" w:rsidP="00521F72">
      <w:pPr>
        <w:pStyle w:val="ReferHead"/>
        <w:spacing w:after="0"/>
        <w:ind w:left="426"/>
        <w:jc w:val="both"/>
        <w:rPr>
          <w:rFonts w:ascii="Arial" w:hAnsi="Arial" w:cs="Arial"/>
          <w:b w:val="0"/>
          <w:szCs w:val="18"/>
        </w:rPr>
      </w:pPr>
      <w:hyperlink r:id="rId28" w:history="1">
        <w:r w:rsidRPr="001B3319">
          <w:rPr>
            <w:rStyle w:val="Hyperlink"/>
            <w:rFonts w:ascii="Arial" w:hAnsi="Arial" w:cs="Arial"/>
            <w:b w:val="0"/>
            <w:caps w:val="0"/>
            <w:szCs w:val="18"/>
          </w:rPr>
          <w:t>Https://Doi.Org/10.2307/1388226</w:t>
        </w:r>
      </w:hyperlink>
      <w:r>
        <w:rPr>
          <w:rFonts w:ascii="Arial" w:hAnsi="Arial" w:cs="Arial"/>
          <w:b w:val="0"/>
          <w:caps w:val="0"/>
          <w:szCs w:val="18"/>
        </w:rPr>
        <w:t xml:space="preserve"> </w:t>
      </w:r>
    </w:p>
    <w:p w14:paraId="4BD1469B" w14:textId="5C6E22A1"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Eisenhardt, K. M. (1989). Agency Theory: An Assessment And Review. </w:t>
      </w:r>
      <w:r w:rsidRPr="00121FB1">
        <w:rPr>
          <w:rFonts w:ascii="Arial" w:hAnsi="Arial" w:cs="Arial"/>
          <w:b w:val="0"/>
          <w:i/>
          <w:iCs/>
          <w:caps w:val="0"/>
          <w:szCs w:val="18"/>
        </w:rPr>
        <w:t>Academy Of Management Review</w:t>
      </w:r>
      <w:r w:rsidRPr="00121FB1">
        <w:rPr>
          <w:rFonts w:ascii="Arial" w:hAnsi="Arial" w:cs="Arial"/>
          <w:b w:val="0"/>
          <w:caps w:val="0"/>
          <w:szCs w:val="18"/>
        </w:rPr>
        <w:t xml:space="preserve">, 14(1), 57–74. </w:t>
      </w:r>
      <w:hyperlink r:id="rId29" w:history="1">
        <w:r w:rsidR="00521F72" w:rsidRPr="001B3319">
          <w:rPr>
            <w:rStyle w:val="Hyperlink"/>
            <w:rFonts w:ascii="Arial" w:hAnsi="Arial" w:cs="Arial"/>
            <w:b w:val="0"/>
            <w:caps w:val="0"/>
            <w:szCs w:val="18"/>
          </w:rPr>
          <w:t>Https://Doi.Org/10.5465/Amr.1989.4279003</w:t>
        </w:r>
      </w:hyperlink>
      <w:r w:rsidR="00521F72">
        <w:rPr>
          <w:rFonts w:ascii="Arial" w:hAnsi="Arial" w:cs="Arial"/>
          <w:b w:val="0"/>
          <w:caps w:val="0"/>
          <w:szCs w:val="18"/>
        </w:rPr>
        <w:t xml:space="preserve"> </w:t>
      </w:r>
    </w:p>
    <w:p w14:paraId="368E92F8" w14:textId="43B95C4F"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Epstein, M. J., &amp; Buhovac, A. R. (2014). </w:t>
      </w:r>
      <w:r w:rsidRPr="00121FB1">
        <w:rPr>
          <w:rFonts w:ascii="Arial" w:hAnsi="Arial" w:cs="Arial"/>
          <w:b w:val="0"/>
          <w:i/>
          <w:iCs/>
          <w:caps w:val="0"/>
          <w:szCs w:val="18"/>
        </w:rPr>
        <w:t>Making Sustainability Work: Best Practices In Managing And Measuring Corporate Social, Environmental, And Economic Impacts</w:t>
      </w:r>
      <w:r w:rsidRPr="00121FB1">
        <w:rPr>
          <w:rFonts w:ascii="Arial" w:hAnsi="Arial" w:cs="Arial"/>
          <w:b w:val="0"/>
          <w:caps w:val="0"/>
          <w:szCs w:val="18"/>
        </w:rPr>
        <w:t xml:space="preserve"> (2nd Ed.). Berrett-Koehler Publishers.</w:t>
      </w:r>
    </w:p>
    <w:p w14:paraId="16A91069" w14:textId="1F895938" w:rsidR="00121FB1" w:rsidRPr="00121FB1" w:rsidRDefault="00121FB1" w:rsidP="00121FB1">
      <w:pPr>
        <w:pStyle w:val="ReferHead"/>
        <w:spacing w:after="0"/>
        <w:ind w:left="426" w:hanging="426"/>
        <w:jc w:val="both"/>
        <w:rPr>
          <w:rFonts w:ascii="Arial" w:hAnsi="Arial" w:cs="Arial"/>
          <w:b w:val="0"/>
          <w:szCs w:val="18"/>
        </w:rPr>
      </w:pPr>
      <w:r w:rsidRPr="002258BA">
        <w:rPr>
          <w:rFonts w:ascii="Arial" w:hAnsi="Arial" w:cs="Arial"/>
          <w:b w:val="0"/>
          <w:caps w:val="0"/>
          <w:szCs w:val="18"/>
          <w:lang w:val="es-US"/>
        </w:rPr>
        <w:t xml:space="preserve">Fama, E. F., &amp; Jensen, M. C. (1983). </w:t>
      </w:r>
      <w:r w:rsidRPr="00121FB1">
        <w:rPr>
          <w:rFonts w:ascii="Arial" w:hAnsi="Arial" w:cs="Arial"/>
          <w:b w:val="0"/>
          <w:caps w:val="0"/>
          <w:szCs w:val="18"/>
        </w:rPr>
        <w:t xml:space="preserve">Separation Of Ownership And Control. </w:t>
      </w:r>
      <w:r w:rsidRPr="00121FB1">
        <w:rPr>
          <w:rFonts w:ascii="Arial" w:hAnsi="Arial" w:cs="Arial"/>
          <w:b w:val="0"/>
          <w:i/>
          <w:iCs/>
          <w:caps w:val="0"/>
          <w:szCs w:val="18"/>
        </w:rPr>
        <w:t>Journal Of Law And Economics</w:t>
      </w:r>
      <w:r w:rsidRPr="00121FB1">
        <w:rPr>
          <w:rFonts w:ascii="Arial" w:hAnsi="Arial" w:cs="Arial"/>
          <w:b w:val="0"/>
          <w:caps w:val="0"/>
          <w:szCs w:val="18"/>
        </w:rPr>
        <w:t xml:space="preserve">, 26(2), 301–325. </w:t>
      </w:r>
      <w:hyperlink r:id="rId30" w:history="1">
        <w:r w:rsidR="00521F72" w:rsidRPr="001B3319">
          <w:rPr>
            <w:rStyle w:val="Hyperlink"/>
            <w:rFonts w:ascii="Arial" w:hAnsi="Arial" w:cs="Arial"/>
            <w:b w:val="0"/>
            <w:caps w:val="0"/>
            <w:szCs w:val="18"/>
          </w:rPr>
          <w:t>Https://Doi.Org/10.1086/467037</w:t>
        </w:r>
      </w:hyperlink>
      <w:r w:rsidR="00521F72">
        <w:rPr>
          <w:rFonts w:ascii="Arial" w:hAnsi="Arial" w:cs="Arial"/>
          <w:b w:val="0"/>
          <w:caps w:val="0"/>
          <w:szCs w:val="18"/>
        </w:rPr>
        <w:t xml:space="preserve"> </w:t>
      </w:r>
    </w:p>
    <w:p w14:paraId="6EE7373A" w14:textId="7108A6AD"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Farrell, M., &amp; Gallagher, R. (2019). Moderating Influences On The Erm Value Proposition: Evidence From The Financial Sector. </w:t>
      </w:r>
      <w:r w:rsidRPr="00121FB1">
        <w:rPr>
          <w:rFonts w:ascii="Arial" w:hAnsi="Arial" w:cs="Arial"/>
          <w:b w:val="0"/>
          <w:i/>
          <w:iCs/>
          <w:caps w:val="0"/>
          <w:szCs w:val="18"/>
        </w:rPr>
        <w:t>Journal Of Financial Regulation And Compliance</w:t>
      </w:r>
      <w:r w:rsidRPr="00121FB1">
        <w:rPr>
          <w:rFonts w:ascii="Arial" w:hAnsi="Arial" w:cs="Arial"/>
          <w:b w:val="0"/>
          <w:caps w:val="0"/>
          <w:szCs w:val="18"/>
        </w:rPr>
        <w:t xml:space="preserve">, 27(2), 230–245. </w:t>
      </w:r>
      <w:hyperlink r:id="rId31" w:history="1">
        <w:r w:rsidR="00521F72" w:rsidRPr="001B3319">
          <w:rPr>
            <w:rStyle w:val="Hyperlink"/>
            <w:rFonts w:ascii="Arial" w:hAnsi="Arial" w:cs="Arial"/>
            <w:b w:val="0"/>
            <w:caps w:val="0"/>
            <w:szCs w:val="18"/>
          </w:rPr>
          <w:t>Https://Doi.Org/10.1108/Jfrc-05-2018-0070</w:t>
        </w:r>
      </w:hyperlink>
      <w:r w:rsidR="00521F72">
        <w:rPr>
          <w:rFonts w:ascii="Arial" w:hAnsi="Arial" w:cs="Arial"/>
          <w:b w:val="0"/>
          <w:caps w:val="0"/>
          <w:szCs w:val="18"/>
        </w:rPr>
        <w:t xml:space="preserve"> </w:t>
      </w:r>
    </w:p>
    <w:p w14:paraId="35EE8617" w14:textId="77777777" w:rsidR="004F1336"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Fauziah, I., Dewi, R., &amp; Nasution, Z. (2022). Environmental Performance And Firm Performance: Evidence From Indonesian Manufacturing. </w:t>
      </w:r>
      <w:r w:rsidRPr="00121FB1">
        <w:rPr>
          <w:rFonts w:ascii="Arial" w:hAnsi="Arial" w:cs="Arial"/>
          <w:b w:val="0"/>
          <w:i/>
          <w:iCs/>
          <w:caps w:val="0"/>
          <w:szCs w:val="18"/>
        </w:rPr>
        <w:t>Jurnal Akuntansi Dan Keuangan Indonesia</w:t>
      </w:r>
      <w:r w:rsidRPr="00121FB1">
        <w:rPr>
          <w:rFonts w:ascii="Arial" w:hAnsi="Arial" w:cs="Arial"/>
          <w:b w:val="0"/>
          <w:caps w:val="0"/>
          <w:szCs w:val="18"/>
        </w:rPr>
        <w:t xml:space="preserve">, 19(2), 174–189. </w:t>
      </w:r>
    </w:p>
    <w:p w14:paraId="373E96EB" w14:textId="0CC32852" w:rsidR="00121FB1" w:rsidRPr="00121FB1" w:rsidRDefault="00521F72" w:rsidP="004F1336">
      <w:pPr>
        <w:pStyle w:val="ReferHead"/>
        <w:spacing w:after="0"/>
        <w:ind w:left="426"/>
        <w:jc w:val="both"/>
        <w:rPr>
          <w:rFonts w:ascii="Arial" w:hAnsi="Arial" w:cs="Arial"/>
          <w:b w:val="0"/>
          <w:szCs w:val="18"/>
        </w:rPr>
      </w:pPr>
      <w:hyperlink r:id="rId32" w:history="1">
        <w:r w:rsidRPr="001B3319">
          <w:rPr>
            <w:rStyle w:val="Hyperlink"/>
            <w:rFonts w:ascii="Arial" w:hAnsi="Arial" w:cs="Arial"/>
            <w:b w:val="0"/>
            <w:caps w:val="0"/>
            <w:szCs w:val="18"/>
          </w:rPr>
          <w:t>Https://Doi.Org/10.21002/Jaki.2022.09</w:t>
        </w:r>
      </w:hyperlink>
      <w:r>
        <w:rPr>
          <w:rFonts w:ascii="Arial" w:hAnsi="Arial" w:cs="Arial"/>
          <w:b w:val="0"/>
          <w:caps w:val="0"/>
          <w:szCs w:val="18"/>
        </w:rPr>
        <w:t xml:space="preserve"> </w:t>
      </w:r>
    </w:p>
    <w:p w14:paraId="7730901B" w14:textId="5867D49B"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Fauzya, M. (2021). Firm Size And Profitability: Evidence From Indonesia. </w:t>
      </w:r>
      <w:r w:rsidRPr="00121FB1">
        <w:rPr>
          <w:rFonts w:ascii="Arial" w:hAnsi="Arial" w:cs="Arial"/>
          <w:b w:val="0"/>
          <w:i/>
          <w:iCs/>
          <w:caps w:val="0"/>
          <w:szCs w:val="18"/>
        </w:rPr>
        <w:t>Jurnal Ekonomi Dan Bisnis</w:t>
      </w:r>
      <w:r w:rsidRPr="00121FB1">
        <w:rPr>
          <w:rFonts w:ascii="Arial" w:hAnsi="Arial" w:cs="Arial"/>
          <w:b w:val="0"/>
          <w:caps w:val="0"/>
          <w:szCs w:val="18"/>
        </w:rPr>
        <w:t xml:space="preserve">, 24(2), 85–97. </w:t>
      </w:r>
      <w:hyperlink r:id="rId33" w:history="1">
        <w:r w:rsidR="00521F72" w:rsidRPr="001B3319">
          <w:rPr>
            <w:rStyle w:val="Hyperlink"/>
            <w:rFonts w:ascii="Arial" w:hAnsi="Arial" w:cs="Arial"/>
            <w:b w:val="0"/>
            <w:caps w:val="0"/>
            <w:szCs w:val="18"/>
          </w:rPr>
          <w:t>Https://Doi.Org/10.17977/Um042v24i2p85-97</w:t>
        </w:r>
      </w:hyperlink>
      <w:r w:rsidR="00521F72">
        <w:rPr>
          <w:rFonts w:ascii="Arial" w:hAnsi="Arial" w:cs="Arial"/>
          <w:b w:val="0"/>
          <w:caps w:val="0"/>
          <w:szCs w:val="18"/>
        </w:rPr>
        <w:t xml:space="preserve"> </w:t>
      </w:r>
    </w:p>
    <w:p w14:paraId="386C0798" w14:textId="77777777" w:rsidR="004F1336"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Freeman, R. E., &amp; Dmytriyev, S. D. (2023). Corporate Social Responsibility And Stakeholder Theory: Learning From Each </w:t>
      </w:r>
      <w:r w:rsidRPr="00121FB1">
        <w:rPr>
          <w:rFonts w:ascii="Arial" w:hAnsi="Arial" w:cs="Arial"/>
          <w:b w:val="0"/>
          <w:caps w:val="0"/>
          <w:szCs w:val="18"/>
        </w:rPr>
        <w:lastRenderedPageBreak/>
        <w:t xml:space="preserve">Other. </w:t>
      </w:r>
      <w:r w:rsidRPr="00121FB1">
        <w:rPr>
          <w:rFonts w:ascii="Arial" w:hAnsi="Arial" w:cs="Arial"/>
          <w:b w:val="0"/>
          <w:i/>
          <w:iCs/>
          <w:caps w:val="0"/>
          <w:szCs w:val="18"/>
        </w:rPr>
        <w:t>Journal Of Business Ethics</w:t>
      </w:r>
      <w:r w:rsidRPr="00121FB1">
        <w:rPr>
          <w:rFonts w:ascii="Arial" w:hAnsi="Arial" w:cs="Arial"/>
          <w:b w:val="0"/>
          <w:caps w:val="0"/>
          <w:szCs w:val="18"/>
        </w:rPr>
        <w:t>, 184(3), 457–471.</w:t>
      </w:r>
    </w:p>
    <w:p w14:paraId="1D155ABD" w14:textId="65F737CA" w:rsidR="00121FB1" w:rsidRPr="00121FB1" w:rsidRDefault="004F1336" w:rsidP="004F1336">
      <w:pPr>
        <w:pStyle w:val="ReferHead"/>
        <w:spacing w:after="0"/>
        <w:ind w:left="426"/>
        <w:jc w:val="both"/>
        <w:rPr>
          <w:rFonts w:ascii="Arial" w:hAnsi="Arial" w:cs="Arial"/>
          <w:b w:val="0"/>
          <w:szCs w:val="18"/>
        </w:rPr>
      </w:pPr>
      <w:hyperlink r:id="rId34" w:history="1">
        <w:r w:rsidRPr="001B3319">
          <w:rPr>
            <w:rStyle w:val="Hyperlink"/>
            <w:rFonts w:ascii="Arial" w:hAnsi="Arial" w:cs="Arial"/>
            <w:b w:val="0"/>
            <w:caps w:val="0"/>
            <w:szCs w:val="18"/>
          </w:rPr>
          <w:t>Https://Doi.Org/10.1007/S10551-022-05276-9</w:t>
        </w:r>
      </w:hyperlink>
      <w:r w:rsidR="00521F72">
        <w:rPr>
          <w:rFonts w:ascii="Arial" w:hAnsi="Arial" w:cs="Arial"/>
          <w:b w:val="0"/>
          <w:caps w:val="0"/>
          <w:szCs w:val="18"/>
        </w:rPr>
        <w:t xml:space="preserve"> </w:t>
      </w:r>
    </w:p>
    <w:p w14:paraId="5746D31C" w14:textId="7883DD08"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Gitman, L. J., &amp; Zutter, C. J. (2015). </w:t>
      </w:r>
      <w:r w:rsidRPr="00121FB1">
        <w:rPr>
          <w:rFonts w:ascii="Arial" w:hAnsi="Arial" w:cs="Arial"/>
          <w:b w:val="0"/>
          <w:i/>
          <w:iCs/>
          <w:caps w:val="0"/>
          <w:szCs w:val="18"/>
        </w:rPr>
        <w:t>Principles Of Managerial Finance</w:t>
      </w:r>
      <w:r w:rsidRPr="00121FB1">
        <w:rPr>
          <w:rFonts w:ascii="Arial" w:hAnsi="Arial" w:cs="Arial"/>
          <w:b w:val="0"/>
          <w:caps w:val="0"/>
          <w:szCs w:val="18"/>
        </w:rPr>
        <w:t xml:space="preserve"> (14th Ed.). Pearson Education.</w:t>
      </w:r>
    </w:p>
    <w:p w14:paraId="55CAE2F1" w14:textId="77777777" w:rsidR="00521F72" w:rsidRDefault="00121FB1" w:rsidP="00521F72">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Gri. (2020). </w:t>
      </w:r>
      <w:r w:rsidRPr="00121FB1">
        <w:rPr>
          <w:rFonts w:ascii="Arial" w:hAnsi="Arial" w:cs="Arial"/>
          <w:b w:val="0"/>
          <w:i/>
          <w:iCs/>
          <w:caps w:val="0"/>
          <w:szCs w:val="18"/>
        </w:rPr>
        <w:t>Gri Standards</w:t>
      </w:r>
      <w:r w:rsidRPr="00121FB1">
        <w:rPr>
          <w:rFonts w:ascii="Arial" w:hAnsi="Arial" w:cs="Arial"/>
          <w:b w:val="0"/>
          <w:caps w:val="0"/>
          <w:szCs w:val="18"/>
        </w:rPr>
        <w:t xml:space="preserve">. Global Reporting Initiative. </w:t>
      </w:r>
    </w:p>
    <w:p w14:paraId="531DB9D4" w14:textId="12D00B07" w:rsidR="00121FB1" w:rsidRPr="00121FB1" w:rsidRDefault="00521F72" w:rsidP="00521F72">
      <w:pPr>
        <w:pStyle w:val="ReferHead"/>
        <w:spacing w:after="0"/>
        <w:ind w:left="426"/>
        <w:jc w:val="both"/>
        <w:rPr>
          <w:rFonts w:ascii="Arial" w:hAnsi="Arial" w:cs="Arial"/>
          <w:b w:val="0"/>
          <w:caps w:val="0"/>
          <w:szCs w:val="18"/>
        </w:rPr>
      </w:pPr>
      <w:hyperlink r:id="rId35" w:history="1">
        <w:r w:rsidRPr="001B3319">
          <w:rPr>
            <w:rStyle w:val="Hyperlink"/>
            <w:rFonts w:ascii="Arial" w:hAnsi="Arial" w:cs="Arial"/>
            <w:b w:val="0"/>
            <w:caps w:val="0"/>
            <w:szCs w:val="18"/>
          </w:rPr>
          <w:t>Https://Www.Globalreporting.Org</w:t>
        </w:r>
      </w:hyperlink>
      <w:r>
        <w:rPr>
          <w:rFonts w:ascii="Arial" w:hAnsi="Arial" w:cs="Arial"/>
          <w:b w:val="0"/>
          <w:caps w:val="0"/>
          <w:szCs w:val="18"/>
        </w:rPr>
        <w:t xml:space="preserve"> </w:t>
      </w:r>
    </w:p>
    <w:p w14:paraId="2CF55C21" w14:textId="77777777" w:rsidR="00521F72"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Hakim, A., &amp; Suardi, I. (2023). The Role Of Enterprise Risk Management In Moderating The Relationship Between Corporate Governance And Firm Value. </w:t>
      </w:r>
      <w:r w:rsidRPr="00121FB1">
        <w:rPr>
          <w:rFonts w:ascii="Arial" w:hAnsi="Arial" w:cs="Arial"/>
          <w:b w:val="0"/>
          <w:i/>
          <w:iCs/>
          <w:caps w:val="0"/>
          <w:szCs w:val="18"/>
        </w:rPr>
        <w:t>Jurnal Akuntansi Multiparadigma</w:t>
      </w:r>
      <w:r w:rsidRPr="00121FB1">
        <w:rPr>
          <w:rFonts w:ascii="Arial" w:hAnsi="Arial" w:cs="Arial"/>
          <w:b w:val="0"/>
          <w:caps w:val="0"/>
          <w:szCs w:val="18"/>
        </w:rPr>
        <w:t xml:space="preserve">, 14(1), 101–119. </w:t>
      </w:r>
    </w:p>
    <w:p w14:paraId="366EDFFE" w14:textId="6F6A48BC" w:rsidR="00121FB1" w:rsidRPr="00121FB1" w:rsidRDefault="00521F72" w:rsidP="00521F72">
      <w:pPr>
        <w:pStyle w:val="ReferHead"/>
        <w:spacing w:after="0"/>
        <w:ind w:left="426" w:hanging="66"/>
        <w:jc w:val="both"/>
        <w:rPr>
          <w:rFonts w:ascii="Arial" w:hAnsi="Arial" w:cs="Arial"/>
          <w:b w:val="0"/>
          <w:szCs w:val="18"/>
        </w:rPr>
      </w:pPr>
      <w:hyperlink r:id="rId36" w:history="1">
        <w:r w:rsidRPr="001B3319">
          <w:rPr>
            <w:rStyle w:val="Hyperlink"/>
            <w:rFonts w:ascii="Arial" w:hAnsi="Arial" w:cs="Arial"/>
            <w:b w:val="0"/>
            <w:caps w:val="0"/>
            <w:szCs w:val="18"/>
          </w:rPr>
          <w:t>Https://Doi.Org/10.18202/Jamal.2023.04.14007</w:t>
        </w:r>
      </w:hyperlink>
      <w:r>
        <w:rPr>
          <w:rFonts w:ascii="Arial" w:hAnsi="Arial" w:cs="Arial"/>
          <w:b w:val="0"/>
          <w:caps w:val="0"/>
          <w:szCs w:val="18"/>
        </w:rPr>
        <w:t xml:space="preserve"> </w:t>
      </w:r>
    </w:p>
    <w:p w14:paraId="04ED5929" w14:textId="77777777" w:rsidR="004F1336" w:rsidRDefault="00121FB1" w:rsidP="00521F72">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Hanif, H., Fitri, Y., &amp; Nuryani, S. (2020). The Impact Of Environmental Performance On Financial Performance: Evidence From Indonesia. </w:t>
      </w:r>
      <w:r w:rsidRPr="00121FB1">
        <w:rPr>
          <w:rFonts w:ascii="Arial" w:hAnsi="Arial" w:cs="Arial"/>
          <w:b w:val="0"/>
          <w:i/>
          <w:iCs/>
          <w:caps w:val="0"/>
          <w:szCs w:val="18"/>
        </w:rPr>
        <w:t>Jurnal Akuntansi</w:t>
      </w:r>
      <w:r w:rsidRPr="00121FB1">
        <w:rPr>
          <w:rFonts w:ascii="Arial" w:hAnsi="Arial" w:cs="Arial"/>
          <w:b w:val="0"/>
          <w:caps w:val="0"/>
          <w:szCs w:val="18"/>
        </w:rPr>
        <w:t xml:space="preserve">, 24(2), 223–237. </w:t>
      </w:r>
    </w:p>
    <w:p w14:paraId="5693F547" w14:textId="77A922FC" w:rsidR="00121FB1" w:rsidRPr="00121FB1" w:rsidRDefault="004F1336" w:rsidP="004F1336">
      <w:pPr>
        <w:pStyle w:val="ReferHead"/>
        <w:spacing w:after="0"/>
        <w:ind w:left="426"/>
        <w:jc w:val="both"/>
        <w:rPr>
          <w:rFonts w:ascii="Arial" w:hAnsi="Arial" w:cs="Arial"/>
          <w:b w:val="0"/>
          <w:szCs w:val="18"/>
        </w:rPr>
      </w:pPr>
      <w:hyperlink r:id="rId37" w:history="1">
        <w:r w:rsidRPr="001B3319">
          <w:rPr>
            <w:rStyle w:val="Hyperlink"/>
            <w:rFonts w:ascii="Arial" w:hAnsi="Arial" w:cs="Arial"/>
            <w:b w:val="0"/>
            <w:caps w:val="0"/>
            <w:szCs w:val="18"/>
          </w:rPr>
          <w:t>Https://Doi.Org/10.24912/Ja.V24i2.774</w:t>
        </w:r>
      </w:hyperlink>
      <w:r w:rsidR="00521F72">
        <w:rPr>
          <w:rFonts w:ascii="Arial" w:hAnsi="Arial" w:cs="Arial"/>
          <w:b w:val="0"/>
          <w:caps w:val="0"/>
          <w:szCs w:val="18"/>
        </w:rPr>
        <w:t xml:space="preserve"> </w:t>
      </w:r>
    </w:p>
    <w:p w14:paraId="6E50CD79" w14:textId="77777777" w:rsidR="004F1336" w:rsidRDefault="00521F72" w:rsidP="00521F72">
      <w:pPr>
        <w:pStyle w:val="ReferHead"/>
        <w:spacing w:after="0"/>
        <w:ind w:left="426" w:hanging="426"/>
        <w:jc w:val="both"/>
        <w:rPr>
          <w:rFonts w:ascii="Arial" w:hAnsi="Arial" w:cs="Arial"/>
          <w:b w:val="0"/>
          <w:caps w:val="0"/>
          <w:szCs w:val="18"/>
        </w:rPr>
      </w:pPr>
      <w:r>
        <w:rPr>
          <w:rFonts w:ascii="Arial" w:hAnsi="Arial" w:cs="Arial"/>
          <w:b w:val="0"/>
          <w:caps w:val="0"/>
          <w:szCs w:val="18"/>
        </w:rPr>
        <w:t xml:space="preserve"> </w:t>
      </w:r>
      <w:r w:rsidR="00121FB1" w:rsidRPr="00121FB1">
        <w:rPr>
          <w:rFonts w:ascii="Arial" w:hAnsi="Arial" w:cs="Arial"/>
          <w:b w:val="0"/>
          <w:caps w:val="0"/>
          <w:szCs w:val="18"/>
        </w:rPr>
        <w:t xml:space="preserve">Hidayat, A., &amp; Wati, R. (2022). Firm Size, Leverage, And Profitability: Evidence From Indonesia. </w:t>
      </w:r>
      <w:r w:rsidR="00121FB1" w:rsidRPr="00121FB1">
        <w:rPr>
          <w:rFonts w:ascii="Arial" w:hAnsi="Arial" w:cs="Arial"/>
          <w:b w:val="0"/>
          <w:i/>
          <w:iCs/>
          <w:caps w:val="0"/>
          <w:szCs w:val="18"/>
        </w:rPr>
        <w:t>Jurnal Akuntansi Dan Auditing Indonesia</w:t>
      </w:r>
      <w:r w:rsidR="00121FB1" w:rsidRPr="00121FB1">
        <w:rPr>
          <w:rFonts w:ascii="Arial" w:hAnsi="Arial" w:cs="Arial"/>
          <w:b w:val="0"/>
          <w:caps w:val="0"/>
          <w:szCs w:val="18"/>
        </w:rPr>
        <w:t>, 26(1), 55–66.</w:t>
      </w:r>
    </w:p>
    <w:p w14:paraId="403A2D29" w14:textId="09A6D000" w:rsidR="00521F72" w:rsidRDefault="004F1336" w:rsidP="004F1336">
      <w:pPr>
        <w:pStyle w:val="ReferHead"/>
        <w:spacing w:after="0"/>
        <w:ind w:left="426"/>
        <w:jc w:val="both"/>
        <w:rPr>
          <w:rFonts w:ascii="Arial" w:hAnsi="Arial" w:cs="Arial"/>
          <w:b w:val="0"/>
          <w:szCs w:val="18"/>
        </w:rPr>
      </w:pPr>
      <w:hyperlink r:id="rId38" w:history="1">
        <w:r w:rsidRPr="001B3319">
          <w:rPr>
            <w:rStyle w:val="Hyperlink"/>
            <w:rFonts w:ascii="Arial" w:hAnsi="Arial" w:cs="Arial"/>
            <w:b w:val="0"/>
            <w:caps w:val="0"/>
            <w:szCs w:val="18"/>
          </w:rPr>
          <w:t>Https://Doi.Org/10.20885/Jaai.Vol26.Iss1.Art4</w:t>
        </w:r>
      </w:hyperlink>
      <w:r w:rsidR="00521F72">
        <w:rPr>
          <w:rFonts w:ascii="Arial" w:hAnsi="Arial" w:cs="Arial"/>
          <w:b w:val="0"/>
          <w:caps w:val="0"/>
          <w:szCs w:val="18"/>
        </w:rPr>
        <w:t xml:space="preserve"> </w:t>
      </w:r>
    </w:p>
    <w:p w14:paraId="73A637B9" w14:textId="64919626" w:rsidR="00121FB1" w:rsidRPr="00121FB1" w:rsidRDefault="00121FB1" w:rsidP="00521F72">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Hoyt, R. E., &amp; Liebenberg, A. P. (2011a). The Value Of Enterprise Risk Management. </w:t>
      </w:r>
      <w:r w:rsidRPr="00121FB1">
        <w:rPr>
          <w:rFonts w:ascii="Arial" w:hAnsi="Arial" w:cs="Arial"/>
          <w:b w:val="0"/>
          <w:i/>
          <w:iCs/>
          <w:caps w:val="0"/>
          <w:szCs w:val="18"/>
        </w:rPr>
        <w:t>Journal Of Risk And Insurance</w:t>
      </w:r>
      <w:r w:rsidRPr="00121FB1">
        <w:rPr>
          <w:rFonts w:ascii="Arial" w:hAnsi="Arial" w:cs="Arial"/>
          <w:b w:val="0"/>
          <w:caps w:val="0"/>
          <w:szCs w:val="18"/>
        </w:rPr>
        <w:t xml:space="preserve">, 78(4), 795–822. </w:t>
      </w:r>
      <w:hyperlink r:id="rId39" w:history="1">
        <w:r w:rsidR="00521F72" w:rsidRPr="001B3319">
          <w:rPr>
            <w:rStyle w:val="Hyperlink"/>
            <w:rFonts w:ascii="Arial" w:hAnsi="Arial" w:cs="Arial"/>
            <w:b w:val="0"/>
            <w:caps w:val="0"/>
            <w:szCs w:val="18"/>
          </w:rPr>
          <w:t>Https://Doi.Org/10.1111/J.1539-6975.2011.01413.X</w:t>
        </w:r>
      </w:hyperlink>
      <w:r w:rsidR="00521F72">
        <w:rPr>
          <w:rFonts w:ascii="Arial" w:hAnsi="Arial" w:cs="Arial"/>
          <w:b w:val="0"/>
          <w:caps w:val="0"/>
          <w:szCs w:val="18"/>
        </w:rPr>
        <w:t xml:space="preserve"> </w:t>
      </w:r>
    </w:p>
    <w:p w14:paraId="5833EE93"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Jensen, M. C., &amp; Meckling, W. H. (1976). Theory Of The Firm: Managerial Behavior, Agency Costs And Ownership Structure. </w:t>
      </w:r>
      <w:r w:rsidRPr="00121FB1">
        <w:rPr>
          <w:rFonts w:ascii="Arial" w:hAnsi="Arial" w:cs="Arial"/>
          <w:b w:val="0"/>
          <w:i/>
          <w:iCs/>
          <w:caps w:val="0"/>
          <w:szCs w:val="18"/>
        </w:rPr>
        <w:t>Journal Of Financial Economics</w:t>
      </w:r>
      <w:r w:rsidRPr="00121FB1">
        <w:rPr>
          <w:rFonts w:ascii="Arial" w:hAnsi="Arial" w:cs="Arial"/>
          <w:b w:val="0"/>
          <w:caps w:val="0"/>
          <w:szCs w:val="18"/>
        </w:rPr>
        <w:t xml:space="preserve">, 3(4), 305–360. </w:t>
      </w:r>
    </w:p>
    <w:p w14:paraId="4AB4AB45" w14:textId="411CB130" w:rsidR="00121FB1" w:rsidRPr="00121FB1" w:rsidRDefault="004F1336" w:rsidP="004F1336">
      <w:pPr>
        <w:pStyle w:val="ReferHead"/>
        <w:spacing w:after="0"/>
        <w:ind w:left="360"/>
        <w:jc w:val="both"/>
        <w:rPr>
          <w:rFonts w:ascii="Arial" w:hAnsi="Arial" w:cs="Arial"/>
          <w:b w:val="0"/>
          <w:szCs w:val="18"/>
        </w:rPr>
      </w:pPr>
      <w:hyperlink r:id="rId40" w:history="1">
        <w:r w:rsidRPr="001B3319">
          <w:rPr>
            <w:rStyle w:val="Hyperlink"/>
            <w:rFonts w:ascii="Arial" w:hAnsi="Arial" w:cs="Arial"/>
            <w:b w:val="0"/>
            <w:caps w:val="0"/>
            <w:szCs w:val="18"/>
          </w:rPr>
          <w:t>Https://Doi.Org/10.1016/0304-405x(76)90026-X</w:t>
        </w:r>
      </w:hyperlink>
      <w:r w:rsidR="00521F72">
        <w:rPr>
          <w:rFonts w:ascii="Arial" w:hAnsi="Arial" w:cs="Arial"/>
          <w:b w:val="0"/>
          <w:caps w:val="0"/>
          <w:szCs w:val="18"/>
        </w:rPr>
        <w:t xml:space="preserve"> </w:t>
      </w:r>
    </w:p>
    <w:p w14:paraId="101B41AC" w14:textId="613C0584"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Jaya, I. K., Suryaningsih, R., &amp; Putra, I. M. (2019). The Effect Of Managerial Ownership On Firm Performance: Evidence From Indonesia. </w:t>
      </w:r>
      <w:r w:rsidRPr="00121FB1">
        <w:rPr>
          <w:rFonts w:ascii="Arial" w:hAnsi="Arial" w:cs="Arial"/>
          <w:b w:val="0"/>
          <w:i/>
          <w:iCs/>
          <w:caps w:val="0"/>
          <w:szCs w:val="18"/>
        </w:rPr>
        <w:t>International Journal Of Economics, Commerce And Management</w:t>
      </w:r>
      <w:r w:rsidRPr="00121FB1">
        <w:rPr>
          <w:rFonts w:ascii="Arial" w:hAnsi="Arial" w:cs="Arial"/>
          <w:b w:val="0"/>
          <w:caps w:val="0"/>
          <w:szCs w:val="18"/>
        </w:rPr>
        <w:t>, 7(1), 1–12.</w:t>
      </w:r>
      <w:r w:rsidR="00521F72">
        <w:rPr>
          <w:rFonts w:ascii="Arial" w:hAnsi="Arial" w:cs="Arial"/>
          <w:b w:val="0"/>
          <w:caps w:val="0"/>
          <w:szCs w:val="18"/>
        </w:rPr>
        <w:t xml:space="preserve"> </w:t>
      </w:r>
    </w:p>
    <w:p w14:paraId="7CDF4284"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Junaidi, J., &amp; Hanggraeni, D. (2024). Enterprise Risk Management, Esg Disclosure, And Firm Value. </w:t>
      </w:r>
      <w:r w:rsidRPr="00121FB1">
        <w:rPr>
          <w:rFonts w:ascii="Arial" w:hAnsi="Arial" w:cs="Arial"/>
          <w:b w:val="0"/>
          <w:i/>
          <w:iCs/>
          <w:caps w:val="0"/>
          <w:szCs w:val="18"/>
        </w:rPr>
        <w:t>Jurnal Akuntansi Dan Keuangan Indonesia</w:t>
      </w:r>
      <w:r w:rsidRPr="00121FB1">
        <w:rPr>
          <w:rFonts w:ascii="Arial" w:hAnsi="Arial" w:cs="Arial"/>
          <w:b w:val="0"/>
          <w:caps w:val="0"/>
          <w:szCs w:val="18"/>
        </w:rPr>
        <w:t xml:space="preserve">, 21(1), 1–20. </w:t>
      </w:r>
    </w:p>
    <w:p w14:paraId="00B32187" w14:textId="75E77C2C" w:rsidR="00121FB1" w:rsidRPr="00121FB1" w:rsidRDefault="004F1336" w:rsidP="004F1336">
      <w:pPr>
        <w:pStyle w:val="ReferHead"/>
        <w:spacing w:after="0"/>
        <w:ind w:left="360"/>
        <w:jc w:val="both"/>
        <w:rPr>
          <w:rFonts w:ascii="Arial" w:hAnsi="Arial" w:cs="Arial"/>
          <w:b w:val="0"/>
          <w:szCs w:val="18"/>
        </w:rPr>
      </w:pPr>
      <w:hyperlink r:id="rId41" w:history="1">
        <w:r w:rsidRPr="001B3319">
          <w:rPr>
            <w:rStyle w:val="Hyperlink"/>
            <w:rFonts w:ascii="Arial" w:hAnsi="Arial" w:cs="Arial"/>
            <w:b w:val="0"/>
            <w:caps w:val="0"/>
            <w:szCs w:val="18"/>
          </w:rPr>
          <w:t>Https://Doi.Org/10.21002/Jaki.2024.01</w:t>
        </w:r>
      </w:hyperlink>
      <w:r w:rsidR="00521F72">
        <w:rPr>
          <w:rFonts w:ascii="Arial" w:hAnsi="Arial" w:cs="Arial"/>
          <w:b w:val="0"/>
          <w:caps w:val="0"/>
          <w:szCs w:val="18"/>
        </w:rPr>
        <w:t xml:space="preserve"> </w:t>
      </w:r>
    </w:p>
    <w:p w14:paraId="0421897F"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Karina, M., Siregar, S. V., &amp; Chairani, N. (2023). Enterprise Risk Management, Corporate Governance, And Firm Performance. </w:t>
      </w:r>
      <w:r w:rsidRPr="00121FB1">
        <w:rPr>
          <w:rFonts w:ascii="Arial" w:hAnsi="Arial" w:cs="Arial"/>
          <w:b w:val="0"/>
          <w:i/>
          <w:iCs/>
          <w:caps w:val="0"/>
          <w:szCs w:val="18"/>
        </w:rPr>
        <w:t>Jurnal Akuntansi Multiparadigma</w:t>
      </w:r>
      <w:r w:rsidRPr="00121FB1">
        <w:rPr>
          <w:rFonts w:ascii="Arial" w:hAnsi="Arial" w:cs="Arial"/>
          <w:b w:val="0"/>
          <w:caps w:val="0"/>
          <w:szCs w:val="18"/>
        </w:rPr>
        <w:t>, 14(2), 341–357.</w:t>
      </w:r>
    </w:p>
    <w:p w14:paraId="7319FACD" w14:textId="77DC8678" w:rsidR="00121FB1" w:rsidRPr="00121FB1" w:rsidRDefault="004F1336" w:rsidP="004F1336">
      <w:pPr>
        <w:pStyle w:val="ReferHead"/>
        <w:spacing w:after="0"/>
        <w:ind w:left="360"/>
        <w:jc w:val="both"/>
        <w:rPr>
          <w:rFonts w:ascii="Arial" w:hAnsi="Arial" w:cs="Arial"/>
          <w:b w:val="0"/>
          <w:szCs w:val="18"/>
        </w:rPr>
      </w:pPr>
      <w:hyperlink r:id="rId42" w:history="1">
        <w:r w:rsidRPr="001B3319">
          <w:rPr>
            <w:rStyle w:val="Hyperlink"/>
            <w:rFonts w:ascii="Arial" w:hAnsi="Arial" w:cs="Arial"/>
            <w:b w:val="0"/>
            <w:caps w:val="0"/>
            <w:szCs w:val="18"/>
          </w:rPr>
          <w:t>Https://Doi.Org/10.18202/Jamal.2023.08.14019</w:t>
        </w:r>
      </w:hyperlink>
      <w:r w:rsidR="00521F72">
        <w:rPr>
          <w:rFonts w:ascii="Arial" w:hAnsi="Arial" w:cs="Arial"/>
          <w:b w:val="0"/>
          <w:caps w:val="0"/>
          <w:szCs w:val="18"/>
        </w:rPr>
        <w:t xml:space="preserve"> </w:t>
      </w:r>
    </w:p>
    <w:p w14:paraId="46B7849B" w14:textId="0230AB24"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Kementerian Lingkungan Hidup Dan Kehutanan. (2019). </w:t>
      </w:r>
      <w:r w:rsidRPr="00121FB1">
        <w:rPr>
          <w:rFonts w:ascii="Arial" w:hAnsi="Arial" w:cs="Arial"/>
          <w:b w:val="0"/>
          <w:i/>
          <w:iCs/>
          <w:caps w:val="0"/>
          <w:szCs w:val="18"/>
        </w:rPr>
        <w:t>Peraturan Menteri Lhk No. P.93/Menlhk/Setjen/Kum.1/8/2019 Tentang Laporan Kinerja Lingkungan Hidup Perusahaan</w:t>
      </w:r>
      <w:r w:rsidRPr="00121FB1">
        <w:rPr>
          <w:rFonts w:ascii="Arial" w:hAnsi="Arial" w:cs="Arial"/>
          <w:b w:val="0"/>
          <w:caps w:val="0"/>
          <w:szCs w:val="18"/>
        </w:rPr>
        <w:t>. Klhk Ri.</w:t>
      </w:r>
    </w:p>
    <w:p w14:paraId="0967168A" w14:textId="7C058AF2"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Kemenhub. (2020). </w:t>
      </w:r>
      <w:r w:rsidRPr="00121FB1">
        <w:rPr>
          <w:rFonts w:ascii="Arial" w:hAnsi="Arial" w:cs="Arial"/>
          <w:b w:val="0"/>
          <w:i/>
          <w:iCs/>
          <w:caps w:val="0"/>
          <w:szCs w:val="18"/>
        </w:rPr>
        <w:t>Laporan Kinerja Kementerian Perhubungan Tahun 2020</w:t>
      </w:r>
      <w:r w:rsidRPr="00121FB1">
        <w:rPr>
          <w:rFonts w:ascii="Arial" w:hAnsi="Arial" w:cs="Arial"/>
          <w:b w:val="0"/>
          <w:caps w:val="0"/>
          <w:szCs w:val="18"/>
        </w:rPr>
        <w:t>. Kementerian Perhubungan Ri.</w:t>
      </w:r>
    </w:p>
    <w:p w14:paraId="52D852A5" w14:textId="27E66D61"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Lesmana, I. M., Dewi, R., &amp; Suryani, N. (2025). Firm Size And Profitability: Evidence From Asean Transportation Companies. </w:t>
      </w:r>
      <w:r w:rsidRPr="00121FB1">
        <w:rPr>
          <w:rFonts w:ascii="Arial" w:hAnsi="Arial" w:cs="Arial"/>
          <w:b w:val="0"/>
          <w:i/>
          <w:iCs/>
          <w:caps w:val="0"/>
          <w:szCs w:val="18"/>
        </w:rPr>
        <w:t>Jurnal Ekonomi Dan Bisnis</w:t>
      </w:r>
      <w:r w:rsidRPr="00121FB1">
        <w:rPr>
          <w:rFonts w:ascii="Arial" w:hAnsi="Arial" w:cs="Arial"/>
          <w:b w:val="0"/>
          <w:caps w:val="0"/>
          <w:szCs w:val="18"/>
        </w:rPr>
        <w:t xml:space="preserve">, 28(1), 1–13. </w:t>
      </w:r>
      <w:hyperlink r:id="rId43" w:history="1">
        <w:r w:rsidR="00521F72" w:rsidRPr="001B3319">
          <w:rPr>
            <w:rStyle w:val="Hyperlink"/>
            <w:rFonts w:ascii="Arial" w:hAnsi="Arial" w:cs="Arial"/>
            <w:b w:val="0"/>
            <w:caps w:val="0"/>
            <w:szCs w:val="18"/>
          </w:rPr>
          <w:t>Https://Doi.Org/10.17977/Um042v28i1p1-13</w:t>
        </w:r>
      </w:hyperlink>
      <w:r w:rsidR="00521F72">
        <w:rPr>
          <w:rFonts w:ascii="Arial" w:hAnsi="Arial" w:cs="Arial"/>
          <w:b w:val="0"/>
          <w:caps w:val="0"/>
          <w:szCs w:val="18"/>
        </w:rPr>
        <w:t xml:space="preserve"> </w:t>
      </w:r>
    </w:p>
    <w:p w14:paraId="5B492B4E" w14:textId="77777777" w:rsidR="00521F72" w:rsidRDefault="00121FB1" w:rsidP="00C952EF">
      <w:pPr>
        <w:pStyle w:val="ReferHead"/>
        <w:spacing w:after="0"/>
        <w:ind w:left="360" w:hanging="360"/>
        <w:jc w:val="both"/>
        <w:rPr>
          <w:rFonts w:ascii="Arial" w:hAnsi="Arial" w:cs="Arial"/>
          <w:b w:val="0"/>
          <w:caps w:val="0"/>
          <w:szCs w:val="18"/>
        </w:rPr>
      </w:pPr>
      <w:r w:rsidRPr="002258BA">
        <w:rPr>
          <w:rFonts w:ascii="Arial" w:hAnsi="Arial" w:cs="Arial"/>
          <w:b w:val="0"/>
          <w:caps w:val="0"/>
          <w:szCs w:val="18"/>
          <w:lang w:val="es-US"/>
        </w:rPr>
        <w:t xml:space="preserve">Limano, A., Sari, P., &amp; Prasetyo, A. (2022). </w:t>
      </w:r>
      <w:r w:rsidRPr="00121FB1">
        <w:rPr>
          <w:rFonts w:ascii="Arial" w:hAnsi="Arial" w:cs="Arial"/>
          <w:b w:val="0"/>
          <w:caps w:val="0"/>
          <w:szCs w:val="18"/>
        </w:rPr>
        <w:t xml:space="preserve">Environmental Disclosure </w:t>
      </w:r>
      <w:r w:rsidRPr="00121FB1">
        <w:rPr>
          <w:rFonts w:ascii="Arial" w:hAnsi="Arial" w:cs="Arial"/>
          <w:b w:val="0"/>
          <w:caps w:val="0"/>
          <w:szCs w:val="18"/>
        </w:rPr>
        <w:lastRenderedPageBreak/>
        <w:t xml:space="preserve">And Firm Performance. </w:t>
      </w:r>
      <w:r w:rsidRPr="00121FB1">
        <w:rPr>
          <w:rFonts w:ascii="Arial" w:hAnsi="Arial" w:cs="Arial"/>
          <w:b w:val="0"/>
          <w:i/>
          <w:iCs/>
          <w:caps w:val="0"/>
          <w:szCs w:val="18"/>
        </w:rPr>
        <w:t>Jurnal Akuntansi</w:t>
      </w:r>
      <w:r w:rsidRPr="00121FB1">
        <w:rPr>
          <w:rFonts w:ascii="Arial" w:hAnsi="Arial" w:cs="Arial"/>
          <w:b w:val="0"/>
          <w:caps w:val="0"/>
          <w:szCs w:val="18"/>
        </w:rPr>
        <w:t xml:space="preserve">, 26(3), 412–426. </w:t>
      </w:r>
    </w:p>
    <w:p w14:paraId="4FE76BB7" w14:textId="66E64796" w:rsidR="00121FB1" w:rsidRPr="00121FB1" w:rsidRDefault="004F1336" w:rsidP="004F1336">
      <w:pPr>
        <w:pStyle w:val="ReferHead"/>
        <w:spacing w:after="0"/>
        <w:ind w:left="360"/>
        <w:jc w:val="both"/>
        <w:rPr>
          <w:rFonts w:ascii="Arial" w:hAnsi="Arial" w:cs="Arial"/>
          <w:b w:val="0"/>
          <w:szCs w:val="18"/>
        </w:rPr>
      </w:pPr>
      <w:hyperlink r:id="rId44" w:history="1">
        <w:r w:rsidRPr="001B3319">
          <w:rPr>
            <w:rStyle w:val="Hyperlink"/>
            <w:rFonts w:ascii="Arial" w:hAnsi="Arial" w:cs="Arial"/>
            <w:b w:val="0"/>
            <w:caps w:val="0"/>
            <w:szCs w:val="18"/>
          </w:rPr>
          <w:t>Https://Doi.Org/10.24912/Ja.V26i3.932</w:t>
        </w:r>
      </w:hyperlink>
      <w:r w:rsidR="00521F72">
        <w:rPr>
          <w:rFonts w:ascii="Arial" w:hAnsi="Arial" w:cs="Arial"/>
          <w:b w:val="0"/>
          <w:caps w:val="0"/>
          <w:szCs w:val="18"/>
        </w:rPr>
        <w:t xml:space="preserve"> </w:t>
      </w:r>
      <w:r w:rsidR="00C952EF">
        <w:rPr>
          <w:rFonts w:ascii="Arial" w:hAnsi="Arial" w:cs="Arial"/>
          <w:b w:val="0"/>
          <w:caps w:val="0"/>
          <w:szCs w:val="18"/>
        </w:rPr>
        <w:t xml:space="preserve">  </w:t>
      </w:r>
    </w:p>
    <w:p w14:paraId="7C1C3B45" w14:textId="15F9F569"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Malau, J., Situmeang, R., &amp; Nababan, P. (2024). Managerial Ownership And Firm Value: Evidence From Indonesia. </w:t>
      </w:r>
      <w:r w:rsidRPr="00121FB1">
        <w:rPr>
          <w:rFonts w:ascii="Arial" w:hAnsi="Arial" w:cs="Arial"/>
          <w:b w:val="0"/>
          <w:i/>
          <w:iCs/>
          <w:caps w:val="0"/>
          <w:szCs w:val="18"/>
        </w:rPr>
        <w:t>Jurnal Ekonomi Dan Bisnis</w:t>
      </w:r>
      <w:r w:rsidRPr="00121FB1">
        <w:rPr>
          <w:rFonts w:ascii="Arial" w:hAnsi="Arial" w:cs="Arial"/>
          <w:b w:val="0"/>
          <w:caps w:val="0"/>
          <w:szCs w:val="18"/>
        </w:rPr>
        <w:t xml:space="preserve">, 27(2), 155–167. </w:t>
      </w:r>
      <w:hyperlink r:id="rId45" w:history="1">
        <w:r w:rsidR="00C952EF" w:rsidRPr="001B3319">
          <w:rPr>
            <w:rStyle w:val="Hyperlink"/>
            <w:rFonts w:ascii="Arial" w:hAnsi="Arial" w:cs="Arial"/>
            <w:b w:val="0"/>
            <w:caps w:val="0"/>
            <w:szCs w:val="18"/>
          </w:rPr>
          <w:t>Https://Doi.Org/10.17977/Um042v27i2p155-167</w:t>
        </w:r>
      </w:hyperlink>
      <w:r w:rsidR="00C952EF">
        <w:rPr>
          <w:rFonts w:ascii="Arial" w:hAnsi="Arial" w:cs="Arial"/>
          <w:b w:val="0"/>
          <w:caps w:val="0"/>
          <w:szCs w:val="18"/>
        </w:rPr>
        <w:t xml:space="preserve"> </w:t>
      </w:r>
    </w:p>
    <w:p w14:paraId="499897F8"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Meiyana, A., &amp; Aisyah, S. (2019). The Effect Of Firm Size On Profitability In Indonesian Manufacturing Companies. </w:t>
      </w:r>
      <w:r w:rsidRPr="00121FB1">
        <w:rPr>
          <w:rFonts w:ascii="Arial" w:hAnsi="Arial" w:cs="Arial"/>
          <w:b w:val="0"/>
          <w:i/>
          <w:iCs/>
          <w:caps w:val="0"/>
          <w:szCs w:val="18"/>
        </w:rPr>
        <w:t>Jurnal Ekonomi Dan Bisnis</w:t>
      </w:r>
      <w:r w:rsidRPr="00121FB1">
        <w:rPr>
          <w:rFonts w:ascii="Arial" w:hAnsi="Arial" w:cs="Arial"/>
          <w:b w:val="0"/>
          <w:caps w:val="0"/>
          <w:szCs w:val="18"/>
        </w:rPr>
        <w:t xml:space="preserve">, 22(1), 33–44. </w:t>
      </w:r>
    </w:p>
    <w:p w14:paraId="621AC691" w14:textId="4314F75C" w:rsidR="00121FB1" w:rsidRPr="00121FB1" w:rsidRDefault="004F1336" w:rsidP="004F1336">
      <w:pPr>
        <w:pStyle w:val="ReferHead"/>
        <w:spacing w:after="0"/>
        <w:ind w:left="360"/>
        <w:jc w:val="both"/>
        <w:rPr>
          <w:rFonts w:ascii="Arial" w:hAnsi="Arial" w:cs="Arial"/>
          <w:b w:val="0"/>
          <w:szCs w:val="18"/>
        </w:rPr>
      </w:pPr>
      <w:hyperlink r:id="rId46" w:history="1">
        <w:r w:rsidRPr="001B3319">
          <w:rPr>
            <w:rStyle w:val="Hyperlink"/>
            <w:rFonts w:ascii="Arial" w:hAnsi="Arial" w:cs="Arial"/>
            <w:b w:val="0"/>
            <w:caps w:val="0"/>
            <w:szCs w:val="18"/>
          </w:rPr>
          <w:t>Https://Doi.Org/10.17977/Um042v22i1p33-44</w:t>
        </w:r>
      </w:hyperlink>
      <w:r w:rsidR="00C952EF">
        <w:rPr>
          <w:rFonts w:ascii="Arial" w:hAnsi="Arial" w:cs="Arial"/>
          <w:b w:val="0"/>
          <w:caps w:val="0"/>
          <w:szCs w:val="18"/>
        </w:rPr>
        <w:t xml:space="preserve"> </w:t>
      </w:r>
    </w:p>
    <w:p w14:paraId="3840964C" w14:textId="472F7B0B"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Mikes, A., &amp; Kaplan, R. S. (2013). Towards A Contingency Theory Of Enterprise Risk Management. </w:t>
      </w:r>
      <w:r w:rsidRPr="00121FB1">
        <w:rPr>
          <w:rFonts w:ascii="Arial" w:hAnsi="Arial" w:cs="Arial"/>
          <w:b w:val="0"/>
          <w:i/>
          <w:iCs/>
          <w:caps w:val="0"/>
          <w:szCs w:val="18"/>
        </w:rPr>
        <w:t>Harvard Business School Working Paper</w:t>
      </w:r>
      <w:r w:rsidRPr="00121FB1">
        <w:rPr>
          <w:rFonts w:ascii="Arial" w:hAnsi="Arial" w:cs="Arial"/>
          <w:b w:val="0"/>
          <w:caps w:val="0"/>
          <w:szCs w:val="18"/>
        </w:rPr>
        <w:t>, 13-063.</w:t>
      </w:r>
    </w:p>
    <w:p w14:paraId="33C9BA1F" w14:textId="5318E819" w:rsidR="00C952EF"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Nilayanti, M., &amp; Suaryana, I. (2019). The Effect Of Managerial Ownership On Firm Value. </w:t>
      </w:r>
      <w:r w:rsidRPr="00121FB1">
        <w:rPr>
          <w:rFonts w:ascii="Arial" w:hAnsi="Arial" w:cs="Arial"/>
          <w:b w:val="0"/>
          <w:i/>
          <w:iCs/>
          <w:caps w:val="0"/>
          <w:szCs w:val="18"/>
        </w:rPr>
        <w:t>E-Jurnal Akuntansi</w:t>
      </w:r>
      <w:r w:rsidRPr="00121FB1">
        <w:rPr>
          <w:rFonts w:ascii="Arial" w:hAnsi="Arial" w:cs="Arial"/>
          <w:b w:val="0"/>
          <w:caps w:val="0"/>
          <w:szCs w:val="18"/>
        </w:rPr>
        <w:t>, 29(2), 456–468.</w:t>
      </w:r>
    </w:p>
    <w:p w14:paraId="20D2B17C" w14:textId="63CEB1DE" w:rsidR="00121FB1" w:rsidRPr="00121FB1" w:rsidRDefault="00C952EF" w:rsidP="00C952EF">
      <w:pPr>
        <w:pStyle w:val="ReferHead"/>
        <w:spacing w:after="0"/>
        <w:ind w:left="360" w:hanging="360"/>
        <w:jc w:val="both"/>
        <w:rPr>
          <w:rFonts w:ascii="Arial" w:hAnsi="Arial" w:cs="Arial"/>
          <w:b w:val="0"/>
          <w:szCs w:val="18"/>
        </w:rPr>
      </w:pPr>
      <w:hyperlink r:id="rId47" w:history="1">
        <w:r w:rsidRPr="001B3319">
          <w:rPr>
            <w:rStyle w:val="Hyperlink"/>
            <w:rFonts w:ascii="Arial" w:hAnsi="Arial" w:cs="Arial"/>
            <w:b w:val="0"/>
            <w:caps w:val="0"/>
            <w:szCs w:val="18"/>
          </w:rPr>
          <w:t>Https://Doi.Org/10.24843/Eja.2019.V29.I02.P14</w:t>
        </w:r>
      </w:hyperlink>
      <w:r>
        <w:rPr>
          <w:rFonts w:ascii="Arial" w:hAnsi="Arial" w:cs="Arial"/>
          <w:b w:val="0"/>
          <w:caps w:val="0"/>
          <w:szCs w:val="18"/>
        </w:rPr>
        <w:t xml:space="preserve"> </w:t>
      </w:r>
    </w:p>
    <w:p w14:paraId="4DEFADA6" w14:textId="7F4EE0F6"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Penrose, E. (1959). </w:t>
      </w:r>
      <w:r w:rsidRPr="00121FB1">
        <w:rPr>
          <w:rFonts w:ascii="Arial" w:hAnsi="Arial" w:cs="Arial"/>
          <w:b w:val="0"/>
          <w:i/>
          <w:iCs/>
          <w:caps w:val="0"/>
          <w:szCs w:val="18"/>
        </w:rPr>
        <w:t>The Theory Of The Growth Of The Firm</w:t>
      </w:r>
      <w:r w:rsidRPr="00121FB1">
        <w:rPr>
          <w:rFonts w:ascii="Arial" w:hAnsi="Arial" w:cs="Arial"/>
          <w:b w:val="0"/>
          <w:caps w:val="0"/>
          <w:szCs w:val="18"/>
        </w:rPr>
        <w:t>. Oxford University Press.</w:t>
      </w:r>
    </w:p>
    <w:p w14:paraId="2F9192C3" w14:textId="4441DFD1" w:rsidR="004F1336" w:rsidRDefault="00121FB1" w:rsidP="004F1336">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Pramudya, A., &amp; Musyarofah, A. (2023). Environmental Performance And Firm Performance: Evidence From Indonesian Mining Companies. </w:t>
      </w:r>
      <w:r w:rsidRPr="00121FB1">
        <w:rPr>
          <w:rFonts w:ascii="Arial" w:hAnsi="Arial" w:cs="Arial"/>
          <w:b w:val="0"/>
          <w:i/>
          <w:iCs/>
          <w:caps w:val="0"/>
          <w:szCs w:val="18"/>
        </w:rPr>
        <w:t>Jurnal Akuntansi Dan Keuangan Indonesia</w:t>
      </w:r>
      <w:r w:rsidRPr="00121FB1">
        <w:rPr>
          <w:rFonts w:ascii="Arial" w:hAnsi="Arial" w:cs="Arial"/>
          <w:b w:val="0"/>
          <w:caps w:val="0"/>
          <w:szCs w:val="18"/>
        </w:rPr>
        <w:t>, 20(2), 200–218.</w:t>
      </w:r>
    </w:p>
    <w:p w14:paraId="7EE59DB5" w14:textId="761EC080" w:rsidR="00121FB1" w:rsidRPr="00121FB1" w:rsidRDefault="004F1336" w:rsidP="004F1336">
      <w:pPr>
        <w:pStyle w:val="ReferHead"/>
        <w:spacing w:after="0"/>
        <w:ind w:left="360"/>
        <w:jc w:val="both"/>
        <w:rPr>
          <w:rFonts w:ascii="Arial" w:hAnsi="Arial" w:cs="Arial"/>
          <w:b w:val="0"/>
          <w:szCs w:val="18"/>
        </w:rPr>
      </w:pPr>
      <w:hyperlink r:id="rId48" w:history="1">
        <w:r w:rsidRPr="001B3319">
          <w:rPr>
            <w:rStyle w:val="Hyperlink"/>
            <w:rFonts w:ascii="Arial" w:hAnsi="Arial" w:cs="Arial"/>
            <w:b w:val="0"/>
            <w:caps w:val="0"/>
            <w:szCs w:val="18"/>
          </w:rPr>
          <w:t>Https://Doi.Org/10.21002/Jaki.2023.10</w:t>
        </w:r>
      </w:hyperlink>
      <w:r w:rsidR="00C952EF">
        <w:rPr>
          <w:rFonts w:ascii="Arial" w:hAnsi="Arial" w:cs="Arial"/>
          <w:b w:val="0"/>
          <w:caps w:val="0"/>
          <w:szCs w:val="18"/>
        </w:rPr>
        <w:t xml:space="preserve"> </w:t>
      </w:r>
    </w:p>
    <w:p w14:paraId="215E74AE"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Rahmawati, R., Adnyani, L., &amp; Pradnyani, N. (2023). The Effect Of Environmental Performance On Financial Performance: Evidence From Indonesian Manufacturing </w:t>
      </w:r>
      <w:r w:rsidRPr="00121FB1">
        <w:rPr>
          <w:rFonts w:ascii="Arial" w:hAnsi="Arial" w:cs="Arial"/>
          <w:b w:val="0"/>
          <w:caps w:val="0"/>
          <w:szCs w:val="18"/>
        </w:rPr>
        <w:t xml:space="preserve">Companies. </w:t>
      </w:r>
      <w:r w:rsidRPr="00121FB1">
        <w:rPr>
          <w:rFonts w:ascii="Arial" w:hAnsi="Arial" w:cs="Arial"/>
          <w:b w:val="0"/>
          <w:i/>
          <w:iCs/>
          <w:caps w:val="0"/>
          <w:szCs w:val="18"/>
        </w:rPr>
        <w:t>Jurnal Ekonomi Dan Bisnis</w:t>
      </w:r>
      <w:r w:rsidRPr="00121FB1">
        <w:rPr>
          <w:rFonts w:ascii="Arial" w:hAnsi="Arial" w:cs="Arial"/>
          <w:b w:val="0"/>
          <w:caps w:val="0"/>
          <w:szCs w:val="18"/>
        </w:rPr>
        <w:t xml:space="preserve">, 26(3), 285–298. </w:t>
      </w:r>
    </w:p>
    <w:p w14:paraId="49E011E1" w14:textId="03E31483" w:rsidR="00121FB1" w:rsidRPr="00121FB1" w:rsidRDefault="004F1336" w:rsidP="004F1336">
      <w:pPr>
        <w:pStyle w:val="ReferHead"/>
        <w:spacing w:after="0"/>
        <w:ind w:left="360"/>
        <w:jc w:val="both"/>
        <w:rPr>
          <w:rFonts w:ascii="Arial" w:hAnsi="Arial" w:cs="Arial"/>
          <w:b w:val="0"/>
          <w:szCs w:val="18"/>
        </w:rPr>
      </w:pPr>
      <w:hyperlink r:id="rId49" w:history="1">
        <w:r w:rsidRPr="001B3319">
          <w:rPr>
            <w:rStyle w:val="Hyperlink"/>
            <w:rFonts w:ascii="Arial" w:hAnsi="Arial" w:cs="Arial"/>
            <w:b w:val="0"/>
            <w:caps w:val="0"/>
            <w:szCs w:val="18"/>
          </w:rPr>
          <w:t>Https://Doi.Org/10.17977/Um042v26i3p285-298</w:t>
        </w:r>
      </w:hyperlink>
      <w:r w:rsidR="00C952EF">
        <w:rPr>
          <w:rFonts w:ascii="Arial" w:hAnsi="Arial" w:cs="Arial"/>
          <w:b w:val="0"/>
          <w:caps w:val="0"/>
          <w:szCs w:val="18"/>
        </w:rPr>
        <w:t xml:space="preserve"> </w:t>
      </w:r>
    </w:p>
    <w:p w14:paraId="0388A9A3"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Rasmini, N. K. (2019). The Effect Of Managerial Ownership And Board Of Directors On Firm Performance. </w:t>
      </w:r>
      <w:r w:rsidRPr="00121FB1">
        <w:rPr>
          <w:rFonts w:ascii="Arial" w:hAnsi="Arial" w:cs="Arial"/>
          <w:b w:val="0"/>
          <w:i/>
          <w:iCs/>
          <w:caps w:val="0"/>
          <w:szCs w:val="18"/>
        </w:rPr>
        <w:t>Jurnal Akuntansi Multiparadigma</w:t>
      </w:r>
      <w:r w:rsidRPr="00121FB1">
        <w:rPr>
          <w:rFonts w:ascii="Arial" w:hAnsi="Arial" w:cs="Arial"/>
          <w:b w:val="0"/>
          <w:caps w:val="0"/>
          <w:szCs w:val="18"/>
        </w:rPr>
        <w:t>, 10(1), 55–67.</w:t>
      </w:r>
    </w:p>
    <w:p w14:paraId="341AB896" w14:textId="07FE6AA8" w:rsidR="00121FB1" w:rsidRPr="00121FB1" w:rsidRDefault="004F1336" w:rsidP="004F1336">
      <w:pPr>
        <w:pStyle w:val="ReferHead"/>
        <w:spacing w:after="0"/>
        <w:ind w:left="360"/>
        <w:jc w:val="both"/>
        <w:rPr>
          <w:rFonts w:ascii="Arial" w:hAnsi="Arial" w:cs="Arial"/>
          <w:b w:val="0"/>
          <w:szCs w:val="18"/>
        </w:rPr>
      </w:pPr>
      <w:hyperlink r:id="rId50" w:history="1">
        <w:r w:rsidRPr="001B3319">
          <w:rPr>
            <w:rStyle w:val="Hyperlink"/>
            <w:rFonts w:ascii="Arial" w:hAnsi="Arial" w:cs="Arial"/>
            <w:b w:val="0"/>
            <w:caps w:val="0"/>
            <w:szCs w:val="18"/>
          </w:rPr>
          <w:t>Https://Doi.Org/10.18202/Jamal.2019.04.10005</w:t>
        </w:r>
      </w:hyperlink>
      <w:r w:rsidR="00C952EF">
        <w:rPr>
          <w:rFonts w:ascii="Arial" w:hAnsi="Arial" w:cs="Arial"/>
          <w:b w:val="0"/>
          <w:caps w:val="0"/>
          <w:szCs w:val="18"/>
        </w:rPr>
        <w:t xml:space="preserve"> </w:t>
      </w:r>
    </w:p>
    <w:p w14:paraId="1C8B21F0"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Rizka A. P. Latifah, &amp; Nikmah, A. (2024). Environmental Performance And Financial Performance: Evidence From Indonesian Manufacturing Companies. </w:t>
      </w:r>
      <w:r w:rsidRPr="00121FB1">
        <w:rPr>
          <w:rFonts w:ascii="Arial" w:hAnsi="Arial" w:cs="Arial"/>
          <w:b w:val="0"/>
          <w:i/>
          <w:iCs/>
          <w:caps w:val="0"/>
          <w:szCs w:val="18"/>
        </w:rPr>
        <w:t>Jurnal Akuntansi Multiparadigma</w:t>
      </w:r>
      <w:r w:rsidRPr="00121FB1">
        <w:rPr>
          <w:rFonts w:ascii="Arial" w:hAnsi="Arial" w:cs="Arial"/>
          <w:b w:val="0"/>
          <w:caps w:val="0"/>
          <w:szCs w:val="18"/>
        </w:rPr>
        <w:t>, 14(1), 25–42.</w:t>
      </w:r>
    </w:p>
    <w:p w14:paraId="00280FCA" w14:textId="49614F24" w:rsidR="00121FB1" w:rsidRPr="00121FB1" w:rsidRDefault="004F1336" w:rsidP="004F1336">
      <w:pPr>
        <w:pStyle w:val="ReferHead"/>
        <w:spacing w:after="0"/>
        <w:ind w:left="360"/>
        <w:jc w:val="both"/>
        <w:rPr>
          <w:rFonts w:ascii="Arial" w:hAnsi="Arial" w:cs="Arial"/>
          <w:b w:val="0"/>
          <w:caps w:val="0"/>
          <w:szCs w:val="18"/>
        </w:rPr>
      </w:pPr>
      <w:hyperlink r:id="rId51" w:history="1">
        <w:r w:rsidRPr="001B3319">
          <w:rPr>
            <w:rStyle w:val="Hyperlink"/>
            <w:rFonts w:ascii="Arial" w:hAnsi="Arial" w:cs="Arial"/>
            <w:b w:val="0"/>
            <w:caps w:val="0"/>
            <w:szCs w:val="18"/>
          </w:rPr>
          <w:t>Https://Doi.Org/10.18202/Jamal.2024.04.14002</w:t>
        </w:r>
      </w:hyperlink>
      <w:r>
        <w:rPr>
          <w:rFonts w:ascii="Arial" w:hAnsi="Arial" w:cs="Arial"/>
          <w:b w:val="0"/>
          <w:caps w:val="0"/>
          <w:szCs w:val="18"/>
        </w:rPr>
        <w:t xml:space="preserve"> </w:t>
      </w:r>
    </w:p>
    <w:p w14:paraId="1BF25BD4" w14:textId="2CFC3C05"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Sekerci, H., &amp; Pagach, D. (2020). The Influence Of Firm Size On The Erm–Performance Relationship. </w:t>
      </w:r>
      <w:r w:rsidRPr="00121FB1">
        <w:rPr>
          <w:rFonts w:ascii="Arial" w:hAnsi="Arial" w:cs="Arial"/>
          <w:b w:val="0"/>
          <w:i/>
          <w:iCs/>
          <w:caps w:val="0"/>
          <w:szCs w:val="18"/>
        </w:rPr>
        <w:t>Journal Of Risk And Financial Management</w:t>
      </w:r>
      <w:r w:rsidRPr="00121FB1">
        <w:rPr>
          <w:rFonts w:ascii="Arial" w:hAnsi="Arial" w:cs="Arial"/>
          <w:b w:val="0"/>
          <w:caps w:val="0"/>
          <w:szCs w:val="18"/>
        </w:rPr>
        <w:t xml:space="preserve">, 13(7), 150. </w:t>
      </w:r>
      <w:hyperlink r:id="rId52" w:history="1">
        <w:r w:rsidR="00C952EF" w:rsidRPr="001B3319">
          <w:rPr>
            <w:rStyle w:val="Hyperlink"/>
            <w:rFonts w:ascii="Arial" w:hAnsi="Arial" w:cs="Arial"/>
            <w:b w:val="0"/>
            <w:caps w:val="0"/>
            <w:szCs w:val="18"/>
          </w:rPr>
          <w:t>Https://Doi.Org/10.3390/Jrfm13070150</w:t>
        </w:r>
      </w:hyperlink>
      <w:r w:rsidR="00C952EF">
        <w:rPr>
          <w:rFonts w:ascii="Arial" w:hAnsi="Arial" w:cs="Arial"/>
          <w:b w:val="0"/>
          <w:caps w:val="0"/>
          <w:szCs w:val="18"/>
        </w:rPr>
        <w:t xml:space="preserve"> </w:t>
      </w:r>
    </w:p>
    <w:p w14:paraId="3BB98446" w14:textId="3781DB58"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Suchman, M. C. (1995). Managing Legitimacy: Strategic And Institutional Approaches. </w:t>
      </w:r>
      <w:r w:rsidRPr="00121FB1">
        <w:rPr>
          <w:rFonts w:ascii="Arial" w:hAnsi="Arial" w:cs="Arial"/>
          <w:b w:val="0"/>
          <w:i/>
          <w:iCs/>
          <w:caps w:val="0"/>
          <w:szCs w:val="18"/>
        </w:rPr>
        <w:t>Academy Of Management Review</w:t>
      </w:r>
      <w:r w:rsidRPr="00121FB1">
        <w:rPr>
          <w:rFonts w:ascii="Arial" w:hAnsi="Arial" w:cs="Arial"/>
          <w:b w:val="0"/>
          <w:caps w:val="0"/>
          <w:szCs w:val="18"/>
        </w:rPr>
        <w:t xml:space="preserve">, 20(3), 571–610. </w:t>
      </w:r>
      <w:hyperlink r:id="rId53" w:history="1">
        <w:r w:rsidR="00C952EF" w:rsidRPr="001B3319">
          <w:rPr>
            <w:rStyle w:val="Hyperlink"/>
            <w:rFonts w:ascii="Arial" w:hAnsi="Arial" w:cs="Arial"/>
            <w:b w:val="0"/>
            <w:caps w:val="0"/>
            <w:szCs w:val="18"/>
          </w:rPr>
          <w:t>Https://Doi.Org/10.5465/Amr.1995.9508080331</w:t>
        </w:r>
      </w:hyperlink>
      <w:r w:rsidR="00C952EF">
        <w:rPr>
          <w:rFonts w:ascii="Arial" w:hAnsi="Arial" w:cs="Arial"/>
          <w:b w:val="0"/>
          <w:caps w:val="0"/>
          <w:szCs w:val="18"/>
        </w:rPr>
        <w:t xml:space="preserve"> </w:t>
      </w:r>
    </w:p>
    <w:p w14:paraId="57143264" w14:textId="003B181C"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Sutrisno, T., &amp; Riduwan, A. (2022). Managerial Ownership And Firm Performance: Evidence From Indonesia. </w:t>
      </w:r>
      <w:r w:rsidRPr="00121FB1">
        <w:rPr>
          <w:rFonts w:ascii="Arial" w:hAnsi="Arial" w:cs="Arial"/>
          <w:b w:val="0"/>
          <w:i/>
          <w:iCs/>
          <w:caps w:val="0"/>
          <w:szCs w:val="18"/>
        </w:rPr>
        <w:t>Jurnal Akuntansi Multiparadigma</w:t>
      </w:r>
      <w:r w:rsidRPr="00121FB1">
        <w:rPr>
          <w:rFonts w:ascii="Arial" w:hAnsi="Arial" w:cs="Arial"/>
          <w:b w:val="0"/>
          <w:caps w:val="0"/>
          <w:szCs w:val="18"/>
        </w:rPr>
        <w:t xml:space="preserve">, 13(2), 267–283. </w:t>
      </w:r>
      <w:hyperlink r:id="rId54" w:history="1">
        <w:r w:rsidR="00C952EF" w:rsidRPr="001B3319">
          <w:rPr>
            <w:rStyle w:val="Hyperlink"/>
            <w:rFonts w:ascii="Arial" w:hAnsi="Arial" w:cs="Arial"/>
            <w:b w:val="0"/>
            <w:caps w:val="0"/>
            <w:szCs w:val="18"/>
          </w:rPr>
          <w:t>Https://Doi.Org/10.18202/Jamal.2022.08.13002</w:t>
        </w:r>
      </w:hyperlink>
      <w:r w:rsidR="00C952EF">
        <w:rPr>
          <w:rFonts w:ascii="Arial" w:hAnsi="Arial" w:cs="Arial"/>
          <w:b w:val="0"/>
          <w:caps w:val="0"/>
          <w:szCs w:val="18"/>
        </w:rPr>
        <w:t xml:space="preserve"> </w:t>
      </w:r>
    </w:p>
    <w:p w14:paraId="3CDE12AD" w14:textId="5613A214" w:rsidR="00121FB1" w:rsidRPr="00121FB1" w:rsidRDefault="00121FB1" w:rsidP="00C952EF">
      <w:pPr>
        <w:pStyle w:val="ReferHead"/>
        <w:spacing w:after="0"/>
        <w:ind w:left="360" w:hanging="360"/>
        <w:jc w:val="both"/>
        <w:rPr>
          <w:rFonts w:ascii="Arial" w:hAnsi="Arial" w:cs="Arial"/>
          <w:b w:val="0"/>
          <w:szCs w:val="18"/>
        </w:rPr>
      </w:pPr>
      <w:r w:rsidRPr="00031E92">
        <w:rPr>
          <w:rFonts w:ascii="Arial" w:hAnsi="Arial" w:cs="Arial"/>
          <w:b w:val="0"/>
          <w:caps w:val="0"/>
          <w:szCs w:val="18"/>
          <w:lang w:val="es-US"/>
        </w:rPr>
        <w:t xml:space="preserve">Syah, A., Wulandari, P., &amp; Rahayu, D. (2021). </w:t>
      </w:r>
      <w:r w:rsidRPr="00121FB1">
        <w:rPr>
          <w:rFonts w:ascii="Arial" w:hAnsi="Arial" w:cs="Arial"/>
          <w:b w:val="0"/>
          <w:caps w:val="0"/>
          <w:szCs w:val="18"/>
        </w:rPr>
        <w:t xml:space="preserve">Firm Size, Leverage, And Profitability: Evidence From Indonesia. </w:t>
      </w:r>
      <w:r w:rsidRPr="00121FB1">
        <w:rPr>
          <w:rFonts w:ascii="Arial" w:hAnsi="Arial" w:cs="Arial"/>
          <w:b w:val="0"/>
          <w:i/>
          <w:iCs/>
          <w:caps w:val="0"/>
          <w:szCs w:val="18"/>
        </w:rPr>
        <w:t>Jurnal Akuntansi Dan Keuangan Indonesia</w:t>
      </w:r>
      <w:r w:rsidRPr="00121FB1">
        <w:rPr>
          <w:rFonts w:ascii="Arial" w:hAnsi="Arial" w:cs="Arial"/>
          <w:b w:val="0"/>
          <w:caps w:val="0"/>
          <w:szCs w:val="18"/>
        </w:rPr>
        <w:t xml:space="preserve">, 18(1), 65–77. </w:t>
      </w:r>
      <w:hyperlink r:id="rId55" w:history="1">
        <w:r w:rsidR="00C952EF" w:rsidRPr="001B3319">
          <w:rPr>
            <w:rStyle w:val="Hyperlink"/>
            <w:rFonts w:ascii="Arial" w:hAnsi="Arial" w:cs="Arial"/>
            <w:b w:val="0"/>
            <w:caps w:val="0"/>
            <w:szCs w:val="18"/>
          </w:rPr>
          <w:t>Https://Doi.Org/10.21002/Jaki.2021.05</w:t>
        </w:r>
      </w:hyperlink>
      <w:r w:rsidR="00C952EF">
        <w:rPr>
          <w:rFonts w:ascii="Arial" w:hAnsi="Arial" w:cs="Arial"/>
          <w:b w:val="0"/>
          <w:caps w:val="0"/>
          <w:szCs w:val="18"/>
        </w:rPr>
        <w:t xml:space="preserve"> </w:t>
      </w:r>
    </w:p>
    <w:p w14:paraId="2E7F435A" w14:textId="4284B2FF"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Triastuti, N., &amp; Nur Safitri, W. (2021). Firm Size, Profitability, And Firm Value: Evidence From Indonesia. </w:t>
      </w:r>
      <w:r w:rsidRPr="00121FB1">
        <w:rPr>
          <w:rFonts w:ascii="Arial" w:hAnsi="Arial" w:cs="Arial"/>
          <w:b w:val="0"/>
          <w:i/>
          <w:iCs/>
          <w:caps w:val="0"/>
          <w:szCs w:val="18"/>
        </w:rPr>
        <w:t>Jurnal Ekonomi Dan Bisnis</w:t>
      </w:r>
      <w:r w:rsidRPr="00121FB1">
        <w:rPr>
          <w:rFonts w:ascii="Arial" w:hAnsi="Arial" w:cs="Arial"/>
          <w:b w:val="0"/>
          <w:caps w:val="0"/>
          <w:szCs w:val="18"/>
        </w:rPr>
        <w:t xml:space="preserve">, 24(3), 220–231. </w:t>
      </w:r>
      <w:hyperlink r:id="rId56" w:history="1">
        <w:r w:rsidR="00C952EF" w:rsidRPr="001B3319">
          <w:rPr>
            <w:rStyle w:val="Hyperlink"/>
            <w:rFonts w:ascii="Arial" w:hAnsi="Arial" w:cs="Arial"/>
            <w:b w:val="0"/>
            <w:caps w:val="0"/>
            <w:szCs w:val="18"/>
          </w:rPr>
          <w:t>Https://Doi.Org/10.17977/Um042v24i3p220-231</w:t>
        </w:r>
      </w:hyperlink>
      <w:r w:rsidR="00C952EF">
        <w:rPr>
          <w:rFonts w:ascii="Arial" w:hAnsi="Arial" w:cs="Arial"/>
          <w:b w:val="0"/>
          <w:caps w:val="0"/>
          <w:szCs w:val="18"/>
        </w:rPr>
        <w:t xml:space="preserve"> </w:t>
      </w:r>
    </w:p>
    <w:p w14:paraId="634798A1" w14:textId="38CE890D"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Veronika, D., Setiawan, A., &amp; Rahmawati, E. (2022). Environmental Performance And Firm Performance: Evidence From Indonesia. </w:t>
      </w:r>
      <w:r w:rsidRPr="00121FB1">
        <w:rPr>
          <w:rFonts w:ascii="Arial" w:hAnsi="Arial" w:cs="Arial"/>
          <w:b w:val="0"/>
          <w:i/>
          <w:iCs/>
          <w:caps w:val="0"/>
          <w:szCs w:val="18"/>
        </w:rPr>
        <w:t>Jurnal Akuntansi</w:t>
      </w:r>
      <w:r w:rsidRPr="00121FB1">
        <w:rPr>
          <w:rFonts w:ascii="Arial" w:hAnsi="Arial" w:cs="Arial"/>
          <w:b w:val="0"/>
          <w:caps w:val="0"/>
          <w:szCs w:val="18"/>
        </w:rPr>
        <w:t xml:space="preserve">, 26(4), 501–517. </w:t>
      </w:r>
      <w:hyperlink r:id="rId57" w:history="1">
        <w:r w:rsidR="00C952EF" w:rsidRPr="001B3319">
          <w:rPr>
            <w:rStyle w:val="Hyperlink"/>
            <w:rFonts w:ascii="Arial" w:hAnsi="Arial" w:cs="Arial"/>
            <w:b w:val="0"/>
            <w:caps w:val="0"/>
            <w:szCs w:val="18"/>
          </w:rPr>
          <w:t>Https://Doi.Org/10.24912/Ja.V26i4.987</w:t>
        </w:r>
      </w:hyperlink>
      <w:r w:rsidR="00C952EF">
        <w:rPr>
          <w:rFonts w:ascii="Arial" w:hAnsi="Arial" w:cs="Arial"/>
          <w:b w:val="0"/>
          <w:caps w:val="0"/>
          <w:szCs w:val="18"/>
        </w:rPr>
        <w:t xml:space="preserve"> </w:t>
      </w:r>
    </w:p>
    <w:p w14:paraId="4CB73686" w14:textId="5A638C77" w:rsidR="00121FB1"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Yusdianto, A., &amp; Ramadhoni, D. (2023). </w:t>
      </w:r>
      <w:r w:rsidRPr="00031E92">
        <w:rPr>
          <w:rFonts w:ascii="Arial" w:hAnsi="Arial" w:cs="Arial"/>
          <w:b w:val="0"/>
          <w:caps w:val="0"/>
          <w:szCs w:val="18"/>
          <w:lang w:val="es-US"/>
        </w:rPr>
        <w:t xml:space="preserve">Analisis Biaya Operasional Dan Kinerja Keuangan Perusahaan Transportasi. </w:t>
      </w:r>
      <w:r w:rsidRPr="00121FB1">
        <w:rPr>
          <w:rFonts w:ascii="Arial" w:hAnsi="Arial" w:cs="Arial"/>
          <w:b w:val="0"/>
          <w:i/>
          <w:iCs/>
          <w:caps w:val="0"/>
          <w:szCs w:val="18"/>
        </w:rPr>
        <w:t>Jurnal Manajemen Transportasi &amp; Logistik</w:t>
      </w:r>
      <w:r w:rsidRPr="00121FB1">
        <w:rPr>
          <w:rFonts w:ascii="Arial" w:hAnsi="Arial" w:cs="Arial"/>
          <w:b w:val="0"/>
          <w:caps w:val="0"/>
          <w:szCs w:val="18"/>
        </w:rPr>
        <w:t xml:space="preserve">, 10(2), 135–147. </w:t>
      </w:r>
      <w:hyperlink r:id="rId58" w:history="1">
        <w:r w:rsidR="00C952EF" w:rsidRPr="001B3319">
          <w:rPr>
            <w:rStyle w:val="Hyperlink"/>
            <w:rFonts w:ascii="Arial" w:hAnsi="Arial" w:cs="Arial"/>
            <w:b w:val="0"/>
            <w:caps w:val="0"/>
            <w:szCs w:val="18"/>
          </w:rPr>
          <w:t>Https://Doi.Org/10.54337/Jmtl.V10i2.141</w:t>
        </w:r>
      </w:hyperlink>
      <w:r w:rsidR="00C952EF">
        <w:rPr>
          <w:rFonts w:ascii="Arial" w:hAnsi="Arial" w:cs="Arial"/>
          <w:b w:val="0"/>
          <w:caps w:val="0"/>
          <w:szCs w:val="18"/>
        </w:rPr>
        <w:t xml:space="preserve"> </w:t>
      </w:r>
    </w:p>
    <w:p w14:paraId="519CB834" w14:textId="1780DA27" w:rsidR="006A0AD1" w:rsidRDefault="006A0AD1" w:rsidP="006A0AD1">
      <w:r w:rsidRPr="00031E92">
        <w:rPr>
          <w:highlight w:val="yellow"/>
        </w:rPr>
        <w:t>Saeidi, P., Saeidi, S. P., Gutierrez, L., Streimikiene, D., Alrasheedi, M., Saeidi, S. P., &amp; Mardani, A. (2021). The influence of enterprise risk management on firm performance with the moderating effect of intellectual capital dimensions. Economic Research-Ekonomska Istraživanja, 34(1), 122-151.</w:t>
      </w:r>
    </w:p>
    <w:p w14:paraId="14845F2F" w14:textId="3373DFD7" w:rsidR="001422A7" w:rsidRDefault="001422A7" w:rsidP="006A0AD1">
      <w:r w:rsidRPr="00031E92">
        <w:rPr>
          <w:highlight w:val="yellow"/>
        </w:rPr>
        <w:t>Hassan, M. F. A. A., Rahman, N. L. A., &amp; Shah, N. S. B. (2022). Financial performance analysis of transportation industry pre and during covid 19 pandemic: a profitability approach. </w:t>
      </w:r>
      <w:r w:rsidRPr="00031E92">
        <w:rPr>
          <w:i/>
          <w:iCs/>
          <w:highlight w:val="yellow"/>
        </w:rPr>
        <w:t>Jurnal Intelek</w:t>
      </w:r>
      <w:r w:rsidRPr="00031E92">
        <w:rPr>
          <w:highlight w:val="yellow"/>
        </w:rPr>
        <w:t>, </w:t>
      </w:r>
      <w:r w:rsidRPr="00031E92">
        <w:rPr>
          <w:i/>
          <w:iCs/>
          <w:highlight w:val="yellow"/>
        </w:rPr>
        <w:t>17</w:t>
      </w:r>
      <w:r w:rsidRPr="00031E92">
        <w:rPr>
          <w:highlight w:val="yellow"/>
        </w:rPr>
        <w:t>(2), 149-159.</w:t>
      </w:r>
    </w:p>
    <w:p w14:paraId="7FD79B32" w14:textId="24AF6522" w:rsidR="00501E2F" w:rsidRPr="00121FB1" w:rsidRDefault="00501E2F" w:rsidP="00031E92">
      <w:r w:rsidRPr="00031E92">
        <w:rPr>
          <w:highlight w:val="yellow"/>
          <w:lang w:val="es-US"/>
        </w:rPr>
        <w:t xml:space="preserve">Matar, A., &amp; Eneizan, B. M. (2018). </w:t>
      </w:r>
      <w:r w:rsidRPr="00031E92">
        <w:rPr>
          <w:highlight w:val="yellow"/>
        </w:rPr>
        <w:t>Determinants of financial performance in the industrial firms: Evidence from Jordan. </w:t>
      </w:r>
      <w:r w:rsidRPr="00031E92">
        <w:rPr>
          <w:i/>
          <w:iCs/>
          <w:highlight w:val="yellow"/>
        </w:rPr>
        <w:t>Asian Journal of Agricultural Extension, Economics &amp; Sociology</w:t>
      </w:r>
      <w:r w:rsidRPr="00031E92">
        <w:rPr>
          <w:highlight w:val="yellow"/>
        </w:rPr>
        <w:t>, </w:t>
      </w:r>
      <w:r w:rsidRPr="00031E92">
        <w:rPr>
          <w:i/>
          <w:iCs/>
          <w:highlight w:val="yellow"/>
        </w:rPr>
        <w:t>22</w:t>
      </w:r>
      <w:r w:rsidRPr="00031E92">
        <w:rPr>
          <w:highlight w:val="yellow"/>
        </w:rPr>
        <w:t>(1), 1-10.</w:t>
      </w:r>
    </w:p>
    <w:p w14:paraId="5591545F" w14:textId="3D34687F" w:rsidR="00533427" w:rsidRDefault="00533427" w:rsidP="00031E92">
      <w:pPr>
        <w:rPr>
          <w:b/>
        </w:rPr>
      </w:pPr>
      <w:r w:rsidRPr="00031E92">
        <w:rPr>
          <w:highlight w:val="yellow"/>
        </w:rPr>
        <w:t>Okeyo, K. O. (2025). Analyzing financial risk and financial performance of six insurance companies in Kenya: An econometric case study. South Asian Journal of Social Studies and Economics, 22(4), 331–339.</w:t>
      </w:r>
    </w:p>
    <w:p w14:paraId="21FF4C6C" w14:textId="74D77520" w:rsidR="00533427" w:rsidRDefault="00533427" w:rsidP="00121FB1">
      <w:pPr>
        <w:pStyle w:val="ReferHead"/>
        <w:spacing w:after="0"/>
        <w:jc w:val="both"/>
        <w:rPr>
          <w:rFonts w:ascii="Arial" w:hAnsi="Arial" w:cs="Arial"/>
          <w:b w:val="0"/>
          <w:bCs/>
          <w:sz w:val="20"/>
          <w:szCs w:val="18"/>
        </w:rPr>
        <w:sectPr w:rsidR="00533427" w:rsidSect="00842790">
          <w:type w:val="continuous"/>
          <w:pgSz w:w="12240" w:h="15840"/>
          <w:pgMar w:top="1440" w:right="2016" w:bottom="2016" w:left="2016" w:header="720" w:footer="1123" w:gutter="0"/>
          <w:cols w:num="2" w:space="720"/>
          <w:docGrid w:linePitch="272"/>
        </w:sectPr>
      </w:pPr>
    </w:p>
    <w:p w14:paraId="37BAD688" w14:textId="0D591D2B" w:rsidR="004D4277" w:rsidRPr="00FB3A86" w:rsidRDefault="004D4277" w:rsidP="00121FB1">
      <w:pPr>
        <w:pStyle w:val="Appendix"/>
        <w:spacing w:after="0"/>
        <w:jc w:val="both"/>
        <w:rPr>
          <w:rFonts w:ascii="Arial" w:hAnsi="Arial" w:cs="Arial"/>
          <w:b w:val="0"/>
        </w:rPr>
        <w:sectPr w:rsidR="004D4277" w:rsidRPr="00FB3A86" w:rsidSect="00842790">
          <w:type w:val="continuous"/>
          <w:pgSz w:w="12240" w:h="15840"/>
          <w:pgMar w:top="1440" w:right="2016" w:bottom="2016" w:left="2016" w:header="720" w:footer="1123" w:gutter="0"/>
          <w:cols w:num="2" w:space="720"/>
          <w:docGrid w:linePitch="272"/>
        </w:sectPr>
      </w:pPr>
    </w:p>
    <w:p w14:paraId="23325D12" w14:textId="77777777" w:rsidR="00121FB1" w:rsidRDefault="00121FB1" w:rsidP="00121FB1">
      <w:pPr>
        <w:pStyle w:val="Appendix"/>
        <w:spacing w:after="0"/>
        <w:jc w:val="both"/>
        <w:rPr>
          <w:rFonts w:ascii="Arial" w:hAnsi="Arial" w:cs="Arial"/>
          <w:b w:val="0"/>
        </w:rPr>
        <w:sectPr w:rsidR="00121FB1" w:rsidSect="00842790">
          <w:type w:val="continuous"/>
          <w:pgSz w:w="12240" w:h="15840"/>
          <w:pgMar w:top="720" w:right="720" w:bottom="720" w:left="720" w:header="720" w:footer="720" w:gutter="0"/>
          <w:cols w:space="720"/>
          <w:docGrid w:linePitch="360"/>
        </w:sectPr>
      </w:pPr>
    </w:p>
    <w:p w14:paraId="15C4E71E" w14:textId="4C624F87" w:rsidR="00B01FCD" w:rsidRPr="00FB3A86" w:rsidRDefault="00B01FCD" w:rsidP="00121FB1">
      <w:pPr>
        <w:pStyle w:val="Appendix"/>
        <w:spacing w:after="0"/>
        <w:jc w:val="both"/>
        <w:rPr>
          <w:rFonts w:ascii="Arial" w:hAnsi="Arial" w:cs="Arial"/>
          <w:b w:val="0"/>
        </w:rPr>
      </w:pPr>
    </w:p>
    <w:sectPr w:rsidR="00B01FCD" w:rsidRPr="00FB3A86" w:rsidSect="0084279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378D1" w14:textId="77777777" w:rsidR="00094C86" w:rsidRDefault="00094C86" w:rsidP="00C37E61">
      <w:r>
        <w:separator/>
      </w:r>
    </w:p>
  </w:endnote>
  <w:endnote w:type="continuationSeparator" w:id="0">
    <w:p w14:paraId="43903CC1" w14:textId="77777777" w:rsidR="00094C86" w:rsidRDefault="00094C8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58FC" w14:textId="41F264BB" w:rsidR="00754C9A" w:rsidRPr="00842790" w:rsidRDefault="00754C9A" w:rsidP="00842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863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CF38" w14:textId="77777777" w:rsidR="00094C86" w:rsidRDefault="00094C86" w:rsidP="00C37E61">
      <w:r>
        <w:separator/>
      </w:r>
    </w:p>
  </w:footnote>
  <w:footnote w:type="continuationSeparator" w:id="0">
    <w:p w14:paraId="3591DD38" w14:textId="77777777" w:rsidR="00094C86" w:rsidRDefault="00094C8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83ED" w14:textId="600688AE" w:rsidR="00842790" w:rsidRDefault="00000000">
    <w:pPr>
      <w:pStyle w:val="Header"/>
    </w:pPr>
    <w:r>
      <w:rPr>
        <w:noProof/>
      </w:rPr>
      <w:pict w14:anchorId="0EF17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29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9544" w14:textId="130517F2" w:rsidR="00842790" w:rsidRDefault="00000000">
    <w:pPr>
      <w:pStyle w:val="Header"/>
    </w:pPr>
    <w:r>
      <w:rPr>
        <w:noProof/>
      </w:rPr>
      <w:pict w14:anchorId="578B3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29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3A8A" w14:textId="2E43EA6C" w:rsidR="00296529" w:rsidRPr="00296529" w:rsidRDefault="00000000" w:rsidP="00296529">
    <w:pPr>
      <w:ind w:left="2160"/>
      <w:jc w:val="center"/>
      <w:rPr>
        <w:rFonts w:ascii="Times New Roman" w:eastAsia="Calibri" w:hAnsi="Times New Roman"/>
        <w:i/>
        <w:sz w:val="18"/>
        <w:szCs w:val="22"/>
      </w:rPr>
    </w:pPr>
    <w:r>
      <w:rPr>
        <w:noProof/>
      </w:rPr>
      <w:pict w14:anchorId="498C8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2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E4855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FDD3AB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52186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2327D9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0841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C1CD8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1DF3" w14:textId="4273F2B1" w:rsidR="00842790" w:rsidRDefault="00000000">
    <w:pPr>
      <w:pStyle w:val="Header"/>
    </w:pPr>
    <w:r>
      <w:rPr>
        <w:noProof/>
      </w:rPr>
      <w:pict w14:anchorId="147E0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30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1AC4" w14:textId="74C4EE2F" w:rsidR="00842790" w:rsidRDefault="00000000">
    <w:pPr>
      <w:pStyle w:val="Header"/>
    </w:pPr>
    <w:r>
      <w:rPr>
        <w:noProof/>
      </w:rPr>
      <w:pict w14:anchorId="27655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30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38B5" w14:textId="162FA472" w:rsidR="00842790" w:rsidRDefault="00000000">
    <w:pPr>
      <w:pStyle w:val="Header"/>
    </w:pPr>
    <w:r>
      <w:rPr>
        <w:noProof/>
      </w:rPr>
      <w:pict w14:anchorId="0A4F1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29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115465"/>
    <w:multiLevelType w:val="hybridMultilevel"/>
    <w:tmpl w:val="AC78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64C7C"/>
    <w:multiLevelType w:val="hybridMultilevel"/>
    <w:tmpl w:val="45FC2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8C36BF6"/>
    <w:multiLevelType w:val="multilevel"/>
    <w:tmpl w:val="22EE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499C"/>
    <w:multiLevelType w:val="multilevel"/>
    <w:tmpl w:val="63D0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8BE7E6B"/>
    <w:multiLevelType w:val="multilevel"/>
    <w:tmpl w:val="632A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659998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8597455">
    <w:abstractNumId w:val="19"/>
  </w:num>
  <w:num w:numId="3" w16cid:durableId="1311254324">
    <w:abstractNumId w:val="28"/>
  </w:num>
  <w:num w:numId="4" w16cid:durableId="87191872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15681608">
    <w:abstractNumId w:val="8"/>
  </w:num>
  <w:num w:numId="6" w16cid:durableId="257060655">
    <w:abstractNumId w:val="6"/>
  </w:num>
  <w:num w:numId="7" w16cid:durableId="686442866">
    <w:abstractNumId w:val="1"/>
  </w:num>
  <w:num w:numId="8" w16cid:durableId="1421901385">
    <w:abstractNumId w:val="16"/>
  </w:num>
  <w:num w:numId="9" w16cid:durableId="626350253">
    <w:abstractNumId w:val="30"/>
  </w:num>
  <w:num w:numId="10" w16cid:durableId="486097358">
    <w:abstractNumId w:val="2"/>
  </w:num>
  <w:num w:numId="11" w16cid:durableId="892353512">
    <w:abstractNumId w:val="23"/>
  </w:num>
  <w:num w:numId="12" w16cid:durableId="687604766">
    <w:abstractNumId w:val="3"/>
  </w:num>
  <w:num w:numId="13" w16cid:durableId="10955331">
    <w:abstractNumId w:val="21"/>
  </w:num>
  <w:num w:numId="14" w16cid:durableId="1107968976">
    <w:abstractNumId w:val="9"/>
  </w:num>
  <w:num w:numId="15" w16cid:durableId="2043359148">
    <w:abstractNumId w:val="26"/>
  </w:num>
  <w:num w:numId="16" w16cid:durableId="503982342">
    <w:abstractNumId w:val="5"/>
  </w:num>
  <w:num w:numId="17" w16cid:durableId="340819649">
    <w:abstractNumId w:val="27"/>
  </w:num>
  <w:num w:numId="18" w16cid:durableId="928780597">
    <w:abstractNumId w:val="18"/>
  </w:num>
  <w:num w:numId="19" w16cid:durableId="1939408688">
    <w:abstractNumId w:val="33"/>
  </w:num>
  <w:num w:numId="20" w16cid:durableId="1787098">
    <w:abstractNumId w:val="13"/>
  </w:num>
  <w:num w:numId="21" w16cid:durableId="1757627121">
    <w:abstractNumId w:val="10"/>
  </w:num>
  <w:num w:numId="22" w16cid:durableId="948858153">
    <w:abstractNumId w:val="17"/>
  </w:num>
  <w:num w:numId="23" w16cid:durableId="704332245">
    <w:abstractNumId w:val="24"/>
  </w:num>
  <w:num w:numId="24" w16cid:durableId="332682342">
    <w:abstractNumId w:val="31"/>
  </w:num>
  <w:num w:numId="25" w16cid:durableId="776482358">
    <w:abstractNumId w:val="4"/>
  </w:num>
  <w:num w:numId="26" w16cid:durableId="408504246">
    <w:abstractNumId w:val="20"/>
  </w:num>
  <w:num w:numId="27" w16cid:durableId="1187911495">
    <w:abstractNumId w:val="25"/>
  </w:num>
  <w:num w:numId="28" w16cid:durableId="1355425087">
    <w:abstractNumId w:val="32"/>
  </w:num>
  <w:num w:numId="29" w16cid:durableId="962735109">
    <w:abstractNumId w:val="29"/>
  </w:num>
  <w:num w:numId="30" w16cid:durableId="1458794032">
    <w:abstractNumId w:val="11"/>
  </w:num>
  <w:num w:numId="31" w16cid:durableId="1105350570">
    <w:abstractNumId w:val="7"/>
  </w:num>
  <w:num w:numId="32" w16cid:durableId="1406680842">
    <w:abstractNumId w:val="12"/>
  </w:num>
  <w:num w:numId="33" w16cid:durableId="1405644970">
    <w:abstractNumId w:val="14"/>
  </w:num>
  <w:num w:numId="34" w16cid:durableId="1309019104">
    <w:abstractNumId w:val="15"/>
  </w:num>
  <w:num w:numId="35" w16cid:durableId="9587296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ytbQ0MjE2NTE1tDBV0lEKTi0uzszPAykwrAUAC1BZqCwAAAA="/>
  </w:docVars>
  <w:rsids>
    <w:rsidRoot w:val="00AA6219"/>
    <w:rsid w:val="00000F8F"/>
    <w:rsid w:val="0000771B"/>
    <w:rsid w:val="00013BC0"/>
    <w:rsid w:val="000169EB"/>
    <w:rsid w:val="00016A8E"/>
    <w:rsid w:val="00030174"/>
    <w:rsid w:val="00031E92"/>
    <w:rsid w:val="000419AA"/>
    <w:rsid w:val="0004579C"/>
    <w:rsid w:val="00094C86"/>
    <w:rsid w:val="000A47FA"/>
    <w:rsid w:val="000A65D3"/>
    <w:rsid w:val="000B1E33"/>
    <w:rsid w:val="000B42F7"/>
    <w:rsid w:val="000D54D1"/>
    <w:rsid w:val="000D689F"/>
    <w:rsid w:val="000E7B7B"/>
    <w:rsid w:val="000E7D62"/>
    <w:rsid w:val="00103357"/>
    <w:rsid w:val="00116B17"/>
    <w:rsid w:val="00121FB1"/>
    <w:rsid w:val="00123C9F"/>
    <w:rsid w:val="00126190"/>
    <w:rsid w:val="00130F17"/>
    <w:rsid w:val="001320BF"/>
    <w:rsid w:val="001422A7"/>
    <w:rsid w:val="0014733C"/>
    <w:rsid w:val="00163AA2"/>
    <w:rsid w:val="00163BC4"/>
    <w:rsid w:val="00165C7F"/>
    <w:rsid w:val="001863FD"/>
    <w:rsid w:val="00191062"/>
    <w:rsid w:val="00192B72"/>
    <w:rsid w:val="001A2219"/>
    <w:rsid w:val="001A29D8"/>
    <w:rsid w:val="001A5CAA"/>
    <w:rsid w:val="001B0427"/>
    <w:rsid w:val="001B3BD7"/>
    <w:rsid w:val="001D3A51"/>
    <w:rsid w:val="001E10D2"/>
    <w:rsid w:val="001E25B4"/>
    <w:rsid w:val="001E44FE"/>
    <w:rsid w:val="001F4658"/>
    <w:rsid w:val="00200068"/>
    <w:rsid w:val="00200595"/>
    <w:rsid w:val="00204835"/>
    <w:rsid w:val="002258BA"/>
    <w:rsid w:val="00231920"/>
    <w:rsid w:val="0023195C"/>
    <w:rsid w:val="0024282C"/>
    <w:rsid w:val="002460DC"/>
    <w:rsid w:val="00250985"/>
    <w:rsid w:val="00250E3E"/>
    <w:rsid w:val="0025187B"/>
    <w:rsid w:val="002556F6"/>
    <w:rsid w:val="00283105"/>
    <w:rsid w:val="00283698"/>
    <w:rsid w:val="00284C4C"/>
    <w:rsid w:val="00287E68"/>
    <w:rsid w:val="00296529"/>
    <w:rsid w:val="002B27FB"/>
    <w:rsid w:val="002B685A"/>
    <w:rsid w:val="002B70AA"/>
    <w:rsid w:val="002C4929"/>
    <w:rsid w:val="002C57D2"/>
    <w:rsid w:val="002D1F80"/>
    <w:rsid w:val="002D2F70"/>
    <w:rsid w:val="002D5675"/>
    <w:rsid w:val="002E0D56"/>
    <w:rsid w:val="00311C28"/>
    <w:rsid w:val="00315186"/>
    <w:rsid w:val="0033343E"/>
    <w:rsid w:val="0034189D"/>
    <w:rsid w:val="003512C2"/>
    <w:rsid w:val="00354040"/>
    <w:rsid w:val="00371FB6"/>
    <w:rsid w:val="003763C1"/>
    <w:rsid w:val="00376BBE"/>
    <w:rsid w:val="0039224F"/>
    <w:rsid w:val="003A43A4"/>
    <w:rsid w:val="003A6AD7"/>
    <w:rsid w:val="003A7E18"/>
    <w:rsid w:val="003C2306"/>
    <w:rsid w:val="003C4C86"/>
    <w:rsid w:val="003C6258"/>
    <w:rsid w:val="003D6E65"/>
    <w:rsid w:val="003E2904"/>
    <w:rsid w:val="00401927"/>
    <w:rsid w:val="0041027F"/>
    <w:rsid w:val="00412475"/>
    <w:rsid w:val="00417A27"/>
    <w:rsid w:val="00423789"/>
    <w:rsid w:val="00440F43"/>
    <w:rsid w:val="00441B6F"/>
    <w:rsid w:val="00446221"/>
    <w:rsid w:val="00450E62"/>
    <w:rsid w:val="004539DB"/>
    <w:rsid w:val="00471A80"/>
    <w:rsid w:val="0049706A"/>
    <w:rsid w:val="004B7057"/>
    <w:rsid w:val="004D305E"/>
    <w:rsid w:val="004D4277"/>
    <w:rsid w:val="004D6014"/>
    <w:rsid w:val="004E5F37"/>
    <w:rsid w:val="004F1336"/>
    <w:rsid w:val="00501E2F"/>
    <w:rsid w:val="00502516"/>
    <w:rsid w:val="00505F06"/>
    <w:rsid w:val="00506828"/>
    <w:rsid w:val="00521F72"/>
    <w:rsid w:val="0053056E"/>
    <w:rsid w:val="00533427"/>
    <w:rsid w:val="00543672"/>
    <w:rsid w:val="00554FDA"/>
    <w:rsid w:val="005571D4"/>
    <w:rsid w:val="00585986"/>
    <w:rsid w:val="00585F9B"/>
    <w:rsid w:val="005C784C"/>
    <w:rsid w:val="005D17F6"/>
    <w:rsid w:val="005D5160"/>
    <w:rsid w:val="005D5BF2"/>
    <w:rsid w:val="005E2F52"/>
    <w:rsid w:val="005E4CB2"/>
    <w:rsid w:val="005E5539"/>
    <w:rsid w:val="005F07D4"/>
    <w:rsid w:val="00602BF5"/>
    <w:rsid w:val="00603F34"/>
    <w:rsid w:val="00617FDD"/>
    <w:rsid w:val="006279FD"/>
    <w:rsid w:val="00633614"/>
    <w:rsid w:val="00633F68"/>
    <w:rsid w:val="00636EB2"/>
    <w:rsid w:val="006375B8"/>
    <w:rsid w:val="0064352B"/>
    <w:rsid w:val="0066510A"/>
    <w:rsid w:val="00673F9F"/>
    <w:rsid w:val="00686953"/>
    <w:rsid w:val="00687DEA"/>
    <w:rsid w:val="00687E67"/>
    <w:rsid w:val="006935ED"/>
    <w:rsid w:val="006967F7"/>
    <w:rsid w:val="006A0AD1"/>
    <w:rsid w:val="006A250C"/>
    <w:rsid w:val="006B21D3"/>
    <w:rsid w:val="006B34B8"/>
    <w:rsid w:val="006B57D0"/>
    <w:rsid w:val="006C137D"/>
    <w:rsid w:val="006D30FF"/>
    <w:rsid w:val="006D682C"/>
    <w:rsid w:val="006D6940"/>
    <w:rsid w:val="006F11EC"/>
    <w:rsid w:val="0070082C"/>
    <w:rsid w:val="00706B70"/>
    <w:rsid w:val="00706D4B"/>
    <w:rsid w:val="00716072"/>
    <w:rsid w:val="00720D70"/>
    <w:rsid w:val="007369E6"/>
    <w:rsid w:val="00746E59"/>
    <w:rsid w:val="00754C9A"/>
    <w:rsid w:val="0075599A"/>
    <w:rsid w:val="00761D52"/>
    <w:rsid w:val="00763CB4"/>
    <w:rsid w:val="00764CC3"/>
    <w:rsid w:val="0077749E"/>
    <w:rsid w:val="00790ADA"/>
    <w:rsid w:val="007D2288"/>
    <w:rsid w:val="007E088F"/>
    <w:rsid w:val="007E0D1C"/>
    <w:rsid w:val="007F4622"/>
    <w:rsid w:val="007F7B32"/>
    <w:rsid w:val="00804BC2"/>
    <w:rsid w:val="0081431A"/>
    <w:rsid w:val="00821D75"/>
    <w:rsid w:val="0082674F"/>
    <w:rsid w:val="0083216F"/>
    <w:rsid w:val="0083647A"/>
    <w:rsid w:val="00842790"/>
    <w:rsid w:val="00860000"/>
    <w:rsid w:val="00863BD3"/>
    <w:rsid w:val="008641ED"/>
    <w:rsid w:val="00866D66"/>
    <w:rsid w:val="008671C6"/>
    <w:rsid w:val="00875803"/>
    <w:rsid w:val="008B459E"/>
    <w:rsid w:val="008B5A83"/>
    <w:rsid w:val="008E0081"/>
    <w:rsid w:val="008E13AE"/>
    <w:rsid w:val="008E1506"/>
    <w:rsid w:val="008E710C"/>
    <w:rsid w:val="008F69D6"/>
    <w:rsid w:val="00902823"/>
    <w:rsid w:val="00914A7C"/>
    <w:rsid w:val="00915CA6"/>
    <w:rsid w:val="009210F6"/>
    <w:rsid w:val="009274AB"/>
    <w:rsid w:val="00927834"/>
    <w:rsid w:val="00936658"/>
    <w:rsid w:val="009500A6"/>
    <w:rsid w:val="00957C18"/>
    <w:rsid w:val="009659BA"/>
    <w:rsid w:val="00981878"/>
    <w:rsid w:val="00983040"/>
    <w:rsid w:val="0098543E"/>
    <w:rsid w:val="0098685B"/>
    <w:rsid w:val="009B1099"/>
    <w:rsid w:val="009B3FB9"/>
    <w:rsid w:val="009C2465"/>
    <w:rsid w:val="009D35A0"/>
    <w:rsid w:val="009D7EB7"/>
    <w:rsid w:val="009E048A"/>
    <w:rsid w:val="009E08E9"/>
    <w:rsid w:val="009E3DB9"/>
    <w:rsid w:val="009E6E35"/>
    <w:rsid w:val="009E7C3F"/>
    <w:rsid w:val="009F0EDA"/>
    <w:rsid w:val="009F158D"/>
    <w:rsid w:val="00A03B96"/>
    <w:rsid w:val="00A05B19"/>
    <w:rsid w:val="00A1134E"/>
    <w:rsid w:val="00A241C6"/>
    <w:rsid w:val="00A24E7E"/>
    <w:rsid w:val="00A258C3"/>
    <w:rsid w:val="00A3302B"/>
    <w:rsid w:val="00A347C0"/>
    <w:rsid w:val="00A51431"/>
    <w:rsid w:val="00A539AD"/>
    <w:rsid w:val="00A94063"/>
    <w:rsid w:val="00A94178"/>
    <w:rsid w:val="00AA6219"/>
    <w:rsid w:val="00AA74E0"/>
    <w:rsid w:val="00AB703F"/>
    <w:rsid w:val="00AC6BB8"/>
    <w:rsid w:val="00AE008F"/>
    <w:rsid w:val="00AF4B78"/>
    <w:rsid w:val="00AF6B9D"/>
    <w:rsid w:val="00B01FCD"/>
    <w:rsid w:val="00B1776C"/>
    <w:rsid w:val="00B43A70"/>
    <w:rsid w:val="00B47D16"/>
    <w:rsid w:val="00B5139E"/>
    <w:rsid w:val="00B52583"/>
    <w:rsid w:val="00B52896"/>
    <w:rsid w:val="00B539A8"/>
    <w:rsid w:val="00B70F24"/>
    <w:rsid w:val="00B91BB4"/>
    <w:rsid w:val="00B95236"/>
    <w:rsid w:val="00B96BD9"/>
    <w:rsid w:val="00BA1B01"/>
    <w:rsid w:val="00BA2641"/>
    <w:rsid w:val="00BB37AA"/>
    <w:rsid w:val="00BC53A0"/>
    <w:rsid w:val="00BE62AD"/>
    <w:rsid w:val="00BF121F"/>
    <w:rsid w:val="00BF1F80"/>
    <w:rsid w:val="00BF283B"/>
    <w:rsid w:val="00C166EF"/>
    <w:rsid w:val="00C17EB0"/>
    <w:rsid w:val="00C20E90"/>
    <w:rsid w:val="00C27F5F"/>
    <w:rsid w:val="00C30A0F"/>
    <w:rsid w:val="00C37E61"/>
    <w:rsid w:val="00C65D69"/>
    <w:rsid w:val="00C70F1B"/>
    <w:rsid w:val="00C71A47"/>
    <w:rsid w:val="00C7464C"/>
    <w:rsid w:val="00C85588"/>
    <w:rsid w:val="00C952EF"/>
    <w:rsid w:val="00CC1138"/>
    <w:rsid w:val="00CD6755"/>
    <w:rsid w:val="00CD6856"/>
    <w:rsid w:val="00CE0089"/>
    <w:rsid w:val="00CE55CD"/>
    <w:rsid w:val="00CE793C"/>
    <w:rsid w:val="00CF193C"/>
    <w:rsid w:val="00D01864"/>
    <w:rsid w:val="00D173F1"/>
    <w:rsid w:val="00D713CA"/>
    <w:rsid w:val="00D74CB0"/>
    <w:rsid w:val="00D8295D"/>
    <w:rsid w:val="00DA0E50"/>
    <w:rsid w:val="00DA521A"/>
    <w:rsid w:val="00DB11E9"/>
    <w:rsid w:val="00DC2A65"/>
    <w:rsid w:val="00DD48A6"/>
    <w:rsid w:val="00DE15F0"/>
    <w:rsid w:val="00DE5663"/>
    <w:rsid w:val="00DE78AA"/>
    <w:rsid w:val="00DF31E9"/>
    <w:rsid w:val="00E053D0"/>
    <w:rsid w:val="00E15994"/>
    <w:rsid w:val="00E254D2"/>
    <w:rsid w:val="00E3114E"/>
    <w:rsid w:val="00E31A70"/>
    <w:rsid w:val="00E35B02"/>
    <w:rsid w:val="00E64BD7"/>
    <w:rsid w:val="00E6518F"/>
    <w:rsid w:val="00E66496"/>
    <w:rsid w:val="00E66B35"/>
    <w:rsid w:val="00E66E10"/>
    <w:rsid w:val="00E759E5"/>
    <w:rsid w:val="00E769F6"/>
    <w:rsid w:val="00E82096"/>
    <w:rsid w:val="00E8407C"/>
    <w:rsid w:val="00E84F3C"/>
    <w:rsid w:val="00EA012C"/>
    <w:rsid w:val="00EB4D20"/>
    <w:rsid w:val="00EC6A55"/>
    <w:rsid w:val="00ED0056"/>
    <w:rsid w:val="00ED0288"/>
    <w:rsid w:val="00EE52CB"/>
    <w:rsid w:val="00EF581D"/>
    <w:rsid w:val="00EF7FD8"/>
    <w:rsid w:val="00F06F59"/>
    <w:rsid w:val="00F16BFD"/>
    <w:rsid w:val="00F17988"/>
    <w:rsid w:val="00F469F0"/>
    <w:rsid w:val="00F506F3"/>
    <w:rsid w:val="00F53273"/>
    <w:rsid w:val="00F551D9"/>
    <w:rsid w:val="00F7158C"/>
    <w:rsid w:val="00F755E4"/>
    <w:rsid w:val="00F77D02"/>
    <w:rsid w:val="00F81E8F"/>
    <w:rsid w:val="00F93F5B"/>
    <w:rsid w:val="00FA65F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A8E3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C7F"/>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418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571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5571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A2219"/>
    <w:pPr>
      <w:ind w:left="720"/>
      <w:contextualSpacing/>
    </w:pPr>
  </w:style>
  <w:style w:type="character" w:customStyle="1" w:styleId="Heading3Char">
    <w:name w:val="Heading 3 Char"/>
    <w:basedOn w:val="DefaultParagraphFont"/>
    <w:link w:val="Heading3"/>
    <w:semiHidden/>
    <w:rsid w:val="005571D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5571D4"/>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34189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16B1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16B17"/>
    <w:rPr>
      <w:b/>
      <w:bCs/>
    </w:rPr>
  </w:style>
  <w:style w:type="paragraph" w:styleId="Revision">
    <w:name w:val="Revision"/>
    <w:hidden/>
    <w:uiPriority w:val="99"/>
    <w:semiHidden/>
    <w:rsid w:val="002258B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Doi.Org/10.18202/Jamal.2021.08.10023" TargetMode="External"/><Relationship Id="rId26" Type="http://schemas.openxmlformats.org/officeDocument/2006/relationships/hyperlink" Target="Https://Doi.Org/10.17977/Um042v24i1p15-27" TargetMode="External"/><Relationship Id="rId39" Type="http://schemas.openxmlformats.org/officeDocument/2006/relationships/hyperlink" Target="Https://Doi.Org/10.1111/J.1539-6975.2011.01413.X" TargetMode="External"/><Relationship Id="rId21" Type="http://schemas.openxmlformats.org/officeDocument/2006/relationships/hyperlink" Target="Https://Doi.Org/10.1177/014920639101700108" TargetMode="External"/><Relationship Id="rId34" Type="http://schemas.openxmlformats.org/officeDocument/2006/relationships/hyperlink" Target="Https://Doi.Org/10.1007/S10551-022-05276-9" TargetMode="External"/><Relationship Id="rId42" Type="http://schemas.openxmlformats.org/officeDocument/2006/relationships/hyperlink" Target="Https://Doi.Org/10.18202/Jamal.2023.08.14019" TargetMode="External"/><Relationship Id="rId47" Type="http://schemas.openxmlformats.org/officeDocument/2006/relationships/hyperlink" Target="Https://Doi.Org/10.24843/Eja.2019.V29.I02.P14" TargetMode="External"/><Relationship Id="rId50" Type="http://schemas.openxmlformats.org/officeDocument/2006/relationships/hyperlink" Target="Https://Doi.Org/10.18202/Jamal.2019.04.10005" TargetMode="External"/><Relationship Id="rId55" Type="http://schemas.openxmlformats.org/officeDocument/2006/relationships/hyperlink" Target="Https://Doi.Org/10.21002/Jaki.2021.05"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Doi.Org/10.6007/Ijarafms/V9-I3/6346" TargetMode="External"/><Relationship Id="rId25" Type="http://schemas.openxmlformats.org/officeDocument/2006/relationships/hyperlink" Target="Https://Doi.Org/10.1108/09513570210435852" TargetMode="External"/><Relationship Id="rId33" Type="http://schemas.openxmlformats.org/officeDocument/2006/relationships/hyperlink" Target="Https://Doi.Org/10.17977/Um042v24i2p85-97" TargetMode="External"/><Relationship Id="rId38" Type="http://schemas.openxmlformats.org/officeDocument/2006/relationships/hyperlink" Target="Https://Doi.Org/10.20885/Jaai.Vol26.Iss1.Art4" TargetMode="External"/><Relationship Id="rId46" Type="http://schemas.openxmlformats.org/officeDocument/2006/relationships/hyperlink" Target="Https://Doi.Org/10.17977/Um042v22i1p33-4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20885/Jaai.Vol24.Iss2.Art6" TargetMode="External"/><Relationship Id="rId29" Type="http://schemas.openxmlformats.org/officeDocument/2006/relationships/hyperlink" Target="Https://Doi.Org/10.5465/Amr.1989.4279003" TargetMode="External"/><Relationship Id="rId41" Type="http://schemas.openxmlformats.org/officeDocument/2006/relationships/hyperlink" Target="Https://Doi.Org/10.21002/Jaki.2024.01" TargetMode="External"/><Relationship Id="rId54" Type="http://schemas.openxmlformats.org/officeDocument/2006/relationships/hyperlink" Target="Https://Doi.Org/10.18202/Jamal.2022.08.13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22452/Ajba.Vol13no1.1" TargetMode="External"/><Relationship Id="rId32" Type="http://schemas.openxmlformats.org/officeDocument/2006/relationships/hyperlink" Target="Https://Doi.Org/10.21002/Jaki.2022.09" TargetMode="External"/><Relationship Id="rId37" Type="http://schemas.openxmlformats.org/officeDocument/2006/relationships/hyperlink" Target="Https://Doi.Org/10.24912/Ja.V24i2.774" TargetMode="External"/><Relationship Id="rId40" Type="http://schemas.openxmlformats.org/officeDocument/2006/relationships/hyperlink" Target="Https://Doi.Org/10.1016/0304-405x(76)90026-X" TargetMode="External"/><Relationship Id="rId45" Type="http://schemas.openxmlformats.org/officeDocument/2006/relationships/hyperlink" Target="Https://Doi.Org/10.17977/Um042v27i2p155-167" TargetMode="External"/><Relationship Id="rId53" Type="http://schemas.openxmlformats.org/officeDocument/2006/relationships/hyperlink" Target="Https://Doi.Org/10.5465/Amr.1995.9508080331" TargetMode="External"/><Relationship Id="rId58" Type="http://schemas.openxmlformats.org/officeDocument/2006/relationships/hyperlink" Target="Https://Doi.Org/10.54337/Jmtl.V10i2.141"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Doi.Org/10.20885/Jaai.Vol25.Iss1.Art4" TargetMode="External"/><Relationship Id="rId28" Type="http://schemas.openxmlformats.org/officeDocument/2006/relationships/hyperlink" Target="Https://Doi.Org/10.2307/1388226" TargetMode="External"/><Relationship Id="rId36" Type="http://schemas.openxmlformats.org/officeDocument/2006/relationships/hyperlink" Target="Https://Doi.Org/10.18202/Jamal.2023.04.14007" TargetMode="External"/><Relationship Id="rId49" Type="http://schemas.openxmlformats.org/officeDocument/2006/relationships/hyperlink" Target="Https://Doi.Org/10.17977/Um042v26i3p285-298" TargetMode="External"/><Relationship Id="rId57" Type="http://schemas.openxmlformats.org/officeDocument/2006/relationships/hyperlink" Target="Https://Doi.Org/10.24912/Ja.V26i4.987" TargetMode="External"/><Relationship Id="rId10" Type="http://schemas.openxmlformats.org/officeDocument/2006/relationships/header" Target="header3.xml"/><Relationship Id="rId19" Type="http://schemas.openxmlformats.org/officeDocument/2006/relationships/hyperlink" Target="Https://Doi.Org/10.26905/Jkdp.V27i1.8924" TargetMode="External"/><Relationship Id="rId31" Type="http://schemas.openxmlformats.org/officeDocument/2006/relationships/hyperlink" Target="Https://Doi.Org/10.1108/Jfrc-05-2018-0070" TargetMode="External"/><Relationship Id="rId44" Type="http://schemas.openxmlformats.org/officeDocument/2006/relationships/hyperlink" Target="Https://Doi.Org/10.24912/Ja.V26i3.932" TargetMode="External"/><Relationship Id="rId52" Type="http://schemas.openxmlformats.org/officeDocument/2006/relationships/hyperlink" Target="Https://Doi.Org/10.3390/Jrfm1307015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Doi.Org/10.1016/J.Jaccpubpol.2005.10.001" TargetMode="External"/><Relationship Id="rId27" Type="http://schemas.openxmlformats.org/officeDocument/2006/relationships/hyperlink" Target="Https://Doi.Org/10.5465/Amr.1995.9503271992" TargetMode="External"/><Relationship Id="rId30" Type="http://schemas.openxmlformats.org/officeDocument/2006/relationships/hyperlink" Target="Https://Doi.Org/10.1086/467037" TargetMode="External"/><Relationship Id="rId35" Type="http://schemas.openxmlformats.org/officeDocument/2006/relationships/hyperlink" Target="Https://Www.Globalreporting.Org" TargetMode="External"/><Relationship Id="rId43" Type="http://schemas.openxmlformats.org/officeDocument/2006/relationships/hyperlink" Target="Https://Doi.Org/10.17977/Um042v28i1p1-13" TargetMode="External"/><Relationship Id="rId48" Type="http://schemas.openxmlformats.org/officeDocument/2006/relationships/hyperlink" Target="Https://Doi.Org/10.21002/Jaki.2023.10" TargetMode="External"/><Relationship Id="rId56" Type="http://schemas.openxmlformats.org/officeDocument/2006/relationships/hyperlink" Target="Https://Doi.Org/10.17977/Um042v24i3p220-231" TargetMode="External"/><Relationship Id="rId8" Type="http://schemas.openxmlformats.org/officeDocument/2006/relationships/header" Target="header1.xml"/><Relationship Id="rId51" Type="http://schemas.openxmlformats.org/officeDocument/2006/relationships/hyperlink" Target="Https://Doi.Org/10.18202/Jamal.2024.04.14002"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C94B-DB57-44AD-AB10-1B4FA460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303</TotalTime>
  <Pages>15</Pages>
  <Words>5814</Words>
  <Characters>37100</Characters>
  <Application>Microsoft Office Word</Application>
  <DocSecurity>0</DocSecurity>
  <Lines>1613</Lines>
  <Paragraphs>442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42472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79</cp:revision>
  <cp:lastPrinted>2025-08-21T18:37:00Z</cp:lastPrinted>
  <dcterms:created xsi:type="dcterms:W3CDTF">2025-08-08T23:25:00Z</dcterms:created>
  <dcterms:modified xsi:type="dcterms:W3CDTF">2025-09-02T04:51:00Z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66362ee5-fb7c-4528-bba4-2ad6424ca0e2</vt:lpwstr>
  </property>
</Properties>
</file>