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2FD43">
      <w:pPr>
        <w:pStyle w:val="43"/>
        <w:widowControl/>
        <w:spacing w:line="240" w:lineRule="auto"/>
        <w:rPr>
          <w:rFonts w:ascii="Arial" w:hAnsi="Arial" w:eastAsia="Times New Roman" w:cs="Arial"/>
          <w:bCs/>
          <w:iCs/>
          <w:kern w:val="28"/>
          <w:sz w:val="36"/>
          <w:szCs w:val="20"/>
          <w:lang w:val="en-US" w:eastAsia="en-US"/>
        </w:rPr>
      </w:pPr>
      <w:r>
        <w:rPr>
          <w:rFonts w:ascii="Arial" w:hAnsi="Arial" w:eastAsia="Times New Roman" w:cs="Arial"/>
          <w:bCs/>
          <w:iCs/>
          <w:kern w:val="28"/>
          <w:sz w:val="36"/>
          <w:szCs w:val="20"/>
          <w:lang w:val="en-US" w:eastAsia="en-US"/>
        </w:rPr>
        <w:t>Original Research Article</w:t>
      </w:r>
    </w:p>
    <w:p w14:paraId="6F511567">
      <w:pPr>
        <w:pStyle w:val="43"/>
        <w:widowControl/>
        <w:spacing w:line="240" w:lineRule="auto"/>
        <w:rPr>
          <w:rFonts w:ascii="Arial" w:hAnsi="Arial" w:eastAsia="Times New Roman" w:cs="Arial"/>
          <w:bCs/>
          <w:iCs/>
          <w:kern w:val="28"/>
          <w:sz w:val="36"/>
          <w:szCs w:val="20"/>
          <w:lang w:val="en-US" w:eastAsia="en-US"/>
        </w:rPr>
      </w:pPr>
    </w:p>
    <w:p w14:paraId="7349950A">
      <w:pPr>
        <w:pStyle w:val="43"/>
        <w:widowControl/>
        <w:spacing w:line="240" w:lineRule="auto"/>
        <w:rPr>
          <w:rFonts w:ascii="Arial" w:hAnsi="Arial" w:eastAsia="Times New Roman" w:cs="Arial"/>
          <w:bCs/>
          <w:iCs/>
          <w:kern w:val="28"/>
          <w:sz w:val="36"/>
          <w:szCs w:val="20"/>
          <w:lang w:val="en-US" w:eastAsia="en-US"/>
        </w:rPr>
      </w:pPr>
      <w:r>
        <w:rPr>
          <w:rFonts w:hint="eastAsia" w:ascii="Arial" w:hAnsi="Arial" w:eastAsia="Times New Roman" w:cs="Arial"/>
          <w:bCs/>
          <w:iCs/>
          <w:kern w:val="28"/>
          <w:sz w:val="36"/>
          <w:szCs w:val="20"/>
          <w:lang w:val="en-US" w:eastAsia="en-US"/>
        </w:rPr>
        <w:t>The Impact of Low-Carbon City Pilot Policy on Outflow of Corporate FDI in China: An Empirical Assessment</w:t>
      </w:r>
    </w:p>
    <w:p w14:paraId="68E79153">
      <w:pPr>
        <w:pStyle w:val="43"/>
        <w:widowControl/>
        <w:spacing w:line="240" w:lineRule="auto"/>
        <w:rPr>
          <w:rFonts w:ascii="Arial" w:hAnsi="Arial" w:eastAsia="Times New Roman" w:cs="Arial"/>
          <w:bCs/>
          <w:iCs/>
          <w:kern w:val="28"/>
          <w:sz w:val="36"/>
          <w:szCs w:val="20"/>
          <w:lang w:val="en-US" w:eastAsia="en-US"/>
        </w:rPr>
      </w:pPr>
    </w:p>
    <w:p w14:paraId="642B7A36">
      <w:pPr>
        <w:pStyle w:val="44"/>
        <w:widowControl/>
        <w:spacing w:after="0"/>
        <w:jc w:val="center"/>
        <w:rPr>
          <w:rFonts w:ascii="Arial" w:hAnsi="Arial" w:eastAsia="Times New Roman" w:cs="Arial"/>
          <w:szCs w:val="20"/>
          <w:lang w:val="en-US" w:eastAsia="zh-CN"/>
        </w:rPr>
      </w:pPr>
    </w:p>
    <w:p w14:paraId="6EE595E0">
      <w:pPr>
        <w:pStyle w:val="44"/>
        <w:widowControl/>
        <w:spacing w:after="0"/>
        <w:jc w:val="center"/>
        <w:rPr>
          <w:rFonts w:ascii="Arial" w:hAnsi="Arial" w:eastAsia="Times New Roman" w:cs="Arial"/>
          <w:szCs w:val="20"/>
          <w:lang w:val="en-US" w:eastAsia="zh-CN"/>
        </w:rPr>
      </w:pPr>
      <w:r>
        <w:rPr>
          <w:rFonts w:ascii="Arial" w:hAnsi="Arial" w:cs="Arial"/>
          <w:lang w:val="en-US" w:eastAsia="en-US"/>
        </w:rPr>
        <mc:AlternateContent>
          <mc:Choice Requires="wps">
            <w:drawing>
              <wp:inline distT="0" distB="0" distL="114300" distR="114300">
                <wp:extent cx="5775325" cy="36195"/>
                <wp:effectExtent l="0" t="9525" r="15875" b="11430"/>
                <wp:docPr id="1" name="直接箭头连接符 1"/>
                <wp:cNvGraphicFramePr/>
                <a:graphic xmlns:a="http://schemas.openxmlformats.org/drawingml/2006/main">
                  <a:graphicData uri="http://schemas.microsoft.com/office/word/2010/wordprocessingShape">
                    <wps:wsp>
                      <wps:cNvCnPr/>
                      <wps:spPr>
                        <a:xfrm flipV="1">
                          <a:off x="0" y="0"/>
                          <a:ext cx="5775325" cy="36195"/>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_x0000_s1026" o:spid="_x0000_s1026" o:spt="32" type="#_x0000_t32" style="flip:y;height:2.85pt;width:454.75pt;" filled="f" stroked="t" coordsize="21600,21600" o:gfxdata="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3GTn1AAAAAMBAAAPAAAAAAAAAAEAIAAAACIAAABkcnMv&#10;ZG93bnJldi54bWxQSwECFAAUAAAACACHTuJAhl4PQQcCAAD7AwAADgAAAAAAAAABACAAAAAjAQAA&#10;ZHJzL2Uyb0RvYy54bWxQSwUGAAAAAAYABgBZAQAAnAUAAAAA&#10;">
                <v:fill on="f" focussize="0,0"/>
                <v:stroke weight="1.5pt" color="#000000" joinstyle="round"/>
                <v:imagedata o:title=""/>
                <o:lock v:ext="edit" aspectratio="f"/>
                <w10:wrap type="none"/>
                <w10:anchorlock/>
              </v:shape>
            </w:pict>
          </mc:Fallback>
        </mc:AlternateContent>
      </w:r>
    </w:p>
    <w:p w14:paraId="78B3AADB">
      <w:pPr>
        <w:pStyle w:val="44"/>
        <w:widowControl/>
        <w:spacing w:after="0"/>
        <w:rPr>
          <w:rFonts w:ascii="Arial" w:hAnsi="Arial" w:eastAsia="Times New Roman" w:cs="Arial"/>
          <w:szCs w:val="20"/>
          <w:lang w:val="en-US" w:eastAsia="zh-CN"/>
        </w:rPr>
      </w:pPr>
    </w:p>
    <w:p w14:paraId="1FAE96C3">
      <w:pPr>
        <w:pStyle w:val="44"/>
        <w:widowControl/>
        <w:spacing w:after="0"/>
        <w:rPr>
          <w:rFonts w:ascii="Arial" w:hAnsi="Arial" w:eastAsia="Times New Roman" w:cs="Arial"/>
          <w:szCs w:val="20"/>
          <w:lang w:val="en-US" w:eastAsia="zh-CN"/>
        </w:rPr>
      </w:pPr>
      <w:r>
        <w:rPr>
          <w:rFonts w:hint="eastAsia" w:ascii="Arial" w:hAnsi="Arial" w:eastAsia="Times New Roman" w:cs="Arial"/>
          <w:szCs w:val="20"/>
          <w:lang w:val="en-US" w:eastAsia="zh-CN"/>
        </w:rPr>
        <w:t>Abstract</w:t>
      </w:r>
    </w:p>
    <w:p w14:paraId="07DA6C6B">
      <w:pPr>
        <w:pStyle w:val="44"/>
        <w:widowControl/>
        <w:spacing w:after="0"/>
        <w:rPr>
          <w:rFonts w:ascii="Arial" w:hAnsi="Arial" w:eastAsia="Times New Roman" w:cs="Arial"/>
          <w:szCs w:val="20"/>
          <w:lang w:val="en-US" w:eastAsia="zh-CN"/>
        </w:rPr>
      </w:pPr>
    </w:p>
    <w:p w14:paraId="2EA34029">
      <w:pPr>
        <w:pStyle w:val="46"/>
        <w:widowControl/>
        <w:pBdr>
          <w:top w:val="single" w:color="auto" w:sz="4" w:space="0"/>
          <w:left w:val="single" w:color="auto" w:sz="4" w:space="0"/>
          <w:bottom w:val="single" w:color="auto" w:sz="4" w:space="0"/>
          <w:right w:val="single" w:color="auto" w:sz="4" w:space="0"/>
        </w:pBdr>
        <w:shd w:val="clear" w:color="auto" w:fill="FFFFFF" w:themeFill="background1"/>
        <w:spacing w:after="0"/>
        <w:rPr>
          <w:rFonts w:ascii="Arial" w:hAnsi="Arial" w:eastAsia="Calibri" w:cs="Arial"/>
          <w:bCs/>
          <w:sz w:val="20"/>
          <w:highlight w:val="yellow"/>
          <w:lang w:val="en-US" w:eastAsia="zh-CN"/>
        </w:rPr>
      </w:pPr>
      <w:r>
        <w:rPr>
          <w:rFonts w:hint="eastAsia" w:ascii="Arial" w:hAnsi="Arial" w:eastAsia="Calibri" w:cs="Arial"/>
          <w:bCs/>
          <w:sz w:val="20"/>
          <w:highlight w:val="yellow"/>
          <w:lang w:val="en-US" w:eastAsia="zh-CN"/>
        </w:rPr>
        <w:t>To investigate the impact of China's low-carbon city pilot (LCCP) policy on corporate Outward Foreign Direct Investment (OFDI), aiming to understand its role in promoting international expansion and industrial upgrading amidst a global low-carbon transition. This study employs a multi-period Difference-in-Differences (DID) model to analyze panel data from Chinese A-share listed companies from 2007 to 2023. The model is used to quantitatively assess the policy's direct impact, transmission mechanisms, and heterogeneous effects on corporate OFDI. The research reveals that the LCCP policy significantly promotes corporate OFDI. This promotional effect is more pronounced for firms located in large, central, and key environmental protection cities. Furthermore, green innovation and digital transformation are identified as crucial mediating pathways through which the policy influences OFDI decisions. Based on the findings, it is recommended that the government should strengthen policy support through special funds and tax incentives to lower corporate transition costs. In parallel, firms should proactively increase R&amp;D investment and accelerate digital upgrades to fully leverage the opportunities presented by the low-carbon strategy.</w:t>
      </w:r>
    </w:p>
    <w:p w14:paraId="47E12F60">
      <w:pPr>
        <w:pStyle w:val="46"/>
        <w:widowControl/>
        <w:spacing w:after="0"/>
        <w:rPr>
          <w:rFonts w:ascii="Arial" w:hAnsi="Arial" w:eastAsia="Times New Roman" w:cs="Arial"/>
          <w:i/>
          <w:sz w:val="20"/>
          <w:szCs w:val="20"/>
          <w:lang w:val="en-US" w:eastAsia="zh-CN"/>
        </w:rPr>
      </w:pPr>
    </w:p>
    <w:p w14:paraId="24E33E7C">
      <w:pPr>
        <w:pStyle w:val="46"/>
        <w:widowControl/>
        <w:spacing w:after="0"/>
        <w:rPr>
          <w:rFonts w:ascii="Arial" w:hAnsi="Arial" w:eastAsia="Times New Roman" w:cs="Arial"/>
          <w:i/>
          <w:sz w:val="20"/>
          <w:szCs w:val="20"/>
          <w:lang w:val="en-US" w:eastAsia="zh-CN"/>
        </w:rPr>
      </w:pPr>
      <w:r>
        <w:rPr>
          <w:rFonts w:hint="eastAsia" w:ascii="Arial" w:hAnsi="Arial" w:eastAsia="Times New Roman" w:cs="Arial"/>
          <w:i/>
          <w:sz w:val="20"/>
          <w:szCs w:val="20"/>
          <w:lang w:val="en-US" w:eastAsia="zh-CN"/>
        </w:rPr>
        <w:t>Keywords: low-carbon city pilot; corporate outward foreign direct investment; difference-in-differences model; green innovation; digital transformation</w:t>
      </w:r>
    </w:p>
    <w:p w14:paraId="3CE0CEE6">
      <w:pPr>
        <w:pStyle w:val="44"/>
        <w:widowControl/>
        <w:spacing w:after="0"/>
        <w:rPr>
          <w:rFonts w:ascii="Arial" w:hAnsi="Arial" w:eastAsia="Times New Roman" w:cs="Arial"/>
          <w:szCs w:val="20"/>
          <w:lang w:val="en-US" w:eastAsia="zh-CN"/>
        </w:rPr>
      </w:pPr>
    </w:p>
    <w:p w14:paraId="176E1BB5">
      <w:pPr>
        <w:pStyle w:val="44"/>
        <w:widowControl/>
        <w:spacing w:after="0"/>
        <w:rPr>
          <w:rFonts w:ascii="Arial" w:hAnsi="Arial" w:eastAsia="Times New Roman" w:cs="Arial"/>
          <w:szCs w:val="20"/>
          <w:lang w:val="en-US" w:eastAsia="zh-CN"/>
        </w:rPr>
      </w:pPr>
      <w:r>
        <w:rPr>
          <w:rFonts w:ascii="Arial" w:hAnsi="Arial" w:eastAsia="Times New Roman" w:cs="Arial"/>
          <w:szCs w:val="20"/>
          <w:lang w:val="en-US" w:eastAsia="zh-CN"/>
        </w:rPr>
        <w:t>1.</w:t>
      </w:r>
      <w:r>
        <w:rPr>
          <w:rFonts w:hint="eastAsia" w:ascii="Arial" w:hAnsi="Arial" w:eastAsia="Times New Roman" w:cs="Arial"/>
          <w:szCs w:val="20"/>
          <w:lang w:val="en-US" w:eastAsia="zh-CN"/>
        </w:rPr>
        <w:t xml:space="preserve"> Introduction</w:t>
      </w:r>
    </w:p>
    <w:p w14:paraId="7629B389">
      <w:pPr>
        <w:pStyle w:val="44"/>
        <w:widowControl/>
        <w:spacing w:after="0"/>
        <w:rPr>
          <w:rFonts w:ascii="Arial" w:hAnsi="Arial" w:eastAsia="Times New Roman" w:cs="Arial"/>
          <w:szCs w:val="20"/>
          <w:lang w:val="en-US" w:eastAsia="zh-CN"/>
        </w:rPr>
      </w:pPr>
    </w:p>
    <w:p w14:paraId="38D9853B">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 xml:space="preserve">As global industrialization accelerates, climate change has become a critical political, economic, and social challenge. </w:t>
      </w:r>
      <w:r>
        <w:rPr>
          <w:rFonts w:hint="eastAsia" w:ascii="Arial" w:hAnsi="Arial" w:eastAsia="Times New Roman" w:cs="Arial"/>
          <w:sz w:val="20"/>
          <w:szCs w:val="20"/>
          <w:highlight w:val="yellow"/>
          <w:lang w:val="en-US" w:eastAsia="zh-CN"/>
        </w:rPr>
        <w:t>Reports from the International Energy Agency (IEA, 2023) and the World Meteorological Organization (WMO, 2024) confirm a dangerous trend of rising global temperatures and record atmospheric CO2 concentrations, posing a severe threat to sustainable development.</w:t>
      </w:r>
      <w:r>
        <w:rPr>
          <w:rFonts w:hint="eastAsia" w:ascii="Arial" w:hAnsi="Arial" w:eastAsia="Times New Roman" w:cs="Arial"/>
          <w:sz w:val="20"/>
          <w:szCs w:val="20"/>
          <w:lang w:val="en-US" w:eastAsia="zh-CN"/>
        </w:rPr>
        <w:t xml:space="preserve"> In response, international efforts like the Paris Agreement have established goals to limit global warming, making low-carbon development a central pillar of the global economic transition.</w:t>
      </w:r>
    </w:p>
    <w:p w14:paraId="0BD90905">
      <w:pPr>
        <w:pStyle w:val="46"/>
        <w:widowControl/>
        <w:spacing w:after="0"/>
        <w:rPr>
          <w:rFonts w:ascii="Arial" w:hAnsi="Arial" w:eastAsia="Times New Roman" w:cs="Arial"/>
          <w:sz w:val="20"/>
          <w:szCs w:val="20"/>
          <w:lang w:val="en-US" w:eastAsia="zh-CN"/>
        </w:rPr>
      </w:pPr>
    </w:p>
    <w:p w14:paraId="203BBD77">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As a major manufacturing and energy-consuming nation, China plays a significant role in global carbon emissions and has committed to substantial reductions. A key domestic initiative to achieve these goals was the launch of the low-carbon city pilot (LCCP) program by the National Development and Reform Commission (NDRC) in 2010. Pilot regions formulated comprehensive low-carbon development plans, gaining valuable experience for a nationwide transition.</w:t>
      </w:r>
    </w:p>
    <w:p w14:paraId="2EE03DFF">
      <w:pPr>
        <w:pStyle w:val="46"/>
        <w:widowControl/>
        <w:spacing w:after="0"/>
        <w:rPr>
          <w:rFonts w:ascii="Arial" w:hAnsi="Arial" w:eastAsia="Times New Roman" w:cs="Arial"/>
          <w:sz w:val="20"/>
          <w:szCs w:val="20"/>
          <w:lang w:val="en-US" w:eastAsia="zh-CN"/>
        </w:rPr>
      </w:pPr>
    </w:p>
    <w:p w14:paraId="6BB72937">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Simultaneously, Chinese enterprises' Outward Foreign Direct Investment (OFDI) has surged, making China the world's second-largest outward investor. However, this global expansion now faces significant environmental constraints in host countries, such as the EU's Carbon Border Adjustment Mechanism (CBAM). These international regulations compel Chinese firms to prioritize low-carbon strategies in their overseas investments to avoid financial penalties and operational risks, making the study of how domestic policy affects their OFDI behavior particularly urgent.</w:t>
      </w:r>
    </w:p>
    <w:p w14:paraId="6CB50B0E">
      <w:pPr>
        <w:pStyle w:val="46"/>
        <w:widowControl/>
        <w:spacing w:after="0"/>
        <w:rPr>
          <w:rFonts w:ascii="Arial" w:hAnsi="Arial" w:eastAsia="Times New Roman" w:cs="Arial"/>
          <w:sz w:val="20"/>
          <w:szCs w:val="20"/>
          <w:lang w:val="en-US" w:eastAsia="zh-CN"/>
        </w:rPr>
      </w:pPr>
    </w:p>
    <w:p w14:paraId="7875FD76">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The LCCP policy and corporate OFDI are closely intertwined. The policy encourages firms to invest in green R&amp;D, enhancing their environmental performance and boosting their international competitiveness. In turn, OFDI can facilitate the transfer of advanced low-carbon technologies and management practices back to China, promoting domestic industrial upgrading and creating a virtuous cycle between policy and investment.</w:t>
      </w:r>
    </w:p>
    <w:p w14:paraId="61898EED">
      <w:pPr>
        <w:pStyle w:val="46"/>
        <w:widowControl/>
        <w:spacing w:after="0"/>
        <w:rPr>
          <w:rFonts w:ascii="Arial" w:hAnsi="Arial" w:eastAsia="Times New Roman" w:cs="Arial"/>
          <w:sz w:val="20"/>
          <w:szCs w:val="20"/>
          <w:lang w:val="en-US" w:eastAsia="zh-CN"/>
        </w:rPr>
      </w:pPr>
    </w:p>
    <w:p w14:paraId="753D0C10">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Given this context, this study investigates three core questions:How does the LCCP policy affect corporate OFDI?What are the underlying mechanisms of this impact?How do these effects vary across different types of enterprises?Answering these questions will deepen the theoretical understanding of the relationship between low-carbon policy and corporate internationalization, providing valuable support for both government policymaking and corporate strategy. This research is significant for promoting the high-quality global expansion of Chinese enterprises and enhancing China's role in global low-carbon governance.</w:t>
      </w:r>
    </w:p>
    <w:p w14:paraId="4204A637">
      <w:pPr>
        <w:pStyle w:val="46"/>
        <w:widowControl/>
        <w:spacing w:after="0"/>
        <w:rPr>
          <w:rFonts w:ascii="Arial" w:hAnsi="Arial" w:eastAsia="Times New Roman" w:cs="Arial"/>
          <w:sz w:val="20"/>
          <w:szCs w:val="20"/>
          <w:lang w:val="en-US" w:eastAsia="zh-CN"/>
        </w:rPr>
      </w:pPr>
    </w:p>
    <w:p w14:paraId="4769751B">
      <w:pPr>
        <w:pStyle w:val="44"/>
        <w:widowControl/>
        <w:spacing w:after="0"/>
        <w:rPr>
          <w:rFonts w:ascii="Arial" w:hAnsi="Arial" w:eastAsia="Times New Roman" w:cs="Arial"/>
          <w:szCs w:val="20"/>
          <w:lang w:val="en-US" w:eastAsia="zh-CN"/>
        </w:rPr>
      </w:pPr>
      <w:r>
        <w:rPr>
          <w:rFonts w:hint="eastAsia" w:ascii="Arial" w:hAnsi="Arial" w:eastAsia="Times New Roman" w:cs="Arial"/>
          <w:szCs w:val="20"/>
          <w:lang w:val="en-US" w:eastAsia="zh-CN"/>
        </w:rPr>
        <w:t>2. Literature Review</w:t>
      </w:r>
    </w:p>
    <w:p w14:paraId="33BE6094">
      <w:pPr>
        <w:pStyle w:val="44"/>
        <w:widowControl/>
        <w:spacing w:after="0"/>
        <w:rPr>
          <w:rFonts w:ascii="Arial" w:hAnsi="Arial" w:eastAsia="Times New Roman" w:cs="Arial"/>
          <w:szCs w:val="20"/>
          <w:lang w:val="en-US" w:eastAsia="zh-CN"/>
        </w:rPr>
      </w:pPr>
    </w:p>
    <w:p w14:paraId="298BEA74">
      <w:pPr>
        <w:pStyle w:val="3"/>
        <w:numPr>
          <w:ilvl w:val="1"/>
          <w:numId w:val="0"/>
        </w:numPr>
        <w:spacing w:before="0" w:after="0" w:line="240" w:lineRule="auto"/>
        <w:ind w:left="573" w:hanging="573"/>
        <w:rPr>
          <w:rFonts w:eastAsia="Times New Roman"/>
          <w:bCs w:val="0"/>
          <w:caps/>
          <w:sz w:val="22"/>
          <w:szCs w:val="20"/>
          <w:lang w:val="en-US" w:eastAsia="zh-CN"/>
        </w:rPr>
      </w:pPr>
      <w:r>
        <w:rPr>
          <w:rFonts w:hint="eastAsia" w:eastAsia="Times New Roman"/>
          <w:bCs w:val="0"/>
          <w:caps/>
          <w:sz w:val="22"/>
          <w:szCs w:val="20"/>
          <w:lang w:val="en-US" w:eastAsia="zh-CN"/>
        </w:rPr>
        <w:t>2.1 Research on the Effects of Low-Carbon City Pilots</w:t>
      </w:r>
    </w:p>
    <w:p w14:paraId="77AE3210">
      <w:pPr>
        <w:rPr>
          <w:lang w:val="en-US" w:eastAsia="zh-CN"/>
        </w:rPr>
      </w:pPr>
    </w:p>
    <w:p w14:paraId="70C38C6A">
      <w:pPr>
        <w:pStyle w:val="46"/>
        <w:widowControl/>
        <w:spacing w:after="0"/>
        <w:rPr>
          <w:rFonts w:ascii="Arial" w:hAnsi="Arial" w:eastAsia="Times New Roman" w:cs="Arial"/>
          <w:sz w:val="20"/>
          <w:szCs w:val="20"/>
          <w:lang w:val="en-US" w:eastAsia="zh-CN"/>
        </w:rPr>
      </w:pPr>
      <w:r>
        <w:rPr>
          <w:rFonts w:ascii="Arial" w:hAnsi="Arial" w:eastAsia="Times New Roman" w:cs="Arial"/>
          <w:sz w:val="20"/>
          <w:szCs w:val="20"/>
          <w:lang w:val="en-US" w:eastAsia="zh-CN"/>
        </w:rPr>
        <w:t xml:space="preserve">A substantial body of literature has investigated the multifaceted impacts of Low-Carbon City Pilots (LCCP), revealing significant effects on corporate green innovation and international economic activities. </w:t>
      </w:r>
      <w:r>
        <w:rPr>
          <w:rFonts w:ascii="Arial" w:hAnsi="Arial" w:eastAsia="Times New Roman" w:cs="Arial"/>
          <w:sz w:val="20"/>
          <w:szCs w:val="20"/>
          <w:highlight w:val="yellow"/>
          <w:lang w:val="en-US" w:eastAsia="zh-CN"/>
        </w:rPr>
        <w:t xml:space="preserve">Beyond these areas, the policy has also been found to influence corporate operational decisions, such as labor demand, by creating a net increase in employment opportunities as firms adapt to a low-carbon economy (Wang et al., 2023). </w:t>
      </w:r>
      <w:r>
        <w:rPr>
          <w:rFonts w:ascii="Arial" w:hAnsi="Arial" w:eastAsia="Times New Roman" w:cs="Arial"/>
          <w:sz w:val="20"/>
          <w:szCs w:val="20"/>
          <w:lang w:val="en-US" w:eastAsia="zh-CN"/>
        </w:rPr>
        <w:t>A primary consensus is that LCCP policies stimulate green technological advancement. For instance, recent studies demonstrate that LCCP implementation can increase green patent applications in pilot cities by as much as 23%, an effect largely driven by the development of local green finance mechanisms (Liu et al., 2024). The pathways for this effect have been further clarified, with government green procurement and heightened public participation identified as critical transmission channels, contributing 38% and 21% of the policy's impact, respectively (Pan &amp; Zhao, 2024).</w:t>
      </w:r>
    </w:p>
    <w:p w14:paraId="18EEC169">
      <w:pPr>
        <w:pStyle w:val="46"/>
        <w:widowControl/>
        <w:spacing w:after="0"/>
        <w:rPr>
          <w:rFonts w:ascii="Arial" w:hAnsi="Arial" w:eastAsia="Times New Roman" w:cs="Arial"/>
          <w:sz w:val="20"/>
          <w:szCs w:val="20"/>
          <w:lang w:val="en-US" w:eastAsia="zh-CN"/>
        </w:rPr>
      </w:pPr>
    </w:p>
    <w:p w14:paraId="1A7E9936">
      <w:pPr>
        <w:pStyle w:val="46"/>
        <w:widowControl/>
        <w:spacing w:after="0"/>
        <w:rPr>
          <w:rFonts w:ascii="Arial" w:hAnsi="Arial" w:eastAsia="Times New Roman" w:cs="Arial"/>
          <w:sz w:val="20"/>
          <w:szCs w:val="20"/>
          <w:lang w:val="en-US" w:eastAsia="zh-CN"/>
        </w:rPr>
      </w:pPr>
      <w:r>
        <w:rPr>
          <w:rFonts w:ascii="Arial" w:hAnsi="Arial" w:eastAsia="Times New Roman" w:cs="Arial"/>
          <w:sz w:val="20"/>
          <w:szCs w:val="20"/>
          <w:lang w:val="en-US" w:eastAsia="zh-CN"/>
        </w:rPr>
        <w:t>However, this consensus is nuanced by a notable trade-off between the quantity and quality of innovation. Some scholars argue that while LCCP successfully boosts the volume of green innovation, it may concurrently dilute resource allocation, leading to an 11% reduction in innovation quality, an effect particularly pronounced among state-owned enterprises (SOEs) (Wang &amp; Yao, 2024). This observation is consistent with findings that differentiate firm responses by ownership, suggesting that private firms are more likely to engage in substantive green innovation, whereas SOEs may resort to more symbolic compliance (Jiao &amp; Jiao, 2023).</w:t>
      </w:r>
    </w:p>
    <w:p w14:paraId="05C86BB6">
      <w:pPr>
        <w:pStyle w:val="46"/>
        <w:widowControl/>
        <w:spacing w:after="0"/>
        <w:rPr>
          <w:rFonts w:ascii="Arial" w:hAnsi="Arial" w:eastAsia="Times New Roman" w:cs="Arial"/>
          <w:sz w:val="20"/>
          <w:szCs w:val="20"/>
          <w:lang w:val="en-US" w:eastAsia="zh-CN"/>
        </w:rPr>
      </w:pPr>
    </w:p>
    <w:p w14:paraId="74D8D658">
      <w:pPr>
        <w:pStyle w:val="46"/>
        <w:widowControl/>
        <w:spacing w:after="0"/>
        <w:rPr>
          <w:rFonts w:ascii="Arial" w:hAnsi="Arial" w:eastAsia="Times New Roman" w:cs="Arial"/>
          <w:sz w:val="20"/>
          <w:szCs w:val="20"/>
          <w:lang w:val="en-US" w:eastAsia="zh-CN"/>
        </w:rPr>
      </w:pPr>
      <w:r>
        <w:rPr>
          <w:rFonts w:ascii="Arial" w:hAnsi="Arial" w:eastAsia="Times New Roman" w:cs="Arial"/>
          <w:sz w:val="20"/>
          <w:szCs w:val="20"/>
          <w:lang w:val="en-US" w:eastAsia="zh-CN"/>
        </w:rPr>
        <w:t xml:space="preserve">In the international sphere, the policy's impacts are similarly divergent. On one hand, LCCP appears to compel carbon-intensive industries to expand internationally, with studies documenting an 11% increase in their overseas investments as a response to domestic capacity constraints (Hou et al., 2023). On the other hand, the associated environmental compliance costs can inhibit internationalization, with estimates suggesting that each dollar increase in these costs reduces outward foreign direct investment (OFDI) expenditure by $0.70 (Tang et al., 2023). </w:t>
      </w:r>
    </w:p>
    <w:p w14:paraId="3DA3D4C5">
      <w:pPr>
        <w:pStyle w:val="46"/>
        <w:widowControl/>
        <w:spacing w:after="0"/>
        <w:rPr>
          <w:rFonts w:ascii="Arial" w:hAnsi="Arial" w:eastAsia="Times New Roman" w:cs="Arial"/>
          <w:sz w:val="20"/>
          <w:szCs w:val="20"/>
          <w:lang w:val="en-US" w:eastAsia="zh-CN"/>
        </w:rPr>
      </w:pPr>
    </w:p>
    <w:p w14:paraId="51266B7F">
      <w:pPr>
        <w:pStyle w:val="3"/>
        <w:numPr>
          <w:ilvl w:val="1"/>
          <w:numId w:val="0"/>
        </w:numPr>
        <w:spacing w:before="0" w:after="0" w:line="240" w:lineRule="auto"/>
        <w:ind w:left="573" w:hanging="573"/>
        <w:rPr>
          <w:rFonts w:eastAsia="Times New Roman"/>
          <w:bCs w:val="0"/>
          <w:caps/>
          <w:sz w:val="22"/>
          <w:szCs w:val="20"/>
          <w:lang w:val="en-US" w:eastAsia="zh-CN"/>
        </w:rPr>
      </w:pPr>
      <w:r>
        <w:rPr>
          <w:rFonts w:hint="eastAsia" w:eastAsia="Times New Roman"/>
          <w:bCs w:val="0"/>
          <w:caps/>
          <w:sz w:val="22"/>
          <w:szCs w:val="20"/>
          <w:lang w:val="en-US" w:eastAsia="zh-CN"/>
        </w:rPr>
        <w:t>2.2 Research on the Influencing Factors of Corporate OFDI</w:t>
      </w:r>
    </w:p>
    <w:p w14:paraId="49F6D07C">
      <w:pPr>
        <w:rPr>
          <w:lang w:val="en-US" w:eastAsia="zh-CN"/>
        </w:rPr>
      </w:pPr>
    </w:p>
    <w:p w14:paraId="1CA90DB9">
      <w:pPr>
        <w:pStyle w:val="46"/>
        <w:widowControl/>
        <w:spacing w:after="0"/>
        <w:rPr>
          <w:rFonts w:ascii="Arial" w:hAnsi="Arial" w:eastAsia="Times New Roman" w:cs="Arial"/>
          <w:sz w:val="20"/>
          <w:szCs w:val="20"/>
          <w:lang w:val="en-US" w:eastAsia="zh-CN"/>
        </w:rPr>
      </w:pPr>
      <w:r>
        <w:rPr>
          <w:rFonts w:ascii="Arial" w:hAnsi="Arial" w:eastAsia="Times New Roman" w:cs="Arial"/>
          <w:sz w:val="20"/>
          <w:szCs w:val="20"/>
          <w:lang w:val="en-US" w:eastAsia="zh-CN"/>
        </w:rPr>
        <w:t xml:space="preserve">The determinants of corporate OFDI are broadly understood through the dual lenses of institutional environments and firm-level heterogeneity. </w:t>
      </w:r>
      <w:r>
        <w:rPr>
          <w:rFonts w:ascii="Arial" w:hAnsi="Arial" w:eastAsia="Times New Roman" w:cs="Arial"/>
          <w:sz w:val="20"/>
          <w:szCs w:val="20"/>
          <w:highlight w:val="yellow"/>
          <w:lang w:val="en-US" w:eastAsia="zh-CN"/>
        </w:rPr>
        <w:t>The internationalization of Chinese firms, in particular, has followed unique patterns that call for theoretical extension beyond traditional frameworks to fully explain their motivations and behaviors (Child &amp; Rodrigues, 2005).</w:t>
      </w:r>
      <w:r>
        <w:rPr>
          <w:rFonts w:hint="eastAsia" w:ascii="Arial" w:hAnsi="Arial" w:eastAsia="Times New Roman" w:cs="Arial"/>
          <w:sz w:val="20"/>
          <w:szCs w:val="20"/>
          <w:lang w:val="en-US" w:eastAsia="zh-CN"/>
        </w:rPr>
        <w:t xml:space="preserve"> </w:t>
      </w:r>
      <w:r>
        <w:rPr>
          <w:rFonts w:ascii="Arial" w:hAnsi="Arial" w:eastAsia="Times New Roman" w:cs="Arial"/>
          <w:sz w:val="20"/>
          <w:szCs w:val="20"/>
          <w:lang w:val="en-US" w:eastAsia="zh-CN"/>
        </w:rPr>
        <w:t>The institutional context of the host country critically shapes investment motives. For example, a clear bifurcation exists where 73% of OFDI directed toward advanced economies is aimed at strategic asset acquisition, whereas 82% of investment in developing economies is focused on market or resource access (Kaushal, 2022). The concept of institutional distance further refines this understanding; SOEs typically exhibit a preference for institutionally proximate host countries to minimize adaptation costs, while private firms often tolerate greater institutional distance in their pursuit of technology and strategic assets (Clegg et al., 2016).</w:t>
      </w:r>
    </w:p>
    <w:p w14:paraId="1C804288">
      <w:pPr>
        <w:pStyle w:val="46"/>
        <w:widowControl/>
        <w:spacing w:after="0"/>
        <w:rPr>
          <w:rFonts w:ascii="Arial" w:hAnsi="Arial" w:eastAsia="Times New Roman" w:cs="Arial"/>
          <w:sz w:val="20"/>
          <w:szCs w:val="20"/>
          <w:lang w:val="en-US" w:eastAsia="zh-CN"/>
        </w:rPr>
      </w:pPr>
    </w:p>
    <w:p w14:paraId="7F852A74">
      <w:pPr>
        <w:pStyle w:val="46"/>
        <w:widowControl/>
        <w:spacing w:after="0"/>
        <w:rPr>
          <w:rFonts w:ascii="Arial" w:hAnsi="Arial" w:eastAsia="Times New Roman" w:cs="Arial"/>
          <w:sz w:val="20"/>
          <w:szCs w:val="20"/>
          <w:lang w:val="en-US" w:eastAsia="zh-CN"/>
        </w:rPr>
      </w:pPr>
      <w:r>
        <w:rPr>
          <w:rFonts w:ascii="Arial" w:hAnsi="Arial" w:eastAsia="Times New Roman" w:cs="Arial"/>
          <w:sz w:val="20"/>
          <w:szCs w:val="20"/>
          <w:lang w:val="en-US" w:eastAsia="zh-CN"/>
        </w:rPr>
        <w:t>At the micro-level, firm-specific characteristics are decisive in enabling OFDI. Productivity is a well-established prerequisite, with a 10% increase in firm productivity raising the likelihood of OFDI by 4.2%; Furthermore, the sensitivity of OFDI decisions to host-country conditions is highly dependent on the investment motive. Resource-seeking OFDI, for example, is most responsive to the ease of obtaining construction permits (elasticity of 0.34), while technology-seeking OFDI places a premium on intellectual property protection (elasticity of 0.41) (Kaushal, 2022). More recently, ESG performance has emerged as a significant mediating factor, with evidence showing that for each standard deviation improvement in a firm's ESG score, strategic asset-seeking investments increase by 18% (Zhou, 2024).</w:t>
      </w:r>
    </w:p>
    <w:p w14:paraId="32BA962F">
      <w:pPr>
        <w:pStyle w:val="46"/>
        <w:widowControl/>
        <w:spacing w:after="0"/>
        <w:rPr>
          <w:rFonts w:ascii="Arial" w:hAnsi="Arial" w:eastAsia="Times New Roman" w:cs="Arial"/>
          <w:sz w:val="20"/>
          <w:szCs w:val="20"/>
          <w:lang w:val="en-US" w:eastAsia="zh-CN"/>
        </w:rPr>
      </w:pPr>
    </w:p>
    <w:p w14:paraId="3B204E3C">
      <w:pPr>
        <w:pStyle w:val="3"/>
        <w:numPr>
          <w:ilvl w:val="1"/>
          <w:numId w:val="0"/>
        </w:numPr>
        <w:spacing w:before="0" w:after="0" w:line="240" w:lineRule="auto"/>
        <w:ind w:left="573" w:hanging="573"/>
        <w:rPr>
          <w:rFonts w:eastAsia="Times New Roman"/>
          <w:bCs w:val="0"/>
          <w:caps/>
          <w:sz w:val="22"/>
          <w:szCs w:val="20"/>
          <w:lang w:val="en-US" w:eastAsia="zh-CN"/>
        </w:rPr>
      </w:pPr>
      <w:r>
        <w:rPr>
          <w:rFonts w:hint="eastAsia" w:eastAsia="Times New Roman"/>
          <w:bCs w:val="0"/>
          <w:caps/>
          <w:sz w:val="22"/>
          <w:szCs w:val="20"/>
          <w:lang w:val="en-US" w:eastAsia="zh-CN"/>
        </w:rPr>
        <w:t>2.3 Research on the Relationship between Low-Carbon City Pilots and Corporate OFDI</w:t>
      </w:r>
    </w:p>
    <w:p w14:paraId="6166205F">
      <w:pPr>
        <w:rPr>
          <w:lang w:val="en-US" w:eastAsia="zh-CN"/>
        </w:rPr>
      </w:pPr>
    </w:p>
    <w:p w14:paraId="25F4CEC7">
      <w:pPr>
        <w:pStyle w:val="46"/>
        <w:widowControl/>
        <w:spacing w:after="0"/>
        <w:rPr>
          <w:rFonts w:ascii="Arial" w:hAnsi="Arial" w:eastAsia="Times New Roman" w:cs="Arial"/>
          <w:sz w:val="20"/>
          <w:szCs w:val="20"/>
          <w:lang w:val="en-US" w:eastAsia="zh-CN"/>
        </w:rPr>
      </w:pPr>
      <w:r>
        <w:rPr>
          <w:rFonts w:ascii="Arial" w:hAnsi="Arial" w:eastAsia="Times New Roman" w:cs="Arial"/>
          <w:sz w:val="20"/>
          <w:szCs w:val="20"/>
          <w:lang w:val="en-US" w:eastAsia="zh-CN"/>
        </w:rPr>
        <w:t>The academic literature presents a significant debate regarding the net impact of LCCP policies on corporate OFDI, with empirical evidence pointing toward contradictory outcomes. One prominent line of argument, often associated with the "pollution haven" hypothesis, posits that stricter domestic environmental regulations incentivize firms to move operations abroad.</w:t>
      </w:r>
      <w:r>
        <w:rPr>
          <w:rFonts w:hint="eastAsia" w:ascii="Arial" w:hAnsi="Arial" w:eastAsia="Times New Roman" w:cs="Arial"/>
          <w:sz w:val="20"/>
          <w:szCs w:val="20"/>
          <w:lang w:val="en-US" w:eastAsia="zh-CN"/>
        </w:rPr>
        <w:t xml:space="preserve"> </w:t>
      </w:r>
      <w:r>
        <w:rPr>
          <w:rFonts w:ascii="Arial" w:hAnsi="Arial" w:eastAsia="Times New Roman" w:cs="Arial"/>
          <w:sz w:val="20"/>
          <w:szCs w:val="20"/>
          <w:highlight w:val="yellow"/>
          <w:lang w:val="en-US" w:eastAsia="zh-CN"/>
        </w:rPr>
        <w:t>This is supported by findings that pollution-intensive industries may form agglomerations in regions with laxer standards when investing abroad (Wagner &amp; Timmins, 2009).</w:t>
      </w:r>
      <w:r>
        <w:rPr>
          <w:rFonts w:ascii="Arial" w:hAnsi="Arial" w:eastAsia="Times New Roman" w:cs="Arial"/>
          <w:sz w:val="20"/>
          <w:szCs w:val="20"/>
          <w:lang w:val="en-US" w:eastAsia="zh-CN"/>
        </w:rPr>
        <w:t xml:space="preserve"> Supporting this view, research demonstrates that LCCP implementation drives an 11% increase in OFDI among carbon-intensive industries facing domestic restructuring and capacity constraints (Hou et al., 2023). </w:t>
      </w:r>
    </w:p>
    <w:p w14:paraId="3BAD8235">
      <w:pPr>
        <w:pStyle w:val="46"/>
        <w:widowControl/>
        <w:spacing w:after="0"/>
        <w:rPr>
          <w:rFonts w:ascii="Arial" w:hAnsi="Arial" w:eastAsia="Times New Roman" w:cs="Arial"/>
          <w:sz w:val="20"/>
          <w:szCs w:val="20"/>
          <w:lang w:val="en-US" w:eastAsia="zh-CN"/>
        </w:rPr>
      </w:pPr>
    </w:p>
    <w:p w14:paraId="0A6903E6">
      <w:pPr>
        <w:pStyle w:val="46"/>
        <w:widowControl/>
        <w:spacing w:after="0"/>
        <w:rPr>
          <w:rFonts w:ascii="Arial" w:hAnsi="Arial" w:eastAsia="Times New Roman" w:cs="Arial"/>
          <w:sz w:val="20"/>
          <w:szCs w:val="20"/>
          <w:lang w:val="en-US" w:eastAsia="zh-CN"/>
        </w:rPr>
      </w:pPr>
      <w:r>
        <w:rPr>
          <w:rFonts w:ascii="Arial" w:hAnsi="Arial" w:eastAsia="Times New Roman" w:cs="Arial"/>
          <w:sz w:val="20"/>
          <w:szCs w:val="20"/>
          <w:lang w:val="en-US" w:eastAsia="zh-CN"/>
        </w:rPr>
        <w:t xml:space="preserve">Conversely, a competing perspective emphasizes the inhibitory effect of compliance costs. This argument suggests that the financial burden of adhering to stringent environmental standards can crowd out capital that would otherwise be allocated to foreign investment. Empirical evidence indicates that each 1% increase in environmental investment reduces OFDI capital allocation by 0.7%, an effect that is particularly acute for SOEs (Tang et al., 2023). </w:t>
      </w:r>
    </w:p>
    <w:p w14:paraId="79C73D75">
      <w:pPr>
        <w:pStyle w:val="46"/>
        <w:widowControl/>
        <w:spacing w:after="0"/>
        <w:rPr>
          <w:rFonts w:ascii="Arial" w:hAnsi="Arial" w:eastAsia="Times New Roman" w:cs="Arial"/>
          <w:sz w:val="20"/>
          <w:szCs w:val="20"/>
          <w:lang w:val="en-US" w:eastAsia="zh-CN"/>
        </w:rPr>
      </w:pPr>
    </w:p>
    <w:p w14:paraId="6B8DA677">
      <w:pPr>
        <w:pStyle w:val="46"/>
        <w:widowControl/>
        <w:spacing w:after="0"/>
        <w:rPr>
          <w:rFonts w:ascii="Arial" w:hAnsi="Arial" w:eastAsia="Times New Roman" w:cs="Arial"/>
          <w:sz w:val="20"/>
          <w:szCs w:val="20"/>
          <w:lang w:val="en-US" w:eastAsia="zh-CN"/>
        </w:rPr>
      </w:pPr>
      <w:r>
        <w:rPr>
          <w:rFonts w:ascii="Arial" w:hAnsi="Arial" w:eastAsia="Times New Roman" w:cs="Arial"/>
          <w:sz w:val="20"/>
          <w:szCs w:val="20"/>
          <w:lang w:val="en-US" w:eastAsia="zh-CN"/>
        </w:rPr>
        <w:t>This debate is further nuanced by research that disaggregates OFDI by motive. A third stream of literature suggests that while some forms of OFDI may be suppressed, strategic asset-seeking OFDI consistently increases under LCCP. Specifically, these investments have been documented to grow by 22% as firms are incentivized to acquire overseas assets to facilitate reverse green technology spillovers (Kafouros, 2023). This suggests that the ultimate impact of LCCP on OFDI is not monolithic, but rather is contingent on the specific investment motive, industry characteristics, and policy time frame.</w:t>
      </w:r>
    </w:p>
    <w:p w14:paraId="6883D3A8">
      <w:pPr>
        <w:pStyle w:val="46"/>
        <w:widowControl/>
        <w:spacing w:after="0"/>
        <w:rPr>
          <w:rFonts w:ascii="Arial" w:hAnsi="Arial" w:eastAsia="Times New Roman" w:cs="Arial"/>
          <w:sz w:val="20"/>
          <w:szCs w:val="20"/>
          <w:lang w:val="en-US" w:eastAsia="zh-CN"/>
        </w:rPr>
      </w:pPr>
    </w:p>
    <w:p w14:paraId="2B3EA377">
      <w:pPr>
        <w:pStyle w:val="46"/>
        <w:widowControl/>
        <w:spacing w:after="0"/>
        <w:rPr>
          <w:rFonts w:ascii="Arial" w:hAnsi="Arial" w:eastAsia="Times New Roman" w:cs="Arial"/>
          <w:sz w:val="20"/>
          <w:szCs w:val="20"/>
          <w:highlight w:val="yellow"/>
          <w:lang w:val="en-US" w:eastAsia="zh-CN"/>
        </w:rPr>
      </w:pPr>
      <w:r>
        <w:rPr>
          <w:rFonts w:ascii="Arial" w:hAnsi="Arial" w:eastAsia="Times New Roman" w:cs="Arial"/>
          <w:sz w:val="20"/>
          <w:szCs w:val="20"/>
          <w:highlight w:val="yellow"/>
          <w:lang w:val="en-US" w:eastAsia="zh-CN"/>
        </w:rPr>
        <w:t>The existing literature presents a nuanced debate on the net effect of low-carbon city policies on corporate Outward Foreign Direct Investment (OFDI). Some studies, grounded in the 'pollution haven' hypothesis, suggest that stringent domestic environmental regulations may drive firms abroad, while other research indicates that compliance costs could inhibit such investment.</w:t>
      </w:r>
      <w:r>
        <w:rPr>
          <w:rFonts w:hint="eastAsia" w:ascii="Arial" w:hAnsi="Arial" w:eastAsia="Times New Roman" w:cs="Arial"/>
          <w:sz w:val="20"/>
          <w:szCs w:val="20"/>
          <w:highlight w:val="yellow"/>
          <w:lang w:val="en-US" w:eastAsia="zh-CN"/>
        </w:rPr>
        <w:t xml:space="preserve"> </w:t>
      </w:r>
      <w:r>
        <w:rPr>
          <w:rFonts w:ascii="Arial" w:hAnsi="Arial" w:eastAsia="Times New Roman" w:cs="Arial"/>
          <w:sz w:val="20"/>
          <w:szCs w:val="20"/>
          <w:highlight w:val="yellow"/>
          <w:lang w:val="en-US" w:eastAsia="zh-CN"/>
        </w:rPr>
        <w:t>This theoretical tension highlights the complexity of the policy's transmission channels and suggests that its impact may depend on specific mediating mechanisms and contextual factors. While prior studies have laid a crucial foundation, the role of these underlying mechanisms appears to be an area deserving further investigation.</w:t>
      </w:r>
      <w:r>
        <w:rPr>
          <w:rFonts w:hint="eastAsia" w:ascii="Arial" w:hAnsi="Arial" w:eastAsia="Times New Roman" w:cs="Arial"/>
          <w:sz w:val="20"/>
          <w:szCs w:val="20"/>
          <w:highlight w:val="yellow"/>
          <w:lang w:val="en-US" w:eastAsia="zh-CN"/>
        </w:rPr>
        <w:t xml:space="preserve"> </w:t>
      </w:r>
      <w:r>
        <w:rPr>
          <w:rFonts w:ascii="Arial" w:hAnsi="Arial" w:eastAsia="Times New Roman" w:cs="Arial"/>
          <w:sz w:val="20"/>
          <w:szCs w:val="20"/>
          <w:highlight w:val="yellow"/>
          <w:lang w:val="en-US" w:eastAsia="zh-CN"/>
        </w:rPr>
        <w:t>Building on this, our study seeks to contribute to the discussion by exploring the conditions and channels through which the LCCP policy affects corporate OFDI. We do this by examining the potential mediating pathways of green innovation and digital transformation, and by analyzing the policy's heterogeneous effects across different city characteristics. Through this approach, we hope to provide additional empirical evidence that can offer a new perspective on the divergent findings in the literature.</w:t>
      </w:r>
    </w:p>
    <w:p w14:paraId="11BE803E">
      <w:pPr>
        <w:pStyle w:val="46"/>
        <w:widowControl/>
        <w:spacing w:after="0"/>
        <w:rPr>
          <w:rFonts w:ascii="Arial" w:hAnsi="Arial" w:eastAsia="Times New Roman" w:cs="Arial"/>
          <w:sz w:val="20"/>
          <w:szCs w:val="20"/>
          <w:lang w:val="en-US" w:eastAsia="zh-CN"/>
        </w:rPr>
      </w:pPr>
    </w:p>
    <w:p w14:paraId="1688677C">
      <w:pPr>
        <w:pStyle w:val="46"/>
        <w:widowControl/>
        <w:spacing w:after="0"/>
        <w:rPr>
          <w:rFonts w:ascii="Arial" w:hAnsi="Arial" w:eastAsia="Times New Roman" w:cs="Arial"/>
          <w:sz w:val="20"/>
          <w:szCs w:val="20"/>
          <w:lang w:val="en-US" w:eastAsia="zh-CN"/>
        </w:rPr>
      </w:pPr>
    </w:p>
    <w:p w14:paraId="09F6BF37">
      <w:pPr>
        <w:pStyle w:val="44"/>
        <w:widowControl/>
        <w:spacing w:after="0"/>
        <w:rPr>
          <w:rFonts w:ascii="Arial" w:hAnsi="Arial" w:eastAsia="Times New Roman" w:cs="Arial"/>
          <w:szCs w:val="20"/>
          <w:lang w:val="en-US" w:eastAsia="zh-CN"/>
        </w:rPr>
      </w:pPr>
      <w:bookmarkStart w:id="0" w:name="_Toc7189"/>
      <w:r>
        <w:rPr>
          <w:rFonts w:hint="eastAsia" w:ascii="Arial" w:hAnsi="Arial" w:eastAsia="Times New Roman" w:cs="Arial"/>
          <w:szCs w:val="20"/>
          <w:lang w:val="en-US" w:eastAsia="zh-CN"/>
        </w:rPr>
        <w:t>3</w:t>
      </w:r>
      <w:r>
        <w:rPr>
          <w:rFonts w:ascii="Arial" w:hAnsi="Arial" w:eastAsia="Times New Roman" w:cs="Arial"/>
          <w:szCs w:val="20"/>
          <w:lang w:val="en-US" w:eastAsia="zh-CN"/>
        </w:rPr>
        <w:t>.</w:t>
      </w:r>
      <w:r>
        <w:rPr>
          <w:rFonts w:hint="eastAsia" w:ascii="Arial" w:hAnsi="Arial" w:eastAsia="Times New Roman" w:cs="Arial"/>
          <w:szCs w:val="20"/>
          <w:lang w:val="en-US" w:eastAsia="zh-CN"/>
        </w:rPr>
        <w:t xml:space="preserve"> Theoretical Analysis and Research Hypotheses </w:t>
      </w:r>
      <w:bookmarkEnd w:id="0"/>
    </w:p>
    <w:p w14:paraId="5A12592D">
      <w:pPr>
        <w:pStyle w:val="44"/>
        <w:widowControl/>
        <w:spacing w:after="0"/>
        <w:rPr>
          <w:rFonts w:ascii="Arial" w:hAnsi="Arial" w:eastAsia="Times New Roman" w:cs="Arial"/>
          <w:szCs w:val="20"/>
          <w:lang w:val="en-US" w:eastAsia="zh-CN"/>
        </w:rPr>
      </w:pPr>
    </w:p>
    <w:p w14:paraId="0CF3F608">
      <w:pPr>
        <w:pStyle w:val="3"/>
        <w:numPr>
          <w:ilvl w:val="1"/>
          <w:numId w:val="0"/>
        </w:numPr>
        <w:spacing w:before="0" w:after="0" w:line="240" w:lineRule="auto"/>
        <w:ind w:left="573" w:hanging="573"/>
        <w:rPr>
          <w:rFonts w:eastAsia="Times New Roman"/>
          <w:bCs w:val="0"/>
          <w:caps/>
          <w:sz w:val="22"/>
          <w:szCs w:val="20"/>
          <w:lang w:val="en-US" w:eastAsia="zh-CN"/>
        </w:rPr>
      </w:pPr>
      <w:bookmarkStart w:id="1" w:name="_Toc9476"/>
      <w:r>
        <w:rPr>
          <w:rFonts w:hint="eastAsia" w:eastAsia="Times New Roman"/>
          <w:bCs w:val="0"/>
          <w:caps/>
          <w:sz w:val="22"/>
          <w:szCs w:val="20"/>
          <w:lang w:val="en-US" w:eastAsia="zh-CN"/>
        </w:rPr>
        <w:t>3</w:t>
      </w:r>
      <w:r>
        <w:rPr>
          <w:rFonts w:eastAsia="Times New Roman"/>
          <w:bCs w:val="0"/>
          <w:caps/>
          <w:sz w:val="22"/>
          <w:szCs w:val="20"/>
          <w:lang w:val="en-US" w:eastAsia="zh-CN"/>
        </w:rPr>
        <w:t>.1</w:t>
      </w:r>
      <w:r>
        <w:rPr>
          <w:rFonts w:hint="eastAsia" w:eastAsia="Times New Roman"/>
          <w:bCs w:val="0"/>
          <w:caps/>
          <w:sz w:val="22"/>
          <w:szCs w:val="20"/>
          <w:lang w:val="en-US" w:eastAsia="zh-CN"/>
        </w:rPr>
        <w:t xml:space="preserve"> Direct Transmission Mechanism  </w:t>
      </w:r>
      <w:bookmarkEnd w:id="1"/>
    </w:p>
    <w:p w14:paraId="06324CDA">
      <w:pPr>
        <w:rPr>
          <w:lang w:val="en-US" w:eastAsia="zh-CN"/>
        </w:rPr>
      </w:pPr>
    </w:p>
    <w:p w14:paraId="52BB06A9">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The direct transmission mechanism functions through a dual approach of government action. First, policy incentives like fiscal subsidies, tax incentives, and low-interest loans are used to reduce the financial burden on firms undergoing a low-carbon transition. Second, the policy imposes rigid green constraints, compelling companies to meet strict environmental standards by upgrading technology, renovating equipment, and optimizing management.</w:t>
      </w:r>
    </w:p>
    <w:p w14:paraId="6BFB5576">
      <w:pPr>
        <w:pStyle w:val="46"/>
        <w:widowControl/>
        <w:spacing w:after="0"/>
        <w:rPr>
          <w:rFonts w:ascii="Arial" w:hAnsi="Arial" w:eastAsia="Times New Roman" w:cs="Arial"/>
          <w:sz w:val="20"/>
          <w:szCs w:val="20"/>
          <w:lang w:val="en-US" w:eastAsia="zh-CN"/>
        </w:rPr>
      </w:pPr>
    </w:p>
    <w:p w14:paraId="240A886E">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 xml:space="preserve">This combination of incentives ("pull") and constraints ("push") fosters a green competitive advantage. </w:t>
      </w:r>
      <w:r>
        <w:rPr>
          <w:rFonts w:hint="eastAsia" w:ascii="Arial" w:hAnsi="Arial" w:eastAsia="Times New Roman" w:cs="Arial"/>
          <w:sz w:val="20"/>
          <w:szCs w:val="20"/>
          <w:highlight w:val="yellow"/>
          <w:lang w:val="en-US" w:eastAsia="zh-CN"/>
        </w:rPr>
        <w:t>Consistent with this logic, evidence from China already shows that environmental policy significantly impacts firms' international economic activities, such as exporting, suggesting domestic regulation is a key factor in shaping global strategy (Hering &amp; Poncet, 2014).</w:t>
      </w:r>
      <w:r>
        <w:rPr>
          <w:rFonts w:hint="eastAsia" w:ascii="Arial" w:hAnsi="Arial" w:eastAsia="Times New Roman" w:cs="Arial"/>
          <w:sz w:val="20"/>
          <w:szCs w:val="20"/>
          <w:lang w:val="en-US" w:eastAsia="zh-CN"/>
        </w:rPr>
        <w:t xml:space="preserve"> As firms improve their environmental performance and production efficiency to meet domestic requirements, they accumulate green technology, patents, and brand recognition. This enhanced domestic competitiveness translates directly to the international stage, enabling firms to more easily overcome environmental barriers in foreign markets and thereby driving their Outward Foreign Direct Investment (OFDI).</w:t>
      </w:r>
    </w:p>
    <w:p w14:paraId="4320A17A">
      <w:pPr>
        <w:pStyle w:val="46"/>
        <w:widowControl/>
        <w:spacing w:after="0"/>
        <w:rPr>
          <w:rFonts w:ascii="Arial" w:hAnsi="Arial" w:eastAsia="Times New Roman" w:cs="Arial"/>
          <w:sz w:val="20"/>
          <w:szCs w:val="20"/>
          <w:lang w:val="en-US" w:eastAsia="zh-CN"/>
        </w:rPr>
      </w:pPr>
    </w:p>
    <w:p w14:paraId="55DFA407">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 xml:space="preserve">Based on the above logic, this paper proposes Hypothesis H1: </w:t>
      </w:r>
    </w:p>
    <w:p w14:paraId="7FA49128">
      <w:pPr>
        <w:pStyle w:val="46"/>
        <w:widowControl/>
        <w:spacing w:after="0"/>
        <w:rPr>
          <w:rFonts w:ascii="Arial" w:hAnsi="Arial" w:eastAsia="Times New Roman" w:cs="Arial"/>
          <w:sz w:val="20"/>
          <w:szCs w:val="20"/>
          <w:lang w:val="en-US" w:eastAsia="zh-CN"/>
        </w:rPr>
      </w:pPr>
    </w:p>
    <w:p w14:paraId="6761ABF5">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H1: The low-carbon city pilot policy has a direct promoting effect on corporate OFDI performance.</w:t>
      </w:r>
    </w:p>
    <w:p w14:paraId="290EBCBB">
      <w:pPr>
        <w:pStyle w:val="46"/>
        <w:widowControl/>
        <w:spacing w:after="0"/>
        <w:rPr>
          <w:rFonts w:ascii="Arial" w:hAnsi="Arial" w:eastAsia="Times New Roman" w:cs="Arial"/>
          <w:sz w:val="20"/>
          <w:szCs w:val="20"/>
          <w:lang w:val="en-US" w:eastAsia="zh-CN"/>
        </w:rPr>
      </w:pPr>
    </w:p>
    <w:p w14:paraId="356B2CE6">
      <w:pPr>
        <w:pStyle w:val="3"/>
        <w:numPr>
          <w:ilvl w:val="1"/>
          <w:numId w:val="0"/>
        </w:numPr>
        <w:spacing w:before="0" w:after="0" w:line="240" w:lineRule="auto"/>
        <w:ind w:left="573" w:hanging="573"/>
        <w:rPr>
          <w:rFonts w:eastAsia="Times New Roman"/>
          <w:bCs w:val="0"/>
          <w:caps/>
          <w:sz w:val="22"/>
          <w:szCs w:val="20"/>
          <w:lang w:val="en-US" w:eastAsia="zh-CN"/>
        </w:rPr>
      </w:pPr>
      <w:r>
        <w:rPr>
          <w:rFonts w:hint="eastAsia" w:eastAsia="Times New Roman"/>
          <w:bCs w:val="0"/>
          <w:caps/>
          <w:sz w:val="22"/>
          <w:szCs w:val="20"/>
          <w:lang w:val="en-US" w:eastAsia="zh-CN"/>
        </w:rPr>
        <w:t>3</w:t>
      </w:r>
      <w:r>
        <w:rPr>
          <w:rFonts w:eastAsia="Times New Roman"/>
          <w:bCs w:val="0"/>
          <w:caps/>
          <w:sz w:val="22"/>
          <w:szCs w:val="20"/>
          <w:lang w:val="en-US" w:eastAsia="zh-CN"/>
        </w:rPr>
        <w:t>.2</w:t>
      </w:r>
      <w:r>
        <w:rPr>
          <w:rFonts w:hint="eastAsia" w:eastAsia="Times New Roman"/>
          <w:bCs w:val="0"/>
          <w:caps/>
          <w:sz w:val="22"/>
          <w:szCs w:val="20"/>
          <w:lang w:val="en-US" w:eastAsia="zh-CN"/>
        </w:rPr>
        <w:t xml:space="preserve"> Indirect Transmission Mechanism</w:t>
      </w:r>
    </w:p>
    <w:p w14:paraId="6BA63AA9">
      <w:pPr>
        <w:pStyle w:val="4"/>
        <w:numPr>
          <w:ilvl w:val="2"/>
          <w:numId w:val="0"/>
        </w:numPr>
        <w:spacing w:line="240" w:lineRule="auto"/>
        <w:rPr>
          <w:rFonts w:eastAsia="Times New Roman"/>
          <w:bCs w:val="0"/>
          <w:sz w:val="20"/>
          <w:szCs w:val="20"/>
          <w:u w:val="single"/>
          <w:lang w:val="en-US" w:eastAsia="en-US"/>
        </w:rPr>
      </w:pPr>
      <w:r>
        <w:rPr>
          <w:rFonts w:hint="eastAsia" w:eastAsia="宋体"/>
          <w:bCs w:val="0"/>
          <w:sz w:val="20"/>
          <w:szCs w:val="20"/>
          <w:u w:val="single"/>
          <w:lang w:val="en-US" w:eastAsia="zh-CN"/>
        </w:rPr>
        <w:t>3</w:t>
      </w:r>
      <w:r>
        <w:rPr>
          <w:rFonts w:eastAsia="Times New Roman"/>
          <w:bCs w:val="0"/>
          <w:sz w:val="20"/>
          <w:szCs w:val="20"/>
          <w:u w:val="single"/>
          <w:lang w:val="en-US" w:eastAsia="en-US"/>
        </w:rPr>
        <w:t>.2.1</w:t>
      </w:r>
      <w:r>
        <w:rPr>
          <w:rFonts w:hint="eastAsia" w:eastAsia="宋体"/>
          <w:bCs w:val="0"/>
          <w:sz w:val="20"/>
          <w:szCs w:val="20"/>
          <w:u w:val="single"/>
          <w:lang w:val="en-US" w:eastAsia="zh-CN"/>
        </w:rPr>
        <w:t xml:space="preserve"> </w:t>
      </w:r>
      <w:r>
        <w:rPr>
          <w:rFonts w:eastAsia="Times New Roman"/>
          <w:bCs w:val="0"/>
          <w:sz w:val="20"/>
          <w:szCs w:val="20"/>
          <w:u w:val="single"/>
          <w:lang w:val="en-US" w:eastAsia="en-US"/>
        </w:rPr>
        <w:t>Mediation Effect of Green Innovation</w:t>
      </w:r>
    </w:p>
    <w:p w14:paraId="63254DB1">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The low-carbon city pilot policy, through the dual drivers of environmental pressure and innovation incentives, compels enterprises to make green innovation a core strategy. Following the policy's implementation, firms face stricter carbon emission assessments and escalating market demand for green products, requiring them to achieve sustainable development through technological breakthroughs. For instance, under policy impetus, new energy vehicle companies increase their R&amp;D investment in battery technology to develop models with longer range and lower energy consumption to meet market demand. By integrating internal R&amp;D resources and collaborating with universities and research institutions, companies focus on technological advancements in areas such as new energy utilization, energy conservation and emission reduction, and resource recycling.</w:t>
      </w:r>
    </w:p>
    <w:p w14:paraId="29227983">
      <w:pPr>
        <w:pStyle w:val="46"/>
        <w:widowControl/>
        <w:spacing w:after="0"/>
        <w:rPr>
          <w:rFonts w:ascii="Arial" w:hAnsi="Arial" w:eastAsia="Times New Roman" w:cs="Arial"/>
          <w:sz w:val="20"/>
          <w:szCs w:val="20"/>
          <w:lang w:val="en-US" w:eastAsia="zh-CN"/>
        </w:rPr>
      </w:pPr>
    </w:p>
    <w:p w14:paraId="2A9C53E2">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The enhancement of green innovation capability becomes a key driver for corporate OFDI. Amid the global trend of decarbonization, international market demand for environmentally friendly products continues to grow, and policies like the EU's Carbon Border Adjustment Mechanism (CBAM) further raise the threshold for green technology. Technology patents (such as high-efficiency cell technology in the photovoltaic industry) and green product certifications (like the EU Eco-Design Directive certification) formed through green innovation can significantly enhance international competitiveness. Furthermore, a low-carbon brand image shaped by green innovation can boost the trust of overseas customers, attracting multinational procurement orders or invitations for joint ventures, thereby indirectly promoting OFDI.</w:t>
      </w:r>
    </w:p>
    <w:p w14:paraId="4A4ACEE8">
      <w:pPr>
        <w:pStyle w:val="46"/>
        <w:widowControl/>
        <w:spacing w:after="0"/>
        <w:rPr>
          <w:rFonts w:ascii="Arial" w:hAnsi="Arial" w:eastAsia="Times New Roman" w:cs="Arial"/>
          <w:sz w:val="20"/>
          <w:szCs w:val="20"/>
          <w:lang w:val="en-US" w:eastAsia="zh-CN"/>
        </w:rPr>
      </w:pPr>
    </w:p>
    <w:p w14:paraId="32F070E6">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 xml:space="preserve">Accordingly, this paper proposes Hypothesis H2: </w:t>
      </w:r>
    </w:p>
    <w:p w14:paraId="4D28007E">
      <w:pPr>
        <w:pStyle w:val="46"/>
        <w:widowControl/>
        <w:spacing w:after="0"/>
        <w:rPr>
          <w:rFonts w:ascii="Arial" w:hAnsi="Arial" w:eastAsia="Times New Roman" w:cs="Arial"/>
          <w:sz w:val="20"/>
          <w:szCs w:val="20"/>
          <w:lang w:val="en-US" w:eastAsia="zh-CN"/>
        </w:rPr>
      </w:pPr>
    </w:p>
    <w:p w14:paraId="12A7D2EB">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H2: The low-carbon city pilot policy indirectly improves corporate OFDI performance by enhancing firms' green innovation capabilities.</w:t>
      </w:r>
    </w:p>
    <w:p w14:paraId="4B533F7C">
      <w:pPr>
        <w:pStyle w:val="46"/>
        <w:widowControl/>
        <w:spacing w:after="0"/>
        <w:rPr>
          <w:rFonts w:ascii="Arial" w:hAnsi="Arial" w:eastAsia="Times New Roman" w:cs="Arial"/>
          <w:sz w:val="20"/>
          <w:szCs w:val="20"/>
          <w:lang w:val="en-US" w:eastAsia="zh-CN"/>
        </w:rPr>
      </w:pPr>
    </w:p>
    <w:p w14:paraId="53B76824">
      <w:pPr>
        <w:pStyle w:val="4"/>
        <w:numPr>
          <w:ilvl w:val="2"/>
          <w:numId w:val="0"/>
        </w:numPr>
        <w:spacing w:before="0" w:after="0" w:line="240" w:lineRule="auto"/>
        <w:rPr>
          <w:rFonts w:eastAsia="宋体"/>
          <w:bCs w:val="0"/>
          <w:sz w:val="20"/>
          <w:szCs w:val="20"/>
          <w:u w:val="single"/>
          <w:lang w:val="en-US" w:eastAsia="zh-CN"/>
        </w:rPr>
      </w:pPr>
      <w:r>
        <w:rPr>
          <w:rFonts w:hint="eastAsia" w:eastAsia="宋体"/>
          <w:bCs w:val="0"/>
          <w:sz w:val="20"/>
          <w:szCs w:val="20"/>
          <w:u w:val="single"/>
          <w:lang w:val="en-US" w:eastAsia="zh-CN"/>
        </w:rPr>
        <w:t>3</w:t>
      </w:r>
      <w:r>
        <w:rPr>
          <w:rFonts w:eastAsia="宋体"/>
          <w:bCs w:val="0"/>
          <w:sz w:val="20"/>
          <w:szCs w:val="20"/>
          <w:u w:val="single"/>
          <w:lang w:val="en-US" w:eastAsia="zh-CN"/>
        </w:rPr>
        <w:t>.2.2</w:t>
      </w:r>
      <w:r>
        <w:rPr>
          <w:rFonts w:hint="eastAsia" w:eastAsia="宋体"/>
          <w:bCs w:val="0"/>
          <w:sz w:val="20"/>
          <w:szCs w:val="20"/>
          <w:u w:val="single"/>
          <w:lang w:val="en-US" w:eastAsia="zh-CN"/>
        </w:rPr>
        <w:t xml:space="preserve"> </w:t>
      </w:r>
      <w:r>
        <w:rPr>
          <w:rFonts w:eastAsia="宋体"/>
          <w:bCs w:val="0"/>
          <w:sz w:val="20"/>
          <w:szCs w:val="20"/>
          <w:u w:val="single"/>
          <w:lang w:val="en-US" w:eastAsia="zh-CN"/>
        </w:rPr>
        <w:t>Mediation Effect of Digital Transformation</w:t>
      </w:r>
    </w:p>
    <w:p w14:paraId="3E22FCBA">
      <w:pPr>
        <w:rPr>
          <w:lang w:val="en-US" w:eastAsia="zh-CN"/>
        </w:rPr>
      </w:pPr>
    </w:p>
    <w:p w14:paraId="5F4648A1">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The low-carbon city pilot policy accelerates the process of corporate digital transformation. To meet energy conservation and carbon reduction requirements, companies need to leverage digital technologies to optimize production and management processes. Internet of Things (IoT) technology can monitor equipment energy consumption data in real-time, enabling dynamic optimization of the production process. Big data analytics helps companies establish early warning mechanisms for energy consumption, reducing carbon emissions per unit of output value. Artificial intelligence algorithms are used for supply chain optimization, reducing resource waste in logistics.</w:t>
      </w:r>
    </w:p>
    <w:p w14:paraId="265D3942">
      <w:pPr>
        <w:pStyle w:val="46"/>
        <w:widowControl/>
        <w:spacing w:after="0"/>
        <w:rPr>
          <w:rFonts w:ascii="Arial" w:hAnsi="Arial" w:eastAsia="Times New Roman" w:cs="Arial"/>
          <w:sz w:val="20"/>
          <w:szCs w:val="20"/>
          <w:lang w:val="en-US" w:eastAsia="zh-CN"/>
        </w:rPr>
      </w:pPr>
    </w:p>
    <w:p w14:paraId="616A5A9D">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Digital transformation simultaneously enhances corporate management efficiency and the scientific basis of decision-making. Digital management platforms break down departmental information silos and shorten decision-making chains. Data-driven market forecasting models help companies accurately grasp overseas market demand trends (such as the demand for new energy infrastructure in Southeast Asia), reducing investment risks. In international competition, companies with a high degree of digitalization can more easily integrate into global value chains, expand sales channels through cross-border e-commerce platforms (like Alibaba International), or use digital marketing tools (like Google Ads) to increase overseas brand exposure.</w:t>
      </w:r>
    </w:p>
    <w:p w14:paraId="4823175F">
      <w:pPr>
        <w:pStyle w:val="46"/>
        <w:widowControl/>
        <w:spacing w:after="0"/>
        <w:rPr>
          <w:rFonts w:ascii="Arial" w:hAnsi="Arial" w:eastAsia="Times New Roman" w:cs="Arial"/>
          <w:sz w:val="20"/>
          <w:szCs w:val="20"/>
          <w:lang w:val="en-US" w:eastAsia="zh-CN"/>
        </w:rPr>
      </w:pPr>
    </w:p>
    <w:p w14:paraId="0544654B">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 xml:space="preserve">Based on the above mechanism, this paper proposes Hypothesis H3: </w:t>
      </w:r>
    </w:p>
    <w:p w14:paraId="2BEE9031">
      <w:pPr>
        <w:pStyle w:val="46"/>
        <w:widowControl/>
        <w:spacing w:after="0"/>
        <w:rPr>
          <w:rFonts w:ascii="Arial" w:hAnsi="Arial" w:eastAsia="Times New Roman" w:cs="Arial"/>
          <w:sz w:val="20"/>
          <w:szCs w:val="20"/>
          <w:lang w:val="en-US" w:eastAsia="zh-CN"/>
        </w:rPr>
      </w:pPr>
    </w:p>
    <w:p w14:paraId="7A1E6623">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H3: The low-carbon city pilot policy indirectly promotes corporate OFDI performance by advancing firms' digital transformation.</w:t>
      </w:r>
    </w:p>
    <w:p w14:paraId="7B4151B6">
      <w:pPr>
        <w:pStyle w:val="46"/>
        <w:widowControl/>
        <w:spacing w:after="0"/>
        <w:rPr>
          <w:rFonts w:ascii="Arial" w:hAnsi="Arial" w:eastAsia="Times New Roman" w:cs="Arial"/>
          <w:sz w:val="20"/>
          <w:szCs w:val="20"/>
          <w:lang w:val="en-US" w:eastAsia="zh-CN"/>
        </w:rPr>
      </w:pPr>
    </w:p>
    <w:p w14:paraId="13E89CD8">
      <w:pPr>
        <w:pStyle w:val="44"/>
        <w:widowControl/>
        <w:spacing w:after="0"/>
        <w:rPr>
          <w:rFonts w:ascii="Arial" w:hAnsi="Arial" w:eastAsia="Times New Roman" w:cs="Arial"/>
          <w:szCs w:val="20"/>
          <w:lang w:val="en-US" w:eastAsia="zh-CN"/>
        </w:rPr>
      </w:pPr>
      <w:r>
        <w:rPr>
          <w:rFonts w:hint="eastAsia" w:ascii="Arial" w:hAnsi="Arial" w:eastAsia="Times New Roman" w:cs="Arial"/>
          <w:szCs w:val="20"/>
          <w:lang w:val="en-US" w:eastAsia="zh-CN"/>
        </w:rPr>
        <w:t>4</w:t>
      </w:r>
      <w:r>
        <w:rPr>
          <w:rFonts w:ascii="Arial" w:hAnsi="Arial" w:eastAsia="Times New Roman" w:cs="Arial"/>
          <w:szCs w:val="20"/>
          <w:lang w:val="en-US" w:eastAsia="zh-CN"/>
        </w:rPr>
        <w:t>.</w:t>
      </w:r>
      <w:r>
        <w:rPr>
          <w:rFonts w:hint="eastAsia" w:ascii="Arial" w:hAnsi="Arial" w:eastAsia="Times New Roman" w:cs="Arial"/>
          <w:szCs w:val="20"/>
          <w:lang w:val="en-US" w:eastAsia="zh-CN"/>
        </w:rPr>
        <w:t xml:space="preserve"> Empirical Design and Data Description</w:t>
      </w:r>
    </w:p>
    <w:p w14:paraId="5DD5C955">
      <w:pPr>
        <w:pStyle w:val="44"/>
        <w:widowControl/>
        <w:spacing w:after="0"/>
        <w:rPr>
          <w:rFonts w:ascii="Arial" w:hAnsi="Arial" w:eastAsia="Times New Roman" w:cs="Arial"/>
          <w:szCs w:val="20"/>
          <w:lang w:val="en-US" w:eastAsia="zh-CN"/>
        </w:rPr>
      </w:pPr>
    </w:p>
    <w:p w14:paraId="6D99AAED">
      <w:pPr>
        <w:pStyle w:val="3"/>
        <w:numPr>
          <w:ilvl w:val="1"/>
          <w:numId w:val="0"/>
        </w:numPr>
        <w:spacing w:before="0" w:after="0" w:line="240" w:lineRule="auto"/>
        <w:ind w:left="573" w:hanging="573"/>
        <w:rPr>
          <w:rFonts w:eastAsia="Times New Roman"/>
          <w:bCs w:val="0"/>
          <w:caps/>
          <w:sz w:val="22"/>
          <w:szCs w:val="20"/>
          <w:lang w:val="en-US" w:eastAsia="zh-CN"/>
        </w:rPr>
      </w:pPr>
      <w:bookmarkStart w:id="2" w:name="_Toc6506"/>
      <w:r>
        <w:rPr>
          <w:rFonts w:hint="eastAsia" w:eastAsia="Times New Roman"/>
          <w:bCs w:val="0"/>
          <w:caps/>
          <w:sz w:val="22"/>
          <w:szCs w:val="20"/>
          <w:lang w:val="en-US" w:eastAsia="zh-CN"/>
        </w:rPr>
        <w:t>4</w:t>
      </w:r>
      <w:r>
        <w:rPr>
          <w:rFonts w:eastAsia="Times New Roman"/>
          <w:bCs w:val="0"/>
          <w:caps/>
          <w:sz w:val="22"/>
          <w:szCs w:val="20"/>
          <w:lang w:val="en-US" w:eastAsia="zh-CN"/>
        </w:rPr>
        <w:t>.1</w:t>
      </w:r>
      <w:r>
        <w:rPr>
          <w:rFonts w:hint="eastAsia" w:eastAsia="Times New Roman"/>
          <w:bCs w:val="0"/>
          <w:caps/>
          <w:sz w:val="22"/>
          <w:szCs w:val="20"/>
          <w:lang w:val="en-US" w:eastAsia="zh-CN"/>
        </w:rPr>
        <w:t xml:space="preserve"> Model Construction </w:t>
      </w:r>
      <w:bookmarkEnd w:id="2"/>
    </w:p>
    <w:p w14:paraId="3B3F3943">
      <w:pPr>
        <w:rPr>
          <w:lang w:val="en-US" w:eastAsia="zh-CN"/>
        </w:rPr>
      </w:pPr>
    </w:p>
    <w:p w14:paraId="0384A03A">
      <w:pPr>
        <w:pStyle w:val="46"/>
        <w:widowControl/>
        <w:spacing w:after="0"/>
        <w:rPr>
          <w:rFonts w:ascii="Arial" w:hAnsi="Arial" w:eastAsia="Times New Roman" w:cs="Arial"/>
          <w:sz w:val="20"/>
          <w:szCs w:val="20"/>
          <w:lang w:val="en-US" w:eastAsia="zh-CN"/>
        </w:rPr>
      </w:pPr>
      <w:r>
        <w:rPr>
          <w:rFonts w:ascii="Arial" w:hAnsi="Arial" w:eastAsia="Times New Roman" w:cs="Arial"/>
          <w:sz w:val="20"/>
          <w:szCs w:val="20"/>
          <w:lang w:val="en-US" w:eastAsia="zh-CN"/>
        </w:rPr>
        <w:t>To scientifically evaluate the impact of the low-carbon city pilot policy on corporate Outward Foreign Direct Investment (OFDI), this paper, based on the quasi-natural experiment nature of the policy's implementation, constructs a progressive Difference-in-Differences (DID) model. By comparing the pre- and post-policy differences in OFDI performance between firms in pilot and non-pilot cities, the net effect of the policy is identified. The specific model is set as follows:</w:t>
      </w:r>
    </w:p>
    <w:p w14:paraId="12037F3B">
      <w:pPr>
        <w:pStyle w:val="31"/>
        <w:spacing w:line="240" w:lineRule="auto"/>
        <w:ind w:firstLine="420"/>
        <w:jc w:val="center"/>
        <w:rPr>
          <w:rFonts w:cs="Times New Roman"/>
        </w:rPr>
      </w:pPr>
      <m:oMath>
        <m:sSub>
          <m:sSubPr>
            <m:ctrlPr>
              <w:rPr>
                <w:rFonts w:ascii="Cambria Math" w:hAnsi="Cambria Math" w:cs="Times New Roman"/>
                <w:i/>
                <w:iCs/>
              </w:rPr>
            </m:ctrlPr>
          </m:sSubPr>
          <m:e>
            <m:r>
              <m:rPr/>
              <w:rPr>
                <w:rFonts w:ascii="Cambria Math" w:hAnsi="Cambria Math" w:cs="Times New Roman"/>
              </w:rPr>
              <m:t>OFDI</m:t>
            </m:r>
            <m:ctrlPr>
              <w:rPr>
                <w:rFonts w:ascii="Cambria Math" w:hAnsi="Cambria Math" w:cs="Times New Roman"/>
                <w:i/>
                <w:iCs/>
              </w:rPr>
            </m:ctrlPr>
          </m:e>
          <m:sub>
            <m:r>
              <m:rPr/>
              <w:rPr>
                <w:rFonts w:ascii="Cambria Math" w:hAnsi="Cambria Math" w:cs="Times New Roman"/>
              </w:rPr>
              <m:t>it</m:t>
            </m:r>
            <m:ctrlPr>
              <w:rPr>
                <w:rFonts w:ascii="Cambria Math" w:hAnsi="Cambria Math" w:cs="Times New Roman"/>
                <w:i/>
                <w:iCs/>
              </w:rPr>
            </m:ctrlPr>
          </m:sub>
        </m:sSub>
        <m:r>
          <m:rPr/>
          <w:rPr>
            <w:rFonts w:ascii="Cambria Math" w:hAnsi="Cambria Math" w:cs="Times New Roman"/>
          </w:rPr>
          <m:t>=α+β</m:t>
        </m:r>
        <m:sSub>
          <m:sSubPr>
            <m:ctrlPr>
              <w:rPr>
                <w:rFonts w:ascii="Cambria Math" w:hAnsi="Cambria Math" w:cs="Times New Roman"/>
                <w:i/>
                <w:iCs/>
              </w:rPr>
            </m:ctrlPr>
          </m:sSubPr>
          <m:e>
            <m:r>
              <m:rPr/>
              <w:rPr>
                <w:rFonts w:ascii="Cambria Math" w:hAnsi="Cambria Math" w:cs="Times New Roman"/>
              </w:rPr>
              <m:t>did</m:t>
            </m:r>
            <m:ctrlPr>
              <w:rPr>
                <w:rFonts w:ascii="Cambria Math" w:hAnsi="Cambria Math" w:cs="Times New Roman"/>
                <w:i/>
                <w:iCs/>
              </w:rPr>
            </m:ctrlPr>
          </m:e>
          <m:sub>
            <m:r>
              <m:rPr/>
              <w:rPr>
                <w:rFonts w:ascii="Cambria Math" w:hAnsi="Cambria Math" w:cs="Times New Roman"/>
              </w:rPr>
              <m:t>it</m:t>
            </m:r>
            <m:ctrlPr>
              <w:rPr>
                <w:rFonts w:ascii="Cambria Math" w:hAnsi="Cambria Math" w:cs="Times New Roman"/>
                <w:i/>
                <w:iCs/>
              </w:rPr>
            </m:ctrlPr>
          </m:sub>
        </m:sSub>
        <m:r>
          <m:rPr/>
          <w:rPr>
            <w:rFonts w:ascii="Cambria Math" w:hAnsi="Cambria Math" w:cs="Times New Roman"/>
          </w:rPr>
          <m:t>+θ</m:t>
        </m:r>
        <m:sSub>
          <m:sSubPr>
            <m:ctrlPr>
              <w:rPr>
                <w:rFonts w:ascii="Cambria Math" w:hAnsi="Cambria Math" w:cs="Times New Roman"/>
                <w:i/>
                <w:iCs/>
              </w:rPr>
            </m:ctrlPr>
          </m:sSubPr>
          <m:e>
            <m:r>
              <m:rPr/>
              <w:rPr>
                <w:rFonts w:ascii="Cambria Math" w:hAnsi="Cambria Math" w:cs="Times New Roman"/>
              </w:rPr>
              <m:t>X</m:t>
            </m:r>
            <m:ctrlPr>
              <w:rPr>
                <w:rFonts w:ascii="Cambria Math" w:hAnsi="Cambria Math" w:cs="Times New Roman"/>
                <w:i/>
                <w:iCs/>
              </w:rPr>
            </m:ctrlPr>
          </m:e>
          <m:sub>
            <m:r>
              <m:rPr/>
              <w:rPr>
                <w:rFonts w:ascii="Cambria Math" w:hAnsi="Cambria Math" w:cs="Times New Roman"/>
              </w:rPr>
              <m:t>it</m:t>
            </m:r>
            <m:ctrlPr>
              <w:rPr>
                <w:rFonts w:ascii="Cambria Math" w:hAnsi="Cambria Math" w:cs="Times New Roman"/>
                <w:i/>
                <w:iCs/>
              </w:rPr>
            </m:ctrlPr>
          </m:sub>
        </m:sSub>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λ</m:t>
            </m:r>
            <m:ctrlPr>
              <w:rPr>
                <w:rFonts w:ascii="Cambria Math" w:hAnsi="Cambria Math" w:cs="Times New Roman"/>
                <w:i/>
                <w:iCs/>
              </w:rPr>
            </m:ctrlPr>
          </m:e>
          <m:sub>
            <m:r>
              <m:rPr/>
              <w:rPr>
                <w:rFonts w:ascii="Cambria Math" w:hAnsi="Cambria Math" w:cs="Times New Roman"/>
              </w:rPr>
              <m:t>t</m:t>
            </m:r>
            <m:ctrlPr>
              <w:rPr>
                <w:rFonts w:ascii="Cambria Math" w:hAnsi="Cambria Math" w:cs="Times New Roman"/>
                <w:i/>
                <w:iCs/>
              </w:rPr>
            </m:ctrlPr>
          </m:sub>
        </m:sSub>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μ</m:t>
            </m:r>
            <m:ctrlPr>
              <w:rPr>
                <w:rFonts w:ascii="Cambria Math" w:hAnsi="Cambria Math" w:cs="Times New Roman"/>
                <w:i/>
                <w:iCs/>
              </w:rPr>
            </m:ctrlPr>
          </m:e>
          <m:sub>
            <m:r>
              <m:rPr/>
              <w:rPr>
                <w:rFonts w:ascii="Cambria Math" w:hAnsi="Cambria Math" w:cs="Times New Roman"/>
              </w:rPr>
              <m:t>i</m:t>
            </m:r>
            <m:ctrlPr>
              <w:rPr>
                <w:rFonts w:ascii="Cambria Math" w:hAnsi="Cambria Math" w:cs="Times New Roman"/>
                <w:i/>
                <w:iCs/>
              </w:rPr>
            </m:ctrlPr>
          </m:sub>
        </m:sSub>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ε</m:t>
            </m:r>
            <m:ctrlPr>
              <w:rPr>
                <w:rFonts w:ascii="Cambria Math" w:hAnsi="Cambria Math" w:cs="Times New Roman"/>
                <w:i/>
                <w:iCs/>
              </w:rPr>
            </m:ctrlPr>
          </m:e>
          <m:sub>
            <m:r>
              <m:rPr/>
              <w:rPr>
                <w:rFonts w:ascii="Cambria Math" w:hAnsi="Cambria Math" w:cs="Times New Roman"/>
              </w:rPr>
              <m:t>it</m:t>
            </m:r>
            <m:ctrlPr>
              <w:rPr>
                <w:rFonts w:ascii="Cambria Math" w:hAnsi="Cambria Math" w:cs="Times New Roman"/>
                <w:i/>
                <w:iCs/>
              </w:rPr>
            </m:ctrlPr>
          </m:sub>
        </m:sSub>
      </m:oMath>
      <w:r>
        <w:rPr>
          <w:rFonts w:cs="Times New Roman"/>
          <w:i/>
          <w:iCs/>
        </w:rPr>
        <w:t xml:space="preserve">   </w:t>
      </w:r>
      <w:r>
        <w:rPr>
          <w:rFonts w:cs="Times New Roman"/>
        </w:rPr>
        <w:t xml:space="preserve">                            </w:t>
      </w:r>
      <w:r>
        <w:rPr>
          <w:rFonts w:ascii="Arial" w:hAnsi="Arial"/>
          <w:sz w:val="20"/>
          <w:szCs w:val="20"/>
        </w:rPr>
        <w:t>（1）</w:t>
      </w:r>
    </w:p>
    <w:p w14:paraId="2B34A9B7">
      <w:pPr>
        <w:rPr>
          <w:rFonts w:ascii="Arial" w:hAnsi="Arial" w:cs="Arial"/>
          <w:sz w:val="20"/>
          <w:szCs w:val="20"/>
          <w:lang w:val="en-US" w:eastAsia="zh-CN"/>
        </w:rPr>
      </w:pPr>
      <w:r>
        <w:rPr>
          <w:rFonts w:ascii="Arial" w:hAnsi="Arial" w:cs="Arial"/>
          <w:sz w:val="20"/>
          <w:szCs w:val="20"/>
          <w:lang w:val="en-US" w:eastAsia="zh-CN"/>
        </w:rPr>
        <w:t xml:space="preserve">Where </w:t>
      </w:r>
      <w:r>
        <w:rPr>
          <w:rFonts w:ascii="Arial" w:hAnsi="Arial" w:cs="Arial"/>
          <w:i/>
          <w:iCs/>
          <w:sz w:val="20"/>
          <w:szCs w:val="20"/>
          <w:lang w:val="en-US" w:eastAsia="zh-CN"/>
        </w:rPr>
        <w:t>i</w:t>
      </w:r>
      <w:r>
        <w:rPr>
          <w:rFonts w:ascii="Arial" w:hAnsi="Arial" w:cs="Arial"/>
          <w:sz w:val="20"/>
          <w:szCs w:val="20"/>
          <w:lang w:val="en-US" w:eastAsia="zh-CN"/>
        </w:rPr>
        <w:t xml:space="preserve"> and </w:t>
      </w:r>
      <w:r>
        <w:rPr>
          <w:rFonts w:ascii="Arial" w:hAnsi="Arial" w:cs="Arial"/>
          <w:i/>
          <w:iCs/>
          <w:sz w:val="20"/>
          <w:szCs w:val="20"/>
          <w:lang w:val="en-US" w:eastAsia="zh-CN"/>
        </w:rPr>
        <w:t>t</w:t>
      </w:r>
      <w:r>
        <w:rPr>
          <w:rFonts w:ascii="Arial" w:hAnsi="Arial" w:cs="Arial"/>
          <w:sz w:val="20"/>
          <w:szCs w:val="20"/>
          <w:lang w:val="en-US" w:eastAsia="zh-CN"/>
        </w:rPr>
        <w:t xml:space="preserve"> represent the firm and year, respectively; </w:t>
      </w:r>
      <m:oMath>
        <m:sSub>
          <m:sSubPr>
            <m:ctrlPr>
              <w:rPr>
                <w:rFonts w:ascii="Cambria Math" w:hAnsi="Cambria Math" w:cs="Arial"/>
                <w:i/>
                <w:iCs/>
                <w:sz w:val="20"/>
                <w:szCs w:val="20"/>
                <w:lang w:val="en-US" w:eastAsia="zh-CN"/>
              </w:rPr>
            </m:ctrlPr>
          </m:sSubPr>
          <m:e>
            <m:r>
              <m:rPr/>
              <w:rPr>
                <w:rFonts w:ascii="Cambria Math" w:hAnsi="Cambria Math" w:cs="Arial"/>
                <w:sz w:val="20"/>
                <w:szCs w:val="20"/>
                <w:lang w:val="en-US" w:eastAsia="zh-CN"/>
              </w:rPr>
              <m:t>OFDI</m:t>
            </m:r>
            <m:ctrlPr>
              <w:rPr>
                <w:rFonts w:ascii="Cambria Math" w:hAnsi="Cambria Math" w:cs="Arial"/>
                <w:i/>
                <w:iCs/>
                <w:sz w:val="20"/>
                <w:szCs w:val="20"/>
                <w:lang w:val="en-US" w:eastAsia="zh-CN"/>
              </w:rPr>
            </m:ctrlPr>
          </m:e>
          <m:sub>
            <m:r>
              <m:rPr/>
              <w:rPr>
                <w:rFonts w:ascii="Cambria Math" w:hAnsi="Cambria Math" w:cs="Arial"/>
                <w:sz w:val="20"/>
                <w:szCs w:val="20"/>
                <w:lang w:val="en-US" w:eastAsia="zh-CN"/>
              </w:rPr>
              <m:t>it</m:t>
            </m:r>
            <m:ctrlPr>
              <w:rPr>
                <w:rFonts w:ascii="Cambria Math" w:hAnsi="Cambria Math" w:cs="Arial"/>
                <w:i/>
                <w:iCs/>
                <w:sz w:val="20"/>
                <w:szCs w:val="20"/>
                <w:lang w:val="en-US" w:eastAsia="zh-CN"/>
              </w:rPr>
            </m:ctrlPr>
          </m:sub>
        </m:sSub>
      </m:oMath>
      <w:r>
        <w:rPr>
          <w:rFonts w:ascii="Arial" w:hAnsi="Arial" w:cs="Arial"/>
          <w:sz w:val="20"/>
          <w:szCs w:val="20"/>
          <w:lang w:val="en-US" w:eastAsia="zh-CN"/>
        </w:rPr>
        <w:t xml:space="preserve">represents the OFDI performance of firm </w:t>
      </w:r>
      <w:r>
        <w:rPr>
          <w:rFonts w:ascii="Arial" w:hAnsi="Arial" w:cs="Arial"/>
          <w:i/>
          <w:iCs/>
          <w:sz w:val="20"/>
          <w:szCs w:val="20"/>
          <w:lang w:val="en-US" w:eastAsia="zh-CN"/>
        </w:rPr>
        <w:t>i</w:t>
      </w:r>
      <w:r>
        <w:rPr>
          <w:rFonts w:ascii="Arial" w:hAnsi="Arial" w:cs="Arial"/>
          <w:sz w:val="20"/>
          <w:szCs w:val="20"/>
          <w:lang w:val="en-US" w:eastAsia="zh-CN"/>
        </w:rPr>
        <w:t xml:space="preserve"> in year </w:t>
      </w:r>
      <w:r>
        <w:rPr>
          <w:rFonts w:ascii="Arial" w:hAnsi="Arial" w:cs="Arial"/>
          <w:i/>
          <w:iCs/>
          <w:sz w:val="20"/>
          <w:szCs w:val="20"/>
          <w:lang w:val="en-US" w:eastAsia="zh-CN"/>
        </w:rPr>
        <w:t>t</w:t>
      </w:r>
      <w:r>
        <w:rPr>
          <w:rFonts w:ascii="Arial" w:hAnsi="Arial" w:cs="Arial"/>
          <w:sz w:val="20"/>
          <w:szCs w:val="20"/>
          <w:lang w:val="en-US" w:eastAsia="zh-CN"/>
        </w:rPr>
        <w:t xml:space="preserve">; </w:t>
      </w:r>
      <m:oMath>
        <m:sSub>
          <m:sSubPr>
            <m:ctrlPr>
              <w:rPr>
                <w:rFonts w:ascii="Cambria Math" w:hAnsi="Cambria Math" w:cs="Arial"/>
                <w:i/>
                <w:iCs/>
                <w:sz w:val="20"/>
                <w:szCs w:val="20"/>
                <w:lang w:val="en-US" w:eastAsia="zh-CN"/>
              </w:rPr>
            </m:ctrlPr>
          </m:sSubPr>
          <m:e>
            <m:r>
              <m:rPr/>
              <w:rPr>
                <w:rFonts w:ascii="Cambria Math" w:hAnsi="Cambria Math" w:cs="Arial"/>
                <w:sz w:val="20"/>
                <w:szCs w:val="20"/>
                <w:lang w:val="en-US" w:eastAsia="zh-CN"/>
              </w:rPr>
              <m:t>did</m:t>
            </m:r>
            <m:ctrlPr>
              <w:rPr>
                <w:rFonts w:ascii="Cambria Math" w:hAnsi="Cambria Math" w:cs="Arial"/>
                <w:i/>
                <w:iCs/>
                <w:sz w:val="20"/>
                <w:szCs w:val="20"/>
                <w:lang w:val="en-US" w:eastAsia="zh-CN"/>
              </w:rPr>
            </m:ctrlPr>
          </m:e>
          <m:sub>
            <m:r>
              <m:rPr/>
              <w:rPr>
                <w:rFonts w:ascii="Cambria Math" w:hAnsi="Cambria Math" w:cs="Arial"/>
                <w:sz w:val="20"/>
                <w:szCs w:val="20"/>
                <w:lang w:val="en-US" w:eastAsia="zh-CN"/>
              </w:rPr>
              <m:t>it</m:t>
            </m:r>
            <m:ctrlPr>
              <w:rPr>
                <w:rFonts w:ascii="Cambria Math" w:hAnsi="Cambria Math" w:cs="Arial"/>
                <w:i/>
                <w:iCs/>
                <w:sz w:val="20"/>
                <w:szCs w:val="20"/>
                <w:lang w:val="en-US" w:eastAsia="zh-CN"/>
              </w:rPr>
            </m:ctrlPr>
          </m:sub>
        </m:sSub>
      </m:oMath>
      <w:r>
        <w:rPr>
          <w:rFonts w:ascii="Arial" w:hAnsi="Arial" w:cs="Arial"/>
          <w:sz w:val="20"/>
          <w:szCs w:val="20"/>
          <w:lang w:val="en-US" w:eastAsia="zh-CN"/>
        </w:rPr>
        <w:t xml:space="preserve"> is the policy dummy variable, indicating whether the city where firm </w:t>
      </w:r>
      <w:r>
        <w:rPr>
          <w:rFonts w:ascii="Arial" w:hAnsi="Arial" w:cs="Arial"/>
          <w:i/>
          <w:iCs/>
          <w:sz w:val="20"/>
          <w:szCs w:val="20"/>
          <w:lang w:val="en-US" w:eastAsia="zh-CN"/>
        </w:rPr>
        <w:t>i</w:t>
      </w:r>
      <w:r>
        <w:rPr>
          <w:rFonts w:ascii="Arial" w:hAnsi="Arial" w:cs="Arial"/>
          <w:sz w:val="20"/>
          <w:szCs w:val="20"/>
          <w:lang w:val="en-US" w:eastAsia="zh-CN"/>
        </w:rPr>
        <w:t xml:space="preserve"> is located is a low-carbon pilot city in year </w:t>
      </w:r>
      <w:r>
        <w:rPr>
          <w:rFonts w:ascii="Arial" w:hAnsi="Arial" w:cs="Arial"/>
          <w:i/>
          <w:iCs/>
          <w:sz w:val="20"/>
          <w:szCs w:val="20"/>
          <w:lang w:val="en-US" w:eastAsia="zh-CN"/>
        </w:rPr>
        <w:t>t</w:t>
      </w:r>
      <w:r>
        <w:rPr>
          <w:rFonts w:ascii="Arial" w:hAnsi="Arial" w:cs="Arial"/>
          <w:sz w:val="20"/>
          <w:szCs w:val="20"/>
          <w:lang w:val="en-US" w:eastAsia="zh-CN"/>
        </w:rPr>
        <w:t xml:space="preserve">. </w:t>
      </w:r>
      <m:oMath>
        <m:sSub>
          <m:sSubPr>
            <m:ctrlPr>
              <w:rPr>
                <w:rFonts w:ascii="Cambria Math" w:hAnsi="Cambria Math" w:cs="Arial"/>
                <w:i/>
                <w:iCs/>
                <w:sz w:val="20"/>
                <w:szCs w:val="20"/>
                <w:lang w:val="en-US" w:eastAsia="zh-CN"/>
              </w:rPr>
            </m:ctrlPr>
          </m:sSubPr>
          <m:e>
            <m:r>
              <m:rPr/>
              <w:rPr>
                <w:rFonts w:ascii="Cambria Math" w:hAnsi="Cambria Math" w:cs="Arial"/>
                <w:sz w:val="20"/>
                <w:szCs w:val="20"/>
                <w:lang w:val="en-US" w:eastAsia="zh-CN"/>
              </w:rPr>
              <m:t>X</m:t>
            </m:r>
            <m:ctrlPr>
              <w:rPr>
                <w:rFonts w:ascii="Cambria Math" w:hAnsi="Cambria Math" w:cs="Arial"/>
                <w:i/>
                <w:iCs/>
                <w:sz w:val="20"/>
                <w:szCs w:val="20"/>
                <w:lang w:val="en-US" w:eastAsia="zh-CN"/>
              </w:rPr>
            </m:ctrlPr>
          </m:e>
          <m:sub>
            <m:r>
              <m:rPr/>
              <w:rPr>
                <w:rFonts w:ascii="Cambria Math" w:hAnsi="Cambria Math" w:cs="Arial"/>
                <w:sz w:val="20"/>
                <w:szCs w:val="20"/>
                <w:lang w:val="en-US" w:eastAsia="zh-CN"/>
              </w:rPr>
              <m:t>it</m:t>
            </m:r>
            <m:ctrlPr>
              <w:rPr>
                <w:rFonts w:ascii="Cambria Math" w:hAnsi="Cambria Math" w:cs="Arial"/>
                <w:i/>
                <w:iCs/>
                <w:sz w:val="20"/>
                <w:szCs w:val="20"/>
                <w:lang w:val="en-US" w:eastAsia="zh-CN"/>
              </w:rPr>
            </m:ctrlPr>
          </m:sub>
        </m:sSub>
      </m:oMath>
      <w:r>
        <w:rPr>
          <w:rFonts w:ascii="Arial" w:hAnsi="Arial" w:cs="Arial"/>
          <w:sz w:val="20"/>
          <w:szCs w:val="20"/>
          <w:lang w:val="en-US" w:eastAsia="zh-CN"/>
        </w:rPr>
        <w:t xml:space="preserve"> represents a series of control variables; </w:t>
      </w:r>
      <m:oMath>
        <m:sSub>
          <m:sSubPr>
            <m:ctrlPr>
              <w:rPr>
                <w:rFonts w:ascii="Cambria Math" w:hAnsi="Cambria Math" w:cs="Arial"/>
                <w:i/>
                <w:iCs/>
                <w:sz w:val="20"/>
                <w:szCs w:val="20"/>
                <w:lang w:val="en-US" w:eastAsia="zh-CN"/>
              </w:rPr>
            </m:ctrlPr>
          </m:sSubPr>
          <m:e>
            <m:r>
              <m:rPr/>
              <w:rPr>
                <w:rFonts w:ascii="Cambria Math" w:hAnsi="Cambria Math" w:cs="Arial"/>
                <w:sz w:val="20"/>
                <w:szCs w:val="20"/>
                <w:lang w:val="en-US" w:eastAsia="zh-CN"/>
              </w:rPr>
              <m:t>λ</m:t>
            </m:r>
            <m:ctrlPr>
              <w:rPr>
                <w:rFonts w:ascii="Cambria Math" w:hAnsi="Cambria Math" w:cs="Arial"/>
                <w:i/>
                <w:iCs/>
                <w:sz w:val="20"/>
                <w:szCs w:val="20"/>
                <w:lang w:val="en-US" w:eastAsia="zh-CN"/>
              </w:rPr>
            </m:ctrlPr>
          </m:e>
          <m:sub>
            <m:r>
              <m:rPr/>
              <w:rPr>
                <w:rFonts w:ascii="Cambria Math" w:hAnsi="Cambria Math" w:cs="Arial"/>
                <w:sz w:val="20"/>
                <w:szCs w:val="20"/>
                <w:lang w:val="en-US" w:eastAsia="zh-CN"/>
              </w:rPr>
              <m:t>t</m:t>
            </m:r>
            <m:ctrlPr>
              <w:rPr>
                <w:rFonts w:ascii="Cambria Math" w:hAnsi="Cambria Math" w:cs="Arial"/>
                <w:i/>
                <w:iCs/>
                <w:sz w:val="20"/>
                <w:szCs w:val="20"/>
                <w:lang w:val="en-US" w:eastAsia="zh-CN"/>
              </w:rPr>
            </m:ctrlPr>
          </m:sub>
        </m:sSub>
      </m:oMath>
      <w:r>
        <w:rPr>
          <w:rFonts w:ascii="Arial" w:hAnsi="Arial" w:cs="Arial"/>
          <w:sz w:val="20"/>
          <w:szCs w:val="20"/>
          <w:lang w:val="en-US" w:eastAsia="zh-CN"/>
        </w:rPr>
        <w:t xml:space="preserve"> is the time fixed effect; </w:t>
      </w:r>
      <m:oMath>
        <m:sSub>
          <m:sSubPr>
            <m:ctrlPr>
              <w:rPr>
                <w:rFonts w:ascii="Cambria Math" w:hAnsi="Cambria Math" w:cs="Arial"/>
                <w:i/>
                <w:iCs/>
                <w:sz w:val="20"/>
                <w:szCs w:val="20"/>
                <w:lang w:val="en-US" w:eastAsia="zh-CN"/>
              </w:rPr>
            </m:ctrlPr>
          </m:sSubPr>
          <m:e>
            <m:r>
              <m:rPr/>
              <w:rPr>
                <w:rFonts w:ascii="Cambria Math" w:hAnsi="Cambria Math" w:cs="Arial"/>
                <w:sz w:val="20"/>
                <w:szCs w:val="20"/>
                <w:lang w:val="en-US" w:eastAsia="zh-CN"/>
              </w:rPr>
              <m:t>μ</m:t>
            </m:r>
            <m:ctrlPr>
              <w:rPr>
                <w:rFonts w:ascii="Cambria Math" w:hAnsi="Cambria Math" w:cs="Arial"/>
                <w:i/>
                <w:iCs/>
                <w:sz w:val="20"/>
                <w:szCs w:val="20"/>
                <w:lang w:val="en-US" w:eastAsia="zh-CN"/>
              </w:rPr>
            </m:ctrlPr>
          </m:e>
          <m:sub>
            <m:r>
              <m:rPr/>
              <w:rPr>
                <w:rFonts w:ascii="Cambria Math" w:hAnsi="Cambria Math" w:cs="Arial"/>
                <w:sz w:val="20"/>
                <w:szCs w:val="20"/>
                <w:lang w:val="en-US" w:eastAsia="zh-CN"/>
              </w:rPr>
              <m:t>i</m:t>
            </m:r>
            <m:ctrlPr>
              <w:rPr>
                <w:rFonts w:ascii="Cambria Math" w:hAnsi="Cambria Math" w:cs="Arial"/>
                <w:i/>
                <w:iCs/>
                <w:sz w:val="20"/>
                <w:szCs w:val="20"/>
                <w:lang w:val="en-US" w:eastAsia="zh-CN"/>
              </w:rPr>
            </m:ctrlPr>
          </m:sub>
        </m:sSub>
      </m:oMath>
      <w:r>
        <w:rPr>
          <w:rFonts w:ascii="Arial" w:hAnsi="Arial" w:cs="Arial"/>
          <w:sz w:val="20"/>
          <w:szCs w:val="20"/>
          <w:lang w:val="en-US" w:eastAsia="zh-CN"/>
        </w:rPr>
        <w:t xml:space="preserve"> is the individual fixed effect; </w:t>
      </w:r>
      <m:oMath>
        <m:sSub>
          <m:sSubPr>
            <m:ctrlPr>
              <w:rPr>
                <w:rFonts w:ascii="Cambria Math" w:hAnsi="Cambria Math" w:cs="Arial"/>
                <w:i/>
                <w:iCs/>
                <w:sz w:val="20"/>
                <w:szCs w:val="20"/>
                <w:lang w:val="en-US" w:eastAsia="zh-CN"/>
              </w:rPr>
            </m:ctrlPr>
          </m:sSubPr>
          <m:e>
            <m:r>
              <m:rPr/>
              <w:rPr>
                <w:rFonts w:ascii="Cambria Math" w:hAnsi="Cambria Math" w:cs="Arial"/>
                <w:sz w:val="20"/>
                <w:szCs w:val="20"/>
                <w:lang w:val="en-US" w:eastAsia="zh-CN"/>
              </w:rPr>
              <m:t>ε</m:t>
            </m:r>
            <m:ctrlPr>
              <w:rPr>
                <w:rFonts w:ascii="Cambria Math" w:hAnsi="Cambria Math" w:cs="Arial"/>
                <w:i/>
                <w:iCs/>
                <w:sz w:val="20"/>
                <w:szCs w:val="20"/>
                <w:lang w:val="en-US" w:eastAsia="zh-CN"/>
              </w:rPr>
            </m:ctrlPr>
          </m:e>
          <m:sub>
            <m:r>
              <m:rPr/>
              <w:rPr>
                <w:rFonts w:ascii="Cambria Math" w:hAnsi="Cambria Math" w:cs="Arial"/>
                <w:sz w:val="20"/>
                <w:szCs w:val="20"/>
                <w:lang w:val="en-US" w:eastAsia="zh-CN"/>
              </w:rPr>
              <m:t>it</m:t>
            </m:r>
            <m:ctrlPr>
              <w:rPr>
                <w:rFonts w:ascii="Cambria Math" w:hAnsi="Cambria Math" w:cs="Arial"/>
                <w:i/>
                <w:iCs/>
                <w:sz w:val="20"/>
                <w:szCs w:val="20"/>
                <w:lang w:val="en-US" w:eastAsia="zh-CN"/>
              </w:rPr>
            </m:ctrlPr>
          </m:sub>
        </m:sSub>
      </m:oMath>
      <w:r>
        <w:rPr>
          <w:rFonts w:ascii="Arial" w:hAnsi="Arial" w:cs="Arial"/>
          <w:sz w:val="20"/>
          <w:szCs w:val="20"/>
          <w:lang w:val="en-US" w:eastAsia="zh-CN"/>
        </w:rPr>
        <w:t xml:space="preserve"> is the random error term. </w:t>
      </w:r>
      <m:oMath>
        <m:r>
          <m:rPr/>
          <w:rPr>
            <w:rFonts w:ascii="Cambria Math" w:hAnsi="Cambria Math" w:cs="Arial"/>
            <w:sz w:val="20"/>
            <w:szCs w:val="20"/>
            <w:lang w:val="en-US" w:eastAsia="zh-CN"/>
          </w:rPr>
          <m:t>β</m:t>
        </m:r>
      </m:oMath>
      <w:r>
        <w:rPr>
          <w:rFonts w:ascii="Arial" w:hAnsi="Arial" w:cs="Arial"/>
          <w:sz w:val="20"/>
          <w:szCs w:val="20"/>
          <w:lang w:val="en-US" w:eastAsia="zh-CN"/>
        </w:rPr>
        <w:t xml:space="preserve"> is the difference-in-differences estimator, which is the core coefficient of interest in this paper, reflecting the net effect of the low-carbon city construction on corporate OFDI performance.</w:t>
      </w:r>
    </w:p>
    <w:p w14:paraId="1E5F9C90">
      <w:pPr>
        <w:rPr>
          <w:lang w:val="en-US" w:eastAsia="zh-CN"/>
        </w:rPr>
      </w:pPr>
    </w:p>
    <w:p w14:paraId="5505F3F0">
      <w:pPr>
        <w:pStyle w:val="46"/>
        <w:widowControl/>
        <w:spacing w:after="0"/>
        <w:rPr>
          <w:rFonts w:ascii="Arial" w:hAnsi="Arial" w:eastAsia="Times New Roman" w:cs="Arial"/>
          <w:sz w:val="20"/>
          <w:szCs w:val="20"/>
          <w:lang w:val="en-US" w:eastAsia="zh-CN"/>
        </w:rPr>
      </w:pPr>
      <w:r>
        <w:rPr>
          <w:rFonts w:ascii="Arial" w:hAnsi="Arial" w:eastAsia="Times New Roman" w:cs="Arial"/>
          <w:sz w:val="20"/>
          <w:szCs w:val="20"/>
          <w:lang w:val="en-US" w:eastAsia="zh-CN"/>
        </w:rPr>
        <w:t>To further reveal the internal mechanisms through which the low-carbon city pilot policy affects corporate OFDI, this paper constructs a mediation effect model to test the transmission pathways. The specific model is set as follows:</w:t>
      </w:r>
    </w:p>
    <w:p w14:paraId="606C1DCB">
      <w:pPr>
        <w:pStyle w:val="31"/>
        <w:spacing w:line="240" w:lineRule="auto"/>
        <w:ind w:firstLine="420"/>
        <w:jc w:val="center"/>
        <w:rPr>
          <w:rFonts w:cs="Times New Roman"/>
        </w:rPr>
      </w:pPr>
      <m:oMath>
        <m:sSub>
          <m:sSubPr>
            <m:ctrlPr>
              <w:rPr>
                <w:rFonts w:ascii="Cambria Math" w:hAnsi="Cambria Math" w:cs="Times New Roman"/>
                <w:i/>
                <w:iCs/>
              </w:rPr>
            </m:ctrlPr>
          </m:sSubPr>
          <m:e>
            <m:r>
              <m:rPr/>
              <w:rPr>
                <w:rFonts w:ascii="Cambria Math" w:hAnsi="Cambria Math" w:cs="Times New Roman"/>
              </w:rPr>
              <m:t>M</m:t>
            </m:r>
            <m:ctrlPr>
              <w:rPr>
                <w:rFonts w:ascii="Cambria Math" w:hAnsi="Cambria Math" w:cs="Times New Roman"/>
                <w:i/>
                <w:iCs/>
              </w:rPr>
            </m:ctrlPr>
          </m:e>
          <m:sub>
            <m:r>
              <m:rPr/>
              <w:rPr>
                <w:rFonts w:ascii="Cambria Math" w:hAnsi="Cambria Math" w:cs="Times New Roman"/>
              </w:rPr>
              <m:t>it</m:t>
            </m:r>
            <m:ctrlPr>
              <w:rPr>
                <w:rFonts w:ascii="Cambria Math" w:hAnsi="Cambria Math" w:cs="Times New Roman"/>
                <w:i/>
                <w:iCs/>
              </w:rPr>
            </m:ctrlPr>
          </m:sub>
        </m:sSub>
        <m:r>
          <m:rPr/>
          <w:rPr>
            <w:rFonts w:ascii="Cambria Math" w:hAnsi="Cambria Math" w:cs="Times New Roman"/>
          </w:rPr>
          <m:t>=α+β</m:t>
        </m:r>
        <m:sSub>
          <m:sSubPr>
            <m:ctrlPr>
              <w:rPr>
                <w:rFonts w:ascii="Cambria Math" w:hAnsi="Cambria Math" w:cs="Times New Roman"/>
                <w:i/>
                <w:iCs/>
              </w:rPr>
            </m:ctrlPr>
          </m:sSubPr>
          <m:e>
            <m:r>
              <m:rPr/>
              <w:rPr>
                <w:rFonts w:ascii="Cambria Math" w:hAnsi="Cambria Math" w:cs="Times New Roman"/>
              </w:rPr>
              <m:t>did</m:t>
            </m:r>
            <m:ctrlPr>
              <w:rPr>
                <w:rFonts w:ascii="Cambria Math" w:hAnsi="Cambria Math" w:cs="Times New Roman"/>
                <w:i/>
                <w:iCs/>
              </w:rPr>
            </m:ctrlPr>
          </m:e>
          <m:sub>
            <m:r>
              <m:rPr/>
              <w:rPr>
                <w:rFonts w:ascii="Cambria Math" w:hAnsi="Cambria Math" w:cs="Times New Roman"/>
              </w:rPr>
              <m:t>it</m:t>
            </m:r>
            <m:ctrlPr>
              <w:rPr>
                <w:rFonts w:ascii="Cambria Math" w:hAnsi="Cambria Math" w:cs="Times New Roman"/>
                <w:i/>
                <w:iCs/>
              </w:rPr>
            </m:ctrlPr>
          </m:sub>
        </m:sSub>
        <m:r>
          <m:rPr/>
          <w:rPr>
            <w:rFonts w:ascii="Cambria Math" w:hAnsi="Cambria Math" w:cs="Times New Roman"/>
          </w:rPr>
          <m:t>+θ</m:t>
        </m:r>
        <m:sSub>
          <m:sSubPr>
            <m:ctrlPr>
              <w:rPr>
                <w:rFonts w:ascii="Cambria Math" w:hAnsi="Cambria Math" w:cs="Times New Roman"/>
                <w:i/>
                <w:iCs/>
              </w:rPr>
            </m:ctrlPr>
          </m:sSubPr>
          <m:e>
            <m:r>
              <m:rPr/>
              <w:rPr>
                <w:rFonts w:ascii="Cambria Math" w:hAnsi="Cambria Math" w:cs="Times New Roman"/>
              </w:rPr>
              <m:t>X</m:t>
            </m:r>
            <m:ctrlPr>
              <w:rPr>
                <w:rFonts w:ascii="Cambria Math" w:hAnsi="Cambria Math" w:cs="Times New Roman"/>
                <w:i/>
                <w:iCs/>
              </w:rPr>
            </m:ctrlPr>
          </m:e>
          <m:sub>
            <m:r>
              <m:rPr/>
              <w:rPr>
                <w:rFonts w:ascii="Cambria Math" w:hAnsi="Cambria Math" w:cs="Times New Roman"/>
              </w:rPr>
              <m:t>it</m:t>
            </m:r>
            <m:ctrlPr>
              <w:rPr>
                <w:rFonts w:ascii="Cambria Math" w:hAnsi="Cambria Math" w:cs="Times New Roman"/>
                <w:i/>
                <w:iCs/>
              </w:rPr>
            </m:ctrlPr>
          </m:sub>
        </m:sSub>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λ</m:t>
            </m:r>
            <m:ctrlPr>
              <w:rPr>
                <w:rFonts w:ascii="Cambria Math" w:hAnsi="Cambria Math" w:cs="Times New Roman"/>
                <w:i/>
                <w:iCs/>
              </w:rPr>
            </m:ctrlPr>
          </m:e>
          <m:sub>
            <m:r>
              <m:rPr/>
              <w:rPr>
                <w:rFonts w:ascii="Cambria Math" w:hAnsi="Cambria Math" w:cs="Times New Roman"/>
              </w:rPr>
              <m:t>t</m:t>
            </m:r>
            <m:ctrlPr>
              <w:rPr>
                <w:rFonts w:ascii="Cambria Math" w:hAnsi="Cambria Math" w:cs="Times New Roman"/>
                <w:i/>
                <w:iCs/>
              </w:rPr>
            </m:ctrlPr>
          </m:sub>
        </m:sSub>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μ</m:t>
            </m:r>
            <m:ctrlPr>
              <w:rPr>
                <w:rFonts w:ascii="Cambria Math" w:hAnsi="Cambria Math" w:cs="Times New Roman"/>
                <w:i/>
                <w:iCs/>
              </w:rPr>
            </m:ctrlPr>
          </m:e>
          <m:sub>
            <m:r>
              <m:rPr/>
              <w:rPr>
                <w:rFonts w:ascii="Cambria Math" w:hAnsi="Cambria Math" w:cs="Times New Roman"/>
              </w:rPr>
              <m:t>i</m:t>
            </m:r>
            <m:ctrlPr>
              <w:rPr>
                <w:rFonts w:ascii="Cambria Math" w:hAnsi="Cambria Math" w:cs="Times New Roman"/>
                <w:i/>
                <w:iCs/>
              </w:rPr>
            </m:ctrlPr>
          </m:sub>
        </m:sSub>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ε</m:t>
            </m:r>
            <m:ctrlPr>
              <w:rPr>
                <w:rFonts w:ascii="Cambria Math" w:hAnsi="Cambria Math" w:cs="Times New Roman"/>
                <w:i/>
                <w:iCs/>
              </w:rPr>
            </m:ctrlPr>
          </m:e>
          <m:sub>
            <m:r>
              <m:rPr/>
              <w:rPr>
                <w:rFonts w:ascii="Cambria Math" w:hAnsi="Cambria Math" w:cs="Times New Roman"/>
              </w:rPr>
              <m:t>it</m:t>
            </m:r>
            <m:ctrlPr>
              <w:rPr>
                <w:rFonts w:ascii="Cambria Math" w:hAnsi="Cambria Math" w:cs="Times New Roman"/>
                <w:i/>
                <w:iCs/>
              </w:rPr>
            </m:ctrlPr>
          </m:sub>
        </m:sSub>
      </m:oMath>
      <w:r>
        <w:rPr>
          <w:rFonts w:cs="Times New Roman"/>
          <w:i/>
          <w:iCs/>
        </w:rPr>
        <w:t xml:space="preserve">      </w:t>
      </w:r>
      <w:r>
        <w:rPr>
          <w:rFonts w:cs="Times New Roman"/>
        </w:rPr>
        <w:t xml:space="preserve">                         </w:t>
      </w:r>
      <w:r>
        <w:rPr>
          <w:rFonts w:ascii="Arial" w:hAnsi="Arial"/>
          <w:sz w:val="20"/>
          <w:szCs w:val="20"/>
        </w:rPr>
        <w:t>（2）</w:t>
      </w:r>
    </w:p>
    <w:p w14:paraId="2EBFEC42">
      <w:pPr>
        <w:pStyle w:val="31"/>
        <w:spacing w:line="240" w:lineRule="auto"/>
        <w:ind w:firstLine="0" w:firstLineChars="0"/>
        <w:rPr>
          <w:rFonts w:ascii="Arial" w:hAnsi="Arial"/>
          <w:sz w:val="20"/>
          <w:szCs w:val="20"/>
        </w:rPr>
      </w:pPr>
      <w:r>
        <w:rPr>
          <w:rFonts w:ascii="Arial" w:hAnsi="Arial"/>
          <w:sz w:val="20"/>
          <w:szCs w:val="20"/>
        </w:rPr>
        <w:t xml:space="preserve">Where </w:t>
      </w:r>
      <m:oMath>
        <m:sSub>
          <m:sSubPr>
            <m:ctrlPr>
              <w:rPr>
                <w:rFonts w:ascii="Cambria Math" w:hAnsi="Cambria Math"/>
                <w:i/>
                <w:iCs/>
                <w:sz w:val="20"/>
                <w:szCs w:val="20"/>
              </w:rPr>
            </m:ctrlPr>
          </m:sSubPr>
          <m:e>
            <m:r>
              <m:rPr/>
              <w:rPr>
                <w:rFonts w:ascii="Cambria Math" w:hAnsi="Cambria Math"/>
                <w:sz w:val="20"/>
                <w:szCs w:val="20"/>
              </w:rPr>
              <m:t>M</m:t>
            </m:r>
            <m:ctrlPr>
              <w:rPr>
                <w:rFonts w:ascii="Cambria Math" w:hAnsi="Cambria Math"/>
                <w:i/>
                <w:iCs/>
                <w:sz w:val="20"/>
                <w:szCs w:val="20"/>
              </w:rPr>
            </m:ctrlPr>
          </m:e>
          <m:sub>
            <m:r>
              <m:rPr/>
              <w:rPr>
                <w:rFonts w:ascii="Cambria Math" w:hAnsi="Cambria Math"/>
                <w:sz w:val="20"/>
                <w:szCs w:val="20"/>
              </w:rPr>
              <m:t>it</m:t>
            </m:r>
            <m:ctrlPr>
              <w:rPr>
                <w:rFonts w:ascii="Cambria Math" w:hAnsi="Cambria Math"/>
                <w:i/>
                <w:iCs/>
                <w:sz w:val="20"/>
                <w:szCs w:val="20"/>
              </w:rPr>
            </m:ctrlPr>
          </m:sub>
        </m:sSub>
      </m:oMath>
      <w:r>
        <w:rPr>
          <w:rFonts w:ascii="Arial" w:hAnsi="Arial"/>
          <w:sz w:val="20"/>
          <w:szCs w:val="20"/>
        </w:rPr>
        <w:t xml:space="preserve"> represents the mechanism variables, corresponding to theoretical mechanism indicators such as the level of green innovation and the degree of digital transformation; the other variables have the same meaning as in equation (1).</w:t>
      </w:r>
    </w:p>
    <w:p w14:paraId="13D76EF4">
      <w:pPr>
        <w:pStyle w:val="3"/>
        <w:numPr>
          <w:ilvl w:val="1"/>
          <w:numId w:val="0"/>
        </w:numPr>
        <w:spacing w:before="0" w:after="0" w:line="240" w:lineRule="auto"/>
        <w:ind w:left="573" w:hanging="573"/>
        <w:rPr>
          <w:rFonts w:eastAsia="Times New Roman"/>
          <w:bCs w:val="0"/>
          <w:caps/>
          <w:sz w:val="22"/>
          <w:szCs w:val="20"/>
          <w:lang w:val="en-US" w:eastAsia="zh-CN"/>
        </w:rPr>
      </w:pPr>
      <w:r>
        <w:rPr>
          <w:rFonts w:hint="eastAsia" w:eastAsia="Times New Roman"/>
          <w:bCs w:val="0"/>
          <w:caps/>
          <w:sz w:val="22"/>
          <w:szCs w:val="20"/>
          <w:lang w:val="en-US" w:eastAsia="zh-CN"/>
        </w:rPr>
        <w:t>4</w:t>
      </w:r>
      <w:r>
        <w:rPr>
          <w:rFonts w:eastAsia="Times New Roman"/>
          <w:bCs w:val="0"/>
          <w:caps/>
          <w:sz w:val="22"/>
          <w:szCs w:val="20"/>
          <w:lang w:val="en-US" w:eastAsia="zh-CN"/>
        </w:rPr>
        <w:t>.2</w:t>
      </w:r>
      <w:r>
        <w:rPr>
          <w:rFonts w:hint="eastAsia" w:eastAsia="Times New Roman"/>
          <w:bCs w:val="0"/>
          <w:caps/>
          <w:sz w:val="22"/>
          <w:szCs w:val="20"/>
          <w:lang w:val="en-US" w:eastAsia="zh-CN"/>
        </w:rPr>
        <w:t xml:space="preserve"> Variable Selection</w:t>
      </w:r>
    </w:p>
    <w:p w14:paraId="4AC84B59">
      <w:pPr>
        <w:rPr>
          <w:lang w:val="en-US" w:eastAsia="zh-CN"/>
        </w:rPr>
      </w:pPr>
    </w:p>
    <w:p w14:paraId="00FF84D4">
      <w:pPr>
        <w:pStyle w:val="4"/>
        <w:numPr>
          <w:ilvl w:val="2"/>
          <w:numId w:val="0"/>
        </w:numPr>
        <w:spacing w:before="0" w:after="0" w:line="240" w:lineRule="auto"/>
        <w:rPr>
          <w:rFonts w:eastAsia="宋体"/>
          <w:bCs w:val="0"/>
          <w:sz w:val="20"/>
          <w:szCs w:val="20"/>
          <w:u w:val="single"/>
          <w:lang w:val="en-US" w:eastAsia="zh-CN"/>
        </w:rPr>
      </w:pPr>
      <w:r>
        <w:rPr>
          <w:rFonts w:hint="eastAsia" w:eastAsia="宋体"/>
          <w:bCs w:val="0"/>
          <w:sz w:val="20"/>
          <w:szCs w:val="20"/>
          <w:u w:val="single"/>
          <w:lang w:val="en-US" w:eastAsia="zh-CN"/>
        </w:rPr>
        <w:t>4</w:t>
      </w:r>
      <w:r>
        <w:rPr>
          <w:rFonts w:eastAsia="宋体"/>
          <w:bCs w:val="0"/>
          <w:sz w:val="20"/>
          <w:szCs w:val="20"/>
          <w:u w:val="single"/>
          <w:lang w:val="en-US" w:eastAsia="zh-CN"/>
        </w:rPr>
        <w:t>.2.1</w:t>
      </w:r>
      <w:r>
        <w:rPr>
          <w:rFonts w:hint="eastAsia" w:eastAsia="宋体"/>
          <w:bCs w:val="0"/>
          <w:sz w:val="20"/>
          <w:szCs w:val="20"/>
          <w:u w:val="single"/>
          <w:lang w:val="en-US" w:eastAsia="zh-CN"/>
        </w:rPr>
        <w:t xml:space="preserve"> </w:t>
      </w:r>
      <w:r>
        <w:rPr>
          <w:rFonts w:eastAsia="宋体"/>
          <w:bCs w:val="0"/>
          <w:sz w:val="20"/>
          <w:szCs w:val="20"/>
          <w:u w:val="single"/>
          <w:lang w:val="en-US" w:eastAsia="zh-CN"/>
        </w:rPr>
        <w:t>Dependent Variable</w:t>
      </w:r>
    </w:p>
    <w:p w14:paraId="65977747">
      <w:pPr>
        <w:rPr>
          <w:lang w:val="en-US" w:eastAsia="zh-CN"/>
        </w:rPr>
      </w:pPr>
    </w:p>
    <w:p w14:paraId="7EC7DCD2">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This paper selects corporate Outward Foreign Direct Investment (OFDI) as the core dependent variable to quantify firms' internationalization strategy and overseas investment behavior. Corporate OFDI is not only a crucial way for firms to expand into international markets and acquire strategic resources but also a key indicator of their global resource allocation capabilities and international competitiveness. To comprehensively and accurately reflect the scale, activity, and dynamic changes of corporate OFDI, this study uses the natural logarithm of the corporate OFDI flow as the measurement method. This approach has three advantages: first, the logarithmic transformation can effectively mitigate the problem of heteroscedasticity in the original data, improving the estimation accuracy of the econometric model; second, the log-transformed indicator can intuitively reflect the relative changes in OFDI scale, facilitating comparative analysis across firms and time periods; third, by converting small investment changes into quantifiable numerical differences, it enhances the data's ability to capture the sensitivity of corporate investment decisions.</w:t>
      </w:r>
    </w:p>
    <w:p w14:paraId="546F5D86">
      <w:pPr>
        <w:pStyle w:val="46"/>
        <w:widowControl/>
        <w:spacing w:after="0"/>
        <w:rPr>
          <w:rFonts w:ascii="Arial" w:hAnsi="Arial" w:eastAsia="Times New Roman" w:cs="Arial"/>
          <w:sz w:val="20"/>
          <w:szCs w:val="20"/>
          <w:lang w:val="en-US" w:eastAsia="zh-CN"/>
        </w:rPr>
      </w:pPr>
    </w:p>
    <w:p w14:paraId="4F63B39F">
      <w:pPr>
        <w:pStyle w:val="4"/>
        <w:numPr>
          <w:ilvl w:val="2"/>
          <w:numId w:val="0"/>
        </w:numPr>
        <w:spacing w:before="0" w:after="0" w:line="240" w:lineRule="auto"/>
        <w:rPr>
          <w:rFonts w:eastAsia="宋体"/>
          <w:bCs w:val="0"/>
          <w:sz w:val="20"/>
          <w:szCs w:val="20"/>
          <w:u w:val="single"/>
          <w:lang w:val="en-US" w:eastAsia="zh-CN"/>
        </w:rPr>
      </w:pPr>
      <w:r>
        <w:rPr>
          <w:rFonts w:hint="eastAsia" w:eastAsia="宋体"/>
          <w:bCs w:val="0"/>
          <w:sz w:val="20"/>
          <w:szCs w:val="20"/>
          <w:u w:val="single"/>
          <w:lang w:val="en-US" w:eastAsia="zh-CN"/>
        </w:rPr>
        <w:t>4</w:t>
      </w:r>
      <w:r>
        <w:rPr>
          <w:rFonts w:eastAsia="宋体"/>
          <w:bCs w:val="0"/>
          <w:sz w:val="20"/>
          <w:szCs w:val="20"/>
          <w:u w:val="single"/>
          <w:lang w:val="en-US" w:eastAsia="zh-CN"/>
        </w:rPr>
        <w:t>.2.2</w:t>
      </w:r>
      <w:r>
        <w:rPr>
          <w:rFonts w:hint="eastAsia" w:eastAsia="宋体"/>
          <w:bCs w:val="0"/>
          <w:sz w:val="20"/>
          <w:szCs w:val="20"/>
          <w:u w:val="single"/>
          <w:lang w:val="en-US" w:eastAsia="zh-CN"/>
        </w:rPr>
        <w:t xml:space="preserve"> </w:t>
      </w:r>
      <w:r>
        <w:rPr>
          <w:rFonts w:eastAsia="宋体"/>
          <w:bCs w:val="0"/>
          <w:sz w:val="20"/>
          <w:szCs w:val="20"/>
          <w:u w:val="single"/>
          <w:lang w:val="en-US" w:eastAsia="zh-CN"/>
        </w:rPr>
        <w:t>Core Explanatory Variable</w:t>
      </w:r>
    </w:p>
    <w:p w14:paraId="3EEEC1B7">
      <w:pPr>
        <w:rPr>
          <w:lang w:val="en-US" w:eastAsia="zh-CN"/>
        </w:rPr>
      </w:pPr>
    </w:p>
    <w:p w14:paraId="688A52FC">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The core explanatory variable of this study is the dummy variable for the low-carbon city pilot policy, used to identify the boundary of the policy's impact on corporate decisions. The specific assignment rule is as follows: for a pilot city, the variable takes the value of 1 in the year it was included in the low-carbon city pilot list and in subsequent years, and 0 in the years before the policy implementation and for non-pilot cities. As of 2022, China's low-carbon city pilot program was launched in three batches (2010, 2012, 2017). If a city was part of multiple pilot batches, the year of its first inclusion is taken as the policy's effective date. Additionally, since the list for the second batch of pilot cities was released in November 2012, and considering the time lag between policy announcement and actual implementation, this study uniformly sets 2013 as the starting year of policy implementation for the second batch of pilot cities to more accurately capture the dynamic impact of the policy on corporate OFDI decisions.</w:t>
      </w:r>
    </w:p>
    <w:p w14:paraId="1D9E6EA8">
      <w:pPr>
        <w:pStyle w:val="46"/>
        <w:widowControl/>
        <w:spacing w:after="0"/>
        <w:rPr>
          <w:rFonts w:ascii="Arial" w:hAnsi="Arial" w:eastAsia="Times New Roman" w:cs="Arial"/>
          <w:sz w:val="20"/>
          <w:szCs w:val="20"/>
          <w:lang w:val="en-US" w:eastAsia="zh-CN"/>
        </w:rPr>
      </w:pPr>
    </w:p>
    <w:p w14:paraId="6207E617">
      <w:pPr>
        <w:pStyle w:val="4"/>
        <w:numPr>
          <w:ilvl w:val="2"/>
          <w:numId w:val="0"/>
        </w:numPr>
        <w:spacing w:before="0" w:after="0" w:line="240" w:lineRule="auto"/>
        <w:rPr>
          <w:rFonts w:eastAsia="宋体"/>
          <w:bCs w:val="0"/>
          <w:sz w:val="20"/>
          <w:szCs w:val="20"/>
          <w:u w:val="single"/>
          <w:lang w:val="en-US" w:eastAsia="zh-CN"/>
        </w:rPr>
      </w:pPr>
      <w:r>
        <w:rPr>
          <w:rFonts w:hint="eastAsia" w:eastAsia="宋体"/>
          <w:bCs w:val="0"/>
          <w:sz w:val="20"/>
          <w:szCs w:val="20"/>
          <w:u w:val="single"/>
          <w:lang w:val="en-US" w:eastAsia="zh-CN"/>
        </w:rPr>
        <w:t>4</w:t>
      </w:r>
      <w:r>
        <w:rPr>
          <w:rFonts w:eastAsia="宋体"/>
          <w:bCs w:val="0"/>
          <w:sz w:val="20"/>
          <w:szCs w:val="20"/>
          <w:u w:val="single"/>
          <w:lang w:val="en-US" w:eastAsia="zh-CN"/>
        </w:rPr>
        <w:t>.2.3</w:t>
      </w:r>
      <w:r>
        <w:rPr>
          <w:rFonts w:hint="eastAsia" w:eastAsia="宋体"/>
          <w:bCs w:val="0"/>
          <w:sz w:val="20"/>
          <w:szCs w:val="20"/>
          <w:u w:val="single"/>
          <w:lang w:val="en-US" w:eastAsia="zh-CN"/>
        </w:rPr>
        <w:t xml:space="preserve"> </w:t>
      </w:r>
      <w:r>
        <w:rPr>
          <w:rFonts w:eastAsia="宋体"/>
          <w:bCs w:val="0"/>
          <w:sz w:val="20"/>
          <w:szCs w:val="20"/>
          <w:u w:val="single"/>
          <w:lang w:val="en-US" w:eastAsia="zh-CN"/>
        </w:rPr>
        <w:t>Control Variables</w:t>
      </w:r>
    </w:p>
    <w:p w14:paraId="6412EFFF">
      <w:pPr>
        <w:rPr>
          <w:lang w:val="en-US" w:eastAsia="zh-CN"/>
        </w:rPr>
      </w:pPr>
    </w:p>
    <w:p w14:paraId="458DFC34">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To provide a more comprehensive examination of the impact of various factors on corporate OFDI and to avoid the problem of omitted variables, this paper introduces control variables that may have a significant impact on corporate OFDI. These include: Firm size (Size), measured by the natural logarithm of total assets; Leverage (Lev), represented by the ratio of total liabilities to total assets; Growth ability (Growth), represented by the year-on-year growth rate of operating revenue; Ownership concentration (Top5), the proportion of shares held by the top five shareholders; Board size (Board), the number of members on the board of directors; Proportion of independent directors (Indep), the ratio of independent directors to the total board size; Fixed assets ratio (Fixed), the ratio of fixed assets to total assets; Firm age (ListAge), calculated as the natural logarithm of the current year minus the founding year plus one; Administrative expense ratio (Mfee), the ratio of administrative expenses to main business revenue; Operating expense ratio (AgC1), the ratio of operating expenses to operating revenue; and Cash flow ratio (Cashflow), measured by the ratio of net profit to total assets.</w:t>
      </w:r>
    </w:p>
    <w:p w14:paraId="73112650">
      <w:pPr>
        <w:pStyle w:val="46"/>
        <w:widowControl/>
        <w:spacing w:after="0"/>
        <w:rPr>
          <w:rFonts w:ascii="Arial" w:hAnsi="Arial" w:eastAsia="Times New Roman" w:cs="Arial"/>
          <w:sz w:val="20"/>
          <w:szCs w:val="20"/>
          <w:lang w:val="en-US" w:eastAsia="zh-CN"/>
        </w:rPr>
      </w:pPr>
    </w:p>
    <w:p w14:paraId="73F7B994">
      <w:pPr>
        <w:pStyle w:val="44"/>
        <w:widowControl/>
        <w:spacing w:after="0"/>
        <w:rPr>
          <w:rFonts w:ascii="Arial" w:hAnsi="Arial" w:eastAsia="Times New Roman" w:cs="Arial"/>
          <w:szCs w:val="20"/>
          <w:lang w:val="en-US" w:eastAsia="zh-CN"/>
        </w:rPr>
      </w:pPr>
      <w:r>
        <w:rPr>
          <w:rFonts w:hint="eastAsia" w:ascii="Arial" w:hAnsi="Arial" w:eastAsia="Times New Roman" w:cs="Arial"/>
          <w:szCs w:val="20"/>
          <w:lang w:val="en-US" w:eastAsia="zh-CN"/>
        </w:rPr>
        <w:t>4</w:t>
      </w:r>
      <w:r>
        <w:rPr>
          <w:rFonts w:ascii="Arial" w:hAnsi="Arial" w:eastAsia="Times New Roman" w:cs="Arial"/>
          <w:szCs w:val="20"/>
          <w:lang w:val="en-US" w:eastAsia="zh-CN"/>
        </w:rPr>
        <w:t>.3</w:t>
      </w:r>
      <w:r>
        <w:rPr>
          <w:rFonts w:hint="eastAsia" w:ascii="Arial" w:hAnsi="Arial" w:eastAsia="Times New Roman" w:cs="Arial"/>
          <w:szCs w:val="20"/>
          <w:lang w:val="en-US" w:eastAsia="zh-CN"/>
        </w:rPr>
        <w:t xml:space="preserve"> Data Sources and Description</w:t>
      </w:r>
    </w:p>
    <w:p w14:paraId="01975FFA">
      <w:pPr>
        <w:pStyle w:val="44"/>
        <w:widowControl/>
        <w:spacing w:after="0"/>
        <w:rPr>
          <w:rFonts w:ascii="Arial" w:hAnsi="Arial" w:eastAsia="Times New Roman" w:cs="Arial"/>
          <w:szCs w:val="20"/>
          <w:lang w:val="en-US" w:eastAsia="zh-CN"/>
        </w:rPr>
      </w:pPr>
    </w:p>
    <w:p w14:paraId="27499B04">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This study uses an unbalanced panel dataset of Chinese A-share listed companies from 2007 to 2023. Data on the low-carbon city pilot policy were manually compiled from official government sources, while other variables were sourced from the RESSET Financial Research Database, the "Shu Ju Pi Pi Xia" database, and various statistical yearbooks, with all data being cross-verified.</w:t>
      </w:r>
    </w:p>
    <w:p w14:paraId="4DCCADD6">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To ensure reliability, the sample was rigorously screened by: Excluding delisting-risk (ST/*ST) companies and firms in the financial and real estate industries. Deleting observations with missing data for core variables. Winsorizing all continuous variables at the 1st and 99th percentiles to mitigate the effect of extreme values.The final dataset contains 21,351 firm-year observations.</w:t>
      </w:r>
    </w:p>
    <w:p w14:paraId="4035D7BA">
      <w:pPr>
        <w:pStyle w:val="46"/>
        <w:widowControl/>
        <w:spacing w:after="0"/>
        <w:rPr>
          <w:rFonts w:ascii="Arial" w:hAnsi="Arial" w:eastAsia="Times New Roman" w:cs="Arial"/>
          <w:sz w:val="20"/>
          <w:szCs w:val="20"/>
          <w:lang w:val="en-US" w:eastAsia="zh-CN"/>
        </w:rPr>
      </w:pPr>
    </w:p>
    <w:p w14:paraId="6CA1C8CB">
      <w:pPr>
        <w:widowControl/>
        <w:autoSpaceDE w:val="0"/>
        <w:autoSpaceDN w:val="0"/>
        <w:adjustRightInd w:val="0"/>
        <w:rPr>
          <w:rFonts w:ascii="Arial" w:hAnsi="Arial" w:eastAsia="Times New Roman" w:cs="Arial"/>
          <w:b/>
          <w:bCs/>
          <w:sz w:val="20"/>
          <w:lang w:val="en-US" w:eastAsia="en-US"/>
        </w:rPr>
      </w:pPr>
      <w:r>
        <w:rPr>
          <w:rFonts w:ascii="Arial" w:hAnsi="Arial" w:eastAsia="Times New Roman" w:cs="Arial"/>
          <w:b/>
          <w:bCs/>
          <w:sz w:val="20"/>
          <w:lang w:val="en-US" w:eastAsia="zh-CN"/>
        </w:rPr>
        <w:t>Table 1: Descriptive Statistics</w:t>
      </w:r>
    </w:p>
    <w:tbl>
      <w:tblPr>
        <w:tblStyle w:val="20"/>
        <w:tblW w:w="4997" w:type="pct"/>
        <w:tblInd w:w="0" w:type="dxa"/>
        <w:tblLayout w:type="autofit"/>
        <w:tblCellMar>
          <w:top w:w="0" w:type="dxa"/>
          <w:left w:w="108" w:type="dxa"/>
          <w:bottom w:w="0" w:type="dxa"/>
          <w:right w:w="108" w:type="dxa"/>
        </w:tblCellMar>
      </w:tblPr>
      <w:tblGrid>
        <w:gridCol w:w="1995"/>
        <w:gridCol w:w="3035"/>
        <w:gridCol w:w="753"/>
        <w:gridCol w:w="806"/>
        <w:gridCol w:w="1041"/>
        <w:gridCol w:w="806"/>
        <w:gridCol w:w="806"/>
      </w:tblGrid>
      <w:tr w14:paraId="15636FD3">
        <w:tblPrEx>
          <w:tblCellMar>
            <w:top w:w="0" w:type="dxa"/>
            <w:left w:w="108" w:type="dxa"/>
            <w:bottom w:w="0" w:type="dxa"/>
            <w:right w:w="108" w:type="dxa"/>
          </w:tblCellMar>
        </w:tblPrEx>
        <w:trPr>
          <w:trHeight w:val="285" w:hRule="atLeast"/>
        </w:trPr>
        <w:tc>
          <w:tcPr>
            <w:tcW w:w="788" w:type="pct"/>
            <w:tcBorders>
              <w:top w:val="single" w:color="auto" w:sz="12" w:space="0"/>
              <w:left w:val="nil"/>
              <w:bottom w:val="single" w:color="auto" w:sz="12" w:space="0"/>
              <w:right w:val="nil"/>
            </w:tcBorders>
            <w:noWrap/>
            <w:vAlign w:val="center"/>
          </w:tcPr>
          <w:p w14:paraId="15A105DD">
            <w:pPr>
              <w:widowControl/>
              <w:jc w:val="center"/>
              <w:textAlignment w:val="center"/>
              <w:rPr>
                <w:rFonts w:ascii="Arial" w:hAnsi="Arial" w:eastAsia="宋体" w:cs="Arial"/>
                <w:b/>
                <w:bCs/>
                <w:color w:val="000000"/>
                <w:sz w:val="20"/>
                <w:szCs w:val="20"/>
              </w:rPr>
            </w:pPr>
            <w:r>
              <w:rPr>
                <w:rFonts w:ascii="Arial" w:hAnsi="Arial" w:eastAsia="宋体" w:cs="Arial"/>
                <w:b/>
                <w:bCs/>
                <w:sz w:val="20"/>
                <w:szCs w:val="20"/>
              </w:rPr>
              <w:t>Variable Type</w:t>
            </w:r>
          </w:p>
        </w:tc>
        <w:tc>
          <w:tcPr>
            <w:tcW w:w="1366" w:type="pct"/>
            <w:tcBorders>
              <w:top w:val="single" w:color="auto" w:sz="12" w:space="0"/>
              <w:left w:val="nil"/>
              <w:bottom w:val="single" w:color="auto" w:sz="12" w:space="0"/>
              <w:right w:val="nil"/>
            </w:tcBorders>
            <w:noWrap/>
            <w:vAlign w:val="center"/>
          </w:tcPr>
          <w:p w14:paraId="5D6ABB56">
            <w:pPr>
              <w:widowControl/>
              <w:jc w:val="center"/>
              <w:textAlignment w:val="center"/>
              <w:rPr>
                <w:rFonts w:ascii="Arial" w:hAnsi="Arial" w:eastAsia="宋体" w:cs="Arial"/>
                <w:b/>
                <w:bCs/>
                <w:color w:val="000000"/>
                <w:sz w:val="20"/>
                <w:szCs w:val="20"/>
              </w:rPr>
            </w:pPr>
            <w:r>
              <w:rPr>
                <w:rFonts w:ascii="Arial" w:hAnsi="Arial" w:eastAsia="宋体" w:cs="Arial"/>
                <w:b/>
                <w:bCs/>
                <w:sz w:val="20"/>
                <w:szCs w:val="20"/>
              </w:rPr>
              <w:t>Variable Name</w:t>
            </w:r>
          </w:p>
        </w:tc>
        <w:tc>
          <w:tcPr>
            <w:tcW w:w="409" w:type="pct"/>
            <w:tcBorders>
              <w:top w:val="single" w:color="auto" w:sz="12" w:space="0"/>
              <w:left w:val="nil"/>
              <w:bottom w:val="single" w:color="auto" w:sz="12" w:space="0"/>
              <w:right w:val="nil"/>
            </w:tcBorders>
            <w:noWrap/>
            <w:vAlign w:val="center"/>
          </w:tcPr>
          <w:p w14:paraId="62A1BA17">
            <w:pPr>
              <w:widowControl/>
              <w:jc w:val="center"/>
              <w:textAlignment w:val="center"/>
              <w:rPr>
                <w:rFonts w:ascii="Arial" w:hAnsi="Arial" w:eastAsia="宋体" w:cs="Arial"/>
                <w:b/>
                <w:bCs/>
                <w:color w:val="000000"/>
                <w:sz w:val="20"/>
                <w:szCs w:val="20"/>
              </w:rPr>
            </w:pPr>
            <w:r>
              <w:rPr>
                <w:rFonts w:ascii="Arial" w:hAnsi="Arial" w:eastAsia="宋体" w:cs="Arial"/>
                <w:b/>
                <w:bCs/>
                <w:sz w:val="20"/>
                <w:szCs w:val="20"/>
              </w:rPr>
              <w:t>N</w:t>
            </w:r>
          </w:p>
        </w:tc>
        <w:tc>
          <w:tcPr>
            <w:tcW w:w="592" w:type="pct"/>
            <w:tcBorders>
              <w:top w:val="single" w:color="auto" w:sz="12" w:space="0"/>
              <w:left w:val="nil"/>
              <w:bottom w:val="single" w:color="auto" w:sz="12" w:space="0"/>
              <w:right w:val="nil"/>
            </w:tcBorders>
            <w:noWrap/>
            <w:vAlign w:val="center"/>
          </w:tcPr>
          <w:p w14:paraId="716CFB1D">
            <w:pPr>
              <w:widowControl/>
              <w:jc w:val="center"/>
              <w:textAlignment w:val="center"/>
              <w:rPr>
                <w:rFonts w:ascii="Arial" w:hAnsi="Arial" w:eastAsia="宋体" w:cs="Arial"/>
                <w:b/>
                <w:bCs/>
                <w:color w:val="000000"/>
                <w:sz w:val="20"/>
                <w:szCs w:val="20"/>
              </w:rPr>
            </w:pPr>
            <w:r>
              <w:rPr>
                <w:rFonts w:ascii="Arial" w:hAnsi="Arial" w:eastAsia="宋体" w:cs="Arial"/>
                <w:b/>
                <w:bCs/>
                <w:sz w:val="20"/>
                <w:szCs w:val="20"/>
              </w:rPr>
              <w:t>Mean</w:t>
            </w:r>
          </w:p>
        </w:tc>
        <w:tc>
          <w:tcPr>
            <w:tcW w:w="593" w:type="pct"/>
            <w:tcBorders>
              <w:top w:val="single" w:color="auto" w:sz="12" w:space="0"/>
              <w:left w:val="nil"/>
              <w:bottom w:val="single" w:color="auto" w:sz="12" w:space="0"/>
              <w:right w:val="nil"/>
            </w:tcBorders>
            <w:noWrap/>
            <w:vAlign w:val="center"/>
          </w:tcPr>
          <w:p w14:paraId="7CEA83EA">
            <w:pPr>
              <w:widowControl/>
              <w:jc w:val="center"/>
              <w:textAlignment w:val="center"/>
              <w:rPr>
                <w:rFonts w:ascii="Arial" w:hAnsi="Arial" w:eastAsia="宋体" w:cs="Arial"/>
                <w:b/>
                <w:bCs/>
                <w:color w:val="000000"/>
                <w:sz w:val="20"/>
                <w:szCs w:val="20"/>
              </w:rPr>
            </w:pPr>
            <w:r>
              <w:rPr>
                <w:rFonts w:ascii="Arial" w:hAnsi="Arial" w:eastAsia="宋体" w:cs="Arial"/>
                <w:b/>
                <w:bCs/>
                <w:sz w:val="20"/>
                <w:szCs w:val="20"/>
              </w:rPr>
              <w:t>Std.</w:t>
            </w:r>
            <w:r>
              <w:rPr>
                <w:rFonts w:ascii="Arial" w:hAnsi="Arial" w:eastAsia="宋体" w:cs="Arial"/>
                <w:b/>
                <w:bCs/>
                <w:sz w:val="20"/>
                <w:szCs w:val="20"/>
                <w:lang w:val="en-US" w:eastAsia="zh-CN"/>
              </w:rPr>
              <w:t xml:space="preserve"> </w:t>
            </w:r>
            <w:r>
              <w:rPr>
                <w:rFonts w:ascii="Arial" w:hAnsi="Arial" w:eastAsia="宋体" w:cs="Arial"/>
                <w:b/>
                <w:bCs/>
                <w:sz w:val="20"/>
                <w:szCs w:val="20"/>
              </w:rPr>
              <w:t>Dev.</w:t>
            </w:r>
          </w:p>
        </w:tc>
        <w:tc>
          <w:tcPr>
            <w:tcW w:w="657" w:type="pct"/>
            <w:tcBorders>
              <w:top w:val="single" w:color="auto" w:sz="12" w:space="0"/>
              <w:left w:val="nil"/>
              <w:bottom w:val="single" w:color="auto" w:sz="12" w:space="0"/>
              <w:right w:val="nil"/>
            </w:tcBorders>
            <w:noWrap/>
            <w:vAlign w:val="center"/>
          </w:tcPr>
          <w:p w14:paraId="4BD395ED">
            <w:pPr>
              <w:widowControl/>
              <w:jc w:val="center"/>
              <w:textAlignment w:val="center"/>
              <w:rPr>
                <w:rFonts w:ascii="Arial" w:hAnsi="Arial" w:eastAsia="宋体" w:cs="Arial"/>
                <w:b/>
                <w:bCs/>
                <w:color w:val="000000"/>
                <w:sz w:val="20"/>
                <w:szCs w:val="20"/>
              </w:rPr>
            </w:pPr>
            <w:r>
              <w:rPr>
                <w:rFonts w:ascii="Arial" w:hAnsi="Arial" w:eastAsia="宋体" w:cs="Arial"/>
                <w:b/>
                <w:bCs/>
                <w:sz w:val="20"/>
                <w:szCs w:val="20"/>
              </w:rPr>
              <w:t>Min</w:t>
            </w:r>
          </w:p>
        </w:tc>
        <w:tc>
          <w:tcPr>
            <w:tcW w:w="593" w:type="pct"/>
            <w:tcBorders>
              <w:top w:val="single" w:color="auto" w:sz="12" w:space="0"/>
              <w:left w:val="nil"/>
              <w:bottom w:val="single" w:color="auto" w:sz="12" w:space="0"/>
              <w:right w:val="nil"/>
            </w:tcBorders>
            <w:noWrap/>
            <w:vAlign w:val="center"/>
          </w:tcPr>
          <w:p w14:paraId="0F2B90EC">
            <w:pPr>
              <w:widowControl/>
              <w:jc w:val="center"/>
              <w:textAlignment w:val="center"/>
              <w:rPr>
                <w:rFonts w:ascii="Arial" w:hAnsi="Arial" w:eastAsia="宋体" w:cs="Arial"/>
                <w:b/>
                <w:bCs/>
                <w:color w:val="000000"/>
                <w:sz w:val="20"/>
                <w:szCs w:val="20"/>
              </w:rPr>
            </w:pPr>
            <w:r>
              <w:rPr>
                <w:rFonts w:ascii="Arial" w:hAnsi="Arial" w:eastAsia="宋体" w:cs="Arial"/>
                <w:b/>
                <w:bCs/>
                <w:sz w:val="20"/>
                <w:szCs w:val="20"/>
              </w:rPr>
              <w:t>Max</w:t>
            </w:r>
          </w:p>
        </w:tc>
      </w:tr>
      <w:tr w14:paraId="0E5FEBDB">
        <w:tblPrEx>
          <w:tblCellMar>
            <w:top w:w="0" w:type="dxa"/>
            <w:left w:w="108" w:type="dxa"/>
            <w:bottom w:w="0" w:type="dxa"/>
            <w:right w:w="108" w:type="dxa"/>
          </w:tblCellMar>
        </w:tblPrEx>
        <w:trPr>
          <w:trHeight w:val="285" w:hRule="atLeast"/>
        </w:trPr>
        <w:tc>
          <w:tcPr>
            <w:tcW w:w="788" w:type="pct"/>
            <w:tcBorders>
              <w:top w:val="single" w:color="auto" w:sz="12" w:space="0"/>
              <w:left w:val="nil"/>
              <w:bottom w:val="nil"/>
              <w:right w:val="nil"/>
            </w:tcBorders>
            <w:noWrap/>
            <w:vAlign w:val="center"/>
          </w:tcPr>
          <w:p w14:paraId="22C5AD13">
            <w:pPr>
              <w:widowControl/>
              <w:jc w:val="center"/>
              <w:textAlignment w:val="center"/>
              <w:rPr>
                <w:rFonts w:ascii="Arial" w:hAnsi="Arial" w:eastAsia="宋体" w:cs="Arial"/>
                <w:color w:val="000000"/>
                <w:sz w:val="20"/>
                <w:szCs w:val="20"/>
              </w:rPr>
            </w:pPr>
            <w:r>
              <w:rPr>
                <w:rFonts w:ascii="Arial" w:hAnsi="Arial" w:eastAsia="宋体" w:cs="Arial"/>
                <w:sz w:val="20"/>
                <w:szCs w:val="20"/>
              </w:rPr>
              <w:t>Dependent Variable</w:t>
            </w:r>
          </w:p>
        </w:tc>
        <w:tc>
          <w:tcPr>
            <w:tcW w:w="1366" w:type="pct"/>
            <w:tcBorders>
              <w:top w:val="single" w:color="auto" w:sz="12" w:space="0"/>
              <w:left w:val="nil"/>
              <w:bottom w:val="nil"/>
              <w:right w:val="nil"/>
            </w:tcBorders>
            <w:noWrap/>
            <w:vAlign w:val="center"/>
          </w:tcPr>
          <w:p w14:paraId="148D66F4">
            <w:pPr>
              <w:widowControl/>
              <w:jc w:val="center"/>
              <w:textAlignment w:val="center"/>
              <w:rPr>
                <w:rFonts w:ascii="Arial" w:hAnsi="Arial" w:eastAsia="宋体" w:cs="Arial"/>
                <w:color w:val="000000"/>
                <w:sz w:val="20"/>
                <w:szCs w:val="20"/>
              </w:rPr>
            </w:pPr>
            <w:r>
              <w:rPr>
                <w:rFonts w:ascii="Arial" w:hAnsi="Arial" w:eastAsia="宋体" w:cs="Arial"/>
                <w:sz w:val="20"/>
                <w:szCs w:val="20"/>
              </w:rPr>
              <w:t>OFDI Performance (OFDI)</w:t>
            </w:r>
          </w:p>
        </w:tc>
        <w:tc>
          <w:tcPr>
            <w:tcW w:w="409" w:type="pct"/>
            <w:tcBorders>
              <w:top w:val="single" w:color="auto" w:sz="12" w:space="0"/>
              <w:left w:val="nil"/>
              <w:bottom w:val="nil"/>
              <w:right w:val="nil"/>
            </w:tcBorders>
            <w:noWrap/>
            <w:vAlign w:val="center"/>
          </w:tcPr>
          <w:p w14:paraId="0FB3693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21351</w:t>
            </w:r>
          </w:p>
        </w:tc>
        <w:tc>
          <w:tcPr>
            <w:tcW w:w="592" w:type="pct"/>
            <w:tcBorders>
              <w:top w:val="single" w:color="auto" w:sz="12" w:space="0"/>
              <w:left w:val="nil"/>
              <w:bottom w:val="nil"/>
              <w:right w:val="nil"/>
            </w:tcBorders>
            <w:noWrap/>
            <w:vAlign w:val="center"/>
          </w:tcPr>
          <w:p w14:paraId="70D772B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10.321 </w:t>
            </w:r>
          </w:p>
        </w:tc>
        <w:tc>
          <w:tcPr>
            <w:tcW w:w="593" w:type="pct"/>
            <w:tcBorders>
              <w:top w:val="single" w:color="auto" w:sz="12" w:space="0"/>
              <w:left w:val="nil"/>
              <w:bottom w:val="nil"/>
              <w:right w:val="nil"/>
            </w:tcBorders>
            <w:noWrap/>
            <w:vAlign w:val="center"/>
          </w:tcPr>
          <w:p w14:paraId="145992C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2.354 </w:t>
            </w:r>
          </w:p>
        </w:tc>
        <w:tc>
          <w:tcPr>
            <w:tcW w:w="657" w:type="pct"/>
            <w:tcBorders>
              <w:top w:val="single" w:color="auto" w:sz="12" w:space="0"/>
              <w:left w:val="nil"/>
              <w:bottom w:val="nil"/>
              <w:right w:val="nil"/>
            </w:tcBorders>
            <w:noWrap/>
            <w:vAlign w:val="center"/>
          </w:tcPr>
          <w:p w14:paraId="4B5FC4B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-1.382 </w:t>
            </w:r>
          </w:p>
        </w:tc>
        <w:tc>
          <w:tcPr>
            <w:tcW w:w="593" w:type="pct"/>
            <w:tcBorders>
              <w:top w:val="single" w:color="auto" w:sz="12" w:space="0"/>
              <w:left w:val="nil"/>
              <w:bottom w:val="nil"/>
              <w:right w:val="nil"/>
            </w:tcBorders>
            <w:noWrap/>
            <w:vAlign w:val="center"/>
          </w:tcPr>
          <w:p w14:paraId="340A68B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23.028 </w:t>
            </w:r>
          </w:p>
        </w:tc>
      </w:tr>
      <w:tr w14:paraId="261E0AFF">
        <w:tblPrEx>
          <w:tblCellMar>
            <w:top w:w="0" w:type="dxa"/>
            <w:left w:w="108" w:type="dxa"/>
            <w:bottom w:w="0" w:type="dxa"/>
            <w:right w:w="108" w:type="dxa"/>
          </w:tblCellMar>
        </w:tblPrEx>
        <w:trPr>
          <w:trHeight w:val="285" w:hRule="atLeast"/>
        </w:trPr>
        <w:tc>
          <w:tcPr>
            <w:tcW w:w="788" w:type="pct"/>
            <w:tcBorders>
              <w:top w:val="nil"/>
              <w:left w:val="nil"/>
              <w:bottom w:val="nil"/>
              <w:right w:val="nil"/>
            </w:tcBorders>
            <w:noWrap/>
            <w:vAlign w:val="center"/>
          </w:tcPr>
          <w:p w14:paraId="10E7ECF4">
            <w:pPr>
              <w:widowControl/>
              <w:jc w:val="center"/>
              <w:textAlignment w:val="center"/>
              <w:rPr>
                <w:rFonts w:ascii="Arial" w:hAnsi="Arial" w:eastAsia="宋体" w:cs="Arial"/>
                <w:color w:val="000000"/>
                <w:sz w:val="20"/>
                <w:szCs w:val="20"/>
              </w:rPr>
            </w:pPr>
            <w:r>
              <w:rPr>
                <w:rFonts w:ascii="Arial" w:hAnsi="Arial" w:eastAsia="宋体" w:cs="Arial"/>
                <w:sz w:val="20"/>
                <w:szCs w:val="20"/>
              </w:rPr>
              <w:t>Explanatory Variable</w:t>
            </w:r>
          </w:p>
        </w:tc>
        <w:tc>
          <w:tcPr>
            <w:tcW w:w="1366" w:type="pct"/>
            <w:tcBorders>
              <w:top w:val="nil"/>
              <w:left w:val="nil"/>
              <w:bottom w:val="nil"/>
              <w:right w:val="nil"/>
            </w:tcBorders>
            <w:noWrap/>
            <w:vAlign w:val="center"/>
          </w:tcPr>
          <w:p w14:paraId="2C7A0F8E">
            <w:pPr>
              <w:widowControl/>
              <w:jc w:val="center"/>
              <w:textAlignment w:val="center"/>
              <w:rPr>
                <w:rFonts w:ascii="Arial" w:hAnsi="Arial" w:eastAsia="宋体" w:cs="Arial"/>
                <w:color w:val="000000"/>
                <w:sz w:val="20"/>
                <w:szCs w:val="20"/>
              </w:rPr>
            </w:pPr>
            <w:r>
              <w:rPr>
                <w:rFonts w:ascii="Arial" w:hAnsi="Arial" w:eastAsia="宋体" w:cs="Arial"/>
                <w:sz w:val="20"/>
                <w:szCs w:val="20"/>
              </w:rPr>
              <w:t>Low-Carbon City Pilot (did)</w:t>
            </w:r>
          </w:p>
        </w:tc>
        <w:tc>
          <w:tcPr>
            <w:tcW w:w="409" w:type="pct"/>
            <w:tcBorders>
              <w:top w:val="nil"/>
              <w:left w:val="nil"/>
              <w:bottom w:val="nil"/>
              <w:right w:val="nil"/>
            </w:tcBorders>
            <w:noWrap/>
            <w:vAlign w:val="center"/>
          </w:tcPr>
          <w:p w14:paraId="61B375E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21351</w:t>
            </w:r>
          </w:p>
        </w:tc>
        <w:tc>
          <w:tcPr>
            <w:tcW w:w="592" w:type="pct"/>
            <w:tcBorders>
              <w:top w:val="nil"/>
              <w:left w:val="nil"/>
              <w:bottom w:val="nil"/>
              <w:right w:val="nil"/>
            </w:tcBorders>
            <w:noWrap/>
            <w:vAlign w:val="center"/>
          </w:tcPr>
          <w:p w14:paraId="3CBFFFE8">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0.582 </w:t>
            </w:r>
          </w:p>
        </w:tc>
        <w:tc>
          <w:tcPr>
            <w:tcW w:w="593" w:type="pct"/>
            <w:tcBorders>
              <w:top w:val="nil"/>
              <w:left w:val="nil"/>
              <w:bottom w:val="nil"/>
              <w:right w:val="nil"/>
            </w:tcBorders>
            <w:noWrap/>
            <w:vAlign w:val="center"/>
          </w:tcPr>
          <w:p w14:paraId="2CC935F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0.499 </w:t>
            </w:r>
          </w:p>
        </w:tc>
        <w:tc>
          <w:tcPr>
            <w:tcW w:w="657" w:type="pct"/>
            <w:tcBorders>
              <w:top w:val="nil"/>
              <w:left w:val="nil"/>
              <w:bottom w:val="nil"/>
              <w:right w:val="nil"/>
            </w:tcBorders>
            <w:noWrap/>
            <w:vAlign w:val="center"/>
          </w:tcPr>
          <w:p w14:paraId="3E27C73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0.000 </w:t>
            </w:r>
          </w:p>
        </w:tc>
        <w:tc>
          <w:tcPr>
            <w:tcW w:w="593" w:type="pct"/>
            <w:tcBorders>
              <w:top w:val="nil"/>
              <w:left w:val="nil"/>
              <w:bottom w:val="nil"/>
              <w:right w:val="nil"/>
            </w:tcBorders>
            <w:noWrap/>
            <w:vAlign w:val="center"/>
          </w:tcPr>
          <w:p w14:paraId="1711EF8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1.000 </w:t>
            </w:r>
          </w:p>
        </w:tc>
      </w:tr>
      <w:tr w14:paraId="5A7FBFA6">
        <w:tblPrEx>
          <w:tblCellMar>
            <w:top w:w="0" w:type="dxa"/>
            <w:left w:w="108" w:type="dxa"/>
            <w:bottom w:w="0" w:type="dxa"/>
            <w:right w:w="108" w:type="dxa"/>
          </w:tblCellMar>
        </w:tblPrEx>
        <w:trPr>
          <w:trHeight w:val="285" w:hRule="atLeast"/>
        </w:trPr>
        <w:tc>
          <w:tcPr>
            <w:tcW w:w="788" w:type="pct"/>
            <w:vMerge w:val="restart"/>
            <w:tcBorders>
              <w:top w:val="nil"/>
              <w:left w:val="nil"/>
              <w:bottom w:val="nil"/>
              <w:right w:val="nil"/>
            </w:tcBorders>
            <w:noWrap/>
            <w:vAlign w:val="center"/>
          </w:tcPr>
          <w:p w14:paraId="69989806">
            <w:pPr>
              <w:widowControl/>
              <w:jc w:val="center"/>
              <w:textAlignment w:val="center"/>
              <w:rPr>
                <w:rFonts w:ascii="Arial" w:hAnsi="Arial" w:eastAsia="宋体" w:cs="Arial"/>
                <w:color w:val="000000"/>
                <w:sz w:val="20"/>
                <w:szCs w:val="20"/>
              </w:rPr>
            </w:pPr>
            <w:r>
              <w:rPr>
                <w:rFonts w:ascii="Arial" w:hAnsi="Arial" w:eastAsia="宋体" w:cs="Arial"/>
                <w:sz w:val="20"/>
                <w:szCs w:val="20"/>
              </w:rPr>
              <w:t>Control Variables</w:t>
            </w:r>
          </w:p>
        </w:tc>
        <w:tc>
          <w:tcPr>
            <w:tcW w:w="1366" w:type="pct"/>
            <w:tcBorders>
              <w:top w:val="nil"/>
              <w:left w:val="nil"/>
              <w:bottom w:val="nil"/>
              <w:right w:val="nil"/>
            </w:tcBorders>
            <w:noWrap/>
            <w:vAlign w:val="center"/>
          </w:tcPr>
          <w:p w14:paraId="1E0D11A6">
            <w:pPr>
              <w:widowControl/>
              <w:jc w:val="center"/>
              <w:textAlignment w:val="center"/>
              <w:rPr>
                <w:rFonts w:ascii="Arial" w:hAnsi="Arial" w:eastAsia="宋体" w:cs="Arial"/>
                <w:color w:val="000000"/>
                <w:sz w:val="20"/>
                <w:szCs w:val="20"/>
              </w:rPr>
            </w:pPr>
            <w:r>
              <w:rPr>
                <w:rFonts w:ascii="Arial" w:hAnsi="Arial" w:eastAsia="宋体" w:cs="Arial"/>
                <w:sz w:val="20"/>
                <w:szCs w:val="20"/>
              </w:rPr>
              <w:t>Firm Size (Size)</w:t>
            </w:r>
          </w:p>
        </w:tc>
        <w:tc>
          <w:tcPr>
            <w:tcW w:w="409" w:type="pct"/>
            <w:tcBorders>
              <w:top w:val="nil"/>
              <w:left w:val="nil"/>
              <w:bottom w:val="nil"/>
              <w:right w:val="nil"/>
            </w:tcBorders>
            <w:noWrap/>
            <w:vAlign w:val="center"/>
          </w:tcPr>
          <w:p w14:paraId="766ABD4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21351</w:t>
            </w:r>
          </w:p>
        </w:tc>
        <w:tc>
          <w:tcPr>
            <w:tcW w:w="592" w:type="pct"/>
            <w:tcBorders>
              <w:top w:val="nil"/>
              <w:left w:val="nil"/>
              <w:bottom w:val="nil"/>
              <w:right w:val="nil"/>
            </w:tcBorders>
            <w:noWrap/>
            <w:vAlign w:val="center"/>
          </w:tcPr>
          <w:p w14:paraId="77EB706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22.339 </w:t>
            </w:r>
          </w:p>
        </w:tc>
        <w:tc>
          <w:tcPr>
            <w:tcW w:w="593" w:type="pct"/>
            <w:tcBorders>
              <w:top w:val="nil"/>
              <w:left w:val="nil"/>
              <w:bottom w:val="nil"/>
              <w:right w:val="nil"/>
            </w:tcBorders>
            <w:noWrap/>
            <w:vAlign w:val="center"/>
          </w:tcPr>
          <w:p w14:paraId="1E44211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1.364 </w:t>
            </w:r>
          </w:p>
        </w:tc>
        <w:tc>
          <w:tcPr>
            <w:tcW w:w="657" w:type="pct"/>
            <w:tcBorders>
              <w:top w:val="nil"/>
              <w:left w:val="nil"/>
              <w:bottom w:val="nil"/>
              <w:right w:val="nil"/>
            </w:tcBorders>
            <w:noWrap/>
            <w:vAlign w:val="center"/>
          </w:tcPr>
          <w:p w14:paraId="36B765E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19.406 </w:t>
            </w:r>
          </w:p>
        </w:tc>
        <w:tc>
          <w:tcPr>
            <w:tcW w:w="593" w:type="pct"/>
            <w:tcBorders>
              <w:top w:val="nil"/>
              <w:left w:val="nil"/>
              <w:bottom w:val="nil"/>
              <w:right w:val="nil"/>
            </w:tcBorders>
            <w:noWrap/>
            <w:vAlign w:val="center"/>
          </w:tcPr>
          <w:p w14:paraId="34CDE96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26.440 </w:t>
            </w:r>
          </w:p>
        </w:tc>
      </w:tr>
      <w:tr w14:paraId="66817648">
        <w:tblPrEx>
          <w:tblCellMar>
            <w:top w:w="0" w:type="dxa"/>
            <w:left w:w="108" w:type="dxa"/>
            <w:bottom w:w="0" w:type="dxa"/>
            <w:right w:w="108" w:type="dxa"/>
          </w:tblCellMar>
        </w:tblPrEx>
        <w:trPr>
          <w:trHeight w:val="285" w:hRule="atLeast"/>
        </w:trPr>
        <w:tc>
          <w:tcPr>
            <w:tcW w:w="788" w:type="pct"/>
            <w:vMerge w:val="continue"/>
            <w:tcBorders>
              <w:top w:val="nil"/>
              <w:left w:val="nil"/>
              <w:bottom w:val="nil"/>
              <w:right w:val="nil"/>
            </w:tcBorders>
            <w:noWrap/>
            <w:vAlign w:val="center"/>
          </w:tcPr>
          <w:p w14:paraId="71E83C16">
            <w:pPr>
              <w:jc w:val="center"/>
              <w:rPr>
                <w:rFonts w:ascii="Arial" w:hAnsi="Arial" w:eastAsia="宋体" w:cs="Arial"/>
                <w:color w:val="000000"/>
                <w:sz w:val="20"/>
                <w:szCs w:val="20"/>
              </w:rPr>
            </w:pPr>
          </w:p>
        </w:tc>
        <w:tc>
          <w:tcPr>
            <w:tcW w:w="1366" w:type="pct"/>
            <w:tcBorders>
              <w:top w:val="nil"/>
              <w:left w:val="nil"/>
              <w:bottom w:val="nil"/>
              <w:right w:val="nil"/>
            </w:tcBorders>
            <w:noWrap/>
            <w:vAlign w:val="center"/>
          </w:tcPr>
          <w:p w14:paraId="755610B3">
            <w:pPr>
              <w:widowControl/>
              <w:jc w:val="center"/>
              <w:textAlignment w:val="center"/>
              <w:rPr>
                <w:rFonts w:ascii="Arial" w:hAnsi="Arial" w:eastAsia="宋体" w:cs="Arial"/>
                <w:color w:val="000000"/>
                <w:sz w:val="20"/>
                <w:szCs w:val="20"/>
              </w:rPr>
            </w:pPr>
            <w:r>
              <w:rPr>
                <w:rFonts w:ascii="Arial" w:hAnsi="Arial" w:eastAsia="宋体" w:cs="Arial"/>
                <w:sz w:val="20"/>
                <w:szCs w:val="20"/>
              </w:rPr>
              <w:t>Leverage (Lev)</w:t>
            </w:r>
          </w:p>
        </w:tc>
        <w:tc>
          <w:tcPr>
            <w:tcW w:w="409" w:type="pct"/>
            <w:tcBorders>
              <w:top w:val="nil"/>
              <w:left w:val="nil"/>
              <w:bottom w:val="nil"/>
              <w:right w:val="nil"/>
            </w:tcBorders>
            <w:noWrap/>
            <w:vAlign w:val="center"/>
          </w:tcPr>
          <w:p w14:paraId="01CB94D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21351</w:t>
            </w:r>
          </w:p>
        </w:tc>
        <w:tc>
          <w:tcPr>
            <w:tcW w:w="592" w:type="pct"/>
            <w:tcBorders>
              <w:top w:val="nil"/>
              <w:left w:val="nil"/>
              <w:bottom w:val="nil"/>
              <w:right w:val="nil"/>
            </w:tcBorders>
            <w:noWrap/>
            <w:vAlign w:val="center"/>
          </w:tcPr>
          <w:p w14:paraId="7A19F90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0.416 </w:t>
            </w:r>
          </w:p>
        </w:tc>
        <w:tc>
          <w:tcPr>
            <w:tcW w:w="593" w:type="pct"/>
            <w:tcBorders>
              <w:top w:val="nil"/>
              <w:left w:val="nil"/>
              <w:bottom w:val="nil"/>
              <w:right w:val="nil"/>
            </w:tcBorders>
            <w:noWrap/>
            <w:vAlign w:val="center"/>
          </w:tcPr>
          <w:p w14:paraId="5172BA1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0.208 </w:t>
            </w:r>
          </w:p>
        </w:tc>
        <w:tc>
          <w:tcPr>
            <w:tcW w:w="657" w:type="pct"/>
            <w:tcBorders>
              <w:top w:val="nil"/>
              <w:left w:val="nil"/>
              <w:bottom w:val="nil"/>
              <w:right w:val="nil"/>
            </w:tcBorders>
            <w:noWrap/>
            <w:vAlign w:val="center"/>
          </w:tcPr>
          <w:p w14:paraId="3958DDC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0.027 </w:t>
            </w:r>
          </w:p>
        </w:tc>
        <w:tc>
          <w:tcPr>
            <w:tcW w:w="593" w:type="pct"/>
            <w:tcBorders>
              <w:top w:val="nil"/>
              <w:left w:val="nil"/>
              <w:bottom w:val="nil"/>
              <w:right w:val="nil"/>
            </w:tcBorders>
            <w:noWrap/>
            <w:vAlign w:val="center"/>
          </w:tcPr>
          <w:p w14:paraId="2141706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0.925 </w:t>
            </w:r>
          </w:p>
        </w:tc>
      </w:tr>
      <w:tr w14:paraId="5BB92054">
        <w:tblPrEx>
          <w:tblCellMar>
            <w:top w:w="0" w:type="dxa"/>
            <w:left w:w="108" w:type="dxa"/>
            <w:bottom w:w="0" w:type="dxa"/>
            <w:right w:w="108" w:type="dxa"/>
          </w:tblCellMar>
        </w:tblPrEx>
        <w:trPr>
          <w:trHeight w:val="285" w:hRule="atLeast"/>
        </w:trPr>
        <w:tc>
          <w:tcPr>
            <w:tcW w:w="788" w:type="pct"/>
            <w:vMerge w:val="continue"/>
            <w:tcBorders>
              <w:top w:val="nil"/>
              <w:left w:val="nil"/>
              <w:bottom w:val="nil"/>
              <w:right w:val="nil"/>
            </w:tcBorders>
            <w:noWrap/>
            <w:vAlign w:val="center"/>
          </w:tcPr>
          <w:p w14:paraId="0FA38CB7">
            <w:pPr>
              <w:jc w:val="center"/>
              <w:rPr>
                <w:rFonts w:ascii="Arial" w:hAnsi="Arial" w:eastAsia="宋体" w:cs="Arial"/>
                <w:color w:val="000000"/>
                <w:sz w:val="20"/>
                <w:szCs w:val="20"/>
              </w:rPr>
            </w:pPr>
          </w:p>
        </w:tc>
        <w:tc>
          <w:tcPr>
            <w:tcW w:w="1366" w:type="pct"/>
            <w:tcBorders>
              <w:top w:val="nil"/>
              <w:left w:val="nil"/>
              <w:bottom w:val="nil"/>
              <w:right w:val="nil"/>
            </w:tcBorders>
            <w:noWrap/>
            <w:vAlign w:val="center"/>
          </w:tcPr>
          <w:p w14:paraId="1059F2D1">
            <w:pPr>
              <w:widowControl/>
              <w:jc w:val="center"/>
              <w:textAlignment w:val="center"/>
              <w:rPr>
                <w:rFonts w:ascii="Arial" w:hAnsi="Arial" w:eastAsia="宋体" w:cs="Arial"/>
                <w:color w:val="000000"/>
                <w:sz w:val="20"/>
                <w:szCs w:val="20"/>
              </w:rPr>
            </w:pPr>
            <w:r>
              <w:rPr>
                <w:rFonts w:ascii="Arial" w:hAnsi="Arial" w:eastAsia="宋体" w:cs="Arial"/>
                <w:sz w:val="20"/>
                <w:szCs w:val="20"/>
              </w:rPr>
              <w:t>Growth Ability (Growth)</w:t>
            </w:r>
          </w:p>
        </w:tc>
        <w:tc>
          <w:tcPr>
            <w:tcW w:w="409" w:type="pct"/>
            <w:tcBorders>
              <w:top w:val="nil"/>
              <w:left w:val="nil"/>
              <w:bottom w:val="nil"/>
              <w:right w:val="nil"/>
            </w:tcBorders>
            <w:noWrap/>
            <w:vAlign w:val="center"/>
          </w:tcPr>
          <w:p w14:paraId="65C5077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21351</w:t>
            </w:r>
          </w:p>
        </w:tc>
        <w:tc>
          <w:tcPr>
            <w:tcW w:w="592" w:type="pct"/>
            <w:tcBorders>
              <w:top w:val="nil"/>
              <w:left w:val="nil"/>
              <w:bottom w:val="nil"/>
              <w:right w:val="nil"/>
            </w:tcBorders>
            <w:noWrap/>
            <w:vAlign w:val="center"/>
          </w:tcPr>
          <w:p w14:paraId="52BBCA9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0.159 </w:t>
            </w:r>
          </w:p>
        </w:tc>
        <w:tc>
          <w:tcPr>
            <w:tcW w:w="593" w:type="pct"/>
            <w:tcBorders>
              <w:top w:val="nil"/>
              <w:left w:val="nil"/>
              <w:bottom w:val="nil"/>
              <w:right w:val="nil"/>
            </w:tcBorders>
            <w:noWrap/>
            <w:vAlign w:val="center"/>
          </w:tcPr>
          <w:p w14:paraId="095756A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0.394 </w:t>
            </w:r>
          </w:p>
        </w:tc>
        <w:tc>
          <w:tcPr>
            <w:tcW w:w="657" w:type="pct"/>
            <w:tcBorders>
              <w:top w:val="nil"/>
              <w:left w:val="nil"/>
              <w:bottom w:val="nil"/>
              <w:right w:val="nil"/>
            </w:tcBorders>
            <w:noWrap/>
            <w:vAlign w:val="center"/>
          </w:tcPr>
          <w:p w14:paraId="76A3F1B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-0.653 </w:t>
            </w:r>
          </w:p>
        </w:tc>
        <w:tc>
          <w:tcPr>
            <w:tcW w:w="593" w:type="pct"/>
            <w:tcBorders>
              <w:top w:val="nil"/>
              <w:left w:val="nil"/>
              <w:bottom w:val="nil"/>
              <w:right w:val="nil"/>
            </w:tcBorders>
            <w:noWrap/>
            <w:vAlign w:val="center"/>
          </w:tcPr>
          <w:p w14:paraId="0A7C403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3.808 </w:t>
            </w:r>
          </w:p>
        </w:tc>
      </w:tr>
      <w:tr w14:paraId="482A2A6E">
        <w:tblPrEx>
          <w:tblCellMar>
            <w:top w:w="0" w:type="dxa"/>
            <w:left w:w="108" w:type="dxa"/>
            <w:bottom w:w="0" w:type="dxa"/>
            <w:right w:w="108" w:type="dxa"/>
          </w:tblCellMar>
        </w:tblPrEx>
        <w:trPr>
          <w:trHeight w:val="285" w:hRule="atLeast"/>
        </w:trPr>
        <w:tc>
          <w:tcPr>
            <w:tcW w:w="788" w:type="pct"/>
            <w:vMerge w:val="continue"/>
            <w:tcBorders>
              <w:top w:val="nil"/>
              <w:left w:val="nil"/>
              <w:bottom w:val="nil"/>
              <w:right w:val="nil"/>
            </w:tcBorders>
            <w:noWrap/>
            <w:vAlign w:val="center"/>
          </w:tcPr>
          <w:p w14:paraId="681A0AE2">
            <w:pPr>
              <w:jc w:val="center"/>
              <w:rPr>
                <w:rFonts w:ascii="Arial" w:hAnsi="Arial" w:eastAsia="宋体" w:cs="Arial"/>
                <w:color w:val="000000"/>
                <w:sz w:val="20"/>
                <w:szCs w:val="20"/>
              </w:rPr>
            </w:pPr>
          </w:p>
        </w:tc>
        <w:tc>
          <w:tcPr>
            <w:tcW w:w="1366" w:type="pct"/>
            <w:tcBorders>
              <w:top w:val="nil"/>
              <w:left w:val="nil"/>
              <w:bottom w:val="nil"/>
              <w:right w:val="nil"/>
            </w:tcBorders>
            <w:noWrap/>
            <w:vAlign w:val="center"/>
          </w:tcPr>
          <w:p w14:paraId="4A206E2C">
            <w:pPr>
              <w:widowControl/>
              <w:jc w:val="center"/>
              <w:textAlignment w:val="center"/>
              <w:rPr>
                <w:rFonts w:ascii="Arial" w:hAnsi="Arial" w:eastAsia="宋体" w:cs="Arial"/>
                <w:color w:val="000000"/>
                <w:sz w:val="20"/>
                <w:szCs w:val="20"/>
              </w:rPr>
            </w:pPr>
            <w:r>
              <w:rPr>
                <w:rFonts w:ascii="Arial" w:hAnsi="Arial" w:eastAsia="宋体" w:cs="Arial"/>
                <w:sz w:val="20"/>
                <w:szCs w:val="20"/>
              </w:rPr>
              <w:t>Ownership Conc. (Top5)</w:t>
            </w:r>
          </w:p>
        </w:tc>
        <w:tc>
          <w:tcPr>
            <w:tcW w:w="409" w:type="pct"/>
            <w:tcBorders>
              <w:top w:val="nil"/>
              <w:left w:val="nil"/>
              <w:bottom w:val="nil"/>
              <w:right w:val="nil"/>
            </w:tcBorders>
            <w:noWrap/>
            <w:vAlign w:val="center"/>
          </w:tcPr>
          <w:p w14:paraId="592F614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21351</w:t>
            </w:r>
          </w:p>
        </w:tc>
        <w:tc>
          <w:tcPr>
            <w:tcW w:w="592" w:type="pct"/>
            <w:tcBorders>
              <w:top w:val="nil"/>
              <w:left w:val="nil"/>
              <w:bottom w:val="nil"/>
              <w:right w:val="nil"/>
            </w:tcBorders>
            <w:noWrap/>
            <w:vAlign w:val="center"/>
          </w:tcPr>
          <w:p w14:paraId="09B4C69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0.538 </w:t>
            </w:r>
          </w:p>
        </w:tc>
        <w:tc>
          <w:tcPr>
            <w:tcW w:w="593" w:type="pct"/>
            <w:tcBorders>
              <w:top w:val="nil"/>
              <w:left w:val="nil"/>
              <w:bottom w:val="nil"/>
              <w:right w:val="nil"/>
            </w:tcBorders>
            <w:noWrap/>
            <w:vAlign w:val="center"/>
          </w:tcPr>
          <w:p w14:paraId="7732DC0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0.160 </w:t>
            </w:r>
          </w:p>
        </w:tc>
        <w:tc>
          <w:tcPr>
            <w:tcW w:w="657" w:type="pct"/>
            <w:tcBorders>
              <w:top w:val="nil"/>
              <w:left w:val="nil"/>
              <w:bottom w:val="nil"/>
              <w:right w:val="nil"/>
            </w:tcBorders>
            <w:noWrap/>
            <w:vAlign w:val="center"/>
          </w:tcPr>
          <w:p w14:paraId="7530D91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0.176 </w:t>
            </w:r>
          </w:p>
        </w:tc>
        <w:tc>
          <w:tcPr>
            <w:tcW w:w="593" w:type="pct"/>
            <w:tcBorders>
              <w:top w:val="nil"/>
              <w:left w:val="nil"/>
              <w:bottom w:val="nil"/>
              <w:right w:val="nil"/>
            </w:tcBorders>
            <w:noWrap/>
            <w:vAlign w:val="center"/>
          </w:tcPr>
          <w:p w14:paraId="6E04C5E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0.892 </w:t>
            </w:r>
          </w:p>
        </w:tc>
      </w:tr>
      <w:tr w14:paraId="3545C921">
        <w:tblPrEx>
          <w:tblCellMar>
            <w:top w:w="0" w:type="dxa"/>
            <w:left w:w="108" w:type="dxa"/>
            <w:bottom w:w="0" w:type="dxa"/>
            <w:right w:w="108" w:type="dxa"/>
          </w:tblCellMar>
        </w:tblPrEx>
        <w:trPr>
          <w:trHeight w:val="285" w:hRule="atLeast"/>
        </w:trPr>
        <w:tc>
          <w:tcPr>
            <w:tcW w:w="788" w:type="pct"/>
            <w:vMerge w:val="continue"/>
            <w:tcBorders>
              <w:top w:val="nil"/>
              <w:left w:val="nil"/>
              <w:bottom w:val="nil"/>
              <w:right w:val="nil"/>
            </w:tcBorders>
            <w:noWrap/>
            <w:vAlign w:val="center"/>
          </w:tcPr>
          <w:p w14:paraId="14AA9841">
            <w:pPr>
              <w:jc w:val="center"/>
              <w:rPr>
                <w:rFonts w:ascii="Arial" w:hAnsi="Arial" w:eastAsia="宋体" w:cs="Arial"/>
                <w:color w:val="000000"/>
                <w:sz w:val="20"/>
                <w:szCs w:val="20"/>
              </w:rPr>
            </w:pPr>
          </w:p>
        </w:tc>
        <w:tc>
          <w:tcPr>
            <w:tcW w:w="1366" w:type="pct"/>
            <w:tcBorders>
              <w:top w:val="nil"/>
              <w:left w:val="nil"/>
              <w:bottom w:val="nil"/>
              <w:right w:val="nil"/>
            </w:tcBorders>
            <w:noWrap/>
            <w:vAlign w:val="center"/>
          </w:tcPr>
          <w:p w14:paraId="6F9FA45E">
            <w:pPr>
              <w:widowControl/>
              <w:jc w:val="center"/>
              <w:textAlignment w:val="center"/>
              <w:rPr>
                <w:rFonts w:ascii="Arial" w:hAnsi="Arial" w:eastAsia="宋体" w:cs="Arial"/>
                <w:color w:val="000000"/>
                <w:sz w:val="20"/>
                <w:szCs w:val="20"/>
              </w:rPr>
            </w:pPr>
            <w:r>
              <w:rPr>
                <w:rFonts w:ascii="Arial" w:hAnsi="Arial" w:eastAsia="宋体" w:cs="Arial"/>
                <w:sz w:val="20"/>
                <w:szCs w:val="20"/>
              </w:rPr>
              <w:t>Board Size (Board)</w:t>
            </w:r>
          </w:p>
        </w:tc>
        <w:tc>
          <w:tcPr>
            <w:tcW w:w="409" w:type="pct"/>
            <w:tcBorders>
              <w:top w:val="nil"/>
              <w:left w:val="nil"/>
              <w:bottom w:val="nil"/>
              <w:right w:val="nil"/>
            </w:tcBorders>
            <w:noWrap/>
            <w:vAlign w:val="center"/>
          </w:tcPr>
          <w:p w14:paraId="5A71912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21351</w:t>
            </w:r>
          </w:p>
        </w:tc>
        <w:tc>
          <w:tcPr>
            <w:tcW w:w="592" w:type="pct"/>
            <w:tcBorders>
              <w:top w:val="nil"/>
              <w:left w:val="nil"/>
              <w:bottom w:val="nil"/>
              <w:right w:val="nil"/>
            </w:tcBorders>
            <w:noWrap/>
            <w:vAlign w:val="center"/>
          </w:tcPr>
          <w:p w14:paraId="51DB3BE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2.135 </w:t>
            </w:r>
          </w:p>
        </w:tc>
        <w:tc>
          <w:tcPr>
            <w:tcW w:w="593" w:type="pct"/>
            <w:tcBorders>
              <w:top w:val="nil"/>
              <w:left w:val="nil"/>
              <w:bottom w:val="nil"/>
              <w:right w:val="nil"/>
            </w:tcBorders>
            <w:noWrap/>
            <w:vAlign w:val="center"/>
          </w:tcPr>
          <w:p w14:paraId="6295A42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0.201 </w:t>
            </w:r>
          </w:p>
        </w:tc>
        <w:tc>
          <w:tcPr>
            <w:tcW w:w="657" w:type="pct"/>
            <w:tcBorders>
              <w:top w:val="nil"/>
              <w:left w:val="nil"/>
              <w:bottom w:val="nil"/>
              <w:right w:val="nil"/>
            </w:tcBorders>
            <w:noWrap/>
            <w:vAlign w:val="center"/>
          </w:tcPr>
          <w:p w14:paraId="21C7051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1.609 </w:t>
            </w:r>
          </w:p>
        </w:tc>
        <w:tc>
          <w:tcPr>
            <w:tcW w:w="593" w:type="pct"/>
            <w:tcBorders>
              <w:top w:val="nil"/>
              <w:left w:val="nil"/>
              <w:bottom w:val="nil"/>
              <w:right w:val="nil"/>
            </w:tcBorders>
            <w:noWrap/>
            <w:vAlign w:val="center"/>
          </w:tcPr>
          <w:p w14:paraId="6B1C3C6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2.708 </w:t>
            </w:r>
          </w:p>
        </w:tc>
      </w:tr>
      <w:tr w14:paraId="7BA5E726">
        <w:tblPrEx>
          <w:tblCellMar>
            <w:top w:w="0" w:type="dxa"/>
            <w:left w:w="108" w:type="dxa"/>
            <w:bottom w:w="0" w:type="dxa"/>
            <w:right w:w="108" w:type="dxa"/>
          </w:tblCellMar>
        </w:tblPrEx>
        <w:trPr>
          <w:trHeight w:val="285" w:hRule="atLeast"/>
        </w:trPr>
        <w:tc>
          <w:tcPr>
            <w:tcW w:w="788" w:type="pct"/>
            <w:vMerge w:val="continue"/>
            <w:tcBorders>
              <w:top w:val="nil"/>
              <w:left w:val="nil"/>
              <w:bottom w:val="nil"/>
              <w:right w:val="nil"/>
            </w:tcBorders>
            <w:noWrap/>
            <w:vAlign w:val="center"/>
          </w:tcPr>
          <w:p w14:paraId="5141DA1E">
            <w:pPr>
              <w:jc w:val="center"/>
              <w:rPr>
                <w:rFonts w:ascii="Arial" w:hAnsi="Arial" w:eastAsia="宋体" w:cs="Arial"/>
                <w:color w:val="000000"/>
                <w:sz w:val="20"/>
                <w:szCs w:val="20"/>
              </w:rPr>
            </w:pPr>
          </w:p>
        </w:tc>
        <w:tc>
          <w:tcPr>
            <w:tcW w:w="1366" w:type="pct"/>
            <w:tcBorders>
              <w:top w:val="nil"/>
              <w:left w:val="nil"/>
              <w:bottom w:val="nil"/>
              <w:right w:val="nil"/>
            </w:tcBorders>
            <w:noWrap/>
            <w:vAlign w:val="center"/>
          </w:tcPr>
          <w:p w14:paraId="665996A6">
            <w:pPr>
              <w:widowControl/>
              <w:jc w:val="center"/>
              <w:textAlignment w:val="center"/>
              <w:rPr>
                <w:rFonts w:ascii="Arial" w:hAnsi="Arial" w:eastAsia="宋体" w:cs="Arial"/>
                <w:color w:val="000000"/>
                <w:sz w:val="20"/>
                <w:szCs w:val="20"/>
              </w:rPr>
            </w:pPr>
            <w:r>
              <w:rPr>
                <w:rFonts w:ascii="Arial" w:hAnsi="Arial" w:eastAsia="宋体" w:cs="Arial"/>
                <w:sz w:val="20"/>
                <w:szCs w:val="20"/>
              </w:rPr>
              <w:t>Indep. Director Ratio (Indep)</w:t>
            </w:r>
          </w:p>
        </w:tc>
        <w:tc>
          <w:tcPr>
            <w:tcW w:w="409" w:type="pct"/>
            <w:tcBorders>
              <w:top w:val="nil"/>
              <w:left w:val="nil"/>
              <w:bottom w:val="nil"/>
              <w:right w:val="nil"/>
            </w:tcBorders>
            <w:noWrap/>
            <w:vAlign w:val="center"/>
          </w:tcPr>
          <w:p w14:paraId="15F551C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21351</w:t>
            </w:r>
          </w:p>
        </w:tc>
        <w:tc>
          <w:tcPr>
            <w:tcW w:w="592" w:type="pct"/>
            <w:tcBorders>
              <w:top w:val="nil"/>
              <w:left w:val="nil"/>
              <w:bottom w:val="nil"/>
              <w:right w:val="nil"/>
            </w:tcBorders>
            <w:noWrap/>
            <w:vAlign w:val="center"/>
          </w:tcPr>
          <w:p w14:paraId="7F4EC8E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37.483 </w:t>
            </w:r>
          </w:p>
        </w:tc>
        <w:tc>
          <w:tcPr>
            <w:tcW w:w="593" w:type="pct"/>
            <w:tcBorders>
              <w:top w:val="nil"/>
              <w:left w:val="nil"/>
              <w:bottom w:val="nil"/>
              <w:right w:val="nil"/>
            </w:tcBorders>
            <w:noWrap/>
            <w:vAlign w:val="center"/>
          </w:tcPr>
          <w:p w14:paraId="0C7D698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5.354 </w:t>
            </w:r>
          </w:p>
        </w:tc>
        <w:tc>
          <w:tcPr>
            <w:tcW w:w="657" w:type="pct"/>
            <w:tcBorders>
              <w:top w:val="nil"/>
              <w:left w:val="nil"/>
              <w:bottom w:val="nil"/>
              <w:right w:val="nil"/>
            </w:tcBorders>
            <w:noWrap/>
            <w:vAlign w:val="center"/>
          </w:tcPr>
          <w:p w14:paraId="424661B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25.000 </w:t>
            </w:r>
          </w:p>
        </w:tc>
        <w:tc>
          <w:tcPr>
            <w:tcW w:w="593" w:type="pct"/>
            <w:tcBorders>
              <w:top w:val="nil"/>
              <w:left w:val="nil"/>
              <w:bottom w:val="nil"/>
              <w:right w:val="nil"/>
            </w:tcBorders>
            <w:noWrap/>
            <w:vAlign w:val="center"/>
          </w:tcPr>
          <w:p w14:paraId="21209FF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60.000 </w:t>
            </w:r>
          </w:p>
        </w:tc>
      </w:tr>
      <w:tr w14:paraId="1A93D614">
        <w:tblPrEx>
          <w:tblCellMar>
            <w:top w:w="0" w:type="dxa"/>
            <w:left w:w="108" w:type="dxa"/>
            <w:bottom w:w="0" w:type="dxa"/>
            <w:right w:w="108" w:type="dxa"/>
          </w:tblCellMar>
        </w:tblPrEx>
        <w:trPr>
          <w:trHeight w:val="285" w:hRule="atLeast"/>
        </w:trPr>
        <w:tc>
          <w:tcPr>
            <w:tcW w:w="788" w:type="pct"/>
            <w:vMerge w:val="continue"/>
            <w:tcBorders>
              <w:top w:val="nil"/>
              <w:left w:val="nil"/>
              <w:bottom w:val="nil"/>
              <w:right w:val="nil"/>
            </w:tcBorders>
            <w:noWrap/>
            <w:vAlign w:val="center"/>
          </w:tcPr>
          <w:p w14:paraId="26A198E3">
            <w:pPr>
              <w:jc w:val="center"/>
              <w:rPr>
                <w:rFonts w:ascii="Arial" w:hAnsi="Arial" w:eastAsia="宋体" w:cs="Arial"/>
                <w:color w:val="000000"/>
                <w:sz w:val="20"/>
                <w:szCs w:val="20"/>
              </w:rPr>
            </w:pPr>
          </w:p>
        </w:tc>
        <w:tc>
          <w:tcPr>
            <w:tcW w:w="1366" w:type="pct"/>
            <w:tcBorders>
              <w:top w:val="nil"/>
              <w:left w:val="nil"/>
              <w:bottom w:val="nil"/>
              <w:right w:val="nil"/>
            </w:tcBorders>
            <w:noWrap/>
            <w:vAlign w:val="center"/>
          </w:tcPr>
          <w:p w14:paraId="20730E83">
            <w:pPr>
              <w:widowControl/>
              <w:jc w:val="center"/>
              <w:textAlignment w:val="center"/>
              <w:rPr>
                <w:rFonts w:ascii="Arial" w:hAnsi="Arial" w:eastAsia="宋体" w:cs="Arial"/>
                <w:color w:val="000000"/>
                <w:sz w:val="20"/>
                <w:szCs w:val="20"/>
              </w:rPr>
            </w:pPr>
            <w:r>
              <w:rPr>
                <w:rFonts w:ascii="Arial" w:hAnsi="Arial" w:eastAsia="宋体" w:cs="Arial"/>
                <w:sz w:val="20"/>
                <w:szCs w:val="20"/>
              </w:rPr>
              <w:t>Fixed Assets Ratio (Fixed)</w:t>
            </w:r>
          </w:p>
        </w:tc>
        <w:tc>
          <w:tcPr>
            <w:tcW w:w="409" w:type="pct"/>
            <w:tcBorders>
              <w:top w:val="nil"/>
              <w:left w:val="nil"/>
              <w:bottom w:val="nil"/>
              <w:right w:val="nil"/>
            </w:tcBorders>
            <w:noWrap/>
            <w:vAlign w:val="center"/>
          </w:tcPr>
          <w:p w14:paraId="79008D7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21351</w:t>
            </w:r>
          </w:p>
        </w:tc>
        <w:tc>
          <w:tcPr>
            <w:tcW w:w="592" w:type="pct"/>
            <w:tcBorders>
              <w:top w:val="nil"/>
              <w:left w:val="nil"/>
              <w:bottom w:val="nil"/>
              <w:right w:val="nil"/>
            </w:tcBorders>
            <w:noWrap/>
            <w:vAlign w:val="center"/>
          </w:tcPr>
          <w:p w14:paraId="253FA17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0.201 </w:t>
            </w:r>
          </w:p>
        </w:tc>
        <w:tc>
          <w:tcPr>
            <w:tcW w:w="593" w:type="pct"/>
            <w:tcBorders>
              <w:top w:val="nil"/>
              <w:left w:val="nil"/>
              <w:bottom w:val="nil"/>
              <w:right w:val="nil"/>
            </w:tcBorders>
            <w:noWrap/>
            <w:vAlign w:val="center"/>
          </w:tcPr>
          <w:p w14:paraId="1523061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1.538 </w:t>
            </w:r>
          </w:p>
        </w:tc>
        <w:tc>
          <w:tcPr>
            <w:tcW w:w="657" w:type="pct"/>
            <w:tcBorders>
              <w:top w:val="nil"/>
              <w:left w:val="nil"/>
              <w:bottom w:val="nil"/>
              <w:right w:val="nil"/>
            </w:tcBorders>
            <w:noWrap/>
            <w:vAlign w:val="center"/>
          </w:tcPr>
          <w:p w14:paraId="7BAE47D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0.002 </w:t>
            </w:r>
          </w:p>
        </w:tc>
        <w:tc>
          <w:tcPr>
            <w:tcW w:w="593" w:type="pct"/>
            <w:tcBorders>
              <w:top w:val="nil"/>
              <w:left w:val="nil"/>
              <w:bottom w:val="nil"/>
              <w:right w:val="nil"/>
            </w:tcBorders>
            <w:noWrap/>
            <w:vAlign w:val="center"/>
          </w:tcPr>
          <w:p w14:paraId="68081ED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0.765 </w:t>
            </w:r>
          </w:p>
        </w:tc>
      </w:tr>
      <w:tr w14:paraId="7B6A26FF">
        <w:tblPrEx>
          <w:tblCellMar>
            <w:top w:w="0" w:type="dxa"/>
            <w:left w:w="108" w:type="dxa"/>
            <w:bottom w:w="0" w:type="dxa"/>
            <w:right w:w="108" w:type="dxa"/>
          </w:tblCellMar>
        </w:tblPrEx>
        <w:trPr>
          <w:trHeight w:val="285" w:hRule="atLeast"/>
        </w:trPr>
        <w:tc>
          <w:tcPr>
            <w:tcW w:w="788" w:type="pct"/>
            <w:vMerge w:val="continue"/>
            <w:tcBorders>
              <w:top w:val="nil"/>
              <w:left w:val="nil"/>
              <w:bottom w:val="nil"/>
              <w:right w:val="nil"/>
            </w:tcBorders>
            <w:noWrap/>
            <w:vAlign w:val="center"/>
          </w:tcPr>
          <w:p w14:paraId="34888B0B">
            <w:pPr>
              <w:jc w:val="center"/>
              <w:rPr>
                <w:rFonts w:ascii="Arial" w:hAnsi="Arial" w:eastAsia="宋体" w:cs="Arial"/>
                <w:color w:val="000000"/>
                <w:sz w:val="20"/>
                <w:szCs w:val="20"/>
              </w:rPr>
            </w:pPr>
          </w:p>
        </w:tc>
        <w:tc>
          <w:tcPr>
            <w:tcW w:w="1366" w:type="pct"/>
            <w:tcBorders>
              <w:top w:val="nil"/>
              <w:left w:val="nil"/>
              <w:bottom w:val="nil"/>
              <w:right w:val="nil"/>
            </w:tcBorders>
            <w:noWrap/>
            <w:vAlign w:val="center"/>
          </w:tcPr>
          <w:p w14:paraId="754AED4D">
            <w:pPr>
              <w:widowControl/>
              <w:jc w:val="center"/>
              <w:textAlignment w:val="center"/>
              <w:rPr>
                <w:rFonts w:ascii="Arial" w:hAnsi="Arial" w:eastAsia="宋体" w:cs="Arial"/>
                <w:color w:val="000000"/>
                <w:sz w:val="20"/>
                <w:szCs w:val="20"/>
              </w:rPr>
            </w:pPr>
            <w:r>
              <w:rPr>
                <w:rFonts w:ascii="Arial" w:hAnsi="Arial" w:eastAsia="宋体" w:cs="Arial"/>
                <w:sz w:val="20"/>
                <w:szCs w:val="20"/>
              </w:rPr>
              <w:t>Firm Age (ListAge)</w:t>
            </w:r>
          </w:p>
        </w:tc>
        <w:tc>
          <w:tcPr>
            <w:tcW w:w="409" w:type="pct"/>
            <w:tcBorders>
              <w:top w:val="nil"/>
              <w:left w:val="nil"/>
              <w:bottom w:val="nil"/>
              <w:right w:val="nil"/>
            </w:tcBorders>
            <w:noWrap/>
            <w:vAlign w:val="center"/>
          </w:tcPr>
          <w:p w14:paraId="567E87A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21351</w:t>
            </w:r>
          </w:p>
        </w:tc>
        <w:tc>
          <w:tcPr>
            <w:tcW w:w="592" w:type="pct"/>
            <w:tcBorders>
              <w:top w:val="nil"/>
              <w:left w:val="nil"/>
              <w:bottom w:val="nil"/>
              <w:right w:val="nil"/>
            </w:tcBorders>
            <w:noWrap/>
            <w:vAlign w:val="center"/>
          </w:tcPr>
          <w:p w14:paraId="4F27D67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2.113 </w:t>
            </w:r>
          </w:p>
        </w:tc>
        <w:tc>
          <w:tcPr>
            <w:tcW w:w="593" w:type="pct"/>
            <w:tcBorders>
              <w:top w:val="nil"/>
              <w:left w:val="nil"/>
              <w:bottom w:val="nil"/>
              <w:right w:val="nil"/>
            </w:tcBorders>
            <w:noWrap/>
            <w:vAlign w:val="center"/>
          </w:tcPr>
          <w:p w14:paraId="465C165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0.922 </w:t>
            </w:r>
          </w:p>
        </w:tc>
        <w:tc>
          <w:tcPr>
            <w:tcW w:w="657" w:type="pct"/>
            <w:tcBorders>
              <w:top w:val="nil"/>
              <w:left w:val="nil"/>
              <w:bottom w:val="nil"/>
              <w:right w:val="nil"/>
            </w:tcBorders>
            <w:noWrap/>
            <w:vAlign w:val="center"/>
          </w:tcPr>
          <w:p w14:paraId="55D1991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0.000 </w:t>
            </w:r>
          </w:p>
        </w:tc>
        <w:tc>
          <w:tcPr>
            <w:tcW w:w="593" w:type="pct"/>
            <w:tcBorders>
              <w:top w:val="nil"/>
              <w:left w:val="nil"/>
              <w:bottom w:val="nil"/>
              <w:right w:val="nil"/>
            </w:tcBorders>
            <w:noWrap/>
            <w:vAlign w:val="center"/>
          </w:tcPr>
          <w:p w14:paraId="64E9E10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3.434 </w:t>
            </w:r>
          </w:p>
        </w:tc>
      </w:tr>
      <w:tr w14:paraId="1E6536F0">
        <w:tblPrEx>
          <w:tblCellMar>
            <w:top w:w="0" w:type="dxa"/>
            <w:left w:w="108" w:type="dxa"/>
            <w:bottom w:w="0" w:type="dxa"/>
            <w:right w:w="108" w:type="dxa"/>
          </w:tblCellMar>
        </w:tblPrEx>
        <w:trPr>
          <w:trHeight w:val="285" w:hRule="atLeast"/>
        </w:trPr>
        <w:tc>
          <w:tcPr>
            <w:tcW w:w="788" w:type="pct"/>
            <w:vMerge w:val="continue"/>
            <w:tcBorders>
              <w:top w:val="nil"/>
              <w:left w:val="nil"/>
              <w:bottom w:val="nil"/>
              <w:right w:val="nil"/>
            </w:tcBorders>
            <w:noWrap/>
            <w:vAlign w:val="center"/>
          </w:tcPr>
          <w:p w14:paraId="32670EF5">
            <w:pPr>
              <w:jc w:val="center"/>
              <w:rPr>
                <w:rFonts w:ascii="Arial" w:hAnsi="Arial" w:eastAsia="宋体" w:cs="Arial"/>
                <w:color w:val="000000"/>
                <w:sz w:val="20"/>
                <w:szCs w:val="20"/>
              </w:rPr>
            </w:pPr>
          </w:p>
        </w:tc>
        <w:tc>
          <w:tcPr>
            <w:tcW w:w="1366" w:type="pct"/>
            <w:tcBorders>
              <w:top w:val="nil"/>
              <w:left w:val="nil"/>
              <w:bottom w:val="nil"/>
              <w:right w:val="nil"/>
            </w:tcBorders>
            <w:noWrap/>
            <w:vAlign w:val="center"/>
          </w:tcPr>
          <w:p w14:paraId="36B58C78">
            <w:pPr>
              <w:widowControl/>
              <w:jc w:val="center"/>
              <w:textAlignment w:val="center"/>
              <w:rPr>
                <w:rFonts w:ascii="Arial" w:hAnsi="Arial" w:eastAsia="宋体" w:cs="Arial"/>
                <w:color w:val="000000"/>
                <w:sz w:val="20"/>
                <w:szCs w:val="20"/>
              </w:rPr>
            </w:pPr>
            <w:r>
              <w:rPr>
                <w:rFonts w:ascii="Arial" w:hAnsi="Arial" w:eastAsia="宋体" w:cs="Arial"/>
                <w:sz w:val="20"/>
                <w:szCs w:val="20"/>
              </w:rPr>
              <w:t>Admin. Expense Ratio (Mfee)</w:t>
            </w:r>
          </w:p>
        </w:tc>
        <w:tc>
          <w:tcPr>
            <w:tcW w:w="409" w:type="pct"/>
            <w:tcBorders>
              <w:top w:val="nil"/>
              <w:left w:val="nil"/>
              <w:bottom w:val="nil"/>
              <w:right w:val="nil"/>
            </w:tcBorders>
            <w:noWrap/>
            <w:vAlign w:val="center"/>
          </w:tcPr>
          <w:p w14:paraId="6DDAABA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21351</w:t>
            </w:r>
          </w:p>
        </w:tc>
        <w:tc>
          <w:tcPr>
            <w:tcW w:w="592" w:type="pct"/>
            <w:tcBorders>
              <w:top w:val="nil"/>
              <w:left w:val="nil"/>
              <w:bottom w:val="nil"/>
              <w:right w:val="nil"/>
            </w:tcBorders>
            <w:noWrap/>
            <w:vAlign w:val="center"/>
          </w:tcPr>
          <w:p w14:paraId="78F86AF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0.085 </w:t>
            </w:r>
          </w:p>
        </w:tc>
        <w:tc>
          <w:tcPr>
            <w:tcW w:w="593" w:type="pct"/>
            <w:tcBorders>
              <w:top w:val="nil"/>
              <w:left w:val="nil"/>
              <w:bottom w:val="nil"/>
              <w:right w:val="nil"/>
            </w:tcBorders>
            <w:noWrap/>
            <w:vAlign w:val="center"/>
          </w:tcPr>
          <w:p w14:paraId="6D2BF68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0.071 </w:t>
            </w:r>
          </w:p>
        </w:tc>
        <w:tc>
          <w:tcPr>
            <w:tcW w:w="657" w:type="pct"/>
            <w:tcBorders>
              <w:top w:val="nil"/>
              <w:left w:val="nil"/>
              <w:bottom w:val="nil"/>
              <w:right w:val="nil"/>
            </w:tcBorders>
            <w:noWrap/>
            <w:vAlign w:val="center"/>
          </w:tcPr>
          <w:p w14:paraId="4A9D2B1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0.007 </w:t>
            </w:r>
          </w:p>
        </w:tc>
        <w:tc>
          <w:tcPr>
            <w:tcW w:w="593" w:type="pct"/>
            <w:tcBorders>
              <w:top w:val="nil"/>
              <w:left w:val="nil"/>
              <w:bottom w:val="nil"/>
              <w:right w:val="nil"/>
            </w:tcBorders>
            <w:noWrap/>
            <w:vAlign w:val="center"/>
          </w:tcPr>
          <w:p w14:paraId="0A8B55B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0.641 </w:t>
            </w:r>
          </w:p>
        </w:tc>
      </w:tr>
      <w:tr w14:paraId="2128A820">
        <w:tblPrEx>
          <w:tblCellMar>
            <w:top w:w="0" w:type="dxa"/>
            <w:left w:w="108" w:type="dxa"/>
            <w:bottom w:w="0" w:type="dxa"/>
            <w:right w:w="108" w:type="dxa"/>
          </w:tblCellMar>
        </w:tblPrEx>
        <w:trPr>
          <w:trHeight w:val="285" w:hRule="atLeast"/>
        </w:trPr>
        <w:tc>
          <w:tcPr>
            <w:tcW w:w="788" w:type="pct"/>
            <w:vMerge w:val="continue"/>
            <w:tcBorders>
              <w:top w:val="nil"/>
              <w:left w:val="nil"/>
              <w:bottom w:val="nil"/>
              <w:right w:val="nil"/>
            </w:tcBorders>
            <w:noWrap/>
            <w:vAlign w:val="center"/>
          </w:tcPr>
          <w:p w14:paraId="2BF951A8">
            <w:pPr>
              <w:jc w:val="center"/>
              <w:rPr>
                <w:rFonts w:ascii="Arial" w:hAnsi="Arial" w:eastAsia="宋体" w:cs="Arial"/>
                <w:color w:val="000000"/>
                <w:sz w:val="20"/>
                <w:szCs w:val="20"/>
              </w:rPr>
            </w:pPr>
          </w:p>
        </w:tc>
        <w:tc>
          <w:tcPr>
            <w:tcW w:w="1366" w:type="pct"/>
            <w:tcBorders>
              <w:top w:val="nil"/>
              <w:left w:val="nil"/>
              <w:bottom w:val="nil"/>
              <w:right w:val="nil"/>
            </w:tcBorders>
            <w:noWrap/>
            <w:vAlign w:val="center"/>
          </w:tcPr>
          <w:p w14:paraId="16BE63EA">
            <w:pPr>
              <w:widowControl/>
              <w:jc w:val="center"/>
              <w:textAlignment w:val="center"/>
              <w:rPr>
                <w:rFonts w:ascii="Arial" w:hAnsi="Arial" w:eastAsia="宋体" w:cs="Arial"/>
                <w:color w:val="000000"/>
                <w:sz w:val="20"/>
                <w:szCs w:val="20"/>
              </w:rPr>
            </w:pPr>
            <w:r>
              <w:rPr>
                <w:rFonts w:ascii="Arial" w:hAnsi="Arial" w:eastAsia="宋体" w:cs="Arial"/>
                <w:sz w:val="20"/>
                <w:szCs w:val="20"/>
              </w:rPr>
              <w:t>Operating Expense Ratio (AgC1)</w:t>
            </w:r>
          </w:p>
        </w:tc>
        <w:tc>
          <w:tcPr>
            <w:tcW w:w="409" w:type="pct"/>
            <w:tcBorders>
              <w:top w:val="nil"/>
              <w:left w:val="nil"/>
              <w:bottom w:val="nil"/>
              <w:right w:val="nil"/>
            </w:tcBorders>
            <w:noWrap/>
            <w:vAlign w:val="center"/>
          </w:tcPr>
          <w:p w14:paraId="210BBF3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21351</w:t>
            </w:r>
          </w:p>
        </w:tc>
        <w:tc>
          <w:tcPr>
            <w:tcW w:w="592" w:type="pct"/>
            <w:tcBorders>
              <w:top w:val="nil"/>
              <w:left w:val="nil"/>
              <w:bottom w:val="nil"/>
              <w:right w:val="nil"/>
            </w:tcBorders>
            <w:noWrap/>
            <w:vAlign w:val="center"/>
          </w:tcPr>
          <w:p w14:paraId="5AB40F4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0.162 </w:t>
            </w:r>
          </w:p>
        </w:tc>
        <w:tc>
          <w:tcPr>
            <w:tcW w:w="593" w:type="pct"/>
            <w:tcBorders>
              <w:top w:val="nil"/>
              <w:left w:val="nil"/>
              <w:bottom w:val="nil"/>
              <w:right w:val="nil"/>
            </w:tcBorders>
            <w:noWrap/>
            <w:vAlign w:val="center"/>
          </w:tcPr>
          <w:p w14:paraId="48B9FBC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0.134 </w:t>
            </w:r>
          </w:p>
        </w:tc>
        <w:tc>
          <w:tcPr>
            <w:tcW w:w="657" w:type="pct"/>
            <w:tcBorders>
              <w:top w:val="nil"/>
              <w:left w:val="nil"/>
              <w:bottom w:val="nil"/>
              <w:right w:val="nil"/>
            </w:tcBorders>
            <w:noWrap/>
            <w:vAlign w:val="center"/>
          </w:tcPr>
          <w:p w14:paraId="21FC6F2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0.010 </w:t>
            </w:r>
          </w:p>
        </w:tc>
        <w:tc>
          <w:tcPr>
            <w:tcW w:w="593" w:type="pct"/>
            <w:tcBorders>
              <w:top w:val="nil"/>
              <w:left w:val="nil"/>
              <w:bottom w:val="nil"/>
              <w:right w:val="nil"/>
            </w:tcBorders>
            <w:noWrap/>
            <w:vAlign w:val="center"/>
          </w:tcPr>
          <w:p w14:paraId="6C41536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0.797 </w:t>
            </w:r>
          </w:p>
        </w:tc>
      </w:tr>
      <w:tr w14:paraId="1A23474E">
        <w:tblPrEx>
          <w:tblCellMar>
            <w:top w:w="0" w:type="dxa"/>
            <w:left w:w="108" w:type="dxa"/>
            <w:bottom w:w="0" w:type="dxa"/>
            <w:right w:w="108" w:type="dxa"/>
          </w:tblCellMar>
        </w:tblPrEx>
        <w:trPr>
          <w:trHeight w:val="285" w:hRule="atLeast"/>
        </w:trPr>
        <w:tc>
          <w:tcPr>
            <w:tcW w:w="788" w:type="pct"/>
            <w:vMerge w:val="continue"/>
            <w:tcBorders>
              <w:top w:val="nil"/>
              <w:left w:val="nil"/>
              <w:bottom w:val="single" w:color="auto" w:sz="12" w:space="0"/>
              <w:right w:val="nil"/>
            </w:tcBorders>
            <w:noWrap/>
            <w:vAlign w:val="center"/>
          </w:tcPr>
          <w:p w14:paraId="2FC69F14">
            <w:pPr>
              <w:jc w:val="center"/>
              <w:rPr>
                <w:rFonts w:ascii="Arial" w:hAnsi="Arial" w:eastAsia="宋体" w:cs="Arial"/>
                <w:color w:val="000000"/>
                <w:sz w:val="20"/>
                <w:szCs w:val="20"/>
              </w:rPr>
            </w:pPr>
          </w:p>
        </w:tc>
        <w:tc>
          <w:tcPr>
            <w:tcW w:w="1366" w:type="pct"/>
            <w:tcBorders>
              <w:top w:val="nil"/>
              <w:left w:val="nil"/>
              <w:bottom w:val="single" w:color="auto" w:sz="12" w:space="0"/>
              <w:right w:val="nil"/>
            </w:tcBorders>
            <w:noWrap/>
            <w:vAlign w:val="center"/>
          </w:tcPr>
          <w:p w14:paraId="71D198BB">
            <w:pPr>
              <w:widowControl/>
              <w:jc w:val="center"/>
              <w:textAlignment w:val="center"/>
              <w:rPr>
                <w:rFonts w:ascii="Arial" w:hAnsi="Arial" w:eastAsia="宋体" w:cs="Arial"/>
                <w:color w:val="000000"/>
                <w:sz w:val="20"/>
                <w:szCs w:val="20"/>
              </w:rPr>
            </w:pPr>
            <w:r>
              <w:rPr>
                <w:rFonts w:ascii="Arial" w:hAnsi="Arial" w:eastAsia="宋体" w:cs="Arial"/>
                <w:sz w:val="20"/>
                <w:szCs w:val="20"/>
              </w:rPr>
              <w:t>Cash Flow Ratio (Cashflow)</w:t>
            </w:r>
          </w:p>
        </w:tc>
        <w:tc>
          <w:tcPr>
            <w:tcW w:w="409" w:type="pct"/>
            <w:tcBorders>
              <w:top w:val="nil"/>
              <w:left w:val="nil"/>
              <w:bottom w:val="single" w:color="auto" w:sz="12" w:space="0"/>
              <w:right w:val="nil"/>
            </w:tcBorders>
            <w:noWrap/>
            <w:vAlign w:val="center"/>
          </w:tcPr>
          <w:p w14:paraId="10DD2F4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21351</w:t>
            </w:r>
          </w:p>
        </w:tc>
        <w:tc>
          <w:tcPr>
            <w:tcW w:w="592" w:type="pct"/>
            <w:tcBorders>
              <w:top w:val="nil"/>
              <w:left w:val="nil"/>
              <w:bottom w:val="single" w:color="auto" w:sz="12" w:space="0"/>
              <w:right w:val="nil"/>
            </w:tcBorders>
            <w:noWrap/>
            <w:vAlign w:val="center"/>
          </w:tcPr>
          <w:p w14:paraId="106C701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0.050 </w:t>
            </w:r>
          </w:p>
        </w:tc>
        <w:tc>
          <w:tcPr>
            <w:tcW w:w="593" w:type="pct"/>
            <w:tcBorders>
              <w:top w:val="nil"/>
              <w:left w:val="nil"/>
              <w:bottom w:val="single" w:color="auto" w:sz="12" w:space="0"/>
              <w:right w:val="nil"/>
            </w:tcBorders>
            <w:noWrap/>
            <w:vAlign w:val="center"/>
          </w:tcPr>
          <w:p w14:paraId="2B1426E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0.070 </w:t>
            </w:r>
          </w:p>
        </w:tc>
        <w:tc>
          <w:tcPr>
            <w:tcW w:w="657" w:type="pct"/>
            <w:tcBorders>
              <w:top w:val="nil"/>
              <w:left w:val="nil"/>
              <w:bottom w:val="single" w:color="auto" w:sz="12" w:space="0"/>
              <w:right w:val="nil"/>
            </w:tcBorders>
            <w:noWrap/>
            <w:vAlign w:val="center"/>
          </w:tcPr>
          <w:p w14:paraId="3F242C0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-0.224 </w:t>
            </w:r>
          </w:p>
        </w:tc>
        <w:tc>
          <w:tcPr>
            <w:tcW w:w="593" w:type="pct"/>
            <w:tcBorders>
              <w:top w:val="nil"/>
              <w:left w:val="nil"/>
              <w:bottom w:val="single" w:color="auto" w:sz="12" w:space="0"/>
              <w:right w:val="nil"/>
            </w:tcBorders>
            <w:noWrap/>
            <w:vAlign w:val="center"/>
          </w:tcPr>
          <w:p w14:paraId="69B9DB6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 xml:space="preserve">0.225 </w:t>
            </w:r>
          </w:p>
        </w:tc>
      </w:tr>
    </w:tbl>
    <w:p w14:paraId="56732DFD">
      <w:pPr>
        <w:pStyle w:val="44"/>
        <w:widowControl/>
        <w:spacing w:after="0"/>
        <w:rPr>
          <w:rFonts w:ascii="Arial" w:hAnsi="Arial" w:eastAsia="Times New Roman" w:cs="Arial"/>
          <w:szCs w:val="20"/>
          <w:lang w:val="en-US" w:eastAsia="zh-CN"/>
        </w:rPr>
      </w:pPr>
    </w:p>
    <w:p w14:paraId="1BB814A9">
      <w:pPr>
        <w:pStyle w:val="44"/>
        <w:widowControl/>
        <w:spacing w:after="0"/>
        <w:rPr>
          <w:rFonts w:ascii="Arial" w:hAnsi="Arial" w:eastAsia="Times New Roman" w:cs="Arial"/>
          <w:szCs w:val="20"/>
          <w:lang w:val="en-US" w:eastAsia="zh-CN"/>
        </w:rPr>
      </w:pPr>
      <w:r>
        <w:rPr>
          <w:rFonts w:hint="eastAsia" w:ascii="Arial" w:hAnsi="Arial" w:eastAsia="Times New Roman" w:cs="Arial"/>
          <w:szCs w:val="20"/>
          <w:lang w:val="en-US" w:eastAsia="zh-CN"/>
        </w:rPr>
        <w:t>5</w:t>
      </w:r>
      <w:r>
        <w:rPr>
          <w:rFonts w:ascii="Arial" w:hAnsi="Arial" w:eastAsia="Times New Roman" w:cs="Arial"/>
          <w:szCs w:val="20"/>
          <w:lang w:val="en-US" w:eastAsia="zh-CN"/>
        </w:rPr>
        <w:t>.</w:t>
      </w:r>
      <w:r>
        <w:rPr>
          <w:rFonts w:hint="eastAsia" w:ascii="Arial" w:hAnsi="Arial" w:eastAsia="Times New Roman" w:cs="Arial"/>
          <w:szCs w:val="20"/>
          <w:lang w:val="en-US" w:eastAsia="zh-CN"/>
        </w:rPr>
        <w:t xml:space="preserve"> Empirical Results Analysis</w:t>
      </w:r>
    </w:p>
    <w:p w14:paraId="7FFD5163">
      <w:pPr>
        <w:pStyle w:val="44"/>
        <w:widowControl/>
        <w:spacing w:after="0"/>
        <w:rPr>
          <w:rFonts w:ascii="Arial" w:hAnsi="Arial" w:eastAsia="Times New Roman" w:cs="Arial"/>
          <w:szCs w:val="20"/>
          <w:lang w:val="en-US" w:eastAsia="zh-CN"/>
        </w:rPr>
      </w:pPr>
    </w:p>
    <w:p w14:paraId="3428336F">
      <w:pPr>
        <w:pStyle w:val="44"/>
        <w:widowControl/>
        <w:spacing w:after="0"/>
        <w:rPr>
          <w:rFonts w:ascii="Arial" w:hAnsi="Arial" w:eastAsia="Times New Roman" w:cs="Arial"/>
          <w:szCs w:val="20"/>
          <w:lang w:val="en-US" w:eastAsia="zh-CN"/>
        </w:rPr>
      </w:pPr>
      <w:r>
        <w:rPr>
          <w:rFonts w:hint="eastAsia" w:ascii="Arial" w:hAnsi="Arial" w:eastAsia="Times New Roman" w:cs="Arial"/>
          <w:szCs w:val="20"/>
          <w:lang w:val="en-US" w:eastAsia="zh-CN"/>
        </w:rPr>
        <w:t>5</w:t>
      </w:r>
      <w:r>
        <w:rPr>
          <w:rFonts w:ascii="Arial" w:hAnsi="Arial" w:eastAsia="Times New Roman" w:cs="Arial"/>
          <w:szCs w:val="20"/>
          <w:lang w:val="en-US" w:eastAsia="zh-CN"/>
        </w:rPr>
        <w:t>.1</w:t>
      </w:r>
      <w:r>
        <w:rPr>
          <w:rFonts w:hint="eastAsia" w:ascii="Arial" w:hAnsi="Arial" w:eastAsia="Times New Roman" w:cs="Arial"/>
          <w:szCs w:val="20"/>
          <w:lang w:val="en-US" w:eastAsia="zh-CN"/>
        </w:rPr>
        <w:t xml:space="preserve"> Baseline Regression Results</w:t>
      </w:r>
    </w:p>
    <w:p w14:paraId="0549F588">
      <w:pPr>
        <w:pStyle w:val="44"/>
        <w:widowControl/>
        <w:spacing w:after="0"/>
        <w:rPr>
          <w:rFonts w:ascii="Arial" w:hAnsi="Arial" w:eastAsia="Times New Roman" w:cs="Arial"/>
          <w:szCs w:val="20"/>
          <w:lang w:val="en-US" w:eastAsia="zh-CN"/>
        </w:rPr>
      </w:pPr>
    </w:p>
    <w:p w14:paraId="015D0B79">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The baseline regression results for the impact of low-carbon city construction on corporate OFDI performance are shown in Table 2. The study employs a stepwise regression method to verify the robustness of the results: Column (1) presents the basic regression without controlling for firm and time fixed effects and without including control variables; Column (2) adds firm and time fixed effects to isolate the interference of individual heterogeneity and macroeconomic fluctuations on the estimation results. The results show that in both columns, the regression coefficient of the core explanatory variable DID (the interaction term of the policy dummy and time variable) is positive and significant at the 5% level, preliminarily indicating that low-carbon city construction has a positive driving effect on corporate OFDI. To further control for potential confounding factors, Column (3) introduces firm characteristics (such as asset size, profitability) and city-level variables (such as GDP, industrial structure) to the model in Column (1), while Column (4) incorporates control variables within the framework of Column (2). The results indicate that the DID coefficient in Column (3) passes the significance test and remains positive; in Column (4), the DID coefficient is significant at the 1% level, and its absolute value has increased. This demonstrates that after controlling for individual firm and time trend differences, and even considering firm heterogeneity and the urban economic environment, the construction of low-carbon cities still has a significant promoting effect on corporate OFDI performance. Thus, Hypothesis H1, "the low-carbon city pilot promotes corporate OFDI performance," is fully validated, meaning the policy's implementation can effectively encourage firms to expand their overseas investment layouts and enhance their level of international development.</w:t>
      </w:r>
    </w:p>
    <w:p w14:paraId="698DC2BF">
      <w:pPr>
        <w:widowControl/>
        <w:autoSpaceDE w:val="0"/>
        <w:autoSpaceDN w:val="0"/>
        <w:adjustRightInd w:val="0"/>
        <w:rPr>
          <w:rFonts w:ascii="Arial" w:hAnsi="Arial" w:eastAsia="Times New Roman" w:cs="Arial"/>
          <w:b/>
          <w:bCs/>
          <w:sz w:val="20"/>
          <w:lang w:val="en-US" w:eastAsia="zh-CN"/>
        </w:rPr>
      </w:pPr>
      <w:r>
        <w:rPr>
          <w:rFonts w:ascii="Arial" w:hAnsi="Arial" w:eastAsia="Times New Roman" w:cs="Arial"/>
          <w:b/>
          <w:bCs/>
          <w:sz w:val="20"/>
          <w:lang w:val="en-US" w:eastAsia="zh-CN"/>
        </w:rPr>
        <w:t>Table 2: Baseline Regression Results</w:t>
      </w:r>
    </w:p>
    <w:tbl>
      <w:tblPr>
        <w:tblStyle w:val="20"/>
        <w:tblW w:w="4998" w:type="pct"/>
        <w:tblInd w:w="0" w:type="dxa"/>
        <w:tblLayout w:type="autofit"/>
        <w:tblCellMar>
          <w:top w:w="0" w:type="dxa"/>
          <w:left w:w="108" w:type="dxa"/>
          <w:bottom w:w="0" w:type="dxa"/>
          <w:right w:w="108" w:type="dxa"/>
        </w:tblCellMar>
      </w:tblPr>
      <w:tblGrid>
        <w:gridCol w:w="2386"/>
        <w:gridCol w:w="1626"/>
        <w:gridCol w:w="1626"/>
        <w:gridCol w:w="1800"/>
        <w:gridCol w:w="1800"/>
      </w:tblGrid>
      <w:tr w14:paraId="7CD37441">
        <w:tblPrEx>
          <w:tblCellMar>
            <w:top w:w="0" w:type="dxa"/>
            <w:left w:w="108" w:type="dxa"/>
            <w:bottom w:w="0" w:type="dxa"/>
            <w:right w:w="108" w:type="dxa"/>
          </w:tblCellMar>
        </w:tblPrEx>
        <w:trPr>
          <w:trHeight w:val="270" w:hRule="atLeast"/>
        </w:trPr>
        <w:tc>
          <w:tcPr>
            <w:tcW w:w="1291" w:type="pct"/>
            <w:vMerge w:val="restart"/>
            <w:tcBorders>
              <w:top w:val="single" w:color="auto" w:sz="12" w:space="0"/>
              <w:left w:val="nil"/>
              <w:bottom w:val="nil"/>
              <w:right w:val="nil"/>
            </w:tcBorders>
            <w:noWrap/>
            <w:vAlign w:val="center"/>
          </w:tcPr>
          <w:p w14:paraId="7E751684">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rPr>
              <w:t>Variable</w:t>
            </w:r>
          </w:p>
        </w:tc>
        <w:tc>
          <w:tcPr>
            <w:tcW w:w="880" w:type="pct"/>
            <w:tcBorders>
              <w:top w:val="single" w:color="auto" w:sz="12" w:space="0"/>
              <w:left w:val="nil"/>
              <w:bottom w:val="single" w:color="auto" w:sz="6" w:space="0"/>
              <w:right w:val="nil"/>
            </w:tcBorders>
            <w:noWrap/>
            <w:vAlign w:val="center"/>
          </w:tcPr>
          <w:p w14:paraId="6CEDB84B">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(1)</w:t>
            </w:r>
          </w:p>
        </w:tc>
        <w:tc>
          <w:tcPr>
            <w:tcW w:w="880" w:type="pct"/>
            <w:tcBorders>
              <w:top w:val="single" w:color="auto" w:sz="12" w:space="0"/>
              <w:left w:val="nil"/>
              <w:bottom w:val="single" w:color="auto" w:sz="6" w:space="0"/>
              <w:right w:val="nil"/>
            </w:tcBorders>
            <w:noWrap/>
            <w:vAlign w:val="center"/>
          </w:tcPr>
          <w:p w14:paraId="76C3F646">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(2)</w:t>
            </w:r>
          </w:p>
        </w:tc>
        <w:tc>
          <w:tcPr>
            <w:tcW w:w="974" w:type="pct"/>
            <w:tcBorders>
              <w:top w:val="single" w:color="auto" w:sz="12" w:space="0"/>
              <w:left w:val="nil"/>
              <w:bottom w:val="single" w:color="auto" w:sz="6" w:space="0"/>
              <w:right w:val="nil"/>
            </w:tcBorders>
            <w:noWrap/>
            <w:vAlign w:val="center"/>
          </w:tcPr>
          <w:p w14:paraId="56CBE453">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(3)</w:t>
            </w:r>
          </w:p>
        </w:tc>
        <w:tc>
          <w:tcPr>
            <w:tcW w:w="974" w:type="pct"/>
            <w:tcBorders>
              <w:top w:val="single" w:color="auto" w:sz="12" w:space="0"/>
              <w:left w:val="nil"/>
              <w:bottom w:val="single" w:color="auto" w:sz="6" w:space="0"/>
              <w:right w:val="nil"/>
            </w:tcBorders>
            <w:noWrap/>
            <w:vAlign w:val="center"/>
          </w:tcPr>
          <w:p w14:paraId="67031898">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(4)</w:t>
            </w:r>
          </w:p>
        </w:tc>
      </w:tr>
      <w:tr w14:paraId="5AAB3A4C">
        <w:tblPrEx>
          <w:tblCellMar>
            <w:top w:w="0" w:type="dxa"/>
            <w:left w:w="108" w:type="dxa"/>
            <w:bottom w:w="0" w:type="dxa"/>
            <w:right w:w="108" w:type="dxa"/>
          </w:tblCellMar>
        </w:tblPrEx>
        <w:trPr>
          <w:trHeight w:val="270" w:hRule="atLeast"/>
        </w:trPr>
        <w:tc>
          <w:tcPr>
            <w:tcW w:w="1291" w:type="pct"/>
            <w:vMerge w:val="continue"/>
            <w:tcBorders>
              <w:top w:val="nil"/>
              <w:left w:val="nil"/>
              <w:bottom w:val="single" w:color="auto" w:sz="12" w:space="0"/>
              <w:right w:val="nil"/>
            </w:tcBorders>
            <w:noWrap/>
            <w:vAlign w:val="center"/>
          </w:tcPr>
          <w:p w14:paraId="571FD72D">
            <w:pPr>
              <w:jc w:val="center"/>
              <w:rPr>
                <w:rFonts w:ascii="Arial" w:hAnsi="Arial" w:eastAsia="宋体" w:cs="Arial"/>
                <w:b/>
                <w:bCs/>
                <w:color w:val="000000"/>
                <w:sz w:val="20"/>
                <w:szCs w:val="20"/>
              </w:rPr>
            </w:pPr>
          </w:p>
        </w:tc>
        <w:tc>
          <w:tcPr>
            <w:tcW w:w="880" w:type="pct"/>
            <w:tcBorders>
              <w:top w:val="single" w:color="auto" w:sz="6" w:space="0"/>
              <w:left w:val="nil"/>
              <w:bottom w:val="single" w:color="auto" w:sz="12" w:space="0"/>
              <w:right w:val="nil"/>
            </w:tcBorders>
            <w:noWrap/>
            <w:vAlign w:val="center"/>
          </w:tcPr>
          <w:p w14:paraId="7B8EB309">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OFDI</w:t>
            </w:r>
          </w:p>
        </w:tc>
        <w:tc>
          <w:tcPr>
            <w:tcW w:w="880" w:type="pct"/>
            <w:tcBorders>
              <w:top w:val="single" w:color="auto" w:sz="6" w:space="0"/>
              <w:left w:val="nil"/>
              <w:bottom w:val="single" w:color="auto" w:sz="12" w:space="0"/>
              <w:right w:val="nil"/>
            </w:tcBorders>
            <w:noWrap/>
            <w:vAlign w:val="center"/>
          </w:tcPr>
          <w:p w14:paraId="2C774A5F">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OFDI</w:t>
            </w:r>
          </w:p>
        </w:tc>
        <w:tc>
          <w:tcPr>
            <w:tcW w:w="974" w:type="pct"/>
            <w:tcBorders>
              <w:top w:val="single" w:color="auto" w:sz="6" w:space="0"/>
              <w:left w:val="nil"/>
              <w:bottom w:val="single" w:color="auto" w:sz="12" w:space="0"/>
              <w:right w:val="nil"/>
            </w:tcBorders>
            <w:noWrap/>
            <w:vAlign w:val="center"/>
          </w:tcPr>
          <w:p w14:paraId="776CD9C7">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OFDI</w:t>
            </w:r>
          </w:p>
        </w:tc>
        <w:tc>
          <w:tcPr>
            <w:tcW w:w="974" w:type="pct"/>
            <w:tcBorders>
              <w:top w:val="single" w:color="auto" w:sz="6" w:space="0"/>
              <w:left w:val="nil"/>
              <w:bottom w:val="single" w:color="auto" w:sz="12" w:space="0"/>
              <w:right w:val="nil"/>
            </w:tcBorders>
            <w:noWrap/>
            <w:vAlign w:val="center"/>
          </w:tcPr>
          <w:p w14:paraId="25EB9B22">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OFDI</w:t>
            </w:r>
          </w:p>
        </w:tc>
      </w:tr>
      <w:tr w14:paraId="4C16E1EB">
        <w:tblPrEx>
          <w:tblCellMar>
            <w:top w:w="0" w:type="dxa"/>
            <w:left w:w="108" w:type="dxa"/>
            <w:bottom w:w="0" w:type="dxa"/>
            <w:right w:w="108" w:type="dxa"/>
          </w:tblCellMar>
        </w:tblPrEx>
        <w:trPr>
          <w:trHeight w:val="270" w:hRule="atLeast"/>
        </w:trPr>
        <w:tc>
          <w:tcPr>
            <w:tcW w:w="1291" w:type="pct"/>
            <w:vMerge w:val="restart"/>
            <w:tcBorders>
              <w:top w:val="single" w:color="auto" w:sz="12" w:space="0"/>
              <w:left w:val="nil"/>
              <w:bottom w:val="nil"/>
              <w:right w:val="nil"/>
            </w:tcBorders>
            <w:noWrap/>
            <w:vAlign w:val="center"/>
          </w:tcPr>
          <w:p w14:paraId="75E8525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did</w:t>
            </w:r>
          </w:p>
        </w:tc>
        <w:tc>
          <w:tcPr>
            <w:tcW w:w="880" w:type="pct"/>
            <w:tcBorders>
              <w:top w:val="single" w:color="auto" w:sz="12" w:space="0"/>
              <w:left w:val="nil"/>
              <w:bottom w:val="nil"/>
              <w:right w:val="nil"/>
            </w:tcBorders>
            <w:noWrap/>
            <w:vAlign w:val="center"/>
          </w:tcPr>
          <w:p w14:paraId="6CACDB6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0.896***</w:t>
            </w:r>
          </w:p>
        </w:tc>
        <w:tc>
          <w:tcPr>
            <w:tcW w:w="880" w:type="pct"/>
            <w:tcBorders>
              <w:top w:val="single" w:color="auto" w:sz="12" w:space="0"/>
              <w:left w:val="nil"/>
              <w:bottom w:val="nil"/>
              <w:right w:val="nil"/>
            </w:tcBorders>
            <w:noWrap/>
            <w:vAlign w:val="center"/>
          </w:tcPr>
          <w:p w14:paraId="3E69F6F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0.156**</w:t>
            </w:r>
          </w:p>
        </w:tc>
        <w:tc>
          <w:tcPr>
            <w:tcW w:w="974" w:type="pct"/>
            <w:tcBorders>
              <w:top w:val="single" w:color="auto" w:sz="12" w:space="0"/>
              <w:left w:val="nil"/>
              <w:bottom w:val="nil"/>
              <w:right w:val="nil"/>
            </w:tcBorders>
            <w:noWrap/>
            <w:vAlign w:val="center"/>
          </w:tcPr>
          <w:p w14:paraId="0234B8B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0.464***</w:t>
            </w:r>
          </w:p>
        </w:tc>
        <w:tc>
          <w:tcPr>
            <w:tcW w:w="974" w:type="pct"/>
            <w:tcBorders>
              <w:top w:val="single" w:color="auto" w:sz="12" w:space="0"/>
              <w:left w:val="nil"/>
              <w:bottom w:val="nil"/>
              <w:right w:val="nil"/>
            </w:tcBorders>
            <w:noWrap/>
            <w:vAlign w:val="center"/>
          </w:tcPr>
          <w:p w14:paraId="3B9E89B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0.185***</w:t>
            </w:r>
          </w:p>
        </w:tc>
      </w:tr>
      <w:tr w14:paraId="078EB9F9">
        <w:tblPrEx>
          <w:tblCellMar>
            <w:top w:w="0" w:type="dxa"/>
            <w:left w:w="108" w:type="dxa"/>
            <w:bottom w:w="0" w:type="dxa"/>
            <w:right w:w="108" w:type="dxa"/>
          </w:tblCellMar>
        </w:tblPrEx>
        <w:trPr>
          <w:trHeight w:val="270" w:hRule="atLeast"/>
        </w:trPr>
        <w:tc>
          <w:tcPr>
            <w:tcW w:w="1291" w:type="pct"/>
            <w:vMerge w:val="continue"/>
            <w:tcBorders>
              <w:top w:val="nil"/>
              <w:left w:val="nil"/>
              <w:bottom w:val="nil"/>
              <w:right w:val="nil"/>
            </w:tcBorders>
            <w:noWrap/>
            <w:vAlign w:val="center"/>
          </w:tcPr>
          <w:p w14:paraId="24E5BF14">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1CE0196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(0.0326)</w:t>
            </w:r>
          </w:p>
        </w:tc>
        <w:tc>
          <w:tcPr>
            <w:tcW w:w="880" w:type="pct"/>
            <w:tcBorders>
              <w:top w:val="nil"/>
              <w:left w:val="nil"/>
              <w:bottom w:val="nil"/>
              <w:right w:val="nil"/>
            </w:tcBorders>
            <w:noWrap/>
            <w:vAlign w:val="center"/>
          </w:tcPr>
          <w:p w14:paraId="5C3BC55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(0.0635)</w:t>
            </w:r>
          </w:p>
        </w:tc>
        <w:tc>
          <w:tcPr>
            <w:tcW w:w="974" w:type="pct"/>
            <w:tcBorders>
              <w:top w:val="nil"/>
              <w:left w:val="nil"/>
              <w:bottom w:val="nil"/>
              <w:right w:val="nil"/>
            </w:tcBorders>
            <w:noWrap/>
            <w:vAlign w:val="center"/>
          </w:tcPr>
          <w:p w14:paraId="7C0F29B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(0.0308)</w:t>
            </w:r>
          </w:p>
        </w:tc>
        <w:tc>
          <w:tcPr>
            <w:tcW w:w="974" w:type="pct"/>
            <w:tcBorders>
              <w:top w:val="nil"/>
              <w:left w:val="nil"/>
              <w:bottom w:val="nil"/>
              <w:right w:val="nil"/>
            </w:tcBorders>
            <w:noWrap/>
            <w:vAlign w:val="center"/>
          </w:tcPr>
          <w:p w14:paraId="6CBF723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(0.0606)</w:t>
            </w:r>
          </w:p>
        </w:tc>
      </w:tr>
      <w:tr w14:paraId="68545BF1">
        <w:tblPrEx>
          <w:tblCellMar>
            <w:top w:w="0" w:type="dxa"/>
            <w:left w:w="108" w:type="dxa"/>
            <w:bottom w:w="0" w:type="dxa"/>
            <w:right w:w="108" w:type="dxa"/>
          </w:tblCellMar>
        </w:tblPrEx>
        <w:trPr>
          <w:trHeight w:val="270" w:hRule="atLeast"/>
        </w:trPr>
        <w:tc>
          <w:tcPr>
            <w:tcW w:w="1291" w:type="pct"/>
            <w:vMerge w:val="restart"/>
            <w:tcBorders>
              <w:top w:val="nil"/>
              <w:left w:val="nil"/>
              <w:bottom w:val="nil"/>
              <w:right w:val="nil"/>
            </w:tcBorders>
            <w:noWrap/>
            <w:vAlign w:val="center"/>
          </w:tcPr>
          <w:p w14:paraId="09814C4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Size</w:t>
            </w:r>
          </w:p>
        </w:tc>
        <w:tc>
          <w:tcPr>
            <w:tcW w:w="880" w:type="pct"/>
            <w:tcBorders>
              <w:top w:val="nil"/>
              <w:left w:val="nil"/>
              <w:bottom w:val="nil"/>
              <w:right w:val="nil"/>
            </w:tcBorders>
            <w:noWrap/>
            <w:vAlign w:val="center"/>
          </w:tcPr>
          <w:p w14:paraId="40579921">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7B9A6B50">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6E13E49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0.834***</w:t>
            </w:r>
          </w:p>
        </w:tc>
        <w:tc>
          <w:tcPr>
            <w:tcW w:w="974" w:type="pct"/>
            <w:tcBorders>
              <w:top w:val="nil"/>
              <w:left w:val="nil"/>
              <w:bottom w:val="nil"/>
              <w:right w:val="nil"/>
            </w:tcBorders>
            <w:noWrap/>
            <w:vAlign w:val="center"/>
          </w:tcPr>
          <w:p w14:paraId="0C35002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0.725***</w:t>
            </w:r>
          </w:p>
        </w:tc>
      </w:tr>
      <w:tr w14:paraId="5B8168C0">
        <w:tblPrEx>
          <w:tblCellMar>
            <w:top w:w="0" w:type="dxa"/>
            <w:left w:w="108" w:type="dxa"/>
            <w:bottom w:w="0" w:type="dxa"/>
            <w:right w:w="108" w:type="dxa"/>
          </w:tblCellMar>
        </w:tblPrEx>
        <w:trPr>
          <w:trHeight w:val="270" w:hRule="atLeast"/>
        </w:trPr>
        <w:tc>
          <w:tcPr>
            <w:tcW w:w="1291" w:type="pct"/>
            <w:vMerge w:val="continue"/>
            <w:tcBorders>
              <w:top w:val="nil"/>
              <w:left w:val="nil"/>
              <w:bottom w:val="nil"/>
              <w:right w:val="nil"/>
            </w:tcBorders>
            <w:noWrap/>
            <w:vAlign w:val="center"/>
          </w:tcPr>
          <w:p w14:paraId="07582317">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5B46EA78">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4A9DD183">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237B793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(0.0148)</w:t>
            </w:r>
          </w:p>
        </w:tc>
        <w:tc>
          <w:tcPr>
            <w:tcW w:w="974" w:type="pct"/>
            <w:tcBorders>
              <w:top w:val="nil"/>
              <w:left w:val="nil"/>
              <w:bottom w:val="nil"/>
              <w:right w:val="nil"/>
            </w:tcBorders>
            <w:noWrap/>
            <w:vAlign w:val="center"/>
          </w:tcPr>
          <w:p w14:paraId="52E5F8A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(0.0440)</w:t>
            </w:r>
          </w:p>
        </w:tc>
      </w:tr>
      <w:tr w14:paraId="504B5452">
        <w:tblPrEx>
          <w:tblCellMar>
            <w:top w:w="0" w:type="dxa"/>
            <w:left w:w="108" w:type="dxa"/>
            <w:bottom w:w="0" w:type="dxa"/>
            <w:right w:w="108" w:type="dxa"/>
          </w:tblCellMar>
        </w:tblPrEx>
        <w:trPr>
          <w:trHeight w:val="270" w:hRule="atLeast"/>
        </w:trPr>
        <w:tc>
          <w:tcPr>
            <w:tcW w:w="1291" w:type="pct"/>
            <w:vMerge w:val="restart"/>
            <w:tcBorders>
              <w:top w:val="nil"/>
              <w:left w:val="nil"/>
              <w:bottom w:val="nil"/>
              <w:right w:val="nil"/>
            </w:tcBorders>
            <w:noWrap/>
            <w:vAlign w:val="center"/>
          </w:tcPr>
          <w:p w14:paraId="0E9C632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Lev</w:t>
            </w:r>
          </w:p>
        </w:tc>
        <w:tc>
          <w:tcPr>
            <w:tcW w:w="880" w:type="pct"/>
            <w:tcBorders>
              <w:top w:val="nil"/>
              <w:left w:val="nil"/>
              <w:bottom w:val="nil"/>
              <w:right w:val="nil"/>
            </w:tcBorders>
            <w:noWrap/>
            <w:vAlign w:val="center"/>
          </w:tcPr>
          <w:p w14:paraId="20954529">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198AF5E3">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0307BD9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-3.495***</w:t>
            </w:r>
          </w:p>
        </w:tc>
        <w:tc>
          <w:tcPr>
            <w:tcW w:w="974" w:type="pct"/>
            <w:tcBorders>
              <w:top w:val="nil"/>
              <w:left w:val="nil"/>
              <w:bottom w:val="nil"/>
              <w:right w:val="nil"/>
            </w:tcBorders>
            <w:noWrap/>
            <w:vAlign w:val="center"/>
          </w:tcPr>
          <w:p w14:paraId="5B00FF3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-2.631***</w:t>
            </w:r>
          </w:p>
        </w:tc>
      </w:tr>
      <w:tr w14:paraId="114E6C0F">
        <w:tblPrEx>
          <w:tblCellMar>
            <w:top w:w="0" w:type="dxa"/>
            <w:left w:w="108" w:type="dxa"/>
            <w:bottom w:w="0" w:type="dxa"/>
            <w:right w:w="108" w:type="dxa"/>
          </w:tblCellMar>
        </w:tblPrEx>
        <w:trPr>
          <w:trHeight w:val="270" w:hRule="atLeast"/>
        </w:trPr>
        <w:tc>
          <w:tcPr>
            <w:tcW w:w="1291" w:type="pct"/>
            <w:vMerge w:val="continue"/>
            <w:tcBorders>
              <w:top w:val="nil"/>
              <w:left w:val="nil"/>
              <w:bottom w:val="nil"/>
              <w:right w:val="nil"/>
            </w:tcBorders>
            <w:noWrap/>
            <w:vAlign w:val="center"/>
          </w:tcPr>
          <w:p w14:paraId="74EEA3E1">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0211E3A1">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035658C1">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22979F9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(0.0881)</w:t>
            </w:r>
          </w:p>
        </w:tc>
        <w:tc>
          <w:tcPr>
            <w:tcW w:w="974" w:type="pct"/>
            <w:tcBorders>
              <w:top w:val="nil"/>
              <w:left w:val="nil"/>
              <w:bottom w:val="nil"/>
              <w:right w:val="nil"/>
            </w:tcBorders>
            <w:noWrap/>
            <w:vAlign w:val="center"/>
          </w:tcPr>
          <w:p w14:paraId="2DD2F6A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(0.149)</w:t>
            </w:r>
          </w:p>
        </w:tc>
      </w:tr>
      <w:tr w14:paraId="538BC57F">
        <w:tblPrEx>
          <w:tblCellMar>
            <w:top w:w="0" w:type="dxa"/>
            <w:left w:w="108" w:type="dxa"/>
            <w:bottom w:w="0" w:type="dxa"/>
            <w:right w:w="108" w:type="dxa"/>
          </w:tblCellMar>
        </w:tblPrEx>
        <w:trPr>
          <w:trHeight w:val="270" w:hRule="atLeast"/>
        </w:trPr>
        <w:tc>
          <w:tcPr>
            <w:tcW w:w="1291" w:type="pct"/>
            <w:vMerge w:val="restart"/>
            <w:tcBorders>
              <w:top w:val="nil"/>
              <w:left w:val="nil"/>
              <w:bottom w:val="nil"/>
              <w:right w:val="nil"/>
            </w:tcBorders>
            <w:noWrap/>
            <w:vAlign w:val="center"/>
          </w:tcPr>
          <w:p w14:paraId="08943A6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Growth</w:t>
            </w:r>
          </w:p>
        </w:tc>
        <w:tc>
          <w:tcPr>
            <w:tcW w:w="880" w:type="pct"/>
            <w:tcBorders>
              <w:top w:val="nil"/>
              <w:left w:val="nil"/>
              <w:bottom w:val="nil"/>
              <w:right w:val="nil"/>
            </w:tcBorders>
            <w:noWrap/>
            <w:vAlign w:val="center"/>
          </w:tcPr>
          <w:p w14:paraId="399247EB">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3BDDDC2C">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4954656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-0.0335</w:t>
            </w:r>
          </w:p>
        </w:tc>
        <w:tc>
          <w:tcPr>
            <w:tcW w:w="974" w:type="pct"/>
            <w:tcBorders>
              <w:top w:val="nil"/>
              <w:left w:val="nil"/>
              <w:bottom w:val="nil"/>
              <w:right w:val="nil"/>
            </w:tcBorders>
            <w:noWrap/>
            <w:vAlign w:val="center"/>
          </w:tcPr>
          <w:p w14:paraId="45C28C4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-0.0128</w:t>
            </w:r>
          </w:p>
        </w:tc>
      </w:tr>
      <w:tr w14:paraId="718BE198">
        <w:tblPrEx>
          <w:tblCellMar>
            <w:top w:w="0" w:type="dxa"/>
            <w:left w:w="108" w:type="dxa"/>
            <w:bottom w:w="0" w:type="dxa"/>
            <w:right w:w="108" w:type="dxa"/>
          </w:tblCellMar>
        </w:tblPrEx>
        <w:trPr>
          <w:trHeight w:val="270" w:hRule="atLeast"/>
        </w:trPr>
        <w:tc>
          <w:tcPr>
            <w:tcW w:w="1291" w:type="pct"/>
            <w:vMerge w:val="continue"/>
            <w:tcBorders>
              <w:top w:val="nil"/>
              <w:left w:val="nil"/>
              <w:bottom w:val="nil"/>
              <w:right w:val="nil"/>
            </w:tcBorders>
            <w:noWrap/>
            <w:vAlign w:val="center"/>
          </w:tcPr>
          <w:p w14:paraId="34248D34">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7949C53A">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1E202AE6">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531A718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(0.0373)</w:t>
            </w:r>
          </w:p>
        </w:tc>
        <w:tc>
          <w:tcPr>
            <w:tcW w:w="974" w:type="pct"/>
            <w:tcBorders>
              <w:top w:val="nil"/>
              <w:left w:val="nil"/>
              <w:bottom w:val="nil"/>
              <w:right w:val="nil"/>
            </w:tcBorders>
            <w:noWrap/>
            <w:vAlign w:val="center"/>
          </w:tcPr>
          <w:p w14:paraId="388215D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(0.0361)</w:t>
            </w:r>
          </w:p>
        </w:tc>
      </w:tr>
      <w:tr w14:paraId="1335F254">
        <w:tblPrEx>
          <w:tblCellMar>
            <w:top w:w="0" w:type="dxa"/>
            <w:left w:w="108" w:type="dxa"/>
            <w:bottom w:w="0" w:type="dxa"/>
            <w:right w:w="108" w:type="dxa"/>
          </w:tblCellMar>
        </w:tblPrEx>
        <w:trPr>
          <w:trHeight w:val="270" w:hRule="atLeast"/>
        </w:trPr>
        <w:tc>
          <w:tcPr>
            <w:tcW w:w="1291" w:type="pct"/>
            <w:vMerge w:val="restart"/>
            <w:tcBorders>
              <w:top w:val="nil"/>
              <w:left w:val="nil"/>
              <w:bottom w:val="nil"/>
              <w:right w:val="nil"/>
            </w:tcBorders>
            <w:noWrap/>
            <w:vAlign w:val="center"/>
          </w:tcPr>
          <w:p w14:paraId="1E5A68E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Top5</w:t>
            </w:r>
          </w:p>
        </w:tc>
        <w:tc>
          <w:tcPr>
            <w:tcW w:w="880" w:type="pct"/>
            <w:tcBorders>
              <w:top w:val="nil"/>
              <w:left w:val="nil"/>
              <w:bottom w:val="nil"/>
              <w:right w:val="nil"/>
            </w:tcBorders>
            <w:noWrap/>
            <w:vAlign w:val="center"/>
          </w:tcPr>
          <w:p w14:paraId="0D78045F">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504C73CC">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2003374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0.369***</w:t>
            </w:r>
          </w:p>
        </w:tc>
        <w:tc>
          <w:tcPr>
            <w:tcW w:w="974" w:type="pct"/>
            <w:tcBorders>
              <w:top w:val="nil"/>
              <w:left w:val="nil"/>
              <w:bottom w:val="nil"/>
              <w:right w:val="nil"/>
            </w:tcBorders>
            <w:noWrap/>
            <w:vAlign w:val="center"/>
          </w:tcPr>
          <w:p w14:paraId="366D1E7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-0.450**</w:t>
            </w:r>
          </w:p>
        </w:tc>
      </w:tr>
      <w:tr w14:paraId="6B91E785">
        <w:tblPrEx>
          <w:tblCellMar>
            <w:top w:w="0" w:type="dxa"/>
            <w:left w:w="108" w:type="dxa"/>
            <w:bottom w:w="0" w:type="dxa"/>
            <w:right w:w="108" w:type="dxa"/>
          </w:tblCellMar>
        </w:tblPrEx>
        <w:trPr>
          <w:trHeight w:val="270" w:hRule="atLeast"/>
        </w:trPr>
        <w:tc>
          <w:tcPr>
            <w:tcW w:w="1291" w:type="pct"/>
            <w:vMerge w:val="continue"/>
            <w:tcBorders>
              <w:top w:val="nil"/>
              <w:left w:val="nil"/>
              <w:bottom w:val="nil"/>
              <w:right w:val="nil"/>
            </w:tcBorders>
            <w:noWrap/>
            <w:vAlign w:val="center"/>
          </w:tcPr>
          <w:p w14:paraId="179E3E1C">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2CC1777D">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1511BC8C">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647AFAE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(0.103)</w:t>
            </w:r>
          </w:p>
        </w:tc>
        <w:tc>
          <w:tcPr>
            <w:tcW w:w="974" w:type="pct"/>
            <w:tcBorders>
              <w:top w:val="nil"/>
              <w:left w:val="nil"/>
              <w:bottom w:val="nil"/>
              <w:right w:val="nil"/>
            </w:tcBorders>
            <w:noWrap/>
            <w:vAlign w:val="center"/>
          </w:tcPr>
          <w:p w14:paraId="5CF985E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(0.230)</w:t>
            </w:r>
          </w:p>
        </w:tc>
      </w:tr>
      <w:tr w14:paraId="176AD2C4">
        <w:tblPrEx>
          <w:tblCellMar>
            <w:top w:w="0" w:type="dxa"/>
            <w:left w:w="108" w:type="dxa"/>
            <w:bottom w:w="0" w:type="dxa"/>
            <w:right w:w="108" w:type="dxa"/>
          </w:tblCellMar>
        </w:tblPrEx>
        <w:trPr>
          <w:trHeight w:val="270" w:hRule="atLeast"/>
        </w:trPr>
        <w:tc>
          <w:tcPr>
            <w:tcW w:w="1291" w:type="pct"/>
            <w:vMerge w:val="restart"/>
            <w:tcBorders>
              <w:top w:val="nil"/>
              <w:left w:val="nil"/>
              <w:bottom w:val="nil"/>
              <w:right w:val="nil"/>
            </w:tcBorders>
            <w:noWrap/>
            <w:vAlign w:val="center"/>
          </w:tcPr>
          <w:p w14:paraId="576BD0E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Board</w:t>
            </w:r>
          </w:p>
        </w:tc>
        <w:tc>
          <w:tcPr>
            <w:tcW w:w="880" w:type="pct"/>
            <w:tcBorders>
              <w:top w:val="nil"/>
              <w:left w:val="nil"/>
              <w:bottom w:val="nil"/>
              <w:right w:val="nil"/>
            </w:tcBorders>
            <w:noWrap/>
            <w:vAlign w:val="center"/>
          </w:tcPr>
          <w:p w14:paraId="5E3A03DC">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72B2F5DF">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568F5BE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-0.493***</w:t>
            </w:r>
          </w:p>
        </w:tc>
        <w:tc>
          <w:tcPr>
            <w:tcW w:w="974" w:type="pct"/>
            <w:tcBorders>
              <w:top w:val="nil"/>
              <w:left w:val="nil"/>
              <w:bottom w:val="nil"/>
              <w:right w:val="nil"/>
            </w:tcBorders>
            <w:noWrap/>
            <w:vAlign w:val="center"/>
          </w:tcPr>
          <w:p w14:paraId="54C4A7E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0.0871</w:t>
            </w:r>
          </w:p>
        </w:tc>
      </w:tr>
      <w:tr w14:paraId="3C37D86B">
        <w:tblPrEx>
          <w:tblCellMar>
            <w:top w:w="0" w:type="dxa"/>
            <w:left w:w="108" w:type="dxa"/>
            <w:bottom w:w="0" w:type="dxa"/>
            <w:right w:w="108" w:type="dxa"/>
          </w:tblCellMar>
        </w:tblPrEx>
        <w:trPr>
          <w:trHeight w:val="270" w:hRule="atLeast"/>
        </w:trPr>
        <w:tc>
          <w:tcPr>
            <w:tcW w:w="1291" w:type="pct"/>
            <w:vMerge w:val="continue"/>
            <w:tcBorders>
              <w:top w:val="nil"/>
              <w:left w:val="nil"/>
              <w:bottom w:val="nil"/>
              <w:right w:val="nil"/>
            </w:tcBorders>
            <w:noWrap/>
            <w:vAlign w:val="center"/>
          </w:tcPr>
          <w:p w14:paraId="78246E5C">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28AAB25D">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378965D7">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2D14AA98">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(0.0861)</w:t>
            </w:r>
          </w:p>
        </w:tc>
        <w:tc>
          <w:tcPr>
            <w:tcW w:w="974" w:type="pct"/>
            <w:tcBorders>
              <w:top w:val="nil"/>
              <w:left w:val="nil"/>
              <w:bottom w:val="nil"/>
              <w:right w:val="nil"/>
            </w:tcBorders>
            <w:noWrap/>
            <w:vAlign w:val="center"/>
          </w:tcPr>
          <w:p w14:paraId="0CE1599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(0.142)</w:t>
            </w:r>
          </w:p>
        </w:tc>
      </w:tr>
      <w:tr w14:paraId="72C7D253">
        <w:tblPrEx>
          <w:tblCellMar>
            <w:top w:w="0" w:type="dxa"/>
            <w:left w:w="108" w:type="dxa"/>
            <w:bottom w:w="0" w:type="dxa"/>
            <w:right w:w="108" w:type="dxa"/>
          </w:tblCellMar>
        </w:tblPrEx>
        <w:trPr>
          <w:trHeight w:val="270" w:hRule="atLeast"/>
        </w:trPr>
        <w:tc>
          <w:tcPr>
            <w:tcW w:w="1291" w:type="pct"/>
            <w:vMerge w:val="restart"/>
            <w:tcBorders>
              <w:top w:val="nil"/>
              <w:left w:val="nil"/>
              <w:bottom w:val="nil"/>
              <w:right w:val="nil"/>
            </w:tcBorders>
            <w:noWrap/>
            <w:vAlign w:val="center"/>
          </w:tcPr>
          <w:p w14:paraId="4576486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Indep</w:t>
            </w:r>
          </w:p>
        </w:tc>
        <w:tc>
          <w:tcPr>
            <w:tcW w:w="880" w:type="pct"/>
            <w:tcBorders>
              <w:top w:val="nil"/>
              <w:left w:val="nil"/>
              <w:bottom w:val="nil"/>
              <w:right w:val="nil"/>
            </w:tcBorders>
            <w:noWrap/>
            <w:vAlign w:val="center"/>
          </w:tcPr>
          <w:p w14:paraId="65C56958">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61673673">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4FA0BFA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-0.00611*</w:t>
            </w:r>
          </w:p>
        </w:tc>
        <w:tc>
          <w:tcPr>
            <w:tcW w:w="974" w:type="pct"/>
            <w:tcBorders>
              <w:top w:val="nil"/>
              <w:left w:val="nil"/>
              <w:bottom w:val="nil"/>
              <w:right w:val="nil"/>
            </w:tcBorders>
            <w:noWrap/>
            <w:vAlign w:val="center"/>
          </w:tcPr>
          <w:p w14:paraId="64E6513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-0.00170</w:t>
            </w:r>
          </w:p>
        </w:tc>
      </w:tr>
      <w:tr w14:paraId="09F0B7D1">
        <w:tblPrEx>
          <w:tblCellMar>
            <w:top w:w="0" w:type="dxa"/>
            <w:left w:w="108" w:type="dxa"/>
            <w:bottom w:w="0" w:type="dxa"/>
            <w:right w:w="108" w:type="dxa"/>
          </w:tblCellMar>
        </w:tblPrEx>
        <w:trPr>
          <w:trHeight w:val="270" w:hRule="atLeast"/>
        </w:trPr>
        <w:tc>
          <w:tcPr>
            <w:tcW w:w="1291" w:type="pct"/>
            <w:vMerge w:val="continue"/>
            <w:tcBorders>
              <w:top w:val="nil"/>
              <w:left w:val="nil"/>
              <w:bottom w:val="nil"/>
              <w:right w:val="nil"/>
            </w:tcBorders>
            <w:noWrap/>
            <w:vAlign w:val="center"/>
          </w:tcPr>
          <w:p w14:paraId="76DC9E54">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08B2F72D">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54C13A29">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13E1154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(0.00327)</w:t>
            </w:r>
          </w:p>
        </w:tc>
        <w:tc>
          <w:tcPr>
            <w:tcW w:w="974" w:type="pct"/>
            <w:tcBorders>
              <w:top w:val="nil"/>
              <w:left w:val="nil"/>
              <w:bottom w:val="nil"/>
              <w:right w:val="nil"/>
            </w:tcBorders>
            <w:noWrap/>
            <w:vAlign w:val="center"/>
          </w:tcPr>
          <w:p w14:paraId="3CFB261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(0.00425)</w:t>
            </w:r>
          </w:p>
        </w:tc>
      </w:tr>
      <w:tr w14:paraId="3833AC54">
        <w:tblPrEx>
          <w:tblCellMar>
            <w:top w:w="0" w:type="dxa"/>
            <w:left w:w="108" w:type="dxa"/>
            <w:bottom w:w="0" w:type="dxa"/>
            <w:right w:w="108" w:type="dxa"/>
          </w:tblCellMar>
        </w:tblPrEx>
        <w:trPr>
          <w:trHeight w:val="270" w:hRule="atLeast"/>
        </w:trPr>
        <w:tc>
          <w:tcPr>
            <w:tcW w:w="1291" w:type="pct"/>
            <w:vMerge w:val="restart"/>
            <w:tcBorders>
              <w:top w:val="nil"/>
              <w:left w:val="nil"/>
              <w:bottom w:val="nil"/>
              <w:right w:val="nil"/>
            </w:tcBorders>
            <w:noWrap/>
            <w:vAlign w:val="center"/>
          </w:tcPr>
          <w:p w14:paraId="72C88BA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Fixed</w:t>
            </w:r>
          </w:p>
        </w:tc>
        <w:tc>
          <w:tcPr>
            <w:tcW w:w="880" w:type="pct"/>
            <w:tcBorders>
              <w:top w:val="nil"/>
              <w:left w:val="nil"/>
              <w:bottom w:val="nil"/>
              <w:right w:val="nil"/>
            </w:tcBorders>
            <w:noWrap/>
            <w:vAlign w:val="center"/>
          </w:tcPr>
          <w:p w14:paraId="12A1EDB2">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69287458">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5004340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-1.477***</w:t>
            </w:r>
          </w:p>
        </w:tc>
        <w:tc>
          <w:tcPr>
            <w:tcW w:w="974" w:type="pct"/>
            <w:tcBorders>
              <w:top w:val="nil"/>
              <w:left w:val="nil"/>
              <w:bottom w:val="nil"/>
              <w:right w:val="nil"/>
            </w:tcBorders>
            <w:noWrap/>
            <w:vAlign w:val="center"/>
          </w:tcPr>
          <w:p w14:paraId="4C4CC52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-1.278***</w:t>
            </w:r>
          </w:p>
        </w:tc>
      </w:tr>
      <w:tr w14:paraId="2B67BCD4">
        <w:tblPrEx>
          <w:tblCellMar>
            <w:top w:w="0" w:type="dxa"/>
            <w:left w:w="108" w:type="dxa"/>
            <w:bottom w:w="0" w:type="dxa"/>
            <w:right w:w="108" w:type="dxa"/>
          </w:tblCellMar>
        </w:tblPrEx>
        <w:trPr>
          <w:trHeight w:val="270" w:hRule="atLeast"/>
        </w:trPr>
        <w:tc>
          <w:tcPr>
            <w:tcW w:w="1291" w:type="pct"/>
            <w:vMerge w:val="continue"/>
            <w:tcBorders>
              <w:top w:val="nil"/>
              <w:left w:val="nil"/>
              <w:bottom w:val="nil"/>
              <w:right w:val="nil"/>
            </w:tcBorders>
            <w:noWrap/>
            <w:vAlign w:val="center"/>
          </w:tcPr>
          <w:p w14:paraId="3166D979">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51B1D152">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2DB812E1">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09B8FE4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(0.0993)</w:t>
            </w:r>
          </w:p>
        </w:tc>
        <w:tc>
          <w:tcPr>
            <w:tcW w:w="974" w:type="pct"/>
            <w:tcBorders>
              <w:top w:val="nil"/>
              <w:left w:val="nil"/>
              <w:bottom w:val="nil"/>
              <w:right w:val="nil"/>
            </w:tcBorders>
            <w:noWrap/>
            <w:vAlign w:val="center"/>
          </w:tcPr>
          <w:p w14:paraId="18FFE10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(0.202)</w:t>
            </w:r>
          </w:p>
        </w:tc>
      </w:tr>
      <w:tr w14:paraId="074B018E">
        <w:tblPrEx>
          <w:tblCellMar>
            <w:top w:w="0" w:type="dxa"/>
            <w:left w:w="108" w:type="dxa"/>
            <w:bottom w:w="0" w:type="dxa"/>
            <w:right w:w="108" w:type="dxa"/>
          </w:tblCellMar>
        </w:tblPrEx>
        <w:trPr>
          <w:trHeight w:val="270" w:hRule="atLeast"/>
        </w:trPr>
        <w:tc>
          <w:tcPr>
            <w:tcW w:w="1291" w:type="pct"/>
            <w:vMerge w:val="restart"/>
            <w:tcBorders>
              <w:top w:val="nil"/>
              <w:left w:val="nil"/>
              <w:bottom w:val="nil"/>
              <w:right w:val="nil"/>
            </w:tcBorders>
            <w:noWrap/>
            <w:vAlign w:val="center"/>
          </w:tcPr>
          <w:p w14:paraId="45C3E63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ListAge</w:t>
            </w:r>
          </w:p>
        </w:tc>
        <w:tc>
          <w:tcPr>
            <w:tcW w:w="880" w:type="pct"/>
            <w:tcBorders>
              <w:top w:val="nil"/>
              <w:left w:val="nil"/>
              <w:bottom w:val="nil"/>
              <w:right w:val="nil"/>
            </w:tcBorders>
            <w:noWrap/>
            <w:vAlign w:val="center"/>
          </w:tcPr>
          <w:p w14:paraId="07636D41">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0C62FC9B">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4C817D4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-0.120***</w:t>
            </w:r>
          </w:p>
        </w:tc>
        <w:tc>
          <w:tcPr>
            <w:tcW w:w="974" w:type="pct"/>
            <w:tcBorders>
              <w:top w:val="nil"/>
              <w:left w:val="nil"/>
              <w:bottom w:val="nil"/>
              <w:right w:val="nil"/>
            </w:tcBorders>
            <w:noWrap/>
            <w:vAlign w:val="center"/>
          </w:tcPr>
          <w:p w14:paraId="1EB0FF9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0.424***</w:t>
            </w:r>
          </w:p>
        </w:tc>
      </w:tr>
      <w:tr w14:paraId="71292454">
        <w:tblPrEx>
          <w:tblCellMar>
            <w:top w:w="0" w:type="dxa"/>
            <w:left w:w="108" w:type="dxa"/>
            <w:bottom w:w="0" w:type="dxa"/>
            <w:right w:w="108" w:type="dxa"/>
          </w:tblCellMar>
        </w:tblPrEx>
        <w:trPr>
          <w:trHeight w:val="270" w:hRule="atLeast"/>
        </w:trPr>
        <w:tc>
          <w:tcPr>
            <w:tcW w:w="1291" w:type="pct"/>
            <w:vMerge w:val="continue"/>
            <w:tcBorders>
              <w:top w:val="nil"/>
              <w:left w:val="nil"/>
              <w:bottom w:val="nil"/>
              <w:right w:val="nil"/>
            </w:tcBorders>
            <w:noWrap/>
            <w:vAlign w:val="center"/>
          </w:tcPr>
          <w:p w14:paraId="63875E0E">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5B302523">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610D98B0">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61A7842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(0.0191)</w:t>
            </w:r>
          </w:p>
        </w:tc>
        <w:tc>
          <w:tcPr>
            <w:tcW w:w="974" w:type="pct"/>
            <w:tcBorders>
              <w:top w:val="nil"/>
              <w:left w:val="nil"/>
              <w:bottom w:val="nil"/>
              <w:right w:val="nil"/>
            </w:tcBorders>
            <w:noWrap/>
            <w:vAlign w:val="center"/>
          </w:tcPr>
          <w:p w14:paraId="7284F14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(0.0506)</w:t>
            </w:r>
          </w:p>
        </w:tc>
      </w:tr>
      <w:tr w14:paraId="2FDD843A">
        <w:tblPrEx>
          <w:tblCellMar>
            <w:top w:w="0" w:type="dxa"/>
            <w:left w:w="108" w:type="dxa"/>
            <w:bottom w:w="0" w:type="dxa"/>
            <w:right w:w="108" w:type="dxa"/>
          </w:tblCellMar>
        </w:tblPrEx>
        <w:trPr>
          <w:trHeight w:val="270" w:hRule="atLeast"/>
        </w:trPr>
        <w:tc>
          <w:tcPr>
            <w:tcW w:w="1291" w:type="pct"/>
            <w:vMerge w:val="restart"/>
            <w:tcBorders>
              <w:top w:val="nil"/>
              <w:left w:val="nil"/>
              <w:bottom w:val="nil"/>
              <w:right w:val="nil"/>
            </w:tcBorders>
            <w:noWrap/>
            <w:vAlign w:val="center"/>
          </w:tcPr>
          <w:p w14:paraId="5263AE5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Mfee</w:t>
            </w:r>
          </w:p>
        </w:tc>
        <w:tc>
          <w:tcPr>
            <w:tcW w:w="880" w:type="pct"/>
            <w:tcBorders>
              <w:top w:val="nil"/>
              <w:left w:val="nil"/>
              <w:bottom w:val="nil"/>
              <w:right w:val="nil"/>
            </w:tcBorders>
            <w:noWrap/>
            <w:vAlign w:val="center"/>
          </w:tcPr>
          <w:p w14:paraId="55232062">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3F9E29F7">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31BCC4D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-1.294***</w:t>
            </w:r>
          </w:p>
        </w:tc>
        <w:tc>
          <w:tcPr>
            <w:tcW w:w="974" w:type="pct"/>
            <w:tcBorders>
              <w:top w:val="nil"/>
              <w:left w:val="nil"/>
              <w:bottom w:val="nil"/>
              <w:right w:val="nil"/>
            </w:tcBorders>
            <w:noWrap/>
            <w:vAlign w:val="center"/>
          </w:tcPr>
          <w:p w14:paraId="31D768D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-0.522</w:t>
            </w:r>
          </w:p>
        </w:tc>
      </w:tr>
      <w:tr w14:paraId="2791402E">
        <w:tblPrEx>
          <w:tblCellMar>
            <w:top w:w="0" w:type="dxa"/>
            <w:left w:w="108" w:type="dxa"/>
            <w:bottom w:w="0" w:type="dxa"/>
            <w:right w:w="108" w:type="dxa"/>
          </w:tblCellMar>
        </w:tblPrEx>
        <w:trPr>
          <w:trHeight w:val="270" w:hRule="atLeast"/>
        </w:trPr>
        <w:tc>
          <w:tcPr>
            <w:tcW w:w="1291" w:type="pct"/>
            <w:vMerge w:val="continue"/>
            <w:tcBorders>
              <w:top w:val="nil"/>
              <w:left w:val="nil"/>
              <w:bottom w:val="nil"/>
              <w:right w:val="nil"/>
            </w:tcBorders>
            <w:noWrap/>
            <w:vAlign w:val="center"/>
          </w:tcPr>
          <w:p w14:paraId="60267E88">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3FD122F7">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5537255C">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3FA12D2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(0.296)</w:t>
            </w:r>
          </w:p>
        </w:tc>
        <w:tc>
          <w:tcPr>
            <w:tcW w:w="974" w:type="pct"/>
            <w:tcBorders>
              <w:top w:val="nil"/>
              <w:left w:val="nil"/>
              <w:bottom w:val="nil"/>
              <w:right w:val="nil"/>
            </w:tcBorders>
            <w:noWrap/>
            <w:vAlign w:val="center"/>
          </w:tcPr>
          <w:p w14:paraId="254D751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(0.591)</w:t>
            </w:r>
          </w:p>
        </w:tc>
      </w:tr>
      <w:tr w14:paraId="78C2E338">
        <w:tblPrEx>
          <w:tblCellMar>
            <w:top w:w="0" w:type="dxa"/>
            <w:left w:w="108" w:type="dxa"/>
            <w:bottom w:w="0" w:type="dxa"/>
            <w:right w:w="108" w:type="dxa"/>
          </w:tblCellMar>
        </w:tblPrEx>
        <w:trPr>
          <w:trHeight w:val="270" w:hRule="atLeast"/>
        </w:trPr>
        <w:tc>
          <w:tcPr>
            <w:tcW w:w="1291" w:type="pct"/>
            <w:vMerge w:val="restart"/>
            <w:tcBorders>
              <w:top w:val="nil"/>
              <w:left w:val="nil"/>
              <w:bottom w:val="nil"/>
              <w:right w:val="nil"/>
            </w:tcBorders>
            <w:noWrap/>
            <w:vAlign w:val="center"/>
          </w:tcPr>
          <w:p w14:paraId="0A57FC3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AgC1</w:t>
            </w:r>
          </w:p>
        </w:tc>
        <w:tc>
          <w:tcPr>
            <w:tcW w:w="880" w:type="pct"/>
            <w:tcBorders>
              <w:top w:val="nil"/>
              <w:left w:val="nil"/>
              <w:bottom w:val="nil"/>
              <w:right w:val="nil"/>
            </w:tcBorders>
            <w:noWrap/>
            <w:vAlign w:val="center"/>
          </w:tcPr>
          <w:p w14:paraId="6C741CE7">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3D85AFF9">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4CBCA638">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1.380***</w:t>
            </w:r>
          </w:p>
        </w:tc>
        <w:tc>
          <w:tcPr>
            <w:tcW w:w="974" w:type="pct"/>
            <w:tcBorders>
              <w:top w:val="nil"/>
              <w:left w:val="nil"/>
              <w:bottom w:val="nil"/>
              <w:right w:val="nil"/>
            </w:tcBorders>
            <w:noWrap/>
            <w:vAlign w:val="center"/>
          </w:tcPr>
          <w:p w14:paraId="7C41861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1.303***</w:t>
            </w:r>
          </w:p>
        </w:tc>
      </w:tr>
      <w:tr w14:paraId="732491C3">
        <w:tblPrEx>
          <w:tblCellMar>
            <w:top w:w="0" w:type="dxa"/>
            <w:left w:w="108" w:type="dxa"/>
            <w:bottom w:w="0" w:type="dxa"/>
            <w:right w:w="108" w:type="dxa"/>
          </w:tblCellMar>
        </w:tblPrEx>
        <w:trPr>
          <w:trHeight w:val="270" w:hRule="atLeast"/>
        </w:trPr>
        <w:tc>
          <w:tcPr>
            <w:tcW w:w="1291" w:type="pct"/>
            <w:vMerge w:val="continue"/>
            <w:tcBorders>
              <w:top w:val="nil"/>
              <w:left w:val="nil"/>
              <w:bottom w:val="nil"/>
              <w:right w:val="nil"/>
            </w:tcBorders>
            <w:noWrap/>
            <w:vAlign w:val="center"/>
          </w:tcPr>
          <w:p w14:paraId="6793CFB5">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2C94300B">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4C03CEF1">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4926CF3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(0.148)</w:t>
            </w:r>
          </w:p>
        </w:tc>
        <w:tc>
          <w:tcPr>
            <w:tcW w:w="974" w:type="pct"/>
            <w:tcBorders>
              <w:top w:val="nil"/>
              <w:left w:val="nil"/>
              <w:bottom w:val="nil"/>
              <w:right w:val="nil"/>
            </w:tcBorders>
            <w:noWrap/>
            <w:vAlign w:val="center"/>
          </w:tcPr>
          <w:p w14:paraId="70E743E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(0.392)</w:t>
            </w:r>
          </w:p>
        </w:tc>
      </w:tr>
      <w:tr w14:paraId="483EF5BD">
        <w:tblPrEx>
          <w:tblCellMar>
            <w:top w:w="0" w:type="dxa"/>
            <w:left w:w="108" w:type="dxa"/>
            <w:bottom w:w="0" w:type="dxa"/>
            <w:right w:w="108" w:type="dxa"/>
          </w:tblCellMar>
        </w:tblPrEx>
        <w:trPr>
          <w:trHeight w:val="270" w:hRule="atLeast"/>
        </w:trPr>
        <w:tc>
          <w:tcPr>
            <w:tcW w:w="1291" w:type="pct"/>
            <w:vMerge w:val="restart"/>
            <w:tcBorders>
              <w:top w:val="nil"/>
              <w:left w:val="nil"/>
              <w:bottom w:val="nil"/>
              <w:right w:val="nil"/>
            </w:tcBorders>
            <w:noWrap/>
            <w:vAlign w:val="center"/>
          </w:tcPr>
          <w:p w14:paraId="5CF8E37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Cashflow</w:t>
            </w:r>
          </w:p>
        </w:tc>
        <w:tc>
          <w:tcPr>
            <w:tcW w:w="880" w:type="pct"/>
            <w:tcBorders>
              <w:top w:val="nil"/>
              <w:left w:val="nil"/>
              <w:bottom w:val="nil"/>
              <w:right w:val="nil"/>
            </w:tcBorders>
            <w:noWrap/>
            <w:vAlign w:val="center"/>
          </w:tcPr>
          <w:p w14:paraId="533C4A24">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4AF51A19">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37F714D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0.762***</w:t>
            </w:r>
          </w:p>
        </w:tc>
        <w:tc>
          <w:tcPr>
            <w:tcW w:w="974" w:type="pct"/>
            <w:tcBorders>
              <w:top w:val="nil"/>
              <w:left w:val="nil"/>
              <w:bottom w:val="nil"/>
              <w:right w:val="nil"/>
            </w:tcBorders>
            <w:noWrap/>
            <w:vAlign w:val="center"/>
          </w:tcPr>
          <w:p w14:paraId="1CE6405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-0.294</w:t>
            </w:r>
          </w:p>
        </w:tc>
      </w:tr>
      <w:tr w14:paraId="0192402A">
        <w:tblPrEx>
          <w:tblCellMar>
            <w:top w:w="0" w:type="dxa"/>
            <w:left w:w="108" w:type="dxa"/>
            <w:bottom w:w="0" w:type="dxa"/>
            <w:right w:w="108" w:type="dxa"/>
          </w:tblCellMar>
        </w:tblPrEx>
        <w:trPr>
          <w:trHeight w:val="270" w:hRule="atLeast"/>
        </w:trPr>
        <w:tc>
          <w:tcPr>
            <w:tcW w:w="1291" w:type="pct"/>
            <w:vMerge w:val="continue"/>
            <w:tcBorders>
              <w:top w:val="nil"/>
              <w:left w:val="nil"/>
              <w:bottom w:val="nil"/>
              <w:right w:val="nil"/>
            </w:tcBorders>
            <w:noWrap/>
            <w:vAlign w:val="center"/>
          </w:tcPr>
          <w:p w14:paraId="32662CFA">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14D83A15">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4638E124">
            <w:pPr>
              <w:jc w:val="center"/>
              <w:rPr>
                <w:rFonts w:ascii="Arial" w:hAnsi="Arial" w:eastAsia="宋体" w:cs="Arial"/>
                <w:color w:val="000000"/>
                <w:sz w:val="20"/>
                <w:szCs w:val="20"/>
              </w:rPr>
            </w:pPr>
          </w:p>
        </w:tc>
        <w:tc>
          <w:tcPr>
            <w:tcW w:w="974" w:type="pct"/>
            <w:tcBorders>
              <w:top w:val="nil"/>
              <w:left w:val="nil"/>
              <w:bottom w:val="nil"/>
              <w:right w:val="nil"/>
            </w:tcBorders>
            <w:noWrap/>
            <w:vAlign w:val="center"/>
          </w:tcPr>
          <w:p w14:paraId="0F21EDA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(0.228)</w:t>
            </w:r>
          </w:p>
        </w:tc>
        <w:tc>
          <w:tcPr>
            <w:tcW w:w="974" w:type="pct"/>
            <w:tcBorders>
              <w:top w:val="nil"/>
              <w:left w:val="nil"/>
              <w:bottom w:val="nil"/>
              <w:right w:val="nil"/>
            </w:tcBorders>
            <w:noWrap/>
            <w:vAlign w:val="center"/>
          </w:tcPr>
          <w:p w14:paraId="23A8109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(0.222)</w:t>
            </w:r>
          </w:p>
        </w:tc>
      </w:tr>
      <w:tr w14:paraId="0C54DCA8">
        <w:tblPrEx>
          <w:tblCellMar>
            <w:top w:w="0" w:type="dxa"/>
            <w:left w:w="108" w:type="dxa"/>
            <w:bottom w:w="0" w:type="dxa"/>
            <w:right w:w="108" w:type="dxa"/>
          </w:tblCellMar>
        </w:tblPrEx>
        <w:trPr>
          <w:trHeight w:val="270" w:hRule="atLeast"/>
        </w:trPr>
        <w:tc>
          <w:tcPr>
            <w:tcW w:w="1291" w:type="pct"/>
            <w:vMerge w:val="restart"/>
            <w:tcBorders>
              <w:top w:val="nil"/>
              <w:left w:val="nil"/>
              <w:bottom w:val="nil"/>
              <w:right w:val="nil"/>
            </w:tcBorders>
            <w:noWrap/>
            <w:vAlign w:val="center"/>
          </w:tcPr>
          <w:p w14:paraId="62B438A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Constant</w:t>
            </w:r>
          </w:p>
        </w:tc>
        <w:tc>
          <w:tcPr>
            <w:tcW w:w="880" w:type="pct"/>
            <w:tcBorders>
              <w:top w:val="nil"/>
              <w:left w:val="nil"/>
              <w:bottom w:val="nil"/>
              <w:right w:val="nil"/>
            </w:tcBorders>
            <w:noWrap/>
            <w:vAlign w:val="center"/>
          </w:tcPr>
          <w:p w14:paraId="36EEAE7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9.799***</w:t>
            </w:r>
          </w:p>
        </w:tc>
        <w:tc>
          <w:tcPr>
            <w:tcW w:w="880" w:type="pct"/>
            <w:tcBorders>
              <w:top w:val="nil"/>
              <w:left w:val="nil"/>
              <w:bottom w:val="nil"/>
              <w:right w:val="nil"/>
            </w:tcBorders>
            <w:noWrap/>
            <w:vAlign w:val="center"/>
          </w:tcPr>
          <w:p w14:paraId="7DA724C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10.25***</w:t>
            </w:r>
          </w:p>
        </w:tc>
        <w:tc>
          <w:tcPr>
            <w:tcW w:w="974" w:type="pct"/>
            <w:tcBorders>
              <w:top w:val="nil"/>
              <w:left w:val="nil"/>
              <w:bottom w:val="nil"/>
              <w:right w:val="nil"/>
            </w:tcBorders>
            <w:noWrap/>
            <w:vAlign w:val="center"/>
          </w:tcPr>
          <w:p w14:paraId="103BC11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-5.649***</w:t>
            </w:r>
          </w:p>
        </w:tc>
        <w:tc>
          <w:tcPr>
            <w:tcW w:w="974" w:type="pct"/>
            <w:tcBorders>
              <w:top w:val="nil"/>
              <w:left w:val="nil"/>
              <w:bottom w:val="nil"/>
              <w:right w:val="nil"/>
            </w:tcBorders>
            <w:noWrap/>
            <w:vAlign w:val="center"/>
          </w:tcPr>
          <w:p w14:paraId="5F6A4E9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-5.554***</w:t>
            </w:r>
          </w:p>
        </w:tc>
      </w:tr>
      <w:tr w14:paraId="733E528F">
        <w:tblPrEx>
          <w:tblCellMar>
            <w:top w:w="0" w:type="dxa"/>
            <w:left w:w="108" w:type="dxa"/>
            <w:bottom w:w="0" w:type="dxa"/>
            <w:right w:w="108" w:type="dxa"/>
          </w:tblCellMar>
        </w:tblPrEx>
        <w:trPr>
          <w:trHeight w:val="270" w:hRule="atLeast"/>
        </w:trPr>
        <w:tc>
          <w:tcPr>
            <w:tcW w:w="1291" w:type="pct"/>
            <w:vMerge w:val="continue"/>
            <w:tcBorders>
              <w:top w:val="nil"/>
              <w:left w:val="nil"/>
              <w:bottom w:val="nil"/>
              <w:right w:val="nil"/>
            </w:tcBorders>
            <w:noWrap/>
            <w:vAlign w:val="center"/>
          </w:tcPr>
          <w:p w14:paraId="2EA1D38D">
            <w:pPr>
              <w:jc w:val="center"/>
              <w:rPr>
                <w:rFonts w:ascii="Arial" w:hAnsi="Arial" w:eastAsia="宋体" w:cs="Arial"/>
                <w:color w:val="000000"/>
                <w:sz w:val="20"/>
                <w:szCs w:val="20"/>
              </w:rPr>
            </w:pPr>
          </w:p>
        </w:tc>
        <w:tc>
          <w:tcPr>
            <w:tcW w:w="880" w:type="pct"/>
            <w:tcBorders>
              <w:top w:val="nil"/>
              <w:left w:val="nil"/>
              <w:bottom w:val="nil"/>
              <w:right w:val="nil"/>
            </w:tcBorders>
            <w:noWrap/>
            <w:vAlign w:val="center"/>
          </w:tcPr>
          <w:p w14:paraId="113D9CB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(0.0258)</w:t>
            </w:r>
          </w:p>
        </w:tc>
        <w:tc>
          <w:tcPr>
            <w:tcW w:w="880" w:type="pct"/>
            <w:tcBorders>
              <w:top w:val="nil"/>
              <w:left w:val="nil"/>
              <w:bottom w:val="nil"/>
              <w:right w:val="nil"/>
            </w:tcBorders>
            <w:noWrap/>
            <w:vAlign w:val="center"/>
          </w:tcPr>
          <w:p w14:paraId="03B2FAA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(0.0384)</w:t>
            </w:r>
          </w:p>
        </w:tc>
        <w:tc>
          <w:tcPr>
            <w:tcW w:w="974" w:type="pct"/>
            <w:tcBorders>
              <w:top w:val="nil"/>
              <w:left w:val="nil"/>
              <w:bottom w:val="nil"/>
              <w:right w:val="nil"/>
            </w:tcBorders>
            <w:noWrap/>
            <w:vAlign w:val="center"/>
          </w:tcPr>
          <w:p w14:paraId="04473D3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(0.343)</w:t>
            </w:r>
          </w:p>
        </w:tc>
        <w:tc>
          <w:tcPr>
            <w:tcW w:w="974" w:type="pct"/>
            <w:tcBorders>
              <w:top w:val="nil"/>
              <w:left w:val="nil"/>
              <w:bottom w:val="nil"/>
              <w:right w:val="nil"/>
            </w:tcBorders>
            <w:noWrap/>
            <w:vAlign w:val="center"/>
          </w:tcPr>
          <w:p w14:paraId="3C03A78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(1.020)</w:t>
            </w:r>
          </w:p>
        </w:tc>
      </w:tr>
      <w:tr w14:paraId="40A31B55">
        <w:tblPrEx>
          <w:tblCellMar>
            <w:top w:w="0" w:type="dxa"/>
            <w:left w:w="108" w:type="dxa"/>
            <w:bottom w:w="0" w:type="dxa"/>
            <w:right w:w="108" w:type="dxa"/>
          </w:tblCellMar>
        </w:tblPrEx>
        <w:trPr>
          <w:trHeight w:val="270" w:hRule="atLeast"/>
        </w:trPr>
        <w:tc>
          <w:tcPr>
            <w:tcW w:w="1291" w:type="pct"/>
            <w:tcBorders>
              <w:top w:val="nil"/>
              <w:left w:val="nil"/>
              <w:bottom w:val="nil"/>
              <w:right w:val="nil"/>
            </w:tcBorders>
            <w:noWrap/>
            <w:vAlign w:val="center"/>
          </w:tcPr>
          <w:p w14:paraId="38F22F7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Firm FE</w:t>
            </w:r>
          </w:p>
        </w:tc>
        <w:tc>
          <w:tcPr>
            <w:tcW w:w="880" w:type="pct"/>
            <w:tcBorders>
              <w:top w:val="nil"/>
              <w:left w:val="nil"/>
              <w:bottom w:val="nil"/>
              <w:right w:val="nil"/>
            </w:tcBorders>
            <w:noWrap/>
            <w:vAlign w:val="center"/>
          </w:tcPr>
          <w:p w14:paraId="3E1390E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No</w:t>
            </w:r>
          </w:p>
        </w:tc>
        <w:tc>
          <w:tcPr>
            <w:tcW w:w="880" w:type="pct"/>
            <w:tcBorders>
              <w:top w:val="nil"/>
              <w:left w:val="nil"/>
              <w:bottom w:val="nil"/>
              <w:right w:val="nil"/>
            </w:tcBorders>
            <w:noWrap/>
            <w:vAlign w:val="center"/>
          </w:tcPr>
          <w:p w14:paraId="0FAB530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1800" w:type="dxa"/>
            <w:tcBorders>
              <w:top w:val="nil"/>
              <w:left w:val="nil"/>
              <w:bottom w:val="nil"/>
              <w:right w:val="nil"/>
            </w:tcBorders>
            <w:noWrap/>
            <w:vAlign w:val="center"/>
          </w:tcPr>
          <w:p w14:paraId="3A9DDEB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No</w:t>
            </w:r>
          </w:p>
        </w:tc>
        <w:tc>
          <w:tcPr>
            <w:tcW w:w="974" w:type="pct"/>
            <w:tcBorders>
              <w:top w:val="nil"/>
              <w:left w:val="nil"/>
              <w:bottom w:val="nil"/>
              <w:right w:val="nil"/>
            </w:tcBorders>
            <w:noWrap/>
            <w:vAlign w:val="center"/>
          </w:tcPr>
          <w:p w14:paraId="557690F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r>
      <w:tr w14:paraId="3910E631">
        <w:tblPrEx>
          <w:tblCellMar>
            <w:top w:w="0" w:type="dxa"/>
            <w:left w:w="108" w:type="dxa"/>
            <w:bottom w:w="0" w:type="dxa"/>
            <w:right w:w="108" w:type="dxa"/>
          </w:tblCellMar>
        </w:tblPrEx>
        <w:trPr>
          <w:trHeight w:val="270" w:hRule="atLeast"/>
        </w:trPr>
        <w:tc>
          <w:tcPr>
            <w:tcW w:w="1291" w:type="pct"/>
            <w:tcBorders>
              <w:top w:val="nil"/>
              <w:left w:val="nil"/>
              <w:bottom w:val="nil"/>
              <w:right w:val="nil"/>
            </w:tcBorders>
            <w:noWrap/>
            <w:vAlign w:val="center"/>
          </w:tcPr>
          <w:p w14:paraId="4C5C650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Year FE</w:t>
            </w:r>
          </w:p>
        </w:tc>
        <w:tc>
          <w:tcPr>
            <w:tcW w:w="880" w:type="pct"/>
            <w:tcBorders>
              <w:top w:val="nil"/>
              <w:left w:val="nil"/>
              <w:bottom w:val="nil"/>
              <w:right w:val="nil"/>
            </w:tcBorders>
            <w:noWrap/>
            <w:vAlign w:val="center"/>
          </w:tcPr>
          <w:p w14:paraId="0F9D36A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No</w:t>
            </w:r>
          </w:p>
        </w:tc>
        <w:tc>
          <w:tcPr>
            <w:tcW w:w="880" w:type="pct"/>
            <w:tcBorders>
              <w:top w:val="nil"/>
              <w:left w:val="nil"/>
              <w:bottom w:val="nil"/>
              <w:right w:val="nil"/>
            </w:tcBorders>
            <w:noWrap/>
            <w:vAlign w:val="center"/>
          </w:tcPr>
          <w:p w14:paraId="1D47895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1800" w:type="dxa"/>
            <w:tcBorders>
              <w:top w:val="nil"/>
              <w:left w:val="nil"/>
              <w:bottom w:val="nil"/>
              <w:right w:val="nil"/>
            </w:tcBorders>
            <w:noWrap/>
            <w:vAlign w:val="center"/>
          </w:tcPr>
          <w:p w14:paraId="5C6C265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No</w:t>
            </w:r>
          </w:p>
        </w:tc>
        <w:tc>
          <w:tcPr>
            <w:tcW w:w="974" w:type="pct"/>
            <w:tcBorders>
              <w:top w:val="nil"/>
              <w:left w:val="nil"/>
              <w:bottom w:val="nil"/>
              <w:right w:val="nil"/>
            </w:tcBorders>
            <w:noWrap/>
            <w:vAlign w:val="center"/>
          </w:tcPr>
          <w:p w14:paraId="3C08CF9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r>
      <w:tr w14:paraId="642C9316">
        <w:tblPrEx>
          <w:tblCellMar>
            <w:top w:w="0" w:type="dxa"/>
            <w:left w:w="108" w:type="dxa"/>
            <w:bottom w:w="0" w:type="dxa"/>
            <w:right w:w="108" w:type="dxa"/>
          </w:tblCellMar>
        </w:tblPrEx>
        <w:trPr>
          <w:trHeight w:val="270" w:hRule="atLeast"/>
        </w:trPr>
        <w:tc>
          <w:tcPr>
            <w:tcW w:w="1291" w:type="pct"/>
            <w:tcBorders>
              <w:top w:val="nil"/>
              <w:left w:val="nil"/>
              <w:bottom w:val="nil"/>
              <w:right w:val="nil"/>
            </w:tcBorders>
            <w:noWrap/>
            <w:vAlign w:val="center"/>
          </w:tcPr>
          <w:p w14:paraId="585BB5D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Observations</w:t>
            </w:r>
          </w:p>
        </w:tc>
        <w:tc>
          <w:tcPr>
            <w:tcW w:w="880" w:type="pct"/>
            <w:tcBorders>
              <w:top w:val="nil"/>
              <w:left w:val="nil"/>
              <w:bottom w:val="nil"/>
              <w:right w:val="nil"/>
            </w:tcBorders>
            <w:noWrap/>
            <w:vAlign w:val="center"/>
          </w:tcPr>
          <w:p w14:paraId="515B393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21,351</w:t>
            </w:r>
          </w:p>
        </w:tc>
        <w:tc>
          <w:tcPr>
            <w:tcW w:w="880" w:type="pct"/>
            <w:tcBorders>
              <w:top w:val="nil"/>
              <w:left w:val="nil"/>
              <w:bottom w:val="nil"/>
              <w:right w:val="nil"/>
            </w:tcBorders>
            <w:noWrap/>
            <w:vAlign w:val="center"/>
          </w:tcPr>
          <w:p w14:paraId="33ADE8F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20,877</w:t>
            </w:r>
          </w:p>
        </w:tc>
        <w:tc>
          <w:tcPr>
            <w:tcW w:w="974" w:type="pct"/>
            <w:tcBorders>
              <w:top w:val="nil"/>
              <w:left w:val="nil"/>
              <w:bottom w:val="nil"/>
              <w:right w:val="nil"/>
            </w:tcBorders>
            <w:noWrap/>
            <w:vAlign w:val="center"/>
          </w:tcPr>
          <w:p w14:paraId="31CF0F3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21,351</w:t>
            </w:r>
          </w:p>
        </w:tc>
        <w:tc>
          <w:tcPr>
            <w:tcW w:w="974" w:type="pct"/>
            <w:tcBorders>
              <w:top w:val="nil"/>
              <w:left w:val="nil"/>
              <w:bottom w:val="nil"/>
              <w:right w:val="nil"/>
            </w:tcBorders>
            <w:noWrap/>
            <w:vAlign w:val="center"/>
          </w:tcPr>
          <w:p w14:paraId="6F888A3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20,877</w:t>
            </w:r>
          </w:p>
        </w:tc>
      </w:tr>
      <w:tr w14:paraId="33095879">
        <w:tblPrEx>
          <w:tblCellMar>
            <w:top w:w="0" w:type="dxa"/>
            <w:left w:w="108" w:type="dxa"/>
            <w:bottom w:w="0" w:type="dxa"/>
            <w:right w:w="108" w:type="dxa"/>
          </w:tblCellMar>
        </w:tblPrEx>
        <w:trPr>
          <w:trHeight w:val="270" w:hRule="atLeast"/>
        </w:trPr>
        <w:tc>
          <w:tcPr>
            <w:tcW w:w="1291" w:type="pct"/>
            <w:tcBorders>
              <w:top w:val="nil"/>
              <w:left w:val="nil"/>
              <w:bottom w:val="single" w:color="auto" w:sz="12" w:space="0"/>
              <w:right w:val="nil"/>
            </w:tcBorders>
            <w:noWrap/>
            <w:vAlign w:val="center"/>
          </w:tcPr>
          <w:p w14:paraId="1D13AB1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R</w:t>
            </w:r>
            <w:r>
              <w:rPr>
                <w:rFonts w:ascii="Arial" w:hAnsi="Arial" w:eastAsia="宋体" w:cs="Arial"/>
                <w:color w:val="000000"/>
                <w:sz w:val="20"/>
                <w:szCs w:val="20"/>
                <w:vertAlign w:val="superscript"/>
                <w:lang w:val="en-US" w:eastAsia="zh-CN" w:bidi="ar"/>
              </w:rPr>
              <w:t>2</w:t>
            </w:r>
          </w:p>
        </w:tc>
        <w:tc>
          <w:tcPr>
            <w:tcW w:w="880" w:type="pct"/>
            <w:tcBorders>
              <w:top w:val="nil"/>
              <w:left w:val="nil"/>
              <w:bottom w:val="single" w:color="auto" w:sz="12" w:space="0"/>
              <w:right w:val="nil"/>
            </w:tcBorders>
            <w:noWrap/>
            <w:vAlign w:val="center"/>
          </w:tcPr>
          <w:p w14:paraId="1697E4C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0.035</w:t>
            </w:r>
          </w:p>
        </w:tc>
        <w:tc>
          <w:tcPr>
            <w:tcW w:w="880" w:type="pct"/>
            <w:tcBorders>
              <w:top w:val="nil"/>
              <w:left w:val="nil"/>
              <w:bottom w:val="single" w:color="auto" w:sz="12" w:space="0"/>
              <w:right w:val="nil"/>
            </w:tcBorders>
            <w:noWrap/>
            <w:vAlign w:val="center"/>
          </w:tcPr>
          <w:p w14:paraId="5C317CF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0.639</w:t>
            </w:r>
          </w:p>
        </w:tc>
        <w:tc>
          <w:tcPr>
            <w:tcW w:w="974" w:type="pct"/>
            <w:tcBorders>
              <w:top w:val="nil"/>
              <w:left w:val="nil"/>
              <w:bottom w:val="single" w:color="auto" w:sz="12" w:space="0"/>
              <w:right w:val="nil"/>
            </w:tcBorders>
            <w:noWrap/>
            <w:vAlign w:val="center"/>
          </w:tcPr>
          <w:p w14:paraId="7192F5A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0.213</w:t>
            </w:r>
          </w:p>
        </w:tc>
        <w:tc>
          <w:tcPr>
            <w:tcW w:w="974" w:type="pct"/>
            <w:tcBorders>
              <w:top w:val="nil"/>
              <w:left w:val="nil"/>
              <w:bottom w:val="single" w:color="auto" w:sz="12" w:space="0"/>
              <w:right w:val="nil"/>
            </w:tcBorders>
            <w:noWrap/>
            <w:vAlign w:val="center"/>
          </w:tcPr>
          <w:p w14:paraId="2DE7DCA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0.656</w:t>
            </w:r>
          </w:p>
        </w:tc>
      </w:tr>
    </w:tbl>
    <w:p w14:paraId="0893F752">
      <w:pPr>
        <w:pStyle w:val="11"/>
        <w:widowControl/>
        <w:tabs>
          <w:tab w:val="left" w:pos="1080"/>
        </w:tabs>
        <w:spacing w:after="0"/>
        <w:ind w:left="1080" w:hanging="1080"/>
        <w:rPr>
          <w:rFonts w:ascii="Arial" w:hAnsi="Arial" w:eastAsia="Times New Roman" w:cs="Times New Roman"/>
          <w:bCs/>
          <w:i/>
          <w:sz w:val="18"/>
          <w:lang w:val="en-US" w:eastAsia="zh-CN"/>
        </w:rPr>
      </w:pPr>
      <w:r>
        <w:rPr>
          <w:rFonts w:hint="eastAsia" w:ascii="Arial" w:hAnsi="Arial" w:eastAsia="Times New Roman" w:cs="Times New Roman"/>
          <w:bCs/>
          <w:i/>
          <w:sz w:val="18"/>
          <w:lang w:val="en-US" w:eastAsia="zh-CN"/>
        </w:rPr>
        <w:t>*Note: *, **, *** represent significance at the 10%, 5%, and 1% levels, respectively; The same applies below.</w:t>
      </w:r>
    </w:p>
    <w:p w14:paraId="2F83C4B4">
      <w:pPr>
        <w:rPr>
          <w:sz w:val="18"/>
          <w:szCs w:val="18"/>
        </w:rPr>
      </w:pPr>
    </w:p>
    <w:p w14:paraId="6D1E04E8">
      <w:pPr>
        <w:pStyle w:val="44"/>
        <w:widowControl/>
        <w:spacing w:after="0"/>
        <w:rPr>
          <w:rFonts w:ascii="Arial" w:hAnsi="Arial" w:eastAsia="Times New Roman" w:cs="Arial"/>
          <w:szCs w:val="20"/>
          <w:lang w:val="en-US" w:eastAsia="zh-CN"/>
        </w:rPr>
      </w:pPr>
      <w:r>
        <w:rPr>
          <w:rFonts w:hint="eastAsia" w:ascii="Arial" w:hAnsi="Arial" w:eastAsia="Times New Roman" w:cs="Arial"/>
          <w:szCs w:val="20"/>
          <w:lang w:val="en-US" w:eastAsia="zh-CN"/>
        </w:rPr>
        <w:t>5</w:t>
      </w:r>
      <w:r>
        <w:rPr>
          <w:rFonts w:ascii="Arial" w:hAnsi="Arial" w:eastAsia="Times New Roman" w:cs="Arial"/>
          <w:szCs w:val="20"/>
          <w:lang w:val="en-US" w:eastAsia="zh-CN"/>
        </w:rPr>
        <w:t>.2</w:t>
      </w:r>
      <w:r>
        <w:rPr>
          <w:rFonts w:hint="eastAsia" w:ascii="Arial" w:hAnsi="Arial" w:eastAsia="Times New Roman" w:cs="Arial"/>
          <w:szCs w:val="20"/>
          <w:lang w:val="en-US" w:eastAsia="zh-CN"/>
        </w:rPr>
        <w:t xml:space="preserve"> Parallel Trends Test</w:t>
      </w:r>
    </w:p>
    <w:p w14:paraId="33AF181E">
      <w:pPr>
        <w:pStyle w:val="44"/>
        <w:widowControl/>
        <w:spacing w:after="0"/>
        <w:rPr>
          <w:rFonts w:ascii="Arial" w:hAnsi="Arial" w:eastAsia="Times New Roman" w:cs="Arial"/>
          <w:szCs w:val="20"/>
          <w:lang w:val="en-US" w:eastAsia="zh-CN"/>
        </w:rPr>
      </w:pPr>
    </w:p>
    <w:p w14:paraId="5F3CF6A9">
      <w:pPr>
        <w:pStyle w:val="46"/>
        <w:widowControl/>
        <w:spacing w:after="0"/>
        <w:rPr>
          <w:rFonts w:ascii="Arial" w:hAnsi="Arial" w:eastAsia="Times New Roman" w:cs="Arial"/>
          <w:sz w:val="20"/>
          <w:szCs w:val="20"/>
          <w:lang w:val="en-US" w:eastAsia="zh-CN"/>
        </w:rPr>
      </w:pPr>
      <w:r>
        <w:rPr>
          <w:rFonts w:hint="eastAsia" w:ascii="Arial" w:hAnsi="Arial" w:eastAsia="Times New Roman" w:cs="Arial"/>
          <w:sz w:val="20"/>
          <w:szCs w:val="20"/>
          <w:lang w:val="en-US" w:eastAsia="zh-CN"/>
        </w:rPr>
        <w:t>The validity of the Difference-in-Differences (DID) model relies on the common trends assumption, which requires that the Outward Foreign Direct Investment (OFDI) performance of firms in pilot and non-pilot cities exhibited parallel trends before the policy implementation. To verify this assumption, this paper employs an event study approach to construct a dynamic effects model, specified as follows in equation (3):</w:t>
      </w:r>
    </w:p>
    <w:p w14:paraId="40CFA156">
      <w:pPr>
        <w:pStyle w:val="31"/>
        <w:spacing w:line="240" w:lineRule="auto"/>
        <w:ind w:firstLine="420"/>
        <w:jc w:val="center"/>
      </w:pPr>
      <m:oMath>
        <m:sSub>
          <m:sSubPr>
            <m:ctrlPr>
              <w:rPr>
                <w:rFonts w:ascii="Cambria Math" w:hAnsi="Cambria Math"/>
                <w:i/>
                <w:iCs/>
              </w:rPr>
            </m:ctrlPr>
          </m:sSubPr>
          <m:e>
            <m:r>
              <m:rPr/>
              <w:rPr>
                <w:rFonts w:ascii="Cambria Math" w:hAnsi="Cambria Math"/>
              </w:rPr>
              <m:t>OFDI</m:t>
            </m:r>
            <m:ctrlPr>
              <w:rPr>
                <w:rFonts w:ascii="Cambria Math" w:hAnsi="Cambria Math"/>
                <w:i/>
                <w:iCs/>
              </w:rPr>
            </m:ctrlPr>
          </m:e>
          <m:sub>
            <m:r>
              <m:rPr/>
              <w:rPr>
                <w:rFonts w:ascii="Cambria Math" w:hAnsi="Cambria Math"/>
              </w:rPr>
              <m:t>it</m:t>
            </m:r>
            <m:ctrlPr>
              <w:rPr>
                <w:rFonts w:ascii="Cambria Math" w:hAnsi="Cambria Math"/>
                <w:i/>
                <w:iCs/>
              </w:rPr>
            </m:ctrlPr>
          </m:sub>
        </m:sSub>
        <m:r>
          <m:rPr/>
          <w:rPr>
            <w:rFonts w:ascii="Cambria Math" w:hAnsi="Cambria Math"/>
          </w:rPr>
          <m:t>=α+</m:t>
        </m:r>
        <m:nary>
          <m:naryPr>
            <m:chr m:val="∑"/>
            <m:limLoc m:val="undOvr"/>
            <m:ctrlPr>
              <w:rPr>
                <w:rFonts w:ascii="Cambria Math" w:hAnsi="Cambria Math"/>
                <w:i/>
                <w:iCs/>
              </w:rPr>
            </m:ctrlPr>
          </m:naryPr>
          <m:sub>
            <m:r>
              <m:rPr/>
              <w:rPr>
                <w:rFonts w:ascii="Cambria Math" w:hAnsi="Cambria Math"/>
              </w:rPr>
              <m:t>k=5</m:t>
            </m:r>
            <m:ctrlPr>
              <w:rPr>
                <w:rFonts w:ascii="Cambria Math" w:hAnsi="Cambria Math"/>
                <w:i/>
                <w:iCs/>
              </w:rPr>
            </m:ctrlPr>
          </m:sub>
          <m:sup>
            <m:r>
              <m:rPr/>
              <w:rPr>
                <w:rFonts w:ascii="Cambria Math" w:hAnsi="Cambria Math"/>
              </w:rPr>
              <m:t>5</m:t>
            </m:r>
            <m:ctrlPr>
              <w:rPr>
                <w:rFonts w:ascii="Cambria Math" w:hAnsi="Cambria Math"/>
                <w:i/>
                <w:iCs/>
              </w:rPr>
            </m:ctrlPr>
          </m:sup>
          <m:e>
            <m:sSub>
              <m:sSubPr>
                <m:ctrlPr>
                  <w:rPr>
                    <w:rFonts w:ascii="Cambria Math" w:hAnsi="Cambria Math"/>
                    <w:i/>
                    <w:iCs/>
                  </w:rPr>
                </m:ctrlPr>
              </m:sSubPr>
              <m:e>
                <m:r>
                  <m:rPr/>
                  <w:rPr>
                    <w:rFonts w:ascii="Cambria Math" w:hAnsi="Cambria Math"/>
                  </w:rPr>
                  <m:t>δ</m:t>
                </m:r>
                <m:ctrlPr>
                  <w:rPr>
                    <w:rFonts w:ascii="Cambria Math" w:hAnsi="Cambria Math"/>
                    <w:i/>
                    <w:iCs/>
                  </w:rPr>
                </m:ctrlPr>
              </m:e>
              <m:sub>
                <m:r>
                  <m:rPr/>
                  <w:rPr>
                    <w:rFonts w:ascii="Cambria Math" w:hAnsi="Cambria Math"/>
                  </w:rPr>
                  <m:t>k</m:t>
                </m:r>
                <m:ctrlPr>
                  <w:rPr>
                    <w:rFonts w:ascii="Cambria Math" w:hAnsi="Cambria Math"/>
                    <w:i/>
                    <w:iCs/>
                  </w:rPr>
                </m:ctrlPr>
              </m:sub>
            </m:sSub>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ik</m:t>
                </m:r>
                <m:ctrlPr>
                  <w:rPr>
                    <w:rFonts w:ascii="Cambria Math" w:hAnsi="Cambria Math"/>
                    <w:i/>
                    <w:iCs/>
                  </w:rPr>
                </m:ctrlPr>
              </m:sub>
            </m:sSub>
            <m:ctrlPr>
              <w:rPr>
                <w:rFonts w:ascii="Cambria Math" w:hAnsi="Cambria Math"/>
                <w:i/>
                <w:iCs/>
              </w:rPr>
            </m:ctrlPr>
          </m:e>
        </m:nary>
        <m:r>
          <m:rPr/>
          <w:rPr>
            <w:rFonts w:ascii="Cambria Math" w:hAnsi="Cambria Math"/>
          </w:rPr>
          <m:t>+θ</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it</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λ</m:t>
            </m:r>
            <m:ctrlPr>
              <w:rPr>
                <w:rFonts w:ascii="Cambria Math" w:hAnsi="Cambria Math"/>
                <w:i/>
                <w:iCs/>
              </w:rPr>
            </m:ctrlPr>
          </m:e>
          <m:sub>
            <m:r>
              <m:rPr/>
              <w:rPr>
                <w:rFonts w:ascii="Cambria Math" w:hAnsi="Cambria Math"/>
              </w:rPr>
              <m:t>t</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μ</m:t>
            </m:r>
            <m:ctrlPr>
              <w:rPr>
                <w:rFonts w:ascii="Cambria Math" w:hAnsi="Cambria Math"/>
                <w:i/>
                <w:iCs/>
              </w:rPr>
            </m:ctrlPr>
          </m:e>
          <m:sub>
            <m:r>
              <m:rPr/>
              <w:rPr>
                <w:rFonts w:ascii="Cambria Math" w:hAnsi="Cambria Math"/>
              </w:rPr>
              <m:t>i</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ε</m:t>
            </m:r>
            <m:ctrlPr>
              <w:rPr>
                <w:rFonts w:ascii="Cambria Math" w:hAnsi="Cambria Math"/>
                <w:i/>
                <w:iCs/>
              </w:rPr>
            </m:ctrlPr>
          </m:e>
          <m:sub>
            <m:r>
              <m:rPr/>
              <w:rPr>
                <w:rFonts w:ascii="Cambria Math" w:hAnsi="Cambria Math"/>
              </w:rPr>
              <m:t>it</m:t>
            </m:r>
            <m:ctrlPr>
              <w:rPr>
                <w:rFonts w:ascii="Cambria Math" w:hAnsi="Cambria Math"/>
                <w:i/>
                <w:iCs/>
              </w:rPr>
            </m:ctrlPr>
          </m:sub>
        </m:sSub>
      </m:oMath>
      <w:r>
        <w:rPr>
          <w:rFonts w:hint="eastAsia"/>
          <w:i/>
          <w:iCs/>
        </w:rPr>
        <w:t xml:space="preserve">  </w:t>
      </w:r>
      <w:r>
        <w:rPr>
          <w:rFonts w:hint="eastAsia"/>
        </w:rPr>
        <w:t xml:space="preserve">                             </w:t>
      </w:r>
      <w:r>
        <w:rPr>
          <w:rFonts w:ascii="Arial" w:hAnsi="Arial"/>
          <w:sz w:val="20"/>
          <w:szCs w:val="20"/>
        </w:rPr>
        <w:t>（3）</w:t>
      </w:r>
    </w:p>
    <w:p w14:paraId="786D4851">
      <w:pPr>
        <w:pStyle w:val="31"/>
        <w:spacing w:line="240" w:lineRule="auto"/>
        <w:ind w:firstLine="0" w:firstLineChars="0"/>
        <w:rPr>
          <w:rFonts w:ascii="Arial" w:hAnsi="Arial"/>
          <w:sz w:val="20"/>
          <w:szCs w:val="20"/>
        </w:rPr>
      </w:pPr>
      <w:r>
        <w:rPr>
          <w:rFonts w:ascii="Arial" w:hAnsi="Arial"/>
          <w:sz w:val="20"/>
          <w:szCs w:val="20"/>
        </w:rPr>
        <w:t xml:space="preserve">Where </w:t>
      </w:r>
      <m:oMath>
        <m:sSub>
          <m:sSubPr>
            <m:ctrlPr>
              <w:rPr>
                <w:rFonts w:ascii="Cambria Math" w:hAnsi="Cambria Math"/>
                <w:i/>
                <w:iCs/>
                <w:sz w:val="20"/>
                <w:szCs w:val="20"/>
              </w:rPr>
            </m:ctrlPr>
          </m:sSubPr>
          <m:e>
            <m:r>
              <m:rPr/>
              <w:rPr>
                <w:rFonts w:ascii="Cambria Math" w:hAnsi="Cambria Math"/>
                <w:sz w:val="20"/>
                <w:szCs w:val="20"/>
              </w:rPr>
              <m:t>D</m:t>
            </m:r>
            <m:ctrlPr>
              <w:rPr>
                <w:rFonts w:ascii="Cambria Math" w:hAnsi="Cambria Math"/>
                <w:i/>
                <w:iCs/>
                <w:sz w:val="20"/>
                <w:szCs w:val="20"/>
              </w:rPr>
            </m:ctrlPr>
          </m:e>
          <m:sub>
            <m:r>
              <m:rPr/>
              <w:rPr>
                <w:rFonts w:ascii="Cambria Math" w:hAnsi="Cambria Math"/>
                <w:sz w:val="20"/>
                <w:szCs w:val="20"/>
              </w:rPr>
              <m:t>ik</m:t>
            </m:r>
            <m:ctrlPr>
              <w:rPr>
                <w:rFonts w:ascii="Cambria Math" w:hAnsi="Cambria Math"/>
                <w:i/>
                <w:iCs/>
                <w:sz w:val="20"/>
                <w:szCs w:val="20"/>
              </w:rPr>
            </m:ctrlPr>
          </m:sub>
        </m:sSub>
      </m:oMath>
      <w:r>
        <w:rPr>
          <w:rFonts w:ascii="Arial" w:hAnsi="Arial"/>
          <w:sz w:val="20"/>
          <w:szCs w:val="20"/>
        </w:rPr>
        <w:t xml:space="preserve"> is a series of dummy variables indicating the </w:t>
      </w:r>
      <w:r>
        <w:rPr>
          <w:rFonts w:ascii="Arial" w:hAnsi="Arial"/>
          <w:i/>
          <w:iCs/>
          <w:sz w:val="20"/>
          <w:szCs w:val="20"/>
        </w:rPr>
        <w:t>k</w:t>
      </w:r>
      <w:r>
        <w:rPr>
          <w:rFonts w:ascii="Arial" w:hAnsi="Arial"/>
          <w:sz w:val="20"/>
          <w:szCs w:val="20"/>
        </w:rPr>
        <w:t xml:space="preserve">-th year since the low-carbon pilot policy began for city </w:t>
      </w:r>
      <w:r>
        <w:rPr>
          <w:rFonts w:ascii="Arial" w:hAnsi="Arial"/>
          <w:i/>
          <w:iCs/>
          <w:sz w:val="20"/>
          <w:szCs w:val="20"/>
        </w:rPr>
        <w:t>i</w:t>
      </w:r>
      <w:r>
        <w:rPr>
          <w:rFonts w:ascii="Arial" w:hAnsi="Arial"/>
          <w:sz w:val="20"/>
          <w:szCs w:val="20"/>
        </w:rPr>
        <w:t>;</w:t>
      </w:r>
      <m:oMath>
        <m:sSub>
          <m:sSubPr>
            <m:ctrlPr>
              <w:rPr>
                <w:rFonts w:ascii="Cambria Math" w:hAnsi="Cambria Math"/>
                <w:i/>
                <w:iCs/>
                <w:sz w:val="20"/>
                <w:szCs w:val="20"/>
              </w:rPr>
            </m:ctrlPr>
          </m:sSubPr>
          <m:e>
            <m:r>
              <m:rPr/>
              <w:rPr>
                <w:rFonts w:ascii="Cambria Math" w:hAnsi="Cambria Math"/>
                <w:sz w:val="20"/>
                <w:szCs w:val="20"/>
              </w:rPr>
              <m:t xml:space="preserve"> δ</m:t>
            </m:r>
            <m:ctrlPr>
              <w:rPr>
                <w:rFonts w:ascii="Cambria Math" w:hAnsi="Cambria Math"/>
                <w:i/>
                <w:iCs/>
                <w:sz w:val="20"/>
                <w:szCs w:val="20"/>
              </w:rPr>
            </m:ctrlPr>
          </m:e>
          <m:sub>
            <m:r>
              <m:rPr/>
              <w:rPr>
                <w:rFonts w:ascii="Cambria Math" w:hAnsi="Cambria Math"/>
                <w:sz w:val="20"/>
                <w:szCs w:val="20"/>
              </w:rPr>
              <m:t>k</m:t>
            </m:r>
            <m:ctrlPr>
              <w:rPr>
                <w:rFonts w:ascii="Cambria Math" w:hAnsi="Cambria Math"/>
                <w:i/>
                <w:iCs/>
                <w:sz w:val="20"/>
                <w:szCs w:val="20"/>
              </w:rPr>
            </m:ctrlPr>
          </m:sub>
        </m:sSub>
      </m:oMath>
      <w:r>
        <w:rPr>
          <w:rFonts w:ascii="Arial" w:hAnsi="Arial"/>
          <w:sz w:val="20"/>
          <w:szCs w:val="20"/>
        </w:rPr>
        <w:t xml:space="preserve"> represents the difference in OFDI performance between the treatment and control groups in the </w:t>
      </w:r>
      <w:r>
        <w:rPr>
          <w:rFonts w:ascii="Arial" w:hAnsi="Arial"/>
          <w:i/>
          <w:iCs/>
          <w:sz w:val="20"/>
          <w:szCs w:val="20"/>
        </w:rPr>
        <w:t>k</w:t>
      </w:r>
      <w:r>
        <w:rPr>
          <w:rFonts w:ascii="Arial" w:hAnsi="Arial"/>
          <w:sz w:val="20"/>
          <w:szCs w:val="20"/>
        </w:rPr>
        <w:t>-th year of the policy implementation; the other variables are consistent with equation (1).</w:t>
      </w:r>
    </w:p>
    <w:p w14:paraId="137C30BB">
      <w:pPr>
        <w:pStyle w:val="31"/>
        <w:spacing w:before="0" w:after="0" w:line="240" w:lineRule="auto"/>
        <w:ind w:firstLine="0" w:firstLineChars="0"/>
        <w:rPr>
          <w:rFonts w:ascii="Arial" w:hAnsi="Arial"/>
          <w:sz w:val="20"/>
          <w:szCs w:val="20"/>
        </w:rPr>
      </w:pPr>
      <w:r>
        <w:rPr>
          <w:rFonts w:ascii="Arial" w:hAnsi="Arial"/>
          <w:sz w:val="20"/>
          <w:szCs w:val="20"/>
        </w:rPr>
        <w:t xml:space="preserve">Considering that the low-carbon city pilot policy was implemented in batches over a long period, the study groups the periods more than 5 years before the policy as period -5 and more than 5 years after as period 5. The year before the policy implementation (k=-1) is used as the base reference group to avoid multicollinearity. Based on this setup, a parallel trends test of the dynamic effects for the 5 years before and after the policy was conducted, with the results shown in Figure 1. As Figure 1 illustrates, before the implementation of the low-carbon city pilot policy, there was no systematic significant difference in the OFDI performance between firms in pilot and non-pilot cities, thus satisfying the parallel trends assumption. Starting from one year after the policy implementation, the coefficients for </w:t>
      </w:r>
      <m:oMath>
        <m:sSub>
          <m:sSubPr>
            <m:ctrlPr>
              <w:rPr>
                <w:rFonts w:ascii="Cambria Math" w:hAnsi="Cambria Math"/>
                <w:i/>
                <w:iCs/>
                <w:sz w:val="20"/>
                <w:szCs w:val="20"/>
              </w:rPr>
            </m:ctrlPr>
          </m:sSubPr>
          <m:e>
            <m:r>
              <m:rPr/>
              <w:rPr>
                <w:rFonts w:ascii="Cambria Math" w:hAnsi="Cambria Math"/>
                <w:sz w:val="20"/>
                <w:szCs w:val="20"/>
              </w:rPr>
              <m:t xml:space="preserve"> δ</m:t>
            </m:r>
            <m:ctrlPr>
              <w:rPr>
                <w:rFonts w:ascii="Cambria Math" w:hAnsi="Cambria Math"/>
                <w:i/>
                <w:iCs/>
                <w:sz w:val="20"/>
                <w:szCs w:val="20"/>
              </w:rPr>
            </m:ctrlPr>
          </m:e>
          <m:sub>
            <m:r>
              <m:rPr/>
              <w:rPr>
                <w:rFonts w:ascii="Cambria Math" w:hAnsi="Cambria Math"/>
                <w:sz w:val="20"/>
                <w:szCs w:val="20"/>
              </w:rPr>
              <m:t>k</m:t>
            </m:r>
            <m:ctrlPr>
              <w:rPr>
                <w:rFonts w:ascii="Cambria Math" w:hAnsi="Cambria Math"/>
                <w:i/>
                <w:iCs/>
                <w:sz w:val="20"/>
                <w:szCs w:val="20"/>
              </w:rPr>
            </m:ctrlPr>
          </m:sub>
        </m:sSub>
      </m:oMath>
      <w:r>
        <w:rPr>
          <w:rFonts w:ascii="Arial" w:hAnsi="Arial"/>
          <w:sz w:val="20"/>
          <w:szCs w:val="20"/>
        </w:rPr>
        <w:t xml:space="preserve"> are all significantly positive, which means that the low-carbon city construction significantly enhanced corporate OFDI performance, also confirming the effectiveness of the low-carbon city pilot policy.</w:t>
      </w:r>
    </w:p>
    <w:p w14:paraId="1E663F97"/>
    <w:p w14:paraId="53A24C89">
      <w:pPr>
        <w:jc w:val="left"/>
        <w:rPr>
          <w:rFonts w:eastAsia="等线"/>
          <w:lang w:eastAsia="zh-CN"/>
        </w:rPr>
      </w:pPr>
      <w:r>
        <w:rPr>
          <w:rFonts w:hint="eastAsia" w:eastAsia="等线"/>
          <w:lang w:val="en-US" w:eastAsia="en-US"/>
        </w:rPr>
        <w:drawing>
          <wp:inline distT="0" distB="0" distL="114300" distR="114300">
            <wp:extent cx="3965575" cy="2478405"/>
            <wp:effectExtent l="0" t="0" r="15875" b="17145"/>
            <wp:docPr id="5" name="图片 5"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Graph"/>
                    <pic:cNvPicPr>
                      <a:picLocks noChangeAspect="1"/>
                    </pic:cNvPicPr>
                  </pic:nvPicPr>
                  <pic:blipFill>
                    <a:blip r:embed="rId10"/>
                    <a:stretch>
                      <a:fillRect/>
                    </a:stretch>
                  </pic:blipFill>
                  <pic:spPr>
                    <a:xfrm>
                      <a:off x="0" y="0"/>
                      <a:ext cx="3965575" cy="2478405"/>
                    </a:xfrm>
                    <a:prstGeom prst="rect">
                      <a:avLst/>
                    </a:prstGeom>
                  </pic:spPr>
                </pic:pic>
              </a:graphicData>
            </a:graphic>
          </wp:inline>
        </w:drawing>
      </w:r>
    </w:p>
    <w:p w14:paraId="145F04F4">
      <w:pPr>
        <w:widowControl/>
        <w:autoSpaceDE w:val="0"/>
        <w:autoSpaceDN w:val="0"/>
        <w:adjustRightInd w:val="0"/>
        <w:rPr>
          <w:rFonts w:ascii="Arial" w:hAnsi="Arial" w:eastAsia="Times New Roman" w:cs="Arial"/>
          <w:b/>
          <w:bCs/>
          <w:sz w:val="20"/>
          <w:lang w:val="en-US" w:eastAsia="zh-CN"/>
        </w:rPr>
      </w:pPr>
      <w:r>
        <w:rPr>
          <w:rFonts w:ascii="Arial" w:hAnsi="Arial" w:eastAsia="Times New Roman" w:cs="Arial"/>
          <w:b/>
          <w:bCs/>
          <w:sz w:val="20"/>
          <w:lang w:val="en-US" w:eastAsia="zh-CN"/>
        </w:rPr>
        <w:t>Figure 1: Parallel Trends Test</w:t>
      </w:r>
    </w:p>
    <w:p w14:paraId="1C4DCEAC">
      <w:pPr>
        <w:widowControl/>
        <w:autoSpaceDE w:val="0"/>
        <w:autoSpaceDN w:val="0"/>
        <w:adjustRightInd w:val="0"/>
        <w:rPr>
          <w:rFonts w:ascii="Arial" w:hAnsi="Arial" w:eastAsia="Times New Roman" w:cs="Arial"/>
          <w:b/>
          <w:bCs/>
          <w:sz w:val="20"/>
          <w:lang w:val="en-US" w:eastAsia="zh-CN"/>
        </w:rPr>
      </w:pPr>
    </w:p>
    <w:p w14:paraId="6FFE61A4">
      <w:pPr>
        <w:pStyle w:val="44"/>
        <w:widowControl/>
        <w:spacing w:after="0"/>
        <w:rPr>
          <w:rFonts w:ascii="Arial" w:hAnsi="Arial" w:eastAsia="Times New Roman" w:cs="Arial"/>
          <w:szCs w:val="20"/>
          <w:lang w:val="en-US" w:eastAsia="zh-CN"/>
        </w:rPr>
      </w:pPr>
      <w:r>
        <w:rPr>
          <w:rFonts w:hint="eastAsia" w:ascii="Arial" w:hAnsi="Arial" w:eastAsia="Times New Roman" w:cs="Arial"/>
          <w:szCs w:val="20"/>
          <w:lang w:val="en-US" w:eastAsia="zh-CN"/>
        </w:rPr>
        <w:t>5</w:t>
      </w:r>
      <w:r>
        <w:rPr>
          <w:rFonts w:ascii="Arial" w:hAnsi="Arial" w:eastAsia="Times New Roman" w:cs="Arial"/>
          <w:szCs w:val="20"/>
          <w:lang w:val="en-US" w:eastAsia="zh-CN"/>
        </w:rPr>
        <w:t>.3</w:t>
      </w:r>
      <w:r>
        <w:rPr>
          <w:rFonts w:hint="eastAsia" w:ascii="Arial" w:hAnsi="Arial" w:eastAsia="Times New Roman" w:cs="Arial"/>
          <w:szCs w:val="20"/>
          <w:lang w:val="en-US" w:eastAsia="zh-CN"/>
        </w:rPr>
        <w:t xml:space="preserve"> Placebo Test</w:t>
      </w:r>
    </w:p>
    <w:p w14:paraId="0CF4C386">
      <w:pPr>
        <w:pStyle w:val="44"/>
        <w:widowControl/>
        <w:spacing w:after="0"/>
        <w:rPr>
          <w:rFonts w:ascii="Arial" w:hAnsi="Arial" w:eastAsia="Times New Roman" w:cs="Arial"/>
          <w:szCs w:val="20"/>
          <w:lang w:val="en-US" w:eastAsia="zh-CN"/>
        </w:rPr>
      </w:pPr>
    </w:p>
    <w:p w14:paraId="24FD915F">
      <w:pPr>
        <w:pStyle w:val="31"/>
        <w:spacing w:before="0" w:after="0" w:line="240" w:lineRule="auto"/>
        <w:ind w:firstLine="0" w:firstLineChars="0"/>
        <w:rPr>
          <w:rFonts w:ascii="Arial" w:hAnsi="Arial"/>
          <w:sz w:val="20"/>
          <w:szCs w:val="20"/>
        </w:rPr>
      </w:pPr>
      <w:r>
        <w:rPr>
          <w:rFonts w:hint="eastAsia" w:ascii="Arial" w:hAnsi="Arial"/>
          <w:sz w:val="20"/>
          <w:szCs w:val="20"/>
        </w:rPr>
        <w:t>To ensure the baseline regression results are robust and not influenced by unobservable factors, this study employs a placebo test.The test involved 500 simulations where the "low-carbon city pilot" policy was randomly assigned to fictitious treatment groups (cities) and time periods. The baseline model was then re-estimated for each simulation.As shown in Figure 2, the distribution of the estimated coefficients from these random assignments is centered around zero, with the vast majority being statistically insignificant. Our actual estimated coefficient is a clear outlier relative to this distribution. This result confirms that the observed promotional effect of the policy is not driven by random chance or omitted variables, thereby supporting the robustness of our findings.</w:t>
      </w:r>
    </w:p>
    <w:p w14:paraId="2EBEAB00">
      <w:pPr>
        <w:rPr>
          <w:lang w:eastAsia="zh-CN"/>
        </w:rPr>
      </w:pPr>
    </w:p>
    <w:p w14:paraId="63B2EF65">
      <w:pPr>
        <w:jc w:val="left"/>
        <w:rPr>
          <w:lang w:eastAsia="zh-CN"/>
        </w:rPr>
      </w:pPr>
      <w:r>
        <w:rPr>
          <w:rFonts w:hint="eastAsia"/>
          <w:lang w:val="en-US" w:eastAsia="en-US"/>
        </w:rPr>
        <w:drawing>
          <wp:inline distT="0" distB="0" distL="114300" distR="114300">
            <wp:extent cx="3940175" cy="2463800"/>
            <wp:effectExtent l="0" t="0" r="3175" b="12700"/>
            <wp:docPr id="3" name="图片 3" descr="Grap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raph2"/>
                    <pic:cNvPicPr>
                      <a:picLocks noChangeAspect="1"/>
                    </pic:cNvPicPr>
                  </pic:nvPicPr>
                  <pic:blipFill>
                    <a:blip r:embed="rId11"/>
                    <a:stretch>
                      <a:fillRect/>
                    </a:stretch>
                  </pic:blipFill>
                  <pic:spPr>
                    <a:xfrm>
                      <a:off x="0" y="0"/>
                      <a:ext cx="3940175" cy="2463800"/>
                    </a:xfrm>
                    <a:prstGeom prst="rect">
                      <a:avLst/>
                    </a:prstGeom>
                  </pic:spPr>
                </pic:pic>
              </a:graphicData>
            </a:graphic>
          </wp:inline>
        </w:drawing>
      </w:r>
    </w:p>
    <w:p w14:paraId="6296F212">
      <w:pPr>
        <w:widowControl/>
        <w:autoSpaceDE w:val="0"/>
        <w:autoSpaceDN w:val="0"/>
        <w:adjustRightInd w:val="0"/>
        <w:rPr>
          <w:rFonts w:ascii="Arial" w:hAnsi="Arial" w:eastAsia="Times New Roman" w:cs="Arial"/>
          <w:b/>
          <w:bCs/>
          <w:sz w:val="20"/>
          <w:lang w:val="en-US" w:eastAsia="zh-CN"/>
        </w:rPr>
      </w:pPr>
      <w:r>
        <w:rPr>
          <w:rFonts w:ascii="Arial" w:hAnsi="Arial" w:eastAsia="Times New Roman" w:cs="Arial"/>
          <w:b/>
          <w:bCs/>
          <w:sz w:val="20"/>
          <w:lang w:val="en-US" w:eastAsia="zh-CN"/>
        </w:rPr>
        <w:t>Figure 2: Placebo Test</w:t>
      </w:r>
    </w:p>
    <w:p w14:paraId="53D18A75">
      <w:pPr>
        <w:widowControl/>
        <w:autoSpaceDE w:val="0"/>
        <w:autoSpaceDN w:val="0"/>
        <w:adjustRightInd w:val="0"/>
        <w:rPr>
          <w:rFonts w:ascii="Arial" w:hAnsi="Arial" w:eastAsia="Times New Roman" w:cs="Arial"/>
          <w:b/>
          <w:bCs/>
          <w:sz w:val="20"/>
          <w:lang w:val="en-US" w:eastAsia="zh-CN"/>
        </w:rPr>
      </w:pPr>
    </w:p>
    <w:p w14:paraId="28B99641">
      <w:pPr>
        <w:pStyle w:val="44"/>
        <w:widowControl/>
        <w:spacing w:after="0"/>
        <w:rPr>
          <w:rFonts w:ascii="Arial" w:hAnsi="Arial" w:eastAsia="Times New Roman" w:cs="Arial"/>
          <w:szCs w:val="20"/>
          <w:lang w:val="en-US" w:eastAsia="zh-CN"/>
        </w:rPr>
      </w:pPr>
      <w:r>
        <w:rPr>
          <w:rFonts w:hint="eastAsia" w:ascii="Arial" w:hAnsi="Arial" w:eastAsia="Times New Roman" w:cs="Arial"/>
          <w:szCs w:val="20"/>
          <w:lang w:val="en-US" w:eastAsia="zh-CN"/>
        </w:rPr>
        <w:t>5</w:t>
      </w:r>
      <w:r>
        <w:rPr>
          <w:rFonts w:ascii="Arial" w:hAnsi="Arial" w:eastAsia="Times New Roman" w:cs="Arial"/>
          <w:szCs w:val="20"/>
          <w:lang w:val="en-US" w:eastAsia="zh-CN"/>
        </w:rPr>
        <w:t>.4</w:t>
      </w:r>
      <w:r>
        <w:rPr>
          <w:rFonts w:hint="eastAsia" w:ascii="Arial" w:hAnsi="Arial" w:eastAsia="Times New Roman" w:cs="Arial"/>
          <w:szCs w:val="20"/>
          <w:lang w:val="en-US" w:eastAsia="zh-CN"/>
        </w:rPr>
        <w:t xml:space="preserve"> Robustness Checks</w:t>
      </w:r>
    </w:p>
    <w:p w14:paraId="72C5F6BB">
      <w:pPr>
        <w:pStyle w:val="44"/>
        <w:widowControl/>
        <w:spacing w:after="0"/>
        <w:rPr>
          <w:rFonts w:ascii="Arial" w:hAnsi="Arial" w:eastAsia="Times New Roman" w:cs="Arial"/>
          <w:szCs w:val="20"/>
          <w:lang w:val="en-US" w:eastAsia="zh-CN"/>
        </w:rPr>
      </w:pPr>
    </w:p>
    <w:p w14:paraId="2F9749D6">
      <w:pPr>
        <w:pStyle w:val="4"/>
        <w:numPr>
          <w:ilvl w:val="2"/>
          <w:numId w:val="0"/>
        </w:numPr>
        <w:spacing w:before="0" w:after="0" w:line="240" w:lineRule="auto"/>
        <w:rPr>
          <w:rFonts w:eastAsia="宋体"/>
          <w:bCs w:val="0"/>
          <w:sz w:val="20"/>
          <w:szCs w:val="20"/>
          <w:u w:val="single"/>
          <w:lang w:val="en-US" w:eastAsia="zh-CN"/>
        </w:rPr>
      </w:pPr>
      <w:r>
        <w:rPr>
          <w:rFonts w:hint="eastAsia" w:eastAsia="宋体"/>
          <w:bCs w:val="0"/>
          <w:sz w:val="20"/>
          <w:szCs w:val="20"/>
          <w:u w:val="single"/>
          <w:lang w:val="en-US" w:eastAsia="zh-CN"/>
        </w:rPr>
        <w:t>5</w:t>
      </w:r>
      <w:r>
        <w:rPr>
          <w:rFonts w:eastAsia="宋体"/>
          <w:bCs w:val="0"/>
          <w:sz w:val="20"/>
          <w:szCs w:val="20"/>
          <w:u w:val="single"/>
          <w:lang w:val="en-US" w:eastAsia="zh-CN"/>
        </w:rPr>
        <w:t>.4.1</w:t>
      </w:r>
      <w:r>
        <w:rPr>
          <w:rFonts w:hint="eastAsia" w:eastAsia="宋体"/>
          <w:bCs w:val="0"/>
          <w:sz w:val="20"/>
          <w:szCs w:val="20"/>
          <w:u w:val="single"/>
          <w:lang w:val="en-US" w:eastAsia="zh-CN"/>
        </w:rPr>
        <w:t xml:space="preserve"> </w:t>
      </w:r>
      <w:r>
        <w:rPr>
          <w:rFonts w:eastAsia="宋体"/>
          <w:bCs w:val="0"/>
          <w:sz w:val="20"/>
          <w:szCs w:val="20"/>
          <w:u w:val="single"/>
          <w:lang w:val="en-US" w:eastAsia="zh-CN"/>
        </w:rPr>
        <w:t>Excluding Other Policy Interference</w:t>
      </w:r>
    </w:p>
    <w:p w14:paraId="59F871C7">
      <w:pPr>
        <w:rPr>
          <w:lang w:val="en-US" w:eastAsia="zh-CN"/>
        </w:rPr>
      </w:pPr>
    </w:p>
    <w:p w14:paraId="2B31D3BC">
      <w:pPr>
        <w:pStyle w:val="31"/>
        <w:spacing w:before="0" w:after="0" w:line="240" w:lineRule="auto"/>
        <w:ind w:firstLine="0" w:firstLineChars="0"/>
        <w:rPr>
          <w:rFonts w:ascii="Arial" w:hAnsi="Arial"/>
          <w:sz w:val="20"/>
          <w:szCs w:val="20"/>
        </w:rPr>
      </w:pPr>
      <w:r>
        <w:rPr>
          <w:rFonts w:hint="eastAsia" w:ascii="Arial" w:hAnsi="Arial"/>
          <w:sz w:val="20"/>
          <w:szCs w:val="20"/>
        </w:rPr>
        <w:t>Considering that urban ecological resilience might be influenced by other environmental policies during the study period, this paper collected and organized information on two other similar environmental policies: the eco-civilization city policy implemented since 2005 and the carbon emission trading pilot policy implemented since 2011. To exclude the interference of these policies, dummy variables for these policies were added to the baseline model, with a value of 1 for the year of implementation and subsequent years, and 0 otherwise. The regression results are shown in columns (1)-(3) of Table 3. The results show that the regression coefficient of the core explanatory variable did remains significantly positive, indicating that the aforementioned policies did not interfere with the process by which low-carbon city construction enhances corporate OFDI performance, and the study's conclusions are robust.</w:t>
      </w:r>
    </w:p>
    <w:p w14:paraId="3194911D">
      <w:pPr>
        <w:rPr>
          <w:lang w:eastAsia="zh-CN"/>
        </w:rPr>
      </w:pPr>
    </w:p>
    <w:p w14:paraId="2B8FD9C2">
      <w:pPr>
        <w:pStyle w:val="4"/>
        <w:numPr>
          <w:ilvl w:val="2"/>
          <w:numId w:val="0"/>
        </w:numPr>
        <w:spacing w:before="0" w:after="0" w:line="240" w:lineRule="auto"/>
        <w:rPr>
          <w:rFonts w:eastAsia="宋体"/>
          <w:bCs w:val="0"/>
          <w:sz w:val="20"/>
          <w:szCs w:val="20"/>
          <w:u w:val="single"/>
          <w:lang w:val="en-US" w:eastAsia="zh-CN"/>
        </w:rPr>
      </w:pPr>
      <w:r>
        <w:rPr>
          <w:rFonts w:hint="eastAsia" w:eastAsia="宋体"/>
          <w:bCs w:val="0"/>
          <w:sz w:val="20"/>
          <w:szCs w:val="20"/>
          <w:u w:val="single"/>
          <w:lang w:val="en-US" w:eastAsia="zh-CN"/>
        </w:rPr>
        <w:t>5</w:t>
      </w:r>
      <w:r>
        <w:rPr>
          <w:rFonts w:eastAsia="宋体"/>
          <w:bCs w:val="0"/>
          <w:sz w:val="20"/>
          <w:szCs w:val="20"/>
          <w:u w:val="single"/>
          <w:lang w:val="en-US" w:eastAsia="zh-CN"/>
        </w:rPr>
        <w:t>.4.2</w:t>
      </w:r>
      <w:r>
        <w:rPr>
          <w:rFonts w:hint="eastAsia" w:eastAsia="宋体"/>
          <w:bCs w:val="0"/>
          <w:sz w:val="20"/>
          <w:szCs w:val="20"/>
          <w:u w:val="single"/>
          <w:lang w:val="en-US" w:eastAsia="zh-CN"/>
        </w:rPr>
        <w:t xml:space="preserve"> </w:t>
      </w:r>
      <w:r>
        <w:rPr>
          <w:rFonts w:eastAsia="宋体"/>
          <w:bCs w:val="0"/>
          <w:sz w:val="20"/>
          <w:szCs w:val="20"/>
          <w:u w:val="single"/>
          <w:lang w:val="en-US" w:eastAsia="zh-CN"/>
        </w:rPr>
        <w:t>Endogeneity Test</w:t>
      </w:r>
    </w:p>
    <w:p w14:paraId="48A1A13F">
      <w:pPr>
        <w:rPr>
          <w:lang w:val="en-US" w:eastAsia="zh-CN"/>
        </w:rPr>
      </w:pPr>
    </w:p>
    <w:p w14:paraId="7BB3C972">
      <w:pPr>
        <w:pStyle w:val="31"/>
        <w:spacing w:before="0" w:after="0" w:line="240" w:lineRule="auto"/>
        <w:ind w:firstLine="0" w:firstLineChars="0"/>
        <w:rPr>
          <w:rFonts w:ascii="Arial" w:hAnsi="Arial"/>
          <w:sz w:val="20"/>
          <w:szCs w:val="20"/>
        </w:rPr>
      </w:pPr>
      <w:r>
        <w:rPr>
          <w:rFonts w:hint="eastAsia" w:ascii="Arial" w:hAnsi="Arial"/>
          <w:sz w:val="20"/>
          <w:szCs w:val="20"/>
        </w:rPr>
        <w:t>To further control for endogeneity caused by the lagged effect of the low-carbon city pilot policy on corporate OFDI, this paper lags the dependent variable OFDI by one period to create the variable l.OFDI and re-estimates model (1). Column (4) of Table 3 reports the regression results with the one-period lagged OFDI, where the coefficient is significantly positive at the 1% level. This result is consistent with the baseline regression, indicating that the baseline regression results are relatively robust.</w:t>
      </w:r>
    </w:p>
    <w:p w14:paraId="3B441945">
      <w:pPr>
        <w:rPr>
          <w:lang w:val="en-US" w:eastAsia="zh-CN"/>
        </w:rPr>
      </w:pPr>
    </w:p>
    <w:p w14:paraId="3E8A3379">
      <w:pPr>
        <w:pStyle w:val="4"/>
        <w:numPr>
          <w:ilvl w:val="2"/>
          <w:numId w:val="0"/>
        </w:numPr>
        <w:spacing w:before="0" w:after="0" w:line="240" w:lineRule="auto"/>
        <w:rPr>
          <w:rFonts w:eastAsia="宋体"/>
          <w:bCs w:val="0"/>
          <w:sz w:val="20"/>
          <w:szCs w:val="20"/>
          <w:u w:val="single"/>
          <w:lang w:val="en-US" w:eastAsia="zh-CN"/>
        </w:rPr>
      </w:pPr>
      <w:r>
        <w:rPr>
          <w:rFonts w:hint="eastAsia" w:eastAsia="宋体"/>
          <w:bCs w:val="0"/>
          <w:sz w:val="20"/>
          <w:szCs w:val="20"/>
          <w:u w:val="single"/>
          <w:lang w:val="en-US" w:eastAsia="zh-CN"/>
        </w:rPr>
        <w:t>5</w:t>
      </w:r>
      <w:r>
        <w:rPr>
          <w:rFonts w:eastAsia="宋体"/>
          <w:bCs w:val="0"/>
          <w:sz w:val="20"/>
          <w:szCs w:val="20"/>
          <w:u w:val="single"/>
          <w:lang w:val="en-US" w:eastAsia="zh-CN"/>
        </w:rPr>
        <w:t>.4.3</w:t>
      </w:r>
      <w:r>
        <w:rPr>
          <w:rFonts w:hint="eastAsia" w:eastAsia="宋体"/>
          <w:bCs w:val="0"/>
          <w:sz w:val="20"/>
          <w:szCs w:val="20"/>
          <w:u w:val="single"/>
          <w:lang w:val="en-US" w:eastAsia="zh-CN"/>
        </w:rPr>
        <w:t xml:space="preserve"> </w:t>
      </w:r>
      <w:r>
        <w:rPr>
          <w:rFonts w:eastAsia="宋体"/>
          <w:bCs w:val="0"/>
          <w:sz w:val="20"/>
          <w:szCs w:val="20"/>
          <w:u w:val="single"/>
          <w:lang w:val="en-US" w:eastAsia="zh-CN"/>
        </w:rPr>
        <w:t>PSM-DID Test</w:t>
      </w:r>
    </w:p>
    <w:p w14:paraId="56E586C4">
      <w:pPr>
        <w:rPr>
          <w:lang w:val="en-US" w:eastAsia="zh-CN"/>
        </w:rPr>
      </w:pPr>
    </w:p>
    <w:p w14:paraId="3E6FF6ED">
      <w:pPr>
        <w:pStyle w:val="31"/>
        <w:spacing w:before="0" w:after="0" w:line="240" w:lineRule="auto"/>
        <w:ind w:firstLine="0" w:firstLineChars="0"/>
        <w:rPr>
          <w:rFonts w:ascii="Arial" w:hAnsi="Arial"/>
          <w:sz w:val="20"/>
          <w:szCs w:val="20"/>
        </w:rPr>
      </w:pPr>
      <w:r>
        <w:rPr>
          <w:rFonts w:hint="eastAsia" w:ascii="Arial" w:hAnsi="Arial"/>
          <w:sz w:val="20"/>
          <w:szCs w:val="20"/>
        </w:rPr>
        <w:t>Although the Difference-in-Differences (DID) method can estimate the average treatment effect of a policy, the issue of sample selection bias may still exist. Therefore, this paper employs the Propensity Score Matching Difference-in-Differences (PSM-DID) method for a robustness check. The specific steps are as follows: ① Use the control variables from the baseline model (e.g., firm size, profitability, city economic level) as covariates; ② Apply 1:1 nearest neighbor matching (with a caliper of 0.01) combined with kernel matching to select non-pilot cities that satisfy the common support condition as a control group for each low-carbon pilot city, and create a new dataset by excluding unmatched samples; ③ Re-estimate the DID model based on the matched sample. The matching results show that the standardized bias of all covariates is less than 5%, and all t-tests fail to reject the null hypothesis of no systematic difference between the treatment and control groups, indicating a good matching quality. The PSM-DID regression results are presented in columns (5) and (6) of Table 3. The coefficient of the core explanatory variable remains significantly positive, confirming the robustness of the study's conclusions.</w:t>
      </w:r>
    </w:p>
    <w:p w14:paraId="6860C740">
      <w:pPr>
        <w:rPr>
          <w:lang w:val="en-US" w:eastAsia="zh-CN"/>
        </w:rPr>
      </w:pPr>
    </w:p>
    <w:p w14:paraId="63C8C454">
      <w:pPr>
        <w:widowControl/>
        <w:autoSpaceDE w:val="0"/>
        <w:autoSpaceDN w:val="0"/>
        <w:adjustRightInd w:val="0"/>
        <w:rPr>
          <w:rFonts w:ascii="Arial" w:hAnsi="Arial" w:eastAsia="Times New Roman" w:cs="Arial"/>
          <w:b/>
          <w:bCs/>
          <w:sz w:val="20"/>
          <w:lang w:val="en-US" w:eastAsia="zh-CN"/>
        </w:rPr>
      </w:pPr>
      <w:r>
        <w:rPr>
          <w:rFonts w:ascii="Arial" w:hAnsi="Arial" w:eastAsia="Times New Roman" w:cs="Arial"/>
          <w:b/>
          <w:bCs/>
          <w:sz w:val="20"/>
          <w:lang w:val="en-US" w:eastAsia="zh-CN"/>
        </w:rPr>
        <w:t>Table 3: Robustness Check Results</w:t>
      </w:r>
    </w:p>
    <w:tbl>
      <w:tblPr>
        <w:tblStyle w:val="20"/>
        <w:tblW w:w="5000" w:type="pct"/>
        <w:tblInd w:w="0" w:type="dxa"/>
        <w:tblLayout w:type="fixed"/>
        <w:tblCellMar>
          <w:top w:w="0" w:type="dxa"/>
          <w:left w:w="108" w:type="dxa"/>
          <w:bottom w:w="0" w:type="dxa"/>
          <w:right w:w="108" w:type="dxa"/>
        </w:tblCellMar>
      </w:tblPr>
      <w:tblGrid>
        <w:gridCol w:w="1239"/>
        <w:gridCol w:w="1259"/>
        <w:gridCol w:w="1404"/>
        <w:gridCol w:w="1526"/>
        <w:gridCol w:w="1565"/>
        <w:gridCol w:w="1187"/>
        <w:gridCol w:w="1063"/>
      </w:tblGrid>
      <w:tr w14:paraId="32E91499">
        <w:tblPrEx>
          <w:tblCellMar>
            <w:top w:w="0" w:type="dxa"/>
            <w:left w:w="108" w:type="dxa"/>
            <w:bottom w:w="0" w:type="dxa"/>
            <w:right w:w="108" w:type="dxa"/>
          </w:tblCellMar>
        </w:tblPrEx>
        <w:trPr>
          <w:trHeight w:val="270" w:hRule="atLeast"/>
        </w:trPr>
        <w:tc>
          <w:tcPr>
            <w:tcW w:w="670" w:type="pct"/>
            <w:vMerge w:val="restart"/>
            <w:tcBorders>
              <w:top w:val="single" w:color="auto" w:sz="12" w:space="0"/>
              <w:left w:val="nil"/>
              <w:bottom w:val="nil"/>
              <w:right w:val="nil"/>
            </w:tcBorders>
            <w:noWrap/>
            <w:vAlign w:val="center"/>
          </w:tcPr>
          <w:p w14:paraId="2820C1CE">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rPr>
              <w:t>Variable</w:t>
            </w:r>
          </w:p>
        </w:tc>
        <w:tc>
          <w:tcPr>
            <w:tcW w:w="681" w:type="pct"/>
            <w:tcBorders>
              <w:top w:val="single" w:color="auto" w:sz="12" w:space="0"/>
              <w:left w:val="nil"/>
              <w:bottom w:val="single" w:color="auto" w:sz="6" w:space="0"/>
              <w:right w:val="nil"/>
            </w:tcBorders>
            <w:noWrap/>
            <w:vAlign w:val="center"/>
          </w:tcPr>
          <w:p w14:paraId="0BB7B5E9">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(1)</w:t>
            </w:r>
          </w:p>
        </w:tc>
        <w:tc>
          <w:tcPr>
            <w:tcW w:w="759" w:type="pct"/>
            <w:tcBorders>
              <w:top w:val="single" w:color="auto" w:sz="12" w:space="0"/>
              <w:left w:val="nil"/>
              <w:bottom w:val="single" w:color="auto" w:sz="6" w:space="0"/>
              <w:right w:val="nil"/>
            </w:tcBorders>
            <w:noWrap/>
            <w:vAlign w:val="center"/>
          </w:tcPr>
          <w:p w14:paraId="21CA565B">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(2)</w:t>
            </w:r>
          </w:p>
        </w:tc>
        <w:tc>
          <w:tcPr>
            <w:tcW w:w="825" w:type="pct"/>
            <w:tcBorders>
              <w:top w:val="single" w:color="auto" w:sz="12" w:space="0"/>
              <w:left w:val="nil"/>
              <w:bottom w:val="single" w:color="auto" w:sz="6" w:space="0"/>
              <w:right w:val="nil"/>
            </w:tcBorders>
            <w:noWrap/>
            <w:vAlign w:val="center"/>
          </w:tcPr>
          <w:p w14:paraId="6A5FA910">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(3)</w:t>
            </w:r>
          </w:p>
        </w:tc>
        <w:tc>
          <w:tcPr>
            <w:tcW w:w="845" w:type="pct"/>
            <w:tcBorders>
              <w:top w:val="single" w:color="auto" w:sz="12" w:space="0"/>
              <w:left w:val="nil"/>
              <w:bottom w:val="single" w:color="auto" w:sz="6" w:space="0"/>
              <w:right w:val="nil"/>
            </w:tcBorders>
            <w:noWrap/>
            <w:vAlign w:val="center"/>
          </w:tcPr>
          <w:p w14:paraId="72E5BA01">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(4)</w:t>
            </w:r>
          </w:p>
        </w:tc>
        <w:tc>
          <w:tcPr>
            <w:tcW w:w="642" w:type="pct"/>
            <w:tcBorders>
              <w:top w:val="single" w:color="auto" w:sz="12" w:space="0"/>
              <w:left w:val="nil"/>
              <w:bottom w:val="single" w:color="auto" w:sz="6" w:space="0"/>
              <w:right w:val="nil"/>
            </w:tcBorders>
            <w:noWrap/>
            <w:vAlign w:val="center"/>
          </w:tcPr>
          <w:p w14:paraId="721DA77B">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（5）</w:t>
            </w:r>
          </w:p>
        </w:tc>
        <w:tc>
          <w:tcPr>
            <w:tcW w:w="575" w:type="pct"/>
            <w:tcBorders>
              <w:top w:val="single" w:color="auto" w:sz="12" w:space="0"/>
              <w:left w:val="nil"/>
              <w:bottom w:val="single" w:color="auto" w:sz="6" w:space="0"/>
              <w:right w:val="nil"/>
            </w:tcBorders>
            <w:noWrap/>
            <w:vAlign w:val="center"/>
          </w:tcPr>
          <w:p w14:paraId="76AF01E8">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（6）</w:t>
            </w:r>
          </w:p>
        </w:tc>
      </w:tr>
      <w:tr w14:paraId="3BAABB1B">
        <w:tblPrEx>
          <w:tblCellMar>
            <w:top w:w="0" w:type="dxa"/>
            <w:left w:w="108" w:type="dxa"/>
            <w:bottom w:w="0" w:type="dxa"/>
            <w:right w:w="108" w:type="dxa"/>
          </w:tblCellMar>
        </w:tblPrEx>
        <w:trPr>
          <w:trHeight w:val="368" w:hRule="atLeast"/>
        </w:trPr>
        <w:tc>
          <w:tcPr>
            <w:tcW w:w="670" w:type="pct"/>
            <w:vMerge w:val="continue"/>
            <w:tcBorders>
              <w:top w:val="nil"/>
              <w:left w:val="nil"/>
              <w:bottom w:val="single" w:color="auto" w:sz="12" w:space="0"/>
              <w:right w:val="nil"/>
            </w:tcBorders>
            <w:noWrap/>
            <w:vAlign w:val="center"/>
          </w:tcPr>
          <w:p w14:paraId="32C7FA0A">
            <w:pPr>
              <w:jc w:val="center"/>
              <w:rPr>
                <w:rFonts w:ascii="Arial" w:hAnsi="Arial" w:eastAsia="宋体" w:cs="Arial"/>
                <w:b/>
                <w:bCs/>
                <w:color w:val="000000"/>
                <w:sz w:val="20"/>
                <w:szCs w:val="20"/>
              </w:rPr>
            </w:pPr>
          </w:p>
        </w:tc>
        <w:tc>
          <w:tcPr>
            <w:tcW w:w="681" w:type="pct"/>
            <w:tcBorders>
              <w:top w:val="single" w:color="auto" w:sz="6" w:space="0"/>
              <w:left w:val="nil"/>
              <w:bottom w:val="single" w:color="auto" w:sz="12" w:space="0"/>
              <w:right w:val="nil"/>
            </w:tcBorders>
            <w:noWrap/>
            <w:vAlign w:val="center"/>
          </w:tcPr>
          <w:p w14:paraId="3CD01DE9">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rPr>
              <w:t>Incl. Civ. City Policy</w:t>
            </w:r>
          </w:p>
        </w:tc>
        <w:tc>
          <w:tcPr>
            <w:tcW w:w="759" w:type="pct"/>
            <w:tcBorders>
              <w:top w:val="single" w:color="auto" w:sz="6" w:space="0"/>
              <w:left w:val="nil"/>
              <w:bottom w:val="single" w:color="auto" w:sz="12" w:space="0"/>
              <w:right w:val="nil"/>
            </w:tcBorders>
            <w:noWrap/>
            <w:vAlign w:val="center"/>
          </w:tcPr>
          <w:p w14:paraId="17184A0A">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rPr>
              <w:t>Incl. Carbon Trading Policy</w:t>
            </w:r>
          </w:p>
        </w:tc>
        <w:tc>
          <w:tcPr>
            <w:tcW w:w="825" w:type="pct"/>
            <w:tcBorders>
              <w:top w:val="single" w:color="auto" w:sz="6" w:space="0"/>
              <w:left w:val="nil"/>
              <w:bottom w:val="single" w:color="auto" w:sz="12" w:space="0"/>
              <w:right w:val="nil"/>
            </w:tcBorders>
            <w:noWrap/>
            <w:vAlign w:val="center"/>
          </w:tcPr>
          <w:p w14:paraId="19DD25AC">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rPr>
              <w:t>Incl. Both Policies</w:t>
            </w:r>
          </w:p>
        </w:tc>
        <w:tc>
          <w:tcPr>
            <w:tcW w:w="845" w:type="pct"/>
            <w:tcBorders>
              <w:top w:val="single" w:color="auto" w:sz="6" w:space="0"/>
              <w:left w:val="nil"/>
              <w:bottom w:val="single" w:color="auto" w:sz="12" w:space="0"/>
              <w:right w:val="nil"/>
            </w:tcBorders>
            <w:noWrap/>
            <w:vAlign w:val="center"/>
          </w:tcPr>
          <w:p w14:paraId="53FAE843">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rPr>
              <w:t>Lagged Dep. Var.</w:t>
            </w:r>
          </w:p>
        </w:tc>
        <w:tc>
          <w:tcPr>
            <w:tcW w:w="642" w:type="pct"/>
            <w:tcBorders>
              <w:top w:val="single" w:color="auto" w:sz="6" w:space="0"/>
              <w:left w:val="nil"/>
              <w:bottom w:val="single" w:color="auto" w:sz="12" w:space="0"/>
              <w:right w:val="nil"/>
            </w:tcBorders>
            <w:noWrap/>
            <w:vAlign w:val="center"/>
          </w:tcPr>
          <w:p w14:paraId="5BAD35B2">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rPr>
              <w:t>1:1 Nearest Neighbor</w:t>
            </w:r>
          </w:p>
        </w:tc>
        <w:tc>
          <w:tcPr>
            <w:tcW w:w="575" w:type="pct"/>
            <w:tcBorders>
              <w:top w:val="single" w:color="auto" w:sz="6" w:space="0"/>
              <w:left w:val="nil"/>
              <w:bottom w:val="single" w:color="auto" w:sz="12" w:space="0"/>
              <w:right w:val="nil"/>
            </w:tcBorders>
            <w:noWrap/>
            <w:vAlign w:val="center"/>
          </w:tcPr>
          <w:p w14:paraId="1EF1C1F6">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rPr>
              <w:t>Kernel Matching</w:t>
            </w:r>
          </w:p>
        </w:tc>
      </w:tr>
      <w:tr w14:paraId="55A9B0D6">
        <w:tblPrEx>
          <w:tblCellMar>
            <w:top w:w="0" w:type="dxa"/>
            <w:left w:w="108" w:type="dxa"/>
            <w:bottom w:w="0" w:type="dxa"/>
            <w:right w:w="108" w:type="dxa"/>
          </w:tblCellMar>
        </w:tblPrEx>
        <w:trPr>
          <w:trHeight w:val="270" w:hRule="atLeast"/>
        </w:trPr>
        <w:tc>
          <w:tcPr>
            <w:tcW w:w="670" w:type="pct"/>
            <w:vMerge w:val="restart"/>
            <w:tcBorders>
              <w:top w:val="single" w:color="auto" w:sz="12" w:space="0"/>
              <w:left w:val="nil"/>
              <w:bottom w:val="nil"/>
              <w:right w:val="nil"/>
            </w:tcBorders>
            <w:noWrap/>
            <w:vAlign w:val="center"/>
          </w:tcPr>
          <w:p w14:paraId="1FD8D24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did</w:t>
            </w:r>
          </w:p>
        </w:tc>
        <w:tc>
          <w:tcPr>
            <w:tcW w:w="681" w:type="pct"/>
            <w:tcBorders>
              <w:top w:val="single" w:color="auto" w:sz="12" w:space="0"/>
              <w:left w:val="nil"/>
              <w:bottom w:val="nil"/>
              <w:right w:val="nil"/>
            </w:tcBorders>
            <w:noWrap/>
            <w:vAlign w:val="center"/>
          </w:tcPr>
          <w:p w14:paraId="5C06BA1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0.238***</w:t>
            </w:r>
          </w:p>
        </w:tc>
        <w:tc>
          <w:tcPr>
            <w:tcW w:w="759" w:type="pct"/>
            <w:tcBorders>
              <w:top w:val="single" w:color="auto" w:sz="12" w:space="0"/>
              <w:left w:val="nil"/>
              <w:bottom w:val="nil"/>
              <w:right w:val="nil"/>
            </w:tcBorders>
            <w:noWrap/>
            <w:vAlign w:val="center"/>
          </w:tcPr>
          <w:p w14:paraId="091ED4B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0.271***</w:t>
            </w:r>
          </w:p>
        </w:tc>
        <w:tc>
          <w:tcPr>
            <w:tcW w:w="825" w:type="pct"/>
            <w:tcBorders>
              <w:top w:val="single" w:color="auto" w:sz="12" w:space="0"/>
              <w:left w:val="nil"/>
              <w:bottom w:val="nil"/>
              <w:right w:val="nil"/>
            </w:tcBorders>
            <w:noWrap/>
            <w:vAlign w:val="center"/>
          </w:tcPr>
          <w:p w14:paraId="7ED30C5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0.288***</w:t>
            </w:r>
          </w:p>
        </w:tc>
        <w:tc>
          <w:tcPr>
            <w:tcW w:w="845" w:type="pct"/>
            <w:tcBorders>
              <w:top w:val="single" w:color="auto" w:sz="12" w:space="0"/>
              <w:left w:val="nil"/>
              <w:bottom w:val="nil"/>
              <w:right w:val="nil"/>
            </w:tcBorders>
            <w:noWrap/>
            <w:vAlign w:val="center"/>
          </w:tcPr>
          <w:p w14:paraId="018DC86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0.207***</w:t>
            </w:r>
          </w:p>
        </w:tc>
        <w:tc>
          <w:tcPr>
            <w:tcW w:w="642" w:type="pct"/>
            <w:tcBorders>
              <w:top w:val="single" w:color="auto" w:sz="12" w:space="0"/>
              <w:left w:val="nil"/>
              <w:bottom w:val="nil"/>
              <w:right w:val="nil"/>
            </w:tcBorders>
            <w:noWrap/>
            <w:vAlign w:val="center"/>
          </w:tcPr>
          <w:p w14:paraId="374E5DC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0.4092**</w:t>
            </w:r>
          </w:p>
        </w:tc>
        <w:tc>
          <w:tcPr>
            <w:tcW w:w="575" w:type="pct"/>
            <w:tcBorders>
              <w:top w:val="single" w:color="auto" w:sz="12" w:space="0"/>
              <w:left w:val="nil"/>
              <w:bottom w:val="nil"/>
              <w:right w:val="nil"/>
            </w:tcBorders>
            <w:noWrap/>
            <w:vAlign w:val="center"/>
          </w:tcPr>
          <w:p w14:paraId="546F876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0.2083**</w:t>
            </w:r>
          </w:p>
        </w:tc>
      </w:tr>
      <w:tr w14:paraId="16119D0A">
        <w:tblPrEx>
          <w:tblCellMar>
            <w:top w:w="0" w:type="dxa"/>
            <w:left w:w="108" w:type="dxa"/>
            <w:bottom w:w="0" w:type="dxa"/>
            <w:right w:w="108" w:type="dxa"/>
          </w:tblCellMar>
        </w:tblPrEx>
        <w:trPr>
          <w:trHeight w:val="270" w:hRule="atLeast"/>
        </w:trPr>
        <w:tc>
          <w:tcPr>
            <w:tcW w:w="670" w:type="pct"/>
            <w:vMerge w:val="continue"/>
            <w:tcBorders>
              <w:top w:val="nil"/>
              <w:left w:val="nil"/>
              <w:bottom w:val="nil"/>
              <w:right w:val="nil"/>
            </w:tcBorders>
            <w:noWrap/>
            <w:vAlign w:val="center"/>
          </w:tcPr>
          <w:p w14:paraId="69F1F3B5">
            <w:pPr>
              <w:jc w:val="center"/>
              <w:rPr>
                <w:rFonts w:ascii="Arial" w:hAnsi="Arial" w:eastAsia="宋体" w:cs="Arial"/>
                <w:color w:val="000000"/>
                <w:sz w:val="20"/>
                <w:szCs w:val="20"/>
              </w:rPr>
            </w:pPr>
          </w:p>
        </w:tc>
        <w:tc>
          <w:tcPr>
            <w:tcW w:w="681" w:type="pct"/>
            <w:tcBorders>
              <w:top w:val="nil"/>
              <w:left w:val="nil"/>
              <w:bottom w:val="nil"/>
              <w:right w:val="nil"/>
            </w:tcBorders>
            <w:noWrap/>
            <w:vAlign w:val="center"/>
          </w:tcPr>
          <w:p w14:paraId="021F4B2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(0.0639)</w:t>
            </w:r>
          </w:p>
        </w:tc>
        <w:tc>
          <w:tcPr>
            <w:tcW w:w="759" w:type="pct"/>
            <w:tcBorders>
              <w:top w:val="nil"/>
              <w:left w:val="nil"/>
              <w:bottom w:val="nil"/>
              <w:right w:val="nil"/>
            </w:tcBorders>
            <w:noWrap/>
            <w:vAlign w:val="center"/>
          </w:tcPr>
          <w:p w14:paraId="059326A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(0.0647)</w:t>
            </w:r>
          </w:p>
        </w:tc>
        <w:tc>
          <w:tcPr>
            <w:tcW w:w="825" w:type="pct"/>
            <w:tcBorders>
              <w:top w:val="nil"/>
              <w:left w:val="nil"/>
              <w:bottom w:val="nil"/>
              <w:right w:val="nil"/>
            </w:tcBorders>
            <w:noWrap/>
            <w:vAlign w:val="center"/>
          </w:tcPr>
          <w:p w14:paraId="793ECEC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(0.0651)</w:t>
            </w:r>
          </w:p>
        </w:tc>
        <w:tc>
          <w:tcPr>
            <w:tcW w:w="845" w:type="pct"/>
            <w:tcBorders>
              <w:top w:val="nil"/>
              <w:left w:val="nil"/>
              <w:bottom w:val="nil"/>
              <w:right w:val="nil"/>
            </w:tcBorders>
            <w:noWrap/>
            <w:vAlign w:val="center"/>
          </w:tcPr>
          <w:p w14:paraId="7990822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(0.0612)</w:t>
            </w:r>
          </w:p>
        </w:tc>
        <w:tc>
          <w:tcPr>
            <w:tcW w:w="642" w:type="pct"/>
            <w:tcBorders>
              <w:top w:val="nil"/>
              <w:left w:val="nil"/>
              <w:bottom w:val="nil"/>
              <w:right w:val="nil"/>
            </w:tcBorders>
            <w:noWrap/>
            <w:vAlign w:val="center"/>
          </w:tcPr>
          <w:p w14:paraId="37DDEE4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(2.3240)</w:t>
            </w:r>
          </w:p>
        </w:tc>
        <w:tc>
          <w:tcPr>
            <w:tcW w:w="575" w:type="pct"/>
            <w:tcBorders>
              <w:top w:val="nil"/>
              <w:left w:val="nil"/>
              <w:bottom w:val="nil"/>
              <w:right w:val="nil"/>
            </w:tcBorders>
            <w:noWrap/>
            <w:vAlign w:val="center"/>
          </w:tcPr>
          <w:p w14:paraId="580A1698">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(2.1188)</w:t>
            </w:r>
          </w:p>
        </w:tc>
      </w:tr>
      <w:tr w14:paraId="308FB6C5">
        <w:tblPrEx>
          <w:tblCellMar>
            <w:top w:w="0" w:type="dxa"/>
            <w:left w:w="108" w:type="dxa"/>
            <w:bottom w:w="0" w:type="dxa"/>
            <w:right w:w="108" w:type="dxa"/>
          </w:tblCellMar>
        </w:tblPrEx>
        <w:trPr>
          <w:trHeight w:val="270" w:hRule="atLeast"/>
        </w:trPr>
        <w:tc>
          <w:tcPr>
            <w:tcW w:w="670" w:type="pct"/>
            <w:vMerge w:val="restart"/>
            <w:tcBorders>
              <w:top w:val="nil"/>
              <w:left w:val="nil"/>
              <w:bottom w:val="nil"/>
              <w:right w:val="nil"/>
            </w:tcBorders>
            <w:noWrap/>
            <w:vAlign w:val="center"/>
          </w:tcPr>
          <w:p w14:paraId="3CC2379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Civilized City</w:t>
            </w:r>
          </w:p>
        </w:tc>
        <w:tc>
          <w:tcPr>
            <w:tcW w:w="681" w:type="pct"/>
            <w:tcBorders>
              <w:top w:val="nil"/>
              <w:left w:val="nil"/>
              <w:bottom w:val="nil"/>
              <w:right w:val="nil"/>
            </w:tcBorders>
            <w:noWrap/>
            <w:vAlign w:val="center"/>
          </w:tcPr>
          <w:p w14:paraId="01DC579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0.171**</w:t>
            </w:r>
          </w:p>
        </w:tc>
        <w:tc>
          <w:tcPr>
            <w:tcW w:w="759" w:type="pct"/>
            <w:tcBorders>
              <w:top w:val="nil"/>
              <w:left w:val="nil"/>
              <w:bottom w:val="nil"/>
              <w:right w:val="nil"/>
            </w:tcBorders>
            <w:noWrap/>
            <w:vAlign w:val="center"/>
          </w:tcPr>
          <w:p w14:paraId="7D19996A">
            <w:pPr>
              <w:jc w:val="center"/>
              <w:rPr>
                <w:rFonts w:ascii="Arial" w:hAnsi="Arial" w:eastAsia="宋体" w:cs="Arial"/>
                <w:color w:val="000000"/>
                <w:sz w:val="20"/>
                <w:szCs w:val="20"/>
              </w:rPr>
            </w:pPr>
          </w:p>
        </w:tc>
        <w:tc>
          <w:tcPr>
            <w:tcW w:w="825" w:type="pct"/>
            <w:tcBorders>
              <w:top w:val="nil"/>
              <w:left w:val="nil"/>
              <w:bottom w:val="nil"/>
              <w:right w:val="nil"/>
            </w:tcBorders>
            <w:noWrap/>
            <w:vAlign w:val="center"/>
          </w:tcPr>
          <w:p w14:paraId="5A1F7BF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0.128*</w:t>
            </w:r>
          </w:p>
        </w:tc>
        <w:tc>
          <w:tcPr>
            <w:tcW w:w="845" w:type="pct"/>
            <w:tcBorders>
              <w:top w:val="nil"/>
              <w:left w:val="nil"/>
              <w:bottom w:val="nil"/>
              <w:right w:val="nil"/>
            </w:tcBorders>
            <w:noWrap/>
            <w:vAlign w:val="center"/>
          </w:tcPr>
          <w:p w14:paraId="04E44280">
            <w:pPr>
              <w:jc w:val="center"/>
              <w:rPr>
                <w:rFonts w:ascii="Arial" w:hAnsi="Arial" w:eastAsia="宋体" w:cs="Arial"/>
                <w:color w:val="000000"/>
                <w:sz w:val="20"/>
                <w:szCs w:val="20"/>
              </w:rPr>
            </w:pPr>
          </w:p>
        </w:tc>
        <w:tc>
          <w:tcPr>
            <w:tcW w:w="642" w:type="pct"/>
            <w:tcBorders>
              <w:top w:val="nil"/>
              <w:left w:val="nil"/>
              <w:bottom w:val="nil"/>
              <w:right w:val="nil"/>
            </w:tcBorders>
            <w:noWrap/>
            <w:vAlign w:val="center"/>
          </w:tcPr>
          <w:p w14:paraId="43D7D4B5">
            <w:pPr>
              <w:jc w:val="center"/>
              <w:rPr>
                <w:rFonts w:ascii="Arial" w:hAnsi="Arial" w:eastAsia="宋体" w:cs="Arial"/>
                <w:color w:val="000000"/>
                <w:sz w:val="20"/>
                <w:szCs w:val="20"/>
              </w:rPr>
            </w:pPr>
          </w:p>
        </w:tc>
        <w:tc>
          <w:tcPr>
            <w:tcW w:w="575" w:type="pct"/>
            <w:tcBorders>
              <w:top w:val="nil"/>
              <w:left w:val="nil"/>
              <w:bottom w:val="nil"/>
              <w:right w:val="nil"/>
            </w:tcBorders>
            <w:noWrap/>
            <w:vAlign w:val="center"/>
          </w:tcPr>
          <w:p w14:paraId="4A080409">
            <w:pPr>
              <w:jc w:val="center"/>
              <w:rPr>
                <w:rFonts w:ascii="Arial" w:hAnsi="Arial" w:eastAsia="宋体" w:cs="Arial"/>
                <w:color w:val="000000"/>
                <w:sz w:val="20"/>
                <w:szCs w:val="20"/>
              </w:rPr>
            </w:pPr>
          </w:p>
        </w:tc>
      </w:tr>
      <w:tr w14:paraId="0DF618C9">
        <w:tblPrEx>
          <w:tblCellMar>
            <w:top w:w="0" w:type="dxa"/>
            <w:left w:w="108" w:type="dxa"/>
            <w:bottom w:w="0" w:type="dxa"/>
            <w:right w:w="108" w:type="dxa"/>
          </w:tblCellMar>
        </w:tblPrEx>
        <w:trPr>
          <w:trHeight w:val="270" w:hRule="atLeast"/>
        </w:trPr>
        <w:tc>
          <w:tcPr>
            <w:tcW w:w="670" w:type="pct"/>
            <w:vMerge w:val="continue"/>
            <w:tcBorders>
              <w:top w:val="nil"/>
              <w:left w:val="nil"/>
              <w:bottom w:val="nil"/>
              <w:right w:val="nil"/>
            </w:tcBorders>
            <w:noWrap/>
            <w:vAlign w:val="center"/>
          </w:tcPr>
          <w:p w14:paraId="146373D1">
            <w:pPr>
              <w:jc w:val="center"/>
              <w:rPr>
                <w:rFonts w:ascii="Arial" w:hAnsi="Arial" w:eastAsia="宋体" w:cs="Arial"/>
                <w:color w:val="000000"/>
                <w:sz w:val="20"/>
                <w:szCs w:val="20"/>
              </w:rPr>
            </w:pPr>
          </w:p>
        </w:tc>
        <w:tc>
          <w:tcPr>
            <w:tcW w:w="681" w:type="pct"/>
            <w:tcBorders>
              <w:top w:val="nil"/>
              <w:left w:val="nil"/>
              <w:bottom w:val="nil"/>
              <w:right w:val="nil"/>
            </w:tcBorders>
            <w:noWrap/>
            <w:vAlign w:val="center"/>
          </w:tcPr>
          <w:p w14:paraId="465EE10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(0.0713)</w:t>
            </w:r>
          </w:p>
        </w:tc>
        <w:tc>
          <w:tcPr>
            <w:tcW w:w="759" w:type="pct"/>
            <w:tcBorders>
              <w:top w:val="nil"/>
              <w:left w:val="nil"/>
              <w:bottom w:val="nil"/>
              <w:right w:val="nil"/>
            </w:tcBorders>
            <w:noWrap/>
            <w:vAlign w:val="center"/>
          </w:tcPr>
          <w:p w14:paraId="40EAD987">
            <w:pPr>
              <w:jc w:val="center"/>
              <w:rPr>
                <w:rFonts w:ascii="Arial" w:hAnsi="Arial" w:eastAsia="宋体" w:cs="Arial"/>
                <w:color w:val="000000"/>
                <w:sz w:val="20"/>
                <w:szCs w:val="20"/>
              </w:rPr>
            </w:pPr>
          </w:p>
        </w:tc>
        <w:tc>
          <w:tcPr>
            <w:tcW w:w="825" w:type="pct"/>
            <w:tcBorders>
              <w:top w:val="nil"/>
              <w:left w:val="nil"/>
              <w:bottom w:val="nil"/>
              <w:right w:val="nil"/>
            </w:tcBorders>
            <w:noWrap/>
            <w:vAlign w:val="center"/>
          </w:tcPr>
          <w:p w14:paraId="0CA7D4A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(0.0734)</w:t>
            </w:r>
          </w:p>
        </w:tc>
        <w:tc>
          <w:tcPr>
            <w:tcW w:w="845" w:type="pct"/>
            <w:tcBorders>
              <w:top w:val="nil"/>
              <w:left w:val="nil"/>
              <w:bottom w:val="nil"/>
              <w:right w:val="nil"/>
            </w:tcBorders>
            <w:noWrap/>
            <w:vAlign w:val="center"/>
          </w:tcPr>
          <w:p w14:paraId="1D96D960">
            <w:pPr>
              <w:jc w:val="center"/>
              <w:rPr>
                <w:rFonts w:ascii="Arial" w:hAnsi="Arial" w:eastAsia="宋体" w:cs="Arial"/>
                <w:color w:val="000000"/>
                <w:sz w:val="20"/>
                <w:szCs w:val="20"/>
              </w:rPr>
            </w:pPr>
          </w:p>
        </w:tc>
        <w:tc>
          <w:tcPr>
            <w:tcW w:w="642" w:type="pct"/>
            <w:tcBorders>
              <w:top w:val="nil"/>
              <w:left w:val="nil"/>
              <w:bottom w:val="nil"/>
              <w:right w:val="nil"/>
            </w:tcBorders>
            <w:noWrap/>
            <w:vAlign w:val="center"/>
          </w:tcPr>
          <w:p w14:paraId="3F1DFA43">
            <w:pPr>
              <w:jc w:val="center"/>
              <w:rPr>
                <w:rFonts w:ascii="Arial" w:hAnsi="Arial" w:eastAsia="宋体" w:cs="Arial"/>
                <w:color w:val="000000"/>
                <w:sz w:val="20"/>
                <w:szCs w:val="20"/>
              </w:rPr>
            </w:pPr>
          </w:p>
        </w:tc>
        <w:tc>
          <w:tcPr>
            <w:tcW w:w="575" w:type="pct"/>
            <w:tcBorders>
              <w:top w:val="nil"/>
              <w:left w:val="nil"/>
              <w:bottom w:val="nil"/>
              <w:right w:val="nil"/>
            </w:tcBorders>
            <w:noWrap/>
            <w:vAlign w:val="center"/>
          </w:tcPr>
          <w:p w14:paraId="7C16B3A1">
            <w:pPr>
              <w:jc w:val="center"/>
              <w:rPr>
                <w:rFonts w:ascii="Arial" w:hAnsi="Arial" w:eastAsia="宋体" w:cs="Arial"/>
                <w:color w:val="000000"/>
                <w:sz w:val="20"/>
                <w:szCs w:val="20"/>
              </w:rPr>
            </w:pPr>
          </w:p>
        </w:tc>
      </w:tr>
      <w:tr w14:paraId="32A970F9">
        <w:tblPrEx>
          <w:tblCellMar>
            <w:top w:w="0" w:type="dxa"/>
            <w:left w:w="108" w:type="dxa"/>
            <w:bottom w:w="0" w:type="dxa"/>
            <w:right w:w="108" w:type="dxa"/>
          </w:tblCellMar>
        </w:tblPrEx>
        <w:trPr>
          <w:trHeight w:val="270" w:hRule="atLeast"/>
        </w:trPr>
        <w:tc>
          <w:tcPr>
            <w:tcW w:w="670" w:type="pct"/>
            <w:vMerge w:val="restart"/>
            <w:tcBorders>
              <w:top w:val="nil"/>
              <w:left w:val="nil"/>
              <w:bottom w:val="nil"/>
              <w:right w:val="nil"/>
            </w:tcBorders>
            <w:noWrap/>
            <w:vAlign w:val="center"/>
          </w:tcPr>
          <w:p w14:paraId="35217CB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Carbon Trading</w:t>
            </w:r>
          </w:p>
        </w:tc>
        <w:tc>
          <w:tcPr>
            <w:tcW w:w="681" w:type="pct"/>
            <w:tcBorders>
              <w:top w:val="nil"/>
              <w:left w:val="nil"/>
              <w:bottom w:val="nil"/>
              <w:right w:val="nil"/>
            </w:tcBorders>
            <w:noWrap/>
            <w:vAlign w:val="center"/>
          </w:tcPr>
          <w:p w14:paraId="60BA139A">
            <w:pPr>
              <w:jc w:val="center"/>
              <w:rPr>
                <w:rFonts w:ascii="Arial" w:hAnsi="Arial" w:eastAsia="宋体" w:cs="Arial"/>
                <w:color w:val="000000"/>
                <w:sz w:val="20"/>
                <w:szCs w:val="20"/>
              </w:rPr>
            </w:pPr>
          </w:p>
        </w:tc>
        <w:tc>
          <w:tcPr>
            <w:tcW w:w="759" w:type="pct"/>
            <w:tcBorders>
              <w:top w:val="nil"/>
              <w:left w:val="nil"/>
              <w:bottom w:val="nil"/>
              <w:right w:val="nil"/>
            </w:tcBorders>
            <w:noWrap/>
            <w:vAlign w:val="center"/>
          </w:tcPr>
          <w:p w14:paraId="5D8EF1B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-0.272***</w:t>
            </w:r>
          </w:p>
        </w:tc>
        <w:tc>
          <w:tcPr>
            <w:tcW w:w="825" w:type="pct"/>
            <w:tcBorders>
              <w:top w:val="nil"/>
              <w:left w:val="nil"/>
              <w:bottom w:val="nil"/>
              <w:right w:val="nil"/>
            </w:tcBorders>
            <w:noWrap/>
            <w:vAlign w:val="center"/>
          </w:tcPr>
          <w:p w14:paraId="4FDB82C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-0.246***</w:t>
            </w:r>
          </w:p>
        </w:tc>
        <w:tc>
          <w:tcPr>
            <w:tcW w:w="845" w:type="pct"/>
            <w:tcBorders>
              <w:top w:val="nil"/>
              <w:left w:val="nil"/>
              <w:bottom w:val="nil"/>
              <w:right w:val="nil"/>
            </w:tcBorders>
            <w:noWrap/>
            <w:vAlign w:val="center"/>
          </w:tcPr>
          <w:p w14:paraId="3334AD7D">
            <w:pPr>
              <w:jc w:val="center"/>
              <w:rPr>
                <w:rFonts w:ascii="Arial" w:hAnsi="Arial" w:eastAsia="宋体" w:cs="Arial"/>
                <w:color w:val="000000"/>
                <w:sz w:val="20"/>
                <w:szCs w:val="20"/>
              </w:rPr>
            </w:pPr>
          </w:p>
        </w:tc>
        <w:tc>
          <w:tcPr>
            <w:tcW w:w="642" w:type="pct"/>
            <w:tcBorders>
              <w:top w:val="nil"/>
              <w:left w:val="nil"/>
              <w:bottom w:val="nil"/>
              <w:right w:val="nil"/>
            </w:tcBorders>
            <w:noWrap/>
            <w:vAlign w:val="center"/>
          </w:tcPr>
          <w:p w14:paraId="06F059CC">
            <w:pPr>
              <w:jc w:val="center"/>
              <w:rPr>
                <w:rFonts w:ascii="Arial" w:hAnsi="Arial" w:eastAsia="宋体" w:cs="Arial"/>
                <w:color w:val="000000"/>
                <w:sz w:val="20"/>
                <w:szCs w:val="20"/>
              </w:rPr>
            </w:pPr>
          </w:p>
        </w:tc>
        <w:tc>
          <w:tcPr>
            <w:tcW w:w="575" w:type="pct"/>
            <w:tcBorders>
              <w:top w:val="nil"/>
              <w:left w:val="nil"/>
              <w:bottom w:val="nil"/>
              <w:right w:val="nil"/>
            </w:tcBorders>
            <w:noWrap/>
            <w:vAlign w:val="center"/>
          </w:tcPr>
          <w:p w14:paraId="4DB1A23A">
            <w:pPr>
              <w:jc w:val="center"/>
              <w:rPr>
                <w:rFonts w:ascii="Arial" w:hAnsi="Arial" w:eastAsia="宋体" w:cs="Arial"/>
                <w:color w:val="000000"/>
                <w:sz w:val="20"/>
                <w:szCs w:val="20"/>
              </w:rPr>
            </w:pPr>
          </w:p>
        </w:tc>
      </w:tr>
      <w:tr w14:paraId="562B1826">
        <w:tblPrEx>
          <w:tblCellMar>
            <w:top w:w="0" w:type="dxa"/>
            <w:left w:w="108" w:type="dxa"/>
            <w:bottom w:w="0" w:type="dxa"/>
            <w:right w:w="108" w:type="dxa"/>
          </w:tblCellMar>
        </w:tblPrEx>
        <w:trPr>
          <w:trHeight w:val="270" w:hRule="atLeast"/>
        </w:trPr>
        <w:tc>
          <w:tcPr>
            <w:tcW w:w="670" w:type="pct"/>
            <w:vMerge w:val="continue"/>
            <w:tcBorders>
              <w:top w:val="nil"/>
              <w:left w:val="nil"/>
              <w:bottom w:val="nil"/>
              <w:right w:val="nil"/>
            </w:tcBorders>
            <w:noWrap/>
            <w:vAlign w:val="center"/>
          </w:tcPr>
          <w:p w14:paraId="295FDB7F">
            <w:pPr>
              <w:jc w:val="center"/>
              <w:rPr>
                <w:rFonts w:ascii="Arial" w:hAnsi="Arial" w:eastAsia="宋体" w:cs="Arial"/>
                <w:color w:val="000000"/>
                <w:sz w:val="20"/>
                <w:szCs w:val="20"/>
              </w:rPr>
            </w:pPr>
          </w:p>
        </w:tc>
        <w:tc>
          <w:tcPr>
            <w:tcW w:w="681" w:type="pct"/>
            <w:tcBorders>
              <w:top w:val="nil"/>
              <w:left w:val="nil"/>
              <w:bottom w:val="nil"/>
              <w:right w:val="nil"/>
            </w:tcBorders>
            <w:noWrap/>
            <w:vAlign w:val="center"/>
          </w:tcPr>
          <w:p w14:paraId="5D746536">
            <w:pPr>
              <w:jc w:val="center"/>
              <w:rPr>
                <w:rFonts w:ascii="Arial" w:hAnsi="Arial" w:eastAsia="宋体" w:cs="Arial"/>
                <w:color w:val="000000"/>
                <w:sz w:val="20"/>
                <w:szCs w:val="20"/>
              </w:rPr>
            </w:pPr>
          </w:p>
        </w:tc>
        <w:tc>
          <w:tcPr>
            <w:tcW w:w="759" w:type="pct"/>
            <w:tcBorders>
              <w:top w:val="nil"/>
              <w:left w:val="nil"/>
              <w:bottom w:val="nil"/>
              <w:right w:val="nil"/>
            </w:tcBorders>
            <w:noWrap/>
            <w:vAlign w:val="center"/>
          </w:tcPr>
          <w:p w14:paraId="555BACC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(0.0759)</w:t>
            </w:r>
          </w:p>
        </w:tc>
        <w:tc>
          <w:tcPr>
            <w:tcW w:w="825" w:type="pct"/>
            <w:tcBorders>
              <w:top w:val="nil"/>
              <w:left w:val="nil"/>
              <w:bottom w:val="nil"/>
              <w:right w:val="nil"/>
            </w:tcBorders>
            <w:noWrap/>
            <w:vAlign w:val="center"/>
          </w:tcPr>
          <w:p w14:paraId="3900E25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(0.0781)</w:t>
            </w:r>
          </w:p>
        </w:tc>
        <w:tc>
          <w:tcPr>
            <w:tcW w:w="845" w:type="pct"/>
            <w:tcBorders>
              <w:top w:val="nil"/>
              <w:left w:val="nil"/>
              <w:bottom w:val="nil"/>
              <w:right w:val="nil"/>
            </w:tcBorders>
            <w:noWrap/>
            <w:vAlign w:val="center"/>
          </w:tcPr>
          <w:p w14:paraId="71F790A5">
            <w:pPr>
              <w:jc w:val="center"/>
              <w:rPr>
                <w:rFonts w:ascii="Arial" w:hAnsi="Arial" w:eastAsia="宋体" w:cs="Arial"/>
                <w:color w:val="000000"/>
                <w:sz w:val="20"/>
                <w:szCs w:val="20"/>
              </w:rPr>
            </w:pPr>
          </w:p>
        </w:tc>
        <w:tc>
          <w:tcPr>
            <w:tcW w:w="642" w:type="pct"/>
            <w:tcBorders>
              <w:top w:val="nil"/>
              <w:left w:val="nil"/>
              <w:bottom w:val="nil"/>
              <w:right w:val="nil"/>
            </w:tcBorders>
            <w:noWrap/>
            <w:vAlign w:val="center"/>
          </w:tcPr>
          <w:p w14:paraId="41750BDE">
            <w:pPr>
              <w:jc w:val="center"/>
              <w:rPr>
                <w:rFonts w:ascii="Arial" w:hAnsi="Arial" w:eastAsia="宋体" w:cs="Arial"/>
                <w:color w:val="000000"/>
                <w:sz w:val="20"/>
                <w:szCs w:val="20"/>
              </w:rPr>
            </w:pPr>
          </w:p>
        </w:tc>
        <w:tc>
          <w:tcPr>
            <w:tcW w:w="575" w:type="pct"/>
            <w:tcBorders>
              <w:top w:val="nil"/>
              <w:left w:val="nil"/>
              <w:bottom w:val="nil"/>
              <w:right w:val="nil"/>
            </w:tcBorders>
            <w:noWrap/>
            <w:vAlign w:val="center"/>
          </w:tcPr>
          <w:p w14:paraId="42551C4A">
            <w:pPr>
              <w:jc w:val="center"/>
              <w:rPr>
                <w:rFonts w:ascii="Arial" w:hAnsi="Arial" w:eastAsia="宋体" w:cs="Arial"/>
                <w:color w:val="000000"/>
                <w:sz w:val="20"/>
                <w:szCs w:val="20"/>
              </w:rPr>
            </w:pPr>
          </w:p>
        </w:tc>
      </w:tr>
      <w:tr w14:paraId="14922B1B">
        <w:tblPrEx>
          <w:tblCellMar>
            <w:top w:w="0" w:type="dxa"/>
            <w:left w:w="108" w:type="dxa"/>
            <w:bottom w:w="0" w:type="dxa"/>
            <w:right w:w="108" w:type="dxa"/>
          </w:tblCellMar>
        </w:tblPrEx>
        <w:trPr>
          <w:trHeight w:val="270" w:hRule="atLeast"/>
        </w:trPr>
        <w:tc>
          <w:tcPr>
            <w:tcW w:w="670" w:type="pct"/>
            <w:vMerge w:val="restart"/>
            <w:tcBorders>
              <w:top w:val="nil"/>
              <w:left w:val="nil"/>
              <w:bottom w:val="nil"/>
              <w:right w:val="nil"/>
            </w:tcBorders>
            <w:noWrap/>
            <w:vAlign w:val="center"/>
          </w:tcPr>
          <w:p w14:paraId="4E4A5EC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Constant</w:t>
            </w:r>
          </w:p>
        </w:tc>
        <w:tc>
          <w:tcPr>
            <w:tcW w:w="681" w:type="pct"/>
            <w:tcBorders>
              <w:top w:val="nil"/>
              <w:left w:val="nil"/>
              <w:bottom w:val="nil"/>
              <w:right w:val="nil"/>
            </w:tcBorders>
            <w:noWrap/>
            <w:vAlign w:val="center"/>
          </w:tcPr>
          <w:p w14:paraId="162273C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-5.586***</w:t>
            </w:r>
          </w:p>
        </w:tc>
        <w:tc>
          <w:tcPr>
            <w:tcW w:w="759" w:type="pct"/>
            <w:tcBorders>
              <w:top w:val="nil"/>
              <w:left w:val="nil"/>
              <w:bottom w:val="nil"/>
              <w:right w:val="nil"/>
            </w:tcBorders>
            <w:noWrap/>
            <w:vAlign w:val="center"/>
          </w:tcPr>
          <w:p w14:paraId="42C136D8">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-5.522***</w:t>
            </w:r>
          </w:p>
        </w:tc>
        <w:tc>
          <w:tcPr>
            <w:tcW w:w="825" w:type="pct"/>
            <w:tcBorders>
              <w:top w:val="nil"/>
              <w:left w:val="nil"/>
              <w:bottom w:val="nil"/>
              <w:right w:val="nil"/>
            </w:tcBorders>
            <w:noWrap/>
            <w:vAlign w:val="center"/>
          </w:tcPr>
          <w:p w14:paraId="0961DF3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-5.557***</w:t>
            </w:r>
          </w:p>
        </w:tc>
        <w:tc>
          <w:tcPr>
            <w:tcW w:w="845" w:type="pct"/>
            <w:tcBorders>
              <w:top w:val="nil"/>
              <w:left w:val="nil"/>
              <w:bottom w:val="nil"/>
              <w:right w:val="nil"/>
            </w:tcBorders>
            <w:noWrap/>
            <w:vAlign w:val="center"/>
          </w:tcPr>
          <w:p w14:paraId="0ABD76F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-3.442***</w:t>
            </w:r>
          </w:p>
        </w:tc>
        <w:tc>
          <w:tcPr>
            <w:tcW w:w="642" w:type="pct"/>
            <w:tcBorders>
              <w:top w:val="nil"/>
              <w:left w:val="nil"/>
              <w:bottom w:val="nil"/>
              <w:right w:val="nil"/>
            </w:tcBorders>
            <w:noWrap/>
            <w:vAlign w:val="center"/>
          </w:tcPr>
          <w:p w14:paraId="218A5CE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-7.475**</w:t>
            </w:r>
          </w:p>
        </w:tc>
        <w:tc>
          <w:tcPr>
            <w:tcW w:w="575" w:type="pct"/>
            <w:tcBorders>
              <w:top w:val="nil"/>
              <w:left w:val="nil"/>
              <w:bottom w:val="nil"/>
              <w:right w:val="nil"/>
            </w:tcBorders>
            <w:noWrap/>
            <w:vAlign w:val="center"/>
          </w:tcPr>
          <w:p w14:paraId="541A6B4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-5.643***</w:t>
            </w:r>
          </w:p>
        </w:tc>
      </w:tr>
      <w:tr w14:paraId="05255A61">
        <w:tblPrEx>
          <w:tblCellMar>
            <w:top w:w="0" w:type="dxa"/>
            <w:left w:w="108" w:type="dxa"/>
            <w:bottom w:w="0" w:type="dxa"/>
            <w:right w:w="108" w:type="dxa"/>
          </w:tblCellMar>
        </w:tblPrEx>
        <w:trPr>
          <w:trHeight w:val="270" w:hRule="atLeast"/>
        </w:trPr>
        <w:tc>
          <w:tcPr>
            <w:tcW w:w="670" w:type="pct"/>
            <w:vMerge w:val="continue"/>
            <w:tcBorders>
              <w:top w:val="nil"/>
              <w:left w:val="nil"/>
              <w:bottom w:val="nil"/>
              <w:right w:val="nil"/>
            </w:tcBorders>
            <w:noWrap/>
            <w:vAlign w:val="center"/>
          </w:tcPr>
          <w:p w14:paraId="468C7A02">
            <w:pPr>
              <w:jc w:val="center"/>
              <w:rPr>
                <w:rFonts w:ascii="Arial" w:hAnsi="Arial" w:eastAsia="宋体" w:cs="Arial"/>
                <w:color w:val="000000"/>
                <w:sz w:val="20"/>
                <w:szCs w:val="20"/>
              </w:rPr>
            </w:pPr>
          </w:p>
        </w:tc>
        <w:tc>
          <w:tcPr>
            <w:tcW w:w="681" w:type="pct"/>
            <w:tcBorders>
              <w:top w:val="nil"/>
              <w:left w:val="nil"/>
              <w:bottom w:val="nil"/>
              <w:right w:val="nil"/>
            </w:tcBorders>
            <w:noWrap/>
            <w:vAlign w:val="center"/>
          </w:tcPr>
          <w:p w14:paraId="16317858">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(1.053)</w:t>
            </w:r>
          </w:p>
        </w:tc>
        <w:tc>
          <w:tcPr>
            <w:tcW w:w="759" w:type="pct"/>
            <w:tcBorders>
              <w:top w:val="nil"/>
              <w:left w:val="nil"/>
              <w:bottom w:val="nil"/>
              <w:right w:val="nil"/>
            </w:tcBorders>
            <w:noWrap/>
            <w:vAlign w:val="center"/>
          </w:tcPr>
          <w:p w14:paraId="02E284B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(1.054)</w:t>
            </w:r>
          </w:p>
        </w:tc>
        <w:tc>
          <w:tcPr>
            <w:tcW w:w="825" w:type="pct"/>
            <w:tcBorders>
              <w:top w:val="nil"/>
              <w:left w:val="nil"/>
              <w:bottom w:val="nil"/>
              <w:right w:val="nil"/>
            </w:tcBorders>
            <w:noWrap/>
            <w:vAlign w:val="center"/>
          </w:tcPr>
          <w:p w14:paraId="470B060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(1.054)</w:t>
            </w:r>
          </w:p>
        </w:tc>
        <w:tc>
          <w:tcPr>
            <w:tcW w:w="845" w:type="pct"/>
            <w:tcBorders>
              <w:top w:val="nil"/>
              <w:left w:val="nil"/>
              <w:bottom w:val="nil"/>
              <w:right w:val="nil"/>
            </w:tcBorders>
            <w:noWrap/>
            <w:vAlign w:val="center"/>
          </w:tcPr>
          <w:p w14:paraId="0CF3EDD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(0.929)</w:t>
            </w:r>
          </w:p>
        </w:tc>
        <w:tc>
          <w:tcPr>
            <w:tcW w:w="642" w:type="pct"/>
            <w:tcBorders>
              <w:top w:val="nil"/>
              <w:left w:val="nil"/>
              <w:bottom w:val="nil"/>
              <w:right w:val="nil"/>
            </w:tcBorders>
            <w:noWrap/>
            <w:vAlign w:val="center"/>
          </w:tcPr>
          <w:p w14:paraId="04F7A4F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(-2.197)</w:t>
            </w:r>
          </w:p>
        </w:tc>
        <w:tc>
          <w:tcPr>
            <w:tcW w:w="575" w:type="pct"/>
            <w:tcBorders>
              <w:top w:val="nil"/>
              <w:left w:val="nil"/>
              <w:bottom w:val="nil"/>
              <w:right w:val="nil"/>
            </w:tcBorders>
            <w:noWrap/>
            <w:vAlign w:val="center"/>
          </w:tcPr>
          <w:p w14:paraId="2B80BED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(-2.962)</w:t>
            </w:r>
          </w:p>
        </w:tc>
      </w:tr>
      <w:tr w14:paraId="2A3EF71D">
        <w:tblPrEx>
          <w:tblCellMar>
            <w:top w:w="0" w:type="dxa"/>
            <w:left w:w="108" w:type="dxa"/>
            <w:bottom w:w="0" w:type="dxa"/>
            <w:right w:w="108" w:type="dxa"/>
          </w:tblCellMar>
        </w:tblPrEx>
        <w:trPr>
          <w:trHeight w:val="270" w:hRule="atLeast"/>
        </w:trPr>
        <w:tc>
          <w:tcPr>
            <w:tcW w:w="670" w:type="pct"/>
            <w:tcBorders>
              <w:top w:val="nil"/>
              <w:left w:val="nil"/>
              <w:bottom w:val="nil"/>
              <w:right w:val="nil"/>
            </w:tcBorders>
            <w:noWrap/>
            <w:vAlign w:val="center"/>
          </w:tcPr>
          <w:p w14:paraId="0508F7C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Controls</w:t>
            </w:r>
          </w:p>
        </w:tc>
        <w:tc>
          <w:tcPr>
            <w:tcW w:w="681" w:type="pct"/>
            <w:tcBorders>
              <w:top w:val="nil"/>
              <w:left w:val="nil"/>
              <w:bottom w:val="nil"/>
              <w:right w:val="nil"/>
            </w:tcBorders>
            <w:noWrap/>
            <w:vAlign w:val="center"/>
          </w:tcPr>
          <w:p w14:paraId="4416848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759" w:type="pct"/>
            <w:tcBorders>
              <w:top w:val="nil"/>
              <w:left w:val="nil"/>
              <w:bottom w:val="nil"/>
              <w:right w:val="nil"/>
            </w:tcBorders>
            <w:noWrap/>
            <w:vAlign w:val="center"/>
          </w:tcPr>
          <w:p w14:paraId="2EE6225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825" w:type="pct"/>
            <w:tcBorders>
              <w:top w:val="nil"/>
              <w:left w:val="nil"/>
              <w:bottom w:val="nil"/>
              <w:right w:val="nil"/>
            </w:tcBorders>
            <w:noWrap/>
            <w:vAlign w:val="center"/>
          </w:tcPr>
          <w:p w14:paraId="4DBFC5B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845" w:type="pct"/>
            <w:tcBorders>
              <w:top w:val="nil"/>
              <w:left w:val="nil"/>
              <w:bottom w:val="nil"/>
              <w:right w:val="nil"/>
            </w:tcBorders>
            <w:noWrap/>
            <w:vAlign w:val="center"/>
          </w:tcPr>
          <w:p w14:paraId="51109EB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642" w:type="pct"/>
            <w:tcBorders>
              <w:top w:val="nil"/>
              <w:left w:val="nil"/>
              <w:bottom w:val="nil"/>
              <w:right w:val="nil"/>
            </w:tcBorders>
            <w:noWrap/>
            <w:vAlign w:val="center"/>
          </w:tcPr>
          <w:p w14:paraId="05A6F81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575" w:type="pct"/>
            <w:tcBorders>
              <w:top w:val="nil"/>
              <w:left w:val="nil"/>
              <w:bottom w:val="nil"/>
              <w:right w:val="nil"/>
            </w:tcBorders>
            <w:noWrap/>
            <w:vAlign w:val="center"/>
          </w:tcPr>
          <w:p w14:paraId="7188DAC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r>
      <w:tr w14:paraId="3FFD2A29">
        <w:tblPrEx>
          <w:tblCellMar>
            <w:top w:w="0" w:type="dxa"/>
            <w:left w:w="108" w:type="dxa"/>
            <w:bottom w:w="0" w:type="dxa"/>
            <w:right w:w="108" w:type="dxa"/>
          </w:tblCellMar>
        </w:tblPrEx>
        <w:trPr>
          <w:trHeight w:val="270" w:hRule="atLeast"/>
        </w:trPr>
        <w:tc>
          <w:tcPr>
            <w:tcW w:w="670" w:type="pct"/>
            <w:tcBorders>
              <w:top w:val="nil"/>
              <w:left w:val="nil"/>
              <w:bottom w:val="nil"/>
              <w:right w:val="nil"/>
            </w:tcBorders>
            <w:noWrap/>
            <w:vAlign w:val="center"/>
          </w:tcPr>
          <w:p w14:paraId="4C9AEB2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Firm FE</w:t>
            </w:r>
          </w:p>
        </w:tc>
        <w:tc>
          <w:tcPr>
            <w:tcW w:w="681" w:type="pct"/>
            <w:tcBorders>
              <w:top w:val="nil"/>
              <w:left w:val="nil"/>
              <w:bottom w:val="nil"/>
              <w:right w:val="nil"/>
            </w:tcBorders>
            <w:noWrap/>
            <w:vAlign w:val="center"/>
          </w:tcPr>
          <w:p w14:paraId="6E3B116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759" w:type="pct"/>
            <w:tcBorders>
              <w:top w:val="nil"/>
              <w:left w:val="nil"/>
              <w:bottom w:val="nil"/>
              <w:right w:val="nil"/>
            </w:tcBorders>
            <w:noWrap/>
            <w:vAlign w:val="center"/>
          </w:tcPr>
          <w:p w14:paraId="6B18648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825" w:type="pct"/>
            <w:tcBorders>
              <w:top w:val="nil"/>
              <w:left w:val="nil"/>
              <w:bottom w:val="nil"/>
              <w:right w:val="nil"/>
            </w:tcBorders>
            <w:noWrap/>
            <w:vAlign w:val="center"/>
          </w:tcPr>
          <w:p w14:paraId="21D57878">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845" w:type="pct"/>
            <w:tcBorders>
              <w:top w:val="nil"/>
              <w:left w:val="nil"/>
              <w:bottom w:val="nil"/>
              <w:right w:val="nil"/>
            </w:tcBorders>
            <w:noWrap/>
            <w:vAlign w:val="center"/>
          </w:tcPr>
          <w:p w14:paraId="157B5CF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642" w:type="pct"/>
            <w:tcBorders>
              <w:top w:val="nil"/>
              <w:left w:val="nil"/>
              <w:bottom w:val="nil"/>
              <w:right w:val="nil"/>
            </w:tcBorders>
            <w:noWrap/>
            <w:vAlign w:val="center"/>
          </w:tcPr>
          <w:p w14:paraId="38A9A97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575" w:type="pct"/>
            <w:tcBorders>
              <w:top w:val="nil"/>
              <w:left w:val="nil"/>
              <w:bottom w:val="nil"/>
              <w:right w:val="nil"/>
            </w:tcBorders>
            <w:noWrap/>
            <w:vAlign w:val="center"/>
          </w:tcPr>
          <w:p w14:paraId="5FD66C1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r>
      <w:tr w14:paraId="202B9569">
        <w:tblPrEx>
          <w:tblCellMar>
            <w:top w:w="0" w:type="dxa"/>
            <w:left w:w="108" w:type="dxa"/>
            <w:bottom w:w="0" w:type="dxa"/>
            <w:right w:w="108" w:type="dxa"/>
          </w:tblCellMar>
        </w:tblPrEx>
        <w:trPr>
          <w:trHeight w:val="270" w:hRule="atLeast"/>
        </w:trPr>
        <w:tc>
          <w:tcPr>
            <w:tcW w:w="670" w:type="pct"/>
            <w:tcBorders>
              <w:top w:val="nil"/>
              <w:left w:val="nil"/>
              <w:bottom w:val="nil"/>
              <w:right w:val="nil"/>
            </w:tcBorders>
            <w:noWrap/>
            <w:vAlign w:val="center"/>
          </w:tcPr>
          <w:p w14:paraId="6E473A2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Year FE</w:t>
            </w:r>
          </w:p>
        </w:tc>
        <w:tc>
          <w:tcPr>
            <w:tcW w:w="681" w:type="pct"/>
            <w:tcBorders>
              <w:top w:val="nil"/>
              <w:left w:val="nil"/>
              <w:bottom w:val="nil"/>
              <w:right w:val="nil"/>
            </w:tcBorders>
            <w:noWrap/>
            <w:vAlign w:val="center"/>
          </w:tcPr>
          <w:p w14:paraId="3D8E495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759" w:type="pct"/>
            <w:tcBorders>
              <w:top w:val="nil"/>
              <w:left w:val="nil"/>
              <w:bottom w:val="nil"/>
              <w:right w:val="nil"/>
            </w:tcBorders>
            <w:noWrap/>
            <w:vAlign w:val="center"/>
          </w:tcPr>
          <w:p w14:paraId="16A0C64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825" w:type="pct"/>
            <w:tcBorders>
              <w:top w:val="nil"/>
              <w:left w:val="nil"/>
              <w:bottom w:val="nil"/>
              <w:right w:val="nil"/>
            </w:tcBorders>
            <w:noWrap/>
            <w:vAlign w:val="center"/>
          </w:tcPr>
          <w:p w14:paraId="30E28D2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845" w:type="pct"/>
            <w:tcBorders>
              <w:top w:val="nil"/>
              <w:left w:val="nil"/>
              <w:bottom w:val="nil"/>
              <w:right w:val="nil"/>
            </w:tcBorders>
            <w:noWrap/>
            <w:vAlign w:val="center"/>
          </w:tcPr>
          <w:p w14:paraId="7E4E977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642" w:type="pct"/>
            <w:tcBorders>
              <w:top w:val="nil"/>
              <w:left w:val="nil"/>
              <w:bottom w:val="nil"/>
              <w:right w:val="nil"/>
            </w:tcBorders>
            <w:noWrap/>
            <w:vAlign w:val="center"/>
          </w:tcPr>
          <w:p w14:paraId="281693B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575" w:type="pct"/>
            <w:tcBorders>
              <w:top w:val="nil"/>
              <w:left w:val="nil"/>
              <w:bottom w:val="nil"/>
              <w:right w:val="nil"/>
            </w:tcBorders>
            <w:noWrap/>
            <w:vAlign w:val="center"/>
          </w:tcPr>
          <w:p w14:paraId="052CBBC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r>
      <w:tr w14:paraId="6E4388FD">
        <w:tblPrEx>
          <w:tblCellMar>
            <w:top w:w="0" w:type="dxa"/>
            <w:left w:w="108" w:type="dxa"/>
            <w:bottom w:w="0" w:type="dxa"/>
            <w:right w:w="108" w:type="dxa"/>
          </w:tblCellMar>
        </w:tblPrEx>
        <w:trPr>
          <w:trHeight w:val="270" w:hRule="atLeast"/>
        </w:trPr>
        <w:tc>
          <w:tcPr>
            <w:tcW w:w="670" w:type="pct"/>
            <w:tcBorders>
              <w:top w:val="nil"/>
              <w:left w:val="nil"/>
              <w:bottom w:val="nil"/>
              <w:right w:val="nil"/>
            </w:tcBorders>
            <w:noWrap/>
            <w:vAlign w:val="center"/>
          </w:tcPr>
          <w:p w14:paraId="430F9CC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Observations</w:t>
            </w:r>
          </w:p>
        </w:tc>
        <w:tc>
          <w:tcPr>
            <w:tcW w:w="681" w:type="pct"/>
            <w:tcBorders>
              <w:top w:val="nil"/>
              <w:left w:val="nil"/>
              <w:bottom w:val="nil"/>
              <w:right w:val="nil"/>
            </w:tcBorders>
            <w:noWrap/>
            <w:vAlign w:val="center"/>
          </w:tcPr>
          <w:p w14:paraId="48FDA07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18,934</w:t>
            </w:r>
          </w:p>
        </w:tc>
        <w:tc>
          <w:tcPr>
            <w:tcW w:w="759" w:type="pct"/>
            <w:tcBorders>
              <w:top w:val="nil"/>
              <w:left w:val="nil"/>
              <w:bottom w:val="nil"/>
              <w:right w:val="nil"/>
            </w:tcBorders>
            <w:noWrap/>
            <w:vAlign w:val="center"/>
          </w:tcPr>
          <w:p w14:paraId="45027F0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18,934</w:t>
            </w:r>
          </w:p>
        </w:tc>
        <w:tc>
          <w:tcPr>
            <w:tcW w:w="825" w:type="pct"/>
            <w:tcBorders>
              <w:top w:val="nil"/>
              <w:left w:val="nil"/>
              <w:bottom w:val="nil"/>
              <w:right w:val="nil"/>
            </w:tcBorders>
            <w:noWrap/>
            <w:vAlign w:val="center"/>
          </w:tcPr>
          <w:p w14:paraId="0BCF078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18,934</w:t>
            </w:r>
          </w:p>
        </w:tc>
        <w:tc>
          <w:tcPr>
            <w:tcW w:w="845" w:type="pct"/>
            <w:tcBorders>
              <w:top w:val="nil"/>
              <w:left w:val="nil"/>
              <w:bottom w:val="nil"/>
              <w:right w:val="nil"/>
            </w:tcBorders>
            <w:noWrap/>
            <w:vAlign w:val="center"/>
          </w:tcPr>
          <w:p w14:paraId="2061A34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14,366</w:t>
            </w:r>
          </w:p>
        </w:tc>
        <w:tc>
          <w:tcPr>
            <w:tcW w:w="642" w:type="pct"/>
            <w:tcBorders>
              <w:top w:val="nil"/>
              <w:left w:val="nil"/>
              <w:bottom w:val="nil"/>
              <w:right w:val="nil"/>
            </w:tcBorders>
            <w:noWrap/>
            <w:vAlign w:val="center"/>
          </w:tcPr>
          <w:p w14:paraId="5CC1F30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6,856</w:t>
            </w:r>
          </w:p>
        </w:tc>
        <w:tc>
          <w:tcPr>
            <w:tcW w:w="575" w:type="pct"/>
            <w:tcBorders>
              <w:top w:val="nil"/>
              <w:left w:val="nil"/>
              <w:bottom w:val="nil"/>
              <w:right w:val="nil"/>
            </w:tcBorders>
            <w:noWrap/>
            <w:vAlign w:val="center"/>
          </w:tcPr>
          <w:p w14:paraId="1795F0C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19,349</w:t>
            </w:r>
          </w:p>
        </w:tc>
      </w:tr>
      <w:tr w14:paraId="4F783FCC">
        <w:tblPrEx>
          <w:tblCellMar>
            <w:top w:w="0" w:type="dxa"/>
            <w:left w:w="108" w:type="dxa"/>
            <w:bottom w:w="0" w:type="dxa"/>
            <w:right w:w="108" w:type="dxa"/>
          </w:tblCellMar>
        </w:tblPrEx>
        <w:trPr>
          <w:trHeight w:val="270" w:hRule="atLeast"/>
        </w:trPr>
        <w:tc>
          <w:tcPr>
            <w:tcW w:w="670" w:type="pct"/>
            <w:tcBorders>
              <w:top w:val="nil"/>
              <w:left w:val="nil"/>
              <w:bottom w:val="single" w:color="auto" w:sz="12" w:space="0"/>
              <w:right w:val="nil"/>
            </w:tcBorders>
            <w:noWrap/>
            <w:vAlign w:val="center"/>
          </w:tcPr>
          <w:p w14:paraId="2FEB4BA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R</w:t>
            </w:r>
            <w:r>
              <w:rPr>
                <w:rFonts w:ascii="Arial" w:hAnsi="Arial" w:eastAsia="宋体" w:cs="Arial"/>
                <w:color w:val="000000"/>
                <w:sz w:val="20"/>
                <w:szCs w:val="20"/>
                <w:vertAlign w:val="superscript"/>
                <w:lang w:val="en-US" w:eastAsia="zh-CN" w:bidi="ar"/>
              </w:rPr>
              <w:t>2</w:t>
            </w:r>
          </w:p>
        </w:tc>
        <w:tc>
          <w:tcPr>
            <w:tcW w:w="681" w:type="pct"/>
            <w:tcBorders>
              <w:top w:val="nil"/>
              <w:left w:val="nil"/>
              <w:bottom w:val="single" w:color="auto" w:sz="12" w:space="0"/>
              <w:right w:val="nil"/>
            </w:tcBorders>
            <w:noWrap/>
            <w:vAlign w:val="center"/>
          </w:tcPr>
          <w:p w14:paraId="70C2BF6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0.661</w:t>
            </w:r>
          </w:p>
        </w:tc>
        <w:tc>
          <w:tcPr>
            <w:tcW w:w="759" w:type="pct"/>
            <w:tcBorders>
              <w:top w:val="nil"/>
              <w:left w:val="nil"/>
              <w:bottom w:val="single" w:color="auto" w:sz="12" w:space="0"/>
              <w:right w:val="nil"/>
            </w:tcBorders>
            <w:noWrap/>
            <w:vAlign w:val="center"/>
          </w:tcPr>
          <w:p w14:paraId="7A35BBE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0.661</w:t>
            </w:r>
          </w:p>
        </w:tc>
        <w:tc>
          <w:tcPr>
            <w:tcW w:w="825" w:type="pct"/>
            <w:tcBorders>
              <w:top w:val="nil"/>
              <w:left w:val="nil"/>
              <w:bottom w:val="single" w:color="auto" w:sz="12" w:space="0"/>
              <w:right w:val="nil"/>
            </w:tcBorders>
            <w:noWrap/>
            <w:vAlign w:val="center"/>
          </w:tcPr>
          <w:p w14:paraId="7A76F69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0.661</w:t>
            </w:r>
          </w:p>
        </w:tc>
        <w:tc>
          <w:tcPr>
            <w:tcW w:w="845" w:type="pct"/>
            <w:tcBorders>
              <w:top w:val="nil"/>
              <w:left w:val="nil"/>
              <w:bottom w:val="single" w:color="auto" w:sz="12" w:space="0"/>
              <w:right w:val="nil"/>
            </w:tcBorders>
            <w:noWrap/>
            <w:vAlign w:val="center"/>
          </w:tcPr>
          <w:p w14:paraId="40DFF9E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0.684</w:t>
            </w:r>
          </w:p>
        </w:tc>
        <w:tc>
          <w:tcPr>
            <w:tcW w:w="642" w:type="pct"/>
            <w:tcBorders>
              <w:top w:val="nil"/>
              <w:left w:val="nil"/>
              <w:bottom w:val="single" w:color="auto" w:sz="12" w:space="0"/>
              <w:right w:val="nil"/>
            </w:tcBorders>
            <w:noWrap/>
            <w:vAlign w:val="center"/>
          </w:tcPr>
          <w:p w14:paraId="6B83833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0.719</w:t>
            </w:r>
          </w:p>
        </w:tc>
        <w:tc>
          <w:tcPr>
            <w:tcW w:w="575" w:type="pct"/>
            <w:tcBorders>
              <w:top w:val="nil"/>
              <w:left w:val="nil"/>
              <w:bottom w:val="single" w:color="auto" w:sz="12" w:space="0"/>
              <w:right w:val="nil"/>
            </w:tcBorders>
            <w:noWrap/>
            <w:vAlign w:val="center"/>
          </w:tcPr>
          <w:p w14:paraId="2F4D9C7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0.667</w:t>
            </w:r>
          </w:p>
        </w:tc>
      </w:tr>
    </w:tbl>
    <w:p w14:paraId="53344249">
      <w:pPr>
        <w:pStyle w:val="44"/>
        <w:widowControl/>
        <w:spacing w:after="0"/>
        <w:rPr>
          <w:rFonts w:ascii="Arial" w:hAnsi="Arial" w:eastAsia="Times New Roman" w:cs="Arial"/>
          <w:szCs w:val="20"/>
          <w:lang w:val="en-US" w:eastAsia="zh-CN"/>
        </w:rPr>
      </w:pPr>
    </w:p>
    <w:p w14:paraId="16DFC7CF">
      <w:pPr>
        <w:pStyle w:val="44"/>
        <w:widowControl/>
        <w:spacing w:after="0"/>
        <w:rPr>
          <w:rFonts w:ascii="Arial" w:hAnsi="Arial" w:eastAsia="Times New Roman" w:cs="Arial"/>
          <w:szCs w:val="20"/>
          <w:lang w:val="en-US" w:eastAsia="zh-CN"/>
        </w:rPr>
      </w:pPr>
      <w:r>
        <w:rPr>
          <w:rFonts w:hint="eastAsia" w:ascii="Arial" w:hAnsi="Arial" w:eastAsia="Times New Roman" w:cs="Arial"/>
          <w:szCs w:val="20"/>
          <w:lang w:val="en-US" w:eastAsia="zh-CN"/>
        </w:rPr>
        <w:t>5</w:t>
      </w:r>
      <w:r>
        <w:rPr>
          <w:rFonts w:ascii="Arial" w:hAnsi="Arial" w:eastAsia="Times New Roman" w:cs="Arial"/>
          <w:szCs w:val="20"/>
          <w:lang w:val="en-US" w:eastAsia="zh-CN"/>
        </w:rPr>
        <w:t>.5</w:t>
      </w:r>
      <w:r>
        <w:rPr>
          <w:rFonts w:hint="eastAsia" w:ascii="Arial" w:hAnsi="Arial" w:eastAsia="Times New Roman" w:cs="Arial"/>
          <w:szCs w:val="20"/>
          <w:lang w:val="en-US" w:eastAsia="zh-CN"/>
        </w:rPr>
        <w:t xml:space="preserve"> Heterogeneity Analysis</w:t>
      </w:r>
    </w:p>
    <w:p w14:paraId="22010926">
      <w:pPr>
        <w:pStyle w:val="44"/>
        <w:widowControl/>
        <w:spacing w:after="0"/>
        <w:rPr>
          <w:rFonts w:ascii="Arial" w:hAnsi="Arial" w:eastAsia="Times New Roman" w:cs="Arial"/>
          <w:szCs w:val="20"/>
          <w:lang w:val="en-US" w:eastAsia="zh-CN"/>
        </w:rPr>
      </w:pPr>
    </w:p>
    <w:p w14:paraId="1CC8AC15">
      <w:pPr>
        <w:pStyle w:val="4"/>
        <w:numPr>
          <w:ilvl w:val="2"/>
          <w:numId w:val="0"/>
        </w:numPr>
        <w:spacing w:before="0" w:after="0" w:line="240" w:lineRule="auto"/>
        <w:rPr>
          <w:rFonts w:eastAsia="宋体"/>
          <w:bCs w:val="0"/>
          <w:sz w:val="20"/>
          <w:szCs w:val="20"/>
          <w:u w:val="single"/>
          <w:lang w:val="en-US" w:eastAsia="zh-CN"/>
        </w:rPr>
      </w:pPr>
      <w:r>
        <w:rPr>
          <w:rFonts w:hint="eastAsia" w:eastAsia="宋体"/>
          <w:bCs w:val="0"/>
          <w:sz w:val="20"/>
          <w:szCs w:val="20"/>
          <w:u w:val="single"/>
          <w:lang w:val="en-US" w:eastAsia="zh-CN"/>
        </w:rPr>
        <w:t>5</w:t>
      </w:r>
      <w:r>
        <w:rPr>
          <w:rFonts w:eastAsia="宋体"/>
          <w:bCs w:val="0"/>
          <w:sz w:val="20"/>
          <w:szCs w:val="20"/>
          <w:u w:val="single"/>
          <w:lang w:val="en-US" w:eastAsia="zh-CN"/>
        </w:rPr>
        <w:t>.5.1</w:t>
      </w:r>
      <w:r>
        <w:rPr>
          <w:rFonts w:hint="eastAsia" w:eastAsia="宋体"/>
          <w:bCs w:val="0"/>
          <w:sz w:val="20"/>
          <w:szCs w:val="20"/>
          <w:u w:val="single"/>
          <w:lang w:val="en-US" w:eastAsia="zh-CN"/>
        </w:rPr>
        <w:t xml:space="preserve"> </w:t>
      </w:r>
      <w:r>
        <w:rPr>
          <w:rFonts w:eastAsia="宋体"/>
          <w:bCs w:val="0"/>
          <w:sz w:val="20"/>
          <w:szCs w:val="20"/>
          <w:u w:val="single"/>
          <w:lang w:val="en-US" w:eastAsia="zh-CN"/>
        </w:rPr>
        <w:t>City Scale Heterogeneity</w:t>
      </w:r>
    </w:p>
    <w:p w14:paraId="597E5AB9">
      <w:pPr>
        <w:rPr>
          <w:lang w:val="en-US" w:eastAsia="zh-CN"/>
        </w:rPr>
      </w:pPr>
    </w:p>
    <w:p w14:paraId="5F6B54C8">
      <w:pPr>
        <w:pStyle w:val="31"/>
        <w:spacing w:before="0" w:after="0" w:line="240" w:lineRule="auto"/>
        <w:ind w:firstLine="0" w:firstLineChars="0"/>
        <w:rPr>
          <w:rFonts w:ascii="Arial" w:hAnsi="Arial"/>
          <w:sz w:val="20"/>
          <w:szCs w:val="20"/>
        </w:rPr>
      </w:pPr>
      <w:r>
        <w:rPr>
          <w:rFonts w:hint="eastAsia" w:ascii="Arial" w:hAnsi="Arial"/>
          <w:sz w:val="20"/>
          <w:szCs w:val="20"/>
        </w:rPr>
        <w:t>The impact of the low-carbon city pilot policy on corporate OFDI performance may vary depending on the size of the city where the firm is located. According to the Notice on Adjusting the Urban Size Classification Standards issued by the State Council (Guofa [2014] No. 51), Chinese cities are divided into large cities and small-to-medium-sized cities based on a resident population of 1 million in urban districts. Therefore, this study divides the sample firms into those in large cities and those in small-to-medium-sized cities and conducts separate regression analyses. The results are shown in columns (1) and (2) of Table 4. The results show that the promoting effect of the low-carbon city pilot policy on the OFDI amount of firms in large cities is still significant at the 1% level, while the impact on firms in small-to-medium-sized cities is not significant. This may be because firms in large cities typically have stronger economic strength, technological innovation capabilities, and international business experience, enabling them to better leverage the opportunities brought by the pilot policy to increase their OFDI and expand into international markets. Although firms in small-to-medium-sized cities also actively engage in OFDI under the policy's impetus, their promotional effect is weaker compared to large-city firms due to their own resource and capacity constraints. They may even face more difficulties and challenges in responding to the policy and conducting OFDI, hence the smaller promotional effect of the policy on them.</w:t>
      </w:r>
    </w:p>
    <w:p w14:paraId="33A053E0">
      <w:pPr>
        <w:rPr>
          <w:lang w:val="en-US" w:eastAsia="zh-CN"/>
        </w:rPr>
      </w:pPr>
    </w:p>
    <w:p w14:paraId="28BE7C56">
      <w:pPr>
        <w:pStyle w:val="4"/>
        <w:numPr>
          <w:ilvl w:val="2"/>
          <w:numId w:val="0"/>
        </w:numPr>
        <w:spacing w:before="0" w:after="0" w:line="240" w:lineRule="auto"/>
        <w:rPr>
          <w:rFonts w:eastAsia="宋体"/>
          <w:bCs w:val="0"/>
          <w:sz w:val="20"/>
          <w:szCs w:val="20"/>
          <w:u w:val="single"/>
          <w:lang w:val="en-US" w:eastAsia="zh-CN"/>
        </w:rPr>
      </w:pPr>
      <w:r>
        <w:rPr>
          <w:rFonts w:hint="eastAsia" w:eastAsia="宋体"/>
          <w:bCs w:val="0"/>
          <w:sz w:val="20"/>
          <w:szCs w:val="20"/>
          <w:u w:val="single"/>
          <w:lang w:val="en-US" w:eastAsia="zh-CN"/>
        </w:rPr>
        <w:t>5</w:t>
      </w:r>
      <w:r>
        <w:rPr>
          <w:rFonts w:eastAsia="宋体"/>
          <w:bCs w:val="0"/>
          <w:sz w:val="20"/>
          <w:szCs w:val="20"/>
          <w:u w:val="single"/>
          <w:lang w:val="en-US" w:eastAsia="zh-CN"/>
        </w:rPr>
        <w:t>.5.2</w:t>
      </w:r>
      <w:r>
        <w:rPr>
          <w:rFonts w:hint="eastAsia" w:eastAsia="宋体"/>
          <w:bCs w:val="0"/>
          <w:sz w:val="20"/>
          <w:szCs w:val="20"/>
          <w:u w:val="single"/>
          <w:lang w:val="en-US" w:eastAsia="zh-CN"/>
        </w:rPr>
        <w:t xml:space="preserve"> </w:t>
      </w:r>
      <w:r>
        <w:rPr>
          <w:rFonts w:eastAsia="宋体"/>
          <w:bCs w:val="0"/>
          <w:sz w:val="20"/>
          <w:szCs w:val="20"/>
          <w:u w:val="single"/>
          <w:lang w:val="en-US" w:eastAsia="zh-CN"/>
        </w:rPr>
        <w:t>Firm Location Heterogeneity</w:t>
      </w:r>
    </w:p>
    <w:p w14:paraId="2EB4BF6B">
      <w:pPr>
        <w:rPr>
          <w:lang w:val="en-US" w:eastAsia="zh-CN"/>
        </w:rPr>
      </w:pPr>
    </w:p>
    <w:p w14:paraId="67202CFB">
      <w:pPr>
        <w:pStyle w:val="31"/>
        <w:spacing w:before="0" w:after="0" w:line="240" w:lineRule="auto"/>
        <w:ind w:firstLine="0" w:firstLineChars="0"/>
        <w:rPr>
          <w:rFonts w:ascii="Arial" w:hAnsi="Arial"/>
          <w:sz w:val="20"/>
          <w:szCs w:val="20"/>
        </w:rPr>
      </w:pPr>
      <w:r>
        <w:rPr>
          <w:rFonts w:hint="eastAsia" w:ascii="Arial" w:hAnsi="Arial"/>
          <w:sz w:val="20"/>
          <w:szCs w:val="20"/>
        </w:rPr>
        <w:t>The effect of the low-carbon city pilot policy on corporate OFDI performance may differ based on whether the firm is located in a central development area. This study classifies cities as central and peripheral, where central cities refer to provincial capitals, sub-provincial cities, and the four municipalities directly under the central government. Sample firms are then divided into those located in central cities and those in peripheral cities. The regression results are presented in columns (3) and (4) of Table 4. In central cities, the promoting effect of the low-carbon city pilot policy on corporate OFDI is more prominent and significant at the 1% level, whereas the effect is not significant for non-central cities. Central cities typically have more developed infrastructure, richer human resources, more convenient information channels, and broader market access, which enable firms located there to better respond to the pilot policy by establishing overseas subsidiaries to expand into international markets and enhance their internationalization.</w:t>
      </w:r>
    </w:p>
    <w:p w14:paraId="586A9377">
      <w:pPr>
        <w:rPr>
          <w:lang w:val="en-US" w:eastAsia="zh-CN"/>
        </w:rPr>
      </w:pPr>
    </w:p>
    <w:p w14:paraId="0BA826DB">
      <w:pPr>
        <w:pStyle w:val="4"/>
        <w:numPr>
          <w:ilvl w:val="2"/>
          <w:numId w:val="0"/>
        </w:numPr>
        <w:spacing w:before="0" w:after="0" w:line="240" w:lineRule="auto"/>
        <w:rPr>
          <w:rFonts w:eastAsia="宋体"/>
          <w:bCs w:val="0"/>
          <w:sz w:val="20"/>
          <w:szCs w:val="20"/>
          <w:u w:val="single"/>
          <w:lang w:val="en-US" w:eastAsia="zh-CN"/>
        </w:rPr>
      </w:pPr>
      <w:r>
        <w:rPr>
          <w:rFonts w:hint="eastAsia" w:eastAsia="宋体"/>
          <w:bCs w:val="0"/>
          <w:sz w:val="20"/>
          <w:szCs w:val="20"/>
          <w:u w:val="single"/>
          <w:lang w:val="en-US" w:eastAsia="zh-CN"/>
        </w:rPr>
        <w:t>5</w:t>
      </w:r>
      <w:r>
        <w:rPr>
          <w:rFonts w:eastAsia="宋体"/>
          <w:bCs w:val="0"/>
          <w:sz w:val="20"/>
          <w:szCs w:val="20"/>
          <w:u w:val="single"/>
          <w:lang w:val="en-US" w:eastAsia="zh-CN"/>
        </w:rPr>
        <w:t>.5.3</w:t>
      </w:r>
      <w:r>
        <w:rPr>
          <w:rFonts w:hint="eastAsia" w:eastAsia="宋体"/>
          <w:bCs w:val="0"/>
          <w:sz w:val="20"/>
          <w:szCs w:val="20"/>
          <w:u w:val="single"/>
          <w:lang w:val="en-US" w:eastAsia="zh-CN"/>
        </w:rPr>
        <w:t xml:space="preserve"> </w:t>
      </w:r>
      <w:r>
        <w:rPr>
          <w:rFonts w:eastAsia="宋体"/>
          <w:bCs w:val="0"/>
          <w:sz w:val="20"/>
          <w:szCs w:val="20"/>
          <w:u w:val="single"/>
          <w:lang w:val="en-US" w:eastAsia="zh-CN"/>
        </w:rPr>
        <w:t>Environmental Characteristics Heterogeneity</w:t>
      </w:r>
    </w:p>
    <w:p w14:paraId="4CE7653E">
      <w:pPr>
        <w:rPr>
          <w:lang w:val="en-US" w:eastAsia="zh-CN"/>
        </w:rPr>
      </w:pPr>
    </w:p>
    <w:p w14:paraId="6423D283">
      <w:pPr>
        <w:pStyle w:val="31"/>
        <w:spacing w:before="0" w:after="0" w:line="240" w:lineRule="auto"/>
        <w:ind w:firstLine="0" w:firstLineChars="0"/>
        <w:rPr>
          <w:rFonts w:ascii="Arial" w:hAnsi="Arial"/>
          <w:sz w:val="20"/>
          <w:szCs w:val="20"/>
        </w:rPr>
      </w:pPr>
      <w:r>
        <w:rPr>
          <w:rFonts w:hint="eastAsia" w:ascii="Arial" w:hAnsi="Arial"/>
          <w:sz w:val="20"/>
          <w:szCs w:val="20"/>
        </w:rPr>
        <w:t>The impact of the low-carbon city pilot policy on corporate OFDI may vary depending on the environmental protection status of the region where the firm is located. Based on the National 11th Five-Year Plan for Environmental Protection issued by the State Council in 2007, the cities in the research sample are classified as key environmental protection cities and non-key environmental protection cities. The sample firms are divided into two groups: those in key environmental protection cities and those in non-key ones, and separate regression analyses are conducted. The results are shown in columns (5) and (6) of Table 4. It is evident that in key environmental protection cities, the promoting effect of the low-carbon city pilot policy on corporate OFDI is more significant, with a did coefficient of 0.247, significant at the 1% level. In contrast, in non-key environmental protection cities, the effect is negatively significant at the 10% level. This indicates that in key environmental protection cities, due to the government's high emphasis on environmental quality and strict supervision, firms respond more actively to the low-carbon city pilot policy, and the policy's promotional effect on OFDI is stronger. In these cities, firms face greater environmental pressure, which motivates them to expand markets, acquire resources and technology through OFDI to achieve a low-carbon transition and sustainable development.</w:t>
      </w:r>
    </w:p>
    <w:p w14:paraId="4D4FE75F">
      <w:pPr>
        <w:rPr>
          <w:lang w:val="en-US" w:eastAsia="zh-CN"/>
        </w:rPr>
      </w:pPr>
    </w:p>
    <w:p w14:paraId="0D6C040D">
      <w:pPr>
        <w:widowControl/>
        <w:autoSpaceDE w:val="0"/>
        <w:autoSpaceDN w:val="0"/>
        <w:adjustRightInd w:val="0"/>
        <w:rPr>
          <w:rFonts w:ascii="Arial" w:hAnsi="Arial" w:eastAsia="Times New Roman" w:cs="Arial"/>
          <w:b/>
          <w:bCs/>
          <w:sz w:val="20"/>
          <w:lang w:val="en-US" w:eastAsia="zh-CN"/>
        </w:rPr>
      </w:pPr>
      <w:r>
        <w:rPr>
          <w:rFonts w:ascii="Arial" w:hAnsi="Arial" w:eastAsia="Times New Roman" w:cs="Arial"/>
          <w:b/>
          <w:bCs/>
          <w:sz w:val="20"/>
          <w:lang w:val="en-US" w:eastAsia="zh-CN"/>
        </w:rPr>
        <w:t>Table 4: Heterogeneity Test Results</w:t>
      </w:r>
    </w:p>
    <w:tbl>
      <w:tblPr>
        <w:tblStyle w:val="20"/>
        <w:tblW w:w="5000" w:type="pct"/>
        <w:tblInd w:w="0" w:type="dxa"/>
        <w:tblLayout w:type="fixed"/>
        <w:tblCellMar>
          <w:top w:w="0" w:type="dxa"/>
          <w:left w:w="108" w:type="dxa"/>
          <w:bottom w:w="0" w:type="dxa"/>
          <w:right w:w="108" w:type="dxa"/>
        </w:tblCellMar>
      </w:tblPr>
      <w:tblGrid>
        <w:gridCol w:w="1206"/>
        <w:gridCol w:w="1115"/>
        <w:gridCol w:w="1245"/>
        <w:gridCol w:w="1382"/>
        <w:gridCol w:w="1564"/>
        <w:gridCol w:w="1205"/>
        <w:gridCol w:w="1525"/>
      </w:tblGrid>
      <w:tr w14:paraId="4B75DEBF">
        <w:tblPrEx>
          <w:tblCellMar>
            <w:top w:w="0" w:type="dxa"/>
            <w:left w:w="108" w:type="dxa"/>
            <w:bottom w:w="0" w:type="dxa"/>
            <w:right w:w="108" w:type="dxa"/>
          </w:tblCellMar>
        </w:tblPrEx>
        <w:trPr>
          <w:trHeight w:val="270" w:hRule="atLeast"/>
        </w:trPr>
        <w:tc>
          <w:tcPr>
            <w:tcW w:w="652" w:type="pct"/>
            <w:vMerge w:val="restart"/>
            <w:tcBorders>
              <w:top w:val="single" w:color="000000" w:sz="12" w:space="0"/>
              <w:left w:val="nil"/>
              <w:bottom w:val="nil"/>
              <w:right w:val="nil"/>
            </w:tcBorders>
            <w:noWrap/>
            <w:vAlign w:val="center"/>
          </w:tcPr>
          <w:p w14:paraId="03E426B7">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rPr>
              <w:t>Variable</w:t>
            </w:r>
          </w:p>
        </w:tc>
        <w:tc>
          <w:tcPr>
            <w:tcW w:w="604" w:type="pct"/>
            <w:tcBorders>
              <w:top w:val="single" w:color="000000" w:sz="12" w:space="0"/>
              <w:left w:val="nil"/>
              <w:bottom w:val="single" w:color="000000" w:sz="6" w:space="0"/>
              <w:right w:val="nil"/>
            </w:tcBorders>
            <w:noWrap/>
            <w:vAlign w:val="center"/>
          </w:tcPr>
          <w:p w14:paraId="62ADF29A">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(1)</w:t>
            </w:r>
          </w:p>
        </w:tc>
        <w:tc>
          <w:tcPr>
            <w:tcW w:w="673" w:type="pct"/>
            <w:tcBorders>
              <w:top w:val="single" w:color="000000" w:sz="12" w:space="0"/>
              <w:left w:val="nil"/>
              <w:bottom w:val="single" w:color="000000" w:sz="6" w:space="0"/>
              <w:right w:val="nil"/>
            </w:tcBorders>
            <w:noWrap/>
            <w:vAlign w:val="center"/>
          </w:tcPr>
          <w:p w14:paraId="4640D9A8">
            <w:pPr>
              <w:widowControl/>
              <w:jc w:val="center"/>
              <w:textAlignment w:val="center"/>
              <w:rPr>
                <w:rFonts w:ascii="Arial" w:hAnsi="Arial" w:eastAsia="宋体" w:cs="Arial"/>
                <w:b/>
                <w:bCs/>
                <w:color w:val="000000"/>
                <w:sz w:val="20"/>
                <w:szCs w:val="20"/>
                <w:lang w:val="en-US" w:eastAsia="zh-CN" w:bidi="ar"/>
              </w:rPr>
            </w:pPr>
            <w:r>
              <w:rPr>
                <w:rFonts w:ascii="Arial" w:hAnsi="Arial" w:eastAsia="宋体" w:cs="Arial"/>
                <w:b/>
                <w:bCs/>
                <w:color w:val="000000"/>
                <w:sz w:val="20"/>
                <w:szCs w:val="20"/>
                <w:lang w:val="en-US" w:eastAsia="zh-CN" w:bidi="ar"/>
              </w:rPr>
              <w:t>(2)</w:t>
            </w:r>
          </w:p>
        </w:tc>
        <w:tc>
          <w:tcPr>
            <w:tcW w:w="747" w:type="pct"/>
            <w:tcBorders>
              <w:top w:val="single" w:color="000000" w:sz="12" w:space="0"/>
              <w:left w:val="nil"/>
              <w:bottom w:val="single" w:color="000000" w:sz="6" w:space="0"/>
              <w:right w:val="nil"/>
            </w:tcBorders>
            <w:noWrap/>
            <w:vAlign w:val="center"/>
          </w:tcPr>
          <w:p w14:paraId="40EAE875">
            <w:pPr>
              <w:widowControl/>
              <w:jc w:val="center"/>
              <w:textAlignment w:val="center"/>
              <w:rPr>
                <w:rFonts w:ascii="Arial" w:hAnsi="Arial" w:eastAsia="宋体" w:cs="Arial"/>
                <w:b/>
                <w:bCs/>
                <w:color w:val="000000"/>
                <w:sz w:val="20"/>
                <w:szCs w:val="20"/>
                <w:lang w:val="en-US" w:eastAsia="zh-CN" w:bidi="ar"/>
              </w:rPr>
            </w:pPr>
            <w:r>
              <w:rPr>
                <w:rFonts w:ascii="Arial" w:hAnsi="Arial" w:eastAsia="宋体" w:cs="Arial"/>
                <w:b/>
                <w:bCs/>
                <w:color w:val="000000"/>
                <w:sz w:val="20"/>
                <w:szCs w:val="20"/>
                <w:lang w:val="en-US" w:eastAsia="zh-CN" w:bidi="ar"/>
              </w:rPr>
              <w:t>(3)</w:t>
            </w:r>
          </w:p>
        </w:tc>
        <w:tc>
          <w:tcPr>
            <w:tcW w:w="845" w:type="pct"/>
            <w:tcBorders>
              <w:top w:val="single" w:color="000000" w:sz="12" w:space="0"/>
              <w:left w:val="nil"/>
              <w:bottom w:val="single" w:color="000000" w:sz="6" w:space="0"/>
              <w:right w:val="nil"/>
            </w:tcBorders>
            <w:noWrap/>
            <w:vAlign w:val="center"/>
          </w:tcPr>
          <w:p w14:paraId="0EE4B5F6">
            <w:pPr>
              <w:widowControl/>
              <w:jc w:val="center"/>
              <w:textAlignment w:val="center"/>
              <w:rPr>
                <w:rFonts w:ascii="Arial" w:hAnsi="Arial" w:eastAsia="宋体" w:cs="Arial"/>
                <w:b/>
                <w:bCs/>
                <w:color w:val="000000"/>
                <w:sz w:val="20"/>
                <w:szCs w:val="20"/>
                <w:lang w:val="en-US" w:eastAsia="zh-CN" w:bidi="ar"/>
              </w:rPr>
            </w:pPr>
            <w:r>
              <w:rPr>
                <w:rFonts w:ascii="Arial" w:hAnsi="Arial" w:eastAsia="宋体" w:cs="Arial"/>
                <w:b/>
                <w:bCs/>
                <w:color w:val="000000"/>
                <w:sz w:val="20"/>
                <w:szCs w:val="20"/>
                <w:lang w:val="en-US" w:eastAsia="zh-CN" w:bidi="ar"/>
              </w:rPr>
              <w:t>(4)</w:t>
            </w:r>
          </w:p>
        </w:tc>
        <w:tc>
          <w:tcPr>
            <w:tcW w:w="651" w:type="pct"/>
            <w:tcBorders>
              <w:top w:val="single" w:color="000000" w:sz="12" w:space="0"/>
              <w:left w:val="nil"/>
              <w:bottom w:val="single" w:color="000000" w:sz="6" w:space="0"/>
              <w:right w:val="nil"/>
            </w:tcBorders>
            <w:noWrap/>
            <w:vAlign w:val="center"/>
          </w:tcPr>
          <w:p w14:paraId="77254F98">
            <w:pPr>
              <w:widowControl/>
              <w:jc w:val="center"/>
              <w:textAlignment w:val="center"/>
              <w:rPr>
                <w:rFonts w:ascii="Arial" w:hAnsi="Arial" w:eastAsia="宋体" w:cs="Arial"/>
                <w:b/>
                <w:bCs/>
                <w:color w:val="000000"/>
                <w:sz w:val="20"/>
                <w:szCs w:val="20"/>
                <w:lang w:val="en-US" w:eastAsia="zh-CN" w:bidi="ar"/>
              </w:rPr>
            </w:pPr>
            <w:r>
              <w:rPr>
                <w:rFonts w:ascii="Arial" w:hAnsi="Arial" w:eastAsia="宋体" w:cs="Arial"/>
                <w:b/>
                <w:bCs/>
                <w:color w:val="000000"/>
                <w:sz w:val="20"/>
                <w:szCs w:val="20"/>
                <w:lang w:val="en-US" w:eastAsia="zh-CN" w:bidi="ar"/>
              </w:rPr>
              <w:t>(5)</w:t>
            </w:r>
          </w:p>
        </w:tc>
        <w:tc>
          <w:tcPr>
            <w:tcW w:w="824" w:type="pct"/>
            <w:tcBorders>
              <w:top w:val="single" w:color="000000" w:sz="12" w:space="0"/>
              <w:left w:val="nil"/>
              <w:bottom w:val="single" w:color="000000" w:sz="6" w:space="0"/>
              <w:right w:val="nil"/>
            </w:tcBorders>
            <w:noWrap/>
            <w:vAlign w:val="center"/>
          </w:tcPr>
          <w:p w14:paraId="6D6B6105">
            <w:pPr>
              <w:widowControl/>
              <w:jc w:val="center"/>
              <w:textAlignment w:val="center"/>
              <w:rPr>
                <w:rFonts w:ascii="Arial" w:hAnsi="Arial" w:eastAsia="宋体" w:cs="Arial"/>
                <w:b/>
                <w:bCs/>
                <w:color w:val="000000"/>
                <w:sz w:val="20"/>
                <w:szCs w:val="20"/>
                <w:lang w:val="en-US" w:eastAsia="zh-CN" w:bidi="ar"/>
              </w:rPr>
            </w:pPr>
            <w:r>
              <w:rPr>
                <w:rFonts w:ascii="Arial" w:hAnsi="Arial" w:eastAsia="宋体" w:cs="Arial"/>
                <w:b/>
                <w:bCs/>
                <w:color w:val="000000"/>
                <w:sz w:val="20"/>
                <w:szCs w:val="20"/>
                <w:lang w:val="en-US" w:eastAsia="zh-CN" w:bidi="ar"/>
              </w:rPr>
              <w:t>(6)</w:t>
            </w:r>
          </w:p>
        </w:tc>
      </w:tr>
      <w:tr w14:paraId="5AED232B">
        <w:tblPrEx>
          <w:tblCellMar>
            <w:top w:w="0" w:type="dxa"/>
            <w:left w:w="108" w:type="dxa"/>
            <w:bottom w:w="0" w:type="dxa"/>
            <w:right w:w="108" w:type="dxa"/>
          </w:tblCellMar>
        </w:tblPrEx>
        <w:trPr>
          <w:trHeight w:val="270" w:hRule="atLeast"/>
        </w:trPr>
        <w:tc>
          <w:tcPr>
            <w:tcW w:w="652" w:type="pct"/>
            <w:vMerge w:val="continue"/>
            <w:tcBorders>
              <w:top w:val="nil"/>
              <w:left w:val="nil"/>
              <w:bottom w:val="single" w:color="000000" w:sz="12" w:space="0"/>
              <w:right w:val="nil"/>
            </w:tcBorders>
            <w:noWrap/>
            <w:vAlign w:val="center"/>
          </w:tcPr>
          <w:p w14:paraId="03EF2ED1">
            <w:pPr>
              <w:jc w:val="center"/>
              <w:rPr>
                <w:rFonts w:ascii="Arial" w:hAnsi="Arial" w:eastAsia="宋体" w:cs="Arial"/>
                <w:b/>
                <w:bCs/>
                <w:color w:val="000000"/>
                <w:sz w:val="20"/>
                <w:szCs w:val="20"/>
              </w:rPr>
            </w:pPr>
          </w:p>
        </w:tc>
        <w:tc>
          <w:tcPr>
            <w:tcW w:w="604" w:type="pct"/>
            <w:tcBorders>
              <w:top w:val="single" w:color="000000" w:sz="6" w:space="0"/>
              <w:left w:val="nil"/>
              <w:bottom w:val="single" w:color="000000" w:sz="12" w:space="0"/>
              <w:right w:val="nil"/>
            </w:tcBorders>
            <w:noWrap/>
            <w:vAlign w:val="center"/>
          </w:tcPr>
          <w:p w14:paraId="09E3AAD9">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rPr>
              <w:t>Large City Firms</w:t>
            </w:r>
          </w:p>
        </w:tc>
        <w:tc>
          <w:tcPr>
            <w:tcW w:w="673" w:type="pct"/>
            <w:tcBorders>
              <w:top w:val="single" w:color="000000" w:sz="6" w:space="0"/>
              <w:left w:val="nil"/>
              <w:bottom w:val="single" w:color="000000" w:sz="12" w:space="0"/>
              <w:right w:val="nil"/>
            </w:tcBorders>
            <w:noWrap/>
            <w:vAlign w:val="center"/>
          </w:tcPr>
          <w:p w14:paraId="7E1DECAB">
            <w:pPr>
              <w:widowControl/>
              <w:jc w:val="center"/>
              <w:textAlignment w:val="center"/>
              <w:rPr>
                <w:rFonts w:ascii="Arial" w:hAnsi="Arial" w:eastAsia="宋体" w:cs="Arial"/>
                <w:b/>
                <w:bCs/>
                <w:color w:val="000000"/>
                <w:sz w:val="20"/>
                <w:szCs w:val="20"/>
                <w:lang w:val="en-US" w:eastAsia="zh-CN" w:bidi="ar"/>
              </w:rPr>
            </w:pPr>
            <w:r>
              <w:rPr>
                <w:rFonts w:ascii="Arial" w:hAnsi="Arial" w:eastAsia="宋体" w:cs="Arial"/>
                <w:b/>
                <w:bCs/>
                <w:color w:val="000000"/>
                <w:sz w:val="20"/>
                <w:szCs w:val="20"/>
                <w:lang w:val="en-US" w:eastAsia="zh-CN" w:bidi="ar"/>
              </w:rPr>
              <w:t>SME City Firms</w:t>
            </w:r>
          </w:p>
        </w:tc>
        <w:tc>
          <w:tcPr>
            <w:tcW w:w="747" w:type="pct"/>
            <w:tcBorders>
              <w:top w:val="single" w:color="000000" w:sz="6" w:space="0"/>
              <w:left w:val="nil"/>
              <w:bottom w:val="single" w:color="000000" w:sz="12" w:space="0"/>
              <w:right w:val="nil"/>
            </w:tcBorders>
            <w:noWrap/>
            <w:vAlign w:val="center"/>
          </w:tcPr>
          <w:p w14:paraId="5D0D51E8">
            <w:pPr>
              <w:widowControl/>
              <w:jc w:val="center"/>
              <w:textAlignment w:val="center"/>
              <w:rPr>
                <w:rFonts w:ascii="Arial" w:hAnsi="Arial" w:eastAsia="宋体" w:cs="Arial"/>
                <w:b/>
                <w:bCs/>
                <w:color w:val="000000"/>
                <w:sz w:val="20"/>
                <w:szCs w:val="20"/>
                <w:lang w:val="en-US" w:eastAsia="zh-CN" w:bidi="ar"/>
              </w:rPr>
            </w:pPr>
            <w:r>
              <w:rPr>
                <w:rFonts w:ascii="Arial" w:hAnsi="Arial" w:eastAsia="宋体" w:cs="Arial"/>
                <w:b/>
                <w:bCs/>
                <w:color w:val="000000"/>
                <w:sz w:val="20"/>
                <w:szCs w:val="20"/>
                <w:lang w:val="en-US" w:eastAsia="zh-CN" w:bidi="ar"/>
              </w:rPr>
              <w:t>Central City Firms</w:t>
            </w:r>
          </w:p>
        </w:tc>
        <w:tc>
          <w:tcPr>
            <w:tcW w:w="845" w:type="pct"/>
            <w:tcBorders>
              <w:top w:val="single" w:color="000000" w:sz="6" w:space="0"/>
              <w:left w:val="nil"/>
              <w:bottom w:val="single" w:color="000000" w:sz="12" w:space="0"/>
              <w:right w:val="nil"/>
            </w:tcBorders>
            <w:noWrap/>
            <w:vAlign w:val="center"/>
          </w:tcPr>
          <w:p w14:paraId="630C1FCC">
            <w:pPr>
              <w:widowControl/>
              <w:jc w:val="center"/>
              <w:textAlignment w:val="center"/>
              <w:rPr>
                <w:rFonts w:ascii="Arial" w:hAnsi="Arial" w:eastAsia="宋体" w:cs="Arial"/>
                <w:b/>
                <w:bCs/>
                <w:color w:val="000000"/>
                <w:sz w:val="20"/>
                <w:szCs w:val="20"/>
                <w:lang w:val="en-US" w:eastAsia="zh-CN" w:bidi="ar"/>
              </w:rPr>
            </w:pPr>
            <w:r>
              <w:rPr>
                <w:rFonts w:ascii="Arial" w:hAnsi="Arial" w:eastAsia="宋体" w:cs="Arial"/>
                <w:b/>
                <w:bCs/>
                <w:color w:val="000000"/>
                <w:sz w:val="20"/>
                <w:szCs w:val="20"/>
                <w:lang w:val="en-US" w:eastAsia="zh-CN" w:bidi="ar"/>
              </w:rPr>
              <w:t>Peripheral City Firms</w:t>
            </w:r>
          </w:p>
        </w:tc>
        <w:tc>
          <w:tcPr>
            <w:tcW w:w="651" w:type="pct"/>
            <w:tcBorders>
              <w:top w:val="single" w:color="000000" w:sz="6" w:space="0"/>
              <w:left w:val="nil"/>
              <w:bottom w:val="single" w:color="000000" w:sz="12" w:space="0"/>
              <w:right w:val="nil"/>
            </w:tcBorders>
            <w:noWrap/>
            <w:vAlign w:val="center"/>
          </w:tcPr>
          <w:p w14:paraId="632CD23D">
            <w:pPr>
              <w:widowControl/>
              <w:jc w:val="center"/>
              <w:textAlignment w:val="center"/>
              <w:rPr>
                <w:rFonts w:ascii="Arial" w:hAnsi="Arial" w:eastAsia="宋体" w:cs="Arial"/>
                <w:b/>
                <w:bCs/>
                <w:color w:val="000000"/>
                <w:sz w:val="20"/>
                <w:szCs w:val="20"/>
                <w:lang w:val="en-US" w:eastAsia="zh-CN" w:bidi="ar"/>
              </w:rPr>
            </w:pPr>
            <w:r>
              <w:rPr>
                <w:rFonts w:ascii="Arial" w:hAnsi="Arial" w:eastAsia="宋体" w:cs="Arial"/>
                <w:b/>
                <w:bCs/>
                <w:color w:val="000000"/>
                <w:sz w:val="20"/>
                <w:szCs w:val="20"/>
                <w:lang w:val="en-US" w:eastAsia="zh-CN" w:bidi="ar"/>
              </w:rPr>
              <w:t>Key Env. Firms</w:t>
            </w:r>
          </w:p>
        </w:tc>
        <w:tc>
          <w:tcPr>
            <w:tcW w:w="824" w:type="pct"/>
            <w:tcBorders>
              <w:top w:val="single" w:color="000000" w:sz="6" w:space="0"/>
              <w:left w:val="nil"/>
              <w:bottom w:val="single" w:color="000000" w:sz="12" w:space="0"/>
              <w:right w:val="nil"/>
            </w:tcBorders>
            <w:noWrap/>
            <w:vAlign w:val="center"/>
          </w:tcPr>
          <w:p w14:paraId="498A5509">
            <w:pPr>
              <w:widowControl/>
              <w:jc w:val="center"/>
              <w:textAlignment w:val="center"/>
              <w:rPr>
                <w:rFonts w:ascii="Arial" w:hAnsi="Arial" w:eastAsia="宋体" w:cs="Arial"/>
                <w:b/>
                <w:bCs/>
                <w:color w:val="000000"/>
                <w:sz w:val="20"/>
                <w:szCs w:val="20"/>
                <w:lang w:val="en-US" w:eastAsia="zh-CN" w:bidi="ar"/>
              </w:rPr>
            </w:pPr>
            <w:r>
              <w:rPr>
                <w:rFonts w:ascii="Arial" w:hAnsi="Arial" w:eastAsia="宋体" w:cs="Arial"/>
                <w:b/>
                <w:bCs/>
                <w:color w:val="000000"/>
                <w:sz w:val="20"/>
                <w:szCs w:val="20"/>
                <w:lang w:val="en-US" w:eastAsia="zh-CN" w:bidi="ar"/>
              </w:rPr>
              <w:t>Non-Key Env. Firms</w:t>
            </w:r>
          </w:p>
        </w:tc>
      </w:tr>
      <w:tr w14:paraId="28C87766">
        <w:tblPrEx>
          <w:tblCellMar>
            <w:top w:w="0" w:type="dxa"/>
            <w:left w:w="108" w:type="dxa"/>
            <w:bottom w:w="0" w:type="dxa"/>
            <w:right w:w="108" w:type="dxa"/>
          </w:tblCellMar>
        </w:tblPrEx>
        <w:trPr>
          <w:trHeight w:val="270" w:hRule="atLeast"/>
        </w:trPr>
        <w:tc>
          <w:tcPr>
            <w:tcW w:w="652" w:type="pct"/>
            <w:vMerge w:val="restart"/>
            <w:tcBorders>
              <w:top w:val="single" w:color="000000" w:sz="12" w:space="0"/>
              <w:left w:val="nil"/>
              <w:bottom w:val="nil"/>
              <w:right w:val="nil"/>
            </w:tcBorders>
            <w:noWrap/>
            <w:vAlign w:val="center"/>
          </w:tcPr>
          <w:p w14:paraId="566B0DD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did</w:t>
            </w:r>
          </w:p>
        </w:tc>
        <w:tc>
          <w:tcPr>
            <w:tcW w:w="604" w:type="pct"/>
            <w:tcBorders>
              <w:top w:val="single" w:color="000000" w:sz="12" w:space="0"/>
              <w:left w:val="nil"/>
              <w:bottom w:val="nil"/>
              <w:right w:val="nil"/>
            </w:tcBorders>
            <w:noWrap/>
            <w:vAlign w:val="center"/>
          </w:tcPr>
          <w:p w14:paraId="63FF26E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0.198***</w:t>
            </w:r>
          </w:p>
        </w:tc>
        <w:tc>
          <w:tcPr>
            <w:tcW w:w="673" w:type="pct"/>
            <w:tcBorders>
              <w:top w:val="single" w:color="000000" w:sz="12" w:space="0"/>
              <w:left w:val="nil"/>
              <w:bottom w:val="nil"/>
              <w:right w:val="nil"/>
            </w:tcBorders>
            <w:noWrap/>
            <w:vAlign w:val="center"/>
          </w:tcPr>
          <w:p w14:paraId="4E8378E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-0.0135</w:t>
            </w:r>
          </w:p>
        </w:tc>
        <w:tc>
          <w:tcPr>
            <w:tcW w:w="747" w:type="pct"/>
            <w:tcBorders>
              <w:top w:val="single" w:color="000000" w:sz="12" w:space="0"/>
              <w:left w:val="nil"/>
              <w:bottom w:val="nil"/>
              <w:right w:val="nil"/>
            </w:tcBorders>
            <w:noWrap/>
            <w:vAlign w:val="center"/>
          </w:tcPr>
          <w:p w14:paraId="24C216B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0.238***</w:t>
            </w:r>
          </w:p>
        </w:tc>
        <w:tc>
          <w:tcPr>
            <w:tcW w:w="845" w:type="pct"/>
            <w:tcBorders>
              <w:top w:val="single" w:color="000000" w:sz="12" w:space="0"/>
              <w:left w:val="nil"/>
              <w:bottom w:val="nil"/>
              <w:right w:val="nil"/>
            </w:tcBorders>
            <w:noWrap/>
            <w:vAlign w:val="center"/>
          </w:tcPr>
          <w:p w14:paraId="44EEAB1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0.0542</w:t>
            </w:r>
          </w:p>
        </w:tc>
        <w:tc>
          <w:tcPr>
            <w:tcW w:w="651" w:type="pct"/>
            <w:tcBorders>
              <w:top w:val="single" w:color="000000" w:sz="12" w:space="0"/>
              <w:left w:val="nil"/>
              <w:bottom w:val="nil"/>
              <w:right w:val="nil"/>
            </w:tcBorders>
            <w:noWrap/>
            <w:vAlign w:val="center"/>
          </w:tcPr>
          <w:p w14:paraId="13279E0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0.247***</w:t>
            </w:r>
          </w:p>
        </w:tc>
        <w:tc>
          <w:tcPr>
            <w:tcW w:w="824" w:type="pct"/>
            <w:tcBorders>
              <w:top w:val="single" w:color="000000" w:sz="12" w:space="0"/>
              <w:left w:val="nil"/>
              <w:bottom w:val="nil"/>
              <w:right w:val="nil"/>
            </w:tcBorders>
            <w:noWrap/>
            <w:vAlign w:val="center"/>
          </w:tcPr>
          <w:p w14:paraId="71E63D3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-0.331*</w:t>
            </w:r>
          </w:p>
        </w:tc>
      </w:tr>
      <w:tr w14:paraId="2B1FA011">
        <w:tblPrEx>
          <w:tblCellMar>
            <w:top w:w="0" w:type="dxa"/>
            <w:left w:w="108" w:type="dxa"/>
            <w:bottom w:w="0" w:type="dxa"/>
            <w:right w:w="108" w:type="dxa"/>
          </w:tblCellMar>
        </w:tblPrEx>
        <w:trPr>
          <w:trHeight w:val="270" w:hRule="atLeast"/>
        </w:trPr>
        <w:tc>
          <w:tcPr>
            <w:tcW w:w="652" w:type="pct"/>
            <w:vMerge w:val="continue"/>
            <w:tcBorders>
              <w:top w:val="nil"/>
              <w:left w:val="nil"/>
              <w:bottom w:val="nil"/>
              <w:right w:val="nil"/>
            </w:tcBorders>
            <w:noWrap/>
            <w:vAlign w:val="center"/>
          </w:tcPr>
          <w:p w14:paraId="2D9951E8">
            <w:pPr>
              <w:jc w:val="center"/>
              <w:rPr>
                <w:rFonts w:ascii="Arial" w:hAnsi="Arial" w:eastAsia="宋体" w:cs="Arial"/>
                <w:color w:val="000000"/>
                <w:sz w:val="20"/>
                <w:szCs w:val="20"/>
              </w:rPr>
            </w:pPr>
          </w:p>
        </w:tc>
        <w:tc>
          <w:tcPr>
            <w:tcW w:w="604" w:type="pct"/>
            <w:tcBorders>
              <w:top w:val="nil"/>
              <w:left w:val="nil"/>
              <w:bottom w:val="nil"/>
              <w:right w:val="nil"/>
            </w:tcBorders>
            <w:noWrap/>
            <w:vAlign w:val="center"/>
          </w:tcPr>
          <w:p w14:paraId="6DE8008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(0.0689)</w:t>
            </w:r>
          </w:p>
        </w:tc>
        <w:tc>
          <w:tcPr>
            <w:tcW w:w="673" w:type="pct"/>
            <w:tcBorders>
              <w:top w:val="nil"/>
              <w:left w:val="nil"/>
              <w:bottom w:val="nil"/>
              <w:right w:val="nil"/>
            </w:tcBorders>
            <w:noWrap/>
            <w:vAlign w:val="center"/>
          </w:tcPr>
          <w:p w14:paraId="786A282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(0.159)</w:t>
            </w:r>
          </w:p>
        </w:tc>
        <w:tc>
          <w:tcPr>
            <w:tcW w:w="747" w:type="pct"/>
            <w:tcBorders>
              <w:top w:val="nil"/>
              <w:left w:val="nil"/>
              <w:bottom w:val="nil"/>
              <w:right w:val="nil"/>
            </w:tcBorders>
            <w:noWrap/>
            <w:vAlign w:val="center"/>
          </w:tcPr>
          <w:p w14:paraId="1B93D8B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(0.0792)</w:t>
            </w:r>
          </w:p>
        </w:tc>
        <w:tc>
          <w:tcPr>
            <w:tcW w:w="845" w:type="pct"/>
            <w:tcBorders>
              <w:top w:val="nil"/>
              <w:left w:val="nil"/>
              <w:bottom w:val="nil"/>
              <w:right w:val="nil"/>
            </w:tcBorders>
            <w:noWrap/>
            <w:vAlign w:val="center"/>
          </w:tcPr>
          <w:p w14:paraId="11ED5E9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(0.110)</w:t>
            </w:r>
          </w:p>
        </w:tc>
        <w:tc>
          <w:tcPr>
            <w:tcW w:w="651" w:type="pct"/>
            <w:tcBorders>
              <w:top w:val="nil"/>
              <w:left w:val="nil"/>
              <w:bottom w:val="nil"/>
              <w:right w:val="nil"/>
            </w:tcBorders>
            <w:noWrap/>
            <w:vAlign w:val="center"/>
          </w:tcPr>
          <w:p w14:paraId="5A5186B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(0.0672)</w:t>
            </w:r>
          </w:p>
        </w:tc>
        <w:tc>
          <w:tcPr>
            <w:tcW w:w="824" w:type="pct"/>
            <w:tcBorders>
              <w:top w:val="nil"/>
              <w:left w:val="nil"/>
              <w:bottom w:val="nil"/>
              <w:right w:val="nil"/>
            </w:tcBorders>
            <w:noWrap/>
            <w:vAlign w:val="center"/>
          </w:tcPr>
          <w:p w14:paraId="04AAE4F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(0.193)</w:t>
            </w:r>
          </w:p>
        </w:tc>
      </w:tr>
      <w:tr w14:paraId="46FAD7BC">
        <w:tblPrEx>
          <w:tblCellMar>
            <w:top w:w="0" w:type="dxa"/>
            <w:left w:w="108" w:type="dxa"/>
            <w:bottom w:w="0" w:type="dxa"/>
            <w:right w:w="108" w:type="dxa"/>
          </w:tblCellMar>
        </w:tblPrEx>
        <w:trPr>
          <w:trHeight w:val="270" w:hRule="atLeast"/>
        </w:trPr>
        <w:tc>
          <w:tcPr>
            <w:tcW w:w="652" w:type="pct"/>
            <w:vMerge w:val="restart"/>
            <w:tcBorders>
              <w:top w:val="nil"/>
              <w:left w:val="nil"/>
              <w:bottom w:val="nil"/>
              <w:right w:val="nil"/>
            </w:tcBorders>
            <w:noWrap/>
            <w:vAlign w:val="center"/>
          </w:tcPr>
          <w:p w14:paraId="774C841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Constant</w:t>
            </w:r>
          </w:p>
        </w:tc>
        <w:tc>
          <w:tcPr>
            <w:tcW w:w="604" w:type="pct"/>
            <w:tcBorders>
              <w:top w:val="nil"/>
              <w:left w:val="nil"/>
              <w:bottom w:val="nil"/>
              <w:right w:val="nil"/>
            </w:tcBorders>
            <w:noWrap/>
            <w:vAlign w:val="center"/>
          </w:tcPr>
          <w:p w14:paraId="4D735C7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-3.590***</w:t>
            </w:r>
          </w:p>
        </w:tc>
        <w:tc>
          <w:tcPr>
            <w:tcW w:w="673" w:type="pct"/>
            <w:tcBorders>
              <w:top w:val="nil"/>
              <w:left w:val="nil"/>
              <w:bottom w:val="nil"/>
              <w:right w:val="nil"/>
            </w:tcBorders>
            <w:noWrap/>
            <w:vAlign w:val="center"/>
          </w:tcPr>
          <w:p w14:paraId="5DAFF8D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-11.24***</w:t>
            </w:r>
          </w:p>
        </w:tc>
        <w:tc>
          <w:tcPr>
            <w:tcW w:w="747" w:type="pct"/>
            <w:tcBorders>
              <w:top w:val="nil"/>
              <w:left w:val="nil"/>
              <w:bottom w:val="nil"/>
              <w:right w:val="nil"/>
            </w:tcBorders>
            <w:noWrap/>
            <w:vAlign w:val="center"/>
          </w:tcPr>
          <w:p w14:paraId="42EAD468">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-2.956**</w:t>
            </w:r>
          </w:p>
        </w:tc>
        <w:tc>
          <w:tcPr>
            <w:tcW w:w="845" w:type="pct"/>
            <w:tcBorders>
              <w:top w:val="nil"/>
              <w:left w:val="nil"/>
              <w:bottom w:val="nil"/>
              <w:right w:val="nil"/>
            </w:tcBorders>
            <w:noWrap/>
            <w:vAlign w:val="center"/>
          </w:tcPr>
          <w:p w14:paraId="45E3745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-7.138***</w:t>
            </w:r>
          </w:p>
        </w:tc>
        <w:tc>
          <w:tcPr>
            <w:tcW w:w="651" w:type="pct"/>
            <w:tcBorders>
              <w:top w:val="nil"/>
              <w:left w:val="nil"/>
              <w:bottom w:val="nil"/>
              <w:right w:val="nil"/>
            </w:tcBorders>
            <w:noWrap/>
            <w:vAlign w:val="center"/>
          </w:tcPr>
          <w:p w14:paraId="41F42B2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-4.827***</w:t>
            </w:r>
          </w:p>
        </w:tc>
        <w:tc>
          <w:tcPr>
            <w:tcW w:w="824" w:type="pct"/>
            <w:tcBorders>
              <w:top w:val="nil"/>
              <w:left w:val="nil"/>
              <w:bottom w:val="nil"/>
              <w:right w:val="nil"/>
            </w:tcBorders>
            <w:noWrap/>
            <w:vAlign w:val="center"/>
          </w:tcPr>
          <w:p w14:paraId="4F27DA9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-9.635***</w:t>
            </w:r>
          </w:p>
        </w:tc>
      </w:tr>
      <w:tr w14:paraId="11317D66">
        <w:tblPrEx>
          <w:tblCellMar>
            <w:top w:w="0" w:type="dxa"/>
            <w:left w:w="108" w:type="dxa"/>
            <w:bottom w:w="0" w:type="dxa"/>
            <w:right w:w="108" w:type="dxa"/>
          </w:tblCellMar>
        </w:tblPrEx>
        <w:trPr>
          <w:trHeight w:val="270" w:hRule="atLeast"/>
        </w:trPr>
        <w:tc>
          <w:tcPr>
            <w:tcW w:w="652" w:type="pct"/>
            <w:vMerge w:val="continue"/>
            <w:tcBorders>
              <w:top w:val="nil"/>
              <w:left w:val="nil"/>
              <w:bottom w:val="nil"/>
              <w:right w:val="nil"/>
            </w:tcBorders>
            <w:noWrap/>
            <w:vAlign w:val="center"/>
          </w:tcPr>
          <w:p w14:paraId="20331633">
            <w:pPr>
              <w:jc w:val="center"/>
              <w:rPr>
                <w:rFonts w:ascii="Arial" w:hAnsi="Arial" w:eastAsia="宋体" w:cs="Arial"/>
                <w:color w:val="000000"/>
                <w:sz w:val="20"/>
                <w:szCs w:val="20"/>
              </w:rPr>
            </w:pPr>
          </w:p>
        </w:tc>
        <w:tc>
          <w:tcPr>
            <w:tcW w:w="604" w:type="pct"/>
            <w:tcBorders>
              <w:top w:val="nil"/>
              <w:left w:val="nil"/>
              <w:bottom w:val="nil"/>
              <w:right w:val="nil"/>
            </w:tcBorders>
            <w:noWrap/>
            <w:vAlign w:val="center"/>
          </w:tcPr>
          <w:p w14:paraId="62E7604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(1.130)</w:t>
            </w:r>
          </w:p>
        </w:tc>
        <w:tc>
          <w:tcPr>
            <w:tcW w:w="673" w:type="pct"/>
            <w:tcBorders>
              <w:top w:val="nil"/>
              <w:left w:val="nil"/>
              <w:bottom w:val="nil"/>
              <w:right w:val="nil"/>
            </w:tcBorders>
            <w:noWrap/>
            <w:vAlign w:val="center"/>
          </w:tcPr>
          <w:p w14:paraId="6165045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(3.713)</w:t>
            </w:r>
          </w:p>
        </w:tc>
        <w:tc>
          <w:tcPr>
            <w:tcW w:w="747" w:type="pct"/>
            <w:tcBorders>
              <w:top w:val="nil"/>
              <w:left w:val="nil"/>
              <w:bottom w:val="nil"/>
              <w:right w:val="nil"/>
            </w:tcBorders>
            <w:noWrap/>
            <w:vAlign w:val="center"/>
          </w:tcPr>
          <w:p w14:paraId="7B637BA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(1.268)</w:t>
            </w:r>
          </w:p>
        </w:tc>
        <w:tc>
          <w:tcPr>
            <w:tcW w:w="845" w:type="pct"/>
            <w:tcBorders>
              <w:top w:val="nil"/>
              <w:left w:val="nil"/>
              <w:bottom w:val="nil"/>
              <w:right w:val="nil"/>
            </w:tcBorders>
            <w:noWrap/>
            <w:vAlign w:val="center"/>
          </w:tcPr>
          <w:p w14:paraId="328C9D6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(2.037)</w:t>
            </w:r>
          </w:p>
        </w:tc>
        <w:tc>
          <w:tcPr>
            <w:tcW w:w="651" w:type="pct"/>
            <w:tcBorders>
              <w:top w:val="nil"/>
              <w:left w:val="nil"/>
              <w:bottom w:val="nil"/>
              <w:right w:val="nil"/>
            </w:tcBorders>
            <w:noWrap/>
            <w:vAlign w:val="center"/>
          </w:tcPr>
          <w:p w14:paraId="577F2E2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(1.147)</w:t>
            </w:r>
          </w:p>
        </w:tc>
        <w:tc>
          <w:tcPr>
            <w:tcW w:w="824" w:type="pct"/>
            <w:tcBorders>
              <w:top w:val="nil"/>
              <w:left w:val="nil"/>
              <w:bottom w:val="nil"/>
              <w:right w:val="nil"/>
            </w:tcBorders>
            <w:noWrap/>
            <w:vAlign w:val="center"/>
          </w:tcPr>
          <w:p w14:paraId="4519FDF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(2.767)</w:t>
            </w:r>
          </w:p>
        </w:tc>
      </w:tr>
      <w:tr w14:paraId="517318F2">
        <w:tblPrEx>
          <w:tblCellMar>
            <w:top w:w="0" w:type="dxa"/>
            <w:left w:w="108" w:type="dxa"/>
            <w:bottom w:w="0" w:type="dxa"/>
            <w:right w:w="108" w:type="dxa"/>
          </w:tblCellMar>
        </w:tblPrEx>
        <w:trPr>
          <w:trHeight w:val="270" w:hRule="atLeast"/>
        </w:trPr>
        <w:tc>
          <w:tcPr>
            <w:tcW w:w="652" w:type="pct"/>
            <w:tcBorders>
              <w:top w:val="nil"/>
              <w:left w:val="nil"/>
              <w:bottom w:val="nil"/>
              <w:right w:val="nil"/>
            </w:tcBorders>
            <w:noWrap/>
            <w:vAlign w:val="center"/>
          </w:tcPr>
          <w:p w14:paraId="32A46528">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Controls</w:t>
            </w:r>
          </w:p>
        </w:tc>
        <w:tc>
          <w:tcPr>
            <w:tcW w:w="604" w:type="pct"/>
            <w:tcBorders>
              <w:top w:val="nil"/>
              <w:left w:val="nil"/>
              <w:bottom w:val="nil"/>
              <w:right w:val="nil"/>
            </w:tcBorders>
            <w:noWrap/>
            <w:vAlign w:val="center"/>
          </w:tcPr>
          <w:p w14:paraId="67C984B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673" w:type="pct"/>
            <w:tcBorders>
              <w:top w:val="nil"/>
              <w:left w:val="nil"/>
              <w:bottom w:val="nil"/>
              <w:right w:val="nil"/>
            </w:tcBorders>
            <w:noWrap/>
            <w:vAlign w:val="center"/>
          </w:tcPr>
          <w:p w14:paraId="38F59B3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747" w:type="pct"/>
            <w:tcBorders>
              <w:top w:val="nil"/>
              <w:left w:val="nil"/>
              <w:bottom w:val="nil"/>
              <w:right w:val="nil"/>
            </w:tcBorders>
            <w:noWrap/>
            <w:vAlign w:val="center"/>
          </w:tcPr>
          <w:p w14:paraId="414FE63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845" w:type="pct"/>
            <w:tcBorders>
              <w:top w:val="nil"/>
              <w:left w:val="nil"/>
              <w:bottom w:val="nil"/>
              <w:right w:val="nil"/>
            </w:tcBorders>
            <w:noWrap/>
            <w:vAlign w:val="center"/>
          </w:tcPr>
          <w:p w14:paraId="3140B5E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651" w:type="pct"/>
            <w:tcBorders>
              <w:top w:val="nil"/>
              <w:left w:val="nil"/>
              <w:bottom w:val="nil"/>
              <w:right w:val="nil"/>
            </w:tcBorders>
            <w:noWrap/>
            <w:vAlign w:val="center"/>
          </w:tcPr>
          <w:p w14:paraId="1A8E856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824" w:type="pct"/>
            <w:tcBorders>
              <w:top w:val="nil"/>
              <w:left w:val="nil"/>
              <w:bottom w:val="nil"/>
              <w:right w:val="nil"/>
            </w:tcBorders>
            <w:noWrap/>
            <w:vAlign w:val="center"/>
          </w:tcPr>
          <w:p w14:paraId="689FB1C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r>
      <w:tr w14:paraId="028FAFE9">
        <w:tblPrEx>
          <w:tblCellMar>
            <w:top w:w="0" w:type="dxa"/>
            <w:left w:w="108" w:type="dxa"/>
            <w:bottom w:w="0" w:type="dxa"/>
            <w:right w:w="108" w:type="dxa"/>
          </w:tblCellMar>
        </w:tblPrEx>
        <w:trPr>
          <w:trHeight w:val="270" w:hRule="atLeast"/>
        </w:trPr>
        <w:tc>
          <w:tcPr>
            <w:tcW w:w="652" w:type="pct"/>
            <w:tcBorders>
              <w:top w:val="nil"/>
              <w:left w:val="nil"/>
              <w:bottom w:val="nil"/>
              <w:right w:val="nil"/>
            </w:tcBorders>
            <w:noWrap/>
            <w:vAlign w:val="center"/>
          </w:tcPr>
          <w:p w14:paraId="4790E1F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Firm FE</w:t>
            </w:r>
          </w:p>
        </w:tc>
        <w:tc>
          <w:tcPr>
            <w:tcW w:w="1117" w:type="dxa"/>
            <w:tcBorders>
              <w:top w:val="nil"/>
              <w:left w:val="nil"/>
              <w:bottom w:val="nil"/>
              <w:right w:val="nil"/>
            </w:tcBorders>
            <w:noWrap/>
            <w:vAlign w:val="center"/>
          </w:tcPr>
          <w:p w14:paraId="1C39A9B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1245" w:type="dxa"/>
            <w:tcBorders>
              <w:top w:val="nil"/>
              <w:left w:val="nil"/>
              <w:bottom w:val="nil"/>
              <w:right w:val="nil"/>
            </w:tcBorders>
            <w:noWrap/>
            <w:vAlign w:val="center"/>
          </w:tcPr>
          <w:p w14:paraId="6B304A9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1382" w:type="dxa"/>
            <w:tcBorders>
              <w:top w:val="nil"/>
              <w:left w:val="nil"/>
              <w:bottom w:val="nil"/>
              <w:right w:val="nil"/>
            </w:tcBorders>
            <w:noWrap/>
            <w:vAlign w:val="center"/>
          </w:tcPr>
          <w:p w14:paraId="36AA416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1563" w:type="dxa"/>
            <w:tcBorders>
              <w:top w:val="nil"/>
              <w:left w:val="nil"/>
              <w:bottom w:val="nil"/>
              <w:right w:val="nil"/>
            </w:tcBorders>
            <w:noWrap/>
            <w:vAlign w:val="center"/>
          </w:tcPr>
          <w:p w14:paraId="3C9C997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1204" w:type="dxa"/>
            <w:tcBorders>
              <w:top w:val="nil"/>
              <w:left w:val="nil"/>
              <w:bottom w:val="nil"/>
              <w:right w:val="nil"/>
            </w:tcBorders>
            <w:noWrap/>
            <w:vAlign w:val="center"/>
          </w:tcPr>
          <w:p w14:paraId="5EB90E4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1525" w:type="dxa"/>
            <w:tcBorders>
              <w:top w:val="nil"/>
              <w:left w:val="nil"/>
              <w:bottom w:val="nil"/>
              <w:right w:val="nil"/>
            </w:tcBorders>
            <w:noWrap/>
            <w:vAlign w:val="center"/>
          </w:tcPr>
          <w:p w14:paraId="7C667B28">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r>
      <w:tr w14:paraId="610EBFDA">
        <w:tblPrEx>
          <w:tblCellMar>
            <w:top w:w="0" w:type="dxa"/>
            <w:left w:w="108" w:type="dxa"/>
            <w:bottom w:w="0" w:type="dxa"/>
            <w:right w:w="108" w:type="dxa"/>
          </w:tblCellMar>
        </w:tblPrEx>
        <w:trPr>
          <w:trHeight w:val="270" w:hRule="atLeast"/>
        </w:trPr>
        <w:tc>
          <w:tcPr>
            <w:tcW w:w="652" w:type="pct"/>
            <w:tcBorders>
              <w:top w:val="nil"/>
              <w:left w:val="nil"/>
              <w:bottom w:val="nil"/>
              <w:right w:val="nil"/>
            </w:tcBorders>
            <w:noWrap/>
            <w:vAlign w:val="center"/>
          </w:tcPr>
          <w:p w14:paraId="5D5C3338">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Year FE</w:t>
            </w:r>
          </w:p>
        </w:tc>
        <w:tc>
          <w:tcPr>
            <w:tcW w:w="1117" w:type="dxa"/>
            <w:tcBorders>
              <w:top w:val="nil"/>
              <w:left w:val="nil"/>
              <w:bottom w:val="nil"/>
              <w:right w:val="nil"/>
            </w:tcBorders>
            <w:noWrap/>
            <w:vAlign w:val="center"/>
          </w:tcPr>
          <w:p w14:paraId="3525C05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1245" w:type="dxa"/>
            <w:tcBorders>
              <w:top w:val="nil"/>
              <w:left w:val="nil"/>
              <w:bottom w:val="nil"/>
              <w:right w:val="nil"/>
            </w:tcBorders>
            <w:noWrap/>
            <w:vAlign w:val="center"/>
          </w:tcPr>
          <w:p w14:paraId="044FAD2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1382" w:type="dxa"/>
            <w:tcBorders>
              <w:top w:val="nil"/>
              <w:left w:val="nil"/>
              <w:bottom w:val="nil"/>
              <w:right w:val="nil"/>
            </w:tcBorders>
            <w:noWrap/>
            <w:vAlign w:val="center"/>
          </w:tcPr>
          <w:p w14:paraId="7FB2A72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1563" w:type="dxa"/>
            <w:tcBorders>
              <w:top w:val="nil"/>
              <w:left w:val="nil"/>
              <w:bottom w:val="nil"/>
              <w:right w:val="nil"/>
            </w:tcBorders>
            <w:noWrap/>
            <w:vAlign w:val="center"/>
          </w:tcPr>
          <w:p w14:paraId="03C46CC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1204" w:type="dxa"/>
            <w:tcBorders>
              <w:top w:val="nil"/>
              <w:left w:val="nil"/>
              <w:bottom w:val="nil"/>
              <w:right w:val="nil"/>
            </w:tcBorders>
            <w:noWrap/>
            <w:vAlign w:val="center"/>
          </w:tcPr>
          <w:p w14:paraId="218DB27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1525" w:type="dxa"/>
            <w:tcBorders>
              <w:top w:val="nil"/>
              <w:left w:val="nil"/>
              <w:bottom w:val="nil"/>
              <w:right w:val="nil"/>
            </w:tcBorders>
            <w:noWrap/>
            <w:vAlign w:val="center"/>
          </w:tcPr>
          <w:p w14:paraId="54050E9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r>
      <w:tr w14:paraId="51C5B654">
        <w:tblPrEx>
          <w:tblCellMar>
            <w:top w:w="0" w:type="dxa"/>
            <w:left w:w="108" w:type="dxa"/>
            <w:bottom w:w="0" w:type="dxa"/>
            <w:right w:w="108" w:type="dxa"/>
          </w:tblCellMar>
        </w:tblPrEx>
        <w:trPr>
          <w:trHeight w:val="270" w:hRule="atLeast"/>
        </w:trPr>
        <w:tc>
          <w:tcPr>
            <w:tcW w:w="652" w:type="pct"/>
            <w:tcBorders>
              <w:top w:val="nil"/>
              <w:left w:val="nil"/>
              <w:bottom w:val="nil"/>
              <w:right w:val="nil"/>
            </w:tcBorders>
            <w:noWrap/>
            <w:vAlign w:val="center"/>
          </w:tcPr>
          <w:p w14:paraId="0DE3031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Observations</w:t>
            </w:r>
          </w:p>
        </w:tc>
        <w:tc>
          <w:tcPr>
            <w:tcW w:w="604" w:type="pct"/>
            <w:tcBorders>
              <w:top w:val="nil"/>
              <w:left w:val="nil"/>
              <w:bottom w:val="nil"/>
              <w:right w:val="nil"/>
            </w:tcBorders>
            <w:noWrap/>
            <w:vAlign w:val="center"/>
          </w:tcPr>
          <w:p w14:paraId="58FA244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16,882</w:t>
            </w:r>
          </w:p>
        </w:tc>
        <w:tc>
          <w:tcPr>
            <w:tcW w:w="673" w:type="pct"/>
            <w:tcBorders>
              <w:top w:val="nil"/>
              <w:left w:val="nil"/>
              <w:bottom w:val="nil"/>
              <w:right w:val="nil"/>
            </w:tcBorders>
            <w:noWrap/>
            <w:vAlign w:val="center"/>
          </w:tcPr>
          <w:p w14:paraId="0F4DB37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2,075</w:t>
            </w:r>
          </w:p>
        </w:tc>
        <w:tc>
          <w:tcPr>
            <w:tcW w:w="747" w:type="pct"/>
            <w:tcBorders>
              <w:top w:val="nil"/>
              <w:left w:val="nil"/>
              <w:bottom w:val="nil"/>
              <w:right w:val="nil"/>
            </w:tcBorders>
            <w:noWrap/>
            <w:vAlign w:val="center"/>
          </w:tcPr>
          <w:p w14:paraId="32EAE4F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12,818</w:t>
            </w:r>
          </w:p>
        </w:tc>
        <w:tc>
          <w:tcPr>
            <w:tcW w:w="845" w:type="pct"/>
            <w:tcBorders>
              <w:top w:val="nil"/>
              <w:left w:val="nil"/>
              <w:bottom w:val="nil"/>
              <w:right w:val="nil"/>
            </w:tcBorders>
            <w:noWrap/>
            <w:vAlign w:val="center"/>
          </w:tcPr>
          <w:p w14:paraId="785F114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6,133</w:t>
            </w:r>
          </w:p>
        </w:tc>
        <w:tc>
          <w:tcPr>
            <w:tcW w:w="651" w:type="pct"/>
            <w:tcBorders>
              <w:top w:val="nil"/>
              <w:left w:val="nil"/>
              <w:bottom w:val="nil"/>
              <w:right w:val="nil"/>
            </w:tcBorders>
            <w:noWrap/>
            <w:vAlign w:val="center"/>
          </w:tcPr>
          <w:p w14:paraId="7225BA8F">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16,974</w:t>
            </w:r>
          </w:p>
        </w:tc>
        <w:tc>
          <w:tcPr>
            <w:tcW w:w="824" w:type="pct"/>
            <w:tcBorders>
              <w:top w:val="nil"/>
              <w:left w:val="nil"/>
              <w:bottom w:val="nil"/>
              <w:right w:val="nil"/>
            </w:tcBorders>
            <w:noWrap/>
            <w:vAlign w:val="center"/>
          </w:tcPr>
          <w:p w14:paraId="2C72F8F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1,979</w:t>
            </w:r>
          </w:p>
        </w:tc>
      </w:tr>
      <w:tr w14:paraId="21861815">
        <w:tblPrEx>
          <w:tblCellMar>
            <w:top w:w="0" w:type="dxa"/>
            <w:left w:w="108" w:type="dxa"/>
            <w:bottom w:w="0" w:type="dxa"/>
            <w:right w:w="108" w:type="dxa"/>
          </w:tblCellMar>
        </w:tblPrEx>
        <w:trPr>
          <w:trHeight w:val="270" w:hRule="atLeast"/>
        </w:trPr>
        <w:tc>
          <w:tcPr>
            <w:tcW w:w="652" w:type="pct"/>
            <w:tcBorders>
              <w:top w:val="nil"/>
              <w:left w:val="nil"/>
              <w:bottom w:val="single" w:color="000000" w:sz="12" w:space="0"/>
              <w:right w:val="nil"/>
            </w:tcBorders>
            <w:noWrap/>
            <w:vAlign w:val="center"/>
          </w:tcPr>
          <w:p w14:paraId="28F0A0DD">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R</w:t>
            </w:r>
            <w:r>
              <w:rPr>
                <w:rFonts w:ascii="Arial" w:hAnsi="Arial" w:eastAsia="宋体" w:cs="Arial"/>
                <w:color w:val="000000"/>
                <w:sz w:val="20"/>
                <w:szCs w:val="20"/>
                <w:vertAlign w:val="superscript"/>
                <w:lang w:val="en-US" w:eastAsia="zh-CN" w:bidi="ar"/>
              </w:rPr>
              <w:t>2</w:t>
            </w:r>
          </w:p>
        </w:tc>
        <w:tc>
          <w:tcPr>
            <w:tcW w:w="604" w:type="pct"/>
            <w:tcBorders>
              <w:top w:val="nil"/>
              <w:left w:val="nil"/>
              <w:bottom w:val="single" w:color="000000" w:sz="12" w:space="0"/>
              <w:right w:val="nil"/>
            </w:tcBorders>
            <w:noWrap/>
            <w:vAlign w:val="center"/>
          </w:tcPr>
          <w:p w14:paraId="32580AC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0.650</w:t>
            </w:r>
          </w:p>
        </w:tc>
        <w:tc>
          <w:tcPr>
            <w:tcW w:w="673" w:type="pct"/>
            <w:tcBorders>
              <w:top w:val="nil"/>
              <w:left w:val="nil"/>
              <w:bottom w:val="single" w:color="000000" w:sz="12" w:space="0"/>
              <w:right w:val="nil"/>
            </w:tcBorders>
            <w:noWrap/>
            <w:vAlign w:val="center"/>
          </w:tcPr>
          <w:p w14:paraId="76A2AC5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0.737</w:t>
            </w:r>
          </w:p>
        </w:tc>
        <w:tc>
          <w:tcPr>
            <w:tcW w:w="747" w:type="pct"/>
            <w:tcBorders>
              <w:top w:val="nil"/>
              <w:left w:val="nil"/>
              <w:bottom w:val="single" w:color="000000" w:sz="12" w:space="0"/>
              <w:right w:val="nil"/>
            </w:tcBorders>
            <w:noWrap/>
            <w:vAlign w:val="center"/>
          </w:tcPr>
          <w:p w14:paraId="59B97D7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0.648</w:t>
            </w:r>
          </w:p>
        </w:tc>
        <w:tc>
          <w:tcPr>
            <w:tcW w:w="845" w:type="pct"/>
            <w:tcBorders>
              <w:top w:val="nil"/>
              <w:left w:val="nil"/>
              <w:bottom w:val="single" w:color="000000" w:sz="12" w:space="0"/>
              <w:right w:val="nil"/>
            </w:tcBorders>
            <w:noWrap/>
            <w:vAlign w:val="center"/>
          </w:tcPr>
          <w:p w14:paraId="3C0EF03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0.685</w:t>
            </w:r>
          </w:p>
        </w:tc>
        <w:tc>
          <w:tcPr>
            <w:tcW w:w="651" w:type="pct"/>
            <w:tcBorders>
              <w:top w:val="nil"/>
              <w:left w:val="nil"/>
              <w:bottom w:val="single" w:color="000000" w:sz="12" w:space="0"/>
              <w:right w:val="nil"/>
            </w:tcBorders>
            <w:noWrap/>
            <w:vAlign w:val="center"/>
          </w:tcPr>
          <w:p w14:paraId="2422010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0.653</w:t>
            </w:r>
          </w:p>
        </w:tc>
        <w:tc>
          <w:tcPr>
            <w:tcW w:w="824" w:type="pct"/>
            <w:tcBorders>
              <w:top w:val="nil"/>
              <w:left w:val="nil"/>
              <w:bottom w:val="single" w:color="000000" w:sz="12" w:space="0"/>
              <w:right w:val="nil"/>
            </w:tcBorders>
            <w:noWrap/>
            <w:vAlign w:val="center"/>
          </w:tcPr>
          <w:p w14:paraId="478DAF2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0.715</w:t>
            </w:r>
          </w:p>
        </w:tc>
      </w:tr>
    </w:tbl>
    <w:p w14:paraId="3056A317">
      <w:pPr>
        <w:pStyle w:val="44"/>
        <w:widowControl/>
        <w:spacing w:after="0"/>
        <w:rPr>
          <w:rFonts w:ascii="Arial" w:hAnsi="Arial" w:eastAsia="Times New Roman" w:cs="Arial"/>
          <w:szCs w:val="20"/>
          <w:lang w:val="en-US" w:eastAsia="zh-CN"/>
        </w:rPr>
      </w:pPr>
    </w:p>
    <w:p w14:paraId="06BB6B72">
      <w:pPr>
        <w:pStyle w:val="44"/>
        <w:widowControl/>
        <w:spacing w:after="0"/>
        <w:rPr>
          <w:rFonts w:ascii="Arial" w:hAnsi="Arial" w:eastAsia="Times New Roman" w:cs="Arial"/>
          <w:szCs w:val="20"/>
          <w:lang w:val="en-US" w:eastAsia="zh-CN"/>
        </w:rPr>
      </w:pPr>
      <w:r>
        <w:rPr>
          <w:rFonts w:hint="eastAsia" w:ascii="Arial" w:hAnsi="Arial" w:eastAsia="Times New Roman" w:cs="Arial"/>
          <w:szCs w:val="20"/>
          <w:lang w:val="en-US" w:eastAsia="zh-CN"/>
        </w:rPr>
        <w:t>5</w:t>
      </w:r>
      <w:r>
        <w:rPr>
          <w:rFonts w:ascii="Arial" w:hAnsi="Arial" w:eastAsia="Times New Roman" w:cs="Arial"/>
          <w:szCs w:val="20"/>
          <w:lang w:val="en-US" w:eastAsia="zh-CN"/>
        </w:rPr>
        <w:t>.6</w:t>
      </w:r>
      <w:r>
        <w:rPr>
          <w:rFonts w:hint="eastAsia" w:ascii="Arial" w:hAnsi="Arial" w:eastAsia="Times New Roman" w:cs="Arial"/>
          <w:szCs w:val="20"/>
          <w:lang w:val="en-US" w:eastAsia="zh-CN"/>
        </w:rPr>
        <w:t xml:space="preserve"> </w:t>
      </w:r>
      <w:r>
        <w:rPr>
          <w:rFonts w:ascii="Arial" w:hAnsi="Arial" w:eastAsia="Times New Roman" w:cs="Arial"/>
          <w:szCs w:val="20"/>
          <w:lang w:val="en-US" w:eastAsia="zh-CN"/>
        </w:rPr>
        <w:t>Mechanism Test</w:t>
      </w:r>
    </w:p>
    <w:p w14:paraId="5F15AFD5">
      <w:pPr>
        <w:pStyle w:val="44"/>
        <w:widowControl/>
        <w:spacing w:after="0"/>
        <w:rPr>
          <w:rFonts w:ascii="Arial" w:hAnsi="Arial" w:eastAsia="Times New Roman" w:cs="Arial"/>
          <w:szCs w:val="20"/>
          <w:lang w:val="en-US" w:eastAsia="zh-CN"/>
        </w:rPr>
      </w:pPr>
    </w:p>
    <w:p w14:paraId="5E0759CA">
      <w:pPr>
        <w:pStyle w:val="31"/>
        <w:spacing w:before="0" w:after="0" w:line="240" w:lineRule="auto"/>
        <w:ind w:firstLine="0" w:firstLineChars="0"/>
        <w:rPr>
          <w:rFonts w:ascii="Arial" w:hAnsi="Arial"/>
          <w:sz w:val="20"/>
          <w:szCs w:val="20"/>
        </w:rPr>
      </w:pPr>
      <w:r>
        <w:rPr>
          <w:rFonts w:ascii="Arial" w:hAnsi="Arial"/>
          <w:sz w:val="20"/>
          <w:szCs w:val="20"/>
        </w:rPr>
        <w:t xml:space="preserve">Based on the preceding theoretical deduction, this paper posits that the low-carbon city pilot improves corporate OFDI performance by accelerating corporate green innovation and promoting digital transformation. Therefore, this paper delves into the mechanisms of how the low-carbon city pilot affects corporate OFDI from these two dimensions. </w:t>
      </w:r>
      <w:r>
        <w:rPr>
          <w:rFonts w:hint="eastAsia" w:ascii="Arial" w:hAnsi="Arial"/>
          <w:sz w:val="20"/>
          <w:szCs w:val="20"/>
        </w:rPr>
        <w:t>T</w:t>
      </w:r>
      <w:r>
        <w:rPr>
          <w:rFonts w:ascii="Arial" w:hAnsi="Arial"/>
          <w:sz w:val="20"/>
          <w:szCs w:val="20"/>
        </w:rPr>
        <w:t>his study theoretically analyzes the link between the mechanism variables and the dependent variable and empirically tests the mechanisms by examining the influence paths of the mediating variables.</w:t>
      </w:r>
    </w:p>
    <w:p w14:paraId="5B0C8B4C">
      <w:pPr>
        <w:rPr>
          <w:lang w:val="en-US" w:eastAsia="zh-CN"/>
        </w:rPr>
      </w:pPr>
    </w:p>
    <w:p w14:paraId="0B48D88D">
      <w:pPr>
        <w:pStyle w:val="4"/>
        <w:numPr>
          <w:ilvl w:val="2"/>
          <w:numId w:val="0"/>
        </w:numPr>
        <w:spacing w:before="0" w:after="0" w:line="240" w:lineRule="auto"/>
        <w:rPr>
          <w:rFonts w:eastAsia="宋体"/>
          <w:bCs w:val="0"/>
          <w:sz w:val="20"/>
          <w:szCs w:val="20"/>
          <w:u w:val="single"/>
          <w:lang w:val="en-US" w:eastAsia="zh-CN"/>
        </w:rPr>
      </w:pPr>
      <w:r>
        <w:rPr>
          <w:rFonts w:hint="eastAsia" w:eastAsia="宋体"/>
          <w:bCs w:val="0"/>
          <w:sz w:val="20"/>
          <w:szCs w:val="20"/>
          <w:u w:val="single"/>
          <w:lang w:val="en-US" w:eastAsia="zh-CN"/>
        </w:rPr>
        <w:t>5</w:t>
      </w:r>
      <w:r>
        <w:rPr>
          <w:rFonts w:eastAsia="宋体"/>
          <w:bCs w:val="0"/>
          <w:sz w:val="20"/>
          <w:szCs w:val="20"/>
          <w:u w:val="single"/>
          <w:lang w:val="en-US" w:eastAsia="zh-CN"/>
        </w:rPr>
        <w:t>.6.1</w:t>
      </w:r>
      <w:r>
        <w:rPr>
          <w:rFonts w:hint="eastAsia" w:eastAsia="宋体"/>
          <w:bCs w:val="0"/>
          <w:sz w:val="20"/>
          <w:szCs w:val="20"/>
          <w:u w:val="single"/>
          <w:lang w:val="en-US" w:eastAsia="zh-CN"/>
        </w:rPr>
        <w:t xml:space="preserve"> </w:t>
      </w:r>
      <w:r>
        <w:rPr>
          <w:rFonts w:eastAsia="宋体"/>
          <w:bCs w:val="0"/>
          <w:sz w:val="20"/>
          <w:szCs w:val="20"/>
          <w:u w:val="single"/>
          <w:lang w:val="en-US" w:eastAsia="zh-CN"/>
        </w:rPr>
        <w:t>Green Innovation Transmission Mechanism</w:t>
      </w:r>
    </w:p>
    <w:p w14:paraId="04A848F5">
      <w:pPr>
        <w:rPr>
          <w:lang w:val="en-US" w:eastAsia="zh-CN"/>
        </w:rPr>
      </w:pPr>
    </w:p>
    <w:p w14:paraId="4703872A">
      <w:pPr>
        <w:pStyle w:val="31"/>
        <w:spacing w:before="0" w:after="0" w:line="240" w:lineRule="auto"/>
        <w:ind w:firstLine="0" w:firstLineChars="0"/>
        <w:rPr>
          <w:rFonts w:ascii="Arial" w:hAnsi="Arial"/>
          <w:sz w:val="20"/>
          <w:szCs w:val="20"/>
        </w:rPr>
      </w:pPr>
      <w:r>
        <w:rPr>
          <w:rFonts w:hint="eastAsia" w:ascii="Arial" w:hAnsi="Arial"/>
          <w:sz w:val="20"/>
          <w:szCs w:val="20"/>
        </w:rPr>
        <w:t>Based on theoretical deduction, this paper proposes that the construction of low-carbon cities enhances corporate OFDI performance by accelerating corporate green innovation, promoting green patent applications, and optimizing production processes. This transmission path is supported by relevant theories. For example, the theoretical framework of Huang (2024) confirms that green innovation leaders are more inclined to acquire complementary technological resources through cross-border mergers and acquisitions, forming a positive "innovation-investment" cycle.</w:t>
      </w:r>
    </w:p>
    <w:p w14:paraId="6D653DE2">
      <w:pPr>
        <w:pStyle w:val="31"/>
        <w:spacing w:before="0" w:after="0" w:line="240" w:lineRule="auto"/>
        <w:ind w:firstLine="0" w:firstLineChars="0"/>
        <w:rPr>
          <w:rFonts w:ascii="Arial" w:hAnsi="Arial"/>
          <w:sz w:val="20"/>
          <w:szCs w:val="20"/>
        </w:rPr>
      </w:pPr>
    </w:p>
    <w:p w14:paraId="6003E8F5">
      <w:pPr>
        <w:pStyle w:val="31"/>
        <w:spacing w:before="0" w:after="0" w:line="240" w:lineRule="auto"/>
        <w:ind w:firstLine="0" w:firstLineChars="0"/>
        <w:rPr>
          <w:rFonts w:ascii="Arial" w:hAnsi="Arial"/>
          <w:sz w:val="20"/>
          <w:szCs w:val="20"/>
        </w:rPr>
      </w:pPr>
      <w:r>
        <w:rPr>
          <w:rFonts w:hint="eastAsia" w:ascii="Arial" w:hAnsi="Arial"/>
          <w:sz w:val="20"/>
          <w:szCs w:val="20"/>
        </w:rPr>
        <w:t>The low-carbon city pilot policy exerts a significant incentive effect on corporate green innovation, particularly in driving green invention patents. This effect is realized through a dual pathway: first, the environmental regulatory pressure and reputational incentives stemming from the policy prompt firms to integrate green innovation into their strategic decisions and increase R&amp;D investment in low-carbon technologies; second, the policy fosters regional environmental improvement and industrial upgrading, attracting specialized talent in fields such as environmental engineering and new energy, thereby optimizing firms' allocation of innovation resources. This study uses the number of independent green patent applications by firms to measure the level of green innovation; a higher number of patent applications indicates a stronger green innovation capability.</w:t>
      </w:r>
    </w:p>
    <w:p w14:paraId="110CE18A">
      <w:pPr>
        <w:pStyle w:val="31"/>
        <w:spacing w:before="0" w:after="0" w:line="240" w:lineRule="auto"/>
        <w:ind w:firstLine="0" w:firstLineChars="0"/>
        <w:rPr>
          <w:rFonts w:ascii="Arial" w:hAnsi="Arial"/>
          <w:sz w:val="20"/>
          <w:szCs w:val="20"/>
        </w:rPr>
      </w:pPr>
    </w:p>
    <w:p w14:paraId="36351924">
      <w:pPr>
        <w:pStyle w:val="31"/>
        <w:spacing w:before="0" w:after="0" w:line="240" w:lineRule="auto"/>
        <w:ind w:firstLine="0" w:firstLineChars="0"/>
        <w:rPr>
          <w:rFonts w:ascii="Arial" w:hAnsi="Arial"/>
          <w:sz w:val="20"/>
          <w:szCs w:val="20"/>
        </w:rPr>
      </w:pPr>
      <w:r>
        <w:rPr>
          <w:rFonts w:hint="eastAsia" w:ascii="Arial" w:hAnsi="Arial"/>
          <w:sz w:val="20"/>
          <w:szCs w:val="20"/>
        </w:rPr>
        <w:t>The regression result in Column (1) of Table 5 shows that, under the influence of the green innovation indicator, the estimated coefficient of the core explanatory variable did is significantly positive at the 5% level. This provides empirical support for Hypothesis H2, "The low-carbon city pilot policy indirectly improves corporate OFDI performance by accelerating corporate green innovation," thus validating the effectiveness of this mechanism.</w:t>
      </w:r>
    </w:p>
    <w:p w14:paraId="2E1241C9">
      <w:pPr>
        <w:rPr>
          <w:lang w:val="en-US" w:eastAsia="zh-CN"/>
        </w:rPr>
      </w:pPr>
    </w:p>
    <w:p w14:paraId="0D728F58">
      <w:pPr>
        <w:pStyle w:val="4"/>
        <w:numPr>
          <w:ilvl w:val="2"/>
          <w:numId w:val="0"/>
        </w:numPr>
        <w:spacing w:before="0" w:after="0" w:line="240" w:lineRule="auto"/>
        <w:rPr>
          <w:rFonts w:eastAsia="宋体"/>
          <w:bCs w:val="0"/>
          <w:sz w:val="20"/>
          <w:szCs w:val="20"/>
          <w:u w:val="single"/>
          <w:lang w:val="en-US" w:eastAsia="zh-CN"/>
        </w:rPr>
      </w:pPr>
      <w:r>
        <w:rPr>
          <w:rFonts w:hint="eastAsia" w:eastAsia="宋体"/>
          <w:bCs w:val="0"/>
          <w:sz w:val="20"/>
          <w:szCs w:val="20"/>
          <w:u w:val="single"/>
          <w:lang w:val="en-US" w:eastAsia="zh-CN"/>
        </w:rPr>
        <w:t>5</w:t>
      </w:r>
      <w:r>
        <w:rPr>
          <w:rFonts w:eastAsia="宋体"/>
          <w:bCs w:val="0"/>
          <w:sz w:val="20"/>
          <w:szCs w:val="20"/>
          <w:u w:val="single"/>
          <w:lang w:val="en-US" w:eastAsia="zh-CN"/>
        </w:rPr>
        <w:t>.6.2</w:t>
      </w:r>
      <w:r>
        <w:rPr>
          <w:rFonts w:hint="eastAsia" w:eastAsia="宋体"/>
          <w:bCs w:val="0"/>
          <w:sz w:val="20"/>
          <w:szCs w:val="20"/>
          <w:u w:val="single"/>
          <w:lang w:val="en-US" w:eastAsia="zh-CN"/>
        </w:rPr>
        <w:t xml:space="preserve"> </w:t>
      </w:r>
      <w:r>
        <w:rPr>
          <w:rFonts w:eastAsia="宋体"/>
          <w:bCs w:val="0"/>
          <w:sz w:val="20"/>
          <w:szCs w:val="20"/>
          <w:u w:val="single"/>
          <w:lang w:val="en-US" w:eastAsia="zh-CN"/>
        </w:rPr>
        <w:t>Digital Transformation Transmission Mechanism</w:t>
      </w:r>
    </w:p>
    <w:p w14:paraId="7EF1D5D7">
      <w:pPr>
        <w:rPr>
          <w:lang w:val="en-US" w:eastAsia="zh-CN"/>
        </w:rPr>
      </w:pPr>
    </w:p>
    <w:p w14:paraId="1EA5A61F">
      <w:pPr>
        <w:pStyle w:val="31"/>
        <w:spacing w:before="0" w:after="0" w:line="240" w:lineRule="auto"/>
        <w:ind w:firstLine="0" w:firstLineChars="0"/>
        <w:rPr>
          <w:rFonts w:ascii="Arial" w:hAnsi="Arial"/>
          <w:sz w:val="20"/>
          <w:szCs w:val="20"/>
        </w:rPr>
      </w:pPr>
      <w:r>
        <w:rPr>
          <w:rFonts w:hint="eastAsia" w:ascii="Arial" w:hAnsi="Arial"/>
          <w:sz w:val="20"/>
          <w:szCs w:val="20"/>
        </w:rPr>
        <w:t>According to the preceding analysis, this paper proposes that the construction of low-carbon cities can advance corporate digital transformation, thereby optimizing OFDI decisions. The logic of this mechanism is that digital transformation can systematically enhance a firm's internationalization capabilities. The "dual transformation synergy" model by Chen et al. (2024) reveals that digital transformation provides key support for firms 'going global' by alleviating financing constraints and strengthening innovation resilience.</w:t>
      </w:r>
    </w:p>
    <w:p w14:paraId="53E2C768">
      <w:pPr>
        <w:pStyle w:val="31"/>
        <w:spacing w:before="0" w:after="0" w:line="240" w:lineRule="auto"/>
        <w:ind w:firstLine="0" w:firstLineChars="0"/>
        <w:rPr>
          <w:rFonts w:ascii="Arial" w:hAnsi="Arial"/>
          <w:sz w:val="20"/>
          <w:szCs w:val="20"/>
        </w:rPr>
      </w:pPr>
    </w:p>
    <w:p w14:paraId="3E08B9F2">
      <w:pPr>
        <w:pStyle w:val="31"/>
        <w:spacing w:before="0" w:after="0" w:line="240" w:lineRule="auto"/>
        <w:ind w:firstLine="0" w:firstLineChars="0"/>
        <w:rPr>
          <w:rFonts w:ascii="Arial" w:hAnsi="Arial"/>
          <w:sz w:val="20"/>
          <w:szCs w:val="20"/>
        </w:rPr>
      </w:pPr>
      <w:r>
        <w:rPr>
          <w:rFonts w:hint="eastAsia" w:ascii="Arial" w:hAnsi="Arial"/>
          <w:sz w:val="20"/>
          <w:szCs w:val="20"/>
        </w:rPr>
        <w:t>Furthermore, the policy prompts firms to reduce their carbon emission intensity, and to achieve this goal, they often leverage digital tools to optimize and monitor production processes. The policy also encourages green technology innovation, where digital technologies play a crucial role in the R&amp;D, application, and promotion of green tech, thus accelerating corporate digital transformation. To validate this mechanism, and following existing research, this paper uses the total amount of a firm's R&amp;D investment to measure its internal R&amp;D input level; a higher total R&amp;D investment indicates a higher level of R&amp;D input.</w:t>
      </w:r>
    </w:p>
    <w:p w14:paraId="6FD25898">
      <w:pPr>
        <w:pStyle w:val="31"/>
        <w:spacing w:before="0" w:after="0" w:line="240" w:lineRule="auto"/>
        <w:ind w:firstLine="0" w:firstLineChars="0"/>
        <w:rPr>
          <w:rFonts w:ascii="Arial" w:hAnsi="Arial"/>
          <w:sz w:val="20"/>
          <w:szCs w:val="20"/>
        </w:rPr>
      </w:pPr>
    </w:p>
    <w:p w14:paraId="739DBDB2">
      <w:pPr>
        <w:pStyle w:val="31"/>
        <w:spacing w:before="0" w:after="0" w:line="240" w:lineRule="auto"/>
        <w:ind w:firstLine="0" w:firstLineChars="0"/>
        <w:rPr>
          <w:rFonts w:ascii="Arial" w:hAnsi="Arial"/>
          <w:sz w:val="20"/>
          <w:szCs w:val="20"/>
        </w:rPr>
      </w:pPr>
      <w:r>
        <w:rPr>
          <w:rFonts w:hint="eastAsia" w:ascii="Arial" w:hAnsi="Arial"/>
          <w:sz w:val="20"/>
          <w:szCs w:val="20"/>
        </w:rPr>
        <w:t>Column (2) of Table 5 reports the impact of the low-carbon city pilot policy on corporate OFDI performance. The result shows that under the influence of the aforementioned indicator, the estimated did coefficient is significantly positive at the 10% level, providing economic evidence for Hypothesis H3 of this paper. In summary, the mechanism proposed—that the low-carbon city pilot policy promotes corporate digital transformation, which in turn advances corporate OFDI performance—is supported by empirical evidence.</w:t>
      </w:r>
    </w:p>
    <w:p w14:paraId="058346E2">
      <w:pPr>
        <w:rPr>
          <w:lang w:val="en-US" w:eastAsia="zh-CN"/>
        </w:rPr>
      </w:pPr>
    </w:p>
    <w:p w14:paraId="18431143">
      <w:pPr>
        <w:widowControl/>
        <w:autoSpaceDE w:val="0"/>
        <w:autoSpaceDN w:val="0"/>
        <w:adjustRightInd w:val="0"/>
        <w:rPr>
          <w:rFonts w:ascii="Arial" w:hAnsi="Arial" w:eastAsia="Times New Roman" w:cs="Arial"/>
          <w:b/>
          <w:bCs/>
          <w:sz w:val="20"/>
          <w:lang w:val="en-US" w:eastAsia="zh-CN"/>
        </w:rPr>
      </w:pPr>
      <w:r>
        <w:rPr>
          <w:rFonts w:ascii="Arial" w:hAnsi="Arial" w:eastAsia="Times New Roman" w:cs="Arial"/>
          <w:b/>
          <w:bCs/>
          <w:sz w:val="20"/>
          <w:lang w:val="en-US" w:eastAsia="zh-CN"/>
        </w:rPr>
        <w:t>Table 5: Mechanism Test Results</w:t>
      </w:r>
    </w:p>
    <w:tbl>
      <w:tblPr>
        <w:tblStyle w:val="20"/>
        <w:tblW w:w="4998" w:type="pct"/>
        <w:tblInd w:w="0" w:type="dxa"/>
        <w:tblLayout w:type="autofit"/>
        <w:tblCellMar>
          <w:top w:w="0" w:type="dxa"/>
          <w:left w:w="108" w:type="dxa"/>
          <w:bottom w:w="0" w:type="dxa"/>
          <w:right w:w="108" w:type="dxa"/>
        </w:tblCellMar>
      </w:tblPr>
      <w:tblGrid>
        <w:gridCol w:w="2937"/>
        <w:gridCol w:w="2939"/>
        <w:gridCol w:w="3362"/>
      </w:tblGrid>
      <w:tr w14:paraId="1CA20D9D">
        <w:tblPrEx>
          <w:tblCellMar>
            <w:top w:w="0" w:type="dxa"/>
            <w:left w:w="108" w:type="dxa"/>
            <w:bottom w:w="0" w:type="dxa"/>
            <w:right w:w="108" w:type="dxa"/>
          </w:tblCellMar>
        </w:tblPrEx>
        <w:trPr>
          <w:trHeight w:val="270" w:hRule="atLeast"/>
        </w:trPr>
        <w:tc>
          <w:tcPr>
            <w:tcW w:w="1589" w:type="pct"/>
            <w:vMerge w:val="restart"/>
            <w:tcBorders>
              <w:top w:val="single" w:color="000000" w:sz="12" w:space="0"/>
              <w:left w:val="nil"/>
              <w:bottom w:val="nil"/>
              <w:right w:val="nil"/>
            </w:tcBorders>
            <w:noWrap/>
            <w:vAlign w:val="center"/>
          </w:tcPr>
          <w:p w14:paraId="5FFA03EA">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rPr>
              <w:t>Variable</w:t>
            </w:r>
          </w:p>
        </w:tc>
        <w:tc>
          <w:tcPr>
            <w:tcW w:w="1590" w:type="pct"/>
            <w:tcBorders>
              <w:top w:val="single" w:color="000000" w:sz="12" w:space="0"/>
              <w:left w:val="nil"/>
              <w:bottom w:val="single" w:color="000000" w:sz="6" w:space="0"/>
              <w:right w:val="nil"/>
            </w:tcBorders>
            <w:noWrap/>
            <w:vAlign w:val="center"/>
          </w:tcPr>
          <w:p w14:paraId="15751A47">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(1)</w:t>
            </w:r>
          </w:p>
        </w:tc>
        <w:tc>
          <w:tcPr>
            <w:tcW w:w="1819" w:type="pct"/>
            <w:tcBorders>
              <w:top w:val="single" w:color="000000" w:sz="12" w:space="0"/>
              <w:left w:val="nil"/>
              <w:bottom w:val="single" w:color="000000" w:sz="6" w:space="0"/>
              <w:right w:val="nil"/>
            </w:tcBorders>
            <w:noWrap/>
            <w:vAlign w:val="center"/>
          </w:tcPr>
          <w:p w14:paraId="487DC958">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lang w:val="en-US" w:eastAsia="zh-CN" w:bidi="ar"/>
              </w:rPr>
              <w:t>(2)</w:t>
            </w:r>
          </w:p>
        </w:tc>
      </w:tr>
      <w:tr w14:paraId="73EA38CA">
        <w:tblPrEx>
          <w:tblCellMar>
            <w:top w:w="0" w:type="dxa"/>
            <w:left w:w="108" w:type="dxa"/>
            <w:bottom w:w="0" w:type="dxa"/>
            <w:right w:w="108" w:type="dxa"/>
          </w:tblCellMar>
        </w:tblPrEx>
        <w:trPr>
          <w:trHeight w:val="270" w:hRule="atLeast"/>
        </w:trPr>
        <w:tc>
          <w:tcPr>
            <w:tcW w:w="1589" w:type="pct"/>
            <w:vMerge w:val="continue"/>
            <w:tcBorders>
              <w:top w:val="nil"/>
              <w:left w:val="nil"/>
              <w:bottom w:val="single" w:color="000000" w:sz="12" w:space="0"/>
              <w:right w:val="nil"/>
            </w:tcBorders>
            <w:noWrap/>
            <w:vAlign w:val="center"/>
          </w:tcPr>
          <w:p w14:paraId="0FF0EEF2">
            <w:pPr>
              <w:jc w:val="center"/>
              <w:rPr>
                <w:rFonts w:ascii="Arial" w:hAnsi="Arial" w:eastAsia="宋体" w:cs="Arial"/>
                <w:b/>
                <w:bCs/>
                <w:color w:val="000000"/>
                <w:sz w:val="20"/>
                <w:szCs w:val="20"/>
              </w:rPr>
            </w:pPr>
          </w:p>
        </w:tc>
        <w:tc>
          <w:tcPr>
            <w:tcW w:w="1590" w:type="pct"/>
            <w:tcBorders>
              <w:top w:val="single" w:color="000000" w:sz="6" w:space="0"/>
              <w:left w:val="nil"/>
              <w:bottom w:val="single" w:color="000000" w:sz="12" w:space="0"/>
              <w:right w:val="nil"/>
            </w:tcBorders>
            <w:noWrap/>
            <w:vAlign w:val="center"/>
          </w:tcPr>
          <w:p w14:paraId="290B6227">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rPr>
              <w:t>Corporate Green Innovation</w:t>
            </w:r>
          </w:p>
        </w:tc>
        <w:tc>
          <w:tcPr>
            <w:tcW w:w="1819" w:type="pct"/>
            <w:tcBorders>
              <w:top w:val="single" w:color="000000" w:sz="6" w:space="0"/>
              <w:left w:val="nil"/>
              <w:bottom w:val="single" w:color="000000" w:sz="12" w:space="0"/>
              <w:right w:val="nil"/>
            </w:tcBorders>
            <w:noWrap/>
            <w:vAlign w:val="center"/>
          </w:tcPr>
          <w:p w14:paraId="34C13A66">
            <w:pPr>
              <w:widowControl/>
              <w:jc w:val="center"/>
              <w:textAlignment w:val="center"/>
              <w:rPr>
                <w:rFonts w:ascii="Arial" w:hAnsi="Arial" w:eastAsia="宋体" w:cs="Arial"/>
                <w:b/>
                <w:bCs/>
                <w:color w:val="000000"/>
                <w:sz w:val="20"/>
                <w:szCs w:val="20"/>
              </w:rPr>
            </w:pPr>
            <w:r>
              <w:rPr>
                <w:rFonts w:ascii="Arial" w:hAnsi="Arial" w:eastAsia="宋体" w:cs="Arial"/>
                <w:b/>
                <w:bCs/>
                <w:color w:val="000000"/>
                <w:sz w:val="20"/>
                <w:szCs w:val="20"/>
              </w:rPr>
              <w:t>Corporate Digital Transformation</w:t>
            </w:r>
          </w:p>
        </w:tc>
      </w:tr>
      <w:tr w14:paraId="3A2D137F">
        <w:tblPrEx>
          <w:tblCellMar>
            <w:top w:w="0" w:type="dxa"/>
            <w:left w:w="108" w:type="dxa"/>
            <w:bottom w:w="0" w:type="dxa"/>
            <w:right w:w="108" w:type="dxa"/>
          </w:tblCellMar>
        </w:tblPrEx>
        <w:trPr>
          <w:trHeight w:val="270" w:hRule="atLeast"/>
        </w:trPr>
        <w:tc>
          <w:tcPr>
            <w:tcW w:w="1589" w:type="pct"/>
            <w:vMerge w:val="restart"/>
            <w:tcBorders>
              <w:top w:val="single" w:color="000000" w:sz="12" w:space="0"/>
              <w:left w:val="nil"/>
              <w:bottom w:val="nil"/>
              <w:right w:val="nil"/>
            </w:tcBorders>
            <w:noWrap/>
            <w:vAlign w:val="center"/>
          </w:tcPr>
          <w:p w14:paraId="7B91802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did</w:t>
            </w:r>
          </w:p>
        </w:tc>
        <w:tc>
          <w:tcPr>
            <w:tcW w:w="1590" w:type="pct"/>
            <w:tcBorders>
              <w:top w:val="single" w:color="000000" w:sz="12" w:space="0"/>
              <w:left w:val="nil"/>
              <w:bottom w:val="nil"/>
              <w:right w:val="nil"/>
            </w:tcBorders>
            <w:noWrap/>
            <w:vAlign w:val="center"/>
          </w:tcPr>
          <w:p w14:paraId="17EDA82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0.497**</w:t>
            </w:r>
          </w:p>
        </w:tc>
        <w:tc>
          <w:tcPr>
            <w:tcW w:w="1819" w:type="pct"/>
            <w:tcBorders>
              <w:top w:val="single" w:color="000000" w:sz="12" w:space="0"/>
              <w:left w:val="nil"/>
              <w:bottom w:val="nil"/>
              <w:right w:val="nil"/>
            </w:tcBorders>
            <w:noWrap/>
            <w:vAlign w:val="center"/>
          </w:tcPr>
          <w:p w14:paraId="1358367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0.0431*</w:t>
            </w:r>
          </w:p>
        </w:tc>
      </w:tr>
      <w:tr w14:paraId="4102B126">
        <w:tblPrEx>
          <w:tblCellMar>
            <w:top w:w="0" w:type="dxa"/>
            <w:left w:w="108" w:type="dxa"/>
            <w:bottom w:w="0" w:type="dxa"/>
            <w:right w:w="108" w:type="dxa"/>
          </w:tblCellMar>
        </w:tblPrEx>
        <w:trPr>
          <w:trHeight w:val="270" w:hRule="atLeast"/>
        </w:trPr>
        <w:tc>
          <w:tcPr>
            <w:tcW w:w="1589" w:type="pct"/>
            <w:vMerge w:val="continue"/>
            <w:tcBorders>
              <w:top w:val="nil"/>
              <w:left w:val="nil"/>
              <w:bottom w:val="nil"/>
              <w:right w:val="nil"/>
            </w:tcBorders>
            <w:noWrap/>
            <w:vAlign w:val="center"/>
          </w:tcPr>
          <w:p w14:paraId="6E51BA70">
            <w:pPr>
              <w:jc w:val="center"/>
              <w:rPr>
                <w:rFonts w:ascii="Arial" w:hAnsi="Arial" w:eastAsia="宋体" w:cs="Arial"/>
                <w:color w:val="000000"/>
                <w:sz w:val="20"/>
                <w:szCs w:val="20"/>
              </w:rPr>
            </w:pPr>
          </w:p>
        </w:tc>
        <w:tc>
          <w:tcPr>
            <w:tcW w:w="1590" w:type="pct"/>
            <w:tcBorders>
              <w:top w:val="nil"/>
              <w:left w:val="nil"/>
              <w:bottom w:val="nil"/>
              <w:right w:val="nil"/>
            </w:tcBorders>
            <w:noWrap/>
            <w:vAlign w:val="center"/>
          </w:tcPr>
          <w:p w14:paraId="506A499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(0.196)</w:t>
            </w:r>
          </w:p>
        </w:tc>
        <w:tc>
          <w:tcPr>
            <w:tcW w:w="1819" w:type="pct"/>
            <w:tcBorders>
              <w:top w:val="nil"/>
              <w:left w:val="nil"/>
              <w:bottom w:val="nil"/>
              <w:right w:val="nil"/>
            </w:tcBorders>
            <w:noWrap/>
            <w:vAlign w:val="center"/>
          </w:tcPr>
          <w:p w14:paraId="1895AC61">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(0.0250)</w:t>
            </w:r>
          </w:p>
        </w:tc>
      </w:tr>
      <w:tr w14:paraId="48C9C4D5">
        <w:tblPrEx>
          <w:tblCellMar>
            <w:top w:w="0" w:type="dxa"/>
            <w:left w:w="108" w:type="dxa"/>
            <w:bottom w:w="0" w:type="dxa"/>
            <w:right w:w="108" w:type="dxa"/>
          </w:tblCellMar>
        </w:tblPrEx>
        <w:trPr>
          <w:trHeight w:val="270" w:hRule="atLeast"/>
        </w:trPr>
        <w:tc>
          <w:tcPr>
            <w:tcW w:w="1589" w:type="pct"/>
            <w:vMerge w:val="restart"/>
            <w:tcBorders>
              <w:top w:val="nil"/>
              <w:left w:val="nil"/>
              <w:bottom w:val="nil"/>
              <w:right w:val="nil"/>
            </w:tcBorders>
            <w:noWrap/>
            <w:vAlign w:val="center"/>
          </w:tcPr>
          <w:p w14:paraId="1F52C33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Constant</w:t>
            </w:r>
          </w:p>
        </w:tc>
        <w:tc>
          <w:tcPr>
            <w:tcW w:w="1590" w:type="pct"/>
            <w:tcBorders>
              <w:top w:val="nil"/>
              <w:left w:val="nil"/>
              <w:bottom w:val="nil"/>
              <w:right w:val="nil"/>
            </w:tcBorders>
            <w:noWrap/>
            <w:vAlign w:val="center"/>
          </w:tcPr>
          <w:p w14:paraId="4517E89A">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-8.232***</w:t>
            </w:r>
          </w:p>
        </w:tc>
        <w:tc>
          <w:tcPr>
            <w:tcW w:w="1819" w:type="pct"/>
            <w:tcBorders>
              <w:top w:val="nil"/>
              <w:left w:val="nil"/>
              <w:bottom w:val="nil"/>
              <w:right w:val="nil"/>
            </w:tcBorders>
            <w:noWrap/>
            <w:vAlign w:val="center"/>
          </w:tcPr>
          <w:p w14:paraId="41432AB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-4.387***</w:t>
            </w:r>
          </w:p>
        </w:tc>
      </w:tr>
      <w:tr w14:paraId="6093AE02">
        <w:tblPrEx>
          <w:tblCellMar>
            <w:top w:w="0" w:type="dxa"/>
            <w:left w:w="108" w:type="dxa"/>
            <w:bottom w:w="0" w:type="dxa"/>
            <w:right w:w="108" w:type="dxa"/>
          </w:tblCellMar>
        </w:tblPrEx>
        <w:trPr>
          <w:trHeight w:val="270" w:hRule="atLeast"/>
        </w:trPr>
        <w:tc>
          <w:tcPr>
            <w:tcW w:w="1589" w:type="pct"/>
            <w:vMerge w:val="continue"/>
            <w:tcBorders>
              <w:top w:val="nil"/>
              <w:left w:val="nil"/>
              <w:bottom w:val="nil"/>
              <w:right w:val="nil"/>
            </w:tcBorders>
            <w:noWrap/>
            <w:vAlign w:val="center"/>
          </w:tcPr>
          <w:p w14:paraId="7F90F4DE">
            <w:pPr>
              <w:jc w:val="center"/>
              <w:rPr>
                <w:rFonts w:ascii="Arial" w:hAnsi="Arial" w:eastAsia="宋体" w:cs="Arial"/>
                <w:color w:val="000000"/>
                <w:sz w:val="20"/>
                <w:szCs w:val="20"/>
              </w:rPr>
            </w:pPr>
          </w:p>
        </w:tc>
        <w:tc>
          <w:tcPr>
            <w:tcW w:w="1590" w:type="pct"/>
            <w:tcBorders>
              <w:top w:val="nil"/>
              <w:left w:val="nil"/>
              <w:bottom w:val="nil"/>
              <w:right w:val="nil"/>
            </w:tcBorders>
            <w:noWrap/>
            <w:vAlign w:val="center"/>
          </w:tcPr>
          <w:p w14:paraId="770EF28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(3.154)</w:t>
            </w:r>
          </w:p>
        </w:tc>
        <w:tc>
          <w:tcPr>
            <w:tcW w:w="1819" w:type="pct"/>
            <w:tcBorders>
              <w:top w:val="nil"/>
              <w:left w:val="nil"/>
              <w:bottom w:val="nil"/>
              <w:right w:val="nil"/>
            </w:tcBorders>
            <w:noWrap/>
            <w:vAlign w:val="center"/>
          </w:tcPr>
          <w:p w14:paraId="137A943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(0.401)</w:t>
            </w:r>
          </w:p>
        </w:tc>
      </w:tr>
      <w:tr w14:paraId="26D090D5">
        <w:tblPrEx>
          <w:tblCellMar>
            <w:top w:w="0" w:type="dxa"/>
            <w:left w:w="108" w:type="dxa"/>
            <w:bottom w:w="0" w:type="dxa"/>
            <w:right w:w="108" w:type="dxa"/>
          </w:tblCellMar>
        </w:tblPrEx>
        <w:trPr>
          <w:trHeight w:val="270" w:hRule="atLeast"/>
        </w:trPr>
        <w:tc>
          <w:tcPr>
            <w:tcW w:w="1589" w:type="pct"/>
            <w:tcBorders>
              <w:top w:val="nil"/>
              <w:left w:val="nil"/>
              <w:bottom w:val="nil"/>
              <w:right w:val="nil"/>
            </w:tcBorders>
            <w:noWrap/>
            <w:vAlign w:val="center"/>
          </w:tcPr>
          <w:p w14:paraId="1C8761E3">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Controls</w:t>
            </w:r>
          </w:p>
        </w:tc>
        <w:tc>
          <w:tcPr>
            <w:tcW w:w="1590" w:type="pct"/>
            <w:tcBorders>
              <w:top w:val="nil"/>
              <w:left w:val="nil"/>
              <w:bottom w:val="nil"/>
              <w:right w:val="nil"/>
            </w:tcBorders>
            <w:noWrap/>
            <w:vAlign w:val="center"/>
          </w:tcPr>
          <w:p w14:paraId="10C30F2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1819" w:type="pct"/>
            <w:tcBorders>
              <w:top w:val="nil"/>
              <w:left w:val="nil"/>
              <w:bottom w:val="nil"/>
              <w:right w:val="nil"/>
            </w:tcBorders>
            <w:noWrap/>
            <w:vAlign w:val="center"/>
          </w:tcPr>
          <w:p w14:paraId="2629A5F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r>
      <w:tr w14:paraId="497479D7">
        <w:tblPrEx>
          <w:tblCellMar>
            <w:top w:w="0" w:type="dxa"/>
            <w:left w:w="108" w:type="dxa"/>
            <w:bottom w:w="0" w:type="dxa"/>
            <w:right w:w="108" w:type="dxa"/>
          </w:tblCellMar>
        </w:tblPrEx>
        <w:trPr>
          <w:trHeight w:val="270" w:hRule="atLeast"/>
        </w:trPr>
        <w:tc>
          <w:tcPr>
            <w:tcW w:w="1589" w:type="pct"/>
            <w:tcBorders>
              <w:top w:val="nil"/>
              <w:left w:val="nil"/>
              <w:bottom w:val="nil"/>
              <w:right w:val="nil"/>
            </w:tcBorders>
            <w:noWrap/>
            <w:vAlign w:val="center"/>
          </w:tcPr>
          <w:p w14:paraId="2A50F347">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Firm FE</w:t>
            </w:r>
          </w:p>
        </w:tc>
        <w:tc>
          <w:tcPr>
            <w:tcW w:w="1590" w:type="pct"/>
            <w:tcBorders>
              <w:top w:val="nil"/>
              <w:left w:val="nil"/>
              <w:bottom w:val="nil"/>
              <w:right w:val="nil"/>
            </w:tcBorders>
            <w:noWrap/>
            <w:vAlign w:val="center"/>
          </w:tcPr>
          <w:p w14:paraId="7E91B199">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1819" w:type="pct"/>
            <w:tcBorders>
              <w:top w:val="nil"/>
              <w:left w:val="nil"/>
              <w:bottom w:val="nil"/>
              <w:right w:val="nil"/>
            </w:tcBorders>
            <w:noWrap/>
            <w:vAlign w:val="center"/>
          </w:tcPr>
          <w:p w14:paraId="36572D6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r>
      <w:tr w14:paraId="196634D6">
        <w:tblPrEx>
          <w:tblCellMar>
            <w:top w:w="0" w:type="dxa"/>
            <w:left w:w="108" w:type="dxa"/>
            <w:bottom w:w="0" w:type="dxa"/>
            <w:right w:w="108" w:type="dxa"/>
          </w:tblCellMar>
        </w:tblPrEx>
        <w:trPr>
          <w:trHeight w:val="270" w:hRule="atLeast"/>
        </w:trPr>
        <w:tc>
          <w:tcPr>
            <w:tcW w:w="1589" w:type="pct"/>
            <w:tcBorders>
              <w:top w:val="nil"/>
              <w:left w:val="nil"/>
              <w:bottom w:val="nil"/>
              <w:right w:val="nil"/>
            </w:tcBorders>
            <w:noWrap/>
            <w:vAlign w:val="center"/>
          </w:tcPr>
          <w:p w14:paraId="14730F44">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Year FE</w:t>
            </w:r>
          </w:p>
        </w:tc>
        <w:tc>
          <w:tcPr>
            <w:tcW w:w="1590" w:type="pct"/>
            <w:tcBorders>
              <w:top w:val="nil"/>
              <w:left w:val="nil"/>
              <w:bottom w:val="nil"/>
              <w:right w:val="nil"/>
            </w:tcBorders>
            <w:noWrap/>
            <w:vAlign w:val="center"/>
          </w:tcPr>
          <w:p w14:paraId="1D1D553C">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c>
          <w:tcPr>
            <w:tcW w:w="1819" w:type="pct"/>
            <w:tcBorders>
              <w:top w:val="nil"/>
              <w:left w:val="nil"/>
              <w:bottom w:val="nil"/>
              <w:right w:val="nil"/>
            </w:tcBorders>
            <w:noWrap/>
            <w:vAlign w:val="center"/>
          </w:tcPr>
          <w:p w14:paraId="095B94C0">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Yes</w:t>
            </w:r>
          </w:p>
        </w:tc>
      </w:tr>
      <w:tr w14:paraId="4D50732F">
        <w:tblPrEx>
          <w:tblCellMar>
            <w:top w:w="0" w:type="dxa"/>
            <w:left w:w="108" w:type="dxa"/>
            <w:bottom w:w="0" w:type="dxa"/>
            <w:right w:w="108" w:type="dxa"/>
          </w:tblCellMar>
        </w:tblPrEx>
        <w:trPr>
          <w:trHeight w:val="270" w:hRule="atLeast"/>
        </w:trPr>
        <w:tc>
          <w:tcPr>
            <w:tcW w:w="1589" w:type="pct"/>
            <w:tcBorders>
              <w:top w:val="nil"/>
              <w:left w:val="nil"/>
              <w:bottom w:val="nil"/>
              <w:right w:val="nil"/>
            </w:tcBorders>
            <w:noWrap/>
            <w:vAlign w:val="center"/>
          </w:tcPr>
          <w:p w14:paraId="0105BA3B">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rPr>
              <w:t>Observations</w:t>
            </w:r>
          </w:p>
        </w:tc>
        <w:tc>
          <w:tcPr>
            <w:tcW w:w="1590" w:type="pct"/>
            <w:tcBorders>
              <w:top w:val="nil"/>
              <w:left w:val="nil"/>
              <w:bottom w:val="nil"/>
              <w:right w:val="nil"/>
            </w:tcBorders>
            <w:noWrap/>
            <w:vAlign w:val="center"/>
          </w:tcPr>
          <w:p w14:paraId="53C61DA8">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20,869</w:t>
            </w:r>
          </w:p>
        </w:tc>
        <w:tc>
          <w:tcPr>
            <w:tcW w:w="1819" w:type="pct"/>
            <w:tcBorders>
              <w:top w:val="nil"/>
              <w:left w:val="nil"/>
              <w:bottom w:val="nil"/>
              <w:right w:val="nil"/>
            </w:tcBorders>
            <w:noWrap/>
            <w:vAlign w:val="center"/>
          </w:tcPr>
          <w:p w14:paraId="726CA706">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20,843</w:t>
            </w:r>
          </w:p>
        </w:tc>
      </w:tr>
      <w:tr w14:paraId="47A66400">
        <w:tblPrEx>
          <w:tblCellMar>
            <w:top w:w="0" w:type="dxa"/>
            <w:left w:w="108" w:type="dxa"/>
            <w:bottom w:w="0" w:type="dxa"/>
            <w:right w:w="108" w:type="dxa"/>
          </w:tblCellMar>
        </w:tblPrEx>
        <w:trPr>
          <w:trHeight w:val="270" w:hRule="atLeast"/>
        </w:trPr>
        <w:tc>
          <w:tcPr>
            <w:tcW w:w="1589" w:type="pct"/>
            <w:tcBorders>
              <w:top w:val="nil"/>
              <w:left w:val="nil"/>
              <w:bottom w:val="single" w:color="000000" w:sz="12" w:space="0"/>
              <w:right w:val="nil"/>
            </w:tcBorders>
            <w:noWrap/>
            <w:vAlign w:val="center"/>
          </w:tcPr>
          <w:p w14:paraId="225FC265">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R</w:t>
            </w:r>
            <w:r>
              <w:rPr>
                <w:rFonts w:ascii="Arial" w:hAnsi="Arial" w:eastAsia="宋体" w:cs="Arial"/>
                <w:color w:val="000000"/>
                <w:sz w:val="20"/>
                <w:szCs w:val="20"/>
                <w:vertAlign w:val="superscript"/>
                <w:lang w:val="en-US" w:eastAsia="zh-CN" w:bidi="ar"/>
              </w:rPr>
              <w:t>2</w:t>
            </w:r>
          </w:p>
        </w:tc>
        <w:tc>
          <w:tcPr>
            <w:tcW w:w="1590" w:type="pct"/>
            <w:tcBorders>
              <w:top w:val="nil"/>
              <w:left w:val="nil"/>
              <w:bottom w:val="single" w:color="000000" w:sz="12" w:space="0"/>
              <w:right w:val="nil"/>
            </w:tcBorders>
            <w:noWrap/>
            <w:vAlign w:val="center"/>
          </w:tcPr>
          <w:p w14:paraId="4EB15AE2">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0.574</w:t>
            </w:r>
          </w:p>
        </w:tc>
        <w:tc>
          <w:tcPr>
            <w:tcW w:w="1819" w:type="pct"/>
            <w:tcBorders>
              <w:top w:val="nil"/>
              <w:left w:val="nil"/>
              <w:bottom w:val="single" w:color="000000" w:sz="12" w:space="0"/>
              <w:right w:val="nil"/>
            </w:tcBorders>
            <w:noWrap/>
            <w:vAlign w:val="center"/>
          </w:tcPr>
          <w:p w14:paraId="04F860CE">
            <w:pPr>
              <w:widowControl/>
              <w:jc w:val="center"/>
              <w:textAlignment w:val="center"/>
              <w:rPr>
                <w:rFonts w:ascii="Arial" w:hAnsi="Arial" w:eastAsia="宋体" w:cs="Arial"/>
                <w:color w:val="000000"/>
                <w:sz w:val="20"/>
                <w:szCs w:val="20"/>
              </w:rPr>
            </w:pPr>
            <w:r>
              <w:rPr>
                <w:rFonts w:ascii="Arial" w:hAnsi="Arial" w:eastAsia="宋体" w:cs="Arial"/>
                <w:color w:val="000000"/>
                <w:sz w:val="20"/>
                <w:szCs w:val="20"/>
                <w:lang w:val="en-US" w:eastAsia="zh-CN" w:bidi="ar"/>
              </w:rPr>
              <w:t>0.824</w:t>
            </w:r>
          </w:p>
        </w:tc>
      </w:tr>
    </w:tbl>
    <w:p w14:paraId="5557316F">
      <w:pPr>
        <w:pStyle w:val="44"/>
        <w:widowControl/>
        <w:spacing w:after="0"/>
        <w:rPr>
          <w:rFonts w:ascii="Arial" w:hAnsi="Arial" w:eastAsia="Times New Roman" w:cs="Arial"/>
          <w:szCs w:val="20"/>
          <w:lang w:val="en-US" w:eastAsia="zh-CN"/>
        </w:rPr>
      </w:pPr>
    </w:p>
    <w:p w14:paraId="0D105C93">
      <w:pPr>
        <w:pStyle w:val="44"/>
        <w:widowControl/>
        <w:spacing w:after="0"/>
        <w:rPr>
          <w:rFonts w:ascii="Arial" w:hAnsi="Arial" w:eastAsia="Times New Roman" w:cs="Arial"/>
          <w:szCs w:val="20"/>
          <w:lang w:val="en-US" w:eastAsia="zh-CN"/>
        </w:rPr>
      </w:pPr>
      <w:r>
        <w:rPr>
          <w:rFonts w:hint="eastAsia" w:ascii="Arial" w:hAnsi="Arial" w:eastAsia="Times New Roman" w:cs="Arial"/>
          <w:szCs w:val="20"/>
          <w:lang w:val="en-US" w:eastAsia="zh-CN"/>
        </w:rPr>
        <w:t>6</w:t>
      </w:r>
      <w:r>
        <w:rPr>
          <w:rFonts w:ascii="Arial" w:hAnsi="Arial" w:eastAsia="Times New Roman" w:cs="Arial"/>
          <w:szCs w:val="20"/>
          <w:lang w:val="en-US" w:eastAsia="zh-CN"/>
        </w:rPr>
        <w:t>.</w:t>
      </w:r>
      <w:r>
        <w:rPr>
          <w:rFonts w:hint="eastAsia" w:ascii="Arial" w:hAnsi="Arial" w:eastAsia="Times New Roman" w:cs="Arial"/>
          <w:szCs w:val="20"/>
          <w:lang w:val="en-US" w:eastAsia="zh-CN"/>
        </w:rPr>
        <w:t xml:space="preserve"> Research Conclusions and Policy Recommendations</w:t>
      </w:r>
    </w:p>
    <w:p w14:paraId="47BC206F">
      <w:pPr>
        <w:pStyle w:val="44"/>
        <w:widowControl/>
        <w:spacing w:after="0"/>
        <w:rPr>
          <w:rFonts w:ascii="Arial" w:hAnsi="Arial" w:eastAsia="Times New Roman" w:cs="Arial"/>
          <w:szCs w:val="20"/>
          <w:lang w:val="en-US" w:eastAsia="zh-CN"/>
        </w:rPr>
      </w:pPr>
    </w:p>
    <w:p w14:paraId="1AD0B832">
      <w:pPr>
        <w:pStyle w:val="44"/>
        <w:widowControl/>
        <w:spacing w:after="0"/>
        <w:rPr>
          <w:rFonts w:hint="eastAsia" w:ascii="Arial" w:hAnsi="Arial" w:eastAsia="Times New Roman" w:cs="Arial"/>
          <w:szCs w:val="20"/>
          <w:highlight w:val="yellow"/>
          <w:lang w:val="en-US" w:eastAsia="zh-CN"/>
        </w:rPr>
      </w:pPr>
      <w:r>
        <w:rPr>
          <w:rFonts w:hint="eastAsia" w:ascii="Arial" w:hAnsi="Arial" w:eastAsia="Times New Roman" w:cs="Arial"/>
          <w:szCs w:val="20"/>
          <w:highlight w:val="yellow"/>
          <w:lang w:val="en-US" w:eastAsia="zh-CN"/>
        </w:rPr>
        <w:t>6.1 Research Conclusions</w:t>
      </w:r>
    </w:p>
    <w:p w14:paraId="57E026B2">
      <w:pPr>
        <w:pStyle w:val="44"/>
        <w:widowControl/>
        <w:spacing w:after="0"/>
        <w:rPr>
          <w:rFonts w:hint="eastAsia" w:ascii="Arial" w:hAnsi="Arial" w:eastAsia="Times New Roman" w:cs="Arial"/>
          <w:szCs w:val="20"/>
          <w:lang w:val="en-US" w:eastAsia="zh-CN"/>
        </w:rPr>
      </w:pPr>
    </w:p>
    <w:p w14:paraId="17352289">
      <w:pPr>
        <w:pStyle w:val="31"/>
        <w:spacing w:before="0" w:after="0" w:line="240" w:lineRule="auto"/>
        <w:ind w:firstLine="0" w:firstLineChars="0"/>
        <w:rPr>
          <w:rFonts w:ascii="Arial" w:hAnsi="Arial"/>
          <w:sz w:val="20"/>
          <w:szCs w:val="20"/>
        </w:rPr>
      </w:pPr>
      <w:r>
        <w:rPr>
          <w:rFonts w:hint="eastAsia" w:ascii="Arial" w:hAnsi="Arial"/>
          <w:sz w:val="20"/>
          <w:szCs w:val="20"/>
        </w:rPr>
        <w:t>Using a multi-period Difference-in-Differences model, this study finds that China's low-carbon city pilot policy significantly promotes corporate Outward Foreign Direct Investment (OFDI). This promotional effect is most pronounced for firms in large cities, central cities, and key environmental protection cities, where firms are better positioned to leverage their advantages or respond to stricter regulations.</w:t>
      </w:r>
    </w:p>
    <w:p w14:paraId="6C7A9DEF">
      <w:pPr>
        <w:pStyle w:val="31"/>
        <w:spacing w:before="0" w:after="0" w:line="240" w:lineRule="auto"/>
        <w:ind w:firstLine="0" w:firstLineChars="0"/>
        <w:rPr>
          <w:rFonts w:hint="eastAsia" w:ascii="Arial" w:hAnsi="Arial"/>
          <w:sz w:val="20"/>
          <w:szCs w:val="20"/>
        </w:rPr>
      </w:pPr>
      <w:r>
        <w:rPr>
          <w:rFonts w:hint="eastAsia" w:ascii="Arial" w:hAnsi="Arial"/>
          <w:sz w:val="20"/>
          <w:szCs w:val="20"/>
        </w:rPr>
        <w:t>The primary mechanisms driving this effect are green innovation and digital transformation. The policy encourages firms to develop low-carbon products that meet international market demands and to adopt digital technologies that improve production efficiency and management. Both pathways enhance firms' international competitiveness, thereby stimulating OFDI.</w:t>
      </w:r>
    </w:p>
    <w:p w14:paraId="50BA4BC8">
      <w:pPr>
        <w:rPr>
          <w:rFonts w:hint="eastAsia"/>
        </w:rPr>
      </w:pPr>
    </w:p>
    <w:p w14:paraId="48B357BD">
      <w:pPr>
        <w:pStyle w:val="31"/>
        <w:spacing w:before="0" w:after="0" w:line="240" w:lineRule="auto"/>
        <w:ind w:firstLine="0" w:firstLineChars="0"/>
        <w:rPr>
          <w:rFonts w:hint="eastAsia" w:ascii="Arial" w:hAnsi="Arial" w:cs="Arial"/>
          <w:sz w:val="20"/>
          <w:szCs w:val="20"/>
          <w:highlight w:val="yellow"/>
        </w:rPr>
      </w:pPr>
      <w:r>
        <w:rPr>
          <w:rFonts w:hint="eastAsia" w:ascii="Arial" w:hAnsi="Arial" w:cs="Arial"/>
          <w:sz w:val="20"/>
          <w:szCs w:val="20"/>
          <w:highlight w:val="yellow"/>
        </w:rPr>
        <w:t>From a theoretical perspective, the findings of this study provide robust empirical support for the 'Green Competitive Advantage' theory</w:t>
      </w:r>
      <w:r>
        <w:rPr>
          <w:rFonts w:hint="eastAsia" w:ascii="Arial" w:hAnsi="Arial" w:cs="Arial"/>
          <w:sz w:val="20"/>
          <w:szCs w:val="20"/>
          <w:highlight w:val="yellow"/>
          <w:lang w:val="en-US" w:eastAsia="zh-CN"/>
        </w:rPr>
        <w:t xml:space="preserve">. </w:t>
      </w:r>
      <w:r>
        <w:rPr>
          <w:rFonts w:hint="eastAsia" w:ascii="Arial" w:hAnsi="Arial" w:cs="Arial"/>
          <w:sz w:val="20"/>
          <w:szCs w:val="20"/>
          <w:highlight w:val="yellow"/>
        </w:rPr>
        <w:t>This theory posits that well-designed environmental regulations can stimulate corporate innovation, potentially offsetting or even exceeding the compliance costs, and ultimately enhancing firms' international competitiveness. Our research confirms that the LCCP policy positively influences corporate OFDI primarily by fostering green innovation and digital transformation. This suggests that the 'innovation-offset effect' engendered by the policy outweighs the 'compliance cost effect' in aggregate. Although firms may bear additional transition costs in the short term, the technological and managerial advantages forged under regulatory pressure become a core driver of their international expansion. This conclusion offers new insights into the complex relationship between environmental regulation and corporate internationalization.</w:t>
      </w:r>
    </w:p>
    <w:p w14:paraId="2EFE30FC">
      <w:pPr>
        <w:rPr>
          <w:rFonts w:hint="eastAsia"/>
        </w:rPr>
      </w:pPr>
    </w:p>
    <w:p w14:paraId="36F4E01D">
      <w:pPr>
        <w:pStyle w:val="44"/>
        <w:widowControl/>
        <w:spacing w:after="0"/>
        <w:rPr>
          <w:rFonts w:hint="eastAsia"/>
          <w:highlight w:val="yellow"/>
        </w:rPr>
      </w:pPr>
      <w:r>
        <w:rPr>
          <w:rFonts w:hint="eastAsia" w:ascii="Arial" w:hAnsi="Arial" w:eastAsia="Times New Roman" w:cs="Arial"/>
          <w:szCs w:val="20"/>
          <w:highlight w:val="yellow"/>
          <w:lang w:val="en-US" w:eastAsia="zh-CN"/>
        </w:rPr>
        <w:t>6.2 Policy Recommendations</w:t>
      </w:r>
    </w:p>
    <w:p w14:paraId="5D6ECBBB">
      <w:pPr>
        <w:rPr>
          <w:rFonts w:hint="eastAsia"/>
        </w:rPr>
      </w:pPr>
    </w:p>
    <w:p w14:paraId="3709D48F">
      <w:pPr>
        <w:pStyle w:val="31"/>
        <w:spacing w:before="0" w:after="0" w:line="240" w:lineRule="auto"/>
        <w:ind w:firstLine="0" w:firstLineChars="0"/>
        <w:rPr>
          <w:rFonts w:ascii="Arial" w:hAnsi="Arial"/>
          <w:sz w:val="20"/>
          <w:szCs w:val="20"/>
        </w:rPr>
      </w:pPr>
      <w:r>
        <w:rPr>
          <w:rFonts w:hint="eastAsia" w:ascii="Arial" w:hAnsi="Arial"/>
          <w:sz w:val="20"/>
          <w:szCs w:val="20"/>
        </w:rPr>
        <w:t>Based on these findings, the following recommendations are proposed:</w:t>
      </w:r>
    </w:p>
    <w:p w14:paraId="0F2C39CF">
      <w:pPr>
        <w:pStyle w:val="31"/>
        <w:spacing w:before="0" w:after="0" w:line="240" w:lineRule="auto"/>
        <w:ind w:firstLine="0" w:firstLineChars="0"/>
        <w:rPr>
          <w:rFonts w:ascii="Arial" w:hAnsi="Arial"/>
          <w:sz w:val="20"/>
          <w:szCs w:val="20"/>
        </w:rPr>
      </w:pPr>
      <w:r>
        <w:rPr>
          <w:rFonts w:hint="eastAsia" w:ascii="Arial" w:hAnsi="Arial"/>
          <w:b/>
          <w:bCs/>
          <w:sz w:val="20"/>
          <w:szCs w:val="20"/>
          <w:highlight w:val="yellow"/>
          <w:u w:val="single"/>
          <w:lang w:val="en-US" w:eastAsia="zh-CN"/>
        </w:rPr>
        <w:t>S</w:t>
      </w:r>
      <w:r>
        <w:rPr>
          <w:rFonts w:hint="eastAsia" w:ascii="Arial" w:hAnsi="Arial"/>
          <w:b/>
          <w:bCs/>
          <w:sz w:val="20"/>
          <w:szCs w:val="20"/>
          <w:highlight w:val="yellow"/>
          <w:u w:val="single"/>
        </w:rPr>
        <w:t>trengthen Policy Guidance and Corporate Strategy.</w:t>
      </w:r>
      <w:r>
        <w:rPr>
          <w:rFonts w:hint="eastAsia" w:ascii="Arial" w:hAnsi="Arial"/>
          <w:b/>
          <w:bCs/>
          <w:sz w:val="20"/>
          <w:szCs w:val="20"/>
          <w:highlight w:val="yellow"/>
        </w:rPr>
        <w:t xml:space="preserve"> </w:t>
      </w:r>
      <w:r>
        <w:rPr>
          <w:rFonts w:hint="eastAsia" w:ascii="Arial" w:hAnsi="Arial"/>
          <w:sz w:val="20"/>
          <w:szCs w:val="20"/>
        </w:rPr>
        <w:t>Governments should enhance the low-carbon policy system with financial incentives like special funds, subsidies, and tax relief, while guiding financial institutions toward green finance. In parallel, firms must proactively integrate low-carbon concepts into their core strategic planning and daily operations.</w:t>
      </w:r>
    </w:p>
    <w:p w14:paraId="2EB27518">
      <w:pPr>
        <w:pStyle w:val="31"/>
        <w:spacing w:before="0" w:after="0" w:line="240" w:lineRule="auto"/>
        <w:ind w:firstLine="0" w:firstLineChars="0"/>
        <w:rPr>
          <w:rFonts w:ascii="Arial" w:hAnsi="Arial"/>
          <w:sz w:val="20"/>
          <w:szCs w:val="20"/>
        </w:rPr>
      </w:pPr>
      <w:r>
        <w:rPr>
          <w:rFonts w:hint="eastAsia" w:ascii="Arial" w:hAnsi="Arial"/>
          <w:b/>
          <w:bCs/>
          <w:sz w:val="20"/>
          <w:szCs w:val="20"/>
          <w:highlight w:val="yellow"/>
          <w:u w:val="single"/>
        </w:rPr>
        <w:t>Deepen Technological Innovation and Talent Development.</w:t>
      </w:r>
      <w:r>
        <w:rPr>
          <w:rFonts w:hint="eastAsia" w:ascii="Arial" w:hAnsi="Arial"/>
          <w:sz w:val="20"/>
          <w:szCs w:val="20"/>
        </w:rPr>
        <w:t xml:space="preserve"> Governments should increase investment in green R&amp;D and foster collaborative innovation platforms between industry and academia. Enterprises must respond by increasing their own R&amp;D spending, cultivating high-quality technical talent, and engaging in international cooperation to accelerate technological development.</w:t>
      </w:r>
    </w:p>
    <w:p w14:paraId="0F42EAB8">
      <w:pPr>
        <w:pStyle w:val="31"/>
        <w:spacing w:before="0" w:after="0" w:line="240" w:lineRule="auto"/>
        <w:ind w:firstLine="0" w:firstLineChars="0"/>
        <w:rPr>
          <w:rFonts w:hint="eastAsia" w:ascii="Arial" w:hAnsi="Arial"/>
          <w:sz w:val="20"/>
          <w:szCs w:val="20"/>
        </w:rPr>
      </w:pPr>
      <w:r>
        <w:rPr>
          <w:rFonts w:hint="eastAsia" w:ascii="Arial" w:hAnsi="Arial"/>
          <w:b/>
          <w:bCs/>
          <w:sz w:val="20"/>
          <w:szCs w:val="20"/>
          <w:highlight w:val="yellow"/>
          <w:u w:val="single"/>
        </w:rPr>
        <w:t>Accelerate Digital Transformation</w:t>
      </w:r>
      <w:r>
        <w:rPr>
          <w:rFonts w:hint="eastAsia" w:ascii="Arial" w:hAnsi="Arial"/>
          <w:b/>
          <w:bCs/>
          <w:strike w:val="0"/>
          <w:dstrike w:val="0"/>
          <w:sz w:val="20"/>
          <w:szCs w:val="20"/>
          <w:highlight w:val="yellow"/>
          <w:u w:val="single"/>
        </w:rPr>
        <w:t>.</w:t>
      </w:r>
      <w:r>
        <w:rPr>
          <w:rFonts w:hint="eastAsia" w:ascii="Arial" w:hAnsi="Arial"/>
          <w:sz w:val="20"/>
          <w:szCs w:val="20"/>
        </w:rPr>
        <w:t xml:space="preserve"> Governments should support corporate digitalization through dedicated funds, subsidies, and the construction of high-quality digital infrastructure. Firms should actively invest in digital systems and talent, using technologies like AI and big data to achieve comprehensive upgrades in production and management.</w:t>
      </w:r>
    </w:p>
    <w:p w14:paraId="4FA8EE78"/>
    <w:p w14:paraId="153355E2">
      <w:pPr>
        <w:pStyle w:val="44"/>
        <w:widowControl/>
        <w:spacing w:after="0"/>
        <w:rPr>
          <w:rFonts w:hint="eastAsia" w:ascii="Arial" w:hAnsi="Arial" w:eastAsia="Times New Roman" w:cs="Arial"/>
          <w:szCs w:val="20"/>
          <w:lang w:val="en-US" w:eastAsia="zh-CN"/>
        </w:rPr>
      </w:pPr>
      <w:r>
        <w:rPr>
          <w:rFonts w:hint="eastAsia" w:ascii="Arial" w:hAnsi="Arial" w:eastAsia="Times New Roman" w:cs="Arial"/>
          <w:szCs w:val="20"/>
          <w:lang w:val="en-US" w:eastAsia="zh-CN"/>
        </w:rPr>
        <w:t>6.3 Limitations and Future Research</w:t>
      </w:r>
    </w:p>
    <w:p w14:paraId="3A758F92">
      <w:pPr>
        <w:rPr>
          <w:lang w:val="en-US" w:eastAsia="zh-CN"/>
        </w:rPr>
      </w:pPr>
    </w:p>
    <w:p w14:paraId="538D0DFF">
      <w:pPr>
        <w:pStyle w:val="31"/>
        <w:spacing w:before="0" w:after="0" w:line="240" w:lineRule="auto"/>
        <w:ind w:firstLine="0" w:firstLineChars="0"/>
        <w:rPr>
          <w:rFonts w:hint="eastAsia" w:ascii="Arial" w:hAnsi="Arial" w:cs="Arial"/>
          <w:sz w:val="20"/>
          <w:szCs w:val="20"/>
          <w:highlight w:val="yellow"/>
          <w:lang w:val="en-US" w:eastAsia="zh-CN"/>
        </w:rPr>
      </w:pPr>
      <w:r>
        <w:rPr>
          <w:rFonts w:hint="eastAsia" w:ascii="Arial" w:hAnsi="Arial" w:cs="Arial"/>
          <w:sz w:val="20"/>
          <w:szCs w:val="20"/>
          <w:highlight w:val="yellow"/>
          <w:lang w:val="en-US" w:eastAsia="zh-CN"/>
        </w:rPr>
        <w:t>While this study yields valuable conclusions, it is subject to certain limitations that offer avenues for future research. First, our heterogeneity analysis focuses primarily on the macro-level characteristics of the cities where firms are located (e.g., city scale and location) , without fully exploring micro-level firm heterogeneity. For instance, the impact pathways and intensity of the LCCP policy may differ significantly between state-owned enterprises (SOEs) and private firms, or between heavy-polluting and high-technology industries. Future research could conduct more granular examinations by incorporating interaction terms or performing sub-sample regressions. Second, this study estimates the average treatment effect of the policy but does not investigate its potential impact on market competition structure. In the capital- and technology-intensive process of green and digital transformation, whether large enterprises leverage their resource advantages to create market concentration, thereby challenging the viability and growth of small and medium-sized enterprises (SMEs), remains a critical issue for exploration. Future studies could address this by integrating theories from industrial organization.</w:t>
      </w:r>
    </w:p>
    <w:p w14:paraId="1A7BC333">
      <w:pPr>
        <w:rPr>
          <w:lang w:val="en-US" w:eastAsia="zh-CN"/>
        </w:rPr>
      </w:pPr>
    </w:p>
    <w:p w14:paraId="50D7879F">
      <w:pPr>
        <w:rPr>
          <w:highlight w:val="none"/>
        </w:rPr>
      </w:pPr>
      <w:r>
        <w:rPr>
          <w:highlight w:val="none"/>
        </w:rPr>
        <w:t>Disclaimer (Artificial intelligence)</w:t>
      </w:r>
    </w:p>
    <w:p w14:paraId="2BB828D2">
      <w:pPr>
        <w:rPr>
          <w:highlight w:val="none"/>
        </w:rPr>
      </w:pPr>
    </w:p>
    <w:p w14:paraId="5302BD48">
      <w:pPr>
        <w:rPr>
          <w:highlight w:val="none"/>
        </w:rPr>
      </w:pPr>
      <w:r>
        <w:rPr>
          <w:highlight w:val="none"/>
        </w:rPr>
        <w:t xml:space="preserve">Author(s) hereby declare that NO generative AI technologies such as Large Language Models (ChatGPT, COPILOT, etc.) and text-to-image generators have been used during the writing or editing of this manuscript. </w:t>
      </w:r>
    </w:p>
    <w:p w14:paraId="2B244774">
      <w:pPr>
        <w:rPr>
          <w:highlight w:val="yellow"/>
        </w:rPr>
      </w:pPr>
    </w:p>
    <w:p w14:paraId="4F158589">
      <w:pPr>
        <w:rPr>
          <w:lang w:val="en-US" w:eastAsia="zh-CN"/>
        </w:rPr>
      </w:pPr>
    </w:p>
    <w:p w14:paraId="6D728C0D">
      <w:pPr>
        <w:pStyle w:val="47"/>
        <w:widowControl/>
        <w:spacing w:after="0"/>
        <w:rPr>
          <w:rFonts w:ascii="Arial" w:hAnsi="Arial" w:eastAsia="Times New Roman" w:cs="Arial"/>
          <w:szCs w:val="20"/>
          <w:lang w:val="en-US" w:eastAsia="zh-CN"/>
        </w:rPr>
      </w:pPr>
      <w:r>
        <w:rPr>
          <w:rFonts w:hint="eastAsia" w:ascii="Arial" w:hAnsi="Arial" w:eastAsia="Times New Roman" w:cs="Arial"/>
          <w:szCs w:val="20"/>
          <w:lang w:val="en-US" w:eastAsia="zh-CN"/>
        </w:rPr>
        <w:t>References</w:t>
      </w:r>
    </w:p>
    <w:p w14:paraId="5E73BD77">
      <w:pPr>
        <w:pStyle w:val="47"/>
        <w:widowControl/>
        <w:spacing w:after="0"/>
        <w:rPr>
          <w:rFonts w:ascii="Arial" w:hAnsi="Arial" w:eastAsia="Times New Roman" w:cs="Arial"/>
          <w:szCs w:val="20"/>
          <w:lang w:val="en-US" w:eastAsia="zh-CN"/>
        </w:rPr>
      </w:pPr>
    </w:p>
    <w:p w14:paraId="19386A0E">
      <w:pPr>
        <w:pStyle w:val="34"/>
        <w:numPr>
          <w:ilvl w:val="0"/>
          <w:numId w:val="2"/>
        </w:numPr>
        <w:spacing w:line="240" w:lineRule="auto"/>
        <w:ind w:left="300" w:hanging="300" w:hangingChars="150"/>
        <w:rPr>
          <w:rFonts w:hint="default" w:ascii="Arial" w:hAnsi="Arial"/>
          <w:sz w:val="20"/>
          <w:szCs w:val="20"/>
        </w:rPr>
      </w:pPr>
      <w:r>
        <w:rPr>
          <w:rFonts w:hint="default" w:ascii="Arial" w:hAnsi="Arial"/>
          <w:sz w:val="20"/>
          <w:szCs w:val="20"/>
        </w:rPr>
        <w:t xml:space="preserve">Chen, T., Yang, F., Li, Y., &amp; Zhang, Z. (2024). Two-Way FDI assists agricultural sustainable development: Based on digitalization and greening perspectives. Plos one, 19(2), e0296896. </w:t>
      </w:r>
      <w:r>
        <w:rPr>
          <w:rFonts w:hint="default" w:ascii="Arial" w:hAnsi="Arial"/>
          <w:color w:val="auto"/>
          <w:sz w:val="20"/>
          <w:szCs w:val="20"/>
          <w:u w:val="none"/>
        </w:rPr>
        <w:t>https://doi.org/10.1016/j.jclepro.2022.132608</w:t>
      </w:r>
    </w:p>
    <w:p w14:paraId="7D7CF072">
      <w:pPr>
        <w:pStyle w:val="34"/>
        <w:numPr>
          <w:ilvl w:val="0"/>
          <w:numId w:val="2"/>
        </w:numPr>
        <w:spacing w:line="240" w:lineRule="auto"/>
        <w:ind w:left="300" w:hanging="300" w:hangingChars="150"/>
        <w:rPr>
          <w:rFonts w:hint="default" w:ascii="Arial" w:hAnsi="Arial"/>
          <w:sz w:val="20"/>
          <w:szCs w:val="20"/>
          <w:highlight w:val="yellow"/>
        </w:rPr>
      </w:pPr>
      <w:r>
        <w:rPr>
          <w:rFonts w:hint="default" w:ascii="Arial" w:hAnsi="Arial"/>
          <w:sz w:val="20"/>
          <w:szCs w:val="20"/>
          <w:highlight w:val="yellow"/>
        </w:rPr>
        <w:t>Child, J., &amp; Rodrigues, S. B. (2005). The Internationalization of Chinese Firms: A Case for Theoretical Extension? Management and organization review, 1(3), 381-410.</w:t>
      </w:r>
    </w:p>
    <w:p w14:paraId="24495D2D">
      <w:pPr>
        <w:pStyle w:val="34"/>
        <w:numPr>
          <w:ilvl w:val="0"/>
          <w:numId w:val="2"/>
        </w:numPr>
        <w:spacing w:line="240" w:lineRule="auto"/>
        <w:ind w:left="300" w:hanging="300" w:hangingChars="150"/>
        <w:rPr>
          <w:rFonts w:hint="default" w:ascii="Arial" w:hAnsi="Arial"/>
          <w:sz w:val="20"/>
          <w:szCs w:val="20"/>
        </w:rPr>
      </w:pPr>
      <w:r>
        <w:rPr>
          <w:rFonts w:hint="default" w:ascii="Arial" w:hAnsi="Arial"/>
          <w:sz w:val="20"/>
          <w:szCs w:val="20"/>
        </w:rPr>
        <w:t xml:space="preserve">Clegg, J., Lin, H. M., Voss, H., Yen, I. F., &amp; Shih, Y. T. (2016). The OFDI patterns and firm performance of Chinese firms: The moderating effects of multinationality strategy and external factors. International Business Review, 25(4), 971-985. </w:t>
      </w:r>
      <w:r>
        <w:rPr>
          <w:rFonts w:hint="default" w:ascii="Arial" w:hAnsi="Arial"/>
          <w:color w:val="auto"/>
          <w:sz w:val="20"/>
          <w:szCs w:val="20"/>
          <w:u w:val="none"/>
        </w:rPr>
        <w:t>https://doi.org/10.1016/j.ibusrev.2016.01.010</w:t>
      </w:r>
    </w:p>
    <w:p w14:paraId="57284631">
      <w:pPr>
        <w:pStyle w:val="34"/>
        <w:numPr>
          <w:ilvl w:val="0"/>
          <w:numId w:val="2"/>
        </w:numPr>
        <w:spacing w:line="240" w:lineRule="auto"/>
        <w:ind w:left="300" w:hanging="300" w:hangingChars="150"/>
        <w:rPr>
          <w:rFonts w:hint="default" w:ascii="Arial" w:hAnsi="Arial"/>
          <w:sz w:val="20"/>
          <w:szCs w:val="20"/>
          <w:highlight w:val="yellow"/>
        </w:rPr>
      </w:pPr>
      <w:r>
        <w:rPr>
          <w:rFonts w:hint="default" w:ascii="Arial" w:hAnsi="Arial"/>
          <w:sz w:val="20"/>
          <w:szCs w:val="20"/>
          <w:highlight w:val="yellow"/>
        </w:rPr>
        <w:t>Hering, L., &amp; Poncet, S. (2014). Environmental policy and exports: Evidence from Chinese cities. Journal of Environmental Economics and Management, 68(2), 296-318.</w:t>
      </w:r>
    </w:p>
    <w:p w14:paraId="2D8842C4">
      <w:pPr>
        <w:pStyle w:val="34"/>
        <w:numPr>
          <w:ilvl w:val="0"/>
          <w:numId w:val="2"/>
        </w:numPr>
        <w:spacing w:line="240" w:lineRule="auto"/>
        <w:ind w:left="300" w:hanging="300" w:hangingChars="150"/>
        <w:rPr>
          <w:rFonts w:hint="default" w:ascii="Arial" w:hAnsi="Arial"/>
          <w:sz w:val="20"/>
          <w:szCs w:val="20"/>
        </w:rPr>
      </w:pPr>
      <w:r>
        <w:rPr>
          <w:rFonts w:hint="default" w:ascii="Arial" w:hAnsi="Arial"/>
          <w:sz w:val="20"/>
          <w:szCs w:val="20"/>
        </w:rPr>
        <w:t>Hou, Z., Wan, J., Wang, Z., &amp; Li, C. (2023). How does low-carbon city construction drive enterprise green governance? A complete chain mediation model. International Journal of Climate Change Strategies and Management, 15(5), 768-789. https://doi.org/10.1108/IJCCSM-04-2023-0050</w:t>
      </w:r>
    </w:p>
    <w:p w14:paraId="5F76349D">
      <w:pPr>
        <w:pStyle w:val="34"/>
        <w:numPr>
          <w:ilvl w:val="0"/>
          <w:numId w:val="2"/>
        </w:numPr>
        <w:spacing w:line="240" w:lineRule="auto"/>
        <w:ind w:left="300" w:hanging="300" w:hangingChars="150"/>
        <w:rPr>
          <w:rFonts w:hint="default" w:ascii="Arial" w:hAnsi="Arial"/>
          <w:sz w:val="20"/>
          <w:szCs w:val="20"/>
        </w:rPr>
      </w:pPr>
      <w:r>
        <w:rPr>
          <w:rFonts w:hint="default" w:ascii="Arial" w:hAnsi="Arial"/>
          <w:sz w:val="20"/>
          <w:szCs w:val="20"/>
        </w:rPr>
        <w:t>Huang, W. (2024). Research on the Coupling and Synergistic Development of Corporate ESG Performance and OFDI. In SHS Web of Conferences (Vol. 196, p. 03006). EDP Sciences. https://doi.org/10.1051/shsconf/202419603006</w:t>
      </w:r>
    </w:p>
    <w:p w14:paraId="54CD5BF3">
      <w:pPr>
        <w:pStyle w:val="34"/>
        <w:numPr>
          <w:ilvl w:val="0"/>
          <w:numId w:val="2"/>
        </w:numPr>
        <w:spacing w:line="240" w:lineRule="auto"/>
        <w:ind w:left="300" w:hanging="300" w:hangingChars="150"/>
        <w:rPr>
          <w:rFonts w:hint="default" w:ascii="Arial" w:hAnsi="Arial"/>
          <w:sz w:val="20"/>
          <w:szCs w:val="20"/>
        </w:rPr>
      </w:pPr>
      <w:r>
        <w:rPr>
          <w:rFonts w:hint="default" w:ascii="Arial" w:hAnsi="Arial"/>
          <w:sz w:val="20"/>
          <w:szCs w:val="20"/>
        </w:rPr>
        <w:t>Jiao, B., &amp; Jiao, J. (2023). Low carbon city pilot policy and corporate innovation. Academic Journal of Management and Social Sciences, 2(3), 132-137. https://doi.org/10.54097/ajmss.v2i3.8751</w:t>
      </w:r>
    </w:p>
    <w:p w14:paraId="654D6F36">
      <w:pPr>
        <w:pStyle w:val="34"/>
        <w:numPr>
          <w:ilvl w:val="0"/>
          <w:numId w:val="2"/>
        </w:numPr>
        <w:spacing w:line="240" w:lineRule="auto"/>
        <w:ind w:left="300" w:hanging="300" w:hangingChars="150"/>
        <w:rPr>
          <w:rFonts w:hint="default" w:ascii="Arial" w:hAnsi="Arial"/>
          <w:sz w:val="20"/>
          <w:szCs w:val="20"/>
        </w:rPr>
      </w:pPr>
      <w:r>
        <w:rPr>
          <w:rFonts w:hint="default" w:ascii="Arial" w:hAnsi="Arial"/>
          <w:sz w:val="20"/>
          <w:szCs w:val="20"/>
        </w:rPr>
        <w:t>Kaushal, L. A. (2022). Institutional and economic determinants of Indian OFDI. Cogent Economics &amp; Finance, 10(1), 2147648. https://doi.org/10.1080/23322039.2022.2147648</w:t>
      </w:r>
    </w:p>
    <w:p w14:paraId="66B06712">
      <w:pPr>
        <w:pStyle w:val="34"/>
        <w:numPr>
          <w:ilvl w:val="0"/>
          <w:numId w:val="2"/>
        </w:numPr>
        <w:spacing w:line="240" w:lineRule="auto"/>
        <w:ind w:left="300" w:hanging="300" w:hangingChars="150"/>
        <w:rPr>
          <w:rFonts w:hint="default" w:ascii="Arial" w:hAnsi="Arial"/>
          <w:sz w:val="20"/>
          <w:szCs w:val="20"/>
        </w:rPr>
      </w:pPr>
      <w:r>
        <w:rPr>
          <w:rFonts w:hint="default" w:ascii="Arial" w:hAnsi="Arial"/>
          <w:sz w:val="20"/>
          <w:szCs w:val="20"/>
        </w:rPr>
        <w:t>Liu, X., Bi, H., &amp; Teng, Y. (2024). An Empirical Study of the Policy of Low-Carbon City Pilot on the Level of Green Technological Innovation. Climate Economics and Finance, 2(1), 1-11. https://doi.org/10.58567/cef02010001</w:t>
      </w:r>
    </w:p>
    <w:p w14:paraId="186F126E">
      <w:pPr>
        <w:pStyle w:val="34"/>
        <w:numPr>
          <w:ilvl w:val="0"/>
          <w:numId w:val="2"/>
        </w:numPr>
        <w:spacing w:line="240" w:lineRule="auto"/>
        <w:ind w:left="300" w:hanging="300" w:hangingChars="150"/>
        <w:rPr>
          <w:rFonts w:hint="default" w:ascii="Arial" w:hAnsi="Arial"/>
          <w:sz w:val="20"/>
          <w:szCs w:val="20"/>
        </w:rPr>
      </w:pPr>
      <w:r>
        <w:rPr>
          <w:rFonts w:hint="default" w:ascii="Arial" w:hAnsi="Arial"/>
          <w:sz w:val="20"/>
          <w:szCs w:val="20"/>
        </w:rPr>
        <w:t>Pan, Q., &amp; Zhao, S. (2024). The impact of low-carbon city pilot policy on urban green technology innovation: Based on government and public perspectives. Plos one, 19(7), e0306425. https://doi.org/10.1371/journal.pone.0306425</w:t>
      </w:r>
    </w:p>
    <w:p w14:paraId="72413CB5">
      <w:pPr>
        <w:pStyle w:val="34"/>
        <w:numPr>
          <w:ilvl w:val="0"/>
          <w:numId w:val="2"/>
        </w:numPr>
        <w:spacing w:line="240" w:lineRule="auto"/>
        <w:ind w:left="300" w:hanging="300" w:hangingChars="150"/>
        <w:rPr>
          <w:rFonts w:hint="default" w:ascii="Arial" w:hAnsi="Arial"/>
          <w:sz w:val="20"/>
          <w:szCs w:val="20"/>
        </w:rPr>
      </w:pPr>
      <w:r>
        <w:rPr>
          <w:rFonts w:hint="default" w:ascii="Arial" w:hAnsi="Arial"/>
          <w:sz w:val="20"/>
          <w:szCs w:val="20"/>
        </w:rPr>
        <w:t xml:space="preserve">Tang, D., Luo, J., Sun, H., Wu, Z., &amp; Wang, L. (2023). A Study on the Impact of Low Carbon Transition on Green Performance of Industrial Enterprises Quasi-natural experiments based on "low carbon city pilot". Journal of Education, Humanities and Social Sciences, 19, 194-205.  </w:t>
      </w:r>
      <w:r>
        <w:rPr>
          <w:rFonts w:hint="default" w:ascii="Arial" w:hAnsi="Arial"/>
          <w:color w:val="auto"/>
          <w:sz w:val="20"/>
          <w:szCs w:val="20"/>
          <w:u w:val="none"/>
        </w:rPr>
        <w:t>https://doi.org/10.54097/ehss.v19i.11035</w:t>
      </w:r>
    </w:p>
    <w:p w14:paraId="44A2B6C1">
      <w:pPr>
        <w:pStyle w:val="34"/>
        <w:numPr>
          <w:ilvl w:val="0"/>
          <w:numId w:val="2"/>
        </w:numPr>
        <w:spacing w:line="240" w:lineRule="auto"/>
        <w:ind w:left="300" w:hanging="300" w:hangingChars="150"/>
        <w:rPr>
          <w:rFonts w:hint="default" w:ascii="Arial" w:hAnsi="Arial"/>
          <w:sz w:val="20"/>
          <w:szCs w:val="20"/>
          <w:highlight w:val="yellow"/>
        </w:rPr>
      </w:pPr>
      <w:r>
        <w:rPr>
          <w:rFonts w:hint="default" w:ascii="Arial" w:hAnsi="Arial"/>
          <w:sz w:val="20"/>
          <w:szCs w:val="20"/>
          <w:highlight w:val="yellow"/>
        </w:rPr>
        <w:t>Wagner, U. J., &amp; Timmins, C. D. (2009). Agglomeration effects in foreign direct investment and the pollution haven hypothesis. Environmental and Resource Economics, 43(2), 231-256.</w:t>
      </w:r>
    </w:p>
    <w:p w14:paraId="291ABE79">
      <w:pPr>
        <w:pStyle w:val="34"/>
        <w:numPr>
          <w:ilvl w:val="0"/>
          <w:numId w:val="2"/>
        </w:numPr>
        <w:spacing w:line="240" w:lineRule="auto"/>
        <w:ind w:left="300" w:hanging="300" w:hangingChars="150"/>
        <w:rPr>
          <w:rFonts w:hint="default" w:ascii="Arial" w:hAnsi="Arial"/>
          <w:sz w:val="20"/>
          <w:szCs w:val="20"/>
          <w:highlight w:val="yellow"/>
        </w:rPr>
      </w:pPr>
      <w:r>
        <w:rPr>
          <w:rFonts w:hint="default" w:ascii="Arial" w:hAnsi="Arial"/>
          <w:sz w:val="20"/>
          <w:szCs w:val="20"/>
          <w:highlight w:val="yellow"/>
        </w:rPr>
        <w:t>Wang, C. A., Liu, X., Li, H., &amp; Yang, C. (2023). Analyzing the impact of low-carbon city pilot policy on enterprises' labor demand: evidence from China. Energy Economics, 124, 106676.</w:t>
      </w:r>
    </w:p>
    <w:p w14:paraId="6941B790">
      <w:pPr>
        <w:pStyle w:val="34"/>
        <w:numPr>
          <w:ilvl w:val="0"/>
          <w:numId w:val="2"/>
        </w:numPr>
        <w:spacing w:line="240" w:lineRule="auto"/>
        <w:ind w:left="300" w:hanging="300" w:hangingChars="150"/>
        <w:rPr>
          <w:rFonts w:hint="default" w:ascii="Arial" w:hAnsi="Arial"/>
          <w:sz w:val="20"/>
          <w:szCs w:val="20"/>
        </w:rPr>
      </w:pPr>
      <w:r>
        <w:rPr>
          <w:rFonts w:hint="default" w:ascii="Arial" w:hAnsi="Arial"/>
          <w:sz w:val="20"/>
          <w:szCs w:val="20"/>
        </w:rPr>
        <w:t>Wang, Y., &amp; Yao, J. (2024). Innovation or introduction? Impacts of the low-carbon city pilot policy on the pathways toward green technology progress. Heliyon, 10(7).   https://doi.org/10.1016/j.heliyon.2024.e28745</w:t>
      </w:r>
    </w:p>
    <w:p w14:paraId="192BF1D9">
      <w:pPr>
        <w:pStyle w:val="34"/>
        <w:numPr>
          <w:ilvl w:val="0"/>
          <w:numId w:val="2"/>
        </w:numPr>
        <w:spacing w:line="240" w:lineRule="auto"/>
        <w:ind w:left="300" w:hanging="300" w:hangingChars="150"/>
        <w:rPr>
          <w:rFonts w:hint="default" w:ascii="Arial" w:hAnsi="Arial"/>
          <w:sz w:val="20"/>
          <w:szCs w:val="20"/>
        </w:rPr>
      </w:pPr>
      <w:r>
        <w:rPr>
          <w:rFonts w:hint="default" w:ascii="Arial" w:hAnsi="Arial"/>
          <w:sz w:val="20"/>
          <w:szCs w:val="20"/>
        </w:rPr>
        <w:t>Yu, A. (2023). Research and prospect of enterprise digital transformation and green innovation. Industrial Engineering and Innovation Management, 6(11), 12-22. https://doi.org/10.23977/ieim.2023.061103</w:t>
      </w:r>
    </w:p>
    <w:p w14:paraId="45E9BFD7">
      <w:pPr>
        <w:pStyle w:val="34"/>
        <w:numPr>
          <w:ilvl w:val="0"/>
          <w:numId w:val="2"/>
        </w:numPr>
        <w:spacing w:line="240" w:lineRule="auto"/>
        <w:ind w:left="300" w:hanging="300" w:hangingChars="150"/>
        <w:rPr>
          <w:rFonts w:hint="default" w:ascii="Arial" w:hAnsi="Arial"/>
          <w:sz w:val="20"/>
          <w:szCs w:val="20"/>
        </w:rPr>
      </w:pPr>
      <w:r>
        <w:rPr>
          <w:rFonts w:hint="default" w:ascii="Arial" w:hAnsi="Arial"/>
          <w:sz w:val="20"/>
          <w:szCs w:val="20"/>
        </w:rPr>
        <w:t>Zhou,J. (2024). An Overview of the Influencing Factors and Effects of Outward Foreign Direct Investment of Enterprises. Advances in Economics, Management and Political Sciences,81,122-130. https://doi.org/10.54254/2754-1169/81/20241367</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708" w:footer="708"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81E3">
    <w:pPr>
      <w:pStyle w:val="13"/>
    </w:pPr>
    <w:r>
      <w:rPr>
        <w:lang w:val="en-US"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8B74E">
                          <w:pPr>
                            <w:pStyle w:val="13"/>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2E8B74E">
                    <w:pPr>
                      <w:pStyle w:val="13"/>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CDED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9B342">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B6913">
    <w:pPr>
      <w:pStyle w:val="14"/>
    </w:pPr>
    <w:r>
      <w:pict>
        <v:shape id="PowerPlusWaterMarkObject98749517" o:spid="_x0000_s2051" o:spt="136" type="#_x0000_t136" style="position:absolute;left:0pt;height:100.45pt;width:535.8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F808D">
    <w:pPr>
      <w:pStyle w:val="14"/>
    </w:pPr>
    <w:r>
      <w:pict>
        <v:shape id="PowerPlusWaterMarkObject98749516" o:spid="_x0000_s2050" o:spt="136" type="#_x0000_t136" style="position:absolute;left:0pt;height:100.45pt;width:535.8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768B0">
    <w:pPr>
      <w:pStyle w:val="14"/>
    </w:pPr>
    <w:r>
      <w:pict>
        <v:shape id="PowerPlusWaterMarkObject98749515" o:spid="_x0000_s2049"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09CCC"/>
    <w:multiLevelType w:val="singleLevel"/>
    <w:tmpl w:val="8E109CCC"/>
    <w:lvl w:ilvl="0" w:tentative="0">
      <w:start w:val="1"/>
      <w:numFmt w:val="decimal"/>
      <w:suff w:val="nothing"/>
      <w:lvlText w:val="[%1]"/>
      <w:lvlJc w:val="left"/>
      <w:pPr>
        <w:ind w:left="0" w:firstLine="0"/>
      </w:pPr>
      <w:rPr>
        <w:rFonts w:hint="default"/>
      </w:rPr>
    </w:lvl>
  </w:abstractNum>
  <w:abstractNum w:abstractNumId="1">
    <w:nsid w:val="0147DFD4"/>
    <w:multiLevelType w:val="multilevel"/>
    <w:tmpl w:val="0147DFD4"/>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dit="readOnly"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01"/>
    <w:rsid w:val="00046CA0"/>
    <w:rsid w:val="00170146"/>
    <w:rsid w:val="0026105C"/>
    <w:rsid w:val="002A7301"/>
    <w:rsid w:val="003B02AE"/>
    <w:rsid w:val="00491F0F"/>
    <w:rsid w:val="005B4B51"/>
    <w:rsid w:val="00737573"/>
    <w:rsid w:val="00AB7172"/>
    <w:rsid w:val="00B91BB4"/>
    <w:rsid w:val="00EA0E13"/>
    <w:rsid w:val="00F91860"/>
    <w:rsid w:val="05D51D77"/>
    <w:rsid w:val="076831BF"/>
    <w:rsid w:val="0AEA587E"/>
    <w:rsid w:val="0D703BC7"/>
    <w:rsid w:val="0D81355C"/>
    <w:rsid w:val="0F740638"/>
    <w:rsid w:val="11C04EF9"/>
    <w:rsid w:val="1A361CF4"/>
    <w:rsid w:val="1A623A93"/>
    <w:rsid w:val="1A7F5449"/>
    <w:rsid w:val="1FC6085E"/>
    <w:rsid w:val="22963ABE"/>
    <w:rsid w:val="259E0C70"/>
    <w:rsid w:val="29F576E1"/>
    <w:rsid w:val="2EAA4B45"/>
    <w:rsid w:val="399C59DF"/>
    <w:rsid w:val="3C4F415E"/>
    <w:rsid w:val="3D0E0BBF"/>
    <w:rsid w:val="409D3A4C"/>
    <w:rsid w:val="42B0448A"/>
    <w:rsid w:val="43496517"/>
    <w:rsid w:val="435A4404"/>
    <w:rsid w:val="457E2645"/>
    <w:rsid w:val="457E3665"/>
    <w:rsid w:val="458D1311"/>
    <w:rsid w:val="482277C7"/>
    <w:rsid w:val="512B23AE"/>
    <w:rsid w:val="51E8779D"/>
    <w:rsid w:val="53176BED"/>
    <w:rsid w:val="567E35A2"/>
    <w:rsid w:val="577D4355"/>
    <w:rsid w:val="5BDD2FE4"/>
    <w:rsid w:val="619F7059"/>
    <w:rsid w:val="65B13560"/>
    <w:rsid w:val="66F53BE2"/>
    <w:rsid w:val="6AB46E9C"/>
    <w:rsid w:val="6E613332"/>
    <w:rsid w:val="71A32ABE"/>
    <w:rsid w:val="721F7742"/>
    <w:rsid w:val="73C808DD"/>
    <w:rsid w:val="74B01DC3"/>
    <w:rsid w:val="74B37C17"/>
    <w:rsid w:val="75C76C44"/>
    <w:rsid w:val="75D310AE"/>
    <w:rsid w:val="78AC4D75"/>
    <w:rsid w:val="79594A08"/>
    <w:rsid w:val="7A4337CB"/>
    <w:rsid w:val="7A835AF8"/>
    <w:rsid w:val="7B0A032F"/>
    <w:rsid w:val="7E7F2DE0"/>
    <w:rsid w:val="7F5E0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GB" w:eastAsia="en-GB" w:bidi="ar-SA"/>
    </w:rPr>
  </w:style>
  <w:style w:type="paragraph" w:styleId="2">
    <w:name w:val="heading 1"/>
    <w:next w:val="1"/>
    <w:qFormat/>
    <w:uiPriority w:val="0"/>
    <w:pPr>
      <w:numPr>
        <w:ilvl w:val="0"/>
        <w:numId w:val="1"/>
      </w:numPr>
      <w:spacing w:before="380" w:after="140" w:line="288" w:lineRule="auto"/>
      <w:outlineLvl w:val="0"/>
    </w:pPr>
    <w:rPr>
      <w:rFonts w:ascii="Arial" w:hAnsi="Arial" w:eastAsia="等线" w:cs="Arial"/>
      <w:b/>
      <w:bCs/>
      <w:sz w:val="36"/>
      <w:szCs w:val="36"/>
      <w:lang w:val="en-GB" w:eastAsia="en-GB" w:bidi="ar-SA"/>
    </w:rPr>
  </w:style>
  <w:style w:type="paragraph" w:styleId="3">
    <w:name w:val="heading 2"/>
    <w:next w:val="1"/>
    <w:qFormat/>
    <w:uiPriority w:val="0"/>
    <w:pPr>
      <w:numPr>
        <w:ilvl w:val="1"/>
        <w:numId w:val="1"/>
      </w:numPr>
      <w:spacing w:before="320" w:after="120" w:line="288" w:lineRule="auto"/>
      <w:outlineLvl w:val="1"/>
    </w:pPr>
    <w:rPr>
      <w:rFonts w:ascii="Arial" w:hAnsi="Arial" w:eastAsia="等线" w:cs="Arial"/>
      <w:b/>
      <w:bCs/>
      <w:sz w:val="32"/>
      <w:szCs w:val="32"/>
      <w:lang w:val="en-GB" w:eastAsia="en-GB" w:bidi="ar-SA"/>
    </w:rPr>
  </w:style>
  <w:style w:type="paragraph" w:styleId="4">
    <w:name w:val="heading 3"/>
    <w:next w:val="1"/>
    <w:qFormat/>
    <w:uiPriority w:val="0"/>
    <w:pPr>
      <w:numPr>
        <w:ilvl w:val="2"/>
        <w:numId w:val="1"/>
      </w:numPr>
      <w:spacing w:before="300" w:after="120" w:line="288" w:lineRule="auto"/>
      <w:outlineLvl w:val="2"/>
    </w:pPr>
    <w:rPr>
      <w:rFonts w:ascii="Arial" w:hAnsi="Arial" w:eastAsia="等线" w:cs="Arial"/>
      <w:b/>
      <w:bCs/>
      <w:sz w:val="30"/>
      <w:szCs w:val="30"/>
      <w:lang w:val="en-GB" w:eastAsia="en-GB" w:bidi="ar-SA"/>
    </w:rPr>
  </w:style>
  <w:style w:type="paragraph" w:styleId="5">
    <w:name w:val="heading 4"/>
    <w:next w:val="1"/>
    <w:qFormat/>
    <w:uiPriority w:val="0"/>
    <w:pPr>
      <w:numPr>
        <w:ilvl w:val="3"/>
        <w:numId w:val="1"/>
      </w:numPr>
      <w:spacing w:before="260" w:after="120" w:line="288" w:lineRule="auto"/>
      <w:outlineLvl w:val="3"/>
    </w:pPr>
    <w:rPr>
      <w:rFonts w:ascii="Arial" w:hAnsi="Arial" w:eastAsia="等线" w:cs="Arial"/>
      <w:b/>
      <w:bCs/>
      <w:sz w:val="28"/>
      <w:szCs w:val="28"/>
      <w:lang w:val="en-GB" w:eastAsia="en-GB" w:bidi="ar-SA"/>
    </w:rPr>
  </w:style>
  <w:style w:type="paragraph" w:styleId="6">
    <w:name w:val="heading 5"/>
    <w:next w:val="1"/>
    <w:qFormat/>
    <w:uiPriority w:val="0"/>
    <w:pPr>
      <w:numPr>
        <w:ilvl w:val="4"/>
        <w:numId w:val="1"/>
      </w:numPr>
      <w:spacing w:before="240" w:after="120" w:line="288" w:lineRule="auto"/>
      <w:outlineLvl w:val="4"/>
    </w:pPr>
    <w:rPr>
      <w:rFonts w:ascii="Arial" w:hAnsi="Arial" w:eastAsia="等线" w:cs="Arial"/>
      <w:b/>
      <w:bCs/>
      <w:sz w:val="24"/>
      <w:szCs w:val="24"/>
      <w:lang w:val="en-GB" w:eastAsia="en-GB" w:bidi="ar-SA"/>
    </w:rPr>
  </w:style>
  <w:style w:type="paragraph" w:styleId="7">
    <w:name w:val="heading 6"/>
    <w:next w:val="1"/>
    <w:qFormat/>
    <w:uiPriority w:val="0"/>
    <w:pPr>
      <w:numPr>
        <w:ilvl w:val="5"/>
        <w:numId w:val="1"/>
      </w:numPr>
      <w:spacing w:before="240" w:after="120" w:line="288" w:lineRule="auto"/>
      <w:outlineLvl w:val="5"/>
    </w:pPr>
    <w:rPr>
      <w:rFonts w:ascii="Arial" w:hAnsi="Arial" w:eastAsia="等线" w:cs="Arial"/>
      <w:b/>
      <w:bCs/>
      <w:sz w:val="24"/>
      <w:szCs w:val="24"/>
      <w:lang w:val="en-GB" w:eastAsia="en-GB" w:bidi="ar-SA"/>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Body Text 3"/>
    <w:basedOn w:val="1"/>
    <w:qFormat/>
    <w:uiPriority w:val="0"/>
    <w:pPr>
      <w:spacing w:after="120"/>
    </w:pPr>
    <w:rPr>
      <w:sz w:val="16"/>
      <w:szCs w:val="16"/>
    </w:rPr>
  </w:style>
  <w:style w:type="paragraph" w:styleId="12">
    <w:name w:val="toc 3"/>
    <w:basedOn w:val="1"/>
    <w:next w:val="1"/>
    <w:qFormat/>
    <w:uiPriority w:val="0"/>
    <w:pPr>
      <w:ind w:left="840" w:leftChars="4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footnote text"/>
    <w:basedOn w:val="1"/>
    <w:link w:val="40"/>
    <w:semiHidden/>
    <w:unhideWhenUsed/>
    <w:qFormat/>
    <w:uiPriority w:val="99"/>
    <w:rPr>
      <w:sz w:val="20"/>
      <w:szCs w:val="20"/>
    </w:rPr>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jc w:val="left"/>
    </w:pPr>
    <w:rPr>
      <w:rFonts w:cs="Times New Roman"/>
      <w:sz w:val="24"/>
      <w:lang w:val="en-US" w:eastAsia="zh-CN"/>
    </w:rPr>
  </w:style>
  <w:style w:type="paragraph" w:styleId="19">
    <w:name w:val="Title"/>
    <w:basedOn w:val="1"/>
    <w:qFormat/>
    <w:uiPriority w:val="0"/>
    <w:pPr>
      <w:spacing w:before="480" w:after="480" w:line="288" w:lineRule="auto"/>
    </w:pPr>
    <w:rPr>
      <w:rFonts w:ascii="Arial" w:hAnsi="Arial" w:eastAsia="等线" w:cs="Arial"/>
      <w:b/>
      <w:bCs/>
      <w:sz w:val="52"/>
      <w:szCs w:val="52"/>
    </w:rPr>
  </w:style>
  <w:style w:type="character" w:styleId="22">
    <w:name w:val="Strong"/>
    <w:basedOn w:val="21"/>
    <w:qFormat/>
    <w:uiPriority w:val="0"/>
    <w:rPr>
      <w:b/>
    </w:rPr>
  </w:style>
  <w:style w:type="character" w:styleId="23">
    <w:name w:val="Hyperlink"/>
    <w:unhideWhenUsed/>
    <w:qFormat/>
    <w:uiPriority w:val="99"/>
    <w:rPr>
      <w:color w:val="0563C1"/>
      <w:u w:val="single"/>
    </w:rPr>
  </w:style>
  <w:style w:type="character" w:styleId="24">
    <w:name w:val="HTML Code"/>
    <w:basedOn w:val="21"/>
    <w:qFormat/>
    <w:uiPriority w:val="0"/>
    <w:rPr>
      <w:rFonts w:ascii="Courier New" w:hAnsi="Courier New"/>
      <w:sz w:val="20"/>
    </w:rPr>
  </w:style>
  <w:style w:type="character" w:styleId="25">
    <w:name w:val="footnote reference"/>
    <w:basedOn w:val="21"/>
    <w:semiHidden/>
    <w:unhideWhenUsed/>
    <w:qFormat/>
    <w:uiPriority w:val="99"/>
    <w:rPr>
      <w:vertAlign w:val="superscript"/>
    </w:rPr>
  </w:style>
  <w:style w:type="paragraph" w:customStyle="1" w:styleId="26">
    <w:name w:val="一级标题"/>
    <w:next w:val="1"/>
    <w:link w:val="42"/>
    <w:qFormat/>
    <w:uiPriority w:val="0"/>
    <w:pPr>
      <w:spacing w:beforeAutospacing="1" w:afterAutospacing="1"/>
      <w:jc w:val="center"/>
      <w:outlineLvl w:val="1"/>
    </w:pPr>
    <w:rPr>
      <w:rFonts w:hint="eastAsia" w:ascii="宋体" w:hAnsi="宋体" w:eastAsia="宋体" w:cs="Times New Roman"/>
      <w:b/>
      <w:bCs/>
      <w:sz w:val="28"/>
      <w:szCs w:val="36"/>
      <w:lang w:val="en-GB" w:eastAsia="en-GB" w:bidi="ar-SA"/>
    </w:rPr>
  </w:style>
  <w:style w:type="paragraph" w:customStyle="1" w:styleId="27">
    <w:name w:val="论文摘要"/>
    <w:link w:val="28"/>
    <w:qFormat/>
    <w:uiPriority w:val="0"/>
    <w:pPr>
      <w:spacing w:beforeAutospacing="1" w:line="360" w:lineRule="auto"/>
      <w:ind w:firstLine="883" w:firstLineChars="200"/>
    </w:pPr>
    <w:rPr>
      <w:rFonts w:ascii="Segoe UI" w:hAnsi="Segoe UI" w:eastAsia="黑体" w:cs="Times New Roman"/>
      <w:color w:val="404040"/>
      <w:sz w:val="18"/>
      <w:szCs w:val="13"/>
      <w:lang w:val="en-US" w:eastAsia="zh-CN" w:bidi="ar-SA"/>
    </w:rPr>
  </w:style>
  <w:style w:type="character" w:customStyle="1" w:styleId="28">
    <w:name w:val="论文摘要 Char"/>
    <w:link w:val="27"/>
    <w:qFormat/>
    <w:uiPriority w:val="0"/>
    <w:rPr>
      <w:rFonts w:ascii="Segoe UI" w:hAnsi="Segoe UI" w:eastAsia="黑体" w:cs="Segoe UI"/>
      <w:color w:val="404040"/>
      <w:sz w:val="18"/>
      <w:szCs w:val="13"/>
      <w:lang w:val="en-US" w:eastAsia="zh-CN" w:bidi="ar"/>
    </w:rPr>
  </w:style>
  <w:style w:type="paragraph" w:customStyle="1" w:styleId="29">
    <w:name w:val="摘要内容"/>
    <w:link w:val="30"/>
    <w:qFormat/>
    <w:uiPriority w:val="0"/>
    <w:pPr>
      <w:spacing w:afterAutospacing="1"/>
    </w:pPr>
    <w:rPr>
      <w:rFonts w:ascii="Times New Roman" w:hAnsi="Times New Roman" w:eastAsia="楷体" w:cs="Times New Roman"/>
      <w:sz w:val="18"/>
      <w:lang w:val="en-US" w:eastAsia="zh-CN" w:bidi="ar-SA"/>
    </w:rPr>
  </w:style>
  <w:style w:type="character" w:customStyle="1" w:styleId="30">
    <w:name w:val="摘要内容 Char"/>
    <w:link w:val="29"/>
    <w:qFormat/>
    <w:uiPriority w:val="0"/>
    <w:rPr>
      <w:rFonts w:hint="default" w:ascii="Times New Roman" w:hAnsi="Times New Roman" w:eastAsia="楷体" w:cs="Times New Roman"/>
      <w:sz w:val="18"/>
      <w:lang w:val="en-US" w:eastAsia="zh-CN" w:bidi="ar"/>
    </w:rPr>
  </w:style>
  <w:style w:type="paragraph" w:customStyle="1" w:styleId="31">
    <w:name w:val="论文正文1"/>
    <w:basedOn w:val="1"/>
    <w:next w:val="1"/>
    <w:link w:val="37"/>
    <w:qFormat/>
    <w:uiPriority w:val="0"/>
    <w:pPr>
      <w:spacing w:before="120" w:after="120" w:line="312" w:lineRule="auto"/>
      <w:ind w:firstLine="720" w:firstLineChars="200"/>
    </w:pPr>
    <w:rPr>
      <w:rFonts w:ascii="Times New Roman" w:hAnsi="Times New Roman" w:eastAsia="宋体" w:cs="Arial"/>
      <w:lang w:val="en-US" w:eastAsia="zh-CN"/>
    </w:rPr>
  </w:style>
  <w:style w:type="paragraph" w:customStyle="1" w:styleId="32">
    <w:name w:val="论文一级标题1"/>
    <w:basedOn w:val="26"/>
    <w:link w:val="38"/>
    <w:qFormat/>
    <w:uiPriority w:val="0"/>
    <w:pPr>
      <w:spacing w:before="200" w:after="120" w:line="312" w:lineRule="auto"/>
      <w:jc w:val="both"/>
      <w:outlineLvl w:val="0"/>
    </w:pPr>
    <w:rPr>
      <w:rFonts w:ascii="Times New Roman" w:hAnsi="Times New Roman" w:cs="Arial"/>
      <w:lang w:val="en-US" w:eastAsia="zh-CN"/>
    </w:rPr>
  </w:style>
  <w:style w:type="paragraph" w:customStyle="1" w:styleId="33">
    <w:name w:val="论文二级标题1"/>
    <w:basedOn w:val="1"/>
    <w:link w:val="36"/>
    <w:qFormat/>
    <w:uiPriority w:val="0"/>
    <w:pPr>
      <w:spacing w:before="120" w:after="120" w:line="312" w:lineRule="auto"/>
      <w:outlineLvl w:val="1"/>
    </w:pPr>
    <w:rPr>
      <w:rFonts w:hint="eastAsia" w:ascii="Times New Roman" w:hAnsi="Times New Roman" w:eastAsia="宋体" w:cs="Arial"/>
      <w:b/>
      <w:sz w:val="24"/>
      <w:lang w:val="en-US" w:eastAsia="zh-CN"/>
    </w:rPr>
  </w:style>
  <w:style w:type="paragraph" w:customStyle="1" w:styleId="34">
    <w:name w:val="参考文献"/>
    <w:basedOn w:val="1"/>
    <w:qFormat/>
    <w:uiPriority w:val="0"/>
    <w:pPr>
      <w:spacing w:line="312" w:lineRule="auto"/>
    </w:pPr>
    <w:rPr>
      <w:rFonts w:hint="eastAsia" w:ascii="Times New Roman" w:hAnsi="Times New Roman" w:eastAsia="宋体" w:cs="Arial"/>
      <w:sz w:val="18"/>
      <w:lang w:val="en-US" w:eastAsia="zh-CN"/>
    </w:rPr>
  </w:style>
  <w:style w:type="paragraph" w:customStyle="1" w:styleId="35">
    <w:name w:val="论文三级标题1"/>
    <w:basedOn w:val="1"/>
    <w:link w:val="41"/>
    <w:qFormat/>
    <w:uiPriority w:val="0"/>
    <w:pPr>
      <w:spacing w:line="312" w:lineRule="auto"/>
      <w:jc w:val="left"/>
    </w:pPr>
    <w:rPr>
      <w:rFonts w:hint="eastAsia" w:ascii="宋体" w:hAnsi="宋体" w:eastAsia="宋体" w:cs="宋体"/>
      <w:szCs w:val="21"/>
    </w:rPr>
  </w:style>
  <w:style w:type="character" w:customStyle="1" w:styleId="36">
    <w:name w:val="论文二级标题1 Char"/>
    <w:link w:val="33"/>
    <w:qFormat/>
    <w:uiPriority w:val="0"/>
    <w:rPr>
      <w:rFonts w:hint="eastAsia" w:ascii="Times New Roman" w:hAnsi="Times New Roman" w:eastAsia="宋体" w:cs="Arial"/>
      <w:b/>
      <w:sz w:val="24"/>
      <w:lang w:val="en-US" w:eastAsia="zh-CN"/>
    </w:rPr>
  </w:style>
  <w:style w:type="character" w:customStyle="1" w:styleId="37">
    <w:name w:val="论文正文1 Char"/>
    <w:link w:val="31"/>
    <w:qFormat/>
    <w:uiPriority w:val="0"/>
    <w:rPr>
      <w:rFonts w:ascii="Times New Roman" w:hAnsi="Times New Roman" w:eastAsia="宋体" w:cs="Arial"/>
      <w:lang w:val="en-US" w:eastAsia="zh-CN"/>
    </w:rPr>
  </w:style>
  <w:style w:type="character" w:customStyle="1" w:styleId="38">
    <w:name w:val="论文一级标题1 Char"/>
    <w:link w:val="32"/>
    <w:qFormat/>
    <w:uiPriority w:val="0"/>
    <w:rPr>
      <w:rFonts w:ascii="Times New Roman" w:hAnsi="Times New Roman" w:cs="Arial"/>
      <w:lang w:val="en-US" w:eastAsia="zh-CN"/>
    </w:rPr>
  </w:style>
  <w:style w:type="paragraph" w:styleId="39">
    <w:name w:val="List Paragraph"/>
    <w:basedOn w:val="1"/>
    <w:qFormat/>
    <w:uiPriority w:val="0"/>
  </w:style>
  <w:style w:type="character" w:customStyle="1" w:styleId="40">
    <w:name w:val="Footnote Text Char"/>
    <w:link w:val="16"/>
    <w:semiHidden/>
    <w:unhideWhenUsed/>
    <w:qFormat/>
    <w:uiPriority w:val="99"/>
    <w:rPr>
      <w:sz w:val="20"/>
      <w:szCs w:val="20"/>
    </w:rPr>
  </w:style>
  <w:style w:type="character" w:customStyle="1" w:styleId="41">
    <w:name w:val="论文三级标题1 Char"/>
    <w:link w:val="35"/>
    <w:qFormat/>
    <w:uiPriority w:val="0"/>
    <w:rPr>
      <w:rFonts w:hint="eastAsia" w:ascii="宋体" w:hAnsi="宋体" w:eastAsia="宋体" w:cs="宋体"/>
      <w:szCs w:val="21"/>
    </w:rPr>
  </w:style>
  <w:style w:type="character" w:customStyle="1" w:styleId="42">
    <w:name w:val="一级标题 Char"/>
    <w:link w:val="26"/>
    <w:qFormat/>
    <w:uiPriority w:val="0"/>
    <w:rPr>
      <w:rFonts w:hint="eastAsia" w:ascii="宋体" w:hAnsi="宋体" w:eastAsia="宋体" w:cs="宋体"/>
      <w:b/>
      <w:bCs/>
      <w:kern w:val="0"/>
      <w:sz w:val="28"/>
      <w:szCs w:val="36"/>
      <w:lang w:bidi="ar"/>
    </w:rPr>
  </w:style>
  <w:style w:type="paragraph" w:customStyle="1" w:styleId="43">
    <w:name w:val="Author"/>
    <w:basedOn w:val="1"/>
    <w:qFormat/>
    <w:uiPriority w:val="0"/>
    <w:pPr>
      <w:spacing w:line="280" w:lineRule="exact"/>
      <w:jc w:val="right"/>
    </w:pPr>
    <w:rPr>
      <w:b/>
      <w:sz w:val="24"/>
    </w:rPr>
  </w:style>
  <w:style w:type="paragraph" w:customStyle="1" w:styleId="44">
    <w:name w:val="Abst Head"/>
    <w:basedOn w:val="45"/>
    <w:qFormat/>
    <w:uiPriority w:val="0"/>
    <w:rPr>
      <w:sz w:val="22"/>
    </w:rPr>
  </w:style>
  <w:style w:type="paragraph" w:customStyle="1" w:styleId="45">
    <w:name w:val="Main Head"/>
    <w:basedOn w:val="1"/>
    <w:qFormat/>
    <w:uiPriority w:val="0"/>
    <w:pPr>
      <w:keepNext/>
      <w:spacing w:after="240"/>
    </w:pPr>
    <w:rPr>
      <w:b/>
      <w:caps/>
    </w:rPr>
  </w:style>
  <w:style w:type="paragraph" w:customStyle="1" w:styleId="46">
    <w:name w:val="Body"/>
    <w:basedOn w:val="1"/>
    <w:qFormat/>
    <w:uiPriority w:val="0"/>
    <w:pPr>
      <w:spacing w:after="240"/>
    </w:pPr>
  </w:style>
  <w:style w:type="paragraph" w:customStyle="1" w:styleId="47">
    <w:name w:val="Refer Head"/>
    <w:basedOn w:val="45"/>
    <w:qFormat/>
    <w:uiPriority w:val="0"/>
    <w:rPr>
      <w:sz w:val="22"/>
    </w:rPr>
  </w:style>
  <w:style w:type="paragraph" w:customStyle="1" w:styleId="48">
    <w:name w:val="Affiliation"/>
    <w:basedOn w:val="1"/>
    <w:qFormat/>
    <w:uiPriority w:val="0"/>
    <w:pPr>
      <w:spacing w:after="240" w:line="240" w:lineRule="exact"/>
      <w:jc w:val="right"/>
    </w:pPr>
  </w:style>
  <w:style w:type="character" w:customStyle="1" w:styleId="49">
    <w:name w:val="Unresolved Mention"/>
    <w:basedOn w:val="2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3735</Words>
  <Characters>22615</Characters>
  <Lines>331</Lines>
  <Paragraphs>93</Paragraphs>
  <TotalTime>44</TotalTime>
  <ScaleCrop>false</ScaleCrop>
  <LinksUpToDate>false</LinksUpToDate>
  <CharactersWithSpaces>26140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2025-05-20T11:37:00Z</dcterms:created>
  <dc:creator>Un-named</dc:creator>
  <cp:lastModifiedBy>紫头吗喽</cp:lastModifiedBy>
  <dcterms:modified xsi:type="dcterms:W3CDTF">2025-08-31T01:55:58Z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8AA5538B6F41468BBBD54EFDE9E84AB8_13</vt:lpwstr>
  </property>
  <property fmtid="{D5CDD505-2E9C-101B-9397-08002B2CF9AE}" pid="4" name="KSOTemplateDocerSaveRecord">
    <vt:lpwstr>eyJoZGlkIjoiZmZlZGUyNDVlNzc1ZTIzMTBkOWFhZmY1MzExYzgzN2YiLCJ1c2VySWQiOiI1Nzc5MjIxMTUifQ==</vt:lpwstr>
  </property>
</Properties>
</file>