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52818" w14:textId="77777777" w:rsidR="008069CE" w:rsidRDefault="008069CE" w:rsidP="008069CE">
      <w:pPr>
        <w:jc w:val="center"/>
        <w:rPr>
          <w:rFonts w:ascii="Times New Roman" w:hAnsi="Times New Roman" w:cs="Times New Roman"/>
          <w:sz w:val="24"/>
          <w:szCs w:val="24"/>
          <w:lang w:val="en-GB"/>
        </w:rPr>
      </w:pPr>
      <w:r w:rsidRPr="00E34AC2">
        <w:rPr>
          <w:rFonts w:ascii="Times New Roman" w:hAnsi="Times New Roman" w:cs="Times New Roman"/>
          <w:sz w:val="24"/>
          <w:szCs w:val="24"/>
          <w:lang w:val="en-GB"/>
        </w:rPr>
        <w:t>Inter-temporal perspective of the external borrowing effect on capital accumulation in Nigeria</w:t>
      </w:r>
    </w:p>
    <w:p w14:paraId="096FE07D" w14:textId="77777777" w:rsidR="008069CE" w:rsidRDefault="008069CE" w:rsidP="008069CE">
      <w:pPr>
        <w:jc w:val="center"/>
        <w:rPr>
          <w:rFonts w:ascii="Times New Roman" w:hAnsi="Times New Roman" w:cs="Times New Roman"/>
          <w:sz w:val="24"/>
          <w:szCs w:val="24"/>
          <w:lang w:val="en-GB"/>
        </w:rPr>
      </w:pPr>
    </w:p>
    <w:p w14:paraId="2403BEA1" w14:textId="77777777" w:rsidR="008069CE" w:rsidRPr="00941C7F" w:rsidRDefault="008069CE" w:rsidP="008069CE">
      <w:pPr>
        <w:spacing w:line="360" w:lineRule="auto"/>
        <w:jc w:val="both"/>
        <w:rPr>
          <w:rFonts w:ascii="Times New Roman" w:hAnsi="Times New Roman" w:cs="Times New Roman"/>
          <w:i/>
          <w:sz w:val="24"/>
          <w:szCs w:val="24"/>
        </w:rPr>
      </w:pPr>
      <w:r w:rsidRPr="00941C7F">
        <w:rPr>
          <w:rFonts w:ascii="Times New Roman" w:hAnsi="Times New Roman" w:cs="Times New Roman"/>
          <w:i/>
          <w:sz w:val="24"/>
          <w:szCs w:val="24"/>
        </w:rPr>
        <w:t>Abstract</w:t>
      </w:r>
    </w:p>
    <w:p w14:paraId="3EB4E833" w14:textId="77777777" w:rsidR="008069CE" w:rsidRPr="00F34AC0" w:rsidRDefault="008069CE" w:rsidP="008069CE">
      <w:pPr>
        <w:jc w:val="both"/>
        <w:rPr>
          <w:i/>
          <w:sz w:val="24"/>
          <w:szCs w:val="24"/>
        </w:rPr>
      </w:pPr>
      <w:r w:rsidRPr="00242886">
        <w:rPr>
          <w:i/>
          <w:sz w:val="24"/>
          <w:szCs w:val="24"/>
          <w:highlight w:val="yellow"/>
        </w:rPr>
        <w:t>Nigeria's sustainable economic growth and sustainability, is highly dependent on the structure of her accumulated capital, which in recent years has been extensively drained. These have resulted in Nigeria’s increasing debt burden, since it is the only reliable source of income for her economic growth. External debt has been steadily increasing, prompting questions about its sustainability</w:t>
      </w:r>
      <w:r w:rsidRPr="00CB754F">
        <w:rPr>
          <w:i/>
          <w:sz w:val="24"/>
          <w:szCs w:val="24"/>
        </w:rPr>
        <w:t xml:space="preserve">. The high debt servicing cost has constrained government spending on social services and infrastructure, limiting capital investment. This study examined the intertemporal impact of external borrowing on capital accumulation in Nigeria for the period of 1981–2023. The dual gap theory and debt overhang model were used as a theoretical framework for this study. Gross fixed capital formation, external debt stock, domestic debt stock, external debt servicing, nominal interest rate, national savings, and exchange rate were the variables used for the analysis. An autoregressive distributed lag (ARDL) regression procedure was employed. The results showed that external debt has a positive and statistically significant impact on gross fixed capital formation in Nigeria in the long run. In contrast, there is a negative and significant impact in the short run. The domestic debt indicated an insignificant negative impact in both the long and short run. The result also indicated an unattainable debt-to-GDP. </w:t>
      </w:r>
      <w:r w:rsidRPr="00F540B0">
        <w:rPr>
          <w:i/>
          <w:sz w:val="24"/>
          <w:szCs w:val="24"/>
          <w:highlight w:val="yellow"/>
        </w:rPr>
        <w:t>This study recommended that domestic borrowing should be discouraged and avoided completely if possible. External borrowing is still the most viable source of capital accumulation for investment and infrastructural development. However, external debt servicing is not sustainable in Nigeria current capital accumulation, therefore saving policies should be encouraged, such as the introduction of a sovereign wealth fund and excess crude account.</w:t>
      </w:r>
    </w:p>
    <w:p w14:paraId="3D3CD1D5" w14:textId="77777777" w:rsidR="008069CE" w:rsidRDefault="008069CE" w:rsidP="008069CE">
      <w:pPr>
        <w:spacing w:line="360" w:lineRule="auto"/>
        <w:jc w:val="both"/>
        <w:rPr>
          <w:rFonts w:ascii="Times New Roman" w:hAnsi="Times New Roman" w:cs="Times New Roman"/>
          <w:i/>
          <w:sz w:val="24"/>
          <w:szCs w:val="24"/>
        </w:rPr>
      </w:pPr>
      <w:r w:rsidRPr="00941C7F">
        <w:rPr>
          <w:rFonts w:ascii="Times New Roman" w:hAnsi="Times New Roman" w:cs="Times New Roman"/>
          <w:i/>
          <w:sz w:val="24"/>
          <w:szCs w:val="24"/>
        </w:rPr>
        <w:t>KEYWORDS: External Debt Stock, External Debt Servicing, Capital Accumulation/Stock.</w:t>
      </w:r>
    </w:p>
    <w:p w14:paraId="614AA208" w14:textId="77777777" w:rsidR="008069CE" w:rsidRPr="00941C7F" w:rsidRDefault="008069CE" w:rsidP="008069CE">
      <w:pPr>
        <w:spacing w:line="360" w:lineRule="auto"/>
        <w:jc w:val="both"/>
        <w:rPr>
          <w:rFonts w:ascii="Times New Roman" w:hAnsi="Times New Roman" w:cs="Times New Roman"/>
          <w:i/>
          <w:sz w:val="24"/>
          <w:szCs w:val="24"/>
        </w:rPr>
      </w:pPr>
      <w:r>
        <w:rPr>
          <w:rFonts w:ascii="Times New Roman" w:hAnsi="Times New Roman" w:cs="Times New Roman"/>
          <w:i/>
          <w:sz w:val="24"/>
          <w:szCs w:val="24"/>
        </w:rPr>
        <w:t>JEL CODES : F34, H63, O47</w:t>
      </w:r>
    </w:p>
    <w:p w14:paraId="0736FBF4" w14:textId="77777777" w:rsidR="008069CE" w:rsidRPr="00941C7F" w:rsidRDefault="008069CE" w:rsidP="008069CE">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Introduction</w:t>
      </w:r>
    </w:p>
    <w:p w14:paraId="636C7A75" w14:textId="77777777" w:rsidR="008069CE" w:rsidRPr="00396433" w:rsidRDefault="008069CE" w:rsidP="008069CE">
      <w:pPr>
        <w:spacing w:after="0" w:line="360" w:lineRule="auto"/>
        <w:jc w:val="both"/>
        <w:rPr>
          <w:rFonts w:ascii="Times New Roman" w:eastAsia="Times New Roman" w:hAnsi="Times New Roman" w:cs="Times New Roman"/>
          <w:sz w:val="24"/>
          <w:szCs w:val="24"/>
        </w:rPr>
      </w:pPr>
      <w:r w:rsidRPr="004D5D20">
        <w:rPr>
          <w:rFonts w:ascii="Times New Roman" w:eastAsia="Times New Roman" w:hAnsi="Times New Roman" w:cs="Times New Roman"/>
          <w:sz w:val="24"/>
          <w:szCs w:val="24"/>
          <w:highlight w:val="yellow"/>
        </w:rPr>
        <w:t xml:space="preserve">Capital accumulation has been conceptualized by classical economics (Adam Smith and David Ricardo) as a driven desire to increase profits through investment in physical infrastructures, assets, leading to higher productivity. It is from </w:t>
      </w:r>
      <w:r>
        <w:rPr>
          <w:rFonts w:ascii="Times New Roman" w:eastAsia="Times New Roman" w:hAnsi="Times New Roman" w:cs="Times New Roman"/>
          <w:sz w:val="24"/>
          <w:szCs w:val="24"/>
          <w:highlight w:val="yellow"/>
        </w:rPr>
        <w:t xml:space="preserve">this </w:t>
      </w:r>
      <w:r w:rsidRPr="004D5D20">
        <w:rPr>
          <w:rFonts w:ascii="Times New Roman" w:eastAsia="Times New Roman" w:hAnsi="Times New Roman" w:cs="Times New Roman"/>
          <w:sz w:val="24"/>
          <w:szCs w:val="24"/>
          <w:highlight w:val="yellow"/>
        </w:rPr>
        <w:t xml:space="preserve">context that this study investigated the debt dynamics in shaping </w:t>
      </w:r>
      <w:r>
        <w:rPr>
          <w:rFonts w:ascii="Times New Roman" w:eastAsia="Times New Roman" w:hAnsi="Times New Roman" w:cs="Times New Roman"/>
          <w:sz w:val="24"/>
          <w:szCs w:val="24"/>
          <w:highlight w:val="yellow"/>
        </w:rPr>
        <w:t xml:space="preserve">Nigeria </w:t>
      </w:r>
      <w:r w:rsidRPr="004D5D20">
        <w:rPr>
          <w:rFonts w:ascii="Times New Roman" w:eastAsia="Times New Roman" w:hAnsi="Times New Roman" w:cs="Times New Roman"/>
          <w:sz w:val="24"/>
          <w:szCs w:val="24"/>
          <w:highlight w:val="yellow"/>
        </w:rPr>
        <w:t>capital accumulation for efficacy and sustainability.</w:t>
      </w:r>
      <w:r>
        <w:rPr>
          <w:rFonts w:ascii="Times New Roman" w:eastAsia="Times New Roman" w:hAnsi="Times New Roman" w:cs="Times New Roman"/>
          <w:sz w:val="24"/>
          <w:szCs w:val="24"/>
        </w:rPr>
        <w:t xml:space="preserve"> </w:t>
      </w:r>
      <w:r w:rsidRPr="00941C7F">
        <w:rPr>
          <w:rFonts w:ascii="Times New Roman" w:eastAsia="Times New Roman" w:hAnsi="Times New Roman" w:cs="Times New Roman"/>
          <w:sz w:val="24"/>
          <w:szCs w:val="24"/>
        </w:rPr>
        <w:t xml:space="preserve">External borrowing of a country is an intertemporal economic choice of distributing national resources across time. </w:t>
      </w:r>
      <w:r w:rsidRPr="00003932">
        <w:rPr>
          <w:rFonts w:ascii="Times New Roman" w:eastAsia="Times New Roman" w:hAnsi="Times New Roman" w:cs="Times New Roman"/>
          <w:sz w:val="24"/>
          <w:szCs w:val="24"/>
        </w:rPr>
        <w:t xml:space="preserve">One important tool of fiscal policy </w:t>
      </w:r>
      <w:r>
        <w:rPr>
          <w:rFonts w:ascii="Times New Roman" w:eastAsia="Times New Roman" w:hAnsi="Times New Roman" w:cs="Times New Roman"/>
          <w:sz w:val="24"/>
          <w:szCs w:val="24"/>
        </w:rPr>
        <w:t xml:space="preserve">tools </w:t>
      </w:r>
      <w:r w:rsidRPr="00003932">
        <w:rPr>
          <w:rFonts w:ascii="Times New Roman" w:eastAsia="Times New Roman" w:hAnsi="Times New Roman" w:cs="Times New Roman"/>
          <w:sz w:val="24"/>
          <w:szCs w:val="24"/>
        </w:rPr>
        <w:t xml:space="preserve">that governments may use to aid in their nations' development is debt. It is </w:t>
      </w:r>
      <w:r>
        <w:rPr>
          <w:rFonts w:ascii="Times New Roman" w:eastAsia="Times New Roman" w:hAnsi="Times New Roman" w:cs="Times New Roman"/>
          <w:sz w:val="24"/>
          <w:szCs w:val="24"/>
        </w:rPr>
        <w:t>expected to be used to</w:t>
      </w:r>
      <w:r w:rsidRPr="00003932">
        <w:rPr>
          <w:rFonts w:ascii="Times New Roman" w:eastAsia="Times New Roman" w:hAnsi="Times New Roman" w:cs="Times New Roman"/>
          <w:sz w:val="24"/>
          <w:szCs w:val="24"/>
        </w:rPr>
        <w:t xml:space="preserve"> settle expenses that would ultimately increase productivity and adv</w:t>
      </w:r>
      <w:r>
        <w:rPr>
          <w:rFonts w:ascii="Times New Roman" w:eastAsia="Times New Roman" w:hAnsi="Times New Roman" w:cs="Times New Roman"/>
          <w:sz w:val="24"/>
          <w:szCs w:val="24"/>
        </w:rPr>
        <w:t xml:space="preserve">ance economic growth (Muhammad </w:t>
      </w:r>
      <w:r w:rsidRPr="00003932">
        <w:rPr>
          <w:rFonts w:ascii="Times New Roman" w:eastAsia="Times New Roman" w:hAnsi="Times New Roman" w:cs="Times New Roman"/>
          <w:sz w:val="24"/>
          <w:szCs w:val="24"/>
        </w:rPr>
        <w:t>et al., 2017).</w:t>
      </w:r>
      <w:r>
        <w:rPr>
          <w:rFonts w:ascii="Times New Roman" w:eastAsia="Times New Roman" w:hAnsi="Times New Roman" w:cs="Times New Roman"/>
          <w:sz w:val="24"/>
          <w:szCs w:val="24"/>
        </w:rPr>
        <w:t xml:space="preserve"> </w:t>
      </w:r>
      <w:r w:rsidRPr="00941C7F">
        <w:rPr>
          <w:rFonts w:ascii="Times New Roman" w:eastAsia="Times New Roman" w:hAnsi="Times New Roman" w:cs="Times New Roman"/>
          <w:sz w:val="24"/>
          <w:szCs w:val="24"/>
        </w:rPr>
        <w:t>Nigeria is capital-deficient owing to low levels of domesti</w:t>
      </w:r>
      <w:r>
        <w:rPr>
          <w:rFonts w:ascii="Times New Roman" w:eastAsia="Times New Roman" w:hAnsi="Times New Roman" w:cs="Times New Roman"/>
          <w:sz w:val="24"/>
          <w:szCs w:val="24"/>
        </w:rPr>
        <w:t>c savings and investment (Ijoko</w:t>
      </w:r>
      <w:r w:rsidRPr="00941C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et al.</w:t>
      </w:r>
      <w:r w:rsidRPr="00941C7F">
        <w:rPr>
          <w:rFonts w:ascii="Times New Roman" w:eastAsia="Times New Roman" w:hAnsi="Times New Roman" w:cs="Times New Roman"/>
          <w:sz w:val="24"/>
          <w:szCs w:val="24"/>
        </w:rPr>
        <w:t xml:space="preserve">, 2022; Jacob &amp; Sule, 2022). </w:t>
      </w:r>
      <w:r w:rsidRPr="00003932">
        <w:rPr>
          <w:rFonts w:ascii="Times New Roman" w:eastAsia="Times New Roman" w:hAnsi="Times New Roman" w:cs="Times New Roman"/>
          <w:sz w:val="24"/>
          <w:szCs w:val="24"/>
        </w:rPr>
        <w:t xml:space="preserve">When capital accumulation is inadequate, a nation's ability to generate </w:t>
      </w:r>
      <w:r w:rsidRPr="00003932">
        <w:rPr>
          <w:rFonts w:ascii="Times New Roman" w:eastAsia="Times New Roman" w:hAnsi="Times New Roman" w:cs="Times New Roman"/>
          <w:sz w:val="24"/>
          <w:szCs w:val="24"/>
        </w:rPr>
        <w:lastRenderedPageBreak/>
        <w:t>investment in relation to economic growth may be reduced; hence, the resulting effect is to increase reliance on borrowing. The fact is that economic progress cannot be sustained unless capital quantity and structure reach a predetermined threshold (Sachs, 2002).</w:t>
      </w:r>
      <w:r>
        <w:rPr>
          <w:rFonts w:ascii="Times New Roman" w:eastAsia="Times New Roman" w:hAnsi="Times New Roman" w:cs="Times New Roman"/>
          <w:sz w:val="24"/>
          <w:szCs w:val="24"/>
        </w:rPr>
        <w:t xml:space="preserve"> </w:t>
      </w:r>
      <w:r w:rsidRPr="00003932">
        <w:rPr>
          <w:rFonts w:ascii="Times New Roman" w:eastAsia="Times New Roman" w:hAnsi="Times New Roman" w:cs="Times New Roman"/>
          <w:sz w:val="24"/>
          <w:szCs w:val="24"/>
        </w:rPr>
        <w:t xml:space="preserve">Bakare (2011) defines capital accumulation as the portion of current income that is saved and invested to enhance future output and revenue. </w:t>
      </w:r>
      <w:r w:rsidRPr="00DC0B21">
        <w:rPr>
          <w:rFonts w:ascii="Times New Roman" w:eastAsia="Times New Roman" w:hAnsi="Times New Roman" w:cs="Times New Roman"/>
          <w:sz w:val="24"/>
          <w:szCs w:val="24"/>
          <w:highlight w:val="yellow"/>
        </w:rPr>
        <w:t>Ugbwuegbe and Uruakpa (2013) associate capital accumulation with an increase in a nation's physical capital stock via investment in social and economic infrastructure, and when this is unattainable, borrowing become the only option.</w:t>
      </w:r>
      <w:r>
        <w:rPr>
          <w:rFonts w:ascii="Times New Roman" w:eastAsia="Times New Roman" w:hAnsi="Times New Roman" w:cs="Times New Roman"/>
          <w:sz w:val="24"/>
          <w:szCs w:val="24"/>
        </w:rPr>
        <w:t xml:space="preserve"> </w:t>
      </w:r>
      <w:r w:rsidRPr="00003932">
        <w:rPr>
          <w:rFonts w:ascii="Times New Roman" w:eastAsia="Times New Roman" w:hAnsi="Times New Roman" w:cs="Times New Roman"/>
          <w:sz w:val="24"/>
          <w:szCs w:val="24"/>
        </w:rPr>
        <w:t xml:space="preserve">Consequently, capital accumulation is recognized as a vital factor that affects the growth and development of all economies. </w:t>
      </w:r>
      <w:r>
        <w:rPr>
          <w:rFonts w:ascii="Times New Roman" w:eastAsia="Times New Roman" w:hAnsi="Times New Roman" w:cs="Times New Roman"/>
          <w:sz w:val="24"/>
          <w:szCs w:val="24"/>
        </w:rPr>
        <w:t>It</w:t>
      </w:r>
      <w:r w:rsidRPr="00003932">
        <w:rPr>
          <w:rFonts w:ascii="Times New Roman" w:eastAsia="Times New Roman" w:hAnsi="Times New Roman" w:cs="Times New Roman"/>
          <w:sz w:val="24"/>
          <w:szCs w:val="24"/>
        </w:rPr>
        <w:t xml:space="preserve"> is often believed that growth would commence only if the capital stock reaches a certain threshold level (Ugbwuegbe &amp; Uruakpa, 2013).</w:t>
      </w:r>
      <w:r>
        <w:rPr>
          <w:rFonts w:ascii="Times New Roman" w:eastAsia="Times New Roman" w:hAnsi="Times New Roman" w:cs="Times New Roman"/>
          <w:sz w:val="24"/>
          <w:szCs w:val="24"/>
        </w:rPr>
        <w:t xml:space="preserve"> </w:t>
      </w:r>
      <w:r w:rsidRPr="00396433">
        <w:rPr>
          <w:rFonts w:ascii="Times New Roman" w:hAnsi="Times New Roman" w:cs="Times New Roman"/>
          <w:sz w:val="24"/>
          <w:szCs w:val="24"/>
        </w:rPr>
        <w:t xml:space="preserve">It is also considered that in economic performance, savings continue to rise (Sachs, 2002). After a given amount of rise in savings, capital will be robust enough to maintain a capital accumulation that will lead to self-propelling economic expansion. </w:t>
      </w:r>
      <w:r w:rsidRPr="00BE1052">
        <w:rPr>
          <w:rFonts w:ascii="Times New Roman" w:hAnsi="Times New Roman" w:cs="Times New Roman"/>
          <w:sz w:val="24"/>
          <w:szCs w:val="24"/>
          <w:highlight w:val="yellow"/>
        </w:rPr>
        <w:t>Unfortunately, domestic savings in Nigeria is very poor resulting on continuous borrowing (Chenery &amp; Strout, 1966).</w:t>
      </w:r>
    </w:p>
    <w:p w14:paraId="53A2CAE5" w14:textId="77777777" w:rsidR="008069CE" w:rsidRPr="00941C7F" w:rsidRDefault="008069CE" w:rsidP="008069CE">
      <w:pPr>
        <w:spacing w:after="0" w:line="360" w:lineRule="auto"/>
        <w:jc w:val="both"/>
        <w:rPr>
          <w:rFonts w:ascii="Times New Roman" w:hAnsi="Times New Roman" w:cs="Times New Roman"/>
          <w:sz w:val="24"/>
          <w:szCs w:val="24"/>
        </w:rPr>
      </w:pPr>
    </w:p>
    <w:p w14:paraId="274E9EB7" w14:textId="77777777" w:rsidR="008069CE" w:rsidRPr="005610CA" w:rsidRDefault="008069CE" w:rsidP="008069CE">
      <w:pPr>
        <w:spacing w:after="0" w:line="360" w:lineRule="auto"/>
        <w:jc w:val="both"/>
        <w:rPr>
          <w:rFonts w:ascii="Times New Roman" w:eastAsia="Times New Roman" w:hAnsi="Times New Roman" w:cs="Times New Roman"/>
          <w:color w:val="F79646" w:themeColor="accent6"/>
          <w:sz w:val="24"/>
          <w:szCs w:val="24"/>
        </w:rPr>
      </w:pPr>
      <w:r w:rsidRPr="00396433">
        <w:rPr>
          <w:rFonts w:ascii="Times New Roman" w:eastAsia="Times New Roman" w:hAnsi="Times New Roman" w:cs="Times New Roman"/>
          <w:sz w:val="24"/>
          <w:szCs w:val="24"/>
        </w:rPr>
        <w:t xml:space="preserve">Nigeria, like many developing countries, </w:t>
      </w:r>
      <w:r>
        <w:rPr>
          <w:rFonts w:ascii="Times New Roman" w:eastAsia="Times New Roman" w:hAnsi="Times New Roman" w:cs="Times New Roman"/>
          <w:sz w:val="24"/>
          <w:szCs w:val="24"/>
          <w:highlight w:val="yellow"/>
        </w:rPr>
        <w:t xml:space="preserve">is </w:t>
      </w:r>
      <w:r w:rsidRPr="00BE1052">
        <w:rPr>
          <w:rFonts w:ascii="Times New Roman" w:eastAsia="Times New Roman" w:hAnsi="Times New Roman" w:cs="Times New Roman"/>
          <w:sz w:val="24"/>
          <w:szCs w:val="24"/>
          <w:highlight w:val="yellow"/>
        </w:rPr>
        <w:t>assumed not to have achieved</w:t>
      </w:r>
      <w:r w:rsidRPr="00396433">
        <w:rPr>
          <w:rFonts w:ascii="Times New Roman" w:eastAsia="Times New Roman" w:hAnsi="Times New Roman" w:cs="Times New Roman"/>
          <w:sz w:val="24"/>
          <w:szCs w:val="24"/>
        </w:rPr>
        <w:t xml:space="preserve"> sustained capital accumulation necessary </w:t>
      </w:r>
      <w:r w:rsidRPr="00BE1052">
        <w:rPr>
          <w:rFonts w:ascii="Times New Roman" w:eastAsia="Times New Roman" w:hAnsi="Times New Roman" w:cs="Times New Roman"/>
          <w:sz w:val="24"/>
          <w:szCs w:val="24"/>
          <w:highlight w:val="yellow"/>
        </w:rPr>
        <w:t>for</w:t>
      </w:r>
      <w:r w:rsidRPr="00396433">
        <w:rPr>
          <w:rFonts w:ascii="Times New Roman" w:eastAsia="Times New Roman" w:hAnsi="Times New Roman" w:cs="Times New Roman"/>
          <w:sz w:val="24"/>
          <w:szCs w:val="24"/>
        </w:rPr>
        <w:t xml:space="preserve"> self-sustaining economic development </w:t>
      </w:r>
      <w:r w:rsidRPr="003549CD">
        <w:rPr>
          <w:rFonts w:ascii="Times New Roman" w:eastAsia="Times New Roman" w:hAnsi="Times New Roman" w:cs="Times New Roman"/>
          <w:sz w:val="24"/>
          <w:szCs w:val="24"/>
          <w:highlight w:val="yellow"/>
        </w:rPr>
        <w:t>without resulting to borrowing</w:t>
      </w:r>
      <w:r w:rsidRPr="00396433">
        <w:rPr>
          <w:rFonts w:ascii="Times New Roman" w:eastAsia="Times New Roman" w:hAnsi="Times New Roman" w:cs="Times New Roman"/>
          <w:sz w:val="24"/>
          <w:szCs w:val="24"/>
        </w:rPr>
        <w:t xml:space="preserve"> (Hunt, 2007; Bakare, 2011).</w:t>
      </w:r>
      <w:r>
        <w:rPr>
          <w:rFonts w:ascii="Times New Roman" w:eastAsia="Times New Roman" w:hAnsi="Times New Roman" w:cs="Times New Roman"/>
          <w:sz w:val="24"/>
          <w:szCs w:val="24"/>
        </w:rPr>
        <w:t xml:space="preserve"> </w:t>
      </w:r>
      <w:r w:rsidRPr="00941C7F">
        <w:rPr>
          <w:rFonts w:ascii="Times New Roman" w:eastAsia="Times New Roman" w:hAnsi="Times New Roman" w:cs="Times New Roman"/>
          <w:sz w:val="24"/>
          <w:szCs w:val="24"/>
        </w:rPr>
        <w:t xml:space="preserve">This assumption may </w:t>
      </w:r>
      <w:r>
        <w:rPr>
          <w:rFonts w:ascii="Times New Roman" w:eastAsia="Times New Roman" w:hAnsi="Times New Roman" w:cs="Times New Roman"/>
          <w:sz w:val="24"/>
          <w:szCs w:val="24"/>
        </w:rPr>
        <w:t xml:space="preserve">has been </w:t>
      </w:r>
      <w:r w:rsidRPr="00941C7F">
        <w:rPr>
          <w:rFonts w:ascii="Times New Roman" w:eastAsia="Times New Roman" w:hAnsi="Times New Roman" w:cs="Times New Roman"/>
          <w:sz w:val="24"/>
          <w:szCs w:val="24"/>
        </w:rPr>
        <w:t>validated by the postulation in dual gap theory, which opines that investment as a purpose for savings requires foreign assistance, given the inadequate domestic savings that would ensure continuous economic growth and development (McKinnon, 1964). According to Egbetunde (2015), governments borrow for two</w:t>
      </w:r>
      <w:r>
        <w:rPr>
          <w:rFonts w:ascii="Times New Roman" w:eastAsia="Times New Roman" w:hAnsi="Times New Roman" w:cs="Times New Roman"/>
          <w:sz w:val="24"/>
          <w:szCs w:val="24"/>
        </w:rPr>
        <w:t xml:space="preserve"> primary macroeconomic purposes;</w:t>
      </w:r>
      <w:r w:rsidRPr="00941C7F">
        <w:rPr>
          <w:rFonts w:ascii="Times New Roman" w:eastAsia="Times New Roman" w:hAnsi="Times New Roman" w:cs="Times New Roman"/>
          <w:sz w:val="24"/>
          <w:szCs w:val="24"/>
        </w:rPr>
        <w:t xml:space="preserve"> to fund consumption and investment or to finance a temporary balance of payment deficit. They also borrow to cover budget shortfalls ste</w:t>
      </w:r>
      <w:r>
        <w:rPr>
          <w:rFonts w:ascii="Times New Roman" w:eastAsia="Times New Roman" w:hAnsi="Times New Roman" w:cs="Times New Roman"/>
          <w:sz w:val="24"/>
          <w:szCs w:val="24"/>
        </w:rPr>
        <w:t xml:space="preserve">mming from a decline in income </w:t>
      </w:r>
      <w:r w:rsidRPr="003549CD">
        <w:rPr>
          <w:rFonts w:ascii="Times New Roman" w:eastAsia="Times New Roman" w:hAnsi="Times New Roman" w:cs="Times New Roman"/>
          <w:sz w:val="24"/>
          <w:szCs w:val="24"/>
          <w:highlight w:val="yellow"/>
        </w:rPr>
        <w:t>as well as</w:t>
      </w:r>
      <w:r>
        <w:rPr>
          <w:rFonts w:ascii="Times New Roman" w:eastAsia="Times New Roman" w:hAnsi="Times New Roman" w:cs="Times New Roman"/>
          <w:sz w:val="24"/>
          <w:szCs w:val="24"/>
        </w:rPr>
        <w:t xml:space="preserve"> </w:t>
      </w:r>
      <w:r w:rsidRPr="00941C7F">
        <w:rPr>
          <w:rFonts w:ascii="Times New Roman" w:eastAsia="Times New Roman" w:hAnsi="Times New Roman" w:cs="Times New Roman"/>
          <w:sz w:val="24"/>
          <w:szCs w:val="24"/>
        </w:rPr>
        <w:t xml:space="preserve">supporting economic development and decreasing poverty. </w:t>
      </w:r>
      <w:r w:rsidRPr="00941C7F">
        <w:rPr>
          <w:rFonts w:ascii="Times New Roman" w:eastAsia="Times New Roman" w:hAnsi="Times New Roman" w:cs="Times New Roman"/>
          <w:sz w:val="24"/>
          <w:szCs w:val="24"/>
        </w:rPr>
        <w:br/>
        <w:t>Incurring debt arises as a consequence of borrowing, which may be internal (domestic d</w:t>
      </w:r>
      <w:r>
        <w:rPr>
          <w:rFonts w:ascii="Times New Roman" w:eastAsia="Times New Roman" w:hAnsi="Times New Roman" w:cs="Times New Roman"/>
          <w:sz w:val="24"/>
          <w:szCs w:val="24"/>
        </w:rPr>
        <w:t>ebt) or external debt</w:t>
      </w:r>
      <w:r w:rsidRPr="00941C7F">
        <w:rPr>
          <w:rFonts w:ascii="Times New Roman" w:eastAsia="Times New Roman" w:hAnsi="Times New Roman" w:cs="Times New Roman"/>
          <w:sz w:val="24"/>
          <w:szCs w:val="24"/>
        </w:rPr>
        <w:t xml:space="preserve">. Either of these must be in proportion to which future growth and general development </w:t>
      </w:r>
      <w:r w:rsidRPr="003549CD">
        <w:rPr>
          <w:rFonts w:ascii="Times New Roman" w:eastAsia="Times New Roman" w:hAnsi="Times New Roman" w:cs="Times New Roman"/>
          <w:sz w:val="24"/>
          <w:szCs w:val="24"/>
          <w:highlight w:val="yellow"/>
        </w:rPr>
        <w:t>will be</w:t>
      </w:r>
      <w:r>
        <w:rPr>
          <w:rFonts w:ascii="Times New Roman" w:eastAsia="Times New Roman" w:hAnsi="Times New Roman" w:cs="Times New Roman"/>
          <w:sz w:val="24"/>
          <w:szCs w:val="24"/>
        </w:rPr>
        <w:t xml:space="preserve"> </w:t>
      </w:r>
      <w:r w:rsidRPr="00941C7F">
        <w:rPr>
          <w:rFonts w:ascii="Times New Roman" w:eastAsia="Times New Roman" w:hAnsi="Times New Roman" w:cs="Times New Roman"/>
          <w:sz w:val="24"/>
          <w:szCs w:val="24"/>
        </w:rPr>
        <w:t>jeopardized (Ogunbiyi &amp; Okunlola, 2015</w:t>
      </w:r>
      <w:r w:rsidRPr="005610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According to Idenyi et al., </w:t>
      </w:r>
      <w:r w:rsidRPr="005610CA">
        <w:rPr>
          <w:rFonts w:ascii="Times New Roman" w:eastAsia="Times New Roman" w:hAnsi="Times New Roman" w:cs="Times New Roman"/>
          <w:sz w:val="24"/>
          <w:szCs w:val="24"/>
        </w:rPr>
        <w:t xml:space="preserve">(2016), public debt may be defined as the total amount of borrowings made by all branches of government, including the federal, state, and local governments, or as the national debt owed by the government. Future pension payments, government commitments, and goods and services that the government purchases on credit are </w:t>
      </w:r>
      <w:r w:rsidRPr="003549CD">
        <w:rPr>
          <w:rFonts w:ascii="Times New Roman" w:eastAsia="Times New Roman" w:hAnsi="Times New Roman" w:cs="Times New Roman"/>
          <w:sz w:val="24"/>
          <w:szCs w:val="24"/>
          <w:highlight w:val="yellow"/>
        </w:rPr>
        <w:t>all included in public debt</w:t>
      </w:r>
      <w:r w:rsidRPr="005610CA">
        <w:rPr>
          <w:rFonts w:ascii="Times New Roman" w:eastAsia="Times New Roman" w:hAnsi="Times New Roman" w:cs="Times New Roman"/>
          <w:sz w:val="24"/>
          <w:szCs w:val="24"/>
        </w:rPr>
        <w:t xml:space="preserve"> (Idenyi, </w:t>
      </w:r>
      <w:r>
        <w:rPr>
          <w:rFonts w:ascii="Times New Roman" w:eastAsia="Times New Roman" w:hAnsi="Times New Roman" w:cs="Times New Roman"/>
          <w:sz w:val="24"/>
          <w:szCs w:val="24"/>
        </w:rPr>
        <w:t>et al.</w:t>
      </w:r>
      <w:r w:rsidRPr="005610CA">
        <w:rPr>
          <w:rFonts w:ascii="Times New Roman" w:eastAsia="Times New Roman" w:hAnsi="Times New Roman" w:cs="Times New Roman"/>
          <w:sz w:val="24"/>
          <w:szCs w:val="24"/>
        </w:rPr>
        <w:t>, 2016).</w:t>
      </w:r>
    </w:p>
    <w:p w14:paraId="0E2B9F10"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Domestic borrowing </w:t>
      </w:r>
      <w:r>
        <w:rPr>
          <w:rFonts w:ascii="Times New Roman" w:eastAsia="Times New Roman" w:hAnsi="Times New Roman" w:cs="Times New Roman"/>
          <w:sz w:val="24"/>
          <w:szCs w:val="24"/>
        </w:rPr>
        <w:t xml:space="preserve">in </w:t>
      </w:r>
      <w:r w:rsidRPr="003549CD">
        <w:rPr>
          <w:rFonts w:ascii="Times New Roman" w:eastAsia="Times New Roman" w:hAnsi="Times New Roman" w:cs="Times New Roman"/>
          <w:sz w:val="24"/>
          <w:szCs w:val="24"/>
          <w:highlight w:val="yellow"/>
        </w:rPr>
        <w:t>most developing countries</w:t>
      </w:r>
      <w:r>
        <w:rPr>
          <w:rFonts w:ascii="Times New Roman" w:eastAsia="Times New Roman" w:hAnsi="Times New Roman" w:cs="Times New Roman"/>
          <w:sz w:val="24"/>
          <w:szCs w:val="24"/>
        </w:rPr>
        <w:t xml:space="preserve"> </w:t>
      </w:r>
      <w:r w:rsidRPr="00941C7F">
        <w:rPr>
          <w:rFonts w:ascii="Times New Roman" w:eastAsia="Times New Roman" w:hAnsi="Times New Roman" w:cs="Times New Roman"/>
          <w:sz w:val="24"/>
          <w:szCs w:val="24"/>
        </w:rPr>
        <w:t xml:space="preserve">may </w:t>
      </w:r>
      <w:r w:rsidRPr="003549CD">
        <w:rPr>
          <w:rFonts w:ascii="Times New Roman" w:eastAsia="Times New Roman" w:hAnsi="Times New Roman" w:cs="Times New Roman"/>
          <w:sz w:val="24"/>
          <w:szCs w:val="24"/>
          <w:highlight w:val="yellow"/>
        </w:rPr>
        <w:t>becloud</w:t>
      </w:r>
      <w:r w:rsidRPr="00941C7F">
        <w:rPr>
          <w:rFonts w:ascii="Times New Roman" w:eastAsia="Times New Roman" w:hAnsi="Times New Roman" w:cs="Times New Roman"/>
          <w:sz w:val="24"/>
          <w:szCs w:val="24"/>
        </w:rPr>
        <w:t xml:space="preserve"> private sector investment, </w:t>
      </w:r>
      <w:r w:rsidRPr="003549CD">
        <w:rPr>
          <w:rFonts w:ascii="Times New Roman" w:eastAsia="Times New Roman" w:hAnsi="Times New Roman" w:cs="Times New Roman"/>
          <w:sz w:val="24"/>
          <w:szCs w:val="24"/>
          <w:highlight w:val="yellow"/>
        </w:rPr>
        <w:t>unable to</w:t>
      </w:r>
      <w:r>
        <w:rPr>
          <w:rFonts w:ascii="Times New Roman" w:eastAsia="Times New Roman" w:hAnsi="Times New Roman" w:cs="Times New Roman"/>
          <w:sz w:val="24"/>
          <w:szCs w:val="24"/>
        </w:rPr>
        <w:t xml:space="preserve"> </w:t>
      </w:r>
      <w:r w:rsidRPr="00941C7F">
        <w:rPr>
          <w:rFonts w:ascii="Times New Roman" w:eastAsia="Times New Roman" w:hAnsi="Times New Roman" w:cs="Times New Roman"/>
          <w:sz w:val="24"/>
          <w:szCs w:val="24"/>
        </w:rPr>
        <w:t>boost interest rates, and impede economic development</w:t>
      </w:r>
      <w:r>
        <w:rPr>
          <w:rFonts w:ascii="Times New Roman" w:eastAsia="Times New Roman" w:hAnsi="Times New Roman" w:cs="Times New Roman"/>
          <w:sz w:val="24"/>
          <w:szCs w:val="24"/>
        </w:rPr>
        <w:t xml:space="preserve"> and </w:t>
      </w:r>
      <w:r w:rsidRPr="007A6C80">
        <w:rPr>
          <w:rFonts w:ascii="Times New Roman" w:eastAsia="Times New Roman" w:hAnsi="Times New Roman" w:cs="Times New Roman"/>
          <w:sz w:val="24"/>
          <w:szCs w:val="24"/>
          <w:highlight w:val="yellow"/>
        </w:rPr>
        <w:t>Nigeria may not be an exception</w:t>
      </w:r>
      <w:r w:rsidRPr="00941C7F">
        <w:rPr>
          <w:rFonts w:ascii="Times New Roman" w:eastAsia="Times New Roman" w:hAnsi="Times New Roman" w:cs="Times New Roman"/>
          <w:sz w:val="24"/>
          <w:szCs w:val="24"/>
        </w:rPr>
        <w:t>. Therefore, foreign borrowing may become the most efficient alte</w:t>
      </w:r>
      <w:r>
        <w:rPr>
          <w:rFonts w:ascii="Times New Roman" w:eastAsia="Times New Roman" w:hAnsi="Times New Roman" w:cs="Times New Roman"/>
          <w:sz w:val="24"/>
          <w:szCs w:val="24"/>
        </w:rPr>
        <w:t xml:space="preserve">rnative for economic growth in </w:t>
      </w:r>
      <w:r w:rsidRPr="007A6C80">
        <w:rPr>
          <w:rFonts w:ascii="Times New Roman" w:eastAsia="Times New Roman" w:hAnsi="Times New Roman" w:cs="Times New Roman"/>
          <w:sz w:val="24"/>
          <w:szCs w:val="24"/>
          <w:highlight w:val="yellow"/>
        </w:rPr>
        <w:t xml:space="preserve">developing nation like </w:t>
      </w:r>
      <w:r w:rsidRPr="007A6C80">
        <w:rPr>
          <w:rFonts w:ascii="Times New Roman" w:eastAsia="Times New Roman" w:hAnsi="Times New Roman" w:cs="Times New Roman"/>
          <w:sz w:val="24"/>
          <w:szCs w:val="24"/>
          <w:highlight w:val="yellow"/>
        </w:rPr>
        <w:lastRenderedPageBreak/>
        <w:t>Nigeria</w:t>
      </w:r>
      <w:r w:rsidRPr="00941C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Checherita &amp; Rother, 2019). </w:t>
      </w:r>
      <w:r w:rsidRPr="007A6C80">
        <w:rPr>
          <w:rFonts w:ascii="Times New Roman" w:eastAsia="Times New Roman" w:hAnsi="Times New Roman" w:cs="Times New Roman"/>
          <w:sz w:val="24"/>
          <w:szCs w:val="24"/>
          <w:highlight w:val="yellow"/>
        </w:rPr>
        <w:t>This mechnism of finance</w:t>
      </w:r>
      <w:r w:rsidRPr="00941C7F">
        <w:rPr>
          <w:rFonts w:ascii="Times New Roman" w:eastAsia="Times New Roman" w:hAnsi="Times New Roman" w:cs="Times New Roman"/>
          <w:sz w:val="24"/>
          <w:szCs w:val="24"/>
        </w:rPr>
        <w:t xml:space="preserve"> are not without </w:t>
      </w:r>
      <w:r>
        <w:rPr>
          <w:rFonts w:ascii="Times New Roman" w:eastAsia="Times New Roman" w:hAnsi="Times New Roman" w:cs="Times New Roman"/>
          <w:sz w:val="24"/>
          <w:szCs w:val="24"/>
        </w:rPr>
        <w:t>its</w:t>
      </w:r>
      <w:r w:rsidRPr="00941C7F">
        <w:rPr>
          <w:rFonts w:ascii="Times New Roman" w:eastAsia="Times New Roman" w:hAnsi="Times New Roman" w:cs="Times New Roman"/>
          <w:sz w:val="24"/>
          <w:szCs w:val="24"/>
        </w:rPr>
        <w:t xml:space="preserve"> consequences on the macroeconomic growth of Nigeria. Sulaiman and Azeez (2018) pointed out that the high amount of </w:t>
      </w:r>
      <w:r>
        <w:rPr>
          <w:rFonts w:ascii="Times New Roman" w:eastAsia="Times New Roman" w:hAnsi="Times New Roman" w:cs="Times New Roman"/>
          <w:sz w:val="24"/>
          <w:szCs w:val="24"/>
        </w:rPr>
        <w:t>external</w:t>
      </w:r>
      <w:r w:rsidRPr="00941C7F">
        <w:rPr>
          <w:rFonts w:ascii="Times New Roman" w:eastAsia="Times New Roman" w:hAnsi="Times New Roman" w:cs="Times New Roman"/>
          <w:sz w:val="24"/>
          <w:szCs w:val="24"/>
        </w:rPr>
        <w:t xml:space="preserve"> debt </w:t>
      </w:r>
      <w:r>
        <w:rPr>
          <w:rFonts w:ascii="Times New Roman" w:eastAsia="Times New Roman" w:hAnsi="Times New Roman" w:cs="Times New Roman"/>
          <w:sz w:val="24"/>
          <w:szCs w:val="24"/>
        </w:rPr>
        <w:t xml:space="preserve">has </w:t>
      </w:r>
      <w:r w:rsidRPr="007A6C80">
        <w:rPr>
          <w:rFonts w:ascii="Times New Roman" w:eastAsia="Times New Roman" w:hAnsi="Times New Roman" w:cs="Times New Roman"/>
          <w:sz w:val="24"/>
          <w:szCs w:val="24"/>
          <w:highlight w:val="yellow"/>
        </w:rPr>
        <w:t>subjected Nigeria's economic stability in peril owing to debt payment overhang</w:t>
      </w:r>
      <w:r w:rsidRPr="00941C7F">
        <w:rPr>
          <w:rFonts w:ascii="Times New Roman" w:eastAsia="Times New Roman" w:hAnsi="Times New Roman" w:cs="Times New Roman"/>
          <w:sz w:val="24"/>
          <w:szCs w:val="24"/>
        </w:rPr>
        <w:t>. In Nigeria, capital accumulati</w:t>
      </w:r>
      <w:r>
        <w:rPr>
          <w:rFonts w:ascii="Times New Roman" w:eastAsia="Times New Roman" w:hAnsi="Times New Roman" w:cs="Times New Roman"/>
          <w:sz w:val="24"/>
          <w:szCs w:val="24"/>
        </w:rPr>
        <w:t xml:space="preserve">on comes largely from crude oil. </w:t>
      </w:r>
      <w:r w:rsidRPr="00CD3947">
        <w:rPr>
          <w:rFonts w:ascii="Times New Roman" w:eastAsia="Times New Roman" w:hAnsi="Times New Roman" w:cs="Times New Roman"/>
          <w:sz w:val="24"/>
          <w:szCs w:val="24"/>
          <w:highlight w:val="yellow"/>
        </w:rPr>
        <w:t>However, this has been a major setback recent times, due to a noticeable collapse in global oil prices; thereby placing Nigerian economy in a non-sustainable situation. This has also compounded the country's low profits from oil and increased the debt dependency of Nigeria's. It has also resulted in balance of payment deficits, inhibited the economic growth and development since the low global oil price has r</w:t>
      </w:r>
      <w:r>
        <w:rPr>
          <w:rFonts w:ascii="Times New Roman" w:eastAsia="Times New Roman" w:hAnsi="Times New Roman" w:cs="Times New Roman"/>
          <w:sz w:val="24"/>
          <w:szCs w:val="24"/>
          <w:highlight w:val="yellow"/>
        </w:rPr>
        <w:t xml:space="preserve"> </w:t>
      </w:r>
      <w:r w:rsidRPr="00CD3947">
        <w:rPr>
          <w:rFonts w:ascii="Times New Roman" w:eastAsia="Times New Roman" w:hAnsi="Times New Roman" w:cs="Times New Roman"/>
          <w:sz w:val="24"/>
          <w:szCs w:val="24"/>
          <w:highlight w:val="yellow"/>
        </w:rPr>
        <w:t>esulted in poor capital accumulations</w:t>
      </w:r>
      <w:r w:rsidRPr="00941C7F">
        <w:rPr>
          <w:rFonts w:ascii="Times New Roman" w:eastAsia="Times New Roman" w:hAnsi="Times New Roman" w:cs="Times New Roman"/>
          <w:sz w:val="24"/>
          <w:szCs w:val="24"/>
        </w:rPr>
        <w:t xml:space="preserve"> (Jacob &amp; Sule, 2022; Adediyan &amp; Ehisuoria, 2022).</w:t>
      </w:r>
    </w:p>
    <w:p w14:paraId="3A81CE5A"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In recent decades, Nigeria's average debt profile has been on </w:t>
      </w:r>
      <w:r w:rsidRPr="00CD3947">
        <w:rPr>
          <w:rFonts w:ascii="Times New Roman" w:eastAsia="Times New Roman" w:hAnsi="Times New Roman" w:cs="Times New Roman"/>
          <w:sz w:val="24"/>
          <w:szCs w:val="24"/>
          <w:highlight w:val="yellow"/>
        </w:rPr>
        <w:t>ascendency,</w:t>
      </w:r>
      <w:r w:rsidRPr="00941C7F">
        <w:rPr>
          <w:rFonts w:ascii="Times New Roman" w:eastAsia="Times New Roman" w:hAnsi="Times New Roman" w:cs="Times New Roman"/>
          <w:sz w:val="24"/>
          <w:szCs w:val="24"/>
        </w:rPr>
        <w:t xml:space="preserve"> with domestic debt typically occupying </w:t>
      </w:r>
      <w:r w:rsidRPr="00CD3947">
        <w:rPr>
          <w:rFonts w:ascii="Times New Roman" w:eastAsia="Times New Roman" w:hAnsi="Times New Roman" w:cs="Times New Roman"/>
          <w:sz w:val="24"/>
          <w:szCs w:val="24"/>
          <w:highlight w:val="yellow"/>
        </w:rPr>
        <w:t>the leading</w:t>
      </w:r>
      <w:r w:rsidRPr="00941C7F">
        <w:rPr>
          <w:rFonts w:ascii="Times New Roman" w:eastAsia="Times New Roman" w:hAnsi="Times New Roman" w:cs="Times New Roman"/>
          <w:sz w:val="24"/>
          <w:szCs w:val="24"/>
        </w:rPr>
        <w:t xml:space="preserve"> seat. This trend </w:t>
      </w:r>
      <w:r w:rsidRPr="00CD3947">
        <w:rPr>
          <w:rFonts w:ascii="Times New Roman" w:eastAsia="Times New Roman" w:hAnsi="Times New Roman" w:cs="Times New Roman"/>
          <w:sz w:val="24"/>
          <w:szCs w:val="24"/>
          <w:highlight w:val="yellow"/>
        </w:rPr>
        <w:t>has</w:t>
      </w:r>
      <w:r>
        <w:rPr>
          <w:rFonts w:ascii="Times New Roman" w:eastAsia="Times New Roman" w:hAnsi="Times New Roman" w:cs="Times New Roman"/>
          <w:sz w:val="24"/>
          <w:szCs w:val="24"/>
        </w:rPr>
        <w:t xml:space="preserve"> </w:t>
      </w:r>
      <w:r w:rsidRPr="00941C7F">
        <w:rPr>
          <w:rFonts w:ascii="Times New Roman" w:eastAsia="Times New Roman" w:hAnsi="Times New Roman" w:cs="Times New Roman"/>
          <w:sz w:val="24"/>
          <w:szCs w:val="24"/>
        </w:rPr>
        <w:t xml:space="preserve">continued as Nigeria's foreign debt </w:t>
      </w:r>
      <w:r w:rsidRPr="00CD3947">
        <w:rPr>
          <w:rFonts w:ascii="Times New Roman" w:eastAsia="Times New Roman" w:hAnsi="Times New Roman" w:cs="Times New Roman"/>
          <w:sz w:val="24"/>
          <w:szCs w:val="24"/>
          <w:highlight w:val="yellow"/>
        </w:rPr>
        <w:t>was estimated to be</w:t>
      </w:r>
      <w:r w:rsidRPr="00941C7F">
        <w:rPr>
          <w:rFonts w:ascii="Times New Roman" w:eastAsia="Times New Roman" w:hAnsi="Times New Roman" w:cs="Times New Roman"/>
          <w:sz w:val="24"/>
          <w:szCs w:val="24"/>
        </w:rPr>
        <w:t xml:space="preserve"> US$41.69 billion in Q4 2022, while domestic debt was US$ 61.41 billion. In 2023, the public debt stock </w:t>
      </w:r>
      <w:r w:rsidRPr="00CD3947">
        <w:rPr>
          <w:rFonts w:ascii="Times New Roman" w:eastAsia="Times New Roman" w:hAnsi="Times New Roman" w:cs="Times New Roman"/>
          <w:sz w:val="24"/>
          <w:szCs w:val="24"/>
          <w:highlight w:val="yellow"/>
        </w:rPr>
        <w:t>rose</w:t>
      </w:r>
      <w:r w:rsidRPr="00941C7F">
        <w:rPr>
          <w:rFonts w:ascii="Times New Roman" w:eastAsia="Times New Roman" w:hAnsi="Times New Roman" w:cs="Times New Roman"/>
          <w:sz w:val="24"/>
          <w:szCs w:val="24"/>
        </w:rPr>
        <w:t xml:space="preserve"> to US$108.2 billion with </w:t>
      </w:r>
      <w:r>
        <w:rPr>
          <w:rFonts w:ascii="Times New Roman" w:eastAsia="Times New Roman" w:hAnsi="Times New Roman" w:cs="Times New Roman"/>
          <w:sz w:val="24"/>
          <w:szCs w:val="24"/>
        </w:rPr>
        <w:t>external</w:t>
      </w:r>
      <w:r w:rsidRPr="00941C7F">
        <w:rPr>
          <w:rFonts w:ascii="Times New Roman" w:eastAsia="Times New Roman" w:hAnsi="Times New Roman" w:cs="Times New Roman"/>
          <w:sz w:val="24"/>
          <w:szCs w:val="24"/>
        </w:rPr>
        <w:t xml:space="preserve"> debt growth of 4.2%</w:t>
      </w:r>
      <w:r>
        <w:rPr>
          <w:rFonts w:ascii="Times New Roman" w:eastAsia="Times New Roman" w:hAnsi="Times New Roman" w:cs="Times New Roman"/>
          <w:sz w:val="24"/>
          <w:szCs w:val="24"/>
        </w:rPr>
        <w:t xml:space="preserve"> </w:t>
      </w:r>
      <w:r w:rsidRPr="00CD3947">
        <w:rPr>
          <w:rFonts w:ascii="Times New Roman" w:eastAsia="Times New Roman" w:hAnsi="Times New Roman" w:cs="Times New Roman"/>
          <w:sz w:val="24"/>
          <w:szCs w:val="24"/>
          <w:highlight w:val="yellow"/>
        </w:rPr>
        <w:t>of Nigeria debt profile</w:t>
      </w:r>
      <w:r w:rsidRPr="00941C7F">
        <w:rPr>
          <w:rFonts w:ascii="Times New Roman" w:eastAsia="Times New Roman" w:hAnsi="Times New Roman" w:cs="Times New Roman"/>
          <w:sz w:val="24"/>
          <w:szCs w:val="24"/>
        </w:rPr>
        <w:t xml:space="preserve">. </w:t>
      </w:r>
      <w:r w:rsidRPr="00CD3947">
        <w:rPr>
          <w:rFonts w:ascii="Times New Roman" w:eastAsia="Times New Roman" w:hAnsi="Times New Roman" w:cs="Times New Roman"/>
          <w:sz w:val="24"/>
          <w:szCs w:val="24"/>
          <w:highlight w:val="yellow"/>
        </w:rPr>
        <w:t>The</w:t>
      </w:r>
      <w:r w:rsidRPr="005610CA">
        <w:rPr>
          <w:rFonts w:ascii="Times New Roman" w:eastAsia="Times New Roman" w:hAnsi="Times New Roman" w:cs="Times New Roman"/>
          <w:sz w:val="24"/>
          <w:szCs w:val="24"/>
        </w:rPr>
        <w:t xml:space="preserve"> total public debt grew geometrically in naira between 2010 and 2020, increasing by 528.8%, while the USD equivalent grew by 146.1% during the same period; </w:t>
      </w:r>
      <w:r w:rsidRPr="00F8534E">
        <w:rPr>
          <w:rFonts w:ascii="Times New Roman" w:eastAsia="Times New Roman" w:hAnsi="Times New Roman" w:cs="Times New Roman"/>
          <w:sz w:val="24"/>
          <w:szCs w:val="24"/>
          <w:highlight w:val="yellow"/>
        </w:rPr>
        <w:t>it is possible that this upward trend may be related to the widening exchange rate gap (DMO, 2025</w:t>
      </w:r>
      <w:r w:rsidRPr="005610CA">
        <w:rPr>
          <w:rFonts w:ascii="Times New Roman" w:eastAsia="Times New Roman" w:hAnsi="Times New Roman" w:cs="Times New Roman"/>
          <w:sz w:val="24"/>
          <w:szCs w:val="24"/>
        </w:rPr>
        <w:t xml:space="preserve">). </w:t>
      </w:r>
      <w:r w:rsidRPr="00F8534E">
        <w:rPr>
          <w:rFonts w:ascii="Times New Roman" w:eastAsia="Times New Roman" w:hAnsi="Times New Roman" w:cs="Times New Roman"/>
          <w:sz w:val="24"/>
          <w:szCs w:val="24"/>
          <w:highlight w:val="yellow"/>
        </w:rPr>
        <w:t>Furthermore</w:t>
      </w:r>
      <w:r>
        <w:rPr>
          <w:rFonts w:ascii="Times New Roman" w:eastAsia="Times New Roman" w:hAnsi="Times New Roman" w:cs="Times New Roman"/>
          <w:sz w:val="24"/>
          <w:szCs w:val="24"/>
        </w:rPr>
        <w:t>, t</w:t>
      </w:r>
      <w:r w:rsidRPr="005610CA">
        <w:rPr>
          <w:rFonts w:ascii="Times New Roman" w:eastAsia="Times New Roman" w:hAnsi="Times New Roman" w:cs="Times New Roman"/>
          <w:sz w:val="24"/>
          <w:szCs w:val="24"/>
        </w:rPr>
        <w:t xml:space="preserve">he naira's declining value and the intertemporal economic situation throughout </w:t>
      </w:r>
      <w:r w:rsidRPr="00F8534E">
        <w:rPr>
          <w:rFonts w:ascii="Times New Roman" w:eastAsia="Times New Roman" w:hAnsi="Times New Roman" w:cs="Times New Roman"/>
          <w:sz w:val="24"/>
          <w:szCs w:val="24"/>
          <w:highlight w:val="yellow"/>
        </w:rPr>
        <w:t>time have shown differences in the growth of the naira and dollar</w:t>
      </w:r>
      <w:r>
        <w:rPr>
          <w:rFonts w:ascii="Times New Roman" w:eastAsia="Times New Roman" w:hAnsi="Times New Roman" w:cs="Times New Roman"/>
          <w:sz w:val="24"/>
          <w:szCs w:val="24"/>
        </w:rPr>
        <w:t xml:space="preserve"> values. </w:t>
      </w:r>
      <w:r w:rsidRPr="00941C7F">
        <w:rPr>
          <w:rFonts w:ascii="Times New Roman" w:eastAsia="Times New Roman" w:hAnsi="Times New Roman" w:cs="Times New Roman"/>
          <w:sz w:val="24"/>
          <w:szCs w:val="24"/>
        </w:rPr>
        <w:t xml:space="preserve">Nigeria's debt servicing likewise follows the same trajectory as </w:t>
      </w:r>
      <w:r w:rsidRPr="00F8534E">
        <w:rPr>
          <w:rFonts w:ascii="Times New Roman" w:eastAsia="Times New Roman" w:hAnsi="Times New Roman" w:cs="Times New Roman"/>
          <w:sz w:val="24"/>
          <w:szCs w:val="24"/>
          <w:highlight w:val="yellow"/>
        </w:rPr>
        <w:t xml:space="preserve">with the ascendency of public debt. Statistical report from debt management office has shown that Buhari’s presidency accumulated the most debt </w:t>
      </w:r>
      <w:r>
        <w:rPr>
          <w:rFonts w:ascii="Times New Roman" w:eastAsia="Times New Roman" w:hAnsi="Times New Roman" w:cs="Times New Roman"/>
          <w:sz w:val="24"/>
          <w:szCs w:val="24"/>
          <w:highlight w:val="yellow"/>
        </w:rPr>
        <w:t xml:space="preserve">as well as incurred debt service to GDP </w:t>
      </w:r>
      <w:r w:rsidRPr="00F8534E">
        <w:rPr>
          <w:rFonts w:ascii="Times New Roman" w:eastAsia="Times New Roman" w:hAnsi="Times New Roman" w:cs="Times New Roman"/>
          <w:sz w:val="24"/>
          <w:szCs w:val="24"/>
          <w:highlight w:val="yellow"/>
        </w:rPr>
        <w:t>from 2015 to 2022</w:t>
      </w:r>
      <w:r w:rsidRPr="00941C7F">
        <w:rPr>
          <w:rFonts w:ascii="Times New Roman" w:eastAsia="Times New Roman" w:hAnsi="Times New Roman" w:cs="Times New Roman"/>
          <w:sz w:val="24"/>
          <w:szCs w:val="24"/>
        </w:rPr>
        <w:t xml:space="preserve">. During the presidency of Yar’Adua in 2010, the proportion of </w:t>
      </w:r>
      <w:r>
        <w:rPr>
          <w:rFonts w:ascii="Times New Roman" w:eastAsia="Times New Roman" w:hAnsi="Times New Roman" w:cs="Times New Roman"/>
          <w:sz w:val="24"/>
          <w:szCs w:val="24"/>
        </w:rPr>
        <w:t xml:space="preserve">debt </w:t>
      </w:r>
      <w:r w:rsidRPr="00941C7F">
        <w:rPr>
          <w:rFonts w:ascii="Times New Roman" w:eastAsia="Times New Roman" w:hAnsi="Times New Roman" w:cs="Times New Roman"/>
          <w:sz w:val="24"/>
          <w:szCs w:val="24"/>
        </w:rPr>
        <w:t>service to GDP was a modest 12.3% in 2014. Under the administration of Jonathan, the ratio had already been on the upswing, with the highest point recorded at 28.6%.</w:t>
      </w:r>
      <w:r>
        <w:rPr>
          <w:rFonts w:ascii="Times New Roman" w:eastAsia="Times New Roman" w:hAnsi="Times New Roman" w:cs="Times New Roman"/>
          <w:sz w:val="24"/>
          <w:szCs w:val="24"/>
        </w:rPr>
        <w:t xml:space="preserve"> </w:t>
      </w:r>
      <w:r w:rsidRPr="00391144">
        <w:rPr>
          <w:rFonts w:ascii="Times New Roman" w:eastAsia="Times New Roman" w:hAnsi="Times New Roman" w:cs="Times New Roman"/>
          <w:sz w:val="24"/>
          <w:szCs w:val="24"/>
          <w:highlight w:val="yellow"/>
        </w:rPr>
        <w:t>However, it rose astronomically during Buhari’s presidency in 2015, reaching an alarming rate of 33.0% in 2015.</w:t>
      </w:r>
      <w:r w:rsidRPr="00941C7F">
        <w:rPr>
          <w:rFonts w:ascii="Times New Roman" w:eastAsia="Times New Roman" w:hAnsi="Times New Roman" w:cs="Times New Roman"/>
          <w:sz w:val="24"/>
          <w:szCs w:val="24"/>
        </w:rPr>
        <w:t xml:space="preserve"> </w:t>
      </w:r>
      <w:r w:rsidRPr="00391144">
        <w:rPr>
          <w:rFonts w:ascii="Times New Roman" w:eastAsia="Times New Roman" w:hAnsi="Times New Roman" w:cs="Times New Roman"/>
          <w:sz w:val="24"/>
          <w:szCs w:val="24"/>
          <w:highlight w:val="yellow"/>
        </w:rPr>
        <w:t>This increasing pattern persisted, unending to alarming point of 11.8% in 2022 (CBN Statistical Bulletin, 2022).</w:t>
      </w:r>
    </w:p>
    <w:p w14:paraId="20D62C9D" w14:textId="77777777" w:rsidR="008069CE" w:rsidRPr="00941C7F" w:rsidRDefault="008069CE" w:rsidP="008069CE">
      <w:pPr>
        <w:spacing w:after="0" w:line="360" w:lineRule="auto"/>
        <w:jc w:val="both"/>
        <w:rPr>
          <w:rFonts w:ascii="Times New Roman" w:hAnsi="Times New Roman" w:cs="Times New Roman"/>
          <w:sz w:val="24"/>
          <w:szCs w:val="24"/>
        </w:rPr>
      </w:pPr>
    </w:p>
    <w:p w14:paraId="537A3550" w14:textId="77777777" w:rsidR="008069CE" w:rsidRPr="00166023" w:rsidRDefault="008069CE" w:rsidP="008069CE">
      <w:pPr>
        <w:spacing w:after="0" w:line="360" w:lineRule="auto"/>
        <w:jc w:val="both"/>
        <w:rPr>
          <w:rFonts w:ascii="Times New Roman" w:eastAsia="Times New Roman" w:hAnsi="Times New Roman" w:cs="Times New Roman"/>
          <w:sz w:val="24"/>
          <w:szCs w:val="24"/>
        </w:rPr>
      </w:pPr>
      <w:r w:rsidRPr="00391144">
        <w:rPr>
          <w:rFonts w:ascii="Times New Roman" w:eastAsia="Times New Roman" w:hAnsi="Times New Roman" w:cs="Times New Roman"/>
          <w:sz w:val="24"/>
          <w:szCs w:val="24"/>
          <w:highlight w:val="yellow"/>
        </w:rPr>
        <w:t>The consequence of debt burden on the country’s economic growth is not much scares in literature</w:t>
      </w:r>
      <w:r w:rsidRPr="00941C7F">
        <w:rPr>
          <w:rFonts w:ascii="Times New Roman" w:eastAsia="Times New Roman" w:hAnsi="Times New Roman" w:cs="Times New Roman"/>
          <w:sz w:val="24"/>
          <w:szCs w:val="24"/>
        </w:rPr>
        <w:t xml:space="preserve"> (Muhammad, </w:t>
      </w:r>
      <w:r>
        <w:rPr>
          <w:rFonts w:ascii="Times New Roman" w:eastAsia="Times New Roman" w:hAnsi="Times New Roman" w:cs="Times New Roman"/>
          <w:sz w:val="24"/>
          <w:szCs w:val="24"/>
        </w:rPr>
        <w:t>et al</w:t>
      </w:r>
      <w:r w:rsidRPr="00941C7F">
        <w:rPr>
          <w:rFonts w:ascii="Times New Roman" w:eastAsia="Times New Roman" w:hAnsi="Times New Roman" w:cs="Times New Roman"/>
          <w:sz w:val="24"/>
          <w:szCs w:val="24"/>
        </w:rPr>
        <w:t xml:space="preserve">, 2017). </w:t>
      </w:r>
      <w:r w:rsidRPr="006E72B5">
        <w:rPr>
          <w:rFonts w:ascii="Times New Roman" w:eastAsia="Times New Roman" w:hAnsi="Times New Roman" w:cs="Times New Roman"/>
          <w:sz w:val="24"/>
          <w:szCs w:val="24"/>
          <w:highlight w:val="yellow"/>
        </w:rPr>
        <w:t>It was described and conceptualized as burdensome by Faraji and Makame (2013) if insufficiency in national savings makes it impossible to keep pre-contractual obligations</w:t>
      </w:r>
      <w:r w:rsidRPr="00EA5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66023">
        <w:rPr>
          <w:rFonts w:ascii="Times New Roman" w:eastAsia="Times New Roman" w:hAnsi="Times New Roman" w:cs="Times New Roman"/>
          <w:sz w:val="24"/>
          <w:szCs w:val="24"/>
        </w:rPr>
        <w:t xml:space="preserve">According to the Nigerian Debt Management Office's Subnational Borrowing Guidelines (2008–2012), the economy responded well </w:t>
      </w:r>
      <w:r w:rsidRPr="006E72B5">
        <w:rPr>
          <w:rFonts w:ascii="Times New Roman" w:eastAsia="Times New Roman" w:hAnsi="Times New Roman" w:cs="Times New Roman"/>
          <w:sz w:val="24"/>
          <w:szCs w:val="24"/>
          <w:highlight w:val="yellow"/>
        </w:rPr>
        <w:t xml:space="preserve">to these changes in fiscal policy with </w:t>
      </w:r>
      <w:r>
        <w:rPr>
          <w:rFonts w:ascii="Times New Roman" w:eastAsia="Times New Roman" w:hAnsi="Times New Roman" w:cs="Times New Roman"/>
          <w:sz w:val="24"/>
          <w:szCs w:val="24"/>
          <w:highlight w:val="yellow"/>
        </w:rPr>
        <w:t xml:space="preserve">insignificant </w:t>
      </w:r>
      <w:r w:rsidRPr="006E72B5">
        <w:rPr>
          <w:rFonts w:ascii="Times New Roman" w:eastAsia="Times New Roman" w:hAnsi="Times New Roman" w:cs="Times New Roman"/>
          <w:sz w:val="24"/>
          <w:szCs w:val="24"/>
          <w:highlight w:val="yellow"/>
        </w:rPr>
        <w:t xml:space="preserve">burden </w:t>
      </w:r>
      <w:r>
        <w:rPr>
          <w:rFonts w:ascii="Times New Roman" w:eastAsia="Times New Roman" w:hAnsi="Times New Roman" w:cs="Times New Roman"/>
          <w:sz w:val="24"/>
          <w:szCs w:val="24"/>
          <w:highlight w:val="yellow"/>
        </w:rPr>
        <w:t>of</w:t>
      </w:r>
      <w:r w:rsidRPr="006E72B5">
        <w:rPr>
          <w:rFonts w:ascii="Times New Roman" w:eastAsia="Times New Roman" w:hAnsi="Times New Roman" w:cs="Times New Roman"/>
          <w:sz w:val="24"/>
          <w:szCs w:val="24"/>
          <w:highlight w:val="yellow"/>
        </w:rPr>
        <w:t xml:space="preserve"> debt</w:t>
      </w:r>
      <w:r>
        <w:rPr>
          <w:rFonts w:ascii="Times New Roman" w:eastAsia="Times New Roman" w:hAnsi="Times New Roman" w:cs="Times New Roman"/>
          <w:sz w:val="24"/>
          <w:szCs w:val="24"/>
          <w:highlight w:val="yellow"/>
        </w:rPr>
        <w:t xml:space="preserve"> to GDP</w:t>
      </w:r>
      <w:r w:rsidRPr="006E72B5">
        <w:rPr>
          <w:rFonts w:ascii="Times New Roman" w:eastAsia="Times New Roman" w:hAnsi="Times New Roman" w:cs="Times New Roman"/>
          <w:sz w:val="24"/>
          <w:szCs w:val="24"/>
          <w:highlight w:val="yellow"/>
        </w:rPr>
        <w:t>.</w:t>
      </w:r>
      <w:r w:rsidRPr="00166023">
        <w:rPr>
          <w:rFonts w:ascii="Times New Roman" w:eastAsia="Times New Roman" w:hAnsi="Times New Roman" w:cs="Times New Roman"/>
          <w:sz w:val="24"/>
          <w:szCs w:val="24"/>
        </w:rPr>
        <w:t xml:space="preserve">  The </w:t>
      </w:r>
      <w:r w:rsidRPr="006E72B5">
        <w:rPr>
          <w:rFonts w:ascii="Times New Roman" w:eastAsia="Times New Roman" w:hAnsi="Times New Roman" w:cs="Times New Roman"/>
          <w:sz w:val="24"/>
          <w:szCs w:val="24"/>
          <w:highlight w:val="yellow"/>
        </w:rPr>
        <w:t>non-oil economy developed significantly within the period, as shown by the average annual real GDP growth rate of 6.5 percent between 2003 and 2007</w:t>
      </w:r>
      <w:r w:rsidRPr="00166023">
        <w:rPr>
          <w:rFonts w:ascii="Times New Roman" w:eastAsia="Times New Roman" w:hAnsi="Times New Roman" w:cs="Times New Roman"/>
          <w:sz w:val="24"/>
          <w:szCs w:val="24"/>
        </w:rPr>
        <w:t xml:space="preserve">.  </w:t>
      </w:r>
      <w:r w:rsidRPr="006E72B5">
        <w:rPr>
          <w:rFonts w:ascii="Times New Roman" w:eastAsia="Times New Roman" w:hAnsi="Times New Roman" w:cs="Times New Roman"/>
          <w:sz w:val="24"/>
          <w:szCs w:val="24"/>
          <w:highlight w:val="yellow"/>
        </w:rPr>
        <w:t xml:space="preserve">This was manifested through single-digit inflation was the outcome of the fiscal austerity, tighter monetary policy, and low deficit/GDP ratio regime during this </w:t>
      </w:r>
      <w:r w:rsidRPr="006E72B5">
        <w:rPr>
          <w:rFonts w:ascii="Times New Roman" w:eastAsia="Times New Roman" w:hAnsi="Times New Roman" w:cs="Times New Roman"/>
          <w:sz w:val="24"/>
          <w:szCs w:val="24"/>
          <w:highlight w:val="yellow"/>
        </w:rPr>
        <w:lastRenderedPageBreak/>
        <w:t>period.</w:t>
      </w:r>
      <w:r>
        <w:rPr>
          <w:rFonts w:ascii="Times New Roman" w:eastAsia="Times New Roman" w:hAnsi="Times New Roman" w:cs="Times New Roman"/>
          <w:sz w:val="24"/>
          <w:szCs w:val="24"/>
        </w:rPr>
        <w:t xml:space="preserve"> </w:t>
      </w:r>
      <w:r w:rsidRPr="00B4427D">
        <w:rPr>
          <w:rFonts w:ascii="Times New Roman" w:eastAsia="Times New Roman" w:hAnsi="Times New Roman" w:cs="Times New Roman"/>
          <w:sz w:val="24"/>
          <w:szCs w:val="24"/>
          <w:highlight w:val="yellow"/>
        </w:rPr>
        <w:t>The debt accumulation burden, even though not significant but it is still a concern to the economic stability. Therefore, for this concern Nigeria started the policy of debt reduction with creditors. This policy did not instantly enhance the sustainability of the nation's external debt and economic development</w:t>
      </w:r>
      <w:r w:rsidRPr="00166023">
        <w:rPr>
          <w:rFonts w:ascii="Times New Roman" w:eastAsia="Times New Roman" w:hAnsi="Times New Roman" w:cs="Times New Roman"/>
          <w:sz w:val="24"/>
          <w:szCs w:val="24"/>
        </w:rPr>
        <w:t>.  Nigeria's top creditor, the Paris Club, agreed to a historic debt relief agreement that allowed the country to pay off all of its Paris Club debt obligations between October 2004 and April 2005 after the government successfully enlisted the help of the international community through high-level diplomati</w:t>
      </w:r>
      <w:r>
        <w:rPr>
          <w:rFonts w:ascii="Times New Roman" w:eastAsia="Times New Roman" w:hAnsi="Times New Roman" w:cs="Times New Roman"/>
          <w:sz w:val="24"/>
          <w:szCs w:val="24"/>
        </w:rPr>
        <w:t xml:space="preserve">c efforts. </w:t>
      </w:r>
    </w:p>
    <w:p w14:paraId="125C1356" w14:textId="77777777" w:rsidR="008069CE" w:rsidRDefault="008069CE" w:rsidP="008069CE">
      <w:pPr>
        <w:spacing w:after="0" w:line="360" w:lineRule="auto"/>
        <w:jc w:val="both"/>
        <w:rPr>
          <w:rFonts w:ascii="Times New Roman" w:eastAsia="Times New Roman" w:hAnsi="Times New Roman" w:cs="Times New Roman"/>
          <w:sz w:val="24"/>
          <w:szCs w:val="24"/>
        </w:rPr>
      </w:pPr>
      <w:r w:rsidRPr="00166023">
        <w:rPr>
          <w:rFonts w:ascii="Times New Roman" w:eastAsia="Times New Roman" w:hAnsi="Times New Roman" w:cs="Times New Roman"/>
          <w:sz w:val="24"/>
          <w:szCs w:val="24"/>
        </w:rPr>
        <w:t>Along with the progress made on the external debt front, the government also started to restructure the domestic debt portfolio, which was mostly composed of short-term instruments, to include a significant amount of long-term debt.  Additionally, it started identifying and settling contingent liabilities resulting from unpaid pension arrears and debt owed by local contractors via the issuance of sovereign bonds.</w:t>
      </w:r>
      <w:r w:rsidRPr="00941C7F">
        <w:rPr>
          <w:rFonts w:ascii="Times New Roman" w:eastAsia="Times New Roman" w:hAnsi="Times New Roman" w:cs="Times New Roman"/>
          <w:sz w:val="24"/>
          <w:szCs w:val="24"/>
        </w:rPr>
        <w:t xml:space="preserve"> </w:t>
      </w:r>
      <w:r w:rsidRPr="00B4427D">
        <w:rPr>
          <w:rFonts w:ascii="Times New Roman" w:eastAsia="Times New Roman" w:hAnsi="Times New Roman" w:cs="Times New Roman"/>
          <w:sz w:val="24"/>
          <w:szCs w:val="24"/>
          <w:highlight w:val="yellow"/>
        </w:rPr>
        <w:t>Despite the enormous amount of accumulated debt and the government debt restructuring</w:t>
      </w:r>
      <w:r>
        <w:rPr>
          <w:rFonts w:ascii="Times New Roman" w:eastAsia="Times New Roman" w:hAnsi="Times New Roman" w:cs="Times New Roman"/>
          <w:sz w:val="24"/>
          <w:szCs w:val="24"/>
        </w:rPr>
        <w:t xml:space="preserve">, </w:t>
      </w:r>
      <w:r w:rsidRPr="00DD06C8">
        <w:rPr>
          <w:rFonts w:ascii="Times New Roman" w:eastAsia="Times New Roman" w:hAnsi="Times New Roman" w:cs="Times New Roman"/>
          <w:sz w:val="24"/>
          <w:szCs w:val="24"/>
        </w:rPr>
        <w:t>the nation has accrued over the years, Nigeria's economy is unable to effectively meet its debt obligations due to interest arrears, which build up over time and increase the nation's debt burden. As a result, a larger percentage of its income is spent on debt service arr</w:t>
      </w:r>
      <w:r>
        <w:rPr>
          <w:rFonts w:ascii="Times New Roman" w:eastAsia="Times New Roman" w:hAnsi="Times New Roman" w:cs="Times New Roman"/>
          <w:sz w:val="24"/>
          <w:szCs w:val="24"/>
        </w:rPr>
        <w:t xml:space="preserve">ears (Udofia &amp; Akpanah, 2016). </w:t>
      </w:r>
      <w:r w:rsidRPr="00DD06C8">
        <w:rPr>
          <w:rFonts w:ascii="Times New Roman" w:eastAsia="Times New Roman" w:hAnsi="Times New Roman" w:cs="Times New Roman"/>
          <w:sz w:val="24"/>
          <w:szCs w:val="24"/>
        </w:rPr>
        <w:t xml:space="preserve"> In Nigeria, debt servicing is a significant resource drain.  It makes up a significant portion of the nation's </w:t>
      </w:r>
      <w:r>
        <w:rPr>
          <w:rFonts w:ascii="Times New Roman" w:eastAsia="Times New Roman" w:hAnsi="Times New Roman" w:cs="Times New Roman"/>
          <w:sz w:val="24"/>
          <w:szCs w:val="24"/>
        </w:rPr>
        <w:t>profile</w:t>
      </w:r>
      <w:r w:rsidRPr="00DD06C8">
        <w:rPr>
          <w:rFonts w:ascii="Times New Roman" w:eastAsia="Times New Roman" w:hAnsi="Times New Roman" w:cs="Times New Roman"/>
          <w:sz w:val="24"/>
          <w:szCs w:val="24"/>
        </w:rPr>
        <w:t xml:space="preserve"> of ongoing expenses.  Nigeria's growth and development are still at risk since fulfilling debt obligations means jeopardizing welfare and capital projects for social and economic advancement (Nwagwu, 2014).</w:t>
      </w:r>
    </w:p>
    <w:p w14:paraId="715E727A" w14:textId="77777777" w:rsidR="008069CE"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Therefore, given this obviously unsustainable public debt portfolio, actions must be taken to avert a further relapse into debt unsustainability. This problem is highly demanding since the federal and state governments need to mobilize large resources to finance the growth and development of the economy.</w:t>
      </w:r>
    </w:p>
    <w:p w14:paraId="4F5AA0EA" w14:textId="77777777" w:rsidR="008069CE" w:rsidRPr="00DD06C8" w:rsidRDefault="008069CE" w:rsidP="008069CE">
      <w:pPr>
        <w:spacing w:after="0" w:line="360" w:lineRule="auto"/>
        <w:jc w:val="both"/>
        <w:rPr>
          <w:rFonts w:ascii="Times New Roman" w:eastAsia="Times New Roman" w:hAnsi="Times New Roman" w:cs="Times New Roman"/>
          <w:sz w:val="24"/>
          <w:szCs w:val="24"/>
        </w:rPr>
      </w:pPr>
      <w:r w:rsidRPr="00EA5514">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this study will empirically look at </w:t>
      </w:r>
      <w:r w:rsidRPr="00EA5514">
        <w:rPr>
          <w:rFonts w:ascii="Times New Roman" w:eastAsia="Times New Roman" w:hAnsi="Times New Roman" w:cs="Times New Roman"/>
          <w:sz w:val="24"/>
          <w:szCs w:val="24"/>
        </w:rPr>
        <w:t>the effect of various borrowing sources on</w:t>
      </w:r>
      <w:r>
        <w:rPr>
          <w:rFonts w:ascii="Times New Roman" w:eastAsia="Times New Roman" w:hAnsi="Times New Roman" w:cs="Times New Roman"/>
          <w:sz w:val="24"/>
          <w:szCs w:val="24"/>
        </w:rPr>
        <w:t xml:space="preserve"> Nigeria's capital accumulation</w:t>
      </w:r>
      <w:r w:rsidRPr="00EA5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what sustains </w:t>
      </w:r>
      <w:r w:rsidRPr="00EA5514">
        <w:rPr>
          <w:rFonts w:ascii="Times New Roman" w:eastAsia="Times New Roman" w:hAnsi="Times New Roman" w:cs="Times New Roman"/>
          <w:sz w:val="24"/>
          <w:szCs w:val="24"/>
        </w:rPr>
        <w:t>debt service on Nigeri</w:t>
      </w:r>
      <w:r>
        <w:rPr>
          <w:rFonts w:ascii="Times New Roman" w:eastAsia="Times New Roman" w:hAnsi="Times New Roman" w:cs="Times New Roman"/>
          <w:sz w:val="24"/>
          <w:szCs w:val="24"/>
        </w:rPr>
        <w:t xml:space="preserve">a's capital accumulation and </w:t>
      </w:r>
      <w:r w:rsidRPr="00EA5514">
        <w:rPr>
          <w:rFonts w:ascii="Times New Roman" w:eastAsia="Times New Roman" w:hAnsi="Times New Roman" w:cs="Times New Roman"/>
          <w:sz w:val="24"/>
          <w:szCs w:val="24"/>
        </w:rPr>
        <w:t xml:space="preserve">the influence of the sustainability of </w:t>
      </w:r>
      <w:r>
        <w:rPr>
          <w:rFonts w:ascii="Times New Roman" w:eastAsia="Times New Roman" w:hAnsi="Times New Roman" w:cs="Times New Roman"/>
          <w:sz w:val="24"/>
          <w:szCs w:val="24"/>
        </w:rPr>
        <w:t>external</w:t>
      </w:r>
      <w:r w:rsidRPr="00EA5514">
        <w:rPr>
          <w:rFonts w:ascii="Times New Roman" w:eastAsia="Times New Roman" w:hAnsi="Times New Roman" w:cs="Times New Roman"/>
          <w:sz w:val="24"/>
          <w:szCs w:val="24"/>
        </w:rPr>
        <w:t xml:space="preserve"> debt in the mix of high rates of exchange on Nigeria's capi</w:t>
      </w:r>
      <w:r>
        <w:rPr>
          <w:rFonts w:ascii="Times New Roman" w:eastAsia="Times New Roman" w:hAnsi="Times New Roman" w:cs="Times New Roman"/>
          <w:sz w:val="24"/>
          <w:szCs w:val="24"/>
        </w:rPr>
        <w:t>tal accumulation.</w:t>
      </w:r>
    </w:p>
    <w:p w14:paraId="62DC0EBE" w14:textId="77777777" w:rsidR="008069CE" w:rsidRPr="00941C7F" w:rsidRDefault="008069CE" w:rsidP="008069CE">
      <w:pPr>
        <w:spacing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This study </w:t>
      </w:r>
      <w:r w:rsidRPr="00941C7F">
        <w:rPr>
          <w:rFonts w:ascii="Times New Roman" w:hAnsi="Times New Roman" w:cs="Times New Roman"/>
          <w:sz w:val="24"/>
          <w:szCs w:val="24"/>
        </w:rPr>
        <w:t xml:space="preserve">is structured into 5 sections. Section one is the introduction. </w:t>
      </w:r>
      <w:r w:rsidRPr="00941C7F">
        <w:rPr>
          <w:rFonts w:ascii="Times New Roman" w:eastAsia="Times New Roman" w:hAnsi="Times New Roman" w:cs="Times New Roman"/>
          <w:sz w:val="24"/>
          <w:szCs w:val="24"/>
        </w:rPr>
        <w:t xml:space="preserve">Section two presents the review of related literature. While Section Three focused on the research methods. Section Four presents the result and Section five is the </w:t>
      </w:r>
      <w:r>
        <w:rPr>
          <w:rFonts w:ascii="Times New Roman" w:eastAsia="Times New Roman" w:hAnsi="Times New Roman" w:cs="Times New Roman"/>
          <w:sz w:val="24"/>
          <w:szCs w:val="24"/>
        </w:rPr>
        <w:t>conclusion and recommendations.</w:t>
      </w:r>
    </w:p>
    <w:p w14:paraId="2F2E71C8" w14:textId="77777777" w:rsidR="008069CE" w:rsidRPr="00941C7F" w:rsidRDefault="008069CE" w:rsidP="008069CE">
      <w:pPr>
        <w:spacing w:line="360" w:lineRule="auto"/>
        <w:jc w:val="both"/>
        <w:rPr>
          <w:rFonts w:ascii="Times New Roman" w:hAnsi="Times New Roman" w:cs="Times New Roman"/>
          <w:b/>
          <w:bCs/>
          <w:sz w:val="24"/>
          <w:szCs w:val="24"/>
        </w:rPr>
      </w:pPr>
      <w:r w:rsidRPr="00941C7F">
        <w:rPr>
          <w:rFonts w:ascii="Times New Roman" w:hAnsi="Times New Roman" w:cs="Times New Roman"/>
          <w:b/>
          <w:bCs/>
          <w:sz w:val="24"/>
          <w:szCs w:val="24"/>
        </w:rPr>
        <w:t xml:space="preserve">2. Literature Review </w:t>
      </w:r>
    </w:p>
    <w:p w14:paraId="23CFC892" w14:textId="77777777" w:rsidR="008069CE" w:rsidRPr="00941C7F" w:rsidRDefault="008069CE" w:rsidP="008069CE">
      <w:pPr>
        <w:spacing w:after="0"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2.1. Theoretical literature</w:t>
      </w:r>
    </w:p>
    <w:p w14:paraId="754E4461" w14:textId="77777777" w:rsidR="008069CE" w:rsidRPr="00941C7F" w:rsidRDefault="008069CE" w:rsidP="008069C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41C7F">
        <w:rPr>
          <w:rFonts w:ascii="Times New Roman" w:eastAsia="Times New Roman" w:hAnsi="Times New Roman" w:cs="Times New Roman"/>
          <w:b/>
          <w:bCs/>
          <w:sz w:val="24"/>
          <w:szCs w:val="24"/>
        </w:rPr>
        <w:t>Debt Overhang Model</w:t>
      </w:r>
    </w:p>
    <w:p w14:paraId="56A2380B"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lastRenderedPageBreak/>
        <w:t xml:space="preserve">The debt overhang was propounded by Paul Krugman (1988). </w:t>
      </w:r>
      <w:r w:rsidRPr="00775443">
        <w:rPr>
          <w:rFonts w:ascii="Times New Roman" w:eastAsia="Times New Roman" w:hAnsi="Times New Roman" w:cs="Times New Roman"/>
          <w:sz w:val="24"/>
          <w:szCs w:val="24"/>
          <w:highlight w:val="yellow"/>
        </w:rPr>
        <w:t>Its central theme is on optimization of debt accumulation.</w:t>
      </w:r>
      <w:r w:rsidRPr="00941C7F">
        <w:rPr>
          <w:rFonts w:ascii="Times New Roman" w:eastAsia="Times New Roman" w:hAnsi="Times New Roman" w:cs="Times New Roman"/>
          <w:sz w:val="24"/>
          <w:szCs w:val="24"/>
        </w:rPr>
        <w:t xml:space="preserve"> The model suggests that a country’s external debt </w:t>
      </w:r>
      <w:r>
        <w:rPr>
          <w:rFonts w:ascii="Times New Roman" w:eastAsia="Times New Roman" w:hAnsi="Times New Roman" w:cs="Times New Roman"/>
          <w:sz w:val="24"/>
          <w:szCs w:val="24"/>
        </w:rPr>
        <w:t xml:space="preserve">burden </w:t>
      </w:r>
      <w:r w:rsidRPr="00941C7F">
        <w:rPr>
          <w:rFonts w:ascii="Times New Roman" w:eastAsia="Times New Roman" w:hAnsi="Times New Roman" w:cs="Times New Roman"/>
          <w:sz w:val="24"/>
          <w:szCs w:val="24"/>
        </w:rPr>
        <w:t>inhibits investment</w:t>
      </w:r>
      <w:r>
        <w:rPr>
          <w:rFonts w:ascii="Times New Roman" w:eastAsia="Times New Roman" w:hAnsi="Times New Roman" w:cs="Times New Roman"/>
          <w:sz w:val="24"/>
          <w:szCs w:val="24"/>
        </w:rPr>
        <w:t>,</w:t>
      </w:r>
      <w:r w:rsidRPr="00941C7F">
        <w:rPr>
          <w:rFonts w:ascii="Times New Roman" w:eastAsia="Times New Roman" w:hAnsi="Times New Roman" w:cs="Times New Roman"/>
          <w:sz w:val="24"/>
          <w:szCs w:val="24"/>
        </w:rPr>
        <w:t xml:space="preserve"> if the debt overhang grows </w:t>
      </w:r>
      <w:r w:rsidRPr="00775443">
        <w:rPr>
          <w:rFonts w:ascii="Times New Roman" w:eastAsia="Times New Roman" w:hAnsi="Times New Roman" w:cs="Times New Roman"/>
          <w:sz w:val="24"/>
          <w:szCs w:val="24"/>
          <w:highlight w:val="yellow"/>
        </w:rPr>
        <w:t>significantly in ratio to the nations GDP</w:t>
      </w:r>
      <w:r w:rsidRPr="00941C7F">
        <w:rPr>
          <w:rFonts w:ascii="Times New Roman" w:eastAsia="Times New Roman" w:hAnsi="Times New Roman" w:cs="Times New Roman"/>
          <w:sz w:val="24"/>
          <w:szCs w:val="24"/>
        </w:rPr>
        <w:t>. The model further argued that too large</w:t>
      </w:r>
      <w:r>
        <w:rPr>
          <w:rFonts w:ascii="Times New Roman" w:eastAsia="Times New Roman" w:hAnsi="Times New Roman" w:cs="Times New Roman"/>
          <w:sz w:val="24"/>
          <w:szCs w:val="24"/>
        </w:rPr>
        <w:t xml:space="preserve"> debt overhang leads to</w:t>
      </w:r>
      <w:r w:rsidRPr="00941C7F">
        <w:rPr>
          <w:rFonts w:ascii="Times New Roman" w:eastAsia="Times New Roman" w:hAnsi="Times New Roman" w:cs="Times New Roman"/>
          <w:sz w:val="24"/>
          <w:szCs w:val="24"/>
        </w:rPr>
        <w:t xml:space="preserve"> slowed ec</w:t>
      </w:r>
      <w:r>
        <w:rPr>
          <w:rFonts w:ascii="Times New Roman" w:eastAsia="Times New Roman" w:hAnsi="Times New Roman" w:cs="Times New Roman"/>
          <w:sz w:val="24"/>
          <w:szCs w:val="24"/>
        </w:rPr>
        <w:t>onomic development. Si</w:t>
      </w:r>
      <w:r w:rsidRPr="00941C7F">
        <w:rPr>
          <w:rFonts w:ascii="Times New Roman" w:eastAsia="Times New Roman" w:hAnsi="Times New Roman" w:cs="Times New Roman"/>
          <w:sz w:val="24"/>
          <w:szCs w:val="24"/>
        </w:rPr>
        <w:t>nce new economic benefits would be employed in repaying creditors rather than re</w:t>
      </w:r>
      <w:r>
        <w:rPr>
          <w:rFonts w:ascii="Times New Roman" w:eastAsia="Times New Roman" w:hAnsi="Times New Roman" w:cs="Times New Roman"/>
          <w:sz w:val="24"/>
          <w:szCs w:val="24"/>
        </w:rPr>
        <w:t xml:space="preserve">cruiting new investors, </w:t>
      </w:r>
      <w:r w:rsidRPr="00941C7F">
        <w:rPr>
          <w:rFonts w:ascii="Times New Roman" w:eastAsia="Times New Roman" w:hAnsi="Times New Roman" w:cs="Times New Roman"/>
          <w:sz w:val="24"/>
          <w:szCs w:val="24"/>
        </w:rPr>
        <w:t xml:space="preserve">investors assume that any </w:t>
      </w:r>
      <w:r>
        <w:rPr>
          <w:rFonts w:ascii="Times New Roman" w:eastAsia="Times New Roman" w:hAnsi="Times New Roman" w:cs="Times New Roman"/>
          <w:sz w:val="24"/>
          <w:szCs w:val="24"/>
        </w:rPr>
        <w:t>investment profits</w:t>
      </w:r>
      <w:r w:rsidRPr="00941C7F">
        <w:rPr>
          <w:rFonts w:ascii="Times New Roman" w:eastAsia="Times New Roman" w:hAnsi="Times New Roman" w:cs="Times New Roman"/>
          <w:sz w:val="24"/>
          <w:szCs w:val="24"/>
        </w:rPr>
        <w:t xml:space="preserve"> will be taken away to service the national debt</w:t>
      </w:r>
      <w:r>
        <w:rPr>
          <w:rFonts w:ascii="Times New Roman" w:eastAsia="Times New Roman" w:hAnsi="Times New Roman" w:cs="Times New Roman"/>
          <w:sz w:val="24"/>
          <w:szCs w:val="24"/>
        </w:rPr>
        <w:t xml:space="preserve">, </w:t>
      </w:r>
      <w:r w:rsidRPr="00775443">
        <w:rPr>
          <w:rFonts w:ascii="Times New Roman" w:eastAsia="Times New Roman" w:hAnsi="Times New Roman" w:cs="Times New Roman"/>
          <w:sz w:val="24"/>
          <w:szCs w:val="24"/>
          <w:highlight w:val="yellow"/>
        </w:rPr>
        <w:t>thereby resulting to unemployment</w:t>
      </w:r>
      <w:r>
        <w:rPr>
          <w:rFonts w:ascii="Times New Roman" w:eastAsia="Times New Roman" w:hAnsi="Times New Roman" w:cs="Times New Roman"/>
          <w:sz w:val="24"/>
          <w:szCs w:val="24"/>
        </w:rPr>
        <w:t xml:space="preserve">. This model </w:t>
      </w:r>
      <w:r w:rsidRPr="00775443">
        <w:rPr>
          <w:rFonts w:ascii="Times New Roman" w:eastAsia="Times New Roman" w:hAnsi="Times New Roman" w:cs="Times New Roman"/>
          <w:sz w:val="24"/>
          <w:szCs w:val="24"/>
          <w:highlight w:val="yellow"/>
        </w:rPr>
        <w:t>aligned with</w:t>
      </w:r>
      <w:r>
        <w:rPr>
          <w:rFonts w:ascii="Times New Roman" w:eastAsia="Times New Roman" w:hAnsi="Times New Roman" w:cs="Times New Roman"/>
          <w:sz w:val="24"/>
          <w:szCs w:val="24"/>
        </w:rPr>
        <w:t xml:space="preserve"> the i</w:t>
      </w:r>
      <w:r w:rsidRPr="00941C7F">
        <w:rPr>
          <w:rFonts w:ascii="Times New Roman" w:eastAsia="Times New Roman" w:hAnsi="Times New Roman" w:cs="Times New Roman"/>
          <w:sz w:val="24"/>
          <w:szCs w:val="24"/>
        </w:rPr>
        <w:t>ntertemporal O</w:t>
      </w:r>
      <w:r>
        <w:rPr>
          <w:rFonts w:ascii="Times New Roman" w:eastAsia="Times New Roman" w:hAnsi="Times New Roman" w:cs="Times New Roman"/>
          <w:sz w:val="24"/>
          <w:szCs w:val="24"/>
        </w:rPr>
        <w:t xml:space="preserve">ptimization </w:t>
      </w:r>
      <w:r w:rsidRPr="00775443">
        <w:rPr>
          <w:rFonts w:ascii="Times New Roman" w:eastAsia="Times New Roman" w:hAnsi="Times New Roman" w:cs="Times New Roman"/>
          <w:sz w:val="24"/>
          <w:szCs w:val="24"/>
          <w:highlight w:val="yellow"/>
        </w:rPr>
        <w:t>Model, which laid emphasis on how optimum debt commitments are formed by economic actors throughout time</w:t>
      </w:r>
      <w:r w:rsidRPr="00941C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Debt overhang was built </w:t>
      </w:r>
      <w:r w:rsidRPr="00941C7F">
        <w:rPr>
          <w:rFonts w:ascii="Times New Roman" w:eastAsia="Times New Roman" w:hAnsi="Times New Roman" w:cs="Times New Roman"/>
          <w:sz w:val="24"/>
          <w:szCs w:val="24"/>
        </w:rPr>
        <w:t xml:space="preserve">on the </w:t>
      </w:r>
      <w:r>
        <w:rPr>
          <w:rFonts w:ascii="Times New Roman" w:eastAsia="Times New Roman" w:hAnsi="Times New Roman" w:cs="Times New Roman"/>
          <w:sz w:val="24"/>
          <w:szCs w:val="24"/>
        </w:rPr>
        <w:t>assumption</w:t>
      </w:r>
      <w:r w:rsidRPr="00941C7F">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heavey</w:t>
      </w:r>
      <w:r w:rsidRPr="00941C7F">
        <w:rPr>
          <w:rFonts w:ascii="Times New Roman" w:eastAsia="Times New Roman" w:hAnsi="Times New Roman" w:cs="Times New Roman"/>
          <w:sz w:val="24"/>
          <w:szCs w:val="24"/>
        </w:rPr>
        <w:t xml:space="preserve"> debt </w:t>
      </w:r>
      <w:r>
        <w:rPr>
          <w:rFonts w:ascii="Times New Roman" w:eastAsia="Times New Roman" w:hAnsi="Times New Roman" w:cs="Times New Roman"/>
          <w:sz w:val="24"/>
          <w:szCs w:val="24"/>
        </w:rPr>
        <w:t xml:space="preserve">burden </w:t>
      </w:r>
      <w:r w:rsidRPr="00941C7F">
        <w:rPr>
          <w:rFonts w:ascii="Times New Roman" w:eastAsia="Times New Roman" w:hAnsi="Times New Roman" w:cs="Times New Roman"/>
          <w:sz w:val="24"/>
          <w:szCs w:val="24"/>
        </w:rPr>
        <w:t xml:space="preserve">diminishes </w:t>
      </w:r>
      <w:r w:rsidRPr="00775443">
        <w:rPr>
          <w:rFonts w:ascii="Times New Roman" w:eastAsia="Times New Roman" w:hAnsi="Times New Roman" w:cs="Times New Roman"/>
          <w:sz w:val="24"/>
          <w:szCs w:val="24"/>
          <w:highlight w:val="yellow"/>
        </w:rPr>
        <w:t>incentives for investment</w:t>
      </w:r>
      <w:r>
        <w:rPr>
          <w:rFonts w:ascii="Times New Roman" w:eastAsia="Times New Roman" w:hAnsi="Times New Roman" w:cs="Times New Roman"/>
          <w:sz w:val="24"/>
          <w:szCs w:val="24"/>
        </w:rPr>
        <w:t xml:space="preserve">; </w:t>
      </w:r>
      <w:r w:rsidRPr="00775443">
        <w:rPr>
          <w:rFonts w:ascii="Times New Roman" w:eastAsia="Times New Roman" w:hAnsi="Times New Roman" w:cs="Times New Roman"/>
          <w:sz w:val="24"/>
          <w:szCs w:val="24"/>
          <w:highlight w:val="yellow"/>
        </w:rPr>
        <w:t>since it assumes also that economic agents are rational</w:t>
      </w:r>
      <w:r w:rsidRPr="00941C7F">
        <w:rPr>
          <w:rFonts w:ascii="Times New Roman" w:eastAsia="Times New Roman" w:hAnsi="Times New Roman" w:cs="Times New Roman"/>
          <w:sz w:val="24"/>
          <w:szCs w:val="24"/>
        </w:rPr>
        <w:t xml:space="preserve">. Another assumption of the model is that nations experiencing debt overhang struggle to get additional loans or </w:t>
      </w:r>
      <w:r>
        <w:rPr>
          <w:rFonts w:ascii="Times New Roman" w:eastAsia="Times New Roman" w:hAnsi="Times New Roman" w:cs="Times New Roman"/>
          <w:sz w:val="24"/>
          <w:szCs w:val="24"/>
        </w:rPr>
        <w:t>investments</w:t>
      </w:r>
      <w:r w:rsidRPr="00941C7F">
        <w:rPr>
          <w:rFonts w:ascii="Times New Roman" w:eastAsia="Times New Roman" w:hAnsi="Times New Roman" w:cs="Times New Roman"/>
          <w:sz w:val="24"/>
          <w:szCs w:val="24"/>
        </w:rPr>
        <w:t>. Also, severely indebted governments are restrained in investing in</w:t>
      </w:r>
      <w:r>
        <w:rPr>
          <w:rFonts w:ascii="Times New Roman" w:eastAsia="Times New Roman" w:hAnsi="Times New Roman" w:cs="Times New Roman"/>
          <w:sz w:val="24"/>
          <w:szCs w:val="24"/>
        </w:rPr>
        <w:t xml:space="preserve"> the productive sections of the economy. This </w:t>
      </w:r>
      <w:r w:rsidRPr="00941C7F">
        <w:rPr>
          <w:rFonts w:ascii="Times New Roman" w:eastAsia="Times New Roman" w:hAnsi="Times New Roman" w:cs="Times New Roman"/>
          <w:sz w:val="24"/>
          <w:szCs w:val="24"/>
        </w:rPr>
        <w:t>strength</w:t>
      </w:r>
      <w:r>
        <w:rPr>
          <w:rFonts w:ascii="Times New Roman" w:eastAsia="Times New Roman" w:hAnsi="Times New Roman" w:cs="Times New Roman"/>
          <w:sz w:val="24"/>
          <w:szCs w:val="24"/>
        </w:rPr>
        <w:t xml:space="preserve"> of this model was on the</w:t>
      </w:r>
      <w:r w:rsidRPr="00941C7F">
        <w:rPr>
          <w:rFonts w:ascii="Times New Roman" w:eastAsia="Times New Roman" w:hAnsi="Times New Roman" w:cs="Times New Roman"/>
          <w:sz w:val="24"/>
          <w:szCs w:val="24"/>
        </w:rPr>
        <w:t xml:space="preserve"> fact that it was able to explain why deeply indebted economies continue to have weak economic development despite multiple economic reforms, initiatives, and programs. It also </w:t>
      </w:r>
      <w:r>
        <w:rPr>
          <w:rFonts w:ascii="Times New Roman" w:eastAsia="Times New Roman" w:hAnsi="Times New Roman" w:cs="Times New Roman"/>
          <w:sz w:val="24"/>
          <w:szCs w:val="24"/>
        </w:rPr>
        <w:t xml:space="preserve">concentrates its argument on </w:t>
      </w:r>
      <w:r w:rsidRPr="00941C7F">
        <w:rPr>
          <w:rFonts w:ascii="Times New Roman" w:eastAsia="Times New Roman" w:hAnsi="Times New Roman" w:cs="Times New Roman"/>
          <w:sz w:val="24"/>
          <w:szCs w:val="24"/>
        </w:rPr>
        <w:t xml:space="preserve">not just in impoverished nations but also in rich countries. </w:t>
      </w:r>
      <w:r w:rsidRPr="005D7C3A">
        <w:rPr>
          <w:rFonts w:ascii="Times New Roman" w:eastAsia="Times New Roman" w:hAnsi="Times New Roman" w:cs="Times New Roman"/>
          <w:sz w:val="24"/>
          <w:szCs w:val="24"/>
          <w:highlight w:val="yellow"/>
        </w:rPr>
        <w:t>It further offers a theoretical framework underpinning debt forgiveness policies</w:t>
      </w:r>
      <w:r w:rsidRPr="00941C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the </w:t>
      </w:r>
      <w:r w:rsidRPr="00807924">
        <w:rPr>
          <w:rFonts w:ascii="Times New Roman" w:eastAsia="Times New Roman" w:hAnsi="Times New Roman" w:cs="Times New Roman"/>
          <w:sz w:val="24"/>
          <w:szCs w:val="24"/>
          <w:highlight w:val="yellow"/>
        </w:rPr>
        <w:t>theory is not without some criticisms,</w:t>
      </w:r>
      <w:r>
        <w:rPr>
          <w:rFonts w:ascii="Times New Roman" w:eastAsia="Times New Roman" w:hAnsi="Times New Roman" w:cs="Times New Roman"/>
          <w:sz w:val="24"/>
          <w:szCs w:val="24"/>
        </w:rPr>
        <w:t xml:space="preserve"> </w:t>
      </w:r>
      <w:r w:rsidRPr="00807924">
        <w:rPr>
          <w:rFonts w:ascii="Times New Roman" w:eastAsia="Times New Roman" w:hAnsi="Times New Roman" w:cs="Times New Roman"/>
          <w:sz w:val="24"/>
          <w:szCs w:val="24"/>
          <w:highlight w:val="yellow"/>
        </w:rPr>
        <w:t>which include its limited empirical examination,</w:t>
      </w:r>
      <w:r>
        <w:rPr>
          <w:rFonts w:ascii="Times New Roman" w:eastAsia="Times New Roman" w:hAnsi="Times New Roman" w:cs="Times New Roman"/>
          <w:sz w:val="24"/>
          <w:szCs w:val="24"/>
        </w:rPr>
        <w:t xml:space="preserve"> where there has</w:t>
      </w:r>
      <w:r w:rsidRPr="00941C7F">
        <w:rPr>
          <w:rFonts w:ascii="Times New Roman" w:eastAsia="Times New Roman" w:hAnsi="Times New Roman" w:cs="Times New Roman"/>
          <w:sz w:val="24"/>
          <w:szCs w:val="24"/>
        </w:rPr>
        <w:t xml:space="preserve"> been conflicting evidence between debt overhang on investment and g</w:t>
      </w:r>
      <w:r>
        <w:rPr>
          <w:rFonts w:ascii="Times New Roman" w:eastAsia="Times New Roman" w:hAnsi="Times New Roman" w:cs="Times New Roman"/>
          <w:sz w:val="24"/>
          <w:szCs w:val="24"/>
        </w:rPr>
        <w:t xml:space="preserve">rowth. </w:t>
      </w:r>
      <w:r w:rsidRPr="00807924">
        <w:rPr>
          <w:rFonts w:ascii="Times New Roman" w:eastAsia="Times New Roman" w:hAnsi="Times New Roman" w:cs="Times New Roman"/>
          <w:sz w:val="24"/>
          <w:szCs w:val="24"/>
          <w:highlight w:val="yellow"/>
        </w:rPr>
        <w:t>This conflict is suggestive of additional aspects like governance quality and political stability.</w:t>
      </w:r>
      <w:r>
        <w:rPr>
          <w:rFonts w:ascii="Times New Roman" w:eastAsia="Times New Roman" w:hAnsi="Times New Roman" w:cs="Times New Roman"/>
          <w:sz w:val="24"/>
          <w:szCs w:val="24"/>
        </w:rPr>
        <w:t xml:space="preserve"> </w:t>
      </w:r>
      <w:r w:rsidRPr="00807924">
        <w:rPr>
          <w:rFonts w:ascii="Times New Roman" w:eastAsia="Times New Roman" w:hAnsi="Times New Roman" w:cs="Times New Roman"/>
          <w:sz w:val="24"/>
          <w:szCs w:val="24"/>
          <w:highlight w:val="yellow"/>
        </w:rPr>
        <w:t>The model was also disregarded economic policy and other fiscal changes such as the development plan within the period</w:t>
      </w:r>
      <w:r w:rsidRPr="00941C7F">
        <w:rPr>
          <w:rFonts w:ascii="Times New Roman" w:eastAsia="Times New Roman" w:hAnsi="Times New Roman" w:cs="Times New Roman"/>
          <w:sz w:val="24"/>
          <w:szCs w:val="24"/>
        </w:rPr>
        <w:t>. Countries like Japan and the USA have proved that high debt-to-GDP ratios may not be a barrier to economic investment.</w:t>
      </w:r>
    </w:p>
    <w:p w14:paraId="284CF31C" w14:textId="77777777" w:rsidR="008069CE" w:rsidRPr="00941C7F" w:rsidRDefault="008069CE" w:rsidP="008069CE">
      <w:pPr>
        <w:spacing w:before="100" w:beforeAutospacing="1" w:after="100" w:afterAutospacing="1" w:line="360" w:lineRule="auto"/>
        <w:jc w:val="both"/>
        <w:rPr>
          <w:rFonts w:ascii="Times New Roman" w:eastAsia="Times New Roman" w:hAnsi="Times New Roman" w:cs="Times New Roman"/>
          <w:sz w:val="24"/>
          <w:szCs w:val="24"/>
        </w:rPr>
      </w:pPr>
      <w:r w:rsidRPr="00941C7F">
        <w:rPr>
          <w:rFonts w:ascii="Times New Roman" w:hAnsi="Times New Roman" w:cs="Times New Roman"/>
          <w:b/>
          <w:sz w:val="24"/>
          <w:szCs w:val="24"/>
        </w:rPr>
        <w:t>The Dual Gap Theory</w:t>
      </w:r>
      <w:r w:rsidRPr="00941C7F">
        <w:rPr>
          <w:rFonts w:ascii="Times New Roman" w:hAnsi="Times New Roman" w:cs="Times New Roman"/>
          <w:sz w:val="24"/>
          <w:szCs w:val="24"/>
        </w:rPr>
        <w:t xml:space="preserve"> </w:t>
      </w:r>
    </w:p>
    <w:p w14:paraId="2B174F57" w14:textId="77777777" w:rsidR="008069CE" w:rsidRDefault="008069CE" w:rsidP="008069CE">
      <w:pPr>
        <w:spacing w:after="0" w:line="360" w:lineRule="auto"/>
        <w:jc w:val="both"/>
        <w:rPr>
          <w:rFonts w:ascii="Times New Roman" w:eastAsia="Times New Roman" w:hAnsi="Times New Roman" w:cs="Times New Roman"/>
          <w:sz w:val="24"/>
          <w:szCs w:val="24"/>
        </w:rPr>
      </w:pPr>
      <w:r w:rsidRPr="00807924">
        <w:rPr>
          <w:rFonts w:ascii="Times New Roman" w:eastAsia="Times New Roman" w:hAnsi="Times New Roman" w:cs="Times New Roman"/>
          <w:sz w:val="24"/>
          <w:szCs w:val="24"/>
          <w:highlight w:val="yellow"/>
        </w:rPr>
        <w:t>The dual gap theory was theoretically and practically modeled by Chenery and Strout (1966), based on dispute over the viability of import constraint growth</w:t>
      </w:r>
      <w:r w:rsidRPr="00941C7F">
        <w:rPr>
          <w:rFonts w:ascii="Times New Roman" w:eastAsia="Times New Roman" w:hAnsi="Times New Roman" w:cs="Times New Roman"/>
          <w:sz w:val="24"/>
          <w:szCs w:val="24"/>
        </w:rPr>
        <w:t xml:space="preserve">. It was </w:t>
      </w:r>
      <w:r>
        <w:rPr>
          <w:rFonts w:ascii="Times New Roman" w:eastAsia="Times New Roman" w:hAnsi="Times New Roman" w:cs="Times New Roman"/>
          <w:sz w:val="24"/>
          <w:szCs w:val="24"/>
        </w:rPr>
        <w:t>perceived</w:t>
      </w:r>
      <w:r w:rsidRPr="00941C7F">
        <w:rPr>
          <w:rFonts w:ascii="Times New Roman" w:eastAsia="Times New Roman" w:hAnsi="Times New Roman" w:cs="Times New Roman"/>
          <w:sz w:val="24"/>
          <w:szCs w:val="24"/>
        </w:rPr>
        <w:t xml:space="preserve"> on the notion that savings of a nation are inadequate to support the amount of investment required for economic development. </w:t>
      </w:r>
      <w:r w:rsidRPr="00807924">
        <w:rPr>
          <w:rFonts w:ascii="Times New Roman" w:eastAsia="Times New Roman" w:hAnsi="Times New Roman" w:cs="Times New Roman"/>
          <w:sz w:val="24"/>
          <w:szCs w:val="24"/>
          <w:highlight w:val="yellow"/>
        </w:rPr>
        <w:t>Developing nations often lack the savings to support infrastructural growth and do not export enough value added commodities to pay for their imports.</w:t>
      </w:r>
      <w:r w:rsidRPr="00941C7F">
        <w:rPr>
          <w:rFonts w:ascii="Times New Roman" w:eastAsia="Times New Roman" w:hAnsi="Times New Roman" w:cs="Times New Roman"/>
          <w:sz w:val="24"/>
          <w:szCs w:val="24"/>
        </w:rPr>
        <w:t xml:space="preserve"> The fundamental drawback of this </w:t>
      </w:r>
      <w:r>
        <w:rPr>
          <w:rFonts w:ascii="Times New Roman" w:eastAsia="Times New Roman" w:hAnsi="Times New Roman" w:cs="Times New Roman"/>
          <w:sz w:val="24"/>
          <w:szCs w:val="24"/>
        </w:rPr>
        <w:t>theory</w:t>
      </w:r>
      <w:r w:rsidRPr="00941C7F">
        <w:rPr>
          <w:rFonts w:ascii="Times New Roman" w:eastAsia="Times New Roman" w:hAnsi="Times New Roman" w:cs="Times New Roman"/>
          <w:sz w:val="24"/>
          <w:szCs w:val="24"/>
        </w:rPr>
        <w:t xml:space="preserve"> is the absence of its absorptive ability. </w:t>
      </w:r>
      <w:r w:rsidRPr="00CA58C7">
        <w:rPr>
          <w:rFonts w:ascii="Times New Roman" w:eastAsia="Times New Roman" w:hAnsi="Times New Roman" w:cs="Times New Roman"/>
          <w:sz w:val="24"/>
          <w:szCs w:val="24"/>
          <w:highlight w:val="yellow"/>
        </w:rPr>
        <w:t>It does not evaluate the absorptive capacity of an economy and the ability to conceive and execute productive initiatives without help</w:t>
      </w:r>
      <w:r w:rsidRPr="00941C7F">
        <w:rPr>
          <w:rFonts w:ascii="Times New Roman" w:eastAsia="Times New Roman" w:hAnsi="Times New Roman" w:cs="Times New Roman"/>
          <w:sz w:val="24"/>
          <w:szCs w:val="24"/>
        </w:rPr>
        <w:t xml:space="preserve">. </w:t>
      </w:r>
      <w:r w:rsidRPr="00CA58C7">
        <w:rPr>
          <w:rFonts w:ascii="Times New Roman" w:eastAsia="Times New Roman" w:hAnsi="Times New Roman" w:cs="Times New Roman"/>
          <w:sz w:val="24"/>
          <w:szCs w:val="24"/>
          <w:highlight w:val="yellow"/>
        </w:rPr>
        <w:t>It sole aggregate method for economic analysis is also another failure</w:t>
      </w:r>
      <w:r w:rsidRPr="00941C7F">
        <w:rPr>
          <w:rFonts w:ascii="Times New Roman" w:eastAsia="Times New Roman" w:hAnsi="Times New Roman" w:cs="Times New Roman"/>
          <w:sz w:val="24"/>
          <w:szCs w:val="24"/>
        </w:rPr>
        <w:t xml:space="preserve">. </w:t>
      </w:r>
      <w:r w:rsidRPr="00CA58C7">
        <w:rPr>
          <w:rFonts w:ascii="Times New Roman" w:eastAsia="Times New Roman" w:hAnsi="Times New Roman" w:cs="Times New Roman"/>
          <w:sz w:val="24"/>
          <w:szCs w:val="24"/>
          <w:highlight w:val="yellow"/>
        </w:rPr>
        <w:t xml:space="preserve">Inherent underserving in developing countries like Nigeria induces lack of incentives for investment in both the private and </w:t>
      </w:r>
      <w:r>
        <w:rPr>
          <w:rFonts w:ascii="Times New Roman" w:eastAsia="Times New Roman" w:hAnsi="Times New Roman" w:cs="Times New Roman"/>
          <w:sz w:val="24"/>
          <w:szCs w:val="24"/>
          <w:highlight w:val="yellow"/>
        </w:rPr>
        <w:t>public sectors of the</w:t>
      </w:r>
      <w:r w:rsidRPr="00CA58C7">
        <w:rPr>
          <w:rFonts w:ascii="Times New Roman" w:eastAsia="Times New Roman" w:hAnsi="Times New Roman" w:cs="Times New Roman"/>
          <w:sz w:val="24"/>
          <w:szCs w:val="24"/>
          <w:highlight w:val="yellow"/>
        </w:rPr>
        <w:t xml:space="preserve"> economies</w:t>
      </w:r>
      <w:r>
        <w:rPr>
          <w:rFonts w:ascii="Times New Roman" w:eastAsia="Times New Roman" w:hAnsi="Times New Roman" w:cs="Times New Roman"/>
          <w:sz w:val="24"/>
          <w:szCs w:val="24"/>
          <w:highlight w:val="yellow"/>
        </w:rPr>
        <w:t xml:space="preserve"> causing unsustainable economic growth</w:t>
      </w:r>
      <w:r w:rsidRPr="00CA58C7">
        <w:rPr>
          <w:rFonts w:ascii="Times New Roman" w:eastAsia="Times New Roman" w:hAnsi="Times New Roman" w:cs="Times New Roman"/>
          <w:sz w:val="24"/>
          <w:szCs w:val="24"/>
          <w:highlight w:val="yellow"/>
        </w:rPr>
        <w:t xml:space="preserve"> (Hunt, 2007).</w:t>
      </w:r>
      <w:r w:rsidRPr="00015C0F">
        <w:rPr>
          <w:rFonts w:ascii="Times New Roman" w:eastAsia="Times New Roman" w:hAnsi="Times New Roman" w:cs="Times New Roman"/>
          <w:sz w:val="24"/>
          <w:szCs w:val="24"/>
        </w:rPr>
        <w:t xml:space="preserve">  </w:t>
      </w:r>
      <w:r w:rsidRPr="00CA58C7">
        <w:rPr>
          <w:rFonts w:ascii="Times New Roman" w:eastAsia="Times New Roman" w:hAnsi="Times New Roman" w:cs="Times New Roman"/>
          <w:sz w:val="24"/>
          <w:szCs w:val="24"/>
          <w:highlight w:val="yellow"/>
        </w:rPr>
        <w:t>To put it another way, savings complement investments for sustainable economic growth</w:t>
      </w:r>
      <w:r w:rsidRPr="00015C0F">
        <w:rPr>
          <w:rFonts w:ascii="Times New Roman" w:eastAsia="Times New Roman" w:hAnsi="Times New Roman" w:cs="Times New Roman"/>
          <w:sz w:val="24"/>
          <w:szCs w:val="24"/>
        </w:rPr>
        <w:t xml:space="preserve">.  </w:t>
      </w:r>
      <w:r w:rsidRPr="00F763B5">
        <w:rPr>
          <w:rFonts w:ascii="Times New Roman" w:eastAsia="Times New Roman" w:hAnsi="Times New Roman" w:cs="Times New Roman"/>
          <w:sz w:val="24"/>
          <w:szCs w:val="24"/>
          <w:highlight w:val="yellow"/>
        </w:rPr>
        <w:lastRenderedPageBreak/>
        <w:t>This theory is crucial for the understanding Nigeria debt on capital accumulation since it illustrates the state developing economy now and its level for future development</w:t>
      </w:r>
      <w:r w:rsidRPr="00015C0F">
        <w:rPr>
          <w:rFonts w:ascii="Times New Roman" w:eastAsia="Times New Roman" w:hAnsi="Times New Roman" w:cs="Times New Roman"/>
          <w:sz w:val="24"/>
          <w:szCs w:val="24"/>
        </w:rPr>
        <w:t>.</w:t>
      </w:r>
    </w:p>
    <w:p w14:paraId="384B9219" w14:textId="77777777" w:rsidR="008069CE" w:rsidRDefault="008069CE" w:rsidP="008069CE">
      <w:pPr>
        <w:spacing w:after="0" w:line="360" w:lineRule="auto"/>
        <w:jc w:val="both"/>
        <w:rPr>
          <w:rFonts w:ascii="Times New Roman" w:eastAsia="Times New Roman" w:hAnsi="Times New Roman" w:cs="Times New Roman"/>
          <w:sz w:val="24"/>
          <w:szCs w:val="24"/>
        </w:rPr>
      </w:pPr>
    </w:p>
    <w:p w14:paraId="4630AC96" w14:textId="77777777" w:rsidR="008069CE" w:rsidRPr="00941C7F" w:rsidRDefault="008069CE" w:rsidP="008069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Empirical Studies</w:t>
      </w:r>
    </w:p>
    <w:p w14:paraId="5459D8B9"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Ndubuaku et al. (2021) applied ARDL and Granger Causality </w:t>
      </w:r>
      <w:r w:rsidRPr="00B914AA">
        <w:rPr>
          <w:rFonts w:ascii="Times New Roman" w:eastAsia="Times New Roman" w:hAnsi="Times New Roman" w:cs="Times New Roman"/>
          <w:sz w:val="24"/>
          <w:szCs w:val="24"/>
          <w:highlight w:val="yellow"/>
        </w:rPr>
        <w:t>to investigate Nigeria's external debt dynamics and sustainable development from 1980 to 2016. Th</w:t>
      </w:r>
      <w:r>
        <w:rPr>
          <w:rFonts w:ascii="Times New Roman" w:eastAsia="Times New Roman" w:hAnsi="Times New Roman" w:cs="Times New Roman"/>
          <w:sz w:val="24"/>
          <w:szCs w:val="24"/>
          <w:highlight w:val="yellow"/>
        </w:rPr>
        <w:t xml:space="preserve">e study </w:t>
      </w:r>
      <w:r w:rsidRPr="00B914AA">
        <w:rPr>
          <w:rFonts w:ascii="Times New Roman" w:eastAsia="Times New Roman" w:hAnsi="Times New Roman" w:cs="Times New Roman"/>
          <w:sz w:val="24"/>
          <w:szCs w:val="24"/>
          <w:highlight w:val="yellow"/>
        </w:rPr>
        <w:t>found that foreign debt and Nigeria debt payment had a harmful influence on sustainable growth in the country</w:t>
      </w:r>
      <w:r w:rsidRPr="00941C7F">
        <w:rPr>
          <w:rFonts w:ascii="Times New Roman" w:eastAsia="Times New Roman" w:hAnsi="Times New Roman" w:cs="Times New Roman"/>
          <w:sz w:val="24"/>
          <w:szCs w:val="24"/>
        </w:rPr>
        <w:t xml:space="preserve">. </w:t>
      </w:r>
      <w:r w:rsidRPr="004A2FFE">
        <w:rPr>
          <w:rFonts w:ascii="Times New Roman" w:eastAsia="Times New Roman" w:hAnsi="Times New Roman" w:cs="Times New Roman"/>
          <w:sz w:val="24"/>
          <w:szCs w:val="24"/>
          <w:highlight w:val="yellow"/>
        </w:rPr>
        <w:t>The investigation further found a unidirectional relationship from debt service to economic development.</w:t>
      </w:r>
      <w:r w:rsidRPr="00941C7F">
        <w:rPr>
          <w:rFonts w:ascii="Times New Roman" w:eastAsia="Times New Roman" w:hAnsi="Times New Roman" w:cs="Times New Roman"/>
          <w:sz w:val="24"/>
          <w:szCs w:val="24"/>
        </w:rPr>
        <w:t xml:space="preserve"> Similarly, Iteh and Oyeanu (2021), </w:t>
      </w:r>
      <w:r>
        <w:rPr>
          <w:rFonts w:ascii="Times New Roman" w:eastAsia="Times New Roman" w:hAnsi="Times New Roman" w:cs="Times New Roman"/>
          <w:sz w:val="24"/>
          <w:szCs w:val="24"/>
        </w:rPr>
        <w:t>investigated</w:t>
      </w:r>
      <w:r w:rsidRPr="00941C7F">
        <w:rPr>
          <w:rFonts w:ascii="Times New Roman" w:eastAsia="Times New Roman" w:hAnsi="Times New Roman" w:cs="Times New Roman"/>
          <w:sz w:val="24"/>
          <w:szCs w:val="24"/>
        </w:rPr>
        <w:t xml:space="preserve"> the impact of external debt on economic growth in Nigeria from 1985 to 2018</w:t>
      </w:r>
      <w:r>
        <w:rPr>
          <w:rFonts w:ascii="Times New Roman" w:eastAsia="Times New Roman" w:hAnsi="Times New Roman" w:cs="Times New Roman"/>
          <w:sz w:val="24"/>
          <w:szCs w:val="24"/>
        </w:rPr>
        <w:t xml:space="preserve">. </w:t>
      </w:r>
      <w:r w:rsidRPr="004A2FFE">
        <w:rPr>
          <w:rFonts w:ascii="Times New Roman" w:eastAsia="Times New Roman" w:hAnsi="Times New Roman" w:cs="Times New Roman"/>
          <w:sz w:val="24"/>
          <w:szCs w:val="24"/>
          <w:highlight w:val="yellow"/>
        </w:rPr>
        <w:t>The study employed Vector Autoregressive (VAR) technique and found that the amount of external debt and its servicing had a negative and significant impact on economic growth</w:t>
      </w:r>
      <w:r w:rsidRPr="00941C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study also found </w:t>
      </w:r>
      <w:r w:rsidRPr="00941C7F">
        <w:rPr>
          <w:rFonts w:ascii="Times New Roman" w:eastAsia="Times New Roman" w:hAnsi="Times New Roman" w:cs="Times New Roman"/>
          <w:sz w:val="24"/>
          <w:szCs w:val="24"/>
        </w:rPr>
        <w:t xml:space="preserve">that economic growth dropped by 0.495 units for every change in the external debt stock by one unit. Conversely, when foreign debt service changed by one unit, economic growth declined by 0.017 units. Using GMM estimate </w:t>
      </w:r>
      <w:r>
        <w:rPr>
          <w:rFonts w:ascii="Times New Roman" w:eastAsia="Times New Roman" w:hAnsi="Times New Roman" w:cs="Times New Roman"/>
          <w:sz w:val="24"/>
          <w:szCs w:val="24"/>
        </w:rPr>
        <w:t>technique</w:t>
      </w:r>
      <w:r w:rsidRPr="00941C7F">
        <w:rPr>
          <w:rFonts w:ascii="Times New Roman" w:eastAsia="Times New Roman" w:hAnsi="Times New Roman" w:cs="Times New Roman"/>
          <w:sz w:val="24"/>
          <w:szCs w:val="24"/>
        </w:rPr>
        <w:t xml:space="preserve">, Agyapong and Bedjabeng (2020) evaluated the influence of </w:t>
      </w:r>
      <w:r>
        <w:rPr>
          <w:rFonts w:ascii="Times New Roman" w:eastAsia="Times New Roman" w:hAnsi="Times New Roman" w:cs="Times New Roman"/>
          <w:sz w:val="24"/>
          <w:szCs w:val="24"/>
        </w:rPr>
        <w:t>external</w:t>
      </w:r>
      <w:r w:rsidRPr="00941C7F">
        <w:rPr>
          <w:rFonts w:ascii="Times New Roman" w:eastAsia="Times New Roman" w:hAnsi="Times New Roman" w:cs="Times New Roman"/>
          <w:sz w:val="24"/>
          <w:szCs w:val="24"/>
        </w:rPr>
        <w:t xml:space="preserve"> debt and FDI </w:t>
      </w:r>
      <w:r>
        <w:rPr>
          <w:rFonts w:ascii="Times New Roman" w:eastAsia="Times New Roman" w:hAnsi="Times New Roman" w:cs="Times New Roman"/>
          <w:sz w:val="24"/>
          <w:szCs w:val="24"/>
        </w:rPr>
        <w:t>on</w:t>
      </w:r>
      <w:r w:rsidRPr="00941C7F">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 xml:space="preserve">inancial growth in Africa. </w:t>
      </w:r>
      <w:r w:rsidRPr="009743B0">
        <w:rPr>
          <w:rFonts w:ascii="Times New Roman" w:eastAsia="Times New Roman" w:hAnsi="Times New Roman" w:cs="Times New Roman"/>
          <w:sz w:val="24"/>
          <w:szCs w:val="24"/>
          <w:highlight w:val="yellow"/>
        </w:rPr>
        <w:t>The study indicated a substantial positive impact of external debt, FDI, on financial growth in Africa. The study recommended that the administrations of the chosen nations should put borrowed monies to more productive use</w:t>
      </w:r>
      <w:r w:rsidRPr="00941C7F">
        <w:rPr>
          <w:rFonts w:ascii="Times New Roman" w:eastAsia="Times New Roman" w:hAnsi="Times New Roman" w:cs="Times New Roman"/>
          <w:sz w:val="24"/>
          <w:szCs w:val="24"/>
        </w:rPr>
        <w:t>.</w:t>
      </w:r>
    </w:p>
    <w:p w14:paraId="15DC1012" w14:textId="77777777" w:rsidR="008069CE" w:rsidRPr="00D10EDC" w:rsidRDefault="008069CE" w:rsidP="008069CE">
      <w:pPr>
        <w:spacing w:after="0" w:line="360" w:lineRule="auto"/>
        <w:jc w:val="both"/>
        <w:rPr>
          <w:rFonts w:ascii="Times New Roman" w:eastAsia="Times New Roman" w:hAnsi="Times New Roman" w:cs="Times New Roman"/>
          <w:sz w:val="24"/>
          <w:szCs w:val="24"/>
        </w:rPr>
      </w:pPr>
      <w:r w:rsidRPr="009743B0">
        <w:rPr>
          <w:rFonts w:ascii="Times New Roman" w:eastAsia="Times New Roman" w:hAnsi="Times New Roman" w:cs="Times New Roman"/>
          <w:sz w:val="24"/>
          <w:szCs w:val="24"/>
          <w:highlight w:val="yellow"/>
        </w:rPr>
        <w:t>Furthermore, the effect of capital accumulation on Nigeria's economic development was examined using trend exploration by Ajose and Oyedokun (2018). The study found significant</w:t>
      </w:r>
      <w:r>
        <w:rPr>
          <w:rFonts w:ascii="Times New Roman" w:eastAsia="Times New Roman" w:hAnsi="Times New Roman" w:cs="Times New Roman"/>
          <w:sz w:val="24"/>
          <w:szCs w:val="24"/>
          <w:highlight w:val="yellow"/>
        </w:rPr>
        <w:t xml:space="preserve"> impact of </w:t>
      </w:r>
      <w:r w:rsidRPr="009743B0">
        <w:rPr>
          <w:rFonts w:ascii="Times New Roman" w:eastAsia="Times New Roman" w:hAnsi="Times New Roman" w:cs="Times New Roman"/>
          <w:sz w:val="24"/>
          <w:szCs w:val="24"/>
          <w:highlight w:val="yellow"/>
        </w:rPr>
        <w:t>growth of the economy and capital accumulation.</w:t>
      </w:r>
      <w:r w:rsidRPr="00941C7F">
        <w:rPr>
          <w:rFonts w:ascii="Times New Roman" w:eastAsia="Times New Roman" w:hAnsi="Times New Roman" w:cs="Times New Roman"/>
          <w:sz w:val="24"/>
          <w:szCs w:val="24"/>
        </w:rPr>
        <w:t xml:space="preserve"> </w:t>
      </w:r>
      <w:r w:rsidRPr="009743B0">
        <w:rPr>
          <w:rFonts w:ascii="Times New Roman" w:eastAsia="Times New Roman" w:hAnsi="Times New Roman" w:cs="Times New Roman"/>
          <w:sz w:val="24"/>
          <w:szCs w:val="24"/>
          <w:highlight w:val="yellow"/>
        </w:rPr>
        <w:t>Therefore, recommended investor-friendly policies that would promote and draw in more capital from foreign investors and provide and an environment that is conducive to the growth of fixed capital accumulation</w:t>
      </w:r>
      <w:r w:rsidRPr="00015C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15C0F">
        <w:rPr>
          <w:rFonts w:ascii="Times New Roman" w:eastAsia="Times New Roman" w:hAnsi="Times New Roman" w:cs="Times New Roman"/>
          <w:sz w:val="24"/>
          <w:szCs w:val="24"/>
        </w:rPr>
        <w:t xml:space="preserve">In 2016, Lucky and Uzah assessed the decisive factors that led to Nigeria's capital accumulation.  The study found that term of trade, </w:t>
      </w:r>
      <w:r>
        <w:rPr>
          <w:rFonts w:ascii="Times New Roman" w:eastAsia="Times New Roman" w:hAnsi="Times New Roman" w:cs="Times New Roman"/>
          <w:sz w:val="24"/>
          <w:szCs w:val="24"/>
        </w:rPr>
        <w:t>external</w:t>
      </w:r>
      <w:r w:rsidRPr="00015C0F">
        <w:rPr>
          <w:rFonts w:ascii="Times New Roman" w:eastAsia="Times New Roman" w:hAnsi="Times New Roman" w:cs="Times New Roman"/>
          <w:sz w:val="24"/>
          <w:szCs w:val="24"/>
        </w:rPr>
        <w:t xml:space="preserve"> debt, broad money, and gross national savings all had negative and </w:t>
      </w:r>
      <w:r>
        <w:rPr>
          <w:rFonts w:ascii="Times New Roman" w:eastAsia="Times New Roman" w:hAnsi="Times New Roman" w:cs="Times New Roman"/>
          <w:sz w:val="24"/>
          <w:szCs w:val="24"/>
        </w:rPr>
        <w:t xml:space="preserve">insignificant </w:t>
      </w:r>
      <w:r w:rsidRPr="00015C0F">
        <w:rPr>
          <w:rFonts w:ascii="Times New Roman" w:eastAsia="Times New Roman" w:hAnsi="Times New Roman" w:cs="Times New Roman"/>
          <w:sz w:val="24"/>
          <w:szCs w:val="24"/>
        </w:rPr>
        <w:t>effects on capital production using the Vector Error Correction Model</w:t>
      </w:r>
      <w:r>
        <w:rPr>
          <w:rFonts w:ascii="Times New Roman" w:eastAsia="Times New Roman" w:hAnsi="Times New Roman" w:cs="Times New Roman"/>
          <w:sz w:val="24"/>
          <w:szCs w:val="24"/>
        </w:rPr>
        <w:t xml:space="preserve"> (VECM)</w:t>
      </w:r>
      <w:r w:rsidRPr="00015C0F">
        <w:rPr>
          <w:rFonts w:ascii="Times New Roman" w:eastAsia="Times New Roman" w:hAnsi="Times New Roman" w:cs="Times New Roman"/>
          <w:sz w:val="24"/>
          <w:szCs w:val="24"/>
        </w:rPr>
        <w:t xml:space="preserve">.  On the other hand, lending rates, private sector credit, and inflation rates all have slight but </w:t>
      </w:r>
      <w:r>
        <w:rPr>
          <w:rFonts w:ascii="Times New Roman" w:eastAsia="Times New Roman" w:hAnsi="Times New Roman" w:cs="Times New Roman"/>
          <w:sz w:val="24"/>
          <w:szCs w:val="24"/>
        </w:rPr>
        <w:t>positive</w:t>
      </w:r>
      <w:r w:rsidRPr="00015C0F">
        <w:rPr>
          <w:rFonts w:ascii="Times New Roman" w:eastAsia="Times New Roman" w:hAnsi="Times New Roman" w:cs="Times New Roman"/>
          <w:sz w:val="24"/>
          <w:szCs w:val="24"/>
        </w:rPr>
        <w:t xml:space="preserve"> effects.  </w:t>
      </w:r>
      <w:r w:rsidRPr="002446DF">
        <w:rPr>
          <w:rFonts w:ascii="Times New Roman" w:eastAsia="Times New Roman" w:hAnsi="Times New Roman" w:cs="Times New Roman"/>
          <w:sz w:val="24"/>
          <w:szCs w:val="24"/>
          <w:highlight w:val="yellow"/>
        </w:rPr>
        <w:t>As a result, the research recommends that the banking system be strengthened, that policies be put in place to prevent capital flight, and that government funds be used to build infrastructure in order to boost capital accumulation in Nigeria</w:t>
      </w:r>
      <w:r w:rsidRPr="00015C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46DF">
        <w:rPr>
          <w:rFonts w:ascii="Times New Roman" w:eastAsia="Times New Roman" w:hAnsi="Times New Roman" w:cs="Times New Roman"/>
          <w:sz w:val="24"/>
          <w:szCs w:val="24"/>
          <w:highlight w:val="yellow"/>
        </w:rPr>
        <w:t>Ogunbiyi and Okunlola (2015), in their study, analyzed the impact of capital accumulation and the external debt burden of Nigeria from 1980 to 2012. The study found that gross fixed capital accumulation and external debt burden had a statistically</w:t>
      </w:r>
      <w:r w:rsidRPr="00D10EDC">
        <w:rPr>
          <w:rFonts w:ascii="Times New Roman" w:eastAsia="Times New Roman" w:hAnsi="Times New Roman" w:cs="Times New Roman"/>
          <w:sz w:val="24"/>
          <w:szCs w:val="24"/>
        </w:rPr>
        <w:t xml:space="preserve"> significant impact on gross domestic product using OLS estimating approaches. Gross fixed capital accumulation was positively impacted by the total foreign debt stock. As a result, caution is advised while making any more external borrowings.</w:t>
      </w:r>
    </w:p>
    <w:p w14:paraId="3661345E" w14:textId="77777777" w:rsidR="008069CE" w:rsidRPr="00D10EDC" w:rsidRDefault="008069CE" w:rsidP="008069CE">
      <w:pPr>
        <w:spacing w:after="0" w:line="360" w:lineRule="auto"/>
        <w:jc w:val="both"/>
        <w:rPr>
          <w:rFonts w:ascii="Times New Roman" w:hAnsi="Times New Roman" w:cs="Times New Roman"/>
          <w:sz w:val="24"/>
          <w:szCs w:val="24"/>
        </w:rPr>
      </w:pPr>
      <w:r w:rsidRPr="002446DF">
        <w:rPr>
          <w:rFonts w:ascii="Times New Roman" w:hAnsi="Times New Roman" w:cs="Times New Roman"/>
          <w:sz w:val="24"/>
          <w:szCs w:val="24"/>
          <w:highlight w:val="yellow"/>
        </w:rPr>
        <w:lastRenderedPageBreak/>
        <w:t>According to a study by Eravwoke &amp; Oyovwi, (2013), using exports, inflation, foreign direct investment, and external debt as variables with Auto Regressive Distributed Lag (ARDL) found that all the veriable had significant impact on economic growth</w:t>
      </w:r>
      <w:r>
        <w:rPr>
          <w:rFonts w:ascii="Times New Roman" w:hAnsi="Times New Roman" w:cs="Times New Roman"/>
          <w:sz w:val="24"/>
          <w:szCs w:val="24"/>
        </w:rPr>
        <w:t xml:space="preserve">. </w:t>
      </w:r>
      <w:r w:rsidRPr="00A00DF8">
        <w:rPr>
          <w:rFonts w:ascii="Times New Roman" w:hAnsi="Times New Roman" w:cs="Times New Roman"/>
          <w:sz w:val="24"/>
          <w:szCs w:val="24"/>
          <w:highlight w:val="yellow"/>
        </w:rPr>
        <w:t xml:space="preserve">The recommend that the Nigerian government refrain from taking </w:t>
      </w:r>
      <w:r>
        <w:rPr>
          <w:rFonts w:ascii="Times New Roman" w:hAnsi="Times New Roman" w:cs="Times New Roman"/>
          <w:sz w:val="24"/>
          <w:szCs w:val="24"/>
          <w:highlight w:val="yellow"/>
        </w:rPr>
        <w:t>unproductive loans (Eravwoke &amp;</w:t>
      </w:r>
      <w:r w:rsidRPr="00A00DF8">
        <w:rPr>
          <w:rFonts w:ascii="Times New Roman" w:hAnsi="Times New Roman" w:cs="Times New Roman"/>
          <w:sz w:val="24"/>
          <w:szCs w:val="24"/>
          <w:highlight w:val="yellow"/>
        </w:rPr>
        <w:t xml:space="preserve"> Oyovwi 2013).</w:t>
      </w:r>
    </w:p>
    <w:p w14:paraId="4A22CBF8" w14:textId="77777777" w:rsidR="008069CE" w:rsidRDefault="008069CE" w:rsidP="008069CE">
      <w:pPr>
        <w:spacing w:line="360" w:lineRule="auto"/>
        <w:jc w:val="both"/>
        <w:rPr>
          <w:rFonts w:ascii="Times New Roman" w:hAnsi="Times New Roman" w:cs="Times New Roman"/>
          <w:sz w:val="24"/>
          <w:szCs w:val="24"/>
        </w:rPr>
      </w:pPr>
      <w:r w:rsidRPr="00A00DF8">
        <w:rPr>
          <w:rFonts w:ascii="Times New Roman" w:hAnsi="Times New Roman" w:cs="Times New Roman"/>
          <w:sz w:val="24"/>
          <w:szCs w:val="24"/>
          <w:highlight w:val="yellow"/>
        </w:rPr>
        <w:t xml:space="preserve">Ogbuabor, </w:t>
      </w:r>
      <w:r>
        <w:rPr>
          <w:rFonts w:ascii="Times New Roman" w:hAnsi="Times New Roman" w:cs="Times New Roman"/>
          <w:sz w:val="24"/>
          <w:szCs w:val="24"/>
          <w:highlight w:val="yellow"/>
        </w:rPr>
        <w:t>et al.,</w:t>
      </w:r>
      <w:r w:rsidRPr="00A00DF8">
        <w:rPr>
          <w:rFonts w:ascii="Times New Roman" w:hAnsi="Times New Roman" w:cs="Times New Roman"/>
          <w:sz w:val="24"/>
          <w:szCs w:val="24"/>
          <w:highlight w:val="yellow"/>
        </w:rPr>
        <w:t xml:space="preserve"> (2013) interrogated empirically the impact informal sector on national savings in Nigeria from 1970 to 2011. Using the OLS method, the study results show that although the level of financial depth has a significant positive impact on domestic savings in Nigeria, informality restricts the growth of national savings. I</w:t>
      </w:r>
      <w:r w:rsidRPr="00D10EDC">
        <w:rPr>
          <w:rFonts w:ascii="Times New Roman" w:hAnsi="Times New Roman" w:cs="Times New Roman"/>
          <w:sz w:val="24"/>
          <w:szCs w:val="24"/>
        </w:rPr>
        <w:t>n order to boost real income per capita growth and reduce unemployment, the paper suggested encouraging higher production.</w:t>
      </w:r>
    </w:p>
    <w:p w14:paraId="33F7D06C" w14:textId="77777777" w:rsidR="008069CE" w:rsidRPr="004D7FA3" w:rsidRDefault="008069CE" w:rsidP="008069CE">
      <w:pPr>
        <w:spacing w:line="360" w:lineRule="auto"/>
        <w:jc w:val="both"/>
        <w:rPr>
          <w:rFonts w:ascii="Times New Roman" w:hAnsi="Times New Roman" w:cs="Times New Roman"/>
          <w:sz w:val="24"/>
          <w:szCs w:val="24"/>
        </w:rPr>
      </w:pPr>
      <w:r w:rsidRPr="006433C4">
        <w:rPr>
          <w:rFonts w:ascii="Times New Roman" w:hAnsi="Times New Roman" w:cs="Times New Roman"/>
          <w:b/>
          <w:sz w:val="24"/>
          <w:szCs w:val="24"/>
        </w:rPr>
        <w:t>CONTRIBUTION TO KNOWLEDGE</w:t>
      </w:r>
    </w:p>
    <w:p w14:paraId="45038538" w14:textId="77777777" w:rsidR="008069CE" w:rsidRPr="00941C7F" w:rsidRDefault="008069CE" w:rsidP="008069CE">
      <w:pPr>
        <w:pStyle w:val="NormalWeb"/>
        <w:spacing w:line="360" w:lineRule="auto"/>
        <w:jc w:val="both"/>
      </w:pPr>
      <w:r w:rsidRPr="00941C7F">
        <w:t xml:space="preserve">Apart from conflicting results, there are also conflicting issues in models </w:t>
      </w:r>
      <w:r>
        <w:t xml:space="preserve">specifications of previous researchers on this topic, </w:t>
      </w:r>
      <w:r w:rsidRPr="00941C7F">
        <w:t>where onl</w:t>
      </w:r>
      <w:r>
        <w:t>y</w:t>
      </w:r>
      <w:r w:rsidRPr="00941C7F">
        <w:t xml:space="preserve"> interest rate was used as a determinant for saving, without recourse to the exchange rate, upon which most of the debt will be paid. (Elwasila, 2018; Matuka &amp; Asafo, 2018; Matandare &amp; Tito, 2018; Said &amp; Yusuf, 2018; Shkolnyk &amp; Koilo, 2018; Onwuka, 2021). </w:t>
      </w:r>
      <w:r w:rsidRPr="004B16E0">
        <w:rPr>
          <w:highlight w:val="yellow"/>
        </w:rPr>
        <w:t>Some of the researchers employed OLS, which this study argued not to have been sufficient since debt and capital accumulation is intertemporal policy that transcend beyond period in time but over some time (Forgha et al., 2014).</w:t>
      </w:r>
      <w:r w:rsidRPr="00941C7F">
        <w:t xml:space="preserve"> </w:t>
      </w:r>
      <w:r w:rsidRPr="00C62C82">
        <w:rPr>
          <w:highlight w:val="yellow"/>
        </w:rPr>
        <w:t>Using a stronger analytical technique of autoregressive distributed lag (ARDL), an improved model specifications that integrated interest rate as the domestic investor’s driver and the exchange rate as the external investor’s driver in the same framework; this study will be most robust for achieving an inclusive analysis.</w:t>
      </w:r>
    </w:p>
    <w:p w14:paraId="331A81D9" w14:textId="77777777" w:rsidR="008069CE" w:rsidRPr="00941C7F" w:rsidRDefault="008069CE" w:rsidP="008069CE">
      <w:pPr>
        <w:spacing w:line="36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2.3</w:t>
      </w:r>
      <w:r w:rsidRPr="00941C7F">
        <w:rPr>
          <w:rFonts w:ascii="Times New Roman" w:hAnsi="Times New Roman" w:cs="Times New Roman"/>
          <w:sz w:val="24"/>
          <w:szCs w:val="24"/>
        </w:rPr>
        <w:t xml:space="preserve"> </w:t>
      </w:r>
      <w:r w:rsidRPr="00941C7F">
        <w:rPr>
          <w:rFonts w:ascii="Times New Roman" w:eastAsia="Times New Roman" w:hAnsi="Times New Roman" w:cs="Times New Roman"/>
          <w:b/>
          <w:sz w:val="24"/>
          <w:szCs w:val="24"/>
        </w:rPr>
        <w:t xml:space="preserve">Stylized facts on external debt on Nigeria's capital accumulation </w:t>
      </w:r>
    </w:p>
    <w:p w14:paraId="1AF426C5" w14:textId="77777777" w:rsidR="008069CE" w:rsidRPr="00B30D00" w:rsidRDefault="008069CE" w:rsidP="008069CE">
      <w:pPr>
        <w:spacing w:line="360" w:lineRule="auto"/>
        <w:jc w:val="both"/>
        <w:rPr>
          <w:rFonts w:ascii="Times New Roman" w:hAnsi="Times New Roman" w:cs="Times New Roman"/>
          <w:sz w:val="24"/>
          <w:szCs w:val="24"/>
        </w:rPr>
      </w:pPr>
      <w:r w:rsidRPr="00906932">
        <w:rPr>
          <w:rFonts w:ascii="Times New Roman" w:eastAsia="Times New Roman" w:hAnsi="Times New Roman" w:cs="Times New Roman"/>
          <w:sz w:val="24"/>
          <w:szCs w:val="24"/>
          <w:highlight w:val="yellow"/>
        </w:rPr>
        <w:t>Nigeria's foreign debt began in 1958 when the World Bank granted a loan of USD 28 million to finance railway and other infrastructure projects (Mbah, Umunna, &amp; Agu, 2016). When Nigeria's total external debt reached about USD 19 billion in 1985, the challenge of debt repayment becomes a burden. The amount borrowed was less than USD 15 billion and the Nigerian government was unable to pay back the foreign creditors (the Paris Club). This burden of payment stems from Nigeria low domestic investment, high unemployment, balance of payments deficits, and dismal growth rates averaging less than 3 percent annually throughout the 1990s.  Nigeria debt burdened was becoming severe</w:t>
      </w:r>
      <w:r>
        <w:rPr>
          <w:rFonts w:ascii="Times New Roman" w:eastAsia="Times New Roman" w:hAnsi="Times New Roman" w:cs="Times New Roman"/>
          <w:sz w:val="24"/>
          <w:szCs w:val="24"/>
          <w:highlight w:val="yellow"/>
        </w:rPr>
        <w:t xml:space="preserve"> as shown </w:t>
      </w:r>
      <w:r w:rsidRPr="00941C7F">
        <w:rPr>
          <w:rFonts w:ascii="Times New Roman" w:hAnsi="Times New Roman" w:cs="Times New Roman"/>
          <w:sz w:val="24"/>
          <w:szCs w:val="24"/>
        </w:rPr>
        <w:t xml:space="preserve">in Table 1 from the </w:t>
      </w:r>
      <w:r>
        <w:rPr>
          <w:rFonts w:ascii="Times New Roman" w:hAnsi="Times New Roman" w:cs="Times New Roman"/>
          <w:sz w:val="24"/>
          <w:szCs w:val="24"/>
        </w:rPr>
        <w:t>Nigerian Debt</w:t>
      </w:r>
      <w:r w:rsidRPr="00941C7F">
        <w:rPr>
          <w:rFonts w:ascii="Times New Roman" w:hAnsi="Times New Roman" w:cs="Times New Roman"/>
          <w:sz w:val="24"/>
          <w:szCs w:val="24"/>
        </w:rPr>
        <w:t xml:space="preserve"> management office (DMO, 2025). It is also shown in the trend analysis.</w:t>
      </w:r>
      <w:r>
        <w:rPr>
          <w:rFonts w:ascii="Times New Roman" w:hAnsi="Times New Roman" w:cs="Times New Roman"/>
          <w:sz w:val="24"/>
          <w:szCs w:val="24"/>
        </w:rPr>
        <w:t xml:space="preserve"> </w:t>
      </w:r>
      <w:r w:rsidRPr="00906932">
        <w:rPr>
          <w:rFonts w:ascii="Times New Roman" w:eastAsia="Times New Roman" w:hAnsi="Times New Roman" w:cs="Times New Roman"/>
          <w:sz w:val="24"/>
          <w:szCs w:val="24"/>
          <w:highlight w:val="yellow"/>
        </w:rPr>
        <w:t xml:space="preserve">This situation made it difficult for the government and business sector to get funds from the international capital market and </w:t>
      </w:r>
      <w:r w:rsidRPr="00906932">
        <w:rPr>
          <w:rFonts w:ascii="Times New Roman" w:eastAsia="Times New Roman" w:hAnsi="Times New Roman" w:cs="Times New Roman"/>
          <w:sz w:val="24"/>
          <w:szCs w:val="24"/>
          <w:highlight w:val="yellow"/>
        </w:rPr>
        <w:lastRenderedPageBreak/>
        <w:t>discouraged investment in Nigerian economy</w:t>
      </w:r>
      <w:r>
        <w:rPr>
          <w:rFonts w:ascii="Times New Roman" w:eastAsia="Times New Roman" w:hAnsi="Times New Roman" w:cs="Times New Roman"/>
          <w:sz w:val="24"/>
          <w:szCs w:val="24"/>
        </w:rPr>
        <w:t xml:space="preserve">. </w:t>
      </w:r>
      <w:r w:rsidRPr="00B30D00">
        <w:rPr>
          <w:rFonts w:ascii="Times New Roman" w:eastAsia="Times New Roman" w:hAnsi="Times New Roman" w:cs="Times New Roman"/>
          <w:sz w:val="24"/>
          <w:szCs w:val="24"/>
          <w:highlight w:val="yellow"/>
        </w:rPr>
        <w:t>The civilian government, elected in 1999, launched the National Economic Empowerment Development Strategy (NEEDS), an indigenous economic plan, after almost thirty years of military rule.</w:t>
      </w:r>
      <w:r>
        <w:rPr>
          <w:rFonts w:ascii="Times New Roman" w:eastAsia="Times New Roman" w:hAnsi="Times New Roman" w:cs="Times New Roman"/>
          <w:sz w:val="24"/>
          <w:szCs w:val="24"/>
        </w:rPr>
        <w:t xml:space="preserve"> </w:t>
      </w:r>
    </w:p>
    <w:p w14:paraId="23800B3D" w14:textId="77777777" w:rsidR="008069CE" w:rsidRPr="00070E48" w:rsidRDefault="008069CE" w:rsidP="008069CE">
      <w:pPr>
        <w:spacing w:after="0" w:line="360" w:lineRule="auto"/>
        <w:jc w:val="both"/>
        <w:rPr>
          <w:rFonts w:ascii="Times New Roman" w:eastAsia="Times New Roman" w:hAnsi="Times New Roman" w:cs="Times New Roman"/>
          <w:sz w:val="24"/>
          <w:szCs w:val="24"/>
        </w:rPr>
      </w:pPr>
    </w:p>
    <w:p w14:paraId="023BFB6E" w14:textId="77777777" w:rsidR="008069CE" w:rsidRPr="00941C7F" w:rsidRDefault="008069CE" w:rsidP="008069CE">
      <w:pPr>
        <w:spacing w:line="360" w:lineRule="auto"/>
        <w:jc w:val="both"/>
        <w:rPr>
          <w:rFonts w:ascii="Times New Roman" w:hAnsi="Times New Roman" w:cs="Times New Roman"/>
          <w:b/>
          <w:sz w:val="24"/>
          <w:szCs w:val="24"/>
        </w:rPr>
      </w:pPr>
      <w:r>
        <w:rPr>
          <w:rFonts w:ascii="Times New Roman" w:hAnsi="Times New Roman" w:cs="Times New Roman"/>
          <w:b/>
          <w:sz w:val="24"/>
          <w:szCs w:val="24"/>
        </w:rPr>
        <w:t>Nigeria's</w:t>
      </w:r>
      <w:r w:rsidRPr="00941C7F">
        <w:rPr>
          <w:rFonts w:ascii="Times New Roman" w:hAnsi="Times New Roman" w:cs="Times New Roman"/>
          <w:b/>
          <w:sz w:val="24"/>
          <w:szCs w:val="24"/>
        </w:rPr>
        <w:t xml:space="preserve"> debt servicing and capital accumulation </w:t>
      </w:r>
    </w:p>
    <w:p w14:paraId="52295D63" w14:textId="77777777" w:rsidR="008069CE" w:rsidRPr="00941C7F" w:rsidRDefault="008069CE" w:rsidP="008069CE">
      <w:pPr>
        <w:shd w:val="clear" w:color="auto" w:fill="FFFFFF"/>
        <w:spacing w:after="60" w:line="360" w:lineRule="auto"/>
        <w:jc w:val="both"/>
        <w:textAlignment w:val="top"/>
        <w:rPr>
          <w:rFonts w:ascii="Times New Roman" w:hAnsi="Times New Roman" w:cs="Times New Roman"/>
          <w:b/>
          <w:sz w:val="24"/>
          <w:szCs w:val="24"/>
        </w:rPr>
      </w:pPr>
      <w:r w:rsidRPr="00941C7F">
        <w:rPr>
          <w:rFonts w:ascii="Times New Roman" w:hAnsi="Times New Roman" w:cs="Times New Roman"/>
          <w:sz w:val="24"/>
          <w:szCs w:val="24"/>
        </w:rPr>
        <w:t xml:space="preserve">Table 1:   </w:t>
      </w:r>
      <w:r w:rsidRPr="00941C7F">
        <w:rPr>
          <w:rFonts w:ascii="Times New Roman" w:hAnsi="Times New Roman" w:cs="Times New Roman"/>
          <w:b/>
          <w:sz w:val="24"/>
          <w:szCs w:val="24"/>
        </w:rPr>
        <w:t>Nigeria Public Debt Stock 2010-2023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0"/>
        <w:gridCol w:w="4529"/>
        <w:gridCol w:w="4058"/>
      </w:tblGrid>
      <w:tr w:rsidR="008069CE" w:rsidRPr="00941C7F" w14:paraId="40BEAD68" w14:textId="77777777" w:rsidTr="00D55F42">
        <w:trPr>
          <w:trHeight w:val="20"/>
        </w:trPr>
        <w:tc>
          <w:tcPr>
            <w:tcW w:w="1240" w:type="dxa"/>
            <w:tcBorders>
              <w:bottom w:val="single" w:sz="4" w:space="0" w:color="auto"/>
            </w:tcBorders>
          </w:tcPr>
          <w:p w14:paraId="17F0822D"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sz w:val="24"/>
                <w:szCs w:val="24"/>
              </w:rPr>
              <w:t>Year</w:t>
            </w:r>
          </w:p>
        </w:tc>
        <w:tc>
          <w:tcPr>
            <w:tcW w:w="4529" w:type="dxa"/>
            <w:tcBorders>
              <w:bottom w:val="single" w:sz="4" w:space="0" w:color="auto"/>
            </w:tcBorders>
          </w:tcPr>
          <w:p w14:paraId="00BEAF59"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sz w:val="24"/>
                <w:szCs w:val="24"/>
              </w:rPr>
              <w:t>Nigeria Current Debt Stock (USD$ Billion)</w:t>
            </w:r>
          </w:p>
        </w:tc>
        <w:tc>
          <w:tcPr>
            <w:tcW w:w="4058" w:type="dxa"/>
            <w:tcBorders>
              <w:bottom w:val="single" w:sz="4" w:space="0" w:color="auto"/>
            </w:tcBorders>
          </w:tcPr>
          <w:p w14:paraId="2E59A93F"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sz w:val="24"/>
                <w:szCs w:val="24"/>
              </w:rPr>
              <w:t>Percentage change %</w:t>
            </w:r>
          </w:p>
        </w:tc>
      </w:tr>
      <w:tr w:rsidR="008069CE" w:rsidRPr="00941C7F" w14:paraId="1CE0D32F" w14:textId="77777777" w:rsidTr="00D55F42">
        <w:trPr>
          <w:trHeight w:val="20"/>
        </w:trPr>
        <w:tc>
          <w:tcPr>
            <w:tcW w:w="1240" w:type="dxa"/>
            <w:tcBorders>
              <w:top w:val="single" w:sz="4" w:space="0" w:color="auto"/>
            </w:tcBorders>
            <w:vAlign w:val="center"/>
          </w:tcPr>
          <w:p w14:paraId="6E0F33C0"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2010</w:t>
            </w:r>
          </w:p>
        </w:tc>
        <w:tc>
          <w:tcPr>
            <w:tcW w:w="4529" w:type="dxa"/>
            <w:tcBorders>
              <w:top w:val="single" w:sz="4" w:space="0" w:color="auto"/>
            </w:tcBorders>
          </w:tcPr>
          <w:p w14:paraId="5841417D"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28.26</w:t>
            </w:r>
          </w:p>
        </w:tc>
        <w:tc>
          <w:tcPr>
            <w:tcW w:w="4058" w:type="dxa"/>
            <w:tcBorders>
              <w:top w:val="single" w:sz="4" w:space="0" w:color="auto"/>
            </w:tcBorders>
          </w:tcPr>
          <w:p w14:paraId="5A7A3219"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12.77</w:t>
            </w:r>
          </w:p>
        </w:tc>
      </w:tr>
      <w:tr w:rsidR="008069CE" w:rsidRPr="00941C7F" w14:paraId="3416F485" w14:textId="77777777" w:rsidTr="00D55F42">
        <w:trPr>
          <w:trHeight w:val="20"/>
        </w:trPr>
        <w:tc>
          <w:tcPr>
            <w:tcW w:w="1240" w:type="dxa"/>
            <w:vAlign w:val="center"/>
          </w:tcPr>
          <w:p w14:paraId="78126D57"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2011</w:t>
            </w:r>
          </w:p>
        </w:tc>
        <w:tc>
          <w:tcPr>
            <w:tcW w:w="4529" w:type="dxa"/>
          </w:tcPr>
          <w:p w14:paraId="75F99671"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32.38</w:t>
            </w:r>
          </w:p>
        </w:tc>
        <w:tc>
          <w:tcPr>
            <w:tcW w:w="4058" w:type="dxa"/>
          </w:tcPr>
          <w:p w14:paraId="030D6637"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14.56</w:t>
            </w:r>
          </w:p>
        </w:tc>
      </w:tr>
      <w:tr w:rsidR="008069CE" w:rsidRPr="00941C7F" w14:paraId="7FB918C6" w14:textId="77777777" w:rsidTr="00D55F42">
        <w:trPr>
          <w:trHeight w:val="20"/>
        </w:trPr>
        <w:tc>
          <w:tcPr>
            <w:tcW w:w="1240" w:type="dxa"/>
            <w:vAlign w:val="center"/>
          </w:tcPr>
          <w:p w14:paraId="6FAF500F"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2012</w:t>
            </w:r>
          </w:p>
        </w:tc>
        <w:tc>
          <w:tcPr>
            <w:tcW w:w="4529" w:type="dxa"/>
          </w:tcPr>
          <w:p w14:paraId="339F33B4"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36.98</w:t>
            </w:r>
          </w:p>
        </w:tc>
        <w:tc>
          <w:tcPr>
            <w:tcW w:w="4058" w:type="dxa"/>
          </w:tcPr>
          <w:p w14:paraId="7D8F5B93"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14.22</w:t>
            </w:r>
          </w:p>
        </w:tc>
      </w:tr>
      <w:tr w:rsidR="008069CE" w:rsidRPr="00941C7F" w14:paraId="35E9CFB4" w14:textId="77777777" w:rsidTr="00D55F42">
        <w:trPr>
          <w:trHeight w:val="20"/>
        </w:trPr>
        <w:tc>
          <w:tcPr>
            <w:tcW w:w="1240" w:type="dxa"/>
            <w:vAlign w:val="center"/>
          </w:tcPr>
          <w:p w14:paraId="7AF8663A"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2013</w:t>
            </w:r>
          </w:p>
        </w:tc>
        <w:tc>
          <w:tcPr>
            <w:tcW w:w="4529" w:type="dxa"/>
          </w:tcPr>
          <w:p w14:paraId="2676BA7B"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38.77</w:t>
            </w:r>
          </w:p>
        </w:tc>
        <w:tc>
          <w:tcPr>
            <w:tcW w:w="4058" w:type="dxa"/>
          </w:tcPr>
          <w:p w14:paraId="33DCBA74"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4.84</w:t>
            </w:r>
          </w:p>
        </w:tc>
      </w:tr>
      <w:tr w:rsidR="008069CE" w:rsidRPr="00941C7F" w14:paraId="1368CF1B" w14:textId="77777777" w:rsidTr="00D55F42">
        <w:trPr>
          <w:trHeight w:val="20"/>
        </w:trPr>
        <w:tc>
          <w:tcPr>
            <w:tcW w:w="1240" w:type="dxa"/>
            <w:vAlign w:val="center"/>
          </w:tcPr>
          <w:p w14:paraId="65D204E1"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2014</w:t>
            </w:r>
          </w:p>
        </w:tc>
        <w:tc>
          <w:tcPr>
            <w:tcW w:w="4529" w:type="dxa"/>
          </w:tcPr>
          <w:p w14:paraId="4512196F"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41.8</w:t>
            </w:r>
          </w:p>
        </w:tc>
        <w:tc>
          <w:tcPr>
            <w:tcW w:w="4058" w:type="dxa"/>
          </w:tcPr>
          <w:p w14:paraId="62668E2A"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7.82</w:t>
            </w:r>
          </w:p>
        </w:tc>
      </w:tr>
      <w:tr w:rsidR="008069CE" w:rsidRPr="00941C7F" w14:paraId="4D7CBCB4" w14:textId="77777777" w:rsidTr="00D55F42">
        <w:trPr>
          <w:trHeight w:val="20"/>
        </w:trPr>
        <w:tc>
          <w:tcPr>
            <w:tcW w:w="1240" w:type="dxa"/>
            <w:vAlign w:val="center"/>
          </w:tcPr>
          <w:p w14:paraId="36DDFD3A"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2015</w:t>
            </w:r>
          </w:p>
        </w:tc>
        <w:tc>
          <w:tcPr>
            <w:tcW w:w="4529" w:type="dxa"/>
          </w:tcPr>
          <w:p w14:paraId="7D48594E"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41.54</w:t>
            </w:r>
          </w:p>
        </w:tc>
        <w:tc>
          <w:tcPr>
            <w:tcW w:w="4058" w:type="dxa"/>
          </w:tcPr>
          <w:p w14:paraId="5B97113A"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0.63</w:t>
            </w:r>
          </w:p>
        </w:tc>
      </w:tr>
      <w:tr w:rsidR="008069CE" w:rsidRPr="00941C7F" w14:paraId="02FB0A8A" w14:textId="77777777" w:rsidTr="00D55F42">
        <w:trPr>
          <w:trHeight w:val="20"/>
        </w:trPr>
        <w:tc>
          <w:tcPr>
            <w:tcW w:w="1240" w:type="dxa"/>
            <w:vAlign w:val="center"/>
          </w:tcPr>
          <w:p w14:paraId="45602F0A"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2016</w:t>
            </w:r>
          </w:p>
        </w:tc>
        <w:tc>
          <w:tcPr>
            <w:tcW w:w="4529" w:type="dxa"/>
          </w:tcPr>
          <w:p w14:paraId="15F970D2"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41.36</w:t>
            </w:r>
          </w:p>
        </w:tc>
        <w:tc>
          <w:tcPr>
            <w:tcW w:w="4058" w:type="dxa"/>
          </w:tcPr>
          <w:p w14:paraId="1D69E821"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0.44</w:t>
            </w:r>
          </w:p>
        </w:tc>
      </w:tr>
      <w:tr w:rsidR="008069CE" w:rsidRPr="00941C7F" w14:paraId="2653F152" w14:textId="77777777" w:rsidTr="00D55F42">
        <w:trPr>
          <w:trHeight w:val="20"/>
        </w:trPr>
        <w:tc>
          <w:tcPr>
            <w:tcW w:w="1240" w:type="dxa"/>
            <w:vAlign w:val="center"/>
          </w:tcPr>
          <w:p w14:paraId="73D00DB9"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2017</w:t>
            </w:r>
          </w:p>
        </w:tc>
        <w:tc>
          <w:tcPr>
            <w:tcW w:w="4529" w:type="dxa"/>
          </w:tcPr>
          <w:p w14:paraId="0FAB57E4"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62.79</w:t>
            </w:r>
          </w:p>
        </w:tc>
        <w:tc>
          <w:tcPr>
            <w:tcW w:w="4058" w:type="dxa"/>
          </w:tcPr>
          <w:p w14:paraId="3B577C9A"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51.82</w:t>
            </w:r>
          </w:p>
        </w:tc>
      </w:tr>
      <w:tr w:rsidR="008069CE" w:rsidRPr="00941C7F" w14:paraId="3D040A19" w14:textId="77777777" w:rsidTr="00D55F42">
        <w:trPr>
          <w:trHeight w:val="20"/>
        </w:trPr>
        <w:tc>
          <w:tcPr>
            <w:tcW w:w="1240" w:type="dxa"/>
            <w:vAlign w:val="center"/>
          </w:tcPr>
          <w:p w14:paraId="7D5D944D"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2018</w:t>
            </w:r>
          </w:p>
        </w:tc>
        <w:tc>
          <w:tcPr>
            <w:tcW w:w="4529" w:type="dxa"/>
          </w:tcPr>
          <w:p w14:paraId="0A0F530D"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66.57</w:t>
            </w:r>
          </w:p>
        </w:tc>
        <w:tc>
          <w:tcPr>
            <w:tcW w:w="4058" w:type="dxa"/>
          </w:tcPr>
          <w:p w14:paraId="08F1BD9E"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6.01</w:t>
            </w:r>
          </w:p>
        </w:tc>
      </w:tr>
      <w:tr w:rsidR="008069CE" w:rsidRPr="00941C7F" w14:paraId="507C04AE" w14:textId="77777777" w:rsidTr="00D55F42">
        <w:trPr>
          <w:trHeight w:val="20"/>
        </w:trPr>
        <w:tc>
          <w:tcPr>
            <w:tcW w:w="1240" w:type="dxa"/>
            <w:vAlign w:val="center"/>
          </w:tcPr>
          <w:p w14:paraId="5F0447A8"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2019</w:t>
            </w:r>
          </w:p>
        </w:tc>
        <w:tc>
          <w:tcPr>
            <w:tcW w:w="4529" w:type="dxa"/>
          </w:tcPr>
          <w:p w14:paraId="423DEB6C"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77.71</w:t>
            </w:r>
          </w:p>
        </w:tc>
        <w:tc>
          <w:tcPr>
            <w:tcW w:w="4058" w:type="dxa"/>
          </w:tcPr>
          <w:p w14:paraId="5C7D5D95"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16.74</w:t>
            </w:r>
          </w:p>
        </w:tc>
      </w:tr>
      <w:tr w:rsidR="008069CE" w:rsidRPr="00941C7F" w14:paraId="0DE0ABC5" w14:textId="77777777" w:rsidTr="00D55F42">
        <w:trPr>
          <w:trHeight w:val="20"/>
        </w:trPr>
        <w:tc>
          <w:tcPr>
            <w:tcW w:w="1240" w:type="dxa"/>
            <w:vAlign w:val="center"/>
          </w:tcPr>
          <w:p w14:paraId="40CC6219"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2020</w:t>
            </w:r>
          </w:p>
        </w:tc>
        <w:tc>
          <w:tcPr>
            <w:tcW w:w="4529" w:type="dxa"/>
          </w:tcPr>
          <w:p w14:paraId="7BDC3F95"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82.83</w:t>
            </w:r>
          </w:p>
        </w:tc>
        <w:tc>
          <w:tcPr>
            <w:tcW w:w="4058" w:type="dxa"/>
          </w:tcPr>
          <w:p w14:paraId="4B80238D"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6.59</w:t>
            </w:r>
          </w:p>
        </w:tc>
      </w:tr>
      <w:tr w:rsidR="008069CE" w:rsidRPr="00941C7F" w14:paraId="79A652A2" w14:textId="77777777" w:rsidTr="00D55F42">
        <w:trPr>
          <w:trHeight w:val="20"/>
        </w:trPr>
        <w:tc>
          <w:tcPr>
            <w:tcW w:w="1240" w:type="dxa"/>
            <w:vAlign w:val="center"/>
          </w:tcPr>
          <w:p w14:paraId="7F2A6C58"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2021</w:t>
            </w:r>
          </w:p>
        </w:tc>
        <w:tc>
          <w:tcPr>
            <w:tcW w:w="4529" w:type="dxa"/>
          </w:tcPr>
          <w:p w14:paraId="198B6CA0"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90.89</w:t>
            </w:r>
          </w:p>
        </w:tc>
        <w:tc>
          <w:tcPr>
            <w:tcW w:w="4058" w:type="dxa"/>
          </w:tcPr>
          <w:p w14:paraId="14D2E4F5"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9.72</w:t>
            </w:r>
          </w:p>
        </w:tc>
      </w:tr>
      <w:tr w:rsidR="008069CE" w:rsidRPr="00941C7F" w14:paraId="4E5C6636" w14:textId="77777777" w:rsidTr="00D55F42">
        <w:trPr>
          <w:trHeight w:val="20"/>
        </w:trPr>
        <w:tc>
          <w:tcPr>
            <w:tcW w:w="1240" w:type="dxa"/>
            <w:vAlign w:val="center"/>
          </w:tcPr>
          <w:p w14:paraId="7CBD0390"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2022</w:t>
            </w:r>
          </w:p>
        </w:tc>
        <w:tc>
          <w:tcPr>
            <w:tcW w:w="4529" w:type="dxa"/>
          </w:tcPr>
          <w:p w14:paraId="7A3EAF1C"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98.34</w:t>
            </w:r>
          </w:p>
        </w:tc>
        <w:tc>
          <w:tcPr>
            <w:tcW w:w="4058" w:type="dxa"/>
          </w:tcPr>
          <w:p w14:paraId="51D0B27E"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8.2</w:t>
            </w:r>
          </w:p>
        </w:tc>
      </w:tr>
      <w:tr w:rsidR="008069CE" w:rsidRPr="00941C7F" w14:paraId="35CC29D4" w14:textId="77777777" w:rsidTr="00D55F42">
        <w:trPr>
          <w:trHeight w:val="20"/>
        </w:trPr>
        <w:tc>
          <w:tcPr>
            <w:tcW w:w="1240" w:type="dxa"/>
            <w:tcBorders>
              <w:bottom w:val="single" w:sz="4" w:space="0" w:color="auto"/>
            </w:tcBorders>
            <w:vAlign w:val="center"/>
          </w:tcPr>
          <w:p w14:paraId="49CA08AC"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2023</w:t>
            </w:r>
          </w:p>
        </w:tc>
        <w:tc>
          <w:tcPr>
            <w:tcW w:w="4529" w:type="dxa"/>
            <w:tcBorders>
              <w:bottom w:val="single" w:sz="4" w:space="0" w:color="auto"/>
            </w:tcBorders>
          </w:tcPr>
          <w:p w14:paraId="66BB8D44"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108.2</w:t>
            </w:r>
          </w:p>
        </w:tc>
        <w:tc>
          <w:tcPr>
            <w:tcW w:w="4058" w:type="dxa"/>
            <w:tcBorders>
              <w:bottom w:val="single" w:sz="4" w:space="0" w:color="auto"/>
            </w:tcBorders>
          </w:tcPr>
          <w:p w14:paraId="4427614A" w14:textId="77777777" w:rsidR="008069CE" w:rsidRPr="00941C7F" w:rsidRDefault="008069CE" w:rsidP="00D55F42">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4.97</w:t>
            </w:r>
          </w:p>
        </w:tc>
      </w:tr>
    </w:tbl>
    <w:p w14:paraId="746D6A9A" w14:textId="77777777" w:rsidR="008069CE"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Source: Debt management Office (DMO), 2025 </w:t>
      </w:r>
    </w:p>
    <w:p w14:paraId="249F85D1" w14:textId="77777777" w:rsidR="008069CE" w:rsidRDefault="008069CE" w:rsidP="008069CE">
      <w:pPr>
        <w:spacing w:line="360" w:lineRule="auto"/>
        <w:jc w:val="both"/>
        <w:rPr>
          <w:rFonts w:ascii="Times New Roman" w:hAnsi="Times New Roman" w:cs="Times New Roman"/>
          <w:sz w:val="24"/>
          <w:szCs w:val="24"/>
        </w:rPr>
      </w:pPr>
    </w:p>
    <w:p w14:paraId="16DD5DBF" w14:textId="77777777" w:rsidR="008069CE" w:rsidRDefault="008069CE" w:rsidP="008069CE">
      <w:pPr>
        <w:spacing w:line="360" w:lineRule="auto"/>
        <w:jc w:val="both"/>
        <w:rPr>
          <w:rFonts w:ascii="Times New Roman" w:hAnsi="Times New Roman" w:cs="Times New Roman"/>
          <w:sz w:val="24"/>
          <w:szCs w:val="24"/>
        </w:rPr>
      </w:pPr>
    </w:p>
    <w:p w14:paraId="4562326A" w14:textId="77777777" w:rsidR="008069CE" w:rsidRDefault="008069CE" w:rsidP="008069CE">
      <w:pPr>
        <w:spacing w:line="360" w:lineRule="auto"/>
        <w:jc w:val="both"/>
        <w:rPr>
          <w:rFonts w:ascii="Times New Roman" w:hAnsi="Times New Roman" w:cs="Times New Roman"/>
          <w:sz w:val="24"/>
          <w:szCs w:val="24"/>
        </w:rPr>
      </w:pPr>
    </w:p>
    <w:p w14:paraId="6334F807" w14:textId="77777777" w:rsidR="008069CE" w:rsidRDefault="008069CE" w:rsidP="008069CE">
      <w:pPr>
        <w:spacing w:line="360" w:lineRule="auto"/>
        <w:jc w:val="both"/>
        <w:rPr>
          <w:rFonts w:ascii="Times New Roman" w:hAnsi="Times New Roman" w:cs="Times New Roman"/>
          <w:sz w:val="24"/>
          <w:szCs w:val="24"/>
        </w:rPr>
      </w:pPr>
    </w:p>
    <w:p w14:paraId="021C177D" w14:textId="77777777" w:rsidR="008069CE" w:rsidRDefault="008069CE" w:rsidP="008069CE">
      <w:pPr>
        <w:spacing w:line="360" w:lineRule="auto"/>
        <w:jc w:val="both"/>
        <w:rPr>
          <w:rFonts w:ascii="Times New Roman" w:hAnsi="Times New Roman" w:cs="Times New Roman"/>
          <w:sz w:val="24"/>
          <w:szCs w:val="24"/>
        </w:rPr>
      </w:pPr>
    </w:p>
    <w:p w14:paraId="0ABDBBF4" w14:textId="77777777" w:rsidR="008069CE" w:rsidRDefault="008069CE" w:rsidP="008069CE">
      <w:pPr>
        <w:spacing w:line="360" w:lineRule="auto"/>
        <w:jc w:val="both"/>
        <w:rPr>
          <w:rFonts w:ascii="Times New Roman" w:hAnsi="Times New Roman" w:cs="Times New Roman"/>
          <w:sz w:val="24"/>
          <w:szCs w:val="24"/>
        </w:rPr>
      </w:pPr>
    </w:p>
    <w:p w14:paraId="2BE03332" w14:textId="77777777" w:rsidR="008069CE" w:rsidRPr="00941C7F" w:rsidRDefault="008069CE" w:rsidP="008069CE">
      <w:pPr>
        <w:spacing w:line="360" w:lineRule="auto"/>
        <w:jc w:val="both"/>
        <w:rPr>
          <w:rFonts w:ascii="Times New Roman" w:hAnsi="Times New Roman" w:cs="Times New Roman"/>
          <w:sz w:val="24"/>
          <w:szCs w:val="24"/>
        </w:rPr>
      </w:pPr>
    </w:p>
    <w:p w14:paraId="5318CE6F"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Figure1: Trend analysis of Nigeria Current Public Debt Stock (USD$) from 2010-2023</w:t>
      </w:r>
    </w:p>
    <w:p w14:paraId="79B45BA3" w14:textId="77777777" w:rsidR="008069CE" w:rsidRPr="00941C7F" w:rsidRDefault="008069CE" w:rsidP="008069CE">
      <w:pPr>
        <w:shd w:val="clear" w:color="auto" w:fill="FFFFFF"/>
        <w:spacing w:after="0" w:line="360" w:lineRule="auto"/>
        <w:jc w:val="both"/>
        <w:textAlignment w:val="top"/>
        <w:rPr>
          <w:rFonts w:ascii="Times New Roman" w:hAnsi="Times New Roman" w:cs="Times New Roman"/>
          <w:sz w:val="24"/>
          <w:szCs w:val="24"/>
        </w:rPr>
      </w:pPr>
      <w:r w:rsidRPr="00941C7F">
        <w:rPr>
          <w:rFonts w:ascii="Times New Roman" w:hAnsi="Times New Roman" w:cs="Times New Roman"/>
          <w:noProof/>
          <w:sz w:val="24"/>
          <w:szCs w:val="24"/>
        </w:rPr>
        <w:drawing>
          <wp:inline distT="0" distB="0" distL="0" distR="0" wp14:anchorId="5C49C4FD" wp14:editId="15171799">
            <wp:extent cx="6219825" cy="28860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2C869C" w14:textId="77777777" w:rsidR="008069CE" w:rsidRPr="00941C7F" w:rsidRDefault="008069CE" w:rsidP="008069CE">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Source: Debt management Office (DMO), 2025 </w:t>
      </w:r>
    </w:p>
    <w:p w14:paraId="2234D508" w14:textId="77777777" w:rsidR="008069CE" w:rsidRPr="00941C7F" w:rsidRDefault="008069CE" w:rsidP="008069CE">
      <w:pPr>
        <w:spacing w:line="360" w:lineRule="auto"/>
        <w:jc w:val="both"/>
        <w:rPr>
          <w:rFonts w:ascii="Times New Roman" w:hAnsi="Times New Roman" w:cs="Times New Roman"/>
          <w:sz w:val="24"/>
          <w:szCs w:val="24"/>
        </w:rPr>
      </w:pPr>
      <w:r w:rsidRPr="00134D8C">
        <w:rPr>
          <w:rFonts w:ascii="Times New Roman" w:hAnsi="Times New Roman" w:cs="Times New Roman"/>
          <w:sz w:val="24"/>
          <w:szCs w:val="24"/>
          <w:highlight w:val="yellow"/>
        </w:rPr>
        <w:t>Nigeria's capital stock, was built up to be a hedge against unanticipated volatility and to maintain a above the global benchmark of at least three months to support her exports in the 1980s. However, the accumulated stock has been steadily depleted as a result of the debt burden obligation. Also, the continuous misappropriations of these borrowed funds, dwindling oil prices, continue fall of the naira among other things, have resulted in depleting this reserved capital. There was a relatively increase in the national reserves to 35,563 million US dollars in December 2022 after falling to 28,200 USD million in January from 29,130 USD million in December 2015. From 10,235.05 USD million in 1960 to a record high of 62,081.86 USD million in September 2008, Nigeria's foreign reserves rose from a low of 63.22 USD million in June 1968.  Nigeria's foreign reserves continued to rise between 1973 and 2022, reaching 35,563 million US dollars in 2022, despite significant recent fluctuations. However, destructive trend was experienced by 2016, according to CBN Economic Calendar and News (CBN Economic Calendar &amp; News 2016).  The Keynesian growth theory, factor accumulation and productive development are two ways that a moderate amount of borrowing can fosters economic expansion.  It is often believed that debtor countries would experience macroeconomic stability and accelerated economic development if borrowed monies are used into profitable investments. Therefore, this research would shows how Nigeria's capital accumulation has been affected by debt payments burden.</w:t>
      </w:r>
    </w:p>
    <w:p w14:paraId="5FDD5CE3" w14:textId="77777777" w:rsidR="008069CE" w:rsidRPr="00941C7F" w:rsidRDefault="008069CE" w:rsidP="008069CE">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Table 2: Nigeria’s debt servicing to revenue ratio</w:t>
      </w:r>
    </w:p>
    <w:tbl>
      <w:tblPr>
        <w:tblStyle w:val="TableGrid"/>
        <w:tblW w:w="103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62"/>
        <w:gridCol w:w="881"/>
        <w:gridCol w:w="2694"/>
        <w:gridCol w:w="2611"/>
        <w:gridCol w:w="2062"/>
      </w:tblGrid>
      <w:tr w:rsidR="008069CE" w:rsidRPr="00941C7F" w14:paraId="0A513495" w14:textId="77777777" w:rsidTr="00D55F42">
        <w:trPr>
          <w:trHeight w:val="1196"/>
        </w:trPr>
        <w:tc>
          <w:tcPr>
            <w:tcW w:w="2062" w:type="dxa"/>
            <w:tcBorders>
              <w:right w:val="single" w:sz="4" w:space="0" w:color="auto"/>
            </w:tcBorders>
          </w:tcPr>
          <w:p w14:paraId="4A414728"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President     </w:t>
            </w:r>
          </w:p>
          <w:p w14:paraId="4553A971" w14:textId="77777777" w:rsidR="008069CE" w:rsidRPr="00941C7F" w:rsidRDefault="008069CE" w:rsidP="00D55F42">
            <w:pPr>
              <w:spacing w:line="360" w:lineRule="auto"/>
              <w:jc w:val="both"/>
              <w:rPr>
                <w:rFonts w:ascii="Times New Roman" w:hAnsi="Times New Roman" w:cs="Times New Roman"/>
                <w:sz w:val="24"/>
                <w:szCs w:val="24"/>
              </w:rPr>
            </w:pPr>
          </w:p>
        </w:tc>
        <w:tc>
          <w:tcPr>
            <w:tcW w:w="881" w:type="dxa"/>
            <w:tcBorders>
              <w:left w:val="single" w:sz="4" w:space="0" w:color="auto"/>
            </w:tcBorders>
          </w:tcPr>
          <w:p w14:paraId="35981AB6"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Period</w:t>
            </w:r>
          </w:p>
          <w:p w14:paraId="2745769C" w14:textId="77777777" w:rsidR="008069CE" w:rsidRPr="00941C7F" w:rsidRDefault="008069CE" w:rsidP="00D55F42">
            <w:pPr>
              <w:spacing w:line="360" w:lineRule="auto"/>
              <w:jc w:val="both"/>
              <w:rPr>
                <w:rFonts w:ascii="Times New Roman" w:hAnsi="Times New Roman" w:cs="Times New Roman"/>
                <w:sz w:val="24"/>
                <w:szCs w:val="24"/>
              </w:rPr>
            </w:pPr>
          </w:p>
        </w:tc>
        <w:tc>
          <w:tcPr>
            <w:tcW w:w="2694" w:type="dxa"/>
          </w:tcPr>
          <w:p w14:paraId="2EE404E2"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FGN Retained Revenue        (₦ Trillion)       </w:t>
            </w:r>
          </w:p>
          <w:p w14:paraId="7C9C0D24" w14:textId="77777777" w:rsidR="008069CE" w:rsidRPr="00941C7F" w:rsidRDefault="008069CE" w:rsidP="00D55F42">
            <w:pPr>
              <w:spacing w:line="360" w:lineRule="auto"/>
              <w:jc w:val="both"/>
              <w:rPr>
                <w:rFonts w:ascii="Times New Roman" w:hAnsi="Times New Roman" w:cs="Times New Roman"/>
                <w:sz w:val="24"/>
                <w:szCs w:val="24"/>
              </w:rPr>
            </w:pPr>
          </w:p>
          <w:p w14:paraId="09B12361" w14:textId="77777777" w:rsidR="008069CE" w:rsidRPr="00941C7F" w:rsidRDefault="008069CE" w:rsidP="00D55F42">
            <w:pPr>
              <w:spacing w:line="360" w:lineRule="auto"/>
              <w:jc w:val="both"/>
              <w:rPr>
                <w:rFonts w:ascii="Times New Roman" w:hAnsi="Times New Roman" w:cs="Times New Roman"/>
                <w:sz w:val="24"/>
                <w:szCs w:val="24"/>
              </w:rPr>
            </w:pPr>
          </w:p>
        </w:tc>
        <w:tc>
          <w:tcPr>
            <w:tcW w:w="2611" w:type="dxa"/>
          </w:tcPr>
          <w:p w14:paraId="6BA6F91B"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Debt Servicing </w:t>
            </w:r>
          </w:p>
          <w:p w14:paraId="7FAF7BD6"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Trillion) </w:t>
            </w:r>
          </w:p>
          <w:p w14:paraId="0A2ECAB0" w14:textId="77777777" w:rsidR="008069CE" w:rsidRPr="00941C7F" w:rsidRDefault="008069CE" w:rsidP="00D55F42">
            <w:pPr>
              <w:spacing w:line="360" w:lineRule="auto"/>
              <w:jc w:val="both"/>
              <w:rPr>
                <w:rFonts w:ascii="Times New Roman" w:hAnsi="Times New Roman" w:cs="Times New Roman"/>
                <w:sz w:val="24"/>
                <w:szCs w:val="24"/>
              </w:rPr>
            </w:pPr>
          </w:p>
          <w:p w14:paraId="402284D9" w14:textId="77777777" w:rsidR="008069CE" w:rsidRPr="00941C7F" w:rsidRDefault="008069CE" w:rsidP="00D55F42">
            <w:pPr>
              <w:spacing w:line="360" w:lineRule="auto"/>
              <w:jc w:val="both"/>
              <w:rPr>
                <w:rFonts w:ascii="Times New Roman" w:hAnsi="Times New Roman" w:cs="Times New Roman"/>
                <w:sz w:val="24"/>
                <w:szCs w:val="24"/>
              </w:rPr>
            </w:pPr>
          </w:p>
        </w:tc>
        <w:tc>
          <w:tcPr>
            <w:tcW w:w="2062" w:type="dxa"/>
          </w:tcPr>
          <w:p w14:paraId="074F5A8B"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Debt servicing to revenue ratio %</w:t>
            </w:r>
          </w:p>
        </w:tc>
      </w:tr>
      <w:tr w:rsidR="008069CE" w:rsidRPr="00941C7F" w14:paraId="7F0EF1BB" w14:textId="77777777" w:rsidTr="00D55F42">
        <w:trPr>
          <w:trHeight w:val="3572"/>
        </w:trPr>
        <w:tc>
          <w:tcPr>
            <w:tcW w:w="2062" w:type="dxa"/>
            <w:tcBorders>
              <w:bottom w:val="single" w:sz="4" w:space="0" w:color="auto"/>
              <w:right w:val="single" w:sz="4" w:space="0" w:color="auto"/>
            </w:tcBorders>
          </w:tcPr>
          <w:p w14:paraId="685AE070"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14:paraId="01611E41"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14:paraId="05D256DE"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14:paraId="715B3F6A"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14:paraId="549CB6C3"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14:paraId="1B1C32A1"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23CF1186"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59DFFCA6"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00EC4446"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0303EE5A"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48DB99A9"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2BA2B8C1"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1C9692DE"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578CFE74"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Tinubu</w:t>
            </w:r>
          </w:p>
        </w:tc>
        <w:tc>
          <w:tcPr>
            <w:tcW w:w="881" w:type="dxa"/>
            <w:tcBorders>
              <w:left w:val="single" w:sz="4" w:space="0" w:color="auto"/>
              <w:bottom w:val="single" w:sz="4" w:space="0" w:color="auto"/>
            </w:tcBorders>
          </w:tcPr>
          <w:p w14:paraId="570A7DA2"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2010</w:t>
            </w:r>
          </w:p>
          <w:p w14:paraId="4882935B"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2011</w:t>
            </w:r>
          </w:p>
          <w:p w14:paraId="545BEC4A"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2012</w:t>
            </w:r>
          </w:p>
          <w:p w14:paraId="6584B1BD"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2013</w:t>
            </w:r>
          </w:p>
          <w:p w14:paraId="2EA39E37"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2014</w:t>
            </w:r>
          </w:p>
          <w:p w14:paraId="55F975CD"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2015</w:t>
            </w:r>
          </w:p>
          <w:p w14:paraId="5E2920CC"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2016</w:t>
            </w:r>
          </w:p>
          <w:p w14:paraId="6ADC1E74"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2017</w:t>
            </w:r>
          </w:p>
          <w:p w14:paraId="19893B02"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2018</w:t>
            </w:r>
          </w:p>
          <w:p w14:paraId="40A980BC"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2019</w:t>
            </w:r>
          </w:p>
          <w:p w14:paraId="41BC914D"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2020</w:t>
            </w:r>
          </w:p>
          <w:p w14:paraId="7A1F0B1D"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2021</w:t>
            </w:r>
          </w:p>
          <w:p w14:paraId="13FA5711"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2022</w:t>
            </w:r>
          </w:p>
          <w:p w14:paraId="05EAE080"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2023</w:t>
            </w:r>
          </w:p>
        </w:tc>
        <w:tc>
          <w:tcPr>
            <w:tcW w:w="2694" w:type="dxa"/>
            <w:tcBorders>
              <w:bottom w:val="single" w:sz="4" w:space="0" w:color="auto"/>
            </w:tcBorders>
          </w:tcPr>
          <w:p w14:paraId="1EB34041"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3,388,905</w:t>
            </w:r>
          </w:p>
          <w:p w14:paraId="5DB4C877"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3,376,982</w:t>
            </w:r>
          </w:p>
          <w:p w14:paraId="7B7B68AD"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3,156,008</w:t>
            </w:r>
          </w:p>
          <w:p w14:paraId="486BA0D2"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3,362,195</w:t>
            </w:r>
          </w:p>
          <w:p w14:paraId="64056863"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3,287,771</w:t>
            </w:r>
          </w:p>
          <w:p w14:paraId="3E827E79"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3,209,565</w:t>
            </w:r>
          </w:p>
          <w:p w14:paraId="2F3AC000"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3,180,373</w:t>
            </w:r>
          </w:p>
          <w:p w14:paraId="7BE483E2"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3,618,925</w:t>
            </w:r>
          </w:p>
          <w:p w14:paraId="08A464AC"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3,876,267</w:t>
            </w:r>
          </w:p>
          <w:p w14:paraId="25B6DFCC"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4,689,293</w:t>
            </w:r>
          </w:p>
          <w:p w14:paraId="73B44942"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4,024,646</w:t>
            </w:r>
          </w:p>
          <w:p w14:paraId="666B5300"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4,397,689</w:t>
            </w:r>
          </w:p>
          <w:p w14:paraId="3E5C01BD"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5,057,331</w:t>
            </w:r>
          </w:p>
          <w:p w14:paraId="6ABB8839"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11,88</w:t>
            </w:r>
          </w:p>
        </w:tc>
        <w:tc>
          <w:tcPr>
            <w:tcW w:w="2611" w:type="dxa"/>
            <w:tcBorders>
              <w:bottom w:val="single" w:sz="4" w:space="0" w:color="auto"/>
            </w:tcBorders>
          </w:tcPr>
          <w:p w14:paraId="3765E75F"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415,622</w:t>
            </w:r>
          </w:p>
          <w:p w14:paraId="5B69FA3B"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527,083</w:t>
            </w:r>
          </w:p>
          <w:p w14:paraId="0BB197A8"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681,816</w:t>
            </w:r>
          </w:p>
          <w:p w14:paraId="3713C2ED"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828,102</w:t>
            </w:r>
          </w:p>
          <w:p w14:paraId="0C29CF19"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941,670</w:t>
            </w:r>
          </w:p>
          <w:p w14:paraId="3AFAB31F"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1,060,383</w:t>
            </w:r>
          </w:p>
          <w:p w14:paraId="3EB67937"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1,384,901</w:t>
            </w:r>
          </w:p>
          <w:p w14:paraId="7954FB5C"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1,648,252</w:t>
            </w:r>
          </w:p>
          <w:p w14:paraId="4C3BE418"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2,161,372</w:t>
            </w:r>
          </w:p>
          <w:p w14:paraId="30AA474F"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2,453,738</w:t>
            </w:r>
          </w:p>
          <w:p w14:paraId="0F7E6C55"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3,265,473</w:t>
            </w:r>
          </w:p>
          <w:p w14:paraId="000EA910"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4,221,654</w:t>
            </w:r>
          </w:p>
          <w:p w14:paraId="4D78766C"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5,656,578</w:t>
            </w:r>
          </w:p>
          <w:p w14:paraId="2163DC23"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7,66 </w:t>
            </w:r>
          </w:p>
        </w:tc>
        <w:tc>
          <w:tcPr>
            <w:tcW w:w="2062" w:type="dxa"/>
            <w:tcBorders>
              <w:bottom w:val="single" w:sz="4" w:space="0" w:color="auto"/>
            </w:tcBorders>
          </w:tcPr>
          <w:p w14:paraId="0F00F619"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12.3</w:t>
            </w:r>
          </w:p>
          <w:p w14:paraId="32EDC638"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15.6</w:t>
            </w:r>
          </w:p>
          <w:p w14:paraId="66DA2177"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21.6</w:t>
            </w:r>
          </w:p>
          <w:p w14:paraId="5942CB3D"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24.6</w:t>
            </w:r>
          </w:p>
          <w:p w14:paraId="727BCA69"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28.6</w:t>
            </w:r>
          </w:p>
          <w:p w14:paraId="12110387"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33.0</w:t>
            </w:r>
          </w:p>
          <w:p w14:paraId="31C0FC61"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43.5</w:t>
            </w:r>
          </w:p>
          <w:p w14:paraId="539EE0C4"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45.5</w:t>
            </w:r>
          </w:p>
          <w:p w14:paraId="11219CA4"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55.8</w:t>
            </w:r>
          </w:p>
          <w:p w14:paraId="51830676"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52.3</w:t>
            </w:r>
          </w:p>
          <w:p w14:paraId="2A9BB044"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81.1</w:t>
            </w:r>
          </w:p>
          <w:p w14:paraId="31C5DA8D"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96.0</w:t>
            </w:r>
          </w:p>
          <w:p w14:paraId="0E5E0F65"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111.8</w:t>
            </w:r>
          </w:p>
          <w:p w14:paraId="498143B2"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64.56</w:t>
            </w:r>
          </w:p>
        </w:tc>
      </w:tr>
    </w:tbl>
    <w:p w14:paraId="7B5C8C9D" w14:textId="77777777" w:rsidR="008069CE" w:rsidRPr="00941C7F" w:rsidRDefault="008069CE" w:rsidP="008069CE">
      <w:pPr>
        <w:shd w:val="clear" w:color="auto" w:fill="FFFFFF"/>
        <w:spacing w:after="60" w:line="360" w:lineRule="auto"/>
        <w:jc w:val="both"/>
        <w:textAlignment w:val="top"/>
        <w:rPr>
          <w:rFonts w:ascii="Times New Roman" w:hAnsi="Times New Roman" w:cs="Times New Roman"/>
          <w:b/>
          <w:sz w:val="24"/>
          <w:szCs w:val="24"/>
        </w:rPr>
      </w:pPr>
      <w:r w:rsidRPr="00941C7F">
        <w:rPr>
          <w:rFonts w:ascii="Times New Roman" w:hAnsi="Times New Roman" w:cs="Times New Roman"/>
          <w:b/>
          <w:sz w:val="24"/>
          <w:szCs w:val="24"/>
        </w:rPr>
        <w:t xml:space="preserve">Source: CBN Statistical Bulletin 2025.  All the data is measured in </w:t>
      </w:r>
      <w:r w:rsidRPr="00941C7F">
        <w:rPr>
          <w:rFonts w:ascii="Times New Roman" w:hAnsi="Times New Roman" w:cs="Times New Roman"/>
          <w:sz w:val="24"/>
          <w:szCs w:val="24"/>
        </w:rPr>
        <w:t>USD million</w:t>
      </w:r>
      <w:r w:rsidRPr="00941C7F">
        <w:rPr>
          <w:rFonts w:ascii="Times New Roman" w:hAnsi="Times New Roman" w:cs="Times New Roman"/>
          <w:b/>
          <w:sz w:val="24"/>
          <w:szCs w:val="24"/>
        </w:rPr>
        <w:t xml:space="preserve">.          </w:t>
      </w:r>
    </w:p>
    <w:p w14:paraId="288B62A4" w14:textId="77777777" w:rsidR="008069CE"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In response to the evident debt overhang in Nigeria, the Obasanjo administration from 2003 to 2007 vigorously sought debt cancellation, leading to a decrease in </w:t>
      </w:r>
      <w:r>
        <w:rPr>
          <w:rFonts w:ascii="Times New Roman" w:eastAsia="Times New Roman" w:hAnsi="Times New Roman" w:cs="Times New Roman"/>
          <w:sz w:val="24"/>
          <w:szCs w:val="24"/>
        </w:rPr>
        <w:t>external</w:t>
      </w:r>
      <w:r w:rsidRPr="00941C7F">
        <w:rPr>
          <w:rFonts w:ascii="Times New Roman" w:eastAsia="Times New Roman" w:hAnsi="Times New Roman" w:cs="Times New Roman"/>
          <w:sz w:val="24"/>
          <w:szCs w:val="24"/>
        </w:rPr>
        <w:t xml:space="preserve"> debt of USD 3.4 billion in 2007 (Adedoyin, Babalola, Otekunri &amp; Adeoti, 2016). </w:t>
      </w:r>
      <w:r w:rsidRPr="008E0C7E">
        <w:rPr>
          <w:rFonts w:ascii="Times New Roman" w:eastAsia="Times New Roman" w:hAnsi="Times New Roman" w:cs="Times New Roman"/>
          <w:sz w:val="24"/>
          <w:szCs w:val="24"/>
        </w:rPr>
        <w:t>Nigeria's debt profile (including loans from Multilateral, Bilateral, Euro Bond, Diasporal Bond, and others)</w:t>
      </w:r>
      <w:r>
        <w:rPr>
          <w:rFonts w:ascii="Times New Roman" w:eastAsia="Times New Roman" w:hAnsi="Times New Roman" w:cs="Times New Roman"/>
          <w:sz w:val="24"/>
          <w:szCs w:val="24"/>
        </w:rPr>
        <w:t xml:space="preserve"> however,</w:t>
      </w:r>
      <w:r w:rsidRPr="008E0C7E">
        <w:rPr>
          <w:rFonts w:ascii="Times New Roman" w:eastAsia="Times New Roman" w:hAnsi="Times New Roman" w:cs="Times New Roman"/>
          <w:sz w:val="24"/>
          <w:szCs w:val="24"/>
        </w:rPr>
        <w:t xml:space="preserve"> increased from N438.89 billion in 2007 to N523.25 billion in 2008, N590.44 billion in 2009, N689.84 billion in 2010, N896.85 billion in 2011, N1,026.90 billion in 2012, N1,387.33 billion in 2013, N1,631.50 billion in 2014, N2,111.51 billion in 2015, N3,478.91 billion in 2016, N5,787.51 billion in 2017, N7,759.20 billion in 2018, and N32,921 billion in 2020 after successive administrations swiftly resumed borrowing.</w:t>
      </w:r>
      <w:r>
        <w:rPr>
          <w:rFonts w:ascii="Times New Roman" w:eastAsia="Times New Roman" w:hAnsi="Times New Roman" w:cs="Times New Roman"/>
          <w:sz w:val="24"/>
          <w:szCs w:val="24"/>
        </w:rPr>
        <w:t xml:space="preserve">  A</w:t>
      </w:r>
      <w:r w:rsidRPr="00941C7F">
        <w:rPr>
          <w:rFonts w:ascii="Times New Roman" w:eastAsia="Times New Roman" w:hAnsi="Times New Roman" w:cs="Times New Roman"/>
          <w:sz w:val="24"/>
          <w:szCs w:val="24"/>
        </w:rPr>
        <w:t>ccording to the Central Bank Sta</w:t>
      </w:r>
      <w:r>
        <w:rPr>
          <w:rFonts w:ascii="Times New Roman" w:eastAsia="Times New Roman" w:hAnsi="Times New Roman" w:cs="Times New Roman"/>
          <w:sz w:val="24"/>
          <w:szCs w:val="24"/>
        </w:rPr>
        <w:t>tistical Bulletin (CBN, 2020), t</w:t>
      </w:r>
      <w:r w:rsidRPr="00941C7F">
        <w:rPr>
          <w:rFonts w:ascii="Times New Roman" w:eastAsia="Times New Roman" w:hAnsi="Times New Roman" w:cs="Times New Roman"/>
          <w:sz w:val="24"/>
          <w:szCs w:val="24"/>
        </w:rPr>
        <w:t>he sustainability of the debt overhang may prove challenging if an appropriate policy instrument fo</w:t>
      </w:r>
      <w:r>
        <w:rPr>
          <w:rFonts w:ascii="Times New Roman" w:eastAsia="Times New Roman" w:hAnsi="Times New Roman" w:cs="Times New Roman"/>
          <w:sz w:val="24"/>
          <w:szCs w:val="24"/>
        </w:rPr>
        <w:t>r management is not clearly identified.</w:t>
      </w:r>
    </w:p>
    <w:p w14:paraId="0653EDF2"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p>
    <w:p w14:paraId="5CDC1183" w14:textId="77777777" w:rsidR="008069CE" w:rsidRPr="00941C7F" w:rsidRDefault="008069CE" w:rsidP="008069CE">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3. Research Methods and Model Specification</w:t>
      </w:r>
    </w:p>
    <w:p w14:paraId="0198BC10" w14:textId="77777777" w:rsidR="008069CE" w:rsidRDefault="008069CE" w:rsidP="008069CE">
      <w:pPr>
        <w:spacing w:line="360" w:lineRule="auto"/>
        <w:jc w:val="both"/>
        <w:rPr>
          <w:rFonts w:ascii="Times New Roman" w:hAnsi="Times New Roman" w:cs="Times New Roman"/>
          <w:sz w:val="24"/>
          <w:szCs w:val="24"/>
        </w:rPr>
      </w:pPr>
      <w:r w:rsidRPr="00B80FA5">
        <w:rPr>
          <w:rFonts w:ascii="Times New Roman" w:hAnsi="Times New Roman" w:cs="Times New Roman"/>
          <w:sz w:val="24"/>
          <w:szCs w:val="24"/>
          <w:highlight w:val="yellow"/>
        </w:rPr>
        <w:lastRenderedPageBreak/>
        <w:t>The dual gap theory developed on the basis nations were turning to foreign investment because their domestic resources, such as national savings, were not enough to support their economic growth.  The hypothesis contends that although domestic savings are insufficient to maintain economic development, savings drive investment, which is a prerequisite for economic expansion</w:t>
      </w:r>
      <w:r w:rsidRPr="00B621C0">
        <w:rPr>
          <w:rFonts w:ascii="Times New Roman" w:hAnsi="Times New Roman" w:cs="Times New Roman"/>
          <w:sz w:val="24"/>
          <w:szCs w:val="24"/>
        </w:rPr>
        <w:t xml:space="preserve"> (Chenery &amp; Strout, 1966).  Real exchange rate (rEXR), interest rate (INT), national savings (nSAV), total external debt (tEXD), total domestic debt (tDMD), and external debt service (eXDS) are the explanatory variables for the study, while capital accumulation (nCAF) is the dependent variable.</w:t>
      </w:r>
    </w:p>
    <w:p w14:paraId="5B7373C0" w14:textId="77777777" w:rsidR="008069CE" w:rsidRPr="00B621C0"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On the basis of the fore going therefore and in line with the objective of the study, an econometric model of capital accumulation as modeled by Ramsey-Cess-Koopmans (1959) </w:t>
      </w:r>
      <w:r>
        <w:rPr>
          <w:rFonts w:ascii="Times New Roman" w:hAnsi="Times New Roman" w:cs="Times New Roman"/>
          <w:sz w:val="24"/>
          <w:szCs w:val="24"/>
        </w:rPr>
        <w:t>was</w:t>
      </w:r>
      <w:r w:rsidRPr="00941C7F">
        <w:rPr>
          <w:rFonts w:ascii="Times New Roman" w:hAnsi="Times New Roman" w:cs="Times New Roman"/>
          <w:sz w:val="24"/>
          <w:szCs w:val="24"/>
        </w:rPr>
        <w:t xml:space="preserve"> used. Ramsey-Cess-Koopmans (RCK) built their model intertemporal perspective of external borrowing on capital accumulation from both consumption and production perspective. The key variables of their model include consumption per capita, </w:t>
      </w:r>
      <w:r>
        <w:rPr>
          <w:rFonts w:ascii="Times New Roman" w:hAnsi="Times New Roman" w:cs="Times New Roman"/>
          <w:sz w:val="24"/>
          <w:szCs w:val="24"/>
        </w:rPr>
        <w:t xml:space="preserve">per capita </w:t>
      </w:r>
      <w:r w:rsidRPr="00941C7F">
        <w:rPr>
          <w:rFonts w:ascii="Times New Roman" w:hAnsi="Times New Roman" w:cs="Times New Roman"/>
          <w:sz w:val="24"/>
          <w:szCs w:val="24"/>
        </w:rPr>
        <w:t>output, interest rate, and discount rate. They used the utility function for the consumption and cobb-Douglass production function for the production side. The two fu</w:t>
      </w:r>
      <w:r>
        <w:rPr>
          <w:rFonts w:ascii="Times New Roman" w:hAnsi="Times New Roman" w:cs="Times New Roman"/>
          <w:sz w:val="24"/>
          <w:szCs w:val="24"/>
        </w:rPr>
        <w:t>n</w:t>
      </w:r>
      <w:r w:rsidRPr="00941C7F">
        <w:rPr>
          <w:rFonts w:ascii="Times New Roman" w:hAnsi="Times New Roman" w:cs="Times New Roman"/>
          <w:sz w:val="24"/>
          <w:szCs w:val="24"/>
        </w:rPr>
        <w:t>ctions</w:t>
      </w:r>
      <w:r>
        <w:rPr>
          <w:rFonts w:ascii="Times New Roman" w:hAnsi="Times New Roman" w:cs="Times New Roman"/>
          <w:sz w:val="24"/>
          <w:szCs w:val="24"/>
        </w:rPr>
        <w:t xml:space="preserve"> were</w:t>
      </w:r>
      <w:r w:rsidRPr="00941C7F">
        <w:rPr>
          <w:rFonts w:ascii="Times New Roman" w:hAnsi="Times New Roman" w:cs="Times New Roman"/>
          <w:sz w:val="24"/>
          <w:szCs w:val="24"/>
        </w:rPr>
        <w:t xml:space="preserve"> integrated in capital accumulation function</w:t>
      </w:r>
      <w:r>
        <w:rPr>
          <w:rFonts w:ascii="Times New Roman" w:hAnsi="Times New Roman" w:cs="Times New Roman"/>
          <w:sz w:val="24"/>
          <w:szCs w:val="24"/>
        </w:rPr>
        <w:t xml:space="preserve">. </w:t>
      </w:r>
      <w:r w:rsidRPr="00941C7F">
        <w:rPr>
          <w:rFonts w:ascii="Times New Roman" w:eastAsia="Times New Roman" w:hAnsi="Times New Roman" w:cs="Times New Roman"/>
          <w:sz w:val="24"/>
          <w:szCs w:val="24"/>
        </w:rPr>
        <w:t>Therefore, using the RCK model and two-gap theory where consumption is a function of output (y), and in the two gap theory, savings (S) is function of income (Y). The two models then can be integrated to show that consumption is a fraction of income and savings in the remaining fraction and can be represented in equation thus:</w:t>
      </w:r>
    </w:p>
    <w:p w14:paraId="772C6098"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 xml:space="preserve"> </w:t>
      </w:r>
      <w:r w:rsidRPr="00941C7F">
        <w:rPr>
          <w:rFonts w:ascii="Times New Roman" w:eastAsia="Times New Roman" w:hAnsi="Times New Roman" w:cs="Times New Roman"/>
          <w:sz w:val="24"/>
          <w:szCs w:val="24"/>
        </w:rPr>
        <w:t xml:space="preserve">(1-s)Y </w:t>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t xml:space="preserve">              1</w:t>
      </w:r>
    </w:p>
    <w:p w14:paraId="7C829656"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Where c is consumption and s is savings and Y is the income</w:t>
      </w:r>
    </w:p>
    <w:p w14:paraId="38CE4978"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Using the Euler equation, that represents the optimal path of consumption over time, we drive the function of consumption and capital accumulation. The Euler equation can be represented as:</w:t>
      </w:r>
    </w:p>
    <w:p w14:paraId="5CE54D8B"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du(c(t))/dt = ρu(c(t)) – (1/θ)(Ak(t) ^(θ-1) – δ)</w:t>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t>2</w:t>
      </w:r>
    </w:p>
    <w:p w14:paraId="63DCBC3D"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Where du(c(t))/dt is the change in utility derived from consumption at a point in time, ρ is the time preference rate u(c(t)) is the instantaneous utility at time</w:t>
      </w:r>
      <w:r>
        <w:rPr>
          <w:rFonts w:ascii="Times New Roman" w:eastAsia="Times New Roman" w:hAnsi="Times New Roman" w:cs="Times New Roman"/>
          <w:sz w:val="24"/>
          <w:szCs w:val="24"/>
        </w:rPr>
        <w:t xml:space="preserve"> t, </w:t>
      </w:r>
      <w:r w:rsidRPr="00941C7F">
        <w:rPr>
          <w:rFonts w:ascii="Times New Roman" w:eastAsia="Times New Roman" w:hAnsi="Times New Roman" w:cs="Times New Roman"/>
          <w:sz w:val="24"/>
          <w:szCs w:val="24"/>
        </w:rPr>
        <w:t>(Ak(t) is the marginal product of capital at time t, and δ is the capital depreciation rate.</w:t>
      </w:r>
    </w:p>
    <w:p w14:paraId="262E5BD6"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Therefore, this equation allows for a rich analysis of how present consumption affects future capital and growth. It can be deduced as </w:t>
      </w:r>
    </w:p>
    <w:p w14:paraId="5B85D4E4"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941C7F">
        <w:rPr>
          <w:rFonts w:ascii="Times New Roman" w:eastAsia="Times New Roman" w:hAnsi="Times New Roman" w:cs="Times New Roman"/>
          <w:sz w:val="24"/>
          <w:szCs w:val="24"/>
        </w:rPr>
        <w:t xml:space="preserve"> </w:t>
      </w:r>
      <w:r w:rsidRPr="00941C7F">
        <w:rPr>
          <w:rFonts w:ascii="Times New Roman" w:eastAsia="Times New Roman" w:hAnsi="Times New Roman" w:cs="Times New Roman"/>
          <w:bCs/>
          <w:sz w:val="24"/>
          <w:szCs w:val="24"/>
        </w:rPr>
        <w:t>capital accumulation equation</w:t>
      </w:r>
      <w:r w:rsidRPr="00941C7F">
        <w:rPr>
          <w:rFonts w:ascii="Times New Roman" w:eastAsia="Times New Roman" w:hAnsi="Times New Roman" w:cs="Times New Roman"/>
          <w:sz w:val="24"/>
          <w:szCs w:val="24"/>
        </w:rPr>
        <w:t>: dk(t)/dt = Ak(t) ^α-c(t) – δk(t)</w:t>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sidRPr="00941C7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941C7F">
        <w:rPr>
          <w:rFonts w:ascii="Times New Roman" w:eastAsia="Times New Roman" w:hAnsi="Times New Roman" w:cs="Times New Roman"/>
          <w:sz w:val="24"/>
          <w:szCs w:val="24"/>
        </w:rPr>
        <w:tab/>
        <w:t>3</w:t>
      </w:r>
    </w:p>
    <w:p w14:paraId="384518DA"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Where dk(t)/dt is the change in capital at time t, Ak(t) ^α is output at time t, c(t) is the consumption at time t , and δ is the depreciation rate of capital. </w:t>
      </w:r>
    </w:p>
    <w:p w14:paraId="4DD73DDC" w14:textId="77777777" w:rsidR="008069CE" w:rsidRPr="00941C7F" w:rsidRDefault="008069CE" w:rsidP="008069CE">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From the model, </w:t>
      </w:r>
      <w:r>
        <w:rPr>
          <w:rFonts w:ascii="Times New Roman" w:eastAsia="Times New Roman" w:hAnsi="Times New Roman" w:cs="Times New Roman"/>
          <w:sz w:val="24"/>
          <w:szCs w:val="24"/>
        </w:rPr>
        <w:t xml:space="preserve">which </w:t>
      </w:r>
      <w:r w:rsidRPr="00941C7F">
        <w:rPr>
          <w:rFonts w:ascii="Times New Roman" w:eastAsia="Times New Roman" w:hAnsi="Times New Roman" w:cs="Times New Roman"/>
          <w:sz w:val="24"/>
          <w:szCs w:val="24"/>
        </w:rPr>
        <w:t xml:space="preserve">implies that capital accumulation at a point in time is a function of output, consumption and capital depreciation? Equation 3 can be </w:t>
      </w:r>
      <w:r>
        <w:rPr>
          <w:rFonts w:ascii="Times New Roman" w:eastAsia="Times New Roman" w:hAnsi="Times New Roman" w:cs="Times New Roman"/>
          <w:sz w:val="24"/>
          <w:szCs w:val="24"/>
        </w:rPr>
        <w:t>decomposed</w:t>
      </w:r>
      <w:r w:rsidRPr="00941C7F">
        <w:rPr>
          <w:rFonts w:ascii="Times New Roman" w:eastAsia="Times New Roman" w:hAnsi="Times New Roman" w:cs="Times New Roman"/>
          <w:sz w:val="24"/>
          <w:szCs w:val="24"/>
        </w:rPr>
        <w:t xml:space="preserve"> into functional form as:</w:t>
      </w:r>
    </w:p>
    <w:p w14:paraId="556CF285" w14:textId="77777777" w:rsidR="008069CE" w:rsidRPr="00941C7F" w:rsidRDefault="008069CE" w:rsidP="008069CE">
      <w:pPr>
        <w:spacing w:after="0" w:line="360" w:lineRule="auto"/>
        <w:jc w:val="both"/>
        <w:rPr>
          <w:rFonts w:ascii="Times New Roman" w:hAnsi="Times New Roman" w:cs="Times New Roman"/>
          <w:sz w:val="24"/>
          <w:szCs w:val="24"/>
        </w:rPr>
      </w:pPr>
      <w:r w:rsidRPr="00941C7F">
        <w:rPr>
          <w:rFonts w:ascii="Times New Roman" w:hAnsi="Times New Roman" w:cs="Times New Roman"/>
          <w:b/>
          <w:i/>
          <w:sz w:val="24"/>
          <w:szCs w:val="24"/>
        </w:rPr>
        <w:lastRenderedPageBreak/>
        <w:t>gFCF</w:t>
      </w:r>
      <w:r w:rsidRPr="00941C7F">
        <w:rPr>
          <w:rFonts w:ascii="Times New Roman" w:hAnsi="Times New Roman" w:cs="Times New Roman"/>
          <w:i/>
          <w:sz w:val="24"/>
          <w:szCs w:val="24"/>
        </w:rPr>
        <w:t xml:space="preserve"> = </w:t>
      </w:r>
      <w:r w:rsidRPr="00941C7F">
        <w:rPr>
          <w:rFonts w:ascii="Times New Roman" w:hAnsi="Times New Roman" w:cs="Times New Roman"/>
          <w:b/>
          <w:i/>
          <w:sz w:val="24"/>
          <w:szCs w:val="24"/>
        </w:rPr>
        <w:t>F(tEXD, tDMD, eXDS, nINT, nSAV, nEXR)</w:t>
      </w:r>
      <w:r w:rsidRPr="00941C7F">
        <w:rPr>
          <w:rFonts w:ascii="Times New Roman" w:hAnsi="Times New Roman" w:cs="Times New Roman"/>
          <w:i/>
          <w:sz w:val="24"/>
          <w:szCs w:val="24"/>
        </w:rPr>
        <w:t xml:space="preserve"> </w:t>
      </w:r>
      <w:r w:rsidRPr="00941C7F">
        <w:rPr>
          <w:rFonts w:ascii="Times New Roman" w:hAnsi="Times New Roman" w:cs="Times New Roman"/>
          <w:i/>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t xml:space="preserve">  4</w:t>
      </w:r>
    </w:p>
    <w:p w14:paraId="4FA0AABD" w14:textId="77777777" w:rsidR="008069CE" w:rsidRPr="00941C7F" w:rsidRDefault="008069CE" w:rsidP="008069CE">
      <w:pPr>
        <w:autoSpaceDE w:val="0"/>
        <w:autoSpaceDN w:val="0"/>
        <w:adjustRightInd w:val="0"/>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The empirical model is given below as:</w:t>
      </w:r>
    </w:p>
    <w:p w14:paraId="61C2E701" w14:textId="77777777" w:rsidR="008069CE" w:rsidRPr="00941C7F" w:rsidRDefault="008069CE" w:rsidP="008069CE">
      <w:pPr>
        <w:spacing w:after="0" w:line="360" w:lineRule="auto"/>
        <w:jc w:val="both"/>
        <w:rPr>
          <w:rFonts w:ascii="Times New Roman" w:hAnsi="Times New Roman" w:cs="Times New Roman"/>
          <w:b/>
          <w:i/>
          <w:sz w:val="24"/>
          <w:szCs w:val="24"/>
        </w:rPr>
      </w:pPr>
      <w:r w:rsidRPr="00941C7F">
        <w:rPr>
          <w:rFonts w:ascii="Times New Roman" w:hAnsi="Times New Roman" w:cs="Times New Roman"/>
          <w:b/>
          <w:i/>
          <w:sz w:val="24"/>
          <w:szCs w:val="24"/>
        </w:rPr>
        <w:t>loggFCF</w:t>
      </w:r>
      <w:r w:rsidRPr="00941C7F">
        <w:rPr>
          <w:rFonts w:ascii="Times New Roman" w:hAnsi="Times New Roman" w:cs="Times New Roman"/>
          <w:b/>
          <w:i/>
          <w:sz w:val="24"/>
          <w:szCs w:val="24"/>
          <w:vertAlign w:val="subscript"/>
        </w:rPr>
        <w:t>t</w:t>
      </w:r>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0</w:t>
      </w:r>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1</w:t>
      </w:r>
      <w:r w:rsidRPr="00941C7F">
        <w:rPr>
          <w:rFonts w:ascii="Times New Roman" w:hAnsi="Times New Roman" w:cs="Times New Roman"/>
          <w:b/>
          <w:i/>
          <w:sz w:val="24"/>
          <w:szCs w:val="24"/>
        </w:rPr>
        <w:t>loggFCF</w:t>
      </w:r>
      <w:r w:rsidRPr="00941C7F">
        <w:rPr>
          <w:rFonts w:ascii="Times New Roman" w:hAnsi="Times New Roman" w:cs="Times New Roman"/>
          <w:b/>
          <w:i/>
          <w:sz w:val="24"/>
          <w:szCs w:val="24"/>
          <w:vertAlign w:val="subscript"/>
        </w:rPr>
        <w:t>t-1</w:t>
      </w:r>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2</w:t>
      </w:r>
      <w:r w:rsidRPr="00941C7F">
        <w:rPr>
          <w:rFonts w:ascii="Times New Roman" w:hAnsi="Times New Roman" w:cs="Times New Roman"/>
          <w:b/>
          <w:i/>
          <w:iCs/>
          <w:sz w:val="24"/>
          <w:szCs w:val="24"/>
        </w:rPr>
        <w:t>tEXD</w:t>
      </w:r>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3</w:t>
      </w:r>
      <w:r w:rsidRPr="00941C7F">
        <w:rPr>
          <w:rFonts w:ascii="Times New Roman" w:hAnsi="Times New Roman" w:cs="Times New Roman"/>
          <w:b/>
          <w:i/>
          <w:sz w:val="24"/>
          <w:szCs w:val="24"/>
        </w:rPr>
        <w:t>tDMD + β</w:t>
      </w:r>
      <w:r w:rsidRPr="00941C7F">
        <w:rPr>
          <w:rFonts w:ascii="Times New Roman" w:hAnsi="Times New Roman" w:cs="Times New Roman"/>
          <w:b/>
          <w:i/>
          <w:sz w:val="24"/>
          <w:szCs w:val="24"/>
          <w:vertAlign w:val="subscript"/>
        </w:rPr>
        <w:t>4</w:t>
      </w:r>
      <w:r w:rsidRPr="00941C7F">
        <w:rPr>
          <w:rFonts w:ascii="Times New Roman" w:hAnsi="Times New Roman" w:cs="Times New Roman"/>
          <w:b/>
          <w:i/>
          <w:sz w:val="24"/>
          <w:szCs w:val="24"/>
        </w:rPr>
        <w:t>logeXDS + β</w:t>
      </w:r>
      <w:r w:rsidRPr="00941C7F">
        <w:rPr>
          <w:rFonts w:ascii="Times New Roman" w:hAnsi="Times New Roman" w:cs="Times New Roman"/>
          <w:b/>
          <w:i/>
          <w:sz w:val="24"/>
          <w:szCs w:val="24"/>
          <w:vertAlign w:val="subscript"/>
        </w:rPr>
        <w:t>5</w:t>
      </w:r>
      <w:r w:rsidRPr="00941C7F">
        <w:rPr>
          <w:rFonts w:ascii="Times New Roman" w:hAnsi="Times New Roman" w:cs="Times New Roman"/>
          <w:b/>
          <w:i/>
          <w:sz w:val="24"/>
          <w:szCs w:val="24"/>
        </w:rPr>
        <w:t>lognINT+ β</w:t>
      </w:r>
      <w:r w:rsidRPr="00941C7F">
        <w:rPr>
          <w:rFonts w:ascii="Times New Roman" w:hAnsi="Times New Roman" w:cs="Times New Roman"/>
          <w:b/>
          <w:i/>
          <w:sz w:val="24"/>
          <w:szCs w:val="24"/>
          <w:vertAlign w:val="subscript"/>
        </w:rPr>
        <w:t>6</w:t>
      </w:r>
      <w:r w:rsidRPr="00941C7F">
        <w:rPr>
          <w:rFonts w:ascii="Times New Roman" w:hAnsi="Times New Roman" w:cs="Times New Roman"/>
          <w:b/>
          <w:i/>
          <w:sz w:val="24"/>
          <w:szCs w:val="24"/>
        </w:rPr>
        <w:t>lognSAV +</w:t>
      </w:r>
    </w:p>
    <w:p w14:paraId="0D25031C" w14:textId="77777777" w:rsidR="008069CE" w:rsidRPr="00941C7F" w:rsidRDefault="008069CE" w:rsidP="008069CE">
      <w:pPr>
        <w:spacing w:line="360" w:lineRule="auto"/>
        <w:jc w:val="both"/>
        <w:rPr>
          <w:rFonts w:ascii="Times New Roman" w:hAnsi="Times New Roman" w:cs="Times New Roman"/>
          <w:i/>
          <w:sz w:val="24"/>
          <w:szCs w:val="24"/>
          <w:vertAlign w:val="subscript"/>
        </w:rPr>
      </w:pPr>
      <w:r w:rsidRPr="00941C7F">
        <w:rPr>
          <w:rFonts w:ascii="Times New Roman" w:hAnsi="Times New Roman" w:cs="Times New Roman"/>
          <w:b/>
          <w:i/>
          <w:sz w:val="24"/>
          <w:szCs w:val="24"/>
        </w:rPr>
        <w:t xml:space="preserve">                      β</w:t>
      </w:r>
      <w:r w:rsidRPr="00941C7F">
        <w:rPr>
          <w:rFonts w:ascii="Times New Roman" w:hAnsi="Times New Roman" w:cs="Times New Roman"/>
          <w:b/>
          <w:i/>
          <w:sz w:val="24"/>
          <w:szCs w:val="24"/>
          <w:vertAlign w:val="subscript"/>
        </w:rPr>
        <w:t>7</w:t>
      </w:r>
      <w:r w:rsidRPr="00941C7F">
        <w:rPr>
          <w:rFonts w:ascii="Times New Roman" w:hAnsi="Times New Roman" w:cs="Times New Roman"/>
          <w:b/>
          <w:i/>
          <w:sz w:val="24"/>
          <w:szCs w:val="24"/>
        </w:rPr>
        <w:t>lognEXR + μ</w:t>
      </w:r>
      <w:r w:rsidRPr="00941C7F">
        <w:rPr>
          <w:rFonts w:ascii="Times New Roman" w:hAnsi="Times New Roman" w:cs="Times New Roman"/>
          <w:b/>
          <w:i/>
          <w:sz w:val="24"/>
          <w:szCs w:val="24"/>
          <w:vertAlign w:val="subscript"/>
        </w:rPr>
        <w:t>1</w:t>
      </w:r>
      <w:r w:rsidRPr="00941C7F">
        <w:rPr>
          <w:rFonts w:ascii="Times New Roman" w:hAnsi="Times New Roman" w:cs="Times New Roman"/>
          <w:i/>
          <w:sz w:val="24"/>
          <w:szCs w:val="24"/>
          <w:vertAlign w:val="subscript"/>
        </w:rPr>
        <w:t xml:space="preserve">             </w:t>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sz w:val="24"/>
          <w:szCs w:val="24"/>
        </w:rPr>
        <w:t xml:space="preserve">  5</w:t>
      </w:r>
      <w:r w:rsidRPr="00941C7F">
        <w:rPr>
          <w:rFonts w:ascii="Times New Roman" w:hAnsi="Times New Roman" w:cs="Times New Roman"/>
          <w:i/>
          <w:sz w:val="24"/>
          <w:szCs w:val="24"/>
          <w:vertAlign w:val="subscript"/>
        </w:rPr>
        <w:t xml:space="preserve">    </w:t>
      </w:r>
    </w:p>
    <w:p w14:paraId="5FF4F24E"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Where: </w:t>
      </w:r>
      <w:r w:rsidRPr="00941C7F">
        <w:rPr>
          <w:rFonts w:ascii="Times New Roman" w:hAnsi="Times New Roman" w:cs="Times New Roman"/>
          <w:i/>
          <w:sz w:val="24"/>
          <w:szCs w:val="24"/>
        </w:rPr>
        <w:t>Log</w:t>
      </w:r>
      <w:r w:rsidRPr="00941C7F">
        <w:rPr>
          <w:rFonts w:ascii="Times New Roman" w:hAnsi="Times New Roman" w:cs="Times New Roman"/>
          <w:sz w:val="24"/>
          <w:szCs w:val="24"/>
        </w:rPr>
        <w:t xml:space="preserve"> = Natural logarithm, </w:t>
      </w:r>
      <w:r w:rsidRPr="00941C7F">
        <w:rPr>
          <w:rFonts w:ascii="Times New Roman" w:hAnsi="Times New Roman" w:cs="Times New Roman"/>
          <w:b/>
          <w:i/>
          <w:sz w:val="24"/>
          <w:szCs w:val="24"/>
        </w:rPr>
        <w:t>nCAF</w:t>
      </w:r>
      <w:r w:rsidRPr="00941C7F">
        <w:rPr>
          <w:rFonts w:ascii="Times New Roman" w:hAnsi="Times New Roman" w:cs="Times New Roman"/>
          <w:b/>
          <w:i/>
          <w:sz w:val="24"/>
          <w:szCs w:val="24"/>
          <w:vertAlign w:val="subscript"/>
        </w:rPr>
        <w:t>t</w:t>
      </w:r>
      <w:r w:rsidRPr="00941C7F">
        <w:rPr>
          <w:rFonts w:ascii="Times New Roman" w:hAnsi="Times New Roman" w:cs="Times New Roman"/>
          <w:sz w:val="24"/>
          <w:szCs w:val="24"/>
        </w:rPr>
        <w:t xml:space="preserve"> = National capital accumulation at time t, </w:t>
      </w:r>
      <w:r w:rsidRPr="00941C7F">
        <w:rPr>
          <w:rFonts w:ascii="Times New Roman" w:hAnsi="Times New Roman" w:cs="Times New Roman"/>
          <w:b/>
          <w:i/>
          <w:sz w:val="24"/>
          <w:szCs w:val="24"/>
        </w:rPr>
        <w:t>gFCF</w:t>
      </w:r>
      <w:r w:rsidRPr="00941C7F">
        <w:rPr>
          <w:rFonts w:ascii="Times New Roman" w:hAnsi="Times New Roman" w:cs="Times New Roman"/>
          <w:b/>
          <w:i/>
          <w:sz w:val="24"/>
          <w:szCs w:val="24"/>
          <w:vertAlign w:val="subscript"/>
        </w:rPr>
        <w:t>t-1</w:t>
      </w:r>
      <w:r w:rsidRPr="00941C7F">
        <w:rPr>
          <w:rFonts w:ascii="Times New Roman" w:hAnsi="Times New Roman" w:cs="Times New Roman"/>
          <w:b/>
          <w:i/>
          <w:sz w:val="24"/>
          <w:szCs w:val="24"/>
        </w:rPr>
        <w:t xml:space="preserve">= </w:t>
      </w:r>
      <w:r w:rsidRPr="00941C7F">
        <w:rPr>
          <w:rFonts w:ascii="Times New Roman" w:hAnsi="Times New Roman" w:cs="Times New Roman"/>
          <w:sz w:val="24"/>
          <w:szCs w:val="24"/>
        </w:rPr>
        <w:t xml:space="preserve">previous year National capital accumulation at time t, </w:t>
      </w:r>
      <w:r w:rsidRPr="00941C7F">
        <w:rPr>
          <w:rFonts w:ascii="Times New Roman" w:hAnsi="Times New Roman" w:cs="Times New Roman"/>
          <w:b/>
          <w:i/>
          <w:iCs/>
          <w:sz w:val="24"/>
          <w:szCs w:val="24"/>
        </w:rPr>
        <w:t>tEXD</w:t>
      </w:r>
      <w:r w:rsidRPr="00941C7F">
        <w:rPr>
          <w:rFonts w:ascii="Times New Roman" w:hAnsi="Times New Roman" w:cs="Times New Roman"/>
          <w:sz w:val="24"/>
          <w:szCs w:val="24"/>
        </w:rPr>
        <w:t xml:space="preserve"> = Total external debt, </w:t>
      </w:r>
      <w:r w:rsidRPr="00941C7F">
        <w:rPr>
          <w:rFonts w:ascii="Times New Roman" w:hAnsi="Times New Roman" w:cs="Times New Roman"/>
          <w:b/>
          <w:i/>
          <w:sz w:val="24"/>
          <w:szCs w:val="24"/>
        </w:rPr>
        <w:t>tDMD</w:t>
      </w:r>
      <w:r w:rsidRPr="00941C7F">
        <w:rPr>
          <w:rFonts w:ascii="Times New Roman" w:hAnsi="Times New Roman" w:cs="Times New Roman"/>
          <w:sz w:val="24"/>
          <w:szCs w:val="24"/>
        </w:rPr>
        <w:t xml:space="preserve"> = Total domestic debt, </w:t>
      </w:r>
      <w:r w:rsidRPr="00941C7F">
        <w:rPr>
          <w:rFonts w:ascii="Times New Roman" w:hAnsi="Times New Roman" w:cs="Times New Roman"/>
          <w:b/>
          <w:i/>
          <w:sz w:val="24"/>
          <w:szCs w:val="24"/>
        </w:rPr>
        <w:t>eXDS</w:t>
      </w:r>
      <w:r w:rsidRPr="00941C7F">
        <w:rPr>
          <w:rFonts w:ascii="Times New Roman" w:hAnsi="Times New Roman" w:cs="Times New Roman"/>
          <w:sz w:val="24"/>
          <w:szCs w:val="24"/>
        </w:rPr>
        <w:t xml:space="preserve"> = External debt severing, </w:t>
      </w:r>
      <w:r w:rsidRPr="00941C7F">
        <w:rPr>
          <w:rFonts w:ascii="Times New Roman" w:hAnsi="Times New Roman" w:cs="Times New Roman"/>
          <w:b/>
          <w:i/>
          <w:sz w:val="24"/>
          <w:szCs w:val="24"/>
        </w:rPr>
        <w:t>nINT</w:t>
      </w:r>
      <w:r w:rsidRPr="00941C7F">
        <w:rPr>
          <w:rFonts w:ascii="Times New Roman" w:hAnsi="Times New Roman" w:cs="Times New Roman"/>
          <w:i/>
          <w:sz w:val="24"/>
          <w:szCs w:val="24"/>
        </w:rPr>
        <w:t xml:space="preserve"> = </w:t>
      </w:r>
      <w:r w:rsidRPr="00941C7F">
        <w:rPr>
          <w:rFonts w:ascii="Times New Roman" w:hAnsi="Times New Roman" w:cs="Times New Roman"/>
          <w:sz w:val="24"/>
          <w:szCs w:val="24"/>
        </w:rPr>
        <w:t xml:space="preserve">= Total annual interest rate payments, </w:t>
      </w:r>
      <w:r w:rsidRPr="00941C7F">
        <w:rPr>
          <w:rFonts w:ascii="Times New Roman" w:hAnsi="Times New Roman" w:cs="Times New Roman"/>
          <w:b/>
          <w:i/>
          <w:sz w:val="24"/>
          <w:szCs w:val="24"/>
        </w:rPr>
        <w:t>nSAV</w:t>
      </w:r>
      <w:r w:rsidRPr="00941C7F">
        <w:rPr>
          <w:rFonts w:ascii="Times New Roman" w:hAnsi="Times New Roman" w:cs="Times New Roman"/>
          <w:i/>
          <w:sz w:val="24"/>
          <w:szCs w:val="24"/>
        </w:rPr>
        <w:t xml:space="preserve"> = </w:t>
      </w:r>
      <w:r w:rsidRPr="00941C7F">
        <w:rPr>
          <w:rFonts w:ascii="Times New Roman" w:hAnsi="Times New Roman" w:cs="Times New Roman"/>
          <w:sz w:val="24"/>
          <w:szCs w:val="24"/>
        </w:rPr>
        <w:t xml:space="preserve">National savings, </w:t>
      </w:r>
      <w:r w:rsidRPr="00941C7F">
        <w:rPr>
          <w:rFonts w:ascii="Times New Roman" w:hAnsi="Times New Roman" w:cs="Times New Roman"/>
          <w:b/>
          <w:i/>
          <w:sz w:val="24"/>
          <w:szCs w:val="24"/>
        </w:rPr>
        <w:t>nEXR =</w:t>
      </w:r>
      <w:r w:rsidRPr="00941C7F">
        <w:rPr>
          <w:rFonts w:ascii="Times New Roman" w:hAnsi="Times New Roman" w:cs="Times New Roman"/>
          <w:sz w:val="24"/>
          <w:szCs w:val="24"/>
        </w:rPr>
        <w:t xml:space="preserve"> Nominal exchange rate, μ = Disturbance term/error term, β</w:t>
      </w:r>
      <w:r w:rsidRPr="00941C7F">
        <w:rPr>
          <w:rFonts w:ascii="Times New Roman" w:hAnsi="Times New Roman" w:cs="Times New Roman"/>
          <w:sz w:val="24"/>
          <w:szCs w:val="24"/>
          <w:vertAlign w:val="subscript"/>
        </w:rPr>
        <w:t>0</w:t>
      </w:r>
      <w:r w:rsidRPr="00941C7F">
        <w:rPr>
          <w:rFonts w:ascii="Times New Roman" w:hAnsi="Times New Roman" w:cs="Times New Roman"/>
          <w:sz w:val="24"/>
          <w:szCs w:val="24"/>
        </w:rPr>
        <w:t xml:space="preserve"> = Constant term, β</w:t>
      </w:r>
      <w:r w:rsidRPr="00941C7F">
        <w:rPr>
          <w:rFonts w:ascii="Times New Roman" w:hAnsi="Times New Roman" w:cs="Times New Roman"/>
          <w:sz w:val="24"/>
          <w:szCs w:val="24"/>
          <w:vertAlign w:val="subscript"/>
        </w:rPr>
        <w:t>1,</w:t>
      </w:r>
      <w:r w:rsidRPr="00941C7F">
        <w:rPr>
          <w:rFonts w:ascii="Times New Roman" w:hAnsi="Times New Roman" w:cs="Times New Roman"/>
          <w:sz w:val="24"/>
          <w:szCs w:val="24"/>
        </w:rPr>
        <w:t xml:space="preserve"> β</w:t>
      </w:r>
      <w:r w:rsidRPr="00941C7F">
        <w:rPr>
          <w:rFonts w:ascii="Times New Roman" w:hAnsi="Times New Roman" w:cs="Times New Roman"/>
          <w:sz w:val="24"/>
          <w:szCs w:val="24"/>
          <w:vertAlign w:val="subscript"/>
        </w:rPr>
        <w:t xml:space="preserve">2,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3,</w:t>
      </w:r>
      <w:r w:rsidRPr="00941C7F">
        <w:rPr>
          <w:rFonts w:ascii="Times New Roman" w:hAnsi="Times New Roman" w:cs="Times New Roman"/>
          <w:sz w:val="24"/>
          <w:szCs w:val="24"/>
        </w:rPr>
        <w:t xml:space="preserve"> β</w:t>
      </w:r>
      <w:r w:rsidRPr="00941C7F">
        <w:rPr>
          <w:rFonts w:ascii="Times New Roman" w:hAnsi="Times New Roman" w:cs="Times New Roman"/>
          <w:sz w:val="24"/>
          <w:szCs w:val="24"/>
          <w:vertAlign w:val="subscript"/>
        </w:rPr>
        <w:t xml:space="preserve">4,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 xml:space="preserve">5,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 xml:space="preserve">6 ,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 xml:space="preserve">7  </w:t>
      </w:r>
      <w:r w:rsidRPr="00941C7F">
        <w:rPr>
          <w:rFonts w:ascii="Times New Roman" w:hAnsi="Times New Roman" w:cs="Times New Roman"/>
          <w:sz w:val="24"/>
          <w:szCs w:val="24"/>
        </w:rPr>
        <w:t xml:space="preserve"> are parameters to be estimated. </w:t>
      </w:r>
    </w:p>
    <w:p w14:paraId="53008FD3" w14:textId="77777777" w:rsidR="008069CE" w:rsidRPr="00941C7F" w:rsidRDefault="008069CE" w:rsidP="008069CE">
      <w:pPr>
        <w:spacing w:line="360" w:lineRule="auto"/>
        <w:jc w:val="both"/>
        <w:rPr>
          <w:rFonts w:ascii="Times New Roman" w:hAnsi="Times New Roman" w:cs="Times New Roman"/>
          <w:sz w:val="24"/>
          <w:szCs w:val="24"/>
        </w:rPr>
      </w:pPr>
      <w:r>
        <w:rPr>
          <w:rFonts w:ascii="Times New Roman" w:hAnsi="Times New Roman" w:cs="Times New Roman"/>
          <w:sz w:val="24"/>
          <w:szCs w:val="24"/>
        </w:rPr>
        <w:t>The variable were</w:t>
      </w:r>
      <w:r w:rsidRPr="00941C7F">
        <w:rPr>
          <w:rFonts w:ascii="Times New Roman" w:hAnsi="Times New Roman" w:cs="Times New Roman"/>
          <w:sz w:val="24"/>
          <w:szCs w:val="24"/>
        </w:rPr>
        <w:t xml:space="preserve"> logged to improve the normality or symmetric of the data as well as the constant variance in linear modeling. The relationship of the previous year capital accumulation, </w:t>
      </w:r>
      <w:r w:rsidRPr="00941C7F">
        <w:rPr>
          <w:rFonts w:ascii="Times New Roman" w:hAnsi="Times New Roman" w:cs="Times New Roman"/>
          <w:b/>
          <w:i/>
          <w:sz w:val="24"/>
          <w:szCs w:val="24"/>
        </w:rPr>
        <w:t>gFCF</w:t>
      </w:r>
      <w:r w:rsidRPr="00941C7F">
        <w:rPr>
          <w:rFonts w:ascii="Times New Roman" w:hAnsi="Times New Roman" w:cs="Times New Roman"/>
          <w:b/>
          <w:i/>
          <w:sz w:val="24"/>
          <w:szCs w:val="24"/>
          <w:vertAlign w:val="subscript"/>
        </w:rPr>
        <w:t xml:space="preserve">t-1 </w:t>
      </w:r>
      <w:r w:rsidRPr="00941C7F">
        <w:rPr>
          <w:rFonts w:ascii="Times New Roman" w:hAnsi="Times New Roman" w:cs="Times New Roman"/>
          <w:sz w:val="24"/>
          <w:szCs w:val="24"/>
        </w:rPr>
        <w:t>and the current year capital accumulation is also investigated in the study, based on Huay et al (2019) who asserted that the previous year capital accumulation may have significant impact on the current capital accumulation and development.</w:t>
      </w:r>
    </w:p>
    <w:p w14:paraId="579A644C" w14:textId="77777777" w:rsidR="008069CE" w:rsidRPr="00941C7F" w:rsidRDefault="008069CE" w:rsidP="008069CE">
      <w:pPr>
        <w:spacing w:before="240"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Gross Fixed Capital accumulation according to the explanatory notes to the CBN statistical bulletin 2022 is expenditure on fixed assets (such as building, machinery, etc) either for replacing or adding to the stock of existing fixed assets. Gross Fixed Capital accumulation is a component of the expenditure in the GDP and thus shows information about how much of the new value added in the economy is reinvested rather than consumed. This is measured as the monetary (Naira) value of all goods and services produced in Nigeria within the study period. Total domestic debt implies the value of the government’s obligations to investors in its debt instruments (issued locally) for the current period after adjusting for repayments, servicing charges</w:t>
      </w:r>
      <w:r w:rsidRPr="00941C7F">
        <w:rPr>
          <w:rFonts w:ascii="Times New Roman" w:hAnsi="Times New Roman" w:cs="Times New Roman"/>
          <w:b/>
          <w:sz w:val="24"/>
          <w:szCs w:val="24"/>
        </w:rPr>
        <w:t xml:space="preserve"> </w:t>
      </w:r>
      <w:r w:rsidRPr="00941C7F">
        <w:rPr>
          <w:rFonts w:ascii="Times New Roman" w:hAnsi="Times New Roman" w:cs="Times New Roman"/>
          <w:sz w:val="24"/>
          <w:szCs w:val="24"/>
        </w:rPr>
        <w:t xml:space="preserve">and any new additions (in terms of new issues of debt instruments) to the stock of debt in the previous period. The total sum of the monetary (Naira) value of the following government debt instruments is used to proxy domestic debt: FGN Bonds; Treasury Bonds; and Development Stock. Total external debt is the outstanding external monetary (Naira) value of all federal government debt obligations in favour of creditors outside the shores of Nigeria for the current period after adjusting for repayments, debt servicing and net addition to the stock of debt in the previous period. Total external debt outstanding comprise of the sum of the following components: Multilateral; Bilateral; Paris Club; London Club; and Others All measurements are done using identical measurement (absolute Naira value) scale. </w:t>
      </w:r>
      <w:r w:rsidRPr="00941C7F">
        <w:rPr>
          <w:rFonts w:ascii="Times New Roman" w:eastAsia="SimSun" w:hAnsi="Times New Roman" w:cs="Times New Roman"/>
          <w:sz w:val="24"/>
          <w:szCs w:val="24"/>
        </w:rPr>
        <w:t xml:space="preserve">Furthermore, exchange rate is predicted to be significant on capital accumulation. According to </w:t>
      </w:r>
      <w:r w:rsidRPr="00941C7F">
        <w:rPr>
          <w:rFonts w:ascii="Times New Roman" w:hAnsi="Times New Roman" w:cs="Times New Roman"/>
          <w:sz w:val="24"/>
          <w:szCs w:val="24"/>
        </w:rPr>
        <w:t xml:space="preserve">Kandil (2004), the price of export and import of commodity in an open economy such as Nigeria is predicated on the exchange rate, this </w:t>
      </w:r>
      <w:r w:rsidRPr="00941C7F">
        <w:rPr>
          <w:rFonts w:ascii="Times New Roman" w:hAnsi="Times New Roman" w:cs="Times New Roman"/>
          <w:sz w:val="24"/>
          <w:szCs w:val="24"/>
        </w:rPr>
        <w:lastRenderedPageBreak/>
        <w:t>makes exchange rate key variables in this model. A nation’s terms of trade also determines the intrinsic behavior of the merchandize trade account. Nominal interest rate is interest rate for deposits. It is used in this model as an impotent savings variable. Higher interest rate leads t</w:t>
      </w:r>
      <w:r>
        <w:rPr>
          <w:rFonts w:ascii="Times New Roman" w:hAnsi="Times New Roman" w:cs="Times New Roman"/>
          <w:sz w:val="24"/>
          <w:szCs w:val="24"/>
        </w:rPr>
        <w:t>o lower consumption in two ways</w:t>
      </w:r>
      <w:r w:rsidRPr="00941C7F">
        <w:rPr>
          <w:rFonts w:ascii="Times New Roman" w:hAnsi="Times New Roman" w:cs="Times New Roman"/>
          <w:sz w:val="24"/>
          <w:szCs w:val="24"/>
        </w:rPr>
        <w:t xml:space="preserve"> </w:t>
      </w:r>
      <w:r>
        <w:rPr>
          <w:rFonts w:ascii="Times New Roman" w:hAnsi="Times New Roman" w:cs="Times New Roman"/>
          <w:sz w:val="24"/>
          <w:szCs w:val="24"/>
        </w:rPr>
        <w:t>(</w:t>
      </w:r>
      <w:r w:rsidRPr="00941C7F">
        <w:rPr>
          <w:rFonts w:ascii="Times New Roman" w:hAnsi="Times New Roman" w:cs="Times New Roman"/>
          <w:sz w:val="24"/>
          <w:szCs w:val="24"/>
        </w:rPr>
        <w:t xml:space="preserve">i) higher cost of borrowing and higher alternative cost of consumption and </w:t>
      </w:r>
      <w:r>
        <w:rPr>
          <w:rFonts w:ascii="Times New Roman" w:hAnsi="Times New Roman" w:cs="Times New Roman"/>
          <w:sz w:val="24"/>
          <w:szCs w:val="24"/>
        </w:rPr>
        <w:t>(</w:t>
      </w:r>
      <w:r w:rsidRPr="00941C7F">
        <w:rPr>
          <w:rFonts w:ascii="Times New Roman" w:hAnsi="Times New Roman" w:cs="Times New Roman"/>
          <w:sz w:val="24"/>
          <w:szCs w:val="24"/>
        </w:rPr>
        <w:t>ii) lower asset prices and asset wealth.</w:t>
      </w:r>
    </w:p>
    <w:p w14:paraId="59069EDC" w14:textId="77777777" w:rsidR="008069CE" w:rsidRPr="00941C7F" w:rsidRDefault="008069CE" w:rsidP="008069CE">
      <w:pPr>
        <w:spacing w:before="240"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Table </w:t>
      </w:r>
      <w:r>
        <w:rPr>
          <w:rFonts w:ascii="Times New Roman" w:hAnsi="Times New Roman" w:cs="Times New Roman"/>
          <w:sz w:val="24"/>
          <w:szCs w:val="24"/>
        </w:rPr>
        <w:t>3</w:t>
      </w:r>
      <w:r w:rsidRPr="00941C7F">
        <w:rPr>
          <w:rFonts w:ascii="Times New Roman" w:hAnsi="Times New Roman" w:cs="Times New Roman"/>
          <w:sz w:val="24"/>
          <w:szCs w:val="24"/>
        </w:rPr>
        <w:t xml:space="preserve">: </w:t>
      </w:r>
      <w:r w:rsidRPr="00941C7F">
        <w:rPr>
          <w:rFonts w:ascii="Times New Roman" w:hAnsi="Times New Roman" w:cs="Times New Roman"/>
          <w:b/>
          <w:sz w:val="24"/>
          <w:szCs w:val="24"/>
        </w:rPr>
        <w:t>Variable Description, Measurement and Sources</w:t>
      </w:r>
    </w:p>
    <w:tbl>
      <w:tblPr>
        <w:tblpPr w:leftFromText="180" w:rightFromText="180" w:vertAnchor="text" w:horzAnchor="margin" w:tblpX="-34" w:tblpY="379"/>
        <w:tblW w:w="10738" w:type="dxa"/>
        <w:tblLayout w:type="fixed"/>
        <w:tblLook w:val="04A0" w:firstRow="1" w:lastRow="0" w:firstColumn="1" w:lastColumn="0" w:noHBand="0" w:noVBand="1"/>
      </w:tblPr>
      <w:tblGrid>
        <w:gridCol w:w="1257"/>
        <w:gridCol w:w="3104"/>
        <w:gridCol w:w="2266"/>
        <w:gridCol w:w="2411"/>
        <w:gridCol w:w="1700"/>
      </w:tblGrid>
      <w:tr w:rsidR="008069CE" w:rsidRPr="00941C7F" w14:paraId="662C7203" w14:textId="77777777" w:rsidTr="00D55F42">
        <w:trPr>
          <w:trHeight w:val="416"/>
        </w:trPr>
        <w:tc>
          <w:tcPr>
            <w:tcW w:w="1257" w:type="dxa"/>
            <w:tcBorders>
              <w:top w:val="single" w:sz="4" w:space="0" w:color="auto"/>
              <w:bottom w:val="single" w:sz="4" w:space="0" w:color="auto"/>
            </w:tcBorders>
          </w:tcPr>
          <w:p w14:paraId="6E09434C"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Variable </w:t>
            </w:r>
          </w:p>
        </w:tc>
        <w:tc>
          <w:tcPr>
            <w:tcW w:w="3104" w:type="dxa"/>
            <w:tcBorders>
              <w:top w:val="single" w:sz="4" w:space="0" w:color="auto"/>
              <w:bottom w:val="single" w:sz="4" w:space="0" w:color="auto"/>
            </w:tcBorders>
          </w:tcPr>
          <w:p w14:paraId="7467B198" w14:textId="77777777" w:rsidR="008069CE" w:rsidRPr="00941C7F" w:rsidRDefault="008069CE" w:rsidP="00D55F42">
            <w:pPr>
              <w:spacing w:after="0" w:line="360" w:lineRule="auto"/>
              <w:jc w:val="both"/>
              <w:rPr>
                <w:rFonts w:ascii="Times New Roman" w:hAnsi="Times New Roman" w:cs="Times New Roman"/>
                <w:sz w:val="24"/>
                <w:szCs w:val="24"/>
              </w:rPr>
            </w:pPr>
          </w:p>
        </w:tc>
        <w:tc>
          <w:tcPr>
            <w:tcW w:w="2266" w:type="dxa"/>
            <w:tcBorders>
              <w:top w:val="single" w:sz="4" w:space="0" w:color="auto"/>
              <w:bottom w:val="single" w:sz="4" w:space="0" w:color="auto"/>
            </w:tcBorders>
          </w:tcPr>
          <w:p w14:paraId="4914FF24"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Measurement</w:t>
            </w:r>
          </w:p>
        </w:tc>
        <w:tc>
          <w:tcPr>
            <w:tcW w:w="2411" w:type="dxa"/>
            <w:tcBorders>
              <w:top w:val="single" w:sz="4" w:space="0" w:color="auto"/>
              <w:bottom w:val="single" w:sz="4" w:space="0" w:color="auto"/>
            </w:tcBorders>
          </w:tcPr>
          <w:p w14:paraId="458CE9B6" w14:textId="77777777" w:rsidR="008069CE" w:rsidRPr="00941C7F" w:rsidRDefault="008069CE" w:rsidP="00D55F42">
            <w:pPr>
              <w:spacing w:after="0" w:line="360" w:lineRule="auto"/>
              <w:jc w:val="both"/>
              <w:rPr>
                <w:rFonts w:ascii="Times New Roman" w:hAnsi="Times New Roman" w:cs="Times New Roman"/>
                <w:sz w:val="24"/>
                <w:szCs w:val="24"/>
              </w:rPr>
            </w:pPr>
          </w:p>
        </w:tc>
        <w:tc>
          <w:tcPr>
            <w:tcW w:w="1700" w:type="dxa"/>
            <w:tcBorders>
              <w:top w:val="single" w:sz="4" w:space="0" w:color="auto"/>
              <w:bottom w:val="single" w:sz="4" w:space="0" w:color="auto"/>
            </w:tcBorders>
          </w:tcPr>
          <w:p w14:paraId="49EEB898"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Source of Data</w:t>
            </w:r>
          </w:p>
        </w:tc>
      </w:tr>
      <w:tr w:rsidR="008069CE" w:rsidRPr="00941C7F" w14:paraId="0065332F" w14:textId="77777777" w:rsidTr="00D55F42">
        <w:trPr>
          <w:trHeight w:val="550"/>
        </w:trPr>
        <w:tc>
          <w:tcPr>
            <w:tcW w:w="4361" w:type="dxa"/>
            <w:gridSpan w:val="2"/>
            <w:vMerge w:val="restart"/>
            <w:tcBorders>
              <w:top w:val="single" w:sz="4" w:space="0" w:color="auto"/>
            </w:tcBorders>
          </w:tcPr>
          <w:p w14:paraId="521ED247"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Gross fixed capital accumulation ( </w:t>
            </w:r>
            <w:r w:rsidRPr="00941C7F">
              <w:rPr>
                <w:rFonts w:ascii="Times New Roman" w:hAnsi="Times New Roman" w:cs="Times New Roman"/>
                <w:b/>
                <w:i/>
                <w:sz w:val="24"/>
                <w:szCs w:val="24"/>
              </w:rPr>
              <w:t>gFCF</w:t>
            </w:r>
            <w:r w:rsidRPr="00941C7F">
              <w:rPr>
                <w:rFonts w:ascii="Times New Roman" w:hAnsi="Times New Roman" w:cs="Times New Roman"/>
                <w:sz w:val="24"/>
                <w:szCs w:val="24"/>
              </w:rPr>
              <w:t>)</w:t>
            </w:r>
          </w:p>
          <w:p w14:paraId="0375CAEF" w14:textId="77777777" w:rsidR="008069CE" w:rsidRPr="00941C7F" w:rsidRDefault="008069CE" w:rsidP="00D55F42">
            <w:pPr>
              <w:spacing w:after="0" w:line="360" w:lineRule="auto"/>
              <w:jc w:val="both"/>
              <w:rPr>
                <w:rFonts w:ascii="Times New Roman" w:hAnsi="Times New Roman" w:cs="Times New Roman"/>
                <w:sz w:val="24"/>
                <w:szCs w:val="24"/>
              </w:rPr>
            </w:pPr>
          </w:p>
          <w:p w14:paraId="58F6DDD5"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Total external debt (</w:t>
            </w:r>
            <w:r w:rsidRPr="00941C7F">
              <w:rPr>
                <w:rFonts w:ascii="Times New Roman" w:hAnsi="Times New Roman" w:cs="Times New Roman"/>
                <w:b/>
                <w:i/>
                <w:iCs/>
                <w:sz w:val="24"/>
                <w:szCs w:val="24"/>
              </w:rPr>
              <w:t xml:space="preserve"> tEXD</w:t>
            </w:r>
            <w:r w:rsidRPr="00941C7F">
              <w:rPr>
                <w:rFonts w:ascii="Times New Roman" w:hAnsi="Times New Roman" w:cs="Times New Roman"/>
                <w:sz w:val="24"/>
                <w:szCs w:val="24"/>
              </w:rPr>
              <w:t xml:space="preserve"> )</w:t>
            </w:r>
          </w:p>
          <w:p w14:paraId="11A91843" w14:textId="77777777" w:rsidR="008069CE" w:rsidRPr="00941C7F" w:rsidRDefault="008069CE" w:rsidP="00D55F42">
            <w:pPr>
              <w:spacing w:after="0" w:line="360" w:lineRule="auto"/>
              <w:jc w:val="both"/>
              <w:rPr>
                <w:rFonts w:ascii="Times New Roman" w:hAnsi="Times New Roman" w:cs="Times New Roman"/>
                <w:sz w:val="24"/>
                <w:szCs w:val="24"/>
              </w:rPr>
            </w:pPr>
          </w:p>
          <w:p w14:paraId="1F147AB0"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Total domestic debt (</w:t>
            </w:r>
            <w:r w:rsidRPr="00941C7F">
              <w:rPr>
                <w:rFonts w:ascii="Times New Roman" w:hAnsi="Times New Roman" w:cs="Times New Roman"/>
                <w:b/>
                <w:i/>
                <w:sz w:val="24"/>
                <w:szCs w:val="24"/>
              </w:rPr>
              <w:t>tDMD</w:t>
            </w:r>
            <w:r w:rsidRPr="00941C7F">
              <w:rPr>
                <w:rFonts w:ascii="Times New Roman" w:hAnsi="Times New Roman" w:cs="Times New Roman"/>
                <w:sz w:val="24"/>
                <w:szCs w:val="24"/>
              </w:rPr>
              <w:t xml:space="preserve"> ) </w:t>
            </w:r>
          </w:p>
          <w:p w14:paraId="6FB37C30" w14:textId="77777777" w:rsidR="008069CE" w:rsidRPr="00941C7F" w:rsidRDefault="008069CE" w:rsidP="00D55F42">
            <w:pPr>
              <w:spacing w:after="0" w:line="360" w:lineRule="auto"/>
              <w:jc w:val="both"/>
              <w:rPr>
                <w:rFonts w:ascii="Times New Roman" w:hAnsi="Times New Roman" w:cs="Times New Roman"/>
                <w:sz w:val="24"/>
                <w:szCs w:val="24"/>
              </w:rPr>
            </w:pPr>
          </w:p>
          <w:p w14:paraId="53B03DDD"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External debt servicing (</w:t>
            </w:r>
            <w:r w:rsidRPr="00941C7F">
              <w:rPr>
                <w:rFonts w:ascii="Times New Roman" w:hAnsi="Times New Roman" w:cs="Times New Roman"/>
                <w:b/>
                <w:i/>
                <w:sz w:val="24"/>
                <w:szCs w:val="24"/>
              </w:rPr>
              <w:t>eXDS</w:t>
            </w:r>
            <w:r w:rsidRPr="00941C7F">
              <w:rPr>
                <w:rFonts w:ascii="Times New Roman" w:hAnsi="Times New Roman" w:cs="Times New Roman"/>
                <w:sz w:val="24"/>
                <w:szCs w:val="24"/>
              </w:rPr>
              <w:t>)</w:t>
            </w:r>
          </w:p>
          <w:p w14:paraId="2B422DDD"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p>
          <w:p w14:paraId="24E64450"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Nominal interest rate (</w:t>
            </w:r>
            <w:r w:rsidRPr="00941C7F">
              <w:rPr>
                <w:rFonts w:ascii="Times New Roman" w:hAnsi="Times New Roman" w:cs="Times New Roman"/>
                <w:b/>
                <w:i/>
                <w:sz w:val="24"/>
                <w:szCs w:val="24"/>
              </w:rPr>
              <w:t>nINT</w:t>
            </w:r>
            <w:r w:rsidRPr="00941C7F">
              <w:rPr>
                <w:rFonts w:ascii="Times New Roman" w:hAnsi="Times New Roman" w:cs="Times New Roman"/>
                <w:sz w:val="24"/>
                <w:szCs w:val="24"/>
              </w:rPr>
              <w:t>)</w:t>
            </w:r>
          </w:p>
          <w:p w14:paraId="30D7806A" w14:textId="77777777" w:rsidR="008069CE" w:rsidRPr="00941C7F" w:rsidRDefault="008069CE" w:rsidP="00D55F42">
            <w:pPr>
              <w:spacing w:after="0" w:line="360" w:lineRule="auto"/>
              <w:jc w:val="both"/>
              <w:rPr>
                <w:rFonts w:ascii="Times New Roman" w:hAnsi="Times New Roman" w:cs="Times New Roman"/>
                <w:sz w:val="24"/>
                <w:szCs w:val="24"/>
              </w:rPr>
            </w:pPr>
          </w:p>
          <w:p w14:paraId="566623B2"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National Savings  (</w:t>
            </w:r>
            <w:r w:rsidRPr="00941C7F">
              <w:rPr>
                <w:rFonts w:ascii="Times New Roman" w:hAnsi="Times New Roman" w:cs="Times New Roman"/>
                <w:b/>
                <w:i/>
                <w:sz w:val="24"/>
                <w:szCs w:val="24"/>
              </w:rPr>
              <w:t>nSAV</w:t>
            </w:r>
            <w:r w:rsidRPr="00941C7F">
              <w:rPr>
                <w:rFonts w:ascii="Times New Roman" w:hAnsi="Times New Roman" w:cs="Times New Roman"/>
                <w:sz w:val="24"/>
                <w:szCs w:val="24"/>
              </w:rPr>
              <w:t>)</w:t>
            </w:r>
          </w:p>
          <w:p w14:paraId="27743E8E" w14:textId="77777777" w:rsidR="008069CE" w:rsidRPr="00941C7F" w:rsidRDefault="008069CE" w:rsidP="00D55F42">
            <w:pPr>
              <w:spacing w:after="0" w:line="360" w:lineRule="auto"/>
              <w:jc w:val="both"/>
              <w:rPr>
                <w:rFonts w:ascii="Times New Roman" w:hAnsi="Times New Roman" w:cs="Times New Roman"/>
                <w:sz w:val="24"/>
                <w:szCs w:val="24"/>
              </w:rPr>
            </w:pPr>
          </w:p>
          <w:p w14:paraId="31908DBA"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Nominal exchange rate (</w:t>
            </w:r>
            <w:r w:rsidRPr="00941C7F">
              <w:rPr>
                <w:rFonts w:ascii="Times New Roman" w:hAnsi="Times New Roman" w:cs="Times New Roman"/>
                <w:b/>
                <w:i/>
                <w:sz w:val="24"/>
                <w:szCs w:val="24"/>
              </w:rPr>
              <w:t>nEXR)</w:t>
            </w:r>
          </w:p>
        </w:tc>
        <w:tc>
          <w:tcPr>
            <w:tcW w:w="4677" w:type="dxa"/>
            <w:gridSpan w:val="2"/>
            <w:tcBorders>
              <w:top w:val="single" w:sz="4" w:space="0" w:color="auto"/>
            </w:tcBorders>
          </w:tcPr>
          <w:p w14:paraId="1199DEA2"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Stock of existing fixed assets </w:t>
            </w:r>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 xml:space="preserve"> US$)</w:t>
            </w:r>
          </w:p>
        </w:tc>
        <w:tc>
          <w:tcPr>
            <w:tcW w:w="1700" w:type="dxa"/>
            <w:tcBorders>
              <w:top w:val="single" w:sz="4" w:space="0" w:color="auto"/>
            </w:tcBorders>
          </w:tcPr>
          <w:p w14:paraId="56FE99F5"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WDI, 2022.</w:t>
            </w:r>
          </w:p>
        </w:tc>
      </w:tr>
      <w:tr w:rsidR="008069CE" w:rsidRPr="00941C7F" w14:paraId="3B57DCA3" w14:textId="77777777" w:rsidTr="00D55F42">
        <w:trPr>
          <w:trHeight w:val="387"/>
        </w:trPr>
        <w:tc>
          <w:tcPr>
            <w:tcW w:w="4361" w:type="dxa"/>
            <w:gridSpan w:val="2"/>
            <w:vMerge/>
          </w:tcPr>
          <w:p w14:paraId="45694A1F" w14:textId="77777777" w:rsidR="008069CE" w:rsidRPr="00941C7F" w:rsidRDefault="008069CE" w:rsidP="00D55F42">
            <w:pPr>
              <w:spacing w:after="0" w:line="360" w:lineRule="auto"/>
              <w:jc w:val="both"/>
              <w:rPr>
                <w:rFonts w:ascii="Times New Roman" w:hAnsi="Times New Roman" w:cs="Times New Roman"/>
                <w:sz w:val="24"/>
                <w:szCs w:val="24"/>
              </w:rPr>
            </w:pPr>
          </w:p>
        </w:tc>
        <w:tc>
          <w:tcPr>
            <w:tcW w:w="4677" w:type="dxa"/>
            <w:gridSpan w:val="2"/>
          </w:tcPr>
          <w:p w14:paraId="734D5C01"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Stock of existing external debt </w:t>
            </w:r>
          </w:p>
          <w:p w14:paraId="79CF8B4B"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 xml:space="preserve"> US$)</w:t>
            </w:r>
          </w:p>
        </w:tc>
        <w:tc>
          <w:tcPr>
            <w:tcW w:w="1700" w:type="dxa"/>
          </w:tcPr>
          <w:p w14:paraId="2A1FC2E5"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WDI, 2022</w:t>
            </w:r>
          </w:p>
          <w:p w14:paraId="1F848E68" w14:textId="77777777" w:rsidR="008069CE" w:rsidRPr="00941C7F" w:rsidRDefault="008069CE" w:rsidP="00D55F42">
            <w:pPr>
              <w:spacing w:after="0" w:line="360" w:lineRule="auto"/>
              <w:jc w:val="both"/>
              <w:rPr>
                <w:rFonts w:ascii="Times New Roman" w:hAnsi="Times New Roman" w:cs="Times New Roman"/>
                <w:sz w:val="24"/>
                <w:szCs w:val="24"/>
              </w:rPr>
            </w:pPr>
          </w:p>
        </w:tc>
      </w:tr>
      <w:tr w:rsidR="008069CE" w:rsidRPr="00941C7F" w14:paraId="1E41304A" w14:textId="77777777" w:rsidTr="00D55F42">
        <w:trPr>
          <w:trHeight w:val="399"/>
        </w:trPr>
        <w:tc>
          <w:tcPr>
            <w:tcW w:w="4361" w:type="dxa"/>
            <w:gridSpan w:val="2"/>
            <w:vMerge/>
          </w:tcPr>
          <w:p w14:paraId="34B81D2D" w14:textId="77777777" w:rsidR="008069CE" w:rsidRPr="00941C7F" w:rsidRDefault="008069CE" w:rsidP="00D55F42">
            <w:pPr>
              <w:spacing w:after="0" w:line="360" w:lineRule="auto"/>
              <w:jc w:val="both"/>
              <w:rPr>
                <w:rFonts w:ascii="Times New Roman" w:hAnsi="Times New Roman" w:cs="Times New Roman"/>
                <w:sz w:val="24"/>
                <w:szCs w:val="24"/>
              </w:rPr>
            </w:pPr>
          </w:p>
        </w:tc>
        <w:tc>
          <w:tcPr>
            <w:tcW w:w="4677" w:type="dxa"/>
            <w:gridSpan w:val="2"/>
          </w:tcPr>
          <w:p w14:paraId="16441786"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Stock of existing domestic debt </w:t>
            </w:r>
          </w:p>
          <w:p w14:paraId="4D4730CB"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shd w:val="clear" w:color="auto" w:fill="FFFFFF"/>
              </w:rPr>
              <w:t>(₦' Billion)</w:t>
            </w:r>
          </w:p>
        </w:tc>
        <w:tc>
          <w:tcPr>
            <w:tcW w:w="1700" w:type="dxa"/>
          </w:tcPr>
          <w:p w14:paraId="3F27AFAB"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p w14:paraId="708AF761" w14:textId="77777777" w:rsidR="008069CE" w:rsidRPr="00941C7F" w:rsidRDefault="008069CE" w:rsidP="00D55F42">
            <w:pPr>
              <w:spacing w:after="0" w:line="360" w:lineRule="auto"/>
              <w:jc w:val="both"/>
              <w:rPr>
                <w:rFonts w:ascii="Times New Roman" w:hAnsi="Times New Roman" w:cs="Times New Roman"/>
                <w:sz w:val="24"/>
                <w:szCs w:val="24"/>
              </w:rPr>
            </w:pPr>
          </w:p>
        </w:tc>
      </w:tr>
      <w:tr w:rsidR="008069CE" w:rsidRPr="00941C7F" w14:paraId="6DB59DCE" w14:textId="77777777" w:rsidTr="00D55F42">
        <w:trPr>
          <w:trHeight w:val="872"/>
        </w:trPr>
        <w:tc>
          <w:tcPr>
            <w:tcW w:w="4361" w:type="dxa"/>
            <w:gridSpan w:val="2"/>
            <w:vMerge/>
          </w:tcPr>
          <w:p w14:paraId="45E63783" w14:textId="77777777" w:rsidR="008069CE" w:rsidRPr="00941C7F" w:rsidRDefault="008069CE" w:rsidP="00D55F42">
            <w:pPr>
              <w:spacing w:after="0" w:line="360" w:lineRule="auto"/>
              <w:jc w:val="both"/>
              <w:rPr>
                <w:rFonts w:ascii="Times New Roman" w:hAnsi="Times New Roman" w:cs="Times New Roman"/>
                <w:sz w:val="24"/>
                <w:szCs w:val="24"/>
              </w:rPr>
            </w:pPr>
          </w:p>
        </w:tc>
        <w:tc>
          <w:tcPr>
            <w:tcW w:w="4677" w:type="dxa"/>
            <w:gridSpan w:val="2"/>
          </w:tcPr>
          <w:p w14:paraId="2BEC7202"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Stock of external debt services</w:t>
            </w:r>
          </w:p>
          <w:p w14:paraId="28DE9344"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w:t>
            </w:r>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 xml:space="preserve"> US$)</w:t>
            </w:r>
          </w:p>
        </w:tc>
        <w:tc>
          <w:tcPr>
            <w:tcW w:w="1700" w:type="dxa"/>
          </w:tcPr>
          <w:p w14:paraId="7DC457B0"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WDI, 2022</w:t>
            </w:r>
          </w:p>
          <w:p w14:paraId="7064FFC8" w14:textId="77777777" w:rsidR="008069CE" w:rsidRPr="00941C7F" w:rsidRDefault="008069CE" w:rsidP="00D55F42">
            <w:pPr>
              <w:spacing w:after="0" w:line="360" w:lineRule="auto"/>
              <w:jc w:val="both"/>
              <w:rPr>
                <w:rFonts w:ascii="Times New Roman" w:hAnsi="Times New Roman" w:cs="Times New Roman"/>
                <w:sz w:val="24"/>
                <w:szCs w:val="24"/>
              </w:rPr>
            </w:pPr>
          </w:p>
        </w:tc>
      </w:tr>
      <w:tr w:rsidR="008069CE" w:rsidRPr="00941C7F" w14:paraId="6B112CB4" w14:textId="77777777" w:rsidTr="00D55F42">
        <w:trPr>
          <w:trHeight w:val="402"/>
        </w:trPr>
        <w:tc>
          <w:tcPr>
            <w:tcW w:w="4361" w:type="dxa"/>
            <w:gridSpan w:val="2"/>
            <w:vMerge/>
          </w:tcPr>
          <w:p w14:paraId="6B73D54E" w14:textId="77777777" w:rsidR="008069CE" w:rsidRPr="00941C7F" w:rsidRDefault="008069CE" w:rsidP="00D55F42">
            <w:pPr>
              <w:spacing w:after="0" w:line="360" w:lineRule="auto"/>
              <w:jc w:val="both"/>
              <w:rPr>
                <w:rFonts w:ascii="Times New Roman" w:hAnsi="Times New Roman" w:cs="Times New Roman"/>
                <w:sz w:val="24"/>
                <w:szCs w:val="24"/>
              </w:rPr>
            </w:pPr>
          </w:p>
        </w:tc>
        <w:tc>
          <w:tcPr>
            <w:tcW w:w="4677" w:type="dxa"/>
            <w:gridSpan w:val="2"/>
          </w:tcPr>
          <w:p w14:paraId="55CAF9B6"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CBN Interest rate </w:t>
            </w:r>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w:t>
            </w:r>
          </w:p>
        </w:tc>
        <w:tc>
          <w:tcPr>
            <w:tcW w:w="1700" w:type="dxa"/>
          </w:tcPr>
          <w:p w14:paraId="66DA9601"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p w14:paraId="6AB98ADD" w14:textId="77777777" w:rsidR="008069CE" w:rsidRPr="00941C7F" w:rsidRDefault="008069CE" w:rsidP="00D55F42">
            <w:pPr>
              <w:spacing w:after="0" w:line="360" w:lineRule="auto"/>
              <w:jc w:val="both"/>
              <w:rPr>
                <w:rFonts w:ascii="Times New Roman" w:hAnsi="Times New Roman" w:cs="Times New Roman"/>
                <w:sz w:val="24"/>
                <w:szCs w:val="24"/>
              </w:rPr>
            </w:pPr>
          </w:p>
        </w:tc>
      </w:tr>
      <w:tr w:rsidR="008069CE" w:rsidRPr="00941C7F" w14:paraId="5096B6F6" w14:textId="77777777" w:rsidTr="00D55F42">
        <w:trPr>
          <w:trHeight w:val="404"/>
        </w:trPr>
        <w:tc>
          <w:tcPr>
            <w:tcW w:w="4361" w:type="dxa"/>
            <w:gridSpan w:val="2"/>
            <w:vMerge/>
            <w:tcBorders>
              <w:bottom w:val="single" w:sz="4" w:space="0" w:color="auto"/>
            </w:tcBorders>
          </w:tcPr>
          <w:p w14:paraId="0CECEF3A" w14:textId="77777777" w:rsidR="008069CE" w:rsidRPr="00941C7F" w:rsidRDefault="008069CE" w:rsidP="00D55F42">
            <w:pPr>
              <w:spacing w:after="0" w:line="360" w:lineRule="auto"/>
              <w:jc w:val="both"/>
              <w:rPr>
                <w:rFonts w:ascii="Times New Roman" w:hAnsi="Times New Roman" w:cs="Times New Roman"/>
                <w:sz w:val="24"/>
                <w:szCs w:val="24"/>
              </w:rPr>
            </w:pPr>
          </w:p>
        </w:tc>
        <w:tc>
          <w:tcPr>
            <w:tcW w:w="4677" w:type="dxa"/>
            <w:gridSpan w:val="2"/>
            <w:tcBorders>
              <w:bottom w:val="single" w:sz="4" w:space="0" w:color="auto"/>
            </w:tcBorders>
          </w:tcPr>
          <w:p w14:paraId="78A244E1"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Stock of annual savings % of GDP in US dollar</w:t>
            </w:r>
          </w:p>
          <w:p w14:paraId="04397084"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Exchange Rate @ market price (₦</w:t>
            </w:r>
            <w:r w:rsidRPr="00941C7F">
              <w:rPr>
                <w:rFonts w:ascii="Times New Roman" w:hAnsi="Times New Roman" w:cs="Times New Roman"/>
                <w:bCs/>
                <w:color w:val="000000"/>
                <w:sz w:val="24"/>
                <w:szCs w:val="24"/>
              </w:rPr>
              <w:t>/$)</w:t>
            </w:r>
          </w:p>
        </w:tc>
        <w:tc>
          <w:tcPr>
            <w:tcW w:w="1700" w:type="dxa"/>
            <w:tcBorders>
              <w:bottom w:val="single" w:sz="4" w:space="0" w:color="auto"/>
            </w:tcBorders>
          </w:tcPr>
          <w:p w14:paraId="2A9E2656"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p w14:paraId="1031756E" w14:textId="77777777" w:rsidR="008069CE" w:rsidRPr="00941C7F" w:rsidRDefault="008069CE" w:rsidP="00D55F42">
            <w:pPr>
              <w:spacing w:after="0" w:line="360" w:lineRule="auto"/>
              <w:jc w:val="both"/>
              <w:rPr>
                <w:rFonts w:ascii="Times New Roman" w:hAnsi="Times New Roman" w:cs="Times New Roman"/>
                <w:sz w:val="24"/>
                <w:szCs w:val="24"/>
              </w:rPr>
            </w:pPr>
          </w:p>
          <w:p w14:paraId="5472BBAD"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tc>
      </w:tr>
    </w:tbl>
    <w:p w14:paraId="40F5D069"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Source: Researcher’s compilations, 2025. WDI = World Development Indicator, CBN = Central Bank of Nigeria</w:t>
      </w:r>
    </w:p>
    <w:p w14:paraId="31492C34"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b/>
          <w:bCs/>
          <w:sz w:val="24"/>
          <w:szCs w:val="24"/>
        </w:rPr>
        <w:t>The Economic Criterion: Evaluation Based on Economic Apriori Expectation</w:t>
      </w:r>
    </w:p>
    <w:p w14:paraId="5F319B7C" w14:textId="77777777" w:rsidR="008069CE" w:rsidRPr="00941C7F" w:rsidRDefault="008069CE" w:rsidP="008069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involves </w:t>
      </w:r>
      <w:r w:rsidRPr="00941C7F">
        <w:rPr>
          <w:rFonts w:ascii="Times New Roman" w:hAnsi="Times New Roman" w:cs="Times New Roman"/>
          <w:sz w:val="24"/>
          <w:szCs w:val="24"/>
        </w:rPr>
        <w:t>check</w:t>
      </w:r>
      <w:r>
        <w:rPr>
          <w:rFonts w:ascii="Times New Roman" w:hAnsi="Times New Roman" w:cs="Times New Roman"/>
          <w:sz w:val="24"/>
          <w:szCs w:val="24"/>
        </w:rPr>
        <w:t>s</w:t>
      </w:r>
      <w:r w:rsidRPr="00941C7F">
        <w:rPr>
          <w:rFonts w:ascii="Times New Roman" w:hAnsi="Times New Roman" w:cs="Times New Roman"/>
          <w:sz w:val="24"/>
          <w:szCs w:val="24"/>
        </w:rPr>
        <w:t xml:space="preserve"> to ascertain whether the sign</w:t>
      </w:r>
      <w:r>
        <w:rPr>
          <w:rFonts w:ascii="Times New Roman" w:hAnsi="Times New Roman" w:cs="Times New Roman"/>
          <w:sz w:val="24"/>
          <w:szCs w:val="24"/>
        </w:rPr>
        <w:t>s of the estimated parameters of the</w:t>
      </w:r>
      <w:r w:rsidRPr="00941C7F">
        <w:rPr>
          <w:rFonts w:ascii="Times New Roman" w:hAnsi="Times New Roman" w:cs="Times New Roman"/>
          <w:sz w:val="24"/>
          <w:szCs w:val="24"/>
        </w:rPr>
        <w:t xml:space="preserve"> independent variable agree with the expected signs as suggested by economic theory. A summary of the apriori expectations of the parameters is summarized in table </w:t>
      </w:r>
      <w:r>
        <w:rPr>
          <w:rFonts w:ascii="Times New Roman" w:hAnsi="Times New Roman" w:cs="Times New Roman"/>
          <w:sz w:val="24"/>
          <w:szCs w:val="24"/>
        </w:rPr>
        <w:t>4</w:t>
      </w:r>
      <w:r w:rsidRPr="00941C7F">
        <w:rPr>
          <w:rFonts w:ascii="Times New Roman" w:hAnsi="Times New Roman" w:cs="Times New Roman"/>
          <w:sz w:val="24"/>
          <w:szCs w:val="24"/>
        </w:rPr>
        <w:t>.</w:t>
      </w:r>
    </w:p>
    <w:p w14:paraId="0D26C0A9" w14:textId="77777777" w:rsidR="008069CE" w:rsidRPr="00941C7F" w:rsidRDefault="008069CE" w:rsidP="008069CE">
      <w:pPr>
        <w:tabs>
          <w:tab w:val="left" w:pos="1080"/>
          <w:tab w:val="left" w:pos="4980"/>
        </w:tabs>
        <w:spacing w:after="0" w:line="360" w:lineRule="auto"/>
        <w:jc w:val="both"/>
        <w:rPr>
          <w:rFonts w:ascii="Times New Roman" w:hAnsi="Times New Roman" w:cs="Times New Roman"/>
          <w:sz w:val="24"/>
          <w:szCs w:val="24"/>
        </w:rPr>
      </w:pPr>
      <w:r w:rsidRPr="00941C7F">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941C7F">
        <w:rPr>
          <w:rFonts w:ascii="Times New Roman" w:hAnsi="Times New Roman" w:cs="Times New Roman"/>
          <w:b/>
          <w:bCs/>
          <w:sz w:val="24"/>
          <w:szCs w:val="24"/>
        </w:rPr>
        <w:t>: A Priori Expectation</w:t>
      </w:r>
    </w:p>
    <w:tbl>
      <w:tblPr>
        <w:tblpPr w:leftFromText="180" w:rightFromText="180" w:vertAnchor="text" w:horzAnchor="margin" w:tblpY="69"/>
        <w:tblW w:w="10276" w:type="dxa"/>
        <w:tblLayout w:type="fixed"/>
        <w:tblCellMar>
          <w:left w:w="10" w:type="dxa"/>
          <w:right w:w="10" w:type="dxa"/>
        </w:tblCellMar>
        <w:tblLook w:val="04A0" w:firstRow="1" w:lastRow="0" w:firstColumn="1" w:lastColumn="0" w:noHBand="0" w:noVBand="1"/>
      </w:tblPr>
      <w:tblGrid>
        <w:gridCol w:w="3838"/>
        <w:gridCol w:w="3641"/>
        <w:gridCol w:w="2797"/>
      </w:tblGrid>
      <w:tr w:rsidR="008069CE" w:rsidRPr="00941C7F" w14:paraId="5E7ACAAC" w14:textId="77777777" w:rsidTr="00D55F42">
        <w:trPr>
          <w:cantSplit/>
          <w:trHeight w:val="225"/>
          <w:tblHeader/>
        </w:trPr>
        <w:tc>
          <w:tcPr>
            <w:tcW w:w="3838" w:type="dxa"/>
            <w:tcBorders>
              <w:top w:val="single" w:sz="4" w:space="0" w:color="auto"/>
              <w:bottom w:val="single" w:sz="4" w:space="0" w:color="auto"/>
            </w:tcBorders>
          </w:tcPr>
          <w:p w14:paraId="22B9DA5B"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b/>
                <w:bCs/>
                <w:sz w:val="24"/>
                <w:szCs w:val="24"/>
              </w:rPr>
              <w:t>Regressand</w:t>
            </w:r>
          </w:p>
        </w:tc>
        <w:tc>
          <w:tcPr>
            <w:tcW w:w="3641" w:type="dxa"/>
            <w:tcBorders>
              <w:top w:val="single" w:sz="4" w:space="0" w:color="auto"/>
              <w:bottom w:val="single" w:sz="4" w:space="0" w:color="auto"/>
            </w:tcBorders>
          </w:tcPr>
          <w:p w14:paraId="4EFA890F"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b/>
                <w:bCs/>
                <w:sz w:val="24"/>
                <w:szCs w:val="24"/>
              </w:rPr>
              <w:t>Regressor</w:t>
            </w:r>
          </w:p>
        </w:tc>
        <w:tc>
          <w:tcPr>
            <w:tcW w:w="2797" w:type="dxa"/>
            <w:tcBorders>
              <w:top w:val="single" w:sz="4" w:space="0" w:color="auto"/>
              <w:bottom w:val="single" w:sz="4" w:space="0" w:color="auto"/>
            </w:tcBorders>
          </w:tcPr>
          <w:p w14:paraId="7C68E088" w14:textId="77777777" w:rsidR="008069CE" w:rsidRPr="00941C7F" w:rsidRDefault="008069CE" w:rsidP="00D55F42">
            <w:pPr>
              <w:tabs>
                <w:tab w:val="left" w:pos="1580"/>
              </w:tabs>
              <w:spacing w:after="0" w:line="360" w:lineRule="auto"/>
              <w:jc w:val="both"/>
              <w:rPr>
                <w:rFonts w:ascii="Times New Roman" w:hAnsi="Times New Roman" w:cs="Times New Roman"/>
                <w:b/>
                <w:bCs/>
                <w:sz w:val="24"/>
                <w:szCs w:val="24"/>
              </w:rPr>
            </w:pPr>
            <w:r w:rsidRPr="00941C7F">
              <w:rPr>
                <w:rFonts w:ascii="Times New Roman" w:hAnsi="Times New Roman" w:cs="Times New Roman"/>
                <w:b/>
                <w:bCs/>
                <w:sz w:val="24"/>
                <w:szCs w:val="24"/>
              </w:rPr>
              <w:t>A priori Expectation</w:t>
            </w:r>
          </w:p>
        </w:tc>
      </w:tr>
      <w:tr w:rsidR="008069CE" w:rsidRPr="00941C7F" w14:paraId="678D621B" w14:textId="77777777" w:rsidTr="00D55F42">
        <w:trPr>
          <w:cantSplit/>
          <w:tblHeader/>
        </w:trPr>
        <w:tc>
          <w:tcPr>
            <w:tcW w:w="3838" w:type="dxa"/>
            <w:vMerge w:val="restart"/>
          </w:tcPr>
          <w:p w14:paraId="27BE1FB2" w14:textId="77777777" w:rsidR="008069CE" w:rsidRPr="00941C7F" w:rsidRDefault="008069CE" w:rsidP="00D55F42">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Gross fixed capital accumulation </w:t>
            </w:r>
          </w:p>
          <w:p w14:paraId="43D2C921"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p>
        </w:tc>
        <w:tc>
          <w:tcPr>
            <w:tcW w:w="3641" w:type="dxa"/>
          </w:tcPr>
          <w:p w14:paraId="087ACC2F"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Total external debt</w:t>
            </w:r>
          </w:p>
        </w:tc>
        <w:tc>
          <w:tcPr>
            <w:tcW w:w="2797" w:type="dxa"/>
          </w:tcPr>
          <w:p w14:paraId="69F7EEB4"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tc>
      </w:tr>
      <w:tr w:rsidR="008069CE" w:rsidRPr="00941C7F" w14:paraId="689B235F" w14:textId="77777777" w:rsidTr="00D55F42">
        <w:trPr>
          <w:cantSplit/>
          <w:tblHeader/>
        </w:trPr>
        <w:tc>
          <w:tcPr>
            <w:tcW w:w="3838" w:type="dxa"/>
            <w:vMerge/>
          </w:tcPr>
          <w:p w14:paraId="35F9832C"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p>
        </w:tc>
        <w:tc>
          <w:tcPr>
            <w:tcW w:w="3641" w:type="dxa"/>
          </w:tcPr>
          <w:p w14:paraId="4029EEE6"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Total domestic debt</w:t>
            </w:r>
          </w:p>
        </w:tc>
        <w:tc>
          <w:tcPr>
            <w:tcW w:w="2797" w:type="dxa"/>
          </w:tcPr>
          <w:p w14:paraId="23BEC513"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tc>
      </w:tr>
      <w:tr w:rsidR="008069CE" w:rsidRPr="00941C7F" w14:paraId="76AC9F68" w14:textId="77777777" w:rsidTr="00D55F42">
        <w:trPr>
          <w:cantSplit/>
          <w:tblHeader/>
        </w:trPr>
        <w:tc>
          <w:tcPr>
            <w:tcW w:w="3838" w:type="dxa"/>
            <w:vMerge/>
          </w:tcPr>
          <w:p w14:paraId="22A8D991"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p>
        </w:tc>
        <w:tc>
          <w:tcPr>
            <w:tcW w:w="3641" w:type="dxa"/>
          </w:tcPr>
          <w:p w14:paraId="42AF524A"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External debt servicing</w:t>
            </w:r>
          </w:p>
        </w:tc>
        <w:tc>
          <w:tcPr>
            <w:tcW w:w="2797" w:type="dxa"/>
          </w:tcPr>
          <w:p w14:paraId="5AF4A6B7"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tc>
      </w:tr>
      <w:tr w:rsidR="008069CE" w:rsidRPr="00941C7F" w14:paraId="453C6647" w14:textId="77777777" w:rsidTr="00D55F42">
        <w:trPr>
          <w:cantSplit/>
          <w:trHeight w:val="705"/>
          <w:tblHeader/>
        </w:trPr>
        <w:tc>
          <w:tcPr>
            <w:tcW w:w="3838" w:type="dxa"/>
            <w:vMerge/>
            <w:tcBorders>
              <w:bottom w:val="single" w:sz="4" w:space="0" w:color="auto"/>
            </w:tcBorders>
          </w:tcPr>
          <w:p w14:paraId="576C4C52"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p>
        </w:tc>
        <w:tc>
          <w:tcPr>
            <w:tcW w:w="3641" w:type="dxa"/>
            <w:tcBorders>
              <w:bottom w:val="single" w:sz="4" w:space="0" w:color="auto"/>
            </w:tcBorders>
          </w:tcPr>
          <w:p w14:paraId="70B8C312"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Nominal interest rate </w:t>
            </w:r>
          </w:p>
          <w:p w14:paraId="7B208F35"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National savings</w:t>
            </w:r>
          </w:p>
          <w:p w14:paraId="2B22E642"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Nominal exchange rate</w:t>
            </w:r>
          </w:p>
        </w:tc>
        <w:tc>
          <w:tcPr>
            <w:tcW w:w="2797" w:type="dxa"/>
            <w:tcBorders>
              <w:bottom w:val="single" w:sz="4" w:space="0" w:color="auto"/>
            </w:tcBorders>
          </w:tcPr>
          <w:p w14:paraId="74E82B25"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Positive/negative (+/-) </w:t>
            </w:r>
          </w:p>
          <w:p w14:paraId="09CC1AFD"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p w14:paraId="763408A4" w14:textId="77777777" w:rsidR="008069CE" w:rsidRPr="00941C7F" w:rsidRDefault="008069CE" w:rsidP="00D55F42">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Positive/negative (+/-)</w:t>
            </w:r>
          </w:p>
        </w:tc>
      </w:tr>
    </w:tbl>
    <w:p w14:paraId="392C7E72" w14:textId="77777777" w:rsidR="008069CE" w:rsidRPr="00941C7F" w:rsidRDefault="008069CE" w:rsidP="008069CE">
      <w:pPr>
        <w:tabs>
          <w:tab w:val="left" w:pos="1580"/>
        </w:tabs>
        <w:spacing w:line="360" w:lineRule="auto"/>
        <w:jc w:val="both"/>
        <w:rPr>
          <w:rFonts w:ascii="Times New Roman" w:hAnsi="Times New Roman" w:cs="Times New Roman"/>
          <w:b/>
          <w:bCs/>
          <w:sz w:val="24"/>
          <w:szCs w:val="24"/>
        </w:rPr>
      </w:pPr>
      <w:r w:rsidRPr="00941C7F">
        <w:rPr>
          <w:rFonts w:ascii="Times New Roman" w:hAnsi="Times New Roman" w:cs="Times New Roman"/>
          <w:b/>
          <w:bCs/>
          <w:sz w:val="24"/>
          <w:szCs w:val="24"/>
        </w:rPr>
        <w:t xml:space="preserve">Source: </w:t>
      </w:r>
      <w:r w:rsidRPr="00941C7F">
        <w:rPr>
          <w:rFonts w:ascii="Times New Roman" w:hAnsi="Times New Roman" w:cs="Times New Roman"/>
          <w:b/>
          <w:sz w:val="24"/>
          <w:szCs w:val="24"/>
        </w:rPr>
        <w:t>Researcher’s</w:t>
      </w:r>
      <w:r w:rsidRPr="00941C7F">
        <w:rPr>
          <w:rFonts w:ascii="Times New Roman" w:hAnsi="Times New Roman" w:cs="Times New Roman"/>
          <w:b/>
          <w:bCs/>
          <w:sz w:val="24"/>
          <w:szCs w:val="24"/>
        </w:rPr>
        <w:t xml:space="preserve"> compilations, 2025</w:t>
      </w:r>
    </w:p>
    <w:p w14:paraId="7AFBAE48" w14:textId="77777777" w:rsidR="008069CE" w:rsidRPr="00941C7F" w:rsidRDefault="008069CE" w:rsidP="008069CE">
      <w:pPr>
        <w:spacing w:before="240"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The plus sign (+) show a positive relationship between the regressed and regressors</w:t>
      </w:r>
      <w:r>
        <w:rPr>
          <w:rFonts w:ascii="Times New Roman" w:hAnsi="Times New Roman" w:cs="Times New Roman"/>
          <w:sz w:val="24"/>
          <w:szCs w:val="24"/>
        </w:rPr>
        <w:t>. This implies that an increase</w:t>
      </w:r>
      <w:r w:rsidRPr="00941C7F">
        <w:rPr>
          <w:rFonts w:ascii="Times New Roman" w:hAnsi="Times New Roman" w:cs="Times New Roman"/>
          <w:sz w:val="24"/>
          <w:szCs w:val="24"/>
        </w:rPr>
        <w:t xml:space="preserve"> in independent variable will cause an increase in the dependent variable. In the case of minus sign (-) an increases in independent variable will cause a decrease in the dependent variable. While (+/-) is indeterminate, meaning that the independent variable can cause an increase or decrease at different point in times, depending on the prevalent socio-economic circumstances. </w:t>
      </w:r>
    </w:p>
    <w:p w14:paraId="2459FC50" w14:textId="77777777" w:rsidR="008069CE" w:rsidRPr="00941C7F" w:rsidRDefault="008069CE" w:rsidP="008069CE">
      <w:pPr>
        <w:tabs>
          <w:tab w:val="left" w:pos="7450"/>
        </w:tabs>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4. Empirical results and Discussion of the result</w:t>
      </w:r>
    </w:p>
    <w:p w14:paraId="2B316227" w14:textId="77777777" w:rsidR="008069CE" w:rsidRPr="00941C7F" w:rsidRDefault="008069CE" w:rsidP="008069CE">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Table </w:t>
      </w:r>
      <w:r>
        <w:rPr>
          <w:rFonts w:ascii="Times New Roman" w:hAnsi="Times New Roman" w:cs="Times New Roman"/>
          <w:b/>
          <w:sz w:val="24"/>
          <w:szCs w:val="24"/>
        </w:rPr>
        <w:t>5</w:t>
      </w:r>
      <w:r w:rsidRPr="00941C7F">
        <w:rPr>
          <w:rFonts w:ascii="Times New Roman" w:hAnsi="Times New Roman" w:cs="Times New Roman"/>
          <w:b/>
          <w:sz w:val="24"/>
          <w:szCs w:val="24"/>
        </w:rPr>
        <w:t xml:space="preserve"> Descriptive Statistics of the Variables</w:t>
      </w:r>
    </w:p>
    <w:tbl>
      <w:tblPr>
        <w:tblW w:w="10460" w:type="dxa"/>
        <w:tblInd w:w="30" w:type="dxa"/>
        <w:tblLayout w:type="fixed"/>
        <w:tblCellMar>
          <w:left w:w="0" w:type="dxa"/>
          <w:right w:w="0" w:type="dxa"/>
        </w:tblCellMar>
        <w:tblLook w:val="0000" w:firstRow="0" w:lastRow="0" w:firstColumn="0" w:lastColumn="0" w:noHBand="0" w:noVBand="0"/>
      </w:tblPr>
      <w:tblGrid>
        <w:gridCol w:w="1530"/>
        <w:gridCol w:w="1417"/>
        <w:gridCol w:w="1276"/>
        <w:gridCol w:w="1276"/>
        <w:gridCol w:w="197"/>
        <w:gridCol w:w="1275"/>
        <w:gridCol w:w="197"/>
        <w:gridCol w:w="969"/>
        <w:gridCol w:w="197"/>
        <w:gridCol w:w="1078"/>
        <w:gridCol w:w="394"/>
        <w:gridCol w:w="630"/>
        <w:gridCol w:w="24"/>
      </w:tblGrid>
      <w:tr w:rsidR="008069CE" w:rsidRPr="00941C7F" w14:paraId="1778F24A" w14:textId="77777777" w:rsidTr="00D55F42">
        <w:trPr>
          <w:gridAfter w:val="1"/>
          <w:wAfter w:w="24" w:type="dxa"/>
          <w:trHeight w:val="266"/>
        </w:trPr>
        <w:tc>
          <w:tcPr>
            <w:tcW w:w="1530" w:type="dxa"/>
            <w:tcBorders>
              <w:bottom w:val="single" w:sz="4" w:space="0" w:color="auto"/>
            </w:tcBorders>
            <w:vAlign w:val="bottom"/>
          </w:tcPr>
          <w:p w14:paraId="208F4AE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VARIABLES</w:t>
            </w:r>
          </w:p>
        </w:tc>
        <w:tc>
          <w:tcPr>
            <w:tcW w:w="1417" w:type="dxa"/>
            <w:tcBorders>
              <w:bottom w:val="single" w:sz="4" w:space="0" w:color="auto"/>
            </w:tcBorders>
            <w:vAlign w:val="bottom"/>
          </w:tcPr>
          <w:p w14:paraId="34389C5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gFCF</w:t>
            </w:r>
          </w:p>
        </w:tc>
        <w:tc>
          <w:tcPr>
            <w:tcW w:w="1276" w:type="dxa"/>
            <w:tcBorders>
              <w:bottom w:val="single" w:sz="4" w:space="0" w:color="auto"/>
            </w:tcBorders>
            <w:vAlign w:val="bottom"/>
          </w:tcPr>
          <w:p w14:paraId="7AD2801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tEXD</w:t>
            </w:r>
          </w:p>
        </w:tc>
        <w:tc>
          <w:tcPr>
            <w:tcW w:w="1473" w:type="dxa"/>
            <w:gridSpan w:val="2"/>
            <w:tcBorders>
              <w:bottom w:val="single" w:sz="4" w:space="0" w:color="auto"/>
            </w:tcBorders>
            <w:vAlign w:val="bottom"/>
          </w:tcPr>
          <w:p w14:paraId="7888949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tDMD</w:t>
            </w:r>
          </w:p>
        </w:tc>
        <w:tc>
          <w:tcPr>
            <w:tcW w:w="1472" w:type="dxa"/>
            <w:gridSpan w:val="2"/>
            <w:tcBorders>
              <w:bottom w:val="single" w:sz="4" w:space="0" w:color="auto"/>
            </w:tcBorders>
            <w:vAlign w:val="bottom"/>
          </w:tcPr>
          <w:p w14:paraId="2AB98BDF"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eXDS</w:t>
            </w:r>
          </w:p>
        </w:tc>
        <w:tc>
          <w:tcPr>
            <w:tcW w:w="1166" w:type="dxa"/>
            <w:gridSpan w:val="2"/>
            <w:tcBorders>
              <w:bottom w:val="single" w:sz="4" w:space="0" w:color="auto"/>
            </w:tcBorders>
            <w:vAlign w:val="bottom"/>
          </w:tcPr>
          <w:p w14:paraId="2B37BF3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nINT</w:t>
            </w:r>
          </w:p>
        </w:tc>
        <w:tc>
          <w:tcPr>
            <w:tcW w:w="1472" w:type="dxa"/>
            <w:gridSpan w:val="2"/>
            <w:tcBorders>
              <w:bottom w:val="single" w:sz="4" w:space="0" w:color="auto"/>
            </w:tcBorders>
            <w:vAlign w:val="bottom"/>
          </w:tcPr>
          <w:p w14:paraId="14AF1BE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nSAV</w:t>
            </w:r>
          </w:p>
        </w:tc>
        <w:tc>
          <w:tcPr>
            <w:tcW w:w="630" w:type="dxa"/>
            <w:tcBorders>
              <w:bottom w:val="single" w:sz="4" w:space="0" w:color="auto"/>
            </w:tcBorders>
            <w:vAlign w:val="bottom"/>
          </w:tcPr>
          <w:p w14:paraId="1CCD9FD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nEXR</w:t>
            </w:r>
          </w:p>
        </w:tc>
      </w:tr>
      <w:tr w:rsidR="008069CE" w:rsidRPr="00941C7F" w14:paraId="00B5D4BA" w14:textId="77777777" w:rsidTr="00D55F42">
        <w:trPr>
          <w:trHeight w:val="266"/>
        </w:trPr>
        <w:tc>
          <w:tcPr>
            <w:tcW w:w="1530" w:type="dxa"/>
            <w:tcBorders>
              <w:top w:val="single" w:sz="4" w:space="0" w:color="auto"/>
            </w:tcBorders>
            <w:vAlign w:val="bottom"/>
          </w:tcPr>
          <w:p w14:paraId="15F3C0C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Mean</w:t>
            </w:r>
          </w:p>
        </w:tc>
        <w:tc>
          <w:tcPr>
            <w:tcW w:w="1417" w:type="dxa"/>
            <w:tcBorders>
              <w:top w:val="single" w:sz="4" w:space="0" w:color="auto"/>
            </w:tcBorders>
            <w:vAlign w:val="bottom"/>
          </w:tcPr>
          <w:p w14:paraId="433829A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12056.22</w:t>
            </w:r>
          </w:p>
        </w:tc>
        <w:tc>
          <w:tcPr>
            <w:tcW w:w="1276" w:type="dxa"/>
            <w:tcBorders>
              <w:top w:val="single" w:sz="4" w:space="0" w:color="auto"/>
            </w:tcBorders>
            <w:vAlign w:val="bottom"/>
          </w:tcPr>
          <w:p w14:paraId="5CA1BEF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19531.91</w:t>
            </w:r>
          </w:p>
        </w:tc>
        <w:tc>
          <w:tcPr>
            <w:tcW w:w="1276" w:type="dxa"/>
            <w:tcBorders>
              <w:top w:val="single" w:sz="4" w:space="0" w:color="auto"/>
            </w:tcBorders>
            <w:vAlign w:val="bottom"/>
          </w:tcPr>
          <w:p w14:paraId="4427A30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4038.054</w:t>
            </w:r>
          </w:p>
        </w:tc>
        <w:tc>
          <w:tcPr>
            <w:tcW w:w="1472" w:type="dxa"/>
            <w:gridSpan w:val="2"/>
            <w:tcBorders>
              <w:top w:val="single" w:sz="4" w:space="0" w:color="auto"/>
            </w:tcBorders>
            <w:vAlign w:val="bottom"/>
          </w:tcPr>
          <w:p w14:paraId="3FA7391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548.1645</w:t>
            </w:r>
          </w:p>
        </w:tc>
        <w:tc>
          <w:tcPr>
            <w:tcW w:w="1166" w:type="dxa"/>
            <w:gridSpan w:val="2"/>
            <w:tcBorders>
              <w:top w:val="single" w:sz="4" w:space="0" w:color="auto"/>
            </w:tcBorders>
            <w:vAlign w:val="bottom"/>
          </w:tcPr>
          <w:p w14:paraId="0D44E0A6"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22.68752</w:t>
            </w:r>
          </w:p>
        </w:tc>
        <w:tc>
          <w:tcPr>
            <w:tcW w:w="1275" w:type="dxa"/>
            <w:gridSpan w:val="2"/>
            <w:tcBorders>
              <w:top w:val="single" w:sz="4" w:space="0" w:color="auto"/>
            </w:tcBorders>
            <w:vAlign w:val="bottom"/>
          </w:tcPr>
          <w:p w14:paraId="266AFEDF"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8.049396</w:t>
            </w:r>
          </w:p>
        </w:tc>
        <w:tc>
          <w:tcPr>
            <w:tcW w:w="1048" w:type="dxa"/>
            <w:gridSpan w:val="3"/>
            <w:tcBorders>
              <w:top w:val="single" w:sz="4" w:space="0" w:color="auto"/>
            </w:tcBorders>
            <w:vAlign w:val="bottom"/>
          </w:tcPr>
          <w:p w14:paraId="71C07E2F"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115.7410</w:t>
            </w:r>
          </w:p>
        </w:tc>
      </w:tr>
      <w:tr w:rsidR="008069CE" w:rsidRPr="00941C7F" w14:paraId="56B727B7" w14:textId="77777777" w:rsidTr="00D55F42">
        <w:trPr>
          <w:trHeight w:val="266"/>
        </w:trPr>
        <w:tc>
          <w:tcPr>
            <w:tcW w:w="1530" w:type="dxa"/>
            <w:vAlign w:val="bottom"/>
          </w:tcPr>
          <w:p w14:paraId="5AAE9C9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Median</w:t>
            </w:r>
          </w:p>
        </w:tc>
        <w:tc>
          <w:tcPr>
            <w:tcW w:w="1417" w:type="dxa"/>
            <w:vAlign w:val="bottom"/>
          </w:tcPr>
          <w:p w14:paraId="77BA2F76"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8316.089</w:t>
            </w:r>
          </w:p>
        </w:tc>
        <w:tc>
          <w:tcPr>
            <w:tcW w:w="1276" w:type="dxa"/>
            <w:vAlign w:val="bottom"/>
          </w:tcPr>
          <w:p w14:paraId="3CBBA8A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18678.82</w:t>
            </w:r>
          </w:p>
        </w:tc>
        <w:tc>
          <w:tcPr>
            <w:tcW w:w="1276" w:type="dxa"/>
            <w:vAlign w:val="bottom"/>
          </w:tcPr>
          <w:p w14:paraId="06428A0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1091.487</w:t>
            </w:r>
          </w:p>
        </w:tc>
        <w:tc>
          <w:tcPr>
            <w:tcW w:w="1472" w:type="dxa"/>
            <w:gridSpan w:val="2"/>
            <w:vAlign w:val="bottom"/>
          </w:tcPr>
          <w:p w14:paraId="41B6FE1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14.13010</w:t>
            </w:r>
          </w:p>
        </w:tc>
        <w:tc>
          <w:tcPr>
            <w:tcW w:w="1166" w:type="dxa"/>
            <w:gridSpan w:val="2"/>
            <w:vAlign w:val="bottom"/>
          </w:tcPr>
          <w:p w14:paraId="243DE13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10.75185</w:t>
            </w:r>
          </w:p>
        </w:tc>
        <w:tc>
          <w:tcPr>
            <w:tcW w:w="1275" w:type="dxa"/>
            <w:gridSpan w:val="2"/>
            <w:vAlign w:val="bottom"/>
          </w:tcPr>
          <w:p w14:paraId="74F5CB4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6.645847</w:t>
            </w:r>
          </w:p>
        </w:tc>
        <w:tc>
          <w:tcPr>
            <w:tcW w:w="1048" w:type="dxa"/>
            <w:gridSpan w:val="3"/>
            <w:vAlign w:val="bottom"/>
          </w:tcPr>
          <w:p w14:paraId="14853E6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115.2551</w:t>
            </w:r>
          </w:p>
        </w:tc>
      </w:tr>
      <w:tr w:rsidR="008069CE" w:rsidRPr="00941C7F" w14:paraId="0075C0E4" w14:textId="77777777" w:rsidTr="00D55F42">
        <w:trPr>
          <w:trHeight w:val="266"/>
        </w:trPr>
        <w:tc>
          <w:tcPr>
            <w:tcW w:w="1530" w:type="dxa"/>
            <w:vAlign w:val="bottom"/>
          </w:tcPr>
          <w:p w14:paraId="4B7B89D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Maximum</w:t>
            </w:r>
          </w:p>
        </w:tc>
        <w:tc>
          <w:tcPr>
            <w:tcW w:w="1417" w:type="dxa"/>
            <w:vAlign w:val="bottom"/>
          </w:tcPr>
          <w:p w14:paraId="5D631E2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42594.84</w:t>
            </w:r>
          </w:p>
        </w:tc>
        <w:tc>
          <w:tcPr>
            <w:tcW w:w="1276" w:type="dxa"/>
            <w:vAlign w:val="bottom"/>
          </w:tcPr>
          <w:p w14:paraId="3E89528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36689.36</w:t>
            </w:r>
          </w:p>
        </w:tc>
        <w:tc>
          <w:tcPr>
            <w:tcW w:w="1276" w:type="dxa"/>
            <w:vAlign w:val="bottom"/>
          </w:tcPr>
          <w:p w14:paraId="352EF48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22210.36</w:t>
            </w:r>
          </w:p>
        </w:tc>
        <w:tc>
          <w:tcPr>
            <w:tcW w:w="1472" w:type="dxa"/>
            <w:gridSpan w:val="2"/>
            <w:vAlign w:val="bottom"/>
          </w:tcPr>
          <w:p w14:paraId="6566EA4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5656.579</w:t>
            </w:r>
          </w:p>
        </w:tc>
        <w:tc>
          <w:tcPr>
            <w:tcW w:w="1166" w:type="dxa"/>
            <w:gridSpan w:val="2"/>
            <w:vAlign w:val="bottom"/>
          </w:tcPr>
          <w:p w14:paraId="38378C5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219.0028</w:t>
            </w:r>
          </w:p>
        </w:tc>
        <w:tc>
          <w:tcPr>
            <w:tcW w:w="1275" w:type="dxa"/>
            <w:gridSpan w:val="2"/>
            <w:vAlign w:val="bottom"/>
          </w:tcPr>
          <w:p w14:paraId="460F2BC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14.94330</w:t>
            </w:r>
          </w:p>
        </w:tc>
        <w:tc>
          <w:tcPr>
            <w:tcW w:w="1048" w:type="dxa"/>
            <w:gridSpan w:val="3"/>
            <w:vAlign w:val="bottom"/>
          </w:tcPr>
          <w:p w14:paraId="4F0EA8F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425.9811</w:t>
            </w:r>
          </w:p>
        </w:tc>
      </w:tr>
      <w:tr w:rsidR="008069CE" w:rsidRPr="00941C7F" w14:paraId="61F86995" w14:textId="77777777" w:rsidTr="00D55F42">
        <w:trPr>
          <w:trHeight w:val="266"/>
        </w:trPr>
        <w:tc>
          <w:tcPr>
            <w:tcW w:w="1530" w:type="dxa"/>
            <w:vAlign w:val="bottom"/>
          </w:tcPr>
          <w:p w14:paraId="4075892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Minimum</w:t>
            </w:r>
          </w:p>
        </w:tc>
        <w:tc>
          <w:tcPr>
            <w:tcW w:w="1417" w:type="dxa"/>
            <w:vAlign w:val="bottom"/>
          </w:tcPr>
          <w:p w14:paraId="781C4C7A"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5668.868</w:t>
            </w:r>
          </w:p>
        </w:tc>
        <w:tc>
          <w:tcPr>
            <w:tcW w:w="1276" w:type="dxa"/>
            <w:vAlign w:val="bottom"/>
          </w:tcPr>
          <w:p w14:paraId="70AED469"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1631.522</w:t>
            </w:r>
          </w:p>
        </w:tc>
        <w:tc>
          <w:tcPr>
            <w:tcW w:w="1276" w:type="dxa"/>
            <w:vAlign w:val="bottom"/>
          </w:tcPr>
          <w:p w14:paraId="7E17B62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11.19260</w:t>
            </w:r>
          </w:p>
        </w:tc>
        <w:tc>
          <w:tcPr>
            <w:tcW w:w="1472" w:type="dxa"/>
            <w:gridSpan w:val="2"/>
            <w:vAlign w:val="bottom"/>
          </w:tcPr>
          <w:p w14:paraId="6EB3F9AA"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5.023600</w:t>
            </w:r>
          </w:p>
        </w:tc>
        <w:tc>
          <w:tcPr>
            <w:tcW w:w="1166" w:type="dxa"/>
            <w:gridSpan w:val="2"/>
            <w:vAlign w:val="bottom"/>
          </w:tcPr>
          <w:p w14:paraId="097DE69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0.686099</w:t>
            </w:r>
          </w:p>
        </w:tc>
        <w:tc>
          <w:tcPr>
            <w:tcW w:w="1275" w:type="dxa"/>
            <w:gridSpan w:val="2"/>
            <w:vAlign w:val="bottom"/>
          </w:tcPr>
          <w:p w14:paraId="3E033399"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3.291754</w:t>
            </w:r>
          </w:p>
        </w:tc>
        <w:tc>
          <w:tcPr>
            <w:tcW w:w="1048" w:type="dxa"/>
            <w:gridSpan w:val="3"/>
            <w:vAlign w:val="bottom"/>
          </w:tcPr>
          <w:p w14:paraId="1BDF562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0.610025</w:t>
            </w:r>
          </w:p>
        </w:tc>
      </w:tr>
      <w:tr w:rsidR="008069CE" w:rsidRPr="00941C7F" w14:paraId="0AE4C534" w14:textId="77777777" w:rsidTr="00D55F42">
        <w:trPr>
          <w:trHeight w:val="266"/>
        </w:trPr>
        <w:tc>
          <w:tcPr>
            <w:tcW w:w="1530" w:type="dxa"/>
            <w:vAlign w:val="bottom"/>
          </w:tcPr>
          <w:p w14:paraId="11F7766A"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Std. Dev.</w:t>
            </w:r>
          </w:p>
        </w:tc>
        <w:tc>
          <w:tcPr>
            <w:tcW w:w="1417" w:type="dxa"/>
            <w:vAlign w:val="bottom"/>
          </w:tcPr>
          <w:p w14:paraId="5D86689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10154.23</w:t>
            </w:r>
          </w:p>
        </w:tc>
        <w:tc>
          <w:tcPr>
            <w:tcW w:w="1276" w:type="dxa"/>
            <w:vAlign w:val="bottom"/>
          </w:tcPr>
          <w:p w14:paraId="08676FE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11485.86</w:t>
            </w:r>
          </w:p>
        </w:tc>
        <w:tc>
          <w:tcPr>
            <w:tcW w:w="1276" w:type="dxa"/>
            <w:vAlign w:val="bottom"/>
          </w:tcPr>
          <w:p w14:paraId="033BCA5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5852.148</w:t>
            </w:r>
          </w:p>
        </w:tc>
        <w:tc>
          <w:tcPr>
            <w:tcW w:w="1472" w:type="dxa"/>
            <w:gridSpan w:val="2"/>
            <w:vAlign w:val="bottom"/>
          </w:tcPr>
          <w:p w14:paraId="27CEC0B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1254.566</w:t>
            </w:r>
          </w:p>
        </w:tc>
        <w:tc>
          <w:tcPr>
            <w:tcW w:w="1166" w:type="dxa"/>
            <w:gridSpan w:val="2"/>
            <w:vAlign w:val="bottom"/>
          </w:tcPr>
          <w:p w14:paraId="41C38359"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35.30388</w:t>
            </w:r>
          </w:p>
        </w:tc>
        <w:tc>
          <w:tcPr>
            <w:tcW w:w="1275" w:type="dxa"/>
            <w:gridSpan w:val="2"/>
            <w:vAlign w:val="bottom"/>
          </w:tcPr>
          <w:p w14:paraId="0492C28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3.464103</w:t>
            </w:r>
          </w:p>
        </w:tc>
        <w:tc>
          <w:tcPr>
            <w:tcW w:w="1048" w:type="dxa"/>
            <w:gridSpan w:val="3"/>
            <w:vAlign w:val="bottom"/>
          </w:tcPr>
          <w:p w14:paraId="0D3D7CA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119.1411</w:t>
            </w:r>
          </w:p>
        </w:tc>
      </w:tr>
      <w:tr w:rsidR="008069CE" w:rsidRPr="00941C7F" w14:paraId="563C58EE" w14:textId="77777777" w:rsidTr="00D55F42">
        <w:trPr>
          <w:trHeight w:val="266"/>
        </w:trPr>
        <w:tc>
          <w:tcPr>
            <w:tcW w:w="1530" w:type="dxa"/>
            <w:vAlign w:val="bottom"/>
          </w:tcPr>
          <w:p w14:paraId="056E12E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Skewness</w:t>
            </w:r>
          </w:p>
        </w:tc>
        <w:tc>
          <w:tcPr>
            <w:tcW w:w="1417" w:type="dxa"/>
            <w:vAlign w:val="bottom"/>
          </w:tcPr>
          <w:p w14:paraId="6AD774B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2.240532</w:t>
            </w:r>
          </w:p>
        </w:tc>
        <w:tc>
          <w:tcPr>
            <w:tcW w:w="1276" w:type="dxa"/>
            <w:vAlign w:val="bottom"/>
          </w:tcPr>
          <w:p w14:paraId="66A6748A"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-0.103081</w:t>
            </w:r>
          </w:p>
        </w:tc>
        <w:tc>
          <w:tcPr>
            <w:tcW w:w="1276" w:type="dxa"/>
            <w:vAlign w:val="bottom"/>
          </w:tcPr>
          <w:p w14:paraId="1AD1B1F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1.592670</w:t>
            </w:r>
          </w:p>
        </w:tc>
        <w:tc>
          <w:tcPr>
            <w:tcW w:w="1472" w:type="dxa"/>
            <w:gridSpan w:val="2"/>
            <w:vAlign w:val="bottom"/>
          </w:tcPr>
          <w:p w14:paraId="79A536C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2.645885</w:t>
            </w:r>
          </w:p>
        </w:tc>
        <w:tc>
          <w:tcPr>
            <w:tcW w:w="1166" w:type="dxa"/>
            <w:gridSpan w:val="2"/>
            <w:vAlign w:val="bottom"/>
          </w:tcPr>
          <w:p w14:paraId="52337FA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4.378246</w:t>
            </w:r>
          </w:p>
        </w:tc>
        <w:tc>
          <w:tcPr>
            <w:tcW w:w="1275" w:type="dxa"/>
            <w:gridSpan w:val="2"/>
            <w:vAlign w:val="bottom"/>
          </w:tcPr>
          <w:p w14:paraId="1CB42FC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0.547543</w:t>
            </w:r>
          </w:p>
        </w:tc>
        <w:tc>
          <w:tcPr>
            <w:tcW w:w="1048" w:type="dxa"/>
            <w:gridSpan w:val="3"/>
            <w:vAlign w:val="bottom"/>
          </w:tcPr>
          <w:p w14:paraId="4799116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1.021358</w:t>
            </w:r>
          </w:p>
        </w:tc>
      </w:tr>
      <w:tr w:rsidR="008069CE" w:rsidRPr="00941C7F" w14:paraId="5B2CB08A" w14:textId="77777777" w:rsidTr="00D55F42">
        <w:trPr>
          <w:trHeight w:val="266"/>
        </w:trPr>
        <w:tc>
          <w:tcPr>
            <w:tcW w:w="1530" w:type="dxa"/>
            <w:vAlign w:val="bottom"/>
          </w:tcPr>
          <w:p w14:paraId="642C801F"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Kurtosis</w:t>
            </w:r>
          </w:p>
        </w:tc>
        <w:tc>
          <w:tcPr>
            <w:tcW w:w="1417" w:type="dxa"/>
            <w:vAlign w:val="bottom"/>
          </w:tcPr>
          <w:p w14:paraId="1A3C010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6.329036</w:t>
            </w:r>
          </w:p>
        </w:tc>
        <w:tc>
          <w:tcPr>
            <w:tcW w:w="1276" w:type="dxa"/>
            <w:vAlign w:val="bottom"/>
          </w:tcPr>
          <w:p w14:paraId="0B0116C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1.469355</w:t>
            </w:r>
          </w:p>
        </w:tc>
        <w:tc>
          <w:tcPr>
            <w:tcW w:w="1276" w:type="dxa"/>
            <w:vAlign w:val="bottom"/>
          </w:tcPr>
          <w:p w14:paraId="43D2CB7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4.541303</w:t>
            </w:r>
          </w:p>
        </w:tc>
        <w:tc>
          <w:tcPr>
            <w:tcW w:w="1472" w:type="dxa"/>
            <w:gridSpan w:val="2"/>
            <w:vAlign w:val="bottom"/>
          </w:tcPr>
          <w:p w14:paraId="08D3AC6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9.510060</w:t>
            </w:r>
          </w:p>
        </w:tc>
        <w:tc>
          <w:tcPr>
            <w:tcW w:w="1166" w:type="dxa"/>
            <w:gridSpan w:val="2"/>
            <w:vAlign w:val="bottom"/>
          </w:tcPr>
          <w:p w14:paraId="3B88E88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24.17570</w:t>
            </w:r>
          </w:p>
        </w:tc>
        <w:tc>
          <w:tcPr>
            <w:tcW w:w="1275" w:type="dxa"/>
            <w:gridSpan w:val="2"/>
            <w:vAlign w:val="bottom"/>
          </w:tcPr>
          <w:p w14:paraId="0E4D03A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1.876371</w:t>
            </w:r>
          </w:p>
        </w:tc>
        <w:tc>
          <w:tcPr>
            <w:tcW w:w="1048" w:type="dxa"/>
            <w:gridSpan w:val="3"/>
            <w:vAlign w:val="bottom"/>
          </w:tcPr>
          <w:p w14:paraId="3B9195C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3.221266</w:t>
            </w:r>
          </w:p>
        </w:tc>
      </w:tr>
      <w:tr w:rsidR="008069CE" w:rsidRPr="00941C7F" w14:paraId="0F14D527" w14:textId="77777777" w:rsidTr="00D55F42">
        <w:trPr>
          <w:trHeight w:val="266"/>
        </w:trPr>
        <w:tc>
          <w:tcPr>
            <w:tcW w:w="1530" w:type="dxa"/>
            <w:vAlign w:val="bottom"/>
          </w:tcPr>
          <w:p w14:paraId="5C7D7A8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vAlign w:val="bottom"/>
          </w:tcPr>
          <w:p w14:paraId="54D218B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14:paraId="1B0BA4AA"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14:paraId="28B8C25C"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vAlign w:val="bottom"/>
          </w:tcPr>
          <w:p w14:paraId="53050A8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vAlign w:val="bottom"/>
          </w:tcPr>
          <w:p w14:paraId="0371C559"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vAlign w:val="bottom"/>
          </w:tcPr>
          <w:p w14:paraId="3EAC94D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048" w:type="dxa"/>
            <w:gridSpan w:val="3"/>
            <w:vAlign w:val="bottom"/>
          </w:tcPr>
          <w:p w14:paraId="7DD5D33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r>
      <w:tr w:rsidR="008069CE" w:rsidRPr="00941C7F" w14:paraId="48976CE3" w14:textId="77777777" w:rsidTr="00D55F42">
        <w:trPr>
          <w:trHeight w:val="266"/>
        </w:trPr>
        <w:tc>
          <w:tcPr>
            <w:tcW w:w="1530" w:type="dxa"/>
            <w:vAlign w:val="bottom"/>
          </w:tcPr>
          <w:p w14:paraId="2D41E98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Jarque-Bera</w:t>
            </w:r>
          </w:p>
        </w:tc>
        <w:tc>
          <w:tcPr>
            <w:tcW w:w="1417" w:type="dxa"/>
            <w:vAlign w:val="bottom"/>
          </w:tcPr>
          <w:p w14:paraId="54A78D0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54.53423</w:t>
            </w:r>
          </w:p>
        </w:tc>
        <w:tc>
          <w:tcPr>
            <w:tcW w:w="1276" w:type="dxa"/>
            <w:vAlign w:val="bottom"/>
          </w:tcPr>
          <w:p w14:paraId="3ADACC0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4.174410</w:t>
            </w:r>
          </w:p>
        </w:tc>
        <w:tc>
          <w:tcPr>
            <w:tcW w:w="1276" w:type="dxa"/>
            <w:vAlign w:val="bottom"/>
          </w:tcPr>
          <w:p w14:paraId="76D19A4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21.91351</w:t>
            </w:r>
          </w:p>
        </w:tc>
        <w:tc>
          <w:tcPr>
            <w:tcW w:w="1472" w:type="dxa"/>
            <w:gridSpan w:val="2"/>
            <w:vAlign w:val="bottom"/>
          </w:tcPr>
          <w:p w14:paraId="62198EE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123.1715</w:t>
            </w:r>
          </w:p>
        </w:tc>
        <w:tc>
          <w:tcPr>
            <w:tcW w:w="1166" w:type="dxa"/>
            <w:gridSpan w:val="2"/>
            <w:vAlign w:val="bottom"/>
          </w:tcPr>
          <w:p w14:paraId="098C3BC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918.9012</w:t>
            </w:r>
          </w:p>
        </w:tc>
        <w:tc>
          <w:tcPr>
            <w:tcW w:w="1275" w:type="dxa"/>
            <w:gridSpan w:val="2"/>
            <w:vAlign w:val="bottom"/>
          </w:tcPr>
          <w:p w14:paraId="63DD8DB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4.308072</w:t>
            </w:r>
          </w:p>
        </w:tc>
        <w:tc>
          <w:tcPr>
            <w:tcW w:w="1048" w:type="dxa"/>
            <w:gridSpan w:val="3"/>
            <w:vAlign w:val="bottom"/>
          </w:tcPr>
          <w:p w14:paraId="45938D1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7.387882</w:t>
            </w:r>
          </w:p>
        </w:tc>
      </w:tr>
      <w:tr w:rsidR="008069CE" w:rsidRPr="00941C7F" w14:paraId="6D57FF94" w14:textId="77777777" w:rsidTr="00D55F42">
        <w:trPr>
          <w:trHeight w:val="266"/>
        </w:trPr>
        <w:tc>
          <w:tcPr>
            <w:tcW w:w="1530" w:type="dxa"/>
            <w:vAlign w:val="bottom"/>
          </w:tcPr>
          <w:p w14:paraId="743924A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Probability</w:t>
            </w:r>
          </w:p>
        </w:tc>
        <w:tc>
          <w:tcPr>
            <w:tcW w:w="1417" w:type="dxa"/>
            <w:vAlign w:val="bottom"/>
          </w:tcPr>
          <w:p w14:paraId="4F3FA229"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0.000000</w:t>
            </w:r>
          </w:p>
        </w:tc>
        <w:tc>
          <w:tcPr>
            <w:tcW w:w="1276" w:type="dxa"/>
            <w:vAlign w:val="bottom"/>
          </w:tcPr>
          <w:p w14:paraId="573CDF0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0.124033</w:t>
            </w:r>
          </w:p>
        </w:tc>
        <w:tc>
          <w:tcPr>
            <w:tcW w:w="1276" w:type="dxa"/>
            <w:vAlign w:val="bottom"/>
          </w:tcPr>
          <w:p w14:paraId="5544EB1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0.000017</w:t>
            </w:r>
          </w:p>
        </w:tc>
        <w:tc>
          <w:tcPr>
            <w:tcW w:w="1472" w:type="dxa"/>
            <w:gridSpan w:val="2"/>
            <w:vAlign w:val="bottom"/>
          </w:tcPr>
          <w:p w14:paraId="4FFC434C"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0.000000</w:t>
            </w:r>
          </w:p>
        </w:tc>
        <w:tc>
          <w:tcPr>
            <w:tcW w:w="1166" w:type="dxa"/>
            <w:gridSpan w:val="2"/>
            <w:vAlign w:val="bottom"/>
          </w:tcPr>
          <w:p w14:paraId="1BAEA84F"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0.000000</w:t>
            </w:r>
          </w:p>
        </w:tc>
        <w:tc>
          <w:tcPr>
            <w:tcW w:w="1275" w:type="dxa"/>
            <w:gridSpan w:val="2"/>
            <w:vAlign w:val="bottom"/>
          </w:tcPr>
          <w:p w14:paraId="167B8F2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0.116015</w:t>
            </w:r>
          </w:p>
        </w:tc>
        <w:tc>
          <w:tcPr>
            <w:tcW w:w="1048" w:type="dxa"/>
            <w:gridSpan w:val="3"/>
            <w:vAlign w:val="bottom"/>
          </w:tcPr>
          <w:p w14:paraId="1D309F3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0.024874</w:t>
            </w:r>
          </w:p>
        </w:tc>
      </w:tr>
      <w:tr w:rsidR="008069CE" w:rsidRPr="00941C7F" w14:paraId="40B8C62A" w14:textId="77777777" w:rsidTr="00D55F42">
        <w:trPr>
          <w:trHeight w:val="266"/>
        </w:trPr>
        <w:tc>
          <w:tcPr>
            <w:tcW w:w="1530" w:type="dxa"/>
            <w:vAlign w:val="bottom"/>
          </w:tcPr>
          <w:p w14:paraId="63F4B65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vAlign w:val="bottom"/>
          </w:tcPr>
          <w:p w14:paraId="3E0519A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14:paraId="64B6E06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14:paraId="56CBD876"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vAlign w:val="bottom"/>
          </w:tcPr>
          <w:p w14:paraId="653C092C"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vAlign w:val="bottom"/>
          </w:tcPr>
          <w:p w14:paraId="4B38C2D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vAlign w:val="bottom"/>
          </w:tcPr>
          <w:p w14:paraId="5B9679A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048" w:type="dxa"/>
            <w:gridSpan w:val="3"/>
            <w:vAlign w:val="bottom"/>
          </w:tcPr>
          <w:p w14:paraId="36C50E0C"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r>
      <w:tr w:rsidR="008069CE" w:rsidRPr="00941C7F" w14:paraId="30B59CC1" w14:textId="77777777" w:rsidTr="00D55F42">
        <w:trPr>
          <w:trHeight w:val="266"/>
        </w:trPr>
        <w:tc>
          <w:tcPr>
            <w:tcW w:w="1530" w:type="dxa"/>
            <w:vAlign w:val="bottom"/>
          </w:tcPr>
          <w:p w14:paraId="0B97110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Sum</w:t>
            </w:r>
          </w:p>
        </w:tc>
        <w:tc>
          <w:tcPr>
            <w:tcW w:w="1417" w:type="dxa"/>
            <w:vAlign w:val="bottom"/>
          </w:tcPr>
          <w:p w14:paraId="3D73FB6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506361.2</w:t>
            </w:r>
          </w:p>
        </w:tc>
        <w:tc>
          <w:tcPr>
            <w:tcW w:w="1276" w:type="dxa"/>
            <w:vAlign w:val="bottom"/>
          </w:tcPr>
          <w:p w14:paraId="257F6B9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820340.1</w:t>
            </w:r>
          </w:p>
        </w:tc>
        <w:tc>
          <w:tcPr>
            <w:tcW w:w="1276" w:type="dxa"/>
            <w:vAlign w:val="bottom"/>
          </w:tcPr>
          <w:p w14:paraId="244E5D6A"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169598.3</w:t>
            </w:r>
          </w:p>
        </w:tc>
        <w:tc>
          <w:tcPr>
            <w:tcW w:w="1472" w:type="dxa"/>
            <w:gridSpan w:val="2"/>
            <w:vAlign w:val="bottom"/>
          </w:tcPr>
          <w:p w14:paraId="6D6266C6"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23022.91</w:t>
            </w:r>
          </w:p>
        </w:tc>
        <w:tc>
          <w:tcPr>
            <w:tcW w:w="1166" w:type="dxa"/>
            <w:gridSpan w:val="2"/>
            <w:vAlign w:val="bottom"/>
          </w:tcPr>
          <w:p w14:paraId="730DADC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952.8758</w:t>
            </w:r>
          </w:p>
        </w:tc>
        <w:tc>
          <w:tcPr>
            <w:tcW w:w="1275" w:type="dxa"/>
            <w:gridSpan w:val="2"/>
            <w:vAlign w:val="bottom"/>
          </w:tcPr>
          <w:p w14:paraId="6ED0315C"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338.0746</w:t>
            </w:r>
          </w:p>
        </w:tc>
        <w:tc>
          <w:tcPr>
            <w:tcW w:w="1048" w:type="dxa"/>
            <w:gridSpan w:val="3"/>
            <w:vAlign w:val="bottom"/>
          </w:tcPr>
          <w:p w14:paraId="44028BAF"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4861.124</w:t>
            </w:r>
          </w:p>
        </w:tc>
      </w:tr>
      <w:tr w:rsidR="008069CE" w:rsidRPr="00941C7F" w14:paraId="4E3FFC0A" w14:textId="77777777" w:rsidTr="00D55F42">
        <w:trPr>
          <w:trHeight w:val="266"/>
        </w:trPr>
        <w:tc>
          <w:tcPr>
            <w:tcW w:w="1530" w:type="dxa"/>
            <w:vAlign w:val="bottom"/>
          </w:tcPr>
          <w:p w14:paraId="424B6C5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Sum Sq. Dev.</w:t>
            </w:r>
          </w:p>
        </w:tc>
        <w:tc>
          <w:tcPr>
            <w:tcW w:w="1417" w:type="dxa"/>
            <w:vAlign w:val="bottom"/>
          </w:tcPr>
          <w:p w14:paraId="6287D90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4.23E+09</w:t>
            </w:r>
          </w:p>
        </w:tc>
        <w:tc>
          <w:tcPr>
            <w:tcW w:w="1276" w:type="dxa"/>
            <w:vAlign w:val="bottom"/>
          </w:tcPr>
          <w:p w14:paraId="109D23A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5.41E+09</w:t>
            </w:r>
          </w:p>
        </w:tc>
        <w:tc>
          <w:tcPr>
            <w:tcW w:w="1276" w:type="dxa"/>
            <w:vAlign w:val="bottom"/>
          </w:tcPr>
          <w:p w14:paraId="776D962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1.40E+09</w:t>
            </w:r>
          </w:p>
        </w:tc>
        <w:tc>
          <w:tcPr>
            <w:tcW w:w="1472" w:type="dxa"/>
            <w:gridSpan w:val="2"/>
            <w:vAlign w:val="bottom"/>
          </w:tcPr>
          <w:p w14:paraId="42266A3A"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64531333</w:t>
            </w:r>
          </w:p>
        </w:tc>
        <w:tc>
          <w:tcPr>
            <w:tcW w:w="1166" w:type="dxa"/>
            <w:gridSpan w:val="2"/>
            <w:vAlign w:val="bottom"/>
          </w:tcPr>
          <w:p w14:paraId="56C609E9"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51100.93</w:t>
            </w:r>
          </w:p>
        </w:tc>
        <w:tc>
          <w:tcPr>
            <w:tcW w:w="1275" w:type="dxa"/>
            <w:gridSpan w:val="2"/>
            <w:vAlign w:val="bottom"/>
          </w:tcPr>
          <w:p w14:paraId="06771D7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492.0004</w:t>
            </w:r>
          </w:p>
        </w:tc>
        <w:tc>
          <w:tcPr>
            <w:tcW w:w="1048" w:type="dxa"/>
            <w:gridSpan w:val="3"/>
            <w:vAlign w:val="bottom"/>
          </w:tcPr>
          <w:p w14:paraId="22B3293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581978.7</w:t>
            </w:r>
          </w:p>
        </w:tc>
      </w:tr>
      <w:tr w:rsidR="008069CE" w:rsidRPr="00941C7F" w14:paraId="30D37222" w14:textId="77777777" w:rsidTr="00D55F42">
        <w:trPr>
          <w:trHeight w:val="162"/>
        </w:trPr>
        <w:tc>
          <w:tcPr>
            <w:tcW w:w="1530" w:type="dxa"/>
            <w:tcBorders>
              <w:bottom w:val="single" w:sz="4" w:space="0" w:color="auto"/>
            </w:tcBorders>
            <w:vAlign w:val="bottom"/>
          </w:tcPr>
          <w:p w14:paraId="07B4F12A"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bottom w:val="single" w:sz="4" w:space="0" w:color="auto"/>
            </w:tcBorders>
            <w:vAlign w:val="bottom"/>
          </w:tcPr>
          <w:p w14:paraId="4394907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bottom w:val="single" w:sz="4" w:space="0" w:color="auto"/>
            </w:tcBorders>
            <w:vAlign w:val="bottom"/>
          </w:tcPr>
          <w:p w14:paraId="357694D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bottom w:val="single" w:sz="4" w:space="0" w:color="auto"/>
            </w:tcBorders>
            <w:vAlign w:val="bottom"/>
          </w:tcPr>
          <w:p w14:paraId="21381E99"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tcBorders>
              <w:bottom w:val="single" w:sz="4" w:space="0" w:color="auto"/>
            </w:tcBorders>
            <w:vAlign w:val="bottom"/>
          </w:tcPr>
          <w:p w14:paraId="00FA930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tcBorders>
              <w:bottom w:val="single" w:sz="4" w:space="0" w:color="auto"/>
            </w:tcBorders>
            <w:vAlign w:val="bottom"/>
          </w:tcPr>
          <w:p w14:paraId="27E8076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tcBorders>
              <w:bottom w:val="single" w:sz="4" w:space="0" w:color="auto"/>
            </w:tcBorders>
            <w:vAlign w:val="bottom"/>
          </w:tcPr>
          <w:p w14:paraId="0B71D929"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048" w:type="dxa"/>
            <w:gridSpan w:val="3"/>
            <w:tcBorders>
              <w:bottom w:val="single" w:sz="4" w:space="0" w:color="auto"/>
            </w:tcBorders>
            <w:vAlign w:val="bottom"/>
          </w:tcPr>
          <w:p w14:paraId="29A4C2D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r>
      <w:tr w:rsidR="008069CE" w:rsidRPr="00941C7F" w14:paraId="37A91024" w14:textId="77777777" w:rsidTr="00D55F42">
        <w:trPr>
          <w:trHeight w:val="152"/>
        </w:trPr>
        <w:tc>
          <w:tcPr>
            <w:tcW w:w="1530" w:type="dxa"/>
            <w:tcBorders>
              <w:top w:val="single" w:sz="4" w:space="0" w:color="auto"/>
            </w:tcBorders>
            <w:vAlign w:val="bottom"/>
          </w:tcPr>
          <w:p w14:paraId="3ACE512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single" w:sz="4" w:space="0" w:color="auto"/>
            </w:tcBorders>
            <w:vAlign w:val="bottom"/>
          </w:tcPr>
          <w:p w14:paraId="180B988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top w:val="single" w:sz="4" w:space="0" w:color="auto"/>
            </w:tcBorders>
            <w:vAlign w:val="bottom"/>
          </w:tcPr>
          <w:p w14:paraId="0FE8198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top w:val="single" w:sz="4" w:space="0" w:color="auto"/>
            </w:tcBorders>
            <w:vAlign w:val="bottom"/>
          </w:tcPr>
          <w:p w14:paraId="56278A9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tcBorders>
              <w:top w:val="single" w:sz="4" w:space="0" w:color="auto"/>
            </w:tcBorders>
            <w:vAlign w:val="bottom"/>
          </w:tcPr>
          <w:p w14:paraId="45FC67B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tcBorders>
              <w:top w:val="single" w:sz="4" w:space="0" w:color="auto"/>
            </w:tcBorders>
            <w:vAlign w:val="bottom"/>
          </w:tcPr>
          <w:p w14:paraId="7F23E5C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tcBorders>
              <w:top w:val="single" w:sz="4" w:space="0" w:color="auto"/>
            </w:tcBorders>
            <w:vAlign w:val="bottom"/>
          </w:tcPr>
          <w:p w14:paraId="1F328DEF"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048" w:type="dxa"/>
            <w:gridSpan w:val="3"/>
            <w:tcBorders>
              <w:top w:val="single" w:sz="4" w:space="0" w:color="auto"/>
            </w:tcBorders>
            <w:vAlign w:val="bottom"/>
          </w:tcPr>
          <w:p w14:paraId="717BDBB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r>
      <w:tr w:rsidR="008069CE" w:rsidRPr="00941C7F" w14:paraId="793B2EE9" w14:textId="77777777" w:rsidTr="00D55F42">
        <w:trPr>
          <w:trHeight w:val="266"/>
        </w:trPr>
        <w:tc>
          <w:tcPr>
            <w:tcW w:w="1530" w:type="dxa"/>
            <w:tcBorders>
              <w:bottom w:val="single" w:sz="4" w:space="0" w:color="auto"/>
            </w:tcBorders>
            <w:vAlign w:val="bottom"/>
          </w:tcPr>
          <w:p w14:paraId="6BDCF6F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Observations</w:t>
            </w:r>
          </w:p>
        </w:tc>
        <w:tc>
          <w:tcPr>
            <w:tcW w:w="1417" w:type="dxa"/>
            <w:tcBorders>
              <w:bottom w:val="single" w:sz="4" w:space="0" w:color="auto"/>
            </w:tcBorders>
            <w:vAlign w:val="bottom"/>
          </w:tcPr>
          <w:p w14:paraId="16FA486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276" w:type="dxa"/>
            <w:tcBorders>
              <w:bottom w:val="single" w:sz="4" w:space="0" w:color="auto"/>
            </w:tcBorders>
            <w:vAlign w:val="bottom"/>
          </w:tcPr>
          <w:p w14:paraId="1AB9656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276" w:type="dxa"/>
            <w:tcBorders>
              <w:bottom w:val="single" w:sz="4" w:space="0" w:color="auto"/>
            </w:tcBorders>
            <w:vAlign w:val="bottom"/>
          </w:tcPr>
          <w:p w14:paraId="5572DD4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472" w:type="dxa"/>
            <w:gridSpan w:val="2"/>
            <w:tcBorders>
              <w:bottom w:val="single" w:sz="4" w:space="0" w:color="auto"/>
            </w:tcBorders>
            <w:vAlign w:val="bottom"/>
          </w:tcPr>
          <w:p w14:paraId="32A0D37A"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166" w:type="dxa"/>
            <w:gridSpan w:val="2"/>
            <w:tcBorders>
              <w:bottom w:val="single" w:sz="4" w:space="0" w:color="auto"/>
            </w:tcBorders>
            <w:vAlign w:val="bottom"/>
          </w:tcPr>
          <w:p w14:paraId="5EDDB68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275" w:type="dxa"/>
            <w:gridSpan w:val="2"/>
            <w:tcBorders>
              <w:bottom w:val="single" w:sz="4" w:space="0" w:color="auto"/>
            </w:tcBorders>
            <w:vAlign w:val="bottom"/>
          </w:tcPr>
          <w:p w14:paraId="7AAF3BC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048" w:type="dxa"/>
            <w:gridSpan w:val="3"/>
            <w:tcBorders>
              <w:bottom w:val="single" w:sz="4" w:space="0" w:color="auto"/>
            </w:tcBorders>
            <w:vAlign w:val="bottom"/>
          </w:tcPr>
          <w:p w14:paraId="2F94C44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r>
    </w:tbl>
    <w:p w14:paraId="6E838D4A" w14:textId="77777777" w:rsidR="008069CE" w:rsidRPr="00941C7F" w:rsidRDefault="008069CE" w:rsidP="008069CE">
      <w:pPr>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Pr="00941C7F">
        <w:rPr>
          <w:rFonts w:ascii="Times New Roman" w:hAnsi="Times New Roman" w:cs="Times New Roman"/>
          <w:bCs/>
          <w:sz w:val="24"/>
          <w:szCs w:val="24"/>
        </w:rPr>
        <w:t xml:space="preserve"> computation, 2025.</w:t>
      </w:r>
    </w:p>
    <w:p w14:paraId="47D03842" w14:textId="77777777" w:rsidR="008069CE"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The descriptive statistics analyses of the time series was carried out in order to observe the variable variability and distribution. Table </w:t>
      </w:r>
      <w:r>
        <w:rPr>
          <w:rFonts w:ascii="Times New Roman" w:hAnsi="Times New Roman" w:cs="Times New Roman"/>
          <w:sz w:val="24"/>
          <w:szCs w:val="24"/>
        </w:rPr>
        <w:t>5</w:t>
      </w:r>
      <w:r w:rsidRPr="00941C7F">
        <w:rPr>
          <w:rFonts w:ascii="Times New Roman" w:hAnsi="Times New Roman" w:cs="Times New Roman"/>
          <w:sz w:val="24"/>
          <w:szCs w:val="24"/>
        </w:rPr>
        <w:t xml:space="preserve">, shows the measures of central tendency, mean and median that give the estimates of the centre of the distribution. In Table </w:t>
      </w:r>
      <w:r>
        <w:rPr>
          <w:rFonts w:ascii="Times New Roman" w:hAnsi="Times New Roman" w:cs="Times New Roman"/>
          <w:sz w:val="24"/>
          <w:szCs w:val="24"/>
        </w:rPr>
        <w:t>5,</w:t>
      </w:r>
      <w:r w:rsidRPr="00941C7F">
        <w:rPr>
          <w:rFonts w:ascii="Times New Roman" w:hAnsi="Times New Roman" w:cs="Times New Roman"/>
          <w:sz w:val="24"/>
          <w:szCs w:val="24"/>
        </w:rPr>
        <w:t xml:space="preserve"> it is observed that the national savings (</w:t>
      </w:r>
      <w:r w:rsidRPr="00941C7F">
        <w:rPr>
          <w:rFonts w:ascii="Times New Roman" w:hAnsi="Times New Roman" w:cs="Times New Roman"/>
          <w:color w:val="000000"/>
          <w:sz w:val="24"/>
          <w:szCs w:val="24"/>
        </w:rPr>
        <w:t>nSAV</w:t>
      </w:r>
      <w:r w:rsidRPr="00941C7F">
        <w:rPr>
          <w:rFonts w:ascii="Times New Roman" w:hAnsi="Times New Roman" w:cs="Times New Roman"/>
          <w:sz w:val="24"/>
          <w:szCs w:val="24"/>
        </w:rPr>
        <w:t xml:space="preserve">, </w:t>
      </w:r>
      <w:r w:rsidRPr="00941C7F">
        <w:rPr>
          <w:rFonts w:ascii="Times New Roman" w:hAnsi="Times New Roman" w:cs="Times New Roman"/>
          <w:color w:val="000000"/>
          <w:sz w:val="24"/>
          <w:szCs w:val="24"/>
        </w:rPr>
        <w:t>8.049</w:t>
      </w:r>
      <w:r w:rsidRPr="00941C7F">
        <w:rPr>
          <w:rFonts w:ascii="Times New Roman" w:hAnsi="Times New Roman" w:cs="Times New Roman"/>
          <w:sz w:val="24"/>
          <w:szCs w:val="24"/>
        </w:rPr>
        <w:t xml:space="preserve">) </w:t>
      </w:r>
      <w:r>
        <w:rPr>
          <w:rFonts w:ascii="Times New Roman" w:hAnsi="Times New Roman" w:cs="Times New Roman"/>
          <w:sz w:val="24"/>
          <w:szCs w:val="24"/>
        </w:rPr>
        <w:t xml:space="preserve">has a </w:t>
      </w:r>
      <w:r w:rsidRPr="00941C7F">
        <w:rPr>
          <w:rFonts w:ascii="Times New Roman" w:hAnsi="Times New Roman" w:cs="Times New Roman"/>
          <w:sz w:val="24"/>
          <w:szCs w:val="24"/>
        </w:rPr>
        <w:t xml:space="preserve">mean value is the lowest among the variables. It implies that on </w:t>
      </w:r>
      <w:r>
        <w:rPr>
          <w:rFonts w:ascii="Times New Roman" w:hAnsi="Times New Roman" w:cs="Times New Roman"/>
          <w:sz w:val="24"/>
          <w:szCs w:val="24"/>
        </w:rPr>
        <w:t xml:space="preserve">the </w:t>
      </w:r>
      <w:r w:rsidRPr="00941C7F">
        <w:rPr>
          <w:rFonts w:ascii="Times New Roman" w:hAnsi="Times New Roman" w:cs="Times New Roman"/>
          <w:sz w:val="24"/>
          <w:szCs w:val="24"/>
        </w:rPr>
        <w:t>average, a dollar increase in national savings will increase capital accumulation by 804.9%. It is also observed that the nINT mean (nINT,</w:t>
      </w:r>
      <w:r w:rsidRPr="00941C7F">
        <w:rPr>
          <w:rFonts w:ascii="Times New Roman" w:hAnsi="Times New Roman" w:cs="Times New Roman"/>
          <w:color w:val="000000"/>
          <w:sz w:val="24"/>
          <w:szCs w:val="24"/>
        </w:rPr>
        <w:t xml:space="preserve"> 22.69) is also low, making a suggestive link between the two variables. </w:t>
      </w:r>
      <w:r>
        <w:rPr>
          <w:rFonts w:ascii="Times New Roman" w:hAnsi="Times New Roman" w:cs="Times New Roman"/>
          <w:color w:val="000000"/>
          <w:sz w:val="24"/>
          <w:szCs w:val="24"/>
        </w:rPr>
        <w:t xml:space="preserve">The table also shows </w:t>
      </w:r>
      <w:r w:rsidRPr="00941C7F">
        <w:rPr>
          <w:rFonts w:ascii="Times New Roman" w:hAnsi="Times New Roman" w:cs="Times New Roman"/>
          <w:color w:val="000000"/>
          <w:sz w:val="24"/>
          <w:szCs w:val="24"/>
        </w:rPr>
        <w:t>that a Naira  increase in interest rate should increase capital accumulation on the average by 2269.0%  Also, the mean of total domestic debt (tDMD, 4038.054) and total external debt (tEXD, 19531.91) are very high making a suggestive link between the two. It implies that a dollar increase in total domestic debt will cause over 4038% i</w:t>
      </w:r>
      <w:r>
        <w:rPr>
          <w:rFonts w:ascii="Times New Roman" w:hAnsi="Times New Roman" w:cs="Times New Roman"/>
          <w:color w:val="000000"/>
          <w:sz w:val="24"/>
          <w:szCs w:val="24"/>
        </w:rPr>
        <w:t xml:space="preserve">ncrease on capital accumulation. </w:t>
      </w:r>
      <w:r w:rsidRPr="00941C7F">
        <w:rPr>
          <w:rFonts w:ascii="Times New Roman" w:hAnsi="Times New Roman" w:cs="Times New Roman"/>
          <w:sz w:val="24"/>
          <w:szCs w:val="24"/>
        </w:rPr>
        <w:t>It is also evident that the median values of the variables, which did not deviated from the mean values much, each of the variables were not more</w:t>
      </w:r>
      <w:r>
        <w:rPr>
          <w:rFonts w:ascii="Times New Roman" w:hAnsi="Times New Roman" w:cs="Times New Roman"/>
          <w:sz w:val="24"/>
          <w:szCs w:val="24"/>
        </w:rPr>
        <w:t xml:space="preserve"> than</w:t>
      </w:r>
      <w:r w:rsidRPr="00941C7F">
        <w:rPr>
          <w:rFonts w:ascii="Times New Roman" w:hAnsi="Times New Roman" w:cs="Times New Roman"/>
          <w:sz w:val="24"/>
          <w:szCs w:val="24"/>
        </w:rPr>
        <w:t xml:space="preserve"> twice </w:t>
      </w:r>
      <w:r>
        <w:rPr>
          <w:rFonts w:ascii="Times New Roman" w:hAnsi="Times New Roman" w:cs="Times New Roman"/>
          <w:sz w:val="24"/>
          <w:szCs w:val="24"/>
        </w:rPr>
        <w:t xml:space="preserve">the </w:t>
      </w:r>
      <w:r w:rsidRPr="00941C7F">
        <w:rPr>
          <w:rFonts w:ascii="Times New Roman" w:hAnsi="Times New Roman" w:cs="Times New Roman"/>
          <w:sz w:val="24"/>
          <w:szCs w:val="24"/>
        </w:rPr>
        <w:t>units apart from the mean. It can also be observed that the mean and median of gross capital accumulation (</w:t>
      </w:r>
      <w:r w:rsidRPr="00941C7F">
        <w:rPr>
          <w:rFonts w:ascii="Times New Roman" w:hAnsi="Times New Roman" w:cs="Times New Roman"/>
          <w:color w:val="000000"/>
          <w:sz w:val="24"/>
          <w:szCs w:val="24"/>
        </w:rPr>
        <w:t xml:space="preserve">gCAF), total external debt (tEXD), and total domestic debt (tDMD) </w:t>
      </w:r>
      <w:r w:rsidRPr="00941C7F">
        <w:rPr>
          <w:rFonts w:ascii="Times New Roman" w:hAnsi="Times New Roman" w:cs="Times New Roman"/>
          <w:sz w:val="24"/>
          <w:szCs w:val="24"/>
        </w:rPr>
        <w:t xml:space="preserve">are very close, with high values which denote a nearly symmetric distribution and the existence of low variability.  Also observed from the table </w:t>
      </w:r>
      <w:r>
        <w:rPr>
          <w:rFonts w:ascii="Times New Roman" w:hAnsi="Times New Roman" w:cs="Times New Roman"/>
          <w:sz w:val="24"/>
          <w:szCs w:val="24"/>
        </w:rPr>
        <w:t>5</w:t>
      </w:r>
      <w:r w:rsidRPr="00941C7F">
        <w:rPr>
          <w:rFonts w:ascii="Times New Roman" w:hAnsi="Times New Roman" w:cs="Times New Roman"/>
          <w:sz w:val="24"/>
          <w:szCs w:val="24"/>
        </w:rPr>
        <w:t xml:space="preserve"> are positively skewed of the data. </w:t>
      </w:r>
      <w:r w:rsidRPr="0064617C">
        <w:rPr>
          <w:rFonts w:ascii="Times New Roman" w:hAnsi="Times New Roman" w:cs="Times New Roman"/>
          <w:sz w:val="24"/>
          <w:szCs w:val="24"/>
        </w:rPr>
        <w:t xml:space="preserve">Finally, for every series, the Jarque-Bera statistic is greater than the 0.05% threshold of significance. This shows that, at this level of significance, </w:t>
      </w:r>
      <w:r>
        <w:rPr>
          <w:rFonts w:ascii="Times New Roman" w:hAnsi="Times New Roman" w:cs="Times New Roman"/>
          <w:sz w:val="24"/>
          <w:szCs w:val="24"/>
        </w:rPr>
        <w:t>the null hypothesis is rejected, meaning</w:t>
      </w:r>
      <w:r w:rsidRPr="003B0544">
        <w:rPr>
          <w:rFonts w:ascii="Times New Roman" w:hAnsi="Times New Roman" w:cs="Times New Roman"/>
          <w:sz w:val="24"/>
          <w:szCs w:val="24"/>
        </w:rPr>
        <w:t xml:space="preserve"> </w:t>
      </w:r>
      <w:r w:rsidRPr="0064617C">
        <w:rPr>
          <w:rFonts w:ascii="Times New Roman" w:hAnsi="Times New Roman" w:cs="Times New Roman"/>
          <w:sz w:val="24"/>
          <w:szCs w:val="24"/>
        </w:rPr>
        <w:t>that the s</w:t>
      </w:r>
      <w:r>
        <w:rPr>
          <w:rFonts w:ascii="Times New Roman" w:hAnsi="Times New Roman" w:cs="Times New Roman"/>
          <w:sz w:val="24"/>
          <w:szCs w:val="24"/>
        </w:rPr>
        <w:t xml:space="preserve">eries has a normal distribution. </w:t>
      </w:r>
    </w:p>
    <w:p w14:paraId="1A0B16DE"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br/>
      </w:r>
      <w:r w:rsidRPr="00941C7F">
        <w:rPr>
          <w:rFonts w:ascii="Times New Roman" w:hAnsi="Times New Roman" w:cs="Times New Roman"/>
          <w:b/>
          <w:sz w:val="24"/>
          <w:szCs w:val="24"/>
        </w:rPr>
        <w:t xml:space="preserve">Table </w:t>
      </w:r>
      <w:r>
        <w:rPr>
          <w:rFonts w:ascii="Times New Roman" w:hAnsi="Times New Roman" w:cs="Times New Roman"/>
          <w:b/>
          <w:sz w:val="24"/>
          <w:szCs w:val="24"/>
        </w:rPr>
        <w:t>6</w:t>
      </w:r>
      <w:r w:rsidRPr="00941C7F">
        <w:rPr>
          <w:rFonts w:ascii="Times New Roman" w:hAnsi="Times New Roman" w:cs="Times New Roman"/>
          <w:b/>
          <w:sz w:val="24"/>
          <w:szCs w:val="24"/>
        </w:rPr>
        <w:t>: Correlation Matrix for Multi-Collinearity Test</w:t>
      </w:r>
    </w:p>
    <w:tbl>
      <w:tblPr>
        <w:tblW w:w="10795" w:type="dxa"/>
        <w:tblInd w:w="30" w:type="dxa"/>
        <w:tblLayout w:type="fixed"/>
        <w:tblCellMar>
          <w:left w:w="0" w:type="dxa"/>
          <w:right w:w="0" w:type="dxa"/>
        </w:tblCellMar>
        <w:tblLook w:val="0000" w:firstRow="0" w:lastRow="0" w:firstColumn="0" w:lastColumn="0" w:noHBand="0" w:noVBand="0"/>
      </w:tblPr>
      <w:tblGrid>
        <w:gridCol w:w="1583"/>
        <w:gridCol w:w="1092"/>
        <w:gridCol w:w="1353"/>
        <w:gridCol w:w="1354"/>
        <w:gridCol w:w="1353"/>
        <w:gridCol w:w="1354"/>
        <w:gridCol w:w="1353"/>
        <w:gridCol w:w="1353"/>
      </w:tblGrid>
      <w:tr w:rsidR="008069CE" w:rsidRPr="00941C7F" w14:paraId="3E6FD3D8" w14:textId="77777777" w:rsidTr="00D55F42">
        <w:trPr>
          <w:trHeight w:val="224"/>
        </w:trPr>
        <w:tc>
          <w:tcPr>
            <w:tcW w:w="1583" w:type="dxa"/>
            <w:tcBorders>
              <w:bottom w:val="single" w:sz="4" w:space="0" w:color="auto"/>
            </w:tcBorders>
            <w:vAlign w:val="bottom"/>
          </w:tcPr>
          <w:p w14:paraId="367902CA"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color w:val="000000"/>
                <w:sz w:val="24"/>
                <w:szCs w:val="24"/>
              </w:rPr>
            </w:pPr>
            <w:r w:rsidRPr="00941C7F">
              <w:rPr>
                <w:rFonts w:ascii="Times New Roman" w:hAnsi="Times New Roman" w:cs="Times New Roman"/>
                <w:b/>
                <w:color w:val="000000"/>
                <w:sz w:val="24"/>
                <w:szCs w:val="24"/>
              </w:rPr>
              <w:t>VARIABLES</w:t>
            </w:r>
          </w:p>
        </w:tc>
        <w:tc>
          <w:tcPr>
            <w:tcW w:w="1092" w:type="dxa"/>
            <w:tcBorders>
              <w:bottom w:val="single" w:sz="4" w:space="0" w:color="auto"/>
            </w:tcBorders>
            <w:vAlign w:val="bottom"/>
          </w:tcPr>
          <w:p w14:paraId="5B6CC57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gFCF</w:t>
            </w:r>
          </w:p>
        </w:tc>
        <w:tc>
          <w:tcPr>
            <w:tcW w:w="1353" w:type="dxa"/>
            <w:tcBorders>
              <w:bottom w:val="single" w:sz="4" w:space="0" w:color="auto"/>
            </w:tcBorders>
            <w:vAlign w:val="bottom"/>
          </w:tcPr>
          <w:p w14:paraId="76DF538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tEXD</w:t>
            </w:r>
          </w:p>
        </w:tc>
        <w:tc>
          <w:tcPr>
            <w:tcW w:w="1354" w:type="dxa"/>
            <w:tcBorders>
              <w:bottom w:val="single" w:sz="4" w:space="0" w:color="auto"/>
            </w:tcBorders>
            <w:vAlign w:val="bottom"/>
          </w:tcPr>
          <w:p w14:paraId="7093FC7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tDMD</w:t>
            </w:r>
          </w:p>
        </w:tc>
        <w:tc>
          <w:tcPr>
            <w:tcW w:w="1353" w:type="dxa"/>
            <w:tcBorders>
              <w:bottom w:val="single" w:sz="4" w:space="0" w:color="auto"/>
            </w:tcBorders>
            <w:vAlign w:val="bottom"/>
          </w:tcPr>
          <w:p w14:paraId="784A4C4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eXDS</w:t>
            </w:r>
          </w:p>
        </w:tc>
        <w:tc>
          <w:tcPr>
            <w:tcW w:w="1354" w:type="dxa"/>
            <w:tcBorders>
              <w:bottom w:val="single" w:sz="4" w:space="0" w:color="auto"/>
            </w:tcBorders>
            <w:vAlign w:val="bottom"/>
          </w:tcPr>
          <w:p w14:paraId="555C5BC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nINT</w:t>
            </w:r>
          </w:p>
        </w:tc>
        <w:tc>
          <w:tcPr>
            <w:tcW w:w="1353" w:type="dxa"/>
            <w:tcBorders>
              <w:bottom w:val="single" w:sz="4" w:space="0" w:color="auto"/>
            </w:tcBorders>
            <w:vAlign w:val="bottom"/>
          </w:tcPr>
          <w:p w14:paraId="5339354F"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nSAV</w:t>
            </w:r>
          </w:p>
        </w:tc>
        <w:tc>
          <w:tcPr>
            <w:tcW w:w="1353" w:type="dxa"/>
            <w:tcBorders>
              <w:bottom w:val="single" w:sz="4" w:space="0" w:color="auto"/>
            </w:tcBorders>
            <w:vAlign w:val="bottom"/>
          </w:tcPr>
          <w:p w14:paraId="54BF000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nEXR</w:t>
            </w:r>
          </w:p>
        </w:tc>
      </w:tr>
      <w:tr w:rsidR="008069CE" w:rsidRPr="00941C7F" w14:paraId="7BE0749F" w14:textId="77777777" w:rsidTr="00D55F42">
        <w:trPr>
          <w:trHeight w:val="224"/>
        </w:trPr>
        <w:tc>
          <w:tcPr>
            <w:tcW w:w="1583" w:type="dxa"/>
            <w:tcBorders>
              <w:top w:val="single" w:sz="4" w:space="0" w:color="auto"/>
            </w:tcBorders>
            <w:vAlign w:val="bottom"/>
          </w:tcPr>
          <w:p w14:paraId="631EE91F"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gFCF</w:t>
            </w:r>
          </w:p>
        </w:tc>
        <w:tc>
          <w:tcPr>
            <w:tcW w:w="1092" w:type="dxa"/>
            <w:tcBorders>
              <w:top w:val="single" w:sz="4" w:space="0" w:color="auto"/>
            </w:tcBorders>
            <w:vAlign w:val="bottom"/>
          </w:tcPr>
          <w:p w14:paraId="33E23A6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tcBorders>
              <w:top w:val="single" w:sz="4" w:space="0" w:color="auto"/>
            </w:tcBorders>
            <w:vAlign w:val="bottom"/>
          </w:tcPr>
          <w:p w14:paraId="08E8649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tcBorders>
              <w:top w:val="single" w:sz="4" w:space="0" w:color="auto"/>
            </w:tcBorders>
            <w:vAlign w:val="bottom"/>
          </w:tcPr>
          <w:p w14:paraId="56675AB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Borders>
              <w:top w:val="single" w:sz="4" w:space="0" w:color="auto"/>
            </w:tcBorders>
            <w:vAlign w:val="bottom"/>
          </w:tcPr>
          <w:p w14:paraId="560F9C8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tcBorders>
              <w:top w:val="single" w:sz="4" w:space="0" w:color="auto"/>
            </w:tcBorders>
            <w:vAlign w:val="bottom"/>
          </w:tcPr>
          <w:p w14:paraId="2FF4F1E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Borders>
              <w:top w:val="single" w:sz="4" w:space="0" w:color="auto"/>
            </w:tcBorders>
            <w:vAlign w:val="bottom"/>
          </w:tcPr>
          <w:p w14:paraId="62F05B3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Borders>
              <w:top w:val="single" w:sz="4" w:space="0" w:color="auto"/>
            </w:tcBorders>
          </w:tcPr>
          <w:p w14:paraId="39E75CD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r>
      <w:tr w:rsidR="008069CE" w:rsidRPr="00941C7F" w14:paraId="64CEBBC3" w14:textId="77777777" w:rsidTr="00D55F42">
        <w:trPr>
          <w:trHeight w:val="224"/>
        </w:trPr>
        <w:tc>
          <w:tcPr>
            <w:tcW w:w="1583" w:type="dxa"/>
            <w:vAlign w:val="bottom"/>
          </w:tcPr>
          <w:p w14:paraId="6CE6E88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tEXD</w:t>
            </w:r>
          </w:p>
        </w:tc>
        <w:tc>
          <w:tcPr>
            <w:tcW w:w="1092" w:type="dxa"/>
            <w:vAlign w:val="bottom"/>
          </w:tcPr>
          <w:p w14:paraId="71736B1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-0.283600</w:t>
            </w:r>
          </w:p>
        </w:tc>
        <w:tc>
          <w:tcPr>
            <w:tcW w:w="1353" w:type="dxa"/>
            <w:vAlign w:val="bottom"/>
          </w:tcPr>
          <w:p w14:paraId="73E14346"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4" w:type="dxa"/>
            <w:vAlign w:val="bottom"/>
          </w:tcPr>
          <w:p w14:paraId="23DECB7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14:paraId="35316C6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vAlign w:val="bottom"/>
          </w:tcPr>
          <w:p w14:paraId="4417834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14:paraId="551423E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14:paraId="00B2C22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r>
      <w:tr w:rsidR="008069CE" w:rsidRPr="00941C7F" w14:paraId="4931DAB9" w14:textId="77777777" w:rsidTr="00D55F42">
        <w:trPr>
          <w:trHeight w:val="224"/>
        </w:trPr>
        <w:tc>
          <w:tcPr>
            <w:tcW w:w="1583" w:type="dxa"/>
            <w:vAlign w:val="bottom"/>
          </w:tcPr>
          <w:p w14:paraId="6A061C2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tDMD</w:t>
            </w:r>
          </w:p>
        </w:tc>
        <w:tc>
          <w:tcPr>
            <w:tcW w:w="1092" w:type="dxa"/>
            <w:vAlign w:val="bottom"/>
          </w:tcPr>
          <w:p w14:paraId="0771FFB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0.533678</w:t>
            </w:r>
          </w:p>
        </w:tc>
        <w:tc>
          <w:tcPr>
            <w:tcW w:w="1353" w:type="dxa"/>
            <w:vAlign w:val="bottom"/>
          </w:tcPr>
          <w:p w14:paraId="3B6B241C"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-0.499716</w:t>
            </w:r>
          </w:p>
        </w:tc>
        <w:tc>
          <w:tcPr>
            <w:tcW w:w="1354" w:type="dxa"/>
            <w:vAlign w:val="bottom"/>
          </w:tcPr>
          <w:p w14:paraId="185514D9"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vAlign w:val="bottom"/>
          </w:tcPr>
          <w:p w14:paraId="130D9809"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vAlign w:val="bottom"/>
          </w:tcPr>
          <w:p w14:paraId="0B8E4486"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14:paraId="6BE7857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14:paraId="2BF74C2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r>
      <w:tr w:rsidR="008069CE" w:rsidRPr="00941C7F" w14:paraId="7BCD0A5C" w14:textId="77777777" w:rsidTr="00D55F42">
        <w:trPr>
          <w:trHeight w:val="224"/>
        </w:trPr>
        <w:tc>
          <w:tcPr>
            <w:tcW w:w="1583" w:type="dxa"/>
            <w:vAlign w:val="bottom"/>
          </w:tcPr>
          <w:p w14:paraId="18A0C18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eXDS</w:t>
            </w:r>
          </w:p>
        </w:tc>
        <w:tc>
          <w:tcPr>
            <w:tcW w:w="1092" w:type="dxa"/>
            <w:vAlign w:val="bottom"/>
          </w:tcPr>
          <w:p w14:paraId="6A2D151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0.473637</w:t>
            </w:r>
          </w:p>
        </w:tc>
        <w:tc>
          <w:tcPr>
            <w:tcW w:w="1353" w:type="dxa"/>
            <w:vAlign w:val="bottom"/>
          </w:tcPr>
          <w:p w14:paraId="5E8FAE6F"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-0.598108</w:t>
            </w:r>
          </w:p>
        </w:tc>
        <w:tc>
          <w:tcPr>
            <w:tcW w:w="1354" w:type="dxa"/>
            <w:vAlign w:val="bottom"/>
          </w:tcPr>
          <w:p w14:paraId="4923BB4E"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0.309184</w:t>
            </w:r>
          </w:p>
        </w:tc>
        <w:tc>
          <w:tcPr>
            <w:tcW w:w="1353" w:type="dxa"/>
            <w:vAlign w:val="bottom"/>
          </w:tcPr>
          <w:p w14:paraId="7AD57726"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4" w:type="dxa"/>
            <w:vAlign w:val="bottom"/>
          </w:tcPr>
          <w:p w14:paraId="6A48E882"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14:paraId="0A0CBF3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14:paraId="26112BE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r>
      <w:tr w:rsidR="008069CE" w:rsidRPr="00941C7F" w14:paraId="064549BA" w14:textId="77777777" w:rsidTr="00D55F42">
        <w:trPr>
          <w:trHeight w:val="224"/>
        </w:trPr>
        <w:tc>
          <w:tcPr>
            <w:tcW w:w="1583" w:type="dxa"/>
            <w:vAlign w:val="bottom"/>
          </w:tcPr>
          <w:p w14:paraId="04137166"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nINT</w:t>
            </w:r>
          </w:p>
        </w:tc>
        <w:tc>
          <w:tcPr>
            <w:tcW w:w="1092" w:type="dxa"/>
            <w:vAlign w:val="bottom"/>
          </w:tcPr>
          <w:p w14:paraId="78F200D6"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0.050026</w:t>
            </w:r>
          </w:p>
        </w:tc>
        <w:tc>
          <w:tcPr>
            <w:tcW w:w="1353" w:type="dxa"/>
            <w:vAlign w:val="bottom"/>
          </w:tcPr>
          <w:p w14:paraId="7717071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0.397370</w:t>
            </w:r>
          </w:p>
        </w:tc>
        <w:tc>
          <w:tcPr>
            <w:tcW w:w="1354" w:type="dxa"/>
            <w:vAlign w:val="bottom"/>
          </w:tcPr>
          <w:p w14:paraId="49777557"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-0.288932</w:t>
            </w:r>
          </w:p>
        </w:tc>
        <w:tc>
          <w:tcPr>
            <w:tcW w:w="1353" w:type="dxa"/>
            <w:vAlign w:val="bottom"/>
          </w:tcPr>
          <w:p w14:paraId="06DD53D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-0.207946</w:t>
            </w:r>
          </w:p>
        </w:tc>
        <w:tc>
          <w:tcPr>
            <w:tcW w:w="1354" w:type="dxa"/>
            <w:vAlign w:val="bottom"/>
          </w:tcPr>
          <w:p w14:paraId="73E517C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vAlign w:val="bottom"/>
          </w:tcPr>
          <w:p w14:paraId="36CEC0A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14:paraId="34C1B4E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r>
      <w:tr w:rsidR="008069CE" w:rsidRPr="00941C7F" w14:paraId="30746808" w14:textId="77777777" w:rsidTr="00D55F42">
        <w:trPr>
          <w:trHeight w:val="224"/>
        </w:trPr>
        <w:tc>
          <w:tcPr>
            <w:tcW w:w="1583" w:type="dxa"/>
            <w:vAlign w:val="bottom"/>
          </w:tcPr>
          <w:p w14:paraId="2B2A0F35"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nSAV</w:t>
            </w:r>
          </w:p>
        </w:tc>
        <w:tc>
          <w:tcPr>
            <w:tcW w:w="1092" w:type="dxa"/>
            <w:vAlign w:val="bottom"/>
          </w:tcPr>
          <w:p w14:paraId="0796254C"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0.516272</w:t>
            </w:r>
          </w:p>
        </w:tc>
        <w:tc>
          <w:tcPr>
            <w:tcW w:w="1353" w:type="dxa"/>
            <w:vAlign w:val="bottom"/>
          </w:tcPr>
          <w:p w14:paraId="26217B33"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-0.650386</w:t>
            </w:r>
          </w:p>
        </w:tc>
        <w:tc>
          <w:tcPr>
            <w:tcW w:w="1354" w:type="dxa"/>
            <w:vAlign w:val="bottom"/>
          </w:tcPr>
          <w:p w14:paraId="6D801BE8"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0.647740</w:t>
            </w:r>
          </w:p>
        </w:tc>
        <w:tc>
          <w:tcPr>
            <w:tcW w:w="1353" w:type="dxa"/>
            <w:vAlign w:val="bottom"/>
          </w:tcPr>
          <w:p w14:paraId="66BB7EF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0.806045</w:t>
            </w:r>
          </w:p>
        </w:tc>
        <w:tc>
          <w:tcPr>
            <w:tcW w:w="1354" w:type="dxa"/>
            <w:vAlign w:val="bottom"/>
          </w:tcPr>
          <w:p w14:paraId="4202313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-0.401182</w:t>
            </w:r>
          </w:p>
        </w:tc>
        <w:tc>
          <w:tcPr>
            <w:tcW w:w="1353" w:type="dxa"/>
            <w:vAlign w:val="bottom"/>
          </w:tcPr>
          <w:p w14:paraId="69276F0F"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tcPr>
          <w:p w14:paraId="28DC8F5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p>
        </w:tc>
      </w:tr>
      <w:tr w:rsidR="008069CE" w:rsidRPr="00941C7F" w14:paraId="35A789EF" w14:textId="77777777" w:rsidTr="00D55F42">
        <w:trPr>
          <w:trHeight w:val="224"/>
        </w:trPr>
        <w:tc>
          <w:tcPr>
            <w:tcW w:w="1583" w:type="dxa"/>
            <w:tcBorders>
              <w:bottom w:val="single" w:sz="4" w:space="0" w:color="auto"/>
            </w:tcBorders>
            <w:vAlign w:val="bottom"/>
          </w:tcPr>
          <w:p w14:paraId="7CC7C9C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nEXR</w:t>
            </w:r>
          </w:p>
        </w:tc>
        <w:tc>
          <w:tcPr>
            <w:tcW w:w="1092" w:type="dxa"/>
            <w:tcBorders>
              <w:bottom w:val="single" w:sz="4" w:space="0" w:color="auto"/>
            </w:tcBorders>
            <w:vAlign w:val="bottom"/>
          </w:tcPr>
          <w:p w14:paraId="1795C7F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0.420407</w:t>
            </w:r>
          </w:p>
        </w:tc>
        <w:tc>
          <w:tcPr>
            <w:tcW w:w="1353" w:type="dxa"/>
            <w:tcBorders>
              <w:bottom w:val="single" w:sz="4" w:space="0" w:color="auto"/>
            </w:tcBorders>
            <w:vAlign w:val="bottom"/>
          </w:tcPr>
          <w:p w14:paraId="682435CD"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-0.378809</w:t>
            </w:r>
          </w:p>
        </w:tc>
        <w:tc>
          <w:tcPr>
            <w:tcW w:w="1354" w:type="dxa"/>
            <w:tcBorders>
              <w:bottom w:val="single" w:sz="4" w:space="0" w:color="auto"/>
            </w:tcBorders>
            <w:vAlign w:val="bottom"/>
          </w:tcPr>
          <w:p w14:paraId="5030DDBA"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0.464185</w:t>
            </w:r>
          </w:p>
        </w:tc>
        <w:tc>
          <w:tcPr>
            <w:tcW w:w="1353" w:type="dxa"/>
            <w:tcBorders>
              <w:bottom w:val="single" w:sz="4" w:space="0" w:color="auto"/>
            </w:tcBorders>
            <w:vAlign w:val="bottom"/>
          </w:tcPr>
          <w:p w14:paraId="7DB703C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0.693867</w:t>
            </w:r>
          </w:p>
        </w:tc>
        <w:tc>
          <w:tcPr>
            <w:tcW w:w="1354" w:type="dxa"/>
            <w:tcBorders>
              <w:bottom w:val="single" w:sz="4" w:space="0" w:color="auto"/>
            </w:tcBorders>
            <w:vAlign w:val="bottom"/>
          </w:tcPr>
          <w:p w14:paraId="7118057C"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-0.232105</w:t>
            </w:r>
          </w:p>
        </w:tc>
        <w:tc>
          <w:tcPr>
            <w:tcW w:w="1353" w:type="dxa"/>
            <w:tcBorders>
              <w:bottom w:val="single" w:sz="4" w:space="0" w:color="auto"/>
            </w:tcBorders>
            <w:vAlign w:val="bottom"/>
          </w:tcPr>
          <w:p w14:paraId="41976859"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0.525419</w:t>
            </w:r>
          </w:p>
        </w:tc>
        <w:tc>
          <w:tcPr>
            <w:tcW w:w="1353" w:type="dxa"/>
            <w:tcBorders>
              <w:bottom w:val="single" w:sz="4" w:space="0" w:color="auto"/>
            </w:tcBorders>
          </w:tcPr>
          <w:p w14:paraId="688AF360"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1.000000</w:t>
            </w:r>
          </w:p>
        </w:tc>
      </w:tr>
    </w:tbl>
    <w:p w14:paraId="77636A6A" w14:textId="77777777" w:rsidR="008069CE" w:rsidRPr="00941C7F" w:rsidRDefault="008069CE" w:rsidP="008069CE">
      <w:pPr>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Pr="00941C7F">
        <w:rPr>
          <w:rFonts w:ascii="Times New Roman" w:hAnsi="Times New Roman" w:cs="Times New Roman"/>
          <w:bCs/>
          <w:sz w:val="24"/>
          <w:szCs w:val="24"/>
        </w:rPr>
        <w:t xml:space="preserve"> computation, 2025.</w:t>
      </w:r>
    </w:p>
    <w:p w14:paraId="3BF6677C"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Table </w:t>
      </w:r>
      <w:r>
        <w:rPr>
          <w:rFonts w:ascii="Times New Roman" w:hAnsi="Times New Roman" w:cs="Times New Roman"/>
          <w:sz w:val="24"/>
          <w:szCs w:val="24"/>
        </w:rPr>
        <w:t>6 show the</w:t>
      </w:r>
      <w:r w:rsidRPr="00941C7F">
        <w:rPr>
          <w:rFonts w:ascii="Times New Roman" w:hAnsi="Times New Roman" w:cs="Times New Roman"/>
          <w:sz w:val="24"/>
          <w:szCs w:val="24"/>
        </w:rPr>
        <w:t xml:space="preserve"> entire pair wise correlation matrix.</w:t>
      </w:r>
      <w:r>
        <w:rPr>
          <w:rFonts w:ascii="Times New Roman" w:hAnsi="Times New Roman" w:cs="Times New Roman"/>
          <w:sz w:val="24"/>
          <w:szCs w:val="24"/>
        </w:rPr>
        <w:t xml:space="preserve"> The result indicated that none of the variable has above 0.81, and </w:t>
      </w:r>
      <w:r w:rsidRPr="00941C7F">
        <w:rPr>
          <w:rFonts w:ascii="Times New Roman" w:hAnsi="Times New Roman" w:cs="Times New Roman"/>
          <w:sz w:val="24"/>
          <w:szCs w:val="24"/>
        </w:rPr>
        <w:t xml:space="preserve">therefore </w:t>
      </w:r>
      <w:r>
        <w:rPr>
          <w:rFonts w:ascii="Times New Roman" w:hAnsi="Times New Roman" w:cs="Times New Roman"/>
          <w:sz w:val="24"/>
          <w:szCs w:val="24"/>
        </w:rPr>
        <w:t xml:space="preserve">we </w:t>
      </w:r>
      <w:r w:rsidRPr="00941C7F">
        <w:rPr>
          <w:rFonts w:ascii="Times New Roman" w:hAnsi="Times New Roman" w:cs="Times New Roman"/>
          <w:sz w:val="24"/>
          <w:szCs w:val="24"/>
        </w:rPr>
        <w:t>conclude</w:t>
      </w:r>
      <w:r>
        <w:rPr>
          <w:rFonts w:ascii="Times New Roman" w:hAnsi="Times New Roman" w:cs="Times New Roman"/>
          <w:sz w:val="24"/>
          <w:szCs w:val="24"/>
        </w:rPr>
        <w:t>d</w:t>
      </w:r>
      <w:r w:rsidRPr="00941C7F">
        <w:rPr>
          <w:rFonts w:ascii="Times New Roman" w:hAnsi="Times New Roman" w:cs="Times New Roman"/>
          <w:sz w:val="24"/>
          <w:szCs w:val="24"/>
        </w:rPr>
        <w:t xml:space="preserve"> that there is no presence of perfect multi-collinearity among the </w:t>
      </w:r>
      <w:r w:rsidRPr="00941C7F">
        <w:rPr>
          <w:rFonts w:ascii="Times New Roman" w:hAnsi="Times New Roman" w:cs="Times New Roman"/>
          <w:sz w:val="24"/>
          <w:szCs w:val="24"/>
        </w:rPr>
        <w:lastRenderedPageBreak/>
        <w:t>variables in the model, signifying that each independent variable in the model influences the dependent variable differently.</w:t>
      </w:r>
    </w:p>
    <w:p w14:paraId="76ECC700" w14:textId="77777777" w:rsidR="008069CE" w:rsidRPr="00941C7F" w:rsidRDefault="008069CE" w:rsidP="008069CE">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Unit root tests</w:t>
      </w:r>
    </w:p>
    <w:p w14:paraId="749B4BB9"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The inferential estimation among the variables requires that the </w:t>
      </w:r>
      <w:r>
        <w:rPr>
          <w:rFonts w:ascii="Times New Roman" w:hAnsi="Times New Roman" w:cs="Times New Roman"/>
          <w:sz w:val="24"/>
          <w:szCs w:val="24"/>
        </w:rPr>
        <w:t>stationarity</w:t>
      </w:r>
      <w:r w:rsidRPr="00941C7F">
        <w:rPr>
          <w:rFonts w:ascii="Times New Roman" w:hAnsi="Times New Roman" w:cs="Times New Roman"/>
          <w:sz w:val="24"/>
          <w:szCs w:val="24"/>
        </w:rPr>
        <w:t xml:space="preserve"> of the time series properties </w:t>
      </w:r>
      <w:r>
        <w:rPr>
          <w:rFonts w:ascii="Times New Roman" w:hAnsi="Times New Roman" w:cs="Times New Roman"/>
          <w:sz w:val="24"/>
          <w:szCs w:val="24"/>
        </w:rPr>
        <w:t>is</w:t>
      </w:r>
      <w:r w:rsidRPr="00941C7F">
        <w:rPr>
          <w:rFonts w:ascii="Times New Roman" w:hAnsi="Times New Roman" w:cs="Times New Roman"/>
          <w:sz w:val="24"/>
          <w:szCs w:val="24"/>
        </w:rPr>
        <w:t xml:space="preserve"> checked. This was done in order to correctly apply the appropriate regression technique which is most suitable for purely I(0) and purely I(1) variables and not for I(2) variables (Pesaran, Shin and Smit</w:t>
      </w:r>
      <w:r>
        <w:rPr>
          <w:rFonts w:ascii="Times New Roman" w:hAnsi="Times New Roman" w:cs="Times New Roman"/>
          <w:sz w:val="24"/>
          <w:szCs w:val="24"/>
        </w:rPr>
        <w:t xml:space="preserve">h, 2001). In other words, </w:t>
      </w:r>
      <w:r w:rsidRPr="00941C7F">
        <w:rPr>
          <w:rFonts w:ascii="Times New Roman" w:hAnsi="Times New Roman" w:cs="Times New Roman"/>
          <w:sz w:val="24"/>
          <w:szCs w:val="24"/>
        </w:rPr>
        <w:t xml:space="preserve">unit root tests such as Levin, Lin and Chu (2002) (LLC), Im, Pesaran and Shin (2003) (IPS), Augmented Dickey Fuller (ADF, 1979) tests were performed. All the variable is either of order I(0) and I(1) and as presented at Table </w:t>
      </w:r>
      <w:r>
        <w:rPr>
          <w:rFonts w:ascii="Times New Roman" w:hAnsi="Times New Roman" w:cs="Times New Roman"/>
          <w:sz w:val="24"/>
          <w:szCs w:val="24"/>
        </w:rPr>
        <w:t>7</w:t>
      </w:r>
      <w:r w:rsidRPr="00941C7F">
        <w:rPr>
          <w:rFonts w:ascii="Times New Roman" w:hAnsi="Times New Roman" w:cs="Times New Roman"/>
          <w:sz w:val="24"/>
          <w:szCs w:val="24"/>
        </w:rPr>
        <w:t>.</w:t>
      </w:r>
    </w:p>
    <w:p w14:paraId="04B4FAA9" w14:textId="77777777" w:rsidR="008069CE" w:rsidRPr="00941C7F" w:rsidRDefault="008069CE" w:rsidP="008069CE">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7</w:t>
      </w:r>
      <w:r w:rsidRPr="00941C7F">
        <w:rPr>
          <w:rFonts w:ascii="Times New Roman" w:hAnsi="Times New Roman" w:cs="Times New Roman"/>
          <w:b/>
          <w:sz w:val="24"/>
          <w:szCs w:val="24"/>
          <w:lang w:val="en-GB"/>
        </w:rPr>
        <w:t xml:space="preserve"> Unit root (ADF test)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1621"/>
        <w:gridCol w:w="1169"/>
        <w:gridCol w:w="1620"/>
        <w:gridCol w:w="1247"/>
        <w:gridCol w:w="1350"/>
        <w:gridCol w:w="1291"/>
      </w:tblGrid>
      <w:tr w:rsidR="008069CE" w:rsidRPr="00941C7F" w14:paraId="558808AF" w14:textId="77777777" w:rsidTr="00D55F42">
        <w:tc>
          <w:tcPr>
            <w:tcW w:w="1278" w:type="dxa"/>
            <w:tcBorders>
              <w:bottom w:val="single" w:sz="4" w:space="0" w:color="auto"/>
            </w:tcBorders>
          </w:tcPr>
          <w:p w14:paraId="2E00E203" w14:textId="77777777" w:rsidR="008069CE" w:rsidRPr="00941C7F" w:rsidRDefault="008069CE" w:rsidP="00D55F42">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Variables</w:t>
            </w:r>
          </w:p>
        </w:tc>
        <w:tc>
          <w:tcPr>
            <w:tcW w:w="1621" w:type="dxa"/>
            <w:tcBorders>
              <w:bottom w:val="single" w:sz="4" w:space="0" w:color="auto"/>
            </w:tcBorders>
          </w:tcPr>
          <w:p w14:paraId="72EB64E7" w14:textId="77777777" w:rsidR="008069CE" w:rsidRPr="00941C7F" w:rsidRDefault="008069CE" w:rsidP="00D55F42">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Adf Chi-Square &amp; Adf Z-stat at level</w:t>
            </w:r>
          </w:p>
        </w:tc>
        <w:tc>
          <w:tcPr>
            <w:tcW w:w="1169" w:type="dxa"/>
            <w:tcBorders>
              <w:bottom w:val="single" w:sz="4" w:space="0" w:color="auto"/>
            </w:tcBorders>
          </w:tcPr>
          <w:p w14:paraId="4B8AEDA0" w14:textId="77777777" w:rsidR="008069CE" w:rsidRPr="00941C7F" w:rsidRDefault="008069CE" w:rsidP="00D55F42">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Prob.</w:t>
            </w:r>
          </w:p>
        </w:tc>
        <w:tc>
          <w:tcPr>
            <w:tcW w:w="1620" w:type="dxa"/>
            <w:tcBorders>
              <w:bottom w:val="single" w:sz="4" w:space="0" w:color="auto"/>
            </w:tcBorders>
          </w:tcPr>
          <w:p w14:paraId="2BCAE8C5" w14:textId="77777777" w:rsidR="008069CE" w:rsidRPr="00941C7F" w:rsidRDefault="008069CE" w:rsidP="00D55F42">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Adf Chi-Square &amp; Adf Z-stat at 1</w:t>
            </w:r>
            <w:r w:rsidRPr="00941C7F">
              <w:rPr>
                <w:rFonts w:ascii="Times New Roman" w:hAnsi="Times New Roman" w:cs="Times New Roman"/>
                <w:b/>
                <w:sz w:val="24"/>
                <w:szCs w:val="24"/>
                <w:vertAlign w:val="superscript"/>
                <w:lang w:val="en-GB"/>
              </w:rPr>
              <w:t>st</w:t>
            </w:r>
            <w:r w:rsidRPr="00941C7F">
              <w:rPr>
                <w:rFonts w:ascii="Times New Roman" w:hAnsi="Times New Roman" w:cs="Times New Roman"/>
                <w:b/>
                <w:sz w:val="24"/>
                <w:szCs w:val="24"/>
                <w:lang w:val="en-GB"/>
              </w:rPr>
              <w:t xml:space="preserve"> Difference</w:t>
            </w:r>
          </w:p>
        </w:tc>
        <w:tc>
          <w:tcPr>
            <w:tcW w:w="1247" w:type="dxa"/>
            <w:tcBorders>
              <w:bottom w:val="single" w:sz="4" w:space="0" w:color="auto"/>
            </w:tcBorders>
          </w:tcPr>
          <w:p w14:paraId="225098A6" w14:textId="77777777" w:rsidR="008069CE" w:rsidRPr="00941C7F" w:rsidRDefault="008069CE" w:rsidP="00D55F42">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Prob.</w:t>
            </w:r>
          </w:p>
        </w:tc>
        <w:tc>
          <w:tcPr>
            <w:tcW w:w="1350" w:type="dxa"/>
            <w:tcBorders>
              <w:bottom w:val="single" w:sz="4" w:space="0" w:color="auto"/>
            </w:tcBorders>
          </w:tcPr>
          <w:p w14:paraId="08FCCBEF" w14:textId="77777777" w:rsidR="008069CE" w:rsidRPr="00941C7F" w:rsidRDefault="008069CE" w:rsidP="00D55F42">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Order of integration</w:t>
            </w:r>
          </w:p>
        </w:tc>
        <w:tc>
          <w:tcPr>
            <w:tcW w:w="1291" w:type="dxa"/>
            <w:tcBorders>
              <w:bottom w:val="single" w:sz="4" w:space="0" w:color="auto"/>
            </w:tcBorders>
          </w:tcPr>
          <w:p w14:paraId="65284911" w14:textId="77777777" w:rsidR="008069CE" w:rsidRPr="00941C7F" w:rsidRDefault="008069CE" w:rsidP="00D55F42">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Remarks</w:t>
            </w:r>
          </w:p>
        </w:tc>
      </w:tr>
      <w:tr w:rsidR="008069CE" w:rsidRPr="00941C7F" w14:paraId="538E0B75" w14:textId="77777777" w:rsidTr="00D55F42">
        <w:trPr>
          <w:trHeight w:val="1935"/>
        </w:trPr>
        <w:tc>
          <w:tcPr>
            <w:tcW w:w="1278" w:type="dxa"/>
            <w:tcBorders>
              <w:top w:val="single" w:sz="4" w:space="0" w:color="auto"/>
              <w:bottom w:val="single" w:sz="4" w:space="0" w:color="auto"/>
            </w:tcBorders>
          </w:tcPr>
          <w:p w14:paraId="5EC216E9" w14:textId="77777777" w:rsidR="008069CE" w:rsidRPr="00941C7F" w:rsidRDefault="008069CE" w:rsidP="00D55F42">
            <w:pPr>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gFCF</w:t>
            </w:r>
          </w:p>
          <w:p w14:paraId="56F5D3B7" w14:textId="77777777" w:rsidR="008069CE" w:rsidRPr="00941C7F" w:rsidRDefault="008069CE" w:rsidP="00D55F42">
            <w:pPr>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tEXD</w:t>
            </w:r>
          </w:p>
          <w:p w14:paraId="2FC802FA" w14:textId="77777777" w:rsidR="008069CE" w:rsidRPr="00941C7F" w:rsidRDefault="008069CE" w:rsidP="00D55F42">
            <w:pPr>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tDMD</w:t>
            </w:r>
          </w:p>
          <w:p w14:paraId="2726EF16" w14:textId="77777777" w:rsidR="008069CE" w:rsidRPr="00941C7F" w:rsidRDefault="008069CE" w:rsidP="00D55F42">
            <w:pPr>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eXDS</w:t>
            </w:r>
          </w:p>
          <w:p w14:paraId="1BAEF6A9" w14:textId="77777777" w:rsidR="008069CE" w:rsidRPr="00941C7F" w:rsidRDefault="008069CE" w:rsidP="00D55F42">
            <w:pPr>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nINT</w:t>
            </w:r>
          </w:p>
          <w:p w14:paraId="223978CE"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nSAV</w:t>
            </w:r>
          </w:p>
          <w:p w14:paraId="11DC2E49" w14:textId="77777777" w:rsidR="008069CE" w:rsidRPr="00941C7F" w:rsidRDefault="008069CE" w:rsidP="00D55F42">
            <w:pPr>
              <w:spacing w:line="360" w:lineRule="auto"/>
              <w:jc w:val="both"/>
              <w:rPr>
                <w:rFonts w:ascii="Times New Roman" w:hAnsi="Times New Roman" w:cs="Times New Roman"/>
                <w:b/>
                <w:sz w:val="24"/>
                <w:szCs w:val="24"/>
                <w:lang w:val="en-GB"/>
              </w:rPr>
            </w:pPr>
            <w:r w:rsidRPr="00941C7F">
              <w:rPr>
                <w:rFonts w:ascii="Times New Roman" w:hAnsi="Times New Roman" w:cs="Times New Roman"/>
                <w:b/>
                <w:i/>
                <w:color w:val="000000"/>
                <w:sz w:val="24"/>
                <w:szCs w:val="24"/>
              </w:rPr>
              <w:t>nEXR</w:t>
            </w:r>
          </w:p>
        </w:tc>
        <w:tc>
          <w:tcPr>
            <w:tcW w:w="1621" w:type="dxa"/>
            <w:tcBorders>
              <w:top w:val="single" w:sz="4" w:space="0" w:color="auto"/>
              <w:bottom w:val="single" w:sz="4" w:space="0" w:color="auto"/>
            </w:tcBorders>
          </w:tcPr>
          <w:p w14:paraId="46E869E1"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 xml:space="preserve"> -0.88685</w:t>
            </w:r>
          </w:p>
          <w:p w14:paraId="5D32C1E4"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-1.88165</w:t>
            </w:r>
          </w:p>
          <w:p w14:paraId="7F4529E8"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4.063737</w:t>
            </w:r>
          </w:p>
          <w:p w14:paraId="1B65A092"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1.855589</w:t>
            </w:r>
          </w:p>
          <w:p w14:paraId="24CDBB1C"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-11.92309</w:t>
            </w:r>
          </w:p>
          <w:p w14:paraId="038FF240"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-0.297086</w:t>
            </w:r>
          </w:p>
          <w:p w14:paraId="444D22E5"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2.863953</w:t>
            </w:r>
          </w:p>
        </w:tc>
        <w:tc>
          <w:tcPr>
            <w:tcW w:w="1169" w:type="dxa"/>
            <w:tcBorders>
              <w:top w:val="single" w:sz="4" w:space="0" w:color="auto"/>
              <w:bottom w:val="single" w:sz="4" w:space="0" w:color="auto"/>
            </w:tcBorders>
          </w:tcPr>
          <w:p w14:paraId="5E407405"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0.7824</w:t>
            </w:r>
          </w:p>
          <w:p w14:paraId="69AFD2EF"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0.3373</w:t>
            </w:r>
          </w:p>
          <w:p w14:paraId="193C02FA"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0.0000</w:t>
            </w:r>
          </w:p>
          <w:p w14:paraId="2E4AF6BB"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0.9996</w:t>
            </w:r>
          </w:p>
          <w:p w14:paraId="0CE82978"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0.0000</w:t>
            </w:r>
          </w:p>
          <w:p w14:paraId="418BA9A6"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0.9166</w:t>
            </w:r>
          </w:p>
          <w:p w14:paraId="25F822F8"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1.0000</w:t>
            </w:r>
          </w:p>
        </w:tc>
        <w:tc>
          <w:tcPr>
            <w:tcW w:w="1620" w:type="dxa"/>
            <w:tcBorders>
              <w:top w:val="single" w:sz="4" w:space="0" w:color="auto"/>
              <w:bottom w:val="single" w:sz="4" w:space="0" w:color="auto"/>
            </w:tcBorders>
          </w:tcPr>
          <w:p w14:paraId="3B623985"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-7.153038</w:t>
            </w:r>
          </w:p>
          <w:p w14:paraId="42456A59"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-4.595103</w:t>
            </w:r>
          </w:p>
          <w:p w14:paraId="7C0DB9A9"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 xml:space="preserve"> </w:t>
            </w:r>
          </w:p>
          <w:p w14:paraId="359886B9"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 xml:space="preserve"> 7.273977</w:t>
            </w:r>
          </w:p>
          <w:p w14:paraId="37754A7D" w14:textId="77777777" w:rsidR="008069CE" w:rsidRPr="00941C7F" w:rsidRDefault="008069CE" w:rsidP="00D55F42">
            <w:pPr>
              <w:spacing w:line="360" w:lineRule="auto"/>
              <w:jc w:val="both"/>
              <w:rPr>
                <w:rFonts w:ascii="Times New Roman" w:hAnsi="Times New Roman" w:cs="Times New Roman"/>
                <w:sz w:val="24"/>
                <w:szCs w:val="24"/>
                <w:lang w:val="en-GB"/>
              </w:rPr>
            </w:pPr>
          </w:p>
          <w:p w14:paraId="29B76ABD"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-4.963062</w:t>
            </w:r>
          </w:p>
          <w:p w14:paraId="7C869984"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-4.212042</w:t>
            </w:r>
          </w:p>
        </w:tc>
        <w:tc>
          <w:tcPr>
            <w:tcW w:w="1247" w:type="dxa"/>
            <w:tcBorders>
              <w:top w:val="single" w:sz="4" w:space="0" w:color="auto"/>
              <w:bottom w:val="single" w:sz="4" w:space="0" w:color="auto"/>
            </w:tcBorders>
          </w:tcPr>
          <w:p w14:paraId="52BC5A62"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0.0000</w:t>
            </w:r>
          </w:p>
          <w:p w14:paraId="1EE43DFE"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1.0000</w:t>
            </w:r>
          </w:p>
          <w:p w14:paraId="352AEB54" w14:textId="77777777" w:rsidR="008069CE" w:rsidRPr="00941C7F" w:rsidRDefault="008069CE" w:rsidP="00D55F42">
            <w:pPr>
              <w:spacing w:line="360" w:lineRule="auto"/>
              <w:jc w:val="both"/>
              <w:rPr>
                <w:rFonts w:ascii="Times New Roman" w:hAnsi="Times New Roman" w:cs="Times New Roman"/>
                <w:sz w:val="24"/>
                <w:szCs w:val="24"/>
                <w:lang w:val="en-GB"/>
              </w:rPr>
            </w:pPr>
          </w:p>
          <w:p w14:paraId="4A92B5E1"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1.0000</w:t>
            </w:r>
          </w:p>
          <w:p w14:paraId="795853B3" w14:textId="77777777" w:rsidR="008069CE" w:rsidRPr="00941C7F" w:rsidRDefault="008069CE" w:rsidP="00D55F42">
            <w:pPr>
              <w:spacing w:line="360" w:lineRule="auto"/>
              <w:jc w:val="both"/>
              <w:rPr>
                <w:rFonts w:ascii="Times New Roman" w:hAnsi="Times New Roman" w:cs="Times New Roman"/>
                <w:sz w:val="24"/>
                <w:szCs w:val="24"/>
                <w:lang w:val="en-GB"/>
              </w:rPr>
            </w:pPr>
          </w:p>
          <w:p w14:paraId="4C8FE77F"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0.0002</w:t>
            </w:r>
          </w:p>
          <w:p w14:paraId="47B0DB83"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0.0019</w:t>
            </w:r>
          </w:p>
        </w:tc>
        <w:tc>
          <w:tcPr>
            <w:tcW w:w="1350" w:type="dxa"/>
            <w:tcBorders>
              <w:top w:val="single" w:sz="4" w:space="0" w:color="auto"/>
              <w:bottom w:val="single" w:sz="4" w:space="0" w:color="auto"/>
            </w:tcBorders>
          </w:tcPr>
          <w:p w14:paraId="66E20B67"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14:paraId="08DC4DF5"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14:paraId="06A753D3"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w:t>
            </w:r>
          </w:p>
          <w:p w14:paraId="5C477262"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14:paraId="3BFC044D"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w:t>
            </w:r>
          </w:p>
          <w:p w14:paraId="4E3DCAA0"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14:paraId="33932EFF"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tc>
        <w:tc>
          <w:tcPr>
            <w:tcW w:w="1291" w:type="dxa"/>
            <w:tcBorders>
              <w:top w:val="single" w:sz="4" w:space="0" w:color="auto"/>
              <w:bottom w:val="single" w:sz="4" w:space="0" w:color="auto"/>
            </w:tcBorders>
          </w:tcPr>
          <w:p w14:paraId="307EC26E"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09F5CEFB"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36121E91"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702B8108"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5002005F"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77D52F13"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487BE1B0" w14:textId="77777777" w:rsidR="008069CE" w:rsidRPr="00941C7F" w:rsidRDefault="008069CE" w:rsidP="00D55F42">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tc>
      </w:tr>
    </w:tbl>
    <w:p w14:paraId="0B5A5E46" w14:textId="77777777" w:rsidR="008069CE" w:rsidRPr="00941C7F" w:rsidRDefault="008069CE" w:rsidP="008069CE">
      <w:pPr>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Pr="00941C7F">
        <w:rPr>
          <w:rFonts w:ascii="Times New Roman" w:hAnsi="Times New Roman" w:cs="Times New Roman"/>
          <w:bCs/>
          <w:sz w:val="24"/>
          <w:szCs w:val="24"/>
        </w:rPr>
        <w:t xml:space="preserve"> computation, 2025.</w:t>
      </w:r>
    </w:p>
    <w:p w14:paraId="24DF63F2" w14:textId="77777777" w:rsidR="008069CE" w:rsidRPr="00941C7F" w:rsidRDefault="008069CE" w:rsidP="008069CE">
      <w:pPr>
        <w:spacing w:line="360" w:lineRule="auto"/>
        <w:jc w:val="both"/>
        <w:rPr>
          <w:rFonts w:ascii="Times New Roman" w:hAnsi="Times New Roman" w:cs="Times New Roman"/>
          <w:b/>
          <w:sz w:val="24"/>
          <w:szCs w:val="24"/>
        </w:rPr>
      </w:pPr>
      <w:r w:rsidRPr="00941C7F">
        <w:rPr>
          <w:rFonts w:ascii="Times New Roman" w:hAnsi="Times New Roman" w:cs="Times New Roman"/>
          <w:sz w:val="24"/>
          <w:szCs w:val="24"/>
        </w:rPr>
        <w:t xml:space="preserve">The results of the unit root test, as presented in Table </w:t>
      </w:r>
      <w:r>
        <w:rPr>
          <w:rFonts w:ascii="Times New Roman" w:hAnsi="Times New Roman" w:cs="Times New Roman"/>
          <w:sz w:val="24"/>
          <w:szCs w:val="24"/>
        </w:rPr>
        <w:t>7</w:t>
      </w:r>
      <w:r w:rsidRPr="00941C7F">
        <w:rPr>
          <w:rFonts w:ascii="Times New Roman" w:hAnsi="Times New Roman" w:cs="Times New Roman"/>
          <w:sz w:val="24"/>
          <w:szCs w:val="24"/>
        </w:rPr>
        <w:t xml:space="preserve">, indicate that some of the variables used for the study have a unit root problem in their level forms but become stationary after the first difference. It was revealed by the Augmented Dickey-Fuller (ADF) statistics for each variable with its corresponding critical values. It could be observed from Table </w:t>
      </w:r>
      <w:r>
        <w:rPr>
          <w:rFonts w:ascii="Times New Roman" w:hAnsi="Times New Roman" w:cs="Times New Roman"/>
          <w:sz w:val="24"/>
          <w:szCs w:val="24"/>
        </w:rPr>
        <w:t>7</w:t>
      </w:r>
      <w:r w:rsidRPr="00941C7F">
        <w:rPr>
          <w:rFonts w:ascii="Times New Roman" w:hAnsi="Times New Roman" w:cs="Times New Roman"/>
          <w:sz w:val="24"/>
          <w:szCs w:val="24"/>
        </w:rPr>
        <w:t xml:space="preserve"> that the results from both ADF tests show that only tDMD and nINT were stationary at the levels, i.e., they were integrated at order zero {I(0)} and at 1% and 5% significance levels. On the contrary, GFCF, tEXD, eXDS, nSAV, and NEXR were all found to be stationary at the first difference; this is integrated to order one {I(1)} and at a significance level of 1%. Table </w:t>
      </w:r>
      <w:r>
        <w:rPr>
          <w:rFonts w:ascii="Times New Roman" w:hAnsi="Times New Roman" w:cs="Times New Roman"/>
          <w:sz w:val="24"/>
          <w:szCs w:val="24"/>
        </w:rPr>
        <w:t>7</w:t>
      </w:r>
      <w:r w:rsidRPr="00941C7F">
        <w:rPr>
          <w:rFonts w:ascii="Times New Roman" w:hAnsi="Times New Roman" w:cs="Times New Roman"/>
          <w:sz w:val="24"/>
          <w:szCs w:val="24"/>
        </w:rPr>
        <w:t xml:space="preserve"> also shows that their ADF test statistics were each larger than the critical test statistics at a 1% </w:t>
      </w:r>
      <w:r w:rsidRPr="00941C7F">
        <w:rPr>
          <w:rFonts w:ascii="Times New Roman" w:hAnsi="Times New Roman" w:cs="Times New Roman"/>
          <w:sz w:val="24"/>
          <w:szCs w:val="24"/>
        </w:rPr>
        <w:lastRenderedPageBreak/>
        <w:t>significance level in their order of integration. Nevertheless, the variables are not stationary at the levels; there is still a tendency for us to expect a long-term equilibrium relationship between dependent and independent variables despite the presence of unit roots.</w:t>
      </w:r>
    </w:p>
    <w:p w14:paraId="2909FD74" w14:textId="77777777" w:rsidR="008069CE" w:rsidRPr="00941C7F" w:rsidRDefault="008069CE" w:rsidP="008069CE">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Test for Co-integration</w:t>
      </w:r>
    </w:p>
    <w:p w14:paraId="7F4D0A00"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Given that the series are integrated of order zero and o</w:t>
      </w:r>
      <w:r>
        <w:rPr>
          <w:rFonts w:ascii="Times New Roman" w:hAnsi="Times New Roman" w:cs="Times New Roman"/>
          <w:sz w:val="24"/>
          <w:szCs w:val="24"/>
        </w:rPr>
        <w:t xml:space="preserve">ne, that is 1(0) and 1(1), </w:t>
      </w:r>
      <w:r w:rsidRPr="00941C7F">
        <w:rPr>
          <w:rFonts w:ascii="Times New Roman" w:hAnsi="Times New Roman" w:cs="Times New Roman"/>
          <w:sz w:val="24"/>
          <w:szCs w:val="24"/>
        </w:rPr>
        <w:t xml:space="preserve">auto-redistributed lag co-integration approach is found most appropriate in ascertaining if there is a long run relationship existing between the variables </w:t>
      </w:r>
      <w:r>
        <w:rPr>
          <w:rFonts w:ascii="Times New Roman" w:hAnsi="Times New Roman" w:cs="Times New Roman"/>
          <w:sz w:val="24"/>
          <w:szCs w:val="24"/>
        </w:rPr>
        <w:t>in</w:t>
      </w:r>
      <w:r w:rsidRPr="00941C7F">
        <w:rPr>
          <w:rFonts w:ascii="Times New Roman" w:hAnsi="Times New Roman" w:cs="Times New Roman"/>
          <w:sz w:val="24"/>
          <w:szCs w:val="24"/>
        </w:rPr>
        <w:t xml:space="preserve"> the model. The theory of co-integration was pioneered by Granger (1981), Engle and Granger (1987), and addresses this issue of integrating short-run dynamics with Long-run equilibrium. This study makes use of the ARDL bound test approach developed by Pesaran et al (2001) to evaluate if there is a co-integration among the variables. Null hypothesis to be tested (H</w:t>
      </w:r>
      <w:r w:rsidRPr="00941C7F">
        <w:rPr>
          <w:rFonts w:ascii="Times New Roman" w:hAnsi="Times New Roman" w:cs="Times New Roman"/>
          <w:sz w:val="24"/>
          <w:szCs w:val="24"/>
          <w:vertAlign w:val="subscript"/>
        </w:rPr>
        <w:t>0</w:t>
      </w:r>
      <w:r w:rsidRPr="00941C7F">
        <w:rPr>
          <w:rFonts w:ascii="Times New Roman" w:hAnsi="Times New Roman" w:cs="Times New Roman"/>
          <w:sz w:val="24"/>
          <w:szCs w:val="24"/>
        </w:rPr>
        <w:t>): There is no co-integration among the variables.</w:t>
      </w:r>
    </w:p>
    <w:p w14:paraId="4985B16A" w14:textId="77777777" w:rsidR="008069CE" w:rsidRPr="00941C7F" w:rsidRDefault="008069CE" w:rsidP="008069CE">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ARDL Bound Co-integration Test Result</w:t>
      </w:r>
    </w:p>
    <w:p w14:paraId="28F3FC50" w14:textId="77777777" w:rsidR="008069CE" w:rsidRPr="00941C7F" w:rsidRDefault="008069CE" w:rsidP="008069CE">
      <w:pPr>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Table </w:t>
      </w:r>
      <w:r>
        <w:rPr>
          <w:rFonts w:ascii="Times New Roman" w:hAnsi="Times New Roman" w:cs="Times New Roman"/>
          <w:b/>
          <w:sz w:val="24"/>
          <w:szCs w:val="24"/>
        </w:rPr>
        <w:t>8</w:t>
      </w:r>
      <w:r w:rsidRPr="00941C7F">
        <w:rPr>
          <w:rFonts w:ascii="Times New Roman" w:hAnsi="Times New Roman" w:cs="Times New Roman"/>
          <w:b/>
          <w:sz w:val="24"/>
          <w:szCs w:val="24"/>
        </w:rPr>
        <w:t xml:space="preserve">: ARDL Bounds Test </w:t>
      </w:r>
    </w:p>
    <w:tbl>
      <w:tblPr>
        <w:tblW w:w="9784" w:type="dxa"/>
        <w:tblLayout w:type="fixed"/>
        <w:tblLook w:val="0000" w:firstRow="0" w:lastRow="0" w:firstColumn="0" w:lastColumn="0" w:noHBand="0" w:noVBand="0"/>
      </w:tblPr>
      <w:tblGrid>
        <w:gridCol w:w="3255"/>
        <w:gridCol w:w="6"/>
        <w:gridCol w:w="3261"/>
        <w:gridCol w:w="3262"/>
      </w:tblGrid>
      <w:tr w:rsidR="008069CE" w:rsidRPr="00941C7F" w14:paraId="6CBB6F0E" w14:textId="77777777" w:rsidTr="00D55F42">
        <w:trPr>
          <w:trHeight w:val="146"/>
        </w:trPr>
        <w:tc>
          <w:tcPr>
            <w:tcW w:w="3255" w:type="dxa"/>
            <w:tcBorders>
              <w:top w:val="single" w:sz="4" w:space="0" w:color="auto"/>
              <w:bottom w:val="single" w:sz="4" w:space="0" w:color="auto"/>
              <w:right w:val="single" w:sz="4" w:space="0" w:color="auto"/>
            </w:tcBorders>
          </w:tcPr>
          <w:p w14:paraId="33234382" w14:textId="77777777" w:rsidR="008069CE" w:rsidRPr="00941C7F" w:rsidRDefault="008069CE" w:rsidP="00D55F42">
            <w:pPr>
              <w:pStyle w:val="Default"/>
              <w:spacing w:line="360" w:lineRule="auto"/>
              <w:jc w:val="both"/>
              <w:rPr>
                <w:color w:val="auto"/>
              </w:rPr>
            </w:pPr>
            <w:r w:rsidRPr="00941C7F">
              <w:rPr>
                <w:b/>
                <w:bCs/>
                <w:color w:val="auto"/>
              </w:rPr>
              <w:t>Table</w:t>
            </w:r>
            <w:r>
              <w:rPr>
                <w:b/>
                <w:bCs/>
                <w:color w:val="auto"/>
              </w:rPr>
              <w:t xml:space="preserve"> 8</w:t>
            </w:r>
            <w:r w:rsidRPr="00941C7F">
              <w:rPr>
                <w:b/>
                <w:bCs/>
                <w:color w:val="auto"/>
              </w:rPr>
              <w:t xml:space="preserve">: </w:t>
            </w:r>
            <w:r w:rsidRPr="00941C7F">
              <w:rPr>
                <w:color w:val="auto"/>
              </w:rPr>
              <w:t>ARDL Bounds Test</w:t>
            </w:r>
          </w:p>
        </w:tc>
        <w:tc>
          <w:tcPr>
            <w:tcW w:w="6529" w:type="dxa"/>
            <w:gridSpan w:val="3"/>
            <w:tcBorders>
              <w:top w:val="single" w:sz="4" w:space="0" w:color="auto"/>
              <w:left w:val="single" w:sz="4" w:space="0" w:color="auto"/>
              <w:bottom w:val="single" w:sz="4" w:space="0" w:color="auto"/>
            </w:tcBorders>
          </w:tcPr>
          <w:p w14:paraId="6AE19FC6" w14:textId="77777777" w:rsidR="008069CE" w:rsidRPr="00941C7F" w:rsidRDefault="008069CE" w:rsidP="00D55F42">
            <w:pPr>
              <w:pStyle w:val="Default"/>
              <w:spacing w:line="360" w:lineRule="auto"/>
              <w:jc w:val="both"/>
              <w:rPr>
                <w:color w:val="auto"/>
              </w:rPr>
            </w:pPr>
          </w:p>
        </w:tc>
      </w:tr>
      <w:tr w:rsidR="008069CE" w:rsidRPr="00941C7F" w14:paraId="12658703" w14:textId="77777777" w:rsidTr="00D55F42">
        <w:trPr>
          <w:trHeight w:val="146"/>
        </w:trPr>
        <w:tc>
          <w:tcPr>
            <w:tcW w:w="3255" w:type="dxa"/>
            <w:tcBorders>
              <w:top w:val="single" w:sz="4" w:space="0" w:color="auto"/>
              <w:bottom w:val="single" w:sz="4" w:space="0" w:color="auto"/>
              <w:right w:val="single" w:sz="4" w:space="0" w:color="auto"/>
            </w:tcBorders>
          </w:tcPr>
          <w:p w14:paraId="6DA05D26" w14:textId="77777777" w:rsidR="008069CE" w:rsidRPr="00941C7F" w:rsidRDefault="008069CE" w:rsidP="00D55F42">
            <w:pPr>
              <w:pStyle w:val="Default"/>
              <w:spacing w:line="360" w:lineRule="auto"/>
              <w:jc w:val="both"/>
              <w:rPr>
                <w:color w:val="auto"/>
              </w:rPr>
            </w:pPr>
            <w:r w:rsidRPr="00941C7F">
              <w:rPr>
                <w:b/>
                <w:color w:val="auto"/>
              </w:rPr>
              <w:t>F-Statistics</w:t>
            </w:r>
            <w:r w:rsidRPr="00941C7F">
              <w:rPr>
                <w:color w:val="auto"/>
              </w:rPr>
              <w:t xml:space="preserve"> =  </w:t>
            </w:r>
            <w:r w:rsidRPr="00941C7F">
              <w:rPr>
                <w:b/>
                <w:color w:val="auto"/>
              </w:rPr>
              <w:t>19.06159</w:t>
            </w:r>
          </w:p>
        </w:tc>
        <w:tc>
          <w:tcPr>
            <w:tcW w:w="6529" w:type="dxa"/>
            <w:gridSpan w:val="3"/>
            <w:tcBorders>
              <w:top w:val="single" w:sz="4" w:space="0" w:color="auto"/>
              <w:left w:val="single" w:sz="4" w:space="0" w:color="auto"/>
              <w:bottom w:val="single" w:sz="4" w:space="0" w:color="auto"/>
            </w:tcBorders>
          </w:tcPr>
          <w:p w14:paraId="3C227EC1" w14:textId="77777777" w:rsidR="008069CE" w:rsidRPr="00941C7F" w:rsidRDefault="008069CE" w:rsidP="00D55F42">
            <w:pPr>
              <w:pStyle w:val="Default"/>
              <w:spacing w:line="360" w:lineRule="auto"/>
              <w:jc w:val="both"/>
              <w:rPr>
                <w:color w:val="auto"/>
              </w:rPr>
            </w:pPr>
          </w:p>
        </w:tc>
      </w:tr>
      <w:tr w:rsidR="008069CE" w:rsidRPr="00941C7F" w14:paraId="77EEE9FB" w14:textId="77777777" w:rsidTr="00D55F42">
        <w:trPr>
          <w:trHeight w:val="146"/>
        </w:trPr>
        <w:tc>
          <w:tcPr>
            <w:tcW w:w="3255" w:type="dxa"/>
            <w:tcBorders>
              <w:top w:val="single" w:sz="4" w:space="0" w:color="auto"/>
              <w:bottom w:val="single" w:sz="4" w:space="0" w:color="auto"/>
              <w:right w:val="single" w:sz="4" w:space="0" w:color="auto"/>
            </w:tcBorders>
          </w:tcPr>
          <w:p w14:paraId="5BF929D9" w14:textId="77777777" w:rsidR="008069CE" w:rsidRPr="00941C7F" w:rsidRDefault="008069CE" w:rsidP="00D55F42">
            <w:pPr>
              <w:pStyle w:val="Default"/>
              <w:spacing w:line="360" w:lineRule="auto"/>
              <w:jc w:val="both"/>
              <w:rPr>
                <w:color w:val="auto"/>
              </w:rPr>
            </w:pPr>
            <w:r w:rsidRPr="00941C7F">
              <w:rPr>
                <w:color w:val="auto"/>
              </w:rPr>
              <w:t xml:space="preserve">Critical Value Bounds </w:t>
            </w:r>
          </w:p>
        </w:tc>
        <w:tc>
          <w:tcPr>
            <w:tcW w:w="6529" w:type="dxa"/>
            <w:gridSpan w:val="3"/>
            <w:tcBorders>
              <w:top w:val="single" w:sz="4" w:space="0" w:color="auto"/>
              <w:left w:val="single" w:sz="4" w:space="0" w:color="auto"/>
              <w:bottom w:val="single" w:sz="4" w:space="0" w:color="auto"/>
            </w:tcBorders>
          </w:tcPr>
          <w:p w14:paraId="00C746AC" w14:textId="77777777" w:rsidR="008069CE" w:rsidRPr="00941C7F" w:rsidRDefault="008069CE" w:rsidP="00D55F42">
            <w:pPr>
              <w:pStyle w:val="Default"/>
              <w:spacing w:line="360" w:lineRule="auto"/>
              <w:jc w:val="both"/>
              <w:rPr>
                <w:color w:val="auto"/>
              </w:rPr>
            </w:pPr>
          </w:p>
        </w:tc>
      </w:tr>
      <w:tr w:rsidR="008069CE" w:rsidRPr="00941C7F" w14:paraId="4E7FA8C4" w14:textId="77777777" w:rsidTr="00D55F42">
        <w:trPr>
          <w:trHeight w:val="285"/>
        </w:trPr>
        <w:tc>
          <w:tcPr>
            <w:tcW w:w="3261" w:type="dxa"/>
            <w:gridSpan w:val="2"/>
            <w:tcBorders>
              <w:top w:val="single" w:sz="4" w:space="0" w:color="auto"/>
              <w:bottom w:val="single" w:sz="4" w:space="0" w:color="auto"/>
            </w:tcBorders>
          </w:tcPr>
          <w:p w14:paraId="2393368D" w14:textId="77777777" w:rsidR="008069CE" w:rsidRPr="00941C7F" w:rsidRDefault="008069CE" w:rsidP="00D55F42">
            <w:pPr>
              <w:pStyle w:val="Default"/>
              <w:spacing w:line="360" w:lineRule="auto"/>
              <w:jc w:val="both"/>
              <w:rPr>
                <w:b/>
                <w:color w:val="auto"/>
              </w:rPr>
            </w:pPr>
            <w:r w:rsidRPr="00941C7F">
              <w:rPr>
                <w:b/>
                <w:color w:val="auto"/>
              </w:rPr>
              <w:t xml:space="preserve">Significance levels </w:t>
            </w:r>
          </w:p>
        </w:tc>
        <w:tc>
          <w:tcPr>
            <w:tcW w:w="3261" w:type="dxa"/>
            <w:tcBorders>
              <w:top w:val="single" w:sz="4" w:space="0" w:color="auto"/>
              <w:bottom w:val="single" w:sz="4" w:space="0" w:color="auto"/>
            </w:tcBorders>
          </w:tcPr>
          <w:p w14:paraId="61A08188" w14:textId="77777777" w:rsidR="008069CE" w:rsidRPr="00941C7F" w:rsidRDefault="008069CE" w:rsidP="00D55F42">
            <w:pPr>
              <w:pStyle w:val="Default"/>
              <w:spacing w:line="360" w:lineRule="auto"/>
              <w:jc w:val="both"/>
              <w:rPr>
                <w:b/>
                <w:color w:val="auto"/>
              </w:rPr>
            </w:pPr>
            <w:r w:rsidRPr="00941C7F">
              <w:rPr>
                <w:b/>
                <w:color w:val="auto"/>
              </w:rPr>
              <w:t xml:space="preserve">I(0) Bounds </w:t>
            </w:r>
          </w:p>
        </w:tc>
        <w:tc>
          <w:tcPr>
            <w:tcW w:w="3262" w:type="dxa"/>
            <w:tcBorders>
              <w:top w:val="single" w:sz="4" w:space="0" w:color="auto"/>
              <w:bottom w:val="single" w:sz="4" w:space="0" w:color="auto"/>
            </w:tcBorders>
          </w:tcPr>
          <w:p w14:paraId="65963517" w14:textId="77777777" w:rsidR="008069CE" w:rsidRPr="00941C7F" w:rsidRDefault="008069CE" w:rsidP="00D55F42">
            <w:pPr>
              <w:pStyle w:val="Default"/>
              <w:spacing w:line="360" w:lineRule="auto"/>
              <w:jc w:val="both"/>
              <w:rPr>
                <w:b/>
                <w:color w:val="auto"/>
              </w:rPr>
            </w:pPr>
            <w:r w:rsidRPr="00941C7F">
              <w:rPr>
                <w:b/>
                <w:color w:val="auto"/>
              </w:rPr>
              <w:t xml:space="preserve">I(1) Bounds </w:t>
            </w:r>
          </w:p>
        </w:tc>
      </w:tr>
      <w:tr w:rsidR="008069CE" w:rsidRPr="00941C7F" w14:paraId="7EBB4A4E" w14:textId="77777777" w:rsidTr="00D55F42">
        <w:trPr>
          <w:trHeight w:val="299"/>
        </w:trPr>
        <w:tc>
          <w:tcPr>
            <w:tcW w:w="3261" w:type="dxa"/>
            <w:gridSpan w:val="2"/>
            <w:tcBorders>
              <w:top w:val="single" w:sz="4" w:space="0" w:color="auto"/>
            </w:tcBorders>
          </w:tcPr>
          <w:p w14:paraId="127A593F" w14:textId="77777777" w:rsidR="008069CE" w:rsidRPr="00941C7F" w:rsidRDefault="008069CE" w:rsidP="00D55F42">
            <w:pPr>
              <w:pStyle w:val="Default"/>
              <w:spacing w:line="360" w:lineRule="auto"/>
              <w:jc w:val="both"/>
              <w:rPr>
                <w:b/>
                <w:color w:val="auto"/>
              </w:rPr>
            </w:pPr>
            <w:r w:rsidRPr="00941C7F">
              <w:rPr>
                <w:color w:val="auto"/>
              </w:rPr>
              <w:t>5%</w:t>
            </w:r>
          </w:p>
        </w:tc>
        <w:tc>
          <w:tcPr>
            <w:tcW w:w="3261" w:type="dxa"/>
            <w:tcBorders>
              <w:top w:val="single" w:sz="4" w:space="0" w:color="auto"/>
            </w:tcBorders>
            <w:vAlign w:val="bottom"/>
          </w:tcPr>
          <w:p w14:paraId="7ABE8AE4"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2.45</w:t>
            </w:r>
          </w:p>
        </w:tc>
        <w:tc>
          <w:tcPr>
            <w:tcW w:w="3262" w:type="dxa"/>
            <w:tcBorders>
              <w:top w:val="single" w:sz="4" w:space="0" w:color="auto"/>
            </w:tcBorders>
            <w:vAlign w:val="bottom"/>
          </w:tcPr>
          <w:p w14:paraId="7AE35831"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3.61</w:t>
            </w:r>
          </w:p>
        </w:tc>
      </w:tr>
      <w:tr w:rsidR="008069CE" w:rsidRPr="00941C7F" w14:paraId="06E6B070" w14:textId="77777777" w:rsidTr="00D55F42">
        <w:trPr>
          <w:trHeight w:val="80"/>
        </w:trPr>
        <w:tc>
          <w:tcPr>
            <w:tcW w:w="3261" w:type="dxa"/>
            <w:gridSpan w:val="2"/>
            <w:tcBorders>
              <w:bottom w:val="single" w:sz="4" w:space="0" w:color="auto"/>
            </w:tcBorders>
          </w:tcPr>
          <w:p w14:paraId="721E91F0" w14:textId="77777777" w:rsidR="008069CE" w:rsidRPr="00941C7F" w:rsidRDefault="008069CE" w:rsidP="00D55F42">
            <w:pPr>
              <w:pStyle w:val="Default"/>
              <w:spacing w:line="360" w:lineRule="auto"/>
              <w:jc w:val="both"/>
              <w:rPr>
                <w:color w:val="auto"/>
              </w:rPr>
            </w:pPr>
          </w:p>
        </w:tc>
        <w:tc>
          <w:tcPr>
            <w:tcW w:w="3261" w:type="dxa"/>
            <w:tcBorders>
              <w:bottom w:val="single" w:sz="4" w:space="0" w:color="auto"/>
            </w:tcBorders>
            <w:vAlign w:val="bottom"/>
          </w:tcPr>
          <w:p w14:paraId="19D18AEB"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sz w:val="24"/>
                <w:szCs w:val="24"/>
              </w:rPr>
            </w:pPr>
          </w:p>
        </w:tc>
        <w:tc>
          <w:tcPr>
            <w:tcW w:w="3262" w:type="dxa"/>
            <w:tcBorders>
              <w:bottom w:val="single" w:sz="4" w:space="0" w:color="auto"/>
            </w:tcBorders>
            <w:vAlign w:val="bottom"/>
          </w:tcPr>
          <w:p w14:paraId="16CB0E0C" w14:textId="77777777" w:rsidR="008069CE" w:rsidRPr="00941C7F" w:rsidRDefault="008069CE" w:rsidP="00D55F42">
            <w:pPr>
              <w:autoSpaceDE w:val="0"/>
              <w:autoSpaceDN w:val="0"/>
              <w:adjustRightInd w:val="0"/>
              <w:spacing w:after="0" w:line="360" w:lineRule="auto"/>
              <w:jc w:val="both"/>
              <w:rPr>
                <w:rFonts w:ascii="Times New Roman" w:hAnsi="Times New Roman" w:cs="Times New Roman"/>
                <w:sz w:val="24"/>
                <w:szCs w:val="24"/>
              </w:rPr>
            </w:pPr>
          </w:p>
        </w:tc>
      </w:tr>
    </w:tbl>
    <w:p w14:paraId="5B0B7681" w14:textId="77777777" w:rsidR="008069CE" w:rsidRPr="00941C7F" w:rsidRDefault="008069CE" w:rsidP="008069CE">
      <w:pPr>
        <w:tabs>
          <w:tab w:val="left" w:pos="1580"/>
        </w:tabs>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Pr="00941C7F">
        <w:rPr>
          <w:rFonts w:ascii="Times New Roman" w:hAnsi="Times New Roman" w:cs="Times New Roman"/>
          <w:bCs/>
          <w:sz w:val="24"/>
          <w:szCs w:val="24"/>
        </w:rPr>
        <w:t xml:space="preserve"> computation, 2025</w:t>
      </w:r>
    </w:p>
    <w:p w14:paraId="61CE0715" w14:textId="77777777" w:rsidR="008069CE" w:rsidRPr="00941C7F" w:rsidRDefault="008069CE" w:rsidP="008069CE">
      <w:pPr>
        <w:tabs>
          <w:tab w:val="left" w:pos="1580"/>
        </w:tabs>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The co-integrating was evaluated through the ARDL Bounds Test. The result, as shown in </w:t>
      </w:r>
      <w:r w:rsidRPr="00AA7C8F">
        <w:rPr>
          <w:rFonts w:ascii="Times New Roman" w:hAnsi="Times New Roman" w:cs="Times New Roman"/>
          <w:sz w:val="24"/>
          <w:szCs w:val="24"/>
          <w:highlight w:val="yellow"/>
        </w:rPr>
        <w:t>Table 8</w:t>
      </w:r>
      <w:r w:rsidRPr="00941C7F">
        <w:rPr>
          <w:rFonts w:ascii="Times New Roman" w:hAnsi="Times New Roman" w:cs="Times New Roman"/>
          <w:sz w:val="24"/>
          <w:szCs w:val="24"/>
        </w:rPr>
        <w:t xml:space="preserve"> indicated that the F-Statistics value (19.06159) is greater than the lower and upper critical bounds at 5% significance level. This result indicates evidence of co-integration among the variables. The conclusion from the result is the rejection of the null hypothesis of no co-integration. </w:t>
      </w:r>
    </w:p>
    <w:p w14:paraId="37F290C3" w14:textId="77777777" w:rsidR="008069CE" w:rsidRDefault="008069CE" w:rsidP="008069CE">
      <w:pPr>
        <w:shd w:val="clear" w:color="auto" w:fill="FFFFFF"/>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Since the variables are co-integrated, we estimate the long run capital accumulation and the short run dynamics using the ARDL technique as suggested by (</w:t>
      </w:r>
      <w:r w:rsidRPr="00941C7F">
        <w:rPr>
          <w:rFonts w:ascii="Times New Roman" w:hAnsi="Times New Roman" w:cs="Times New Roman"/>
          <w:sz w:val="24"/>
          <w:szCs w:val="24"/>
        </w:rPr>
        <w:t>Stock &amp; Watson, 1993)</w:t>
      </w:r>
      <w:r w:rsidRPr="00941C7F">
        <w:rPr>
          <w:rFonts w:ascii="Times New Roman" w:eastAsia="Times New Roman" w:hAnsi="Times New Roman" w:cs="Times New Roman"/>
          <w:sz w:val="24"/>
          <w:szCs w:val="24"/>
        </w:rPr>
        <w:t xml:space="preserve">. </w:t>
      </w:r>
    </w:p>
    <w:p w14:paraId="6FA86466" w14:textId="77777777" w:rsidR="008069CE" w:rsidRDefault="008069CE" w:rsidP="008069CE">
      <w:pPr>
        <w:shd w:val="clear" w:color="auto" w:fill="FFFFFF"/>
        <w:spacing w:after="0" w:line="360" w:lineRule="auto"/>
        <w:jc w:val="both"/>
        <w:rPr>
          <w:rFonts w:ascii="Times New Roman" w:eastAsia="Times New Roman" w:hAnsi="Times New Roman" w:cs="Times New Roman"/>
          <w:sz w:val="24"/>
          <w:szCs w:val="24"/>
        </w:rPr>
      </w:pPr>
    </w:p>
    <w:p w14:paraId="2A209BE9" w14:textId="77777777" w:rsidR="008069CE" w:rsidRDefault="008069CE" w:rsidP="008069CE">
      <w:pPr>
        <w:shd w:val="clear" w:color="auto" w:fill="FFFFFF"/>
        <w:spacing w:after="0" w:line="360" w:lineRule="auto"/>
        <w:jc w:val="both"/>
        <w:rPr>
          <w:rFonts w:ascii="Times New Roman" w:eastAsia="Times New Roman" w:hAnsi="Times New Roman" w:cs="Times New Roman"/>
          <w:sz w:val="24"/>
          <w:szCs w:val="24"/>
        </w:rPr>
      </w:pPr>
    </w:p>
    <w:p w14:paraId="400A010D" w14:textId="77777777" w:rsidR="008069CE" w:rsidRPr="00941C7F" w:rsidRDefault="008069CE" w:rsidP="008069CE">
      <w:pPr>
        <w:shd w:val="clear" w:color="auto" w:fill="FFFFFF"/>
        <w:spacing w:after="0" w:line="360" w:lineRule="auto"/>
        <w:jc w:val="both"/>
        <w:rPr>
          <w:rFonts w:ascii="Times New Roman" w:eastAsia="Times New Roman" w:hAnsi="Times New Roman" w:cs="Times New Roman"/>
          <w:sz w:val="24"/>
          <w:szCs w:val="24"/>
        </w:rPr>
      </w:pPr>
    </w:p>
    <w:p w14:paraId="5AD72D88" w14:textId="77777777" w:rsidR="008069CE" w:rsidRPr="00941C7F" w:rsidRDefault="008069CE" w:rsidP="008069CE">
      <w:pPr>
        <w:autoSpaceDE w:val="0"/>
        <w:autoSpaceDN w:val="0"/>
        <w:adjustRightInd w:val="0"/>
        <w:spacing w:after="0" w:line="360" w:lineRule="auto"/>
        <w:jc w:val="both"/>
        <w:rPr>
          <w:rFonts w:ascii="Times New Roman" w:hAnsi="Times New Roman" w:cs="Times New Roman"/>
          <w:b/>
          <w:sz w:val="24"/>
          <w:szCs w:val="24"/>
        </w:rPr>
      </w:pPr>
    </w:p>
    <w:p w14:paraId="0BFAA422" w14:textId="77777777" w:rsidR="008069CE" w:rsidRPr="00941C7F" w:rsidRDefault="008069CE" w:rsidP="008069CE">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lastRenderedPageBreak/>
        <w:t xml:space="preserve">Long </w:t>
      </w:r>
      <w:r>
        <w:rPr>
          <w:rFonts w:ascii="Times New Roman" w:hAnsi="Times New Roman" w:cs="Times New Roman"/>
          <w:b/>
          <w:sz w:val="24"/>
          <w:szCs w:val="24"/>
        </w:rPr>
        <w:t xml:space="preserve">Run and Error Correction Model </w:t>
      </w:r>
    </w:p>
    <w:p w14:paraId="29776B25" w14:textId="77777777" w:rsidR="008069CE" w:rsidRPr="00941C7F" w:rsidRDefault="008069CE" w:rsidP="008069CE">
      <w:pPr>
        <w:pStyle w:val="Default"/>
        <w:spacing w:line="360" w:lineRule="auto"/>
        <w:jc w:val="both"/>
        <w:rPr>
          <w:color w:val="auto"/>
        </w:rPr>
      </w:pPr>
      <w:r w:rsidRPr="00941C7F">
        <w:rPr>
          <w:color w:val="auto"/>
        </w:rPr>
        <w:t xml:space="preserve">Since the bounds test indicated the presence of </w:t>
      </w:r>
      <w:r>
        <w:rPr>
          <w:color w:val="auto"/>
        </w:rPr>
        <w:t>long-run</w:t>
      </w:r>
      <w:r w:rsidRPr="00941C7F">
        <w:rPr>
          <w:color w:val="auto"/>
        </w:rPr>
        <w:t xml:space="preserve"> relations among the variables, we then go further to estimate the </w:t>
      </w:r>
      <w:r>
        <w:rPr>
          <w:color w:val="auto"/>
        </w:rPr>
        <w:t>long-run</w:t>
      </w:r>
      <w:r w:rsidRPr="00941C7F">
        <w:rPr>
          <w:color w:val="auto"/>
        </w:rPr>
        <w:t xml:space="preserve"> model to ascertain the coefficients of the variables. The long run and short run dynamics results are presented in </w:t>
      </w:r>
      <w:r w:rsidRPr="00AA7C8F">
        <w:rPr>
          <w:color w:val="auto"/>
          <w:highlight w:val="yellow"/>
        </w:rPr>
        <w:t>Table 9 below</w:t>
      </w:r>
    </w:p>
    <w:p w14:paraId="65562628" w14:textId="77777777" w:rsidR="008069CE" w:rsidRPr="00941C7F" w:rsidRDefault="008069CE" w:rsidP="008069CE">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Table </w:t>
      </w:r>
      <w:r>
        <w:rPr>
          <w:rFonts w:ascii="Times New Roman" w:hAnsi="Times New Roman" w:cs="Times New Roman"/>
          <w:b/>
          <w:sz w:val="24"/>
          <w:szCs w:val="24"/>
        </w:rPr>
        <w:t>9</w:t>
      </w:r>
      <w:r w:rsidRPr="00941C7F">
        <w:rPr>
          <w:rFonts w:ascii="Times New Roman" w:hAnsi="Times New Roman" w:cs="Times New Roman"/>
          <w:b/>
          <w:sz w:val="24"/>
          <w:szCs w:val="24"/>
        </w:rPr>
        <w:t xml:space="preserve">: </w:t>
      </w:r>
      <w:r w:rsidRPr="00941C7F">
        <w:rPr>
          <w:rFonts w:ascii="Times New Roman" w:hAnsi="Times New Roman" w:cs="Times New Roman"/>
          <w:b/>
          <w:color w:val="000000"/>
          <w:sz w:val="24"/>
          <w:szCs w:val="24"/>
        </w:rPr>
        <w:t>ARDL Model Results (Long run and Short run Analysis)</w:t>
      </w:r>
    </w:p>
    <w:p w14:paraId="3502C3D1" w14:textId="77777777" w:rsidR="008069CE" w:rsidRPr="00941C7F" w:rsidRDefault="008069CE" w:rsidP="008069CE">
      <w:pPr>
        <w:autoSpaceDE w:val="0"/>
        <w:autoSpaceDN w:val="0"/>
        <w:adjustRightInd w:val="0"/>
        <w:spacing w:after="0" w:line="360" w:lineRule="auto"/>
        <w:jc w:val="both"/>
        <w:rPr>
          <w:rFonts w:ascii="Times New Roman" w:hAnsi="Times New Roman" w:cs="Times New Roman"/>
          <w:sz w:val="24"/>
          <w:szCs w:val="24"/>
        </w:rPr>
      </w:pPr>
    </w:p>
    <w:tbl>
      <w:tblPr>
        <w:tblStyle w:val="TableGrid"/>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126"/>
        <w:gridCol w:w="1866"/>
        <w:gridCol w:w="2486"/>
        <w:gridCol w:w="1942"/>
      </w:tblGrid>
      <w:tr w:rsidR="008069CE" w:rsidRPr="00941C7F" w14:paraId="2FB6DF7F" w14:textId="77777777" w:rsidTr="00D55F42">
        <w:trPr>
          <w:trHeight w:val="639"/>
        </w:trPr>
        <w:tc>
          <w:tcPr>
            <w:tcW w:w="10130" w:type="dxa"/>
            <w:gridSpan w:val="5"/>
            <w:tcBorders>
              <w:top w:val="single" w:sz="4" w:space="0" w:color="auto"/>
              <w:bottom w:val="single" w:sz="4" w:space="0" w:color="auto"/>
            </w:tcBorders>
          </w:tcPr>
          <w:p w14:paraId="461F095C" w14:textId="77777777" w:rsidR="008069CE" w:rsidRPr="00941C7F" w:rsidRDefault="008069CE" w:rsidP="00D55F42">
            <w:pPr>
              <w:spacing w:line="360" w:lineRule="auto"/>
              <w:jc w:val="both"/>
              <w:rPr>
                <w:rFonts w:ascii="Times New Roman" w:hAnsi="Times New Roman" w:cs="Times New Roman"/>
                <w:sz w:val="24"/>
                <w:szCs w:val="24"/>
              </w:rPr>
            </w:pPr>
            <w:r w:rsidRPr="00941C7F">
              <w:rPr>
                <w:rFonts w:ascii="Times New Roman" w:hAnsi="Times New Roman" w:cs="Times New Roman"/>
                <w:b/>
                <w:sz w:val="24"/>
                <w:szCs w:val="24"/>
              </w:rPr>
              <w:t xml:space="preserve">Dependent Variable: </w:t>
            </w:r>
            <w:r w:rsidRPr="00941C7F">
              <w:rPr>
                <w:rFonts w:ascii="Times New Roman" w:eastAsia="Times New Roman" w:hAnsi="Times New Roman" w:cs="Times New Roman"/>
                <w:sz w:val="24"/>
                <w:szCs w:val="24"/>
              </w:rPr>
              <w:t>log of gross fixed capital accumulation (gFCF)</w:t>
            </w:r>
          </w:p>
        </w:tc>
      </w:tr>
      <w:tr w:rsidR="008069CE" w:rsidRPr="00941C7F" w14:paraId="08B8FB47" w14:textId="77777777" w:rsidTr="00D55F42">
        <w:trPr>
          <w:trHeight w:val="170"/>
        </w:trPr>
        <w:tc>
          <w:tcPr>
            <w:tcW w:w="10130" w:type="dxa"/>
            <w:gridSpan w:val="5"/>
            <w:tcBorders>
              <w:top w:val="single" w:sz="4" w:space="0" w:color="auto"/>
            </w:tcBorders>
          </w:tcPr>
          <w:p w14:paraId="15A8D325" w14:textId="77777777" w:rsidR="008069CE" w:rsidRPr="00941C7F" w:rsidRDefault="008069CE" w:rsidP="00D55F42">
            <w:pPr>
              <w:spacing w:line="360" w:lineRule="auto"/>
              <w:jc w:val="both"/>
              <w:rPr>
                <w:rFonts w:ascii="Times New Roman" w:hAnsi="Times New Roman" w:cs="Times New Roman"/>
                <w:b/>
                <w:sz w:val="24"/>
                <w:szCs w:val="24"/>
              </w:rPr>
            </w:pPr>
          </w:p>
        </w:tc>
      </w:tr>
      <w:tr w:rsidR="008069CE" w:rsidRPr="00941C7F" w14:paraId="7DE15836" w14:textId="77777777" w:rsidTr="00D55F42">
        <w:trPr>
          <w:trHeight w:val="94"/>
        </w:trPr>
        <w:tc>
          <w:tcPr>
            <w:tcW w:w="1710" w:type="dxa"/>
            <w:tcBorders>
              <w:bottom w:val="single" w:sz="4" w:space="0" w:color="auto"/>
            </w:tcBorders>
            <w:vAlign w:val="bottom"/>
          </w:tcPr>
          <w:p w14:paraId="3B8C7530" w14:textId="77777777" w:rsidR="008069CE" w:rsidRPr="00941C7F" w:rsidRDefault="008069CE" w:rsidP="00D55F42">
            <w:pPr>
              <w:autoSpaceDE w:val="0"/>
              <w:autoSpaceDN w:val="0"/>
              <w:adjustRightInd w:val="0"/>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Variable</w:t>
            </w:r>
          </w:p>
        </w:tc>
        <w:tc>
          <w:tcPr>
            <w:tcW w:w="2126" w:type="dxa"/>
            <w:tcBorders>
              <w:bottom w:val="single" w:sz="4" w:space="0" w:color="auto"/>
            </w:tcBorders>
            <w:vAlign w:val="bottom"/>
          </w:tcPr>
          <w:p w14:paraId="1678743A"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Coefficient</w:t>
            </w:r>
          </w:p>
        </w:tc>
        <w:tc>
          <w:tcPr>
            <w:tcW w:w="1866" w:type="dxa"/>
            <w:tcBorders>
              <w:bottom w:val="single" w:sz="4" w:space="0" w:color="auto"/>
            </w:tcBorders>
            <w:vAlign w:val="bottom"/>
          </w:tcPr>
          <w:p w14:paraId="260F9AFB"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Std. Error</w:t>
            </w:r>
          </w:p>
        </w:tc>
        <w:tc>
          <w:tcPr>
            <w:tcW w:w="2486" w:type="dxa"/>
            <w:tcBorders>
              <w:bottom w:val="single" w:sz="4" w:space="0" w:color="auto"/>
            </w:tcBorders>
            <w:vAlign w:val="bottom"/>
          </w:tcPr>
          <w:p w14:paraId="3FB954B8"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t-Statistic</w:t>
            </w:r>
          </w:p>
        </w:tc>
        <w:tc>
          <w:tcPr>
            <w:tcW w:w="1942" w:type="dxa"/>
            <w:tcBorders>
              <w:bottom w:val="single" w:sz="4" w:space="0" w:color="auto"/>
            </w:tcBorders>
            <w:vAlign w:val="bottom"/>
          </w:tcPr>
          <w:p w14:paraId="43F3DFE6"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Prob.  </w:t>
            </w:r>
          </w:p>
        </w:tc>
      </w:tr>
      <w:tr w:rsidR="008069CE" w:rsidRPr="00941C7F" w14:paraId="6BA2755A" w14:textId="77777777" w:rsidTr="00D55F42">
        <w:trPr>
          <w:trHeight w:val="304"/>
        </w:trPr>
        <w:tc>
          <w:tcPr>
            <w:tcW w:w="1710" w:type="dxa"/>
            <w:tcBorders>
              <w:top w:val="single" w:sz="4" w:space="0" w:color="auto"/>
            </w:tcBorders>
            <w:vAlign w:val="bottom"/>
          </w:tcPr>
          <w:p w14:paraId="490211C4"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LOG(tEXD)</w:t>
            </w:r>
          </w:p>
        </w:tc>
        <w:tc>
          <w:tcPr>
            <w:tcW w:w="2126" w:type="dxa"/>
            <w:tcBorders>
              <w:top w:val="single" w:sz="4" w:space="0" w:color="auto"/>
            </w:tcBorders>
            <w:vAlign w:val="bottom"/>
          </w:tcPr>
          <w:p w14:paraId="6F7079AC"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0.408760</w:t>
            </w:r>
          </w:p>
        </w:tc>
        <w:tc>
          <w:tcPr>
            <w:tcW w:w="1866" w:type="dxa"/>
            <w:tcBorders>
              <w:top w:val="single" w:sz="4" w:space="0" w:color="auto"/>
            </w:tcBorders>
            <w:vAlign w:val="bottom"/>
          </w:tcPr>
          <w:p w14:paraId="48F8A3C9"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0.185980</w:t>
            </w:r>
          </w:p>
        </w:tc>
        <w:tc>
          <w:tcPr>
            <w:tcW w:w="2486" w:type="dxa"/>
            <w:tcBorders>
              <w:top w:val="single" w:sz="4" w:space="0" w:color="auto"/>
            </w:tcBorders>
            <w:vAlign w:val="bottom"/>
          </w:tcPr>
          <w:p w14:paraId="05B029DE"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2.197878</w:t>
            </w:r>
          </w:p>
        </w:tc>
        <w:tc>
          <w:tcPr>
            <w:tcW w:w="1942" w:type="dxa"/>
            <w:tcBorders>
              <w:top w:val="single" w:sz="4" w:space="0" w:color="auto"/>
            </w:tcBorders>
            <w:vAlign w:val="bottom"/>
          </w:tcPr>
          <w:p w14:paraId="5242E6F0"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0.0421</w:t>
            </w:r>
          </w:p>
        </w:tc>
      </w:tr>
      <w:tr w:rsidR="008069CE" w:rsidRPr="00941C7F" w14:paraId="54AEADF5" w14:textId="77777777" w:rsidTr="00D55F42">
        <w:trPr>
          <w:trHeight w:val="333"/>
        </w:trPr>
        <w:tc>
          <w:tcPr>
            <w:tcW w:w="1710" w:type="dxa"/>
            <w:vAlign w:val="bottom"/>
          </w:tcPr>
          <w:p w14:paraId="527CFAAD"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LOG(tDMD)</w:t>
            </w:r>
          </w:p>
        </w:tc>
        <w:tc>
          <w:tcPr>
            <w:tcW w:w="2126" w:type="dxa"/>
            <w:vAlign w:val="bottom"/>
          </w:tcPr>
          <w:p w14:paraId="1FA997CA"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-0.087005</w:t>
            </w:r>
          </w:p>
        </w:tc>
        <w:tc>
          <w:tcPr>
            <w:tcW w:w="1866" w:type="dxa"/>
            <w:vAlign w:val="bottom"/>
          </w:tcPr>
          <w:p w14:paraId="4830EB29"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0.241590</w:t>
            </w:r>
          </w:p>
        </w:tc>
        <w:tc>
          <w:tcPr>
            <w:tcW w:w="2486" w:type="dxa"/>
            <w:vAlign w:val="bottom"/>
          </w:tcPr>
          <w:p w14:paraId="17BA6860"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-0.360137</w:t>
            </w:r>
          </w:p>
        </w:tc>
        <w:tc>
          <w:tcPr>
            <w:tcW w:w="1942" w:type="dxa"/>
            <w:vAlign w:val="bottom"/>
          </w:tcPr>
          <w:p w14:paraId="6542F49A"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0.7232</w:t>
            </w:r>
          </w:p>
        </w:tc>
      </w:tr>
      <w:tr w:rsidR="008069CE" w:rsidRPr="00941C7F" w14:paraId="7739CEF3" w14:textId="77777777" w:rsidTr="00D55F42">
        <w:trPr>
          <w:trHeight w:val="304"/>
        </w:trPr>
        <w:tc>
          <w:tcPr>
            <w:tcW w:w="1710" w:type="dxa"/>
            <w:vAlign w:val="bottom"/>
          </w:tcPr>
          <w:p w14:paraId="4C546D10"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LOG(eXDS)</w:t>
            </w:r>
          </w:p>
        </w:tc>
        <w:tc>
          <w:tcPr>
            <w:tcW w:w="2126" w:type="dxa"/>
            <w:vAlign w:val="bottom"/>
          </w:tcPr>
          <w:p w14:paraId="5DE8EF94"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0.419110</w:t>
            </w:r>
          </w:p>
        </w:tc>
        <w:tc>
          <w:tcPr>
            <w:tcW w:w="1866" w:type="dxa"/>
            <w:vAlign w:val="bottom"/>
          </w:tcPr>
          <w:p w14:paraId="4C3BE8C4"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0.151727</w:t>
            </w:r>
          </w:p>
        </w:tc>
        <w:tc>
          <w:tcPr>
            <w:tcW w:w="2486" w:type="dxa"/>
            <w:vAlign w:val="bottom"/>
          </w:tcPr>
          <w:p w14:paraId="315D858A"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2.762271</w:t>
            </w:r>
          </w:p>
        </w:tc>
        <w:tc>
          <w:tcPr>
            <w:tcW w:w="1942" w:type="dxa"/>
            <w:vAlign w:val="bottom"/>
          </w:tcPr>
          <w:p w14:paraId="6BD8CCE8"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0.0133</w:t>
            </w:r>
          </w:p>
        </w:tc>
      </w:tr>
      <w:tr w:rsidR="008069CE" w:rsidRPr="00941C7F" w14:paraId="18A67AB1" w14:textId="77777777" w:rsidTr="00D55F42">
        <w:trPr>
          <w:trHeight w:val="304"/>
        </w:trPr>
        <w:tc>
          <w:tcPr>
            <w:tcW w:w="1710" w:type="dxa"/>
            <w:vAlign w:val="bottom"/>
          </w:tcPr>
          <w:p w14:paraId="7FC5250D"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LOG(nINT)</w:t>
            </w:r>
          </w:p>
        </w:tc>
        <w:tc>
          <w:tcPr>
            <w:tcW w:w="2126" w:type="dxa"/>
            <w:vAlign w:val="bottom"/>
          </w:tcPr>
          <w:p w14:paraId="492B6FC3"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-0.180293</w:t>
            </w:r>
          </w:p>
        </w:tc>
        <w:tc>
          <w:tcPr>
            <w:tcW w:w="1866" w:type="dxa"/>
            <w:vAlign w:val="bottom"/>
          </w:tcPr>
          <w:p w14:paraId="226B786A"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0.201662</w:t>
            </w:r>
          </w:p>
        </w:tc>
        <w:tc>
          <w:tcPr>
            <w:tcW w:w="2486" w:type="dxa"/>
            <w:vAlign w:val="bottom"/>
          </w:tcPr>
          <w:p w14:paraId="0FF7358E"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-0.894038</w:t>
            </w:r>
          </w:p>
        </w:tc>
        <w:tc>
          <w:tcPr>
            <w:tcW w:w="1942" w:type="dxa"/>
            <w:vAlign w:val="bottom"/>
          </w:tcPr>
          <w:p w14:paraId="19CE4129"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0.3838</w:t>
            </w:r>
          </w:p>
        </w:tc>
      </w:tr>
      <w:tr w:rsidR="008069CE" w:rsidRPr="00941C7F" w14:paraId="248DF97E" w14:textId="77777777" w:rsidTr="00D55F42">
        <w:trPr>
          <w:trHeight w:val="304"/>
        </w:trPr>
        <w:tc>
          <w:tcPr>
            <w:tcW w:w="1710" w:type="dxa"/>
            <w:vAlign w:val="bottom"/>
          </w:tcPr>
          <w:p w14:paraId="45BDA600"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LOG(nSAV)</w:t>
            </w:r>
          </w:p>
        </w:tc>
        <w:tc>
          <w:tcPr>
            <w:tcW w:w="2126" w:type="dxa"/>
            <w:vAlign w:val="bottom"/>
          </w:tcPr>
          <w:p w14:paraId="179635B4"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0.118942</w:t>
            </w:r>
          </w:p>
        </w:tc>
        <w:tc>
          <w:tcPr>
            <w:tcW w:w="1866" w:type="dxa"/>
            <w:vAlign w:val="bottom"/>
          </w:tcPr>
          <w:p w14:paraId="7896FCD9"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0.420800</w:t>
            </w:r>
          </w:p>
        </w:tc>
        <w:tc>
          <w:tcPr>
            <w:tcW w:w="2486" w:type="dxa"/>
            <w:vAlign w:val="bottom"/>
          </w:tcPr>
          <w:p w14:paraId="536F1574"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0.282657</w:t>
            </w:r>
          </w:p>
        </w:tc>
        <w:tc>
          <w:tcPr>
            <w:tcW w:w="1942" w:type="dxa"/>
            <w:vAlign w:val="bottom"/>
          </w:tcPr>
          <w:p w14:paraId="6796F04F"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0.7809</w:t>
            </w:r>
          </w:p>
        </w:tc>
      </w:tr>
      <w:tr w:rsidR="008069CE" w:rsidRPr="00941C7F" w14:paraId="2C14730C" w14:textId="77777777" w:rsidTr="00D55F42">
        <w:trPr>
          <w:trHeight w:val="304"/>
        </w:trPr>
        <w:tc>
          <w:tcPr>
            <w:tcW w:w="1710" w:type="dxa"/>
            <w:vAlign w:val="bottom"/>
          </w:tcPr>
          <w:p w14:paraId="75A914BC"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LOG(nEXR)</w:t>
            </w:r>
          </w:p>
        </w:tc>
        <w:tc>
          <w:tcPr>
            <w:tcW w:w="2126" w:type="dxa"/>
            <w:vAlign w:val="bottom"/>
          </w:tcPr>
          <w:p w14:paraId="728D78D0"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0.099636</w:t>
            </w:r>
          </w:p>
        </w:tc>
        <w:tc>
          <w:tcPr>
            <w:tcW w:w="1866" w:type="dxa"/>
            <w:vAlign w:val="bottom"/>
          </w:tcPr>
          <w:p w14:paraId="3860C1D1"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0.240165</w:t>
            </w:r>
          </w:p>
        </w:tc>
        <w:tc>
          <w:tcPr>
            <w:tcW w:w="2486" w:type="dxa"/>
            <w:vAlign w:val="bottom"/>
          </w:tcPr>
          <w:p w14:paraId="72F84B4F"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0.414864</w:t>
            </w:r>
          </w:p>
        </w:tc>
        <w:tc>
          <w:tcPr>
            <w:tcW w:w="1942" w:type="dxa"/>
            <w:vAlign w:val="bottom"/>
          </w:tcPr>
          <w:p w14:paraId="3A6E147B"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0.6834</w:t>
            </w:r>
          </w:p>
        </w:tc>
      </w:tr>
      <w:tr w:rsidR="008069CE" w:rsidRPr="00941C7F" w14:paraId="1E2B2D43" w14:textId="77777777" w:rsidTr="00D55F42">
        <w:trPr>
          <w:trHeight w:val="304"/>
        </w:trPr>
        <w:tc>
          <w:tcPr>
            <w:tcW w:w="10130" w:type="dxa"/>
            <w:gridSpan w:val="5"/>
            <w:vAlign w:val="bottom"/>
          </w:tcPr>
          <w:p w14:paraId="278E6E53"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b/>
                <w:sz w:val="24"/>
                <w:szCs w:val="24"/>
              </w:rPr>
              <w:t>Analysis of the Short-Run Dynamisms</w:t>
            </w:r>
          </w:p>
        </w:tc>
      </w:tr>
      <w:tr w:rsidR="008069CE" w:rsidRPr="00941C7F" w14:paraId="284FBB88" w14:textId="77777777" w:rsidTr="00D55F42">
        <w:trPr>
          <w:trHeight w:val="304"/>
        </w:trPr>
        <w:tc>
          <w:tcPr>
            <w:tcW w:w="1710" w:type="dxa"/>
            <w:vAlign w:val="bottom"/>
          </w:tcPr>
          <w:p w14:paraId="79742546"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DLOG(tEXD)</w:t>
            </w:r>
          </w:p>
        </w:tc>
        <w:tc>
          <w:tcPr>
            <w:tcW w:w="2126" w:type="dxa"/>
            <w:vAlign w:val="bottom"/>
          </w:tcPr>
          <w:p w14:paraId="77C6E8A2"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-0.851338</w:t>
            </w:r>
          </w:p>
        </w:tc>
        <w:tc>
          <w:tcPr>
            <w:tcW w:w="1866" w:type="dxa"/>
            <w:vAlign w:val="bottom"/>
          </w:tcPr>
          <w:p w14:paraId="24D798F2"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0.387482</w:t>
            </w:r>
          </w:p>
        </w:tc>
        <w:tc>
          <w:tcPr>
            <w:tcW w:w="2486" w:type="dxa"/>
            <w:vAlign w:val="bottom"/>
          </w:tcPr>
          <w:p w14:paraId="7E134CC2"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-2.197104</w:t>
            </w:r>
          </w:p>
        </w:tc>
        <w:tc>
          <w:tcPr>
            <w:tcW w:w="1942" w:type="dxa"/>
            <w:vAlign w:val="bottom"/>
          </w:tcPr>
          <w:p w14:paraId="4574AE4E"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0.0422</w:t>
            </w:r>
          </w:p>
        </w:tc>
      </w:tr>
      <w:tr w:rsidR="008069CE" w:rsidRPr="00941C7F" w14:paraId="4C1BD310" w14:textId="77777777" w:rsidTr="00D55F42">
        <w:trPr>
          <w:trHeight w:val="304"/>
        </w:trPr>
        <w:tc>
          <w:tcPr>
            <w:tcW w:w="1710" w:type="dxa"/>
            <w:vAlign w:val="bottom"/>
          </w:tcPr>
          <w:p w14:paraId="15DA180A"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DLOG(tDMD)</w:t>
            </w:r>
          </w:p>
        </w:tc>
        <w:tc>
          <w:tcPr>
            <w:tcW w:w="2126" w:type="dxa"/>
            <w:vAlign w:val="bottom"/>
          </w:tcPr>
          <w:p w14:paraId="6AD903FC"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-0.164640</w:t>
            </w:r>
          </w:p>
        </w:tc>
        <w:tc>
          <w:tcPr>
            <w:tcW w:w="1866" w:type="dxa"/>
            <w:vAlign w:val="bottom"/>
          </w:tcPr>
          <w:p w14:paraId="227AB7E9"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0.345613</w:t>
            </w:r>
          </w:p>
        </w:tc>
        <w:tc>
          <w:tcPr>
            <w:tcW w:w="2486" w:type="dxa"/>
            <w:vAlign w:val="bottom"/>
          </w:tcPr>
          <w:p w14:paraId="58EE258F"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-0.476370</w:t>
            </w:r>
          </w:p>
        </w:tc>
        <w:tc>
          <w:tcPr>
            <w:tcW w:w="1942" w:type="dxa"/>
            <w:vAlign w:val="bottom"/>
          </w:tcPr>
          <w:p w14:paraId="4323B677"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0.6399</w:t>
            </w:r>
          </w:p>
        </w:tc>
      </w:tr>
      <w:tr w:rsidR="008069CE" w:rsidRPr="00941C7F" w14:paraId="0A019B3C" w14:textId="77777777" w:rsidTr="00D55F42">
        <w:trPr>
          <w:trHeight w:val="304"/>
        </w:trPr>
        <w:tc>
          <w:tcPr>
            <w:tcW w:w="1710" w:type="dxa"/>
            <w:vAlign w:val="bottom"/>
          </w:tcPr>
          <w:p w14:paraId="627CF2DD"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DLOG(eXDS)</w:t>
            </w:r>
          </w:p>
        </w:tc>
        <w:tc>
          <w:tcPr>
            <w:tcW w:w="2126" w:type="dxa"/>
            <w:vAlign w:val="bottom"/>
          </w:tcPr>
          <w:p w14:paraId="6E7DF142"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-0.685723</w:t>
            </w:r>
          </w:p>
        </w:tc>
        <w:tc>
          <w:tcPr>
            <w:tcW w:w="1866" w:type="dxa"/>
            <w:vAlign w:val="bottom"/>
          </w:tcPr>
          <w:p w14:paraId="709D5D2C"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0.355079</w:t>
            </w:r>
          </w:p>
        </w:tc>
        <w:tc>
          <w:tcPr>
            <w:tcW w:w="2486" w:type="dxa"/>
            <w:vAlign w:val="bottom"/>
          </w:tcPr>
          <w:p w14:paraId="600C45E9"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-1.931184</w:t>
            </w:r>
          </w:p>
        </w:tc>
        <w:tc>
          <w:tcPr>
            <w:tcW w:w="1942" w:type="dxa"/>
            <w:vAlign w:val="bottom"/>
          </w:tcPr>
          <w:p w14:paraId="51E2EF42"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0.0703</w:t>
            </w:r>
          </w:p>
        </w:tc>
      </w:tr>
      <w:tr w:rsidR="008069CE" w:rsidRPr="00941C7F" w14:paraId="087D5221" w14:textId="77777777" w:rsidTr="00D55F42">
        <w:trPr>
          <w:trHeight w:val="304"/>
        </w:trPr>
        <w:tc>
          <w:tcPr>
            <w:tcW w:w="1710" w:type="dxa"/>
            <w:vAlign w:val="bottom"/>
          </w:tcPr>
          <w:p w14:paraId="7AAD019E"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DLOG(nINT)</w:t>
            </w:r>
          </w:p>
        </w:tc>
        <w:tc>
          <w:tcPr>
            <w:tcW w:w="2126" w:type="dxa"/>
            <w:vAlign w:val="bottom"/>
          </w:tcPr>
          <w:p w14:paraId="5A240CC6"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-0.150795</w:t>
            </w:r>
          </w:p>
        </w:tc>
        <w:tc>
          <w:tcPr>
            <w:tcW w:w="1866" w:type="dxa"/>
            <w:vAlign w:val="bottom"/>
          </w:tcPr>
          <w:p w14:paraId="340AE3DE"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0.077572</w:t>
            </w:r>
          </w:p>
        </w:tc>
        <w:tc>
          <w:tcPr>
            <w:tcW w:w="2486" w:type="dxa"/>
            <w:vAlign w:val="bottom"/>
          </w:tcPr>
          <w:p w14:paraId="20D4909F"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-1.943941</w:t>
            </w:r>
          </w:p>
        </w:tc>
        <w:tc>
          <w:tcPr>
            <w:tcW w:w="1942" w:type="dxa"/>
            <w:vAlign w:val="bottom"/>
          </w:tcPr>
          <w:p w14:paraId="15BCD67E"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0.0686</w:t>
            </w:r>
          </w:p>
        </w:tc>
      </w:tr>
      <w:tr w:rsidR="008069CE" w:rsidRPr="00941C7F" w14:paraId="4C035112" w14:textId="77777777" w:rsidTr="00D55F42">
        <w:trPr>
          <w:trHeight w:val="304"/>
        </w:trPr>
        <w:tc>
          <w:tcPr>
            <w:tcW w:w="1710" w:type="dxa"/>
            <w:vAlign w:val="bottom"/>
          </w:tcPr>
          <w:p w14:paraId="4AC471DD"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DLOG(nSAV)</w:t>
            </w:r>
          </w:p>
        </w:tc>
        <w:tc>
          <w:tcPr>
            <w:tcW w:w="2126" w:type="dxa"/>
            <w:vAlign w:val="bottom"/>
          </w:tcPr>
          <w:p w14:paraId="6D50F5C3"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-0.371223</w:t>
            </w:r>
          </w:p>
        </w:tc>
        <w:tc>
          <w:tcPr>
            <w:tcW w:w="1866" w:type="dxa"/>
            <w:vAlign w:val="bottom"/>
          </w:tcPr>
          <w:p w14:paraId="55F128CF"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0.386319</w:t>
            </w:r>
          </w:p>
        </w:tc>
        <w:tc>
          <w:tcPr>
            <w:tcW w:w="2486" w:type="dxa"/>
            <w:vAlign w:val="bottom"/>
          </w:tcPr>
          <w:p w14:paraId="1FB7677D"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-0.960925</w:t>
            </w:r>
          </w:p>
        </w:tc>
        <w:tc>
          <w:tcPr>
            <w:tcW w:w="1942" w:type="dxa"/>
            <w:vAlign w:val="bottom"/>
          </w:tcPr>
          <w:p w14:paraId="5A09FB87"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0.3501</w:t>
            </w:r>
          </w:p>
        </w:tc>
      </w:tr>
      <w:tr w:rsidR="008069CE" w:rsidRPr="00941C7F" w14:paraId="39FA6480" w14:textId="77777777" w:rsidTr="00D55F42">
        <w:trPr>
          <w:trHeight w:val="304"/>
        </w:trPr>
        <w:tc>
          <w:tcPr>
            <w:tcW w:w="1710" w:type="dxa"/>
            <w:vAlign w:val="bottom"/>
          </w:tcPr>
          <w:p w14:paraId="3649F003"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DLOG(nEXR)</w:t>
            </w:r>
          </w:p>
        </w:tc>
        <w:tc>
          <w:tcPr>
            <w:tcW w:w="2126" w:type="dxa"/>
            <w:vAlign w:val="bottom"/>
          </w:tcPr>
          <w:p w14:paraId="4D898013"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0.096813</w:t>
            </w:r>
          </w:p>
        </w:tc>
        <w:tc>
          <w:tcPr>
            <w:tcW w:w="1866" w:type="dxa"/>
            <w:vAlign w:val="bottom"/>
          </w:tcPr>
          <w:p w14:paraId="2F0342B4"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0.215647</w:t>
            </w:r>
          </w:p>
        </w:tc>
        <w:tc>
          <w:tcPr>
            <w:tcW w:w="2486" w:type="dxa"/>
            <w:vAlign w:val="bottom"/>
          </w:tcPr>
          <w:p w14:paraId="2B22B927"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0.448944</w:t>
            </w:r>
          </w:p>
        </w:tc>
        <w:tc>
          <w:tcPr>
            <w:tcW w:w="1942" w:type="dxa"/>
            <w:vAlign w:val="bottom"/>
          </w:tcPr>
          <w:p w14:paraId="6E25C4C3"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0.6591</w:t>
            </w:r>
          </w:p>
        </w:tc>
      </w:tr>
      <w:tr w:rsidR="008069CE" w:rsidRPr="00941C7F" w14:paraId="31C04FB2" w14:textId="77777777" w:rsidTr="00D55F42">
        <w:trPr>
          <w:trHeight w:val="304"/>
        </w:trPr>
        <w:tc>
          <w:tcPr>
            <w:tcW w:w="1710" w:type="dxa"/>
            <w:vAlign w:val="bottom"/>
          </w:tcPr>
          <w:p w14:paraId="55EE5F7C" w14:textId="77777777" w:rsidR="008069CE" w:rsidRPr="00941C7F" w:rsidRDefault="008069CE" w:rsidP="00D55F42">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sz w:val="24"/>
                <w:szCs w:val="24"/>
              </w:rPr>
              <w:t>ECM(-1)</w:t>
            </w:r>
          </w:p>
        </w:tc>
        <w:tc>
          <w:tcPr>
            <w:tcW w:w="2126" w:type="dxa"/>
            <w:vAlign w:val="bottom"/>
          </w:tcPr>
          <w:p w14:paraId="34D201D9"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-0.614663</w:t>
            </w:r>
          </w:p>
        </w:tc>
        <w:tc>
          <w:tcPr>
            <w:tcW w:w="1866" w:type="dxa"/>
            <w:vAlign w:val="bottom"/>
          </w:tcPr>
          <w:p w14:paraId="779DA796"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0.239259</w:t>
            </w:r>
          </w:p>
        </w:tc>
        <w:tc>
          <w:tcPr>
            <w:tcW w:w="2486" w:type="dxa"/>
            <w:vAlign w:val="bottom"/>
          </w:tcPr>
          <w:p w14:paraId="763329D0"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-2.569024</w:t>
            </w:r>
          </w:p>
        </w:tc>
        <w:tc>
          <w:tcPr>
            <w:tcW w:w="1942" w:type="dxa"/>
            <w:vAlign w:val="bottom"/>
          </w:tcPr>
          <w:p w14:paraId="23D8083A"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0.0199</w:t>
            </w:r>
          </w:p>
        </w:tc>
      </w:tr>
      <w:tr w:rsidR="008069CE" w:rsidRPr="00941C7F" w14:paraId="4BEFC867" w14:textId="77777777" w:rsidTr="00D55F42">
        <w:trPr>
          <w:trHeight w:val="304"/>
        </w:trPr>
        <w:tc>
          <w:tcPr>
            <w:tcW w:w="1710" w:type="dxa"/>
            <w:vAlign w:val="bottom"/>
          </w:tcPr>
          <w:p w14:paraId="39BE231A" w14:textId="77777777" w:rsidR="008069CE" w:rsidRPr="00941C7F" w:rsidRDefault="008069CE" w:rsidP="00D55F42">
            <w:pPr>
              <w:autoSpaceDE w:val="0"/>
              <w:autoSpaceDN w:val="0"/>
              <w:adjustRightInd w:val="0"/>
              <w:spacing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C</w:t>
            </w:r>
          </w:p>
        </w:tc>
        <w:tc>
          <w:tcPr>
            <w:tcW w:w="2126" w:type="dxa"/>
            <w:vAlign w:val="bottom"/>
          </w:tcPr>
          <w:p w14:paraId="4E556234"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4.158501</w:t>
            </w:r>
          </w:p>
        </w:tc>
        <w:tc>
          <w:tcPr>
            <w:tcW w:w="1866" w:type="dxa"/>
            <w:vAlign w:val="bottom"/>
          </w:tcPr>
          <w:p w14:paraId="3CA542DA"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2.390219</w:t>
            </w:r>
          </w:p>
        </w:tc>
        <w:tc>
          <w:tcPr>
            <w:tcW w:w="2486" w:type="dxa"/>
            <w:vAlign w:val="bottom"/>
          </w:tcPr>
          <w:p w14:paraId="2B02767E"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1.739799</w:t>
            </w:r>
          </w:p>
        </w:tc>
        <w:tc>
          <w:tcPr>
            <w:tcW w:w="1942" w:type="dxa"/>
            <w:vAlign w:val="bottom"/>
          </w:tcPr>
          <w:p w14:paraId="18889CB0" w14:textId="77777777" w:rsidR="008069CE" w:rsidRPr="00941C7F" w:rsidRDefault="008069CE" w:rsidP="00D55F42">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0.1000</w:t>
            </w:r>
          </w:p>
        </w:tc>
      </w:tr>
      <w:tr w:rsidR="008069CE" w:rsidRPr="00941C7F" w14:paraId="123643A3" w14:textId="77777777" w:rsidTr="00D55F42">
        <w:trPr>
          <w:trHeight w:val="624"/>
        </w:trPr>
        <w:tc>
          <w:tcPr>
            <w:tcW w:w="1710" w:type="dxa"/>
            <w:tcBorders>
              <w:top w:val="single" w:sz="4" w:space="0" w:color="auto"/>
              <w:bottom w:val="single" w:sz="4" w:space="0" w:color="auto"/>
            </w:tcBorders>
          </w:tcPr>
          <w:p w14:paraId="48E807A9" w14:textId="77777777" w:rsidR="008069CE" w:rsidRPr="00941C7F" w:rsidRDefault="008069CE" w:rsidP="00D55F42">
            <w:pPr>
              <w:pStyle w:val="Default"/>
              <w:spacing w:line="360" w:lineRule="auto"/>
              <w:jc w:val="both"/>
              <w:rPr>
                <w:color w:val="auto"/>
              </w:rPr>
            </w:pPr>
          </w:p>
          <w:p w14:paraId="087ABBFC" w14:textId="77777777" w:rsidR="008069CE" w:rsidRPr="00941C7F" w:rsidRDefault="008069CE" w:rsidP="00D55F42">
            <w:pPr>
              <w:pStyle w:val="Default"/>
              <w:spacing w:line="360" w:lineRule="auto"/>
              <w:jc w:val="both"/>
              <w:rPr>
                <w:color w:val="auto"/>
              </w:rPr>
            </w:pPr>
            <w:r w:rsidRPr="00941C7F">
              <w:rPr>
                <w:color w:val="auto"/>
              </w:rPr>
              <w:t>R</w:t>
            </w:r>
            <w:r w:rsidRPr="00941C7F">
              <w:rPr>
                <w:color w:val="auto"/>
                <w:vertAlign w:val="superscript"/>
              </w:rPr>
              <w:t>2</w:t>
            </w:r>
            <w:r w:rsidRPr="00941C7F">
              <w:rPr>
                <w:color w:val="auto"/>
              </w:rPr>
              <w:t xml:space="preserve"> = 0.926337</w:t>
            </w:r>
          </w:p>
        </w:tc>
        <w:tc>
          <w:tcPr>
            <w:tcW w:w="2126" w:type="dxa"/>
            <w:tcBorders>
              <w:top w:val="single" w:sz="4" w:space="0" w:color="auto"/>
              <w:bottom w:val="single" w:sz="4" w:space="0" w:color="auto"/>
            </w:tcBorders>
          </w:tcPr>
          <w:p w14:paraId="678A6100" w14:textId="77777777" w:rsidR="008069CE" w:rsidRPr="00941C7F" w:rsidRDefault="008069CE" w:rsidP="00D55F42">
            <w:pPr>
              <w:pStyle w:val="Default"/>
              <w:spacing w:line="360" w:lineRule="auto"/>
              <w:jc w:val="both"/>
              <w:rPr>
                <w:color w:val="auto"/>
              </w:rPr>
            </w:pPr>
          </w:p>
          <w:p w14:paraId="42B82E84" w14:textId="77777777" w:rsidR="008069CE" w:rsidRPr="00941C7F" w:rsidRDefault="008069CE" w:rsidP="00D55F42">
            <w:pPr>
              <w:pStyle w:val="Default"/>
              <w:spacing w:line="360" w:lineRule="auto"/>
              <w:jc w:val="both"/>
              <w:rPr>
                <w:color w:val="auto"/>
              </w:rPr>
            </w:pPr>
            <w:r w:rsidRPr="00941C7F">
              <w:rPr>
                <w:color w:val="auto"/>
              </w:rPr>
              <w:t>Adj.R</w:t>
            </w:r>
            <w:r w:rsidRPr="00941C7F">
              <w:rPr>
                <w:color w:val="auto"/>
                <w:vertAlign w:val="superscript"/>
              </w:rPr>
              <w:t>2</w:t>
            </w:r>
            <w:r w:rsidRPr="00941C7F">
              <w:rPr>
                <w:color w:val="auto"/>
              </w:rPr>
              <w:t>= 0.835341</w:t>
            </w:r>
          </w:p>
        </w:tc>
        <w:tc>
          <w:tcPr>
            <w:tcW w:w="1866" w:type="dxa"/>
            <w:tcBorders>
              <w:top w:val="single" w:sz="4" w:space="0" w:color="auto"/>
              <w:bottom w:val="single" w:sz="4" w:space="0" w:color="auto"/>
            </w:tcBorders>
          </w:tcPr>
          <w:p w14:paraId="2EDD5EE9" w14:textId="77777777" w:rsidR="008069CE" w:rsidRPr="00941C7F" w:rsidRDefault="008069CE" w:rsidP="00D55F42">
            <w:pPr>
              <w:pStyle w:val="Default"/>
              <w:spacing w:line="360" w:lineRule="auto"/>
              <w:jc w:val="both"/>
              <w:rPr>
                <w:color w:val="auto"/>
              </w:rPr>
            </w:pPr>
          </w:p>
          <w:p w14:paraId="7D8EEC21" w14:textId="77777777" w:rsidR="008069CE" w:rsidRPr="00941C7F" w:rsidRDefault="008069CE" w:rsidP="00D55F42">
            <w:pPr>
              <w:pStyle w:val="Default"/>
              <w:spacing w:line="360" w:lineRule="auto"/>
              <w:jc w:val="both"/>
              <w:rPr>
                <w:color w:val="auto"/>
              </w:rPr>
            </w:pPr>
            <w:r w:rsidRPr="00941C7F">
              <w:rPr>
                <w:color w:val="auto"/>
              </w:rPr>
              <w:t>F-stat= 10.18002</w:t>
            </w:r>
          </w:p>
        </w:tc>
        <w:tc>
          <w:tcPr>
            <w:tcW w:w="2486" w:type="dxa"/>
            <w:tcBorders>
              <w:top w:val="single" w:sz="4" w:space="0" w:color="auto"/>
              <w:bottom w:val="single" w:sz="4" w:space="0" w:color="auto"/>
            </w:tcBorders>
          </w:tcPr>
          <w:p w14:paraId="6F05A5DF" w14:textId="77777777" w:rsidR="008069CE" w:rsidRPr="00941C7F" w:rsidRDefault="008069CE" w:rsidP="00D55F42">
            <w:pPr>
              <w:pStyle w:val="Default"/>
              <w:spacing w:line="360" w:lineRule="auto"/>
              <w:jc w:val="both"/>
              <w:rPr>
                <w:color w:val="auto"/>
              </w:rPr>
            </w:pPr>
          </w:p>
          <w:p w14:paraId="46B94DD4" w14:textId="77777777" w:rsidR="008069CE" w:rsidRPr="00941C7F" w:rsidRDefault="008069CE" w:rsidP="00D55F42">
            <w:pPr>
              <w:pStyle w:val="Default"/>
              <w:spacing w:line="360" w:lineRule="auto"/>
              <w:jc w:val="both"/>
              <w:rPr>
                <w:color w:val="auto"/>
              </w:rPr>
            </w:pPr>
            <w:r w:rsidRPr="00941C7F">
              <w:rPr>
                <w:color w:val="auto"/>
              </w:rPr>
              <w:t>Prob(F-stat) = 000006</w:t>
            </w:r>
          </w:p>
        </w:tc>
        <w:tc>
          <w:tcPr>
            <w:tcW w:w="1942" w:type="dxa"/>
            <w:tcBorders>
              <w:top w:val="single" w:sz="4" w:space="0" w:color="auto"/>
              <w:bottom w:val="single" w:sz="4" w:space="0" w:color="auto"/>
            </w:tcBorders>
          </w:tcPr>
          <w:p w14:paraId="4DEB948F" w14:textId="77777777" w:rsidR="008069CE" w:rsidRPr="00941C7F" w:rsidRDefault="008069CE" w:rsidP="00D55F42">
            <w:pPr>
              <w:pStyle w:val="Default"/>
              <w:spacing w:line="360" w:lineRule="auto"/>
              <w:jc w:val="both"/>
              <w:rPr>
                <w:color w:val="auto"/>
              </w:rPr>
            </w:pPr>
          </w:p>
          <w:p w14:paraId="61AF03EB" w14:textId="77777777" w:rsidR="008069CE" w:rsidRPr="00941C7F" w:rsidRDefault="008069CE" w:rsidP="00D55F42">
            <w:pPr>
              <w:pStyle w:val="Default"/>
              <w:spacing w:line="360" w:lineRule="auto"/>
              <w:jc w:val="both"/>
              <w:rPr>
                <w:color w:val="auto"/>
              </w:rPr>
            </w:pPr>
            <w:r w:rsidRPr="00941C7F">
              <w:rPr>
                <w:color w:val="auto"/>
              </w:rPr>
              <w:t>D.W= 1.899979</w:t>
            </w:r>
          </w:p>
        </w:tc>
      </w:tr>
    </w:tbl>
    <w:p w14:paraId="46CD81F5" w14:textId="77777777" w:rsidR="008069CE" w:rsidRPr="00941C7F" w:rsidRDefault="008069CE" w:rsidP="008069CE">
      <w:pPr>
        <w:tabs>
          <w:tab w:val="left" w:pos="1580"/>
        </w:tabs>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Pr="00941C7F">
        <w:rPr>
          <w:rFonts w:ascii="Times New Roman" w:hAnsi="Times New Roman" w:cs="Times New Roman"/>
          <w:bCs/>
          <w:sz w:val="24"/>
          <w:szCs w:val="24"/>
        </w:rPr>
        <w:t xml:space="preserve"> computation, 2025</w:t>
      </w:r>
    </w:p>
    <w:p w14:paraId="54FF6141"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Table </w:t>
      </w:r>
      <w:r>
        <w:rPr>
          <w:rFonts w:ascii="Times New Roman" w:hAnsi="Times New Roman" w:cs="Times New Roman"/>
          <w:sz w:val="24"/>
          <w:szCs w:val="24"/>
        </w:rPr>
        <w:t>9</w:t>
      </w:r>
      <w:r w:rsidRPr="00941C7F">
        <w:rPr>
          <w:rFonts w:ascii="Times New Roman" w:hAnsi="Times New Roman" w:cs="Times New Roman"/>
          <w:sz w:val="24"/>
          <w:szCs w:val="24"/>
        </w:rPr>
        <w:t xml:space="preserve"> presents both the long-run and short-run estimates of the ARDL regression model for the external debt </w:t>
      </w:r>
      <w:r>
        <w:rPr>
          <w:rFonts w:ascii="Times New Roman" w:hAnsi="Times New Roman" w:cs="Times New Roman"/>
          <w:sz w:val="24"/>
          <w:szCs w:val="24"/>
        </w:rPr>
        <w:t>on capital accumulation</w:t>
      </w:r>
      <w:r w:rsidRPr="00941C7F">
        <w:rPr>
          <w:rFonts w:ascii="Times New Roman" w:hAnsi="Times New Roman" w:cs="Times New Roman"/>
          <w:sz w:val="24"/>
          <w:szCs w:val="24"/>
        </w:rPr>
        <w:t xml:space="preserve">. From the Table </w:t>
      </w:r>
      <w:r>
        <w:rPr>
          <w:rFonts w:ascii="Times New Roman" w:hAnsi="Times New Roman" w:cs="Times New Roman"/>
          <w:sz w:val="24"/>
          <w:szCs w:val="24"/>
        </w:rPr>
        <w:t>9</w:t>
      </w:r>
      <w:r w:rsidRPr="00941C7F">
        <w:rPr>
          <w:rFonts w:ascii="Times New Roman" w:hAnsi="Times New Roman" w:cs="Times New Roman"/>
          <w:sz w:val="24"/>
          <w:szCs w:val="24"/>
        </w:rPr>
        <w:t xml:space="preserve">, </w:t>
      </w:r>
      <w:r>
        <w:rPr>
          <w:rFonts w:ascii="Times New Roman" w:hAnsi="Times New Roman" w:cs="Times New Roman"/>
          <w:sz w:val="24"/>
          <w:szCs w:val="24"/>
        </w:rPr>
        <w:t xml:space="preserve">is the result indicated </w:t>
      </w:r>
      <w:r w:rsidRPr="00941C7F">
        <w:rPr>
          <w:rFonts w:ascii="Times New Roman" w:hAnsi="Times New Roman" w:cs="Times New Roman"/>
          <w:sz w:val="24"/>
          <w:szCs w:val="24"/>
        </w:rPr>
        <w:t>a significant impact of total external debt stock (0.409, 0.042) on gross capital accumulation in the long-run. This is in conformity with the finding of Taiwo et al. (2023) and Iteh et al. (2021), where they found that external debts exhibited a positive and significant relationship with gross capital accumulation in the long run. However, the short-</w:t>
      </w:r>
      <w:r w:rsidRPr="00941C7F">
        <w:rPr>
          <w:rFonts w:ascii="Times New Roman" w:hAnsi="Times New Roman" w:cs="Times New Roman"/>
          <w:sz w:val="24"/>
          <w:szCs w:val="24"/>
        </w:rPr>
        <w:lastRenderedPageBreak/>
        <w:t>run results shows a negative and significant impact corroborating the findings of Polycarp (2020) and Chowdhury (1994) where they argued that external debts have a significant positive impact with gross capital accumulation. Therefore, i</w:t>
      </w:r>
      <w:r>
        <w:rPr>
          <w:rFonts w:ascii="Times New Roman" w:hAnsi="Times New Roman" w:cs="Times New Roman"/>
          <w:sz w:val="24"/>
          <w:szCs w:val="24"/>
        </w:rPr>
        <w:t xml:space="preserve">s domestic debt more economic beneficial </w:t>
      </w:r>
      <w:r w:rsidRPr="00941C7F">
        <w:rPr>
          <w:rFonts w:ascii="Times New Roman" w:hAnsi="Times New Roman" w:cs="Times New Roman"/>
          <w:sz w:val="24"/>
          <w:szCs w:val="24"/>
        </w:rPr>
        <w:t>than external debt, on Nigeria capital accumulation? From the result it is obvious that domestic debt (</w:t>
      </w:r>
      <w:r w:rsidRPr="00941C7F">
        <w:rPr>
          <w:rFonts w:ascii="Times New Roman" w:hAnsi="Times New Roman" w:cs="Times New Roman"/>
          <w:color w:val="000000"/>
          <w:sz w:val="24"/>
          <w:szCs w:val="24"/>
        </w:rPr>
        <w:t>-0.087005)</w:t>
      </w:r>
      <w:r w:rsidRPr="00941C7F">
        <w:rPr>
          <w:rFonts w:ascii="Times New Roman" w:hAnsi="Times New Roman" w:cs="Times New Roman"/>
          <w:sz w:val="24"/>
          <w:szCs w:val="24"/>
        </w:rPr>
        <w:t xml:space="preserve"> burden in Nigeria is not economical </w:t>
      </w:r>
      <w:r>
        <w:rPr>
          <w:rFonts w:ascii="Times New Roman" w:hAnsi="Times New Roman" w:cs="Times New Roman"/>
          <w:sz w:val="24"/>
          <w:szCs w:val="24"/>
        </w:rPr>
        <w:t xml:space="preserve">viable </w:t>
      </w:r>
      <w:r w:rsidRPr="00941C7F">
        <w:rPr>
          <w:rFonts w:ascii="Times New Roman" w:hAnsi="Times New Roman" w:cs="Times New Roman"/>
          <w:sz w:val="24"/>
          <w:szCs w:val="24"/>
        </w:rPr>
        <w:t>than the external debt (</w:t>
      </w:r>
      <w:r w:rsidRPr="00941C7F">
        <w:rPr>
          <w:rFonts w:ascii="Times New Roman" w:hAnsi="Times New Roman" w:cs="Times New Roman"/>
          <w:color w:val="000000"/>
          <w:sz w:val="24"/>
          <w:szCs w:val="24"/>
        </w:rPr>
        <w:t>0.408760) in the long run. But in the short run both of them</w:t>
      </w:r>
      <w:r w:rsidRPr="00941C7F">
        <w:rPr>
          <w:rFonts w:ascii="Times New Roman" w:hAnsi="Times New Roman" w:cs="Times New Roman"/>
          <w:sz w:val="24"/>
          <w:szCs w:val="24"/>
        </w:rPr>
        <w:t xml:space="preserve"> is negative with external debt been significant, meaning that </w:t>
      </w:r>
      <w:r>
        <w:rPr>
          <w:rFonts w:ascii="Times New Roman" w:hAnsi="Times New Roman" w:cs="Times New Roman"/>
          <w:sz w:val="24"/>
          <w:szCs w:val="24"/>
        </w:rPr>
        <w:t>external</w:t>
      </w:r>
      <w:r w:rsidRPr="00941C7F">
        <w:rPr>
          <w:rFonts w:ascii="Times New Roman" w:hAnsi="Times New Roman" w:cs="Times New Roman"/>
          <w:sz w:val="24"/>
          <w:szCs w:val="24"/>
        </w:rPr>
        <w:t xml:space="preserve"> debt is more profitable for capital accumulation in Nigeria and should be encouraged. </w:t>
      </w:r>
    </w:p>
    <w:p w14:paraId="6442DEDE"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In addition to the findings in the Table </w:t>
      </w:r>
      <w:r>
        <w:rPr>
          <w:rFonts w:ascii="Times New Roman" w:hAnsi="Times New Roman" w:cs="Times New Roman"/>
          <w:sz w:val="24"/>
          <w:szCs w:val="24"/>
        </w:rPr>
        <w:t>9</w:t>
      </w:r>
      <w:r w:rsidRPr="00941C7F">
        <w:rPr>
          <w:rFonts w:ascii="Times New Roman" w:hAnsi="Times New Roman" w:cs="Times New Roman"/>
          <w:sz w:val="24"/>
          <w:szCs w:val="24"/>
        </w:rPr>
        <w:t xml:space="preserve">, the coefficient of total domestic stock is negative but statistically insignificant in the long-run and short-run on gross capital accumulation in Nigeria. This is consistent with the earlier postulation made in the study and other researchers that domestic borrowing crowd investment and lowers capital accumulation. Also indicated </w:t>
      </w:r>
      <w:r>
        <w:rPr>
          <w:rFonts w:ascii="Times New Roman" w:hAnsi="Times New Roman" w:cs="Times New Roman"/>
          <w:sz w:val="24"/>
          <w:szCs w:val="24"/>
        </w:rPr>
        <w:t xml:space="preserve">from the table is </w:t>
      </w:r>
      <w:r w:rsidRPr="00941C7F">
        <w:rPr>
          <w:rFonts w:ascii="Times New Roman" w:hAnsi="Times New Roman" w:cs="Times New Roman"/>
          <w:sz w:val="24"/>
          <w:szCs w:val="24"/>
        </w:rPr>
        <w:t xml:space="preserve">the coefficient of external debt servicing, national savings and exchange rate 0.419, 0.180,0.11 and 0.010 respectively were insignificantly positive related with Nigeria gross capital accumulation. However, Interest rate is negative (-0.180) and statistically insignificant in the long-run. This shows that interest rate has a severe negative impact on Nigeria gross capital accumulation. This may be connected to the facts that in the long-run the accumulated interest rates make servicing of loan costlier to Nigeria </w:t>
      </w:r>
      <w:r>
        <w:rPr>
          <w:rFonts w:ascii="Times New Roman" w:hAnsi="Times New Roman" w:cs="Times New Roman"/>
          <w:sz w:val="24"/>
          <w:szCs w:val="24"/>
        </w:rPr>
        <w:t>thereby</w:t>
      </w:r>
      <w:r w:rsidRPr="00941C7F">
        <w:rPr>
          <w:rFonts w:ascii="Times New Roman" w:hAnsi="Times New Roman" w:cs="Times New Roman"/>
          <w:sz w:val="24"/>
          <w:szCs w:val="24"/>
        </w:rPr>
        <w:t xml:space="preserve"> reduces the money available for the government to spend on growth inducing projects thereby slowing down gross capital accumulation.</w:t>
      </w:r>
    </w:p>
    <w:p w14:paraId="746CC5D5"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What is the sustainability of the external debt servicing on Nigeria capital accumulation, was answered by the external debt coefficient (</w:t>
      </w:r>
      <w:r w:rsidRPr="00941C7F">
        <w:rPr>
          <w:rFonts w:ascii="Times New Roman" w:hAnsi="Times New Roman" w:cs="Times New Roman"/>
          <w:color w:val="000000"/>
          <w:sz w:val="24"/>
          <w:szCs w:val="24"/>
        </w:rPr>
        <w:t xml:space="preserve">0.419110) and is significant (0.0133). According to International Monetary Fund (IMF) and World Bank framework of debt-to-GDP ratio, for low income countries it is 30-40% or less to be sustainable. While the middle income countries is 50-70% benchmark (IMF, 2020; European Union, 2020). Therefore, Nigeria been a low-middle-income country has its debt servicing sustainability threshold at 30-40% according to IMF and World Bank sustainability frame work. However, the result of the analysis indicated that Nigeria debt-to-GDP ratio is 41.9% which is not sustainable.  </w:t>
      </w:r>
    </w:p>
    <w:p w14:paraId="0BEE7EC2" w14:textId="77777777" w:rsidR="008069CE" w:rsidRPr="00941C7F" w:rsidRDefault="008069CE" w:rsidP="008069CE">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Furthermore, the results obtained in the Table </w:t>
      </w:r>
      <w:r>
        <w:rPr>
          <w:rFonts w:ascii="Times New Roman" w:hAnsi="Times New Roman" w:cs="Times New Roman"/>
          <w:sz w:val="24"/>
          <w:szCs w:val="24"/>
        </w:rPr>
        <w:t>9 also</w:t>
      </w:r>
      <w:r w:rsidRPr="00941C7F">
        <w:rPr>
          <w:rFonts w:ascii="Times New Roman" w:hAnsi="Times New Roman" w:cs="Times New Roman"/>
          <w:sz w:val="24"/>
          <w:szCs w:val="24"/>
        </w:rPr>
        <w:t xml:space="preserve"> shows that all the coefficient of determination has negative impact on Nigeria gross capital accumulation in the short run except total external debt stock and exchange rate. This implies that in the short run borrowing will reduce the capital accumulation and should not be used as a major yardstick for economic policies, since borrowing in an intertemporal economic decision that requires time.</w:t>
      </w:r>
    </w:p>
    <w:p w14:paraId="57818E0D" w14:textId="77777777" w:rsidR="008069CE" w:rsidRPr="00941C7F" w:rsidRDefault="008069CE" w:rsidP="008069CE">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rPr>
        <w:t xml:space="preserve">The coefficient of </w:t>
      </w:r>
      <w:r>
        <w:rPr>
          <w:rFonts w:ascii="Times New Roman" w:hAnsi="Times New Roman" w:cs="Times New Roman"/>
          <w:sz w:val="24"/>
          <w:szCs w:val="24"/>
        </w:rPr>
        <w:t xml:space="preserve">error correction term </w:t>
      </w:r>
      <w:r w:rsidRPr="00941C7F">
        <w:rPr>
          <w:rFonts w:ascii="Times New Roman" w:hAnsi="Times New Roman" w:cs="Times New Roman"/>
          <w:sz w:val="24"/>
          <w:szCs w:val="24"/>
        </w:rPr>
        <w:t xml:space="preserve">ECT (-1) term has the expected sign and statistically significant (-0.615) at one percent. It endorses the existence of association between the dependent and explanatory </w:t>
      </w:r>
      <w:r w:rsidRPr="00941C7F">
        <w:rPr>
          <w:rFonts w:ascii="Times New Roman" w:hAnsi="Times New Roman" w:cs="Times New Roman"/>
          <w:sz w:val="24"/>
          <w:szCs w:val="24"/>
        </w:rPr>
        <w:lastRenderedPageBreak/>
        <w:t>variables in the long run. The coefficient of the ECT (-1) suggests a very fast adjustment process with 61 percent of the previous year’s disequilibrium in capital accumulation adjusted in the current year. Thus, the suggestion is that capital accumulation in Nigeria is primarily guided by the components of external debt and external debt service, interest rate, national savings and exchange rate.</w:t>
      </w:r>
    </w:p>
    <w:p w14:paraId="20335DB2" w14:textId="77777777" w:rsidR="008069CE" w:rsidRPr="00941C7F" w:rsidRDefault="008069CE" w:rsidP="008069CE">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rPr>
        <w:t xml:space="preserve">The result of DW of 1.9 in the Table </w:t>
      </w:r>
      <w:r>
        <w:rPr>
          <w:rFonts w:ascii="Times New Roman" w:hAnsi="Times New Roman" w:cs="Times New Roman"/>
          <w:sz w:val="24"/>
          <w:szCs w:val="24"/>
        </w:rPr>
        <w:t>9</w:t>
      </w:r>
      <w:r w:rsidRPr="00941C7F">
        <w:rPr>
          <w:rFonts w:ascii="Times New Roman" w:hAnsi="Times New Roman" w:cs="Times New Roman"/>
          <w:sz w:val="24"/>
          <w:szCs w:val="24"/>
        </w:rPr>
        <w:t xml:space="preserve"> indicates a negative autocorrelation in the model because the value lies between 2.0 and 4.0. Also, the value of R</w:t>
      </w:r>
      <w:r w:rsidRPr="00941C7F">
        <w:rPr>
          <w:rFonts w:ascii="Times New Roman" w:hAnsi="Times New Roman" w:cs="Times New Roman"/>
          <w:sz w:val="24"/>
          <w:szCs w:val="24"/>
          <w:vertAlign w:val="superscript"/>
        </w:rPr>
        <w:t>2</w:t>
      </w:r>
      <w:r w:rsidRPr="00941C7F">
        <w:rPr>
          <w:rFonts w:ascii="Times New Roman" w:hAnsi="Times New Roman" w:cs="Times New Roman"/>
          <w:sz w:val="24"/>
          <w:szCs w:val="24"/>
        </w:rPr>
        <w:t xml:space="preserve"> = 0.926 indicates that 92% of the total variation in the dependent variable is being explained by the explanatory variables making it a good fit for analysis</w:t>
      </w:r>
    </w:p>
    <w:p w14:paraId="6D9E2863" w14:textId="77777777" w:rsidR="008069CE" w:rsidRPr="00941C7F" w:rsidRDefault="008069CE" w:rsidP="008069CE">
      <w:pPr>
        <w:tabs>
          <w:tab w:val="left" w:pos="7450"/>
        </w:tabs>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5. Conclusion and Recommendations </w:t>
      </w:r>
    </w:p>
    <w:p w14:paraId="67805D0B" w14:textId="77777777" w:rsidR="008069CE" w:rsidRPr="00941C7F" w:rsidRDefault="008069CE" w:rsidP="008069CE">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w:t>
      </w:r>
      <w:r w:rsidRPr="00941C7F">
        <w:rPr>
          <w:rFonts w:ascii="Times New Roman" w:hAnsi="Times New Roman" w:cs="Times New Roman"/>
          <w:sz w:val="24"/>
          <w:szCs w:val="24"/>
        </w:rPr>
        <w:t xml:space="preserve"> investigated the impact of external borrowing on Nigeria capital accumulation from 1981 to 2023, using </w:t>
      </w:r>
      <w:r>
        <w:rPr>
          <w:rFonts w:ascii="Times New Roman" w:hAnsi="Times New Roman" w:cs="Times New Roman"/>
          <w:sz w:val="24"/>
          <w:szCs w:val="24"/>
        </w:rPr>
        <w:t>A</w:t>
      </w:r>
      <w:r w:rsidRPr="00941C7F">
        <w:rPr>
          <w:rFonts w:ascii="Times New Roman" w:hAnsi="Times New Roman" w:cs="Times New Roman"/>
          <w:sz w:val="24"/>
          <w:szCs w:val="24"/>
        </w:rPr>
        <w:t xml:space="preserve">utoregressive distributed lag (ARDL) model. The main findings in relation to the objectives of the study begin with the presentation of our baseline results in Table </w:t>
      </w:r>
      <w:r>
        <w:rPr>
          <w:rFonts w:ascii="Times New Roman" w:hAnsi="Times New Roman" w:cs="Times New Roman"/>
          <w:sz w:val="24"/>
          <w:szCs w:val="24"/>
        </w:rPr>
        <w:t>9</w:t>
      </w:r>
      <w:r w:rsidRPr="00941C7F">
        <w:rPr>
          <w:rFonts w:ascii="Times New Roman" w:hAnsi="Times New Roman" w:cs="Times New Roman"/>
          <w:sz w:val="24"/>
          <w:szCs w:val="24"/>
        </w:rPr>
        <w:t>. This objective was estimated through stock of external debt, domestic debt, external debt servicing, nominal interest rate, national savings and nominal exchange rate. The result reveals that stock of external debt; external debt servicing, national savings and nominal exchan</w:t>
      </w:r>
      <w:r>
        <w:rPr>
          <w:rFonts w:ascii="Times New Roman" w:hAnsi="Times New Roman" w:cs="Times New Roman"/>
          <w:sz w:val="24"/>
          <w:szCs w:val="24"/>
        </w:rPr>
        <w:t>ge rate have a positive impact on capital accumulation. However,</w:t>
      </w:r>
      <w:r w:rsidRPr="00941C7F">
        <w:rPr>
          <w:rFonts w:ascii="Times New Roman" w:hAnsi="Times New Roman" w:cs="Times New Roman"/>
          <w:sz w:val="24"/>
          <w:szCs w:val="24"/>
        </w:rPr>
        <w:t xml:space="preserve"> total stock of domestic debt and nominal interest rate hurt Gross fixed capital accumulation in Nigeria.  </w:t>
      </w:r>
      <w:r>
        <w:rPr>
          <w:rFonts w:ascii="Times New Roman" w:hAnsi="Times New Roman" w:cs="Times New Roman"/>
          <w:sz w:val="24"/>
          <w:szCs w:val="24"/>
        </w:rPr>
        <w:t>It</w:t>
      </w:r>
      <w:r w:rsidRPr="00941C7F">
        <w:rPr>
          <w:rFonts w:ascii="Times New Roman" w:hAnsi="Times New Roman" w:cs="Times New Roman"/>
          <w:sz w:val="24"/>
          <w:szCs w:val="24"/>
        </w:rPr>
        <w:t xml:space="preserve"> is only the total external debt stock that is significant, implying that it is external debt stock that </w:t>
      </w:r>
      <w:r>
        <w:rPr>
          <w:rFonts w:ascii="Times New Roman" w:hAnsi="Times New Roman" w:cs="Times New Roman"/>
          <w:sz w:val="24"/>
          <w:szCs w:val="24"/>
        </w:rPr>
        <w:t xml:space="preserve">can improve </w:t>
      </w:r>
      <w:r w:rsidRPr="00941C7F">
        <w:rPr>
          <w:rFonts w:ascii="Times New Roman" w:hAnsi="Times New Roman" w:cs="Times New Roman"/>
          <w:sz w:val="24"/>
          <w:szCs w:val="24"/>
        </w:rPr>
        <w:t>c</w:t>
      </w:r>
      <w:r>
        <w:rPr>
          <w:rFonts w:ascii="Times New Roman" w:hAnsi="Times New Roman" w:cs="Times New Roman"/>
          <w:sz w:val="24"/>
          <w:szCs w:val="24"/>
        </w:rPr>
        <w:t>apital accumulation in Nigeria i</w:t>
      </w:r>
      <w:r w:rsidRPr="00941C7F">
        <w:rPr>
          <w:rFonts w:ascii="Times New Roman" w:hAnsi="Times New Roman" w:cs="Times New Roman"/>
          <w:sz w:val="24"/>
          <w:szCs w:val="24"/>
        </w:rPr>
        <w:t>n the long run. Also, found from the result is that the external debt servicing ratio to GDP in Nigeria is unsustainable at 41.9% above the IMF/World Bank threshold of 40%.</w:t>
      </w:r>
    </w:p>
    <w:p w14:paraId="427E4B3C" w14:textId="77777777" w:rsidR="008069CE" w:rsidRDefault="008069CE" w:rsidP="008069CE">
      <w:pPr>
        <w:spacing w:line="360" w:lineRule="auto"/>
        <w:jc w:val="both"/>
        <w:rPr>
          <w:rFonts w:ascii="Times New Roman" w:hAnsi="Times New Roman" w:cs="Times New Roman"/>
          <w:color w:val="000000" w:themeColor="text1"/>
          <w:sz w:val="24"/>
          <w:szCs w:val="24"/>
        </w:rPr>
      </w:pPr>
      <w:r w:rsidRPr="00941C7F">
        <w:rPr>
          <w:rFonts w:ascii="Times New Roman" w:hAnsi="Times New Roman" w:cs="Times New Roman"/>
          <w:sz w:val="24"/>
          <w:szCs w:val="24"/>
        </w:rPr>
        <w:t>Given the significant positive relationship between total external debt stock and negative impact of domestic total debt stock on gross fixed capital accumulation in Nigeria caution should be taken carefully to balance the capital accumulation strategy by government. Here are some strategies that governments can consider.</w:t>
      </w:r>
      <w:r>
        <w:rPr>
          <w:rFonts w:ascii="Times New Roman" w:hAnsi="Times New Roman" w:cs="Times New Roman"/>
          <w:sz w:val="24"/>
          <w:szCs w:val="24"/>
        </w:rPr>
        <w:t xml:space="preserve"> </w:t>
      </w:r>
      <w:r w:rsidRPr="00686FCD">
        <w:rPr>
          <w:rFonts w:ascii="Times New Roman" w:hAnsi="Times New Roman" w:cs="Times New Roman"/>
          <w:sz w:val="24"/>
          <w:szCs w:val="24"/>
        </w:rPr>
        <w:t>Given that changes to savings policies have a significant impact on capital accumulation, the government should promote a culture of saving.</w:t>
      </w:r>
      <w:r w:rsidRPr="00941C7F">
        <w:rPr>
          <w:rFonts w:ascii="Times New Roman" w:hAnsi="Times New Roman" w:cs="Times New Roman"/>
          <w:sz w:val="24"/>
          <w:szCs w:val="24"/>
        </w:rPr>
        <w:t xml:space="preserve"> The government should drastically </w:t>
      </w:r>
      <w:r>
        <w:rPr>
          <w:rFonts w:ascii="Times New Roman" w:hAnsi="Times New Roman" w:cs="Times New Roman"/>
          <w:sz w:val="24"/>
          <w:szCs w:val="24"/>
        </w:rPr>
        <w:t xml:space="preserve">reduce </w:t>
      </w:r>
      <w:r w:rsidRPr="00941C7F">
        <w:rPr>
          <w:rFonts w:ascii="Times New Roman" w:hAnsi="Times New Roman" w:cs="Times New Roman"/>
          <w:sz w:val="24"/>
          <w:szCs w:val="24"/>
        </w:rPr>
        <w:t xml:space="preserve">domestic borrowing, as it has been seen to crowd investment and reduce gross </w:t>
      </w:r>
      <w:r>
        <w:rPr>
          <w:rFonts w:ascii="Times New Roman" w:hAnsi="Times New Roman" w:cs="Times New Roman"/>
          <w:sz w:val="24"/>
          <w:szCs w:val="24"/>
        </w:rPr>
        <w:t xml:space="preserve">capital accumulation in Nigeria. </w:t>
      </w:r>
      <w:r w:rsidRPr="00941C7F">
        <w:rPr>
          <w:rFonts w:ascii="Times New Roman" w:hAnsi="Times New Roman" w:cs="Times New Roman"/>
          <w:sz w:val="24"/>
          <w:szCs w:val="24"/>
        </w:rPr>
        <w:t xml:space="preserve"> </w:t>
      </w:r>
      <w:r>
        <w:rPr>
          <w:rFonts w:ascii="Times New Roman" w:hAnsi="Times New Roman" w:cs="Times New Roman"/>
          <w:sz w:val="24"/>
          <w:szCs w:val="24"/>
        </w:rPr>
        <w:t>B</w:t>
      </w:r>
      <w:r w:rsidRPr="00941C7F">
        <w:rPr>
          <w:rFonts w:ascii="Times New Roman" w:hAnsi="Times New Roman" w:cs="Times New Roman"/>
          <w:sz w:val="24"/>
          <w:szCs w:val="24"/>
        </w:rPr>
        <w:t xml:space="preserve">orrowing </w:t>
      </w:r>
      <w:r>
        <w:rPr>
          <w:rFonts w:ascii="Times New Roman" w:hAnsi="Times New Roman" w:cs="Times New Roman"/>
          <w:sz w:val="24"/>
          <w:szCs w:val="24"/>
        </w:rPr>
        <w:t>should be</w:t>
      </w:r>
      <w:r w:rsidRPr="00941C7F">
        <w:rPr>
          <w:rFonts w:ascii="Times New Roman" w:hAnsi="Times New Roman" w:cs="Times New Roman"/>
          <w:sz w:val="24"/>
          <w:szCs w:val="24"/>
        </w:rPr>
        <w:t xml:space="preserve"> external borrowing </w:t>
      </w:r>
      <w:r>
        <w:rPr>
          <w:rFonts w:ascii="Times New Roman" w:hAnsi="Times New Roman" w:cs="Times New Roman"/>
          <w:sz w:val="24"/>
          <w:szCs w:val="24"/>
        </w:rPr>
        <w:t>against domestic borrowing</w:t>
      </w:r>
      <w:r w:rsidRPr="00941C7F">
        <w:rPr>
          <w:rFonts w:ascii="Times New Roman" w:hAnsi="Times New Roman" w:cs="Times New Roman"/>
          <w:sz w:val="24"/>
          <w:szCs w:val="24"/>
        </w:rPr>
        <w:t xml:space="preserve">. </w:t>
      </w:r>
      <w:r>
        <w:rPr>
          <w:rFonts w:ascii="Times New Roman" w:hAnsi="Times New Roman" w:cs="Times New Roman"/>
          <w:sz w:val="24"/>
          <w:szCs w:val="24"/>
        </w:rPr>
        <w:t>Furthermore, any</w:t>
      </w:r>
      <w:r w:rsidRPr="00686FCD">
        <w:rPr>
          <w:rFonts w:ascii="Times New Roman" w:hAnsi="Times New Roman" w:cs="Times New Roman"/>
          <w:sz w:val="24"/>
          <w:szCs w:val="24"/>
        </w:rPr>
        <w:t xml:space="preserve"> loan negot</w:t>
      </w:r>
      <w:r>
        <w:rPr>
          <w:rFonts w:ascii="Times New Roman" w:hAnsi="Times New Roman" w:cs="Times New Roman"/>
          <w:sz w:val="24"/>
          <w:szCs w:val="24"/>
        </w:rPr>
        <w:t>iated should be tied a specific project.  Projects upon which a loan is gotten should be to repay the loan</w:t>
      </w:r>
      <w:r w:rsidRPr="00686FCD">
        <w:rPr>
          <w:rFonts w:ascii="Times New Roman" w:hAnsi="Times New Roman" w:cs="Times New Roman"/>
          <w:sz w:val="24"/>
          <w:szCs w:val="24"/>
        </w:rPr>
        <w:t xml:space="preserve"> within the allotted time</w:t>
      </w:r>
      <w:r>
        <w:rPr>
          <w:rFonts w:ascii="Times New Roman" w:hAnsi="Times New Roman" w:cs="Times New Roman"/>
          <w:sz w:val="24"/>
          <w:szCs w:val="24"/>
        </w:rPr>
        <w:t xml:space="preserve"> frame</w:t>
      </w:r>
      <w:r w:rsidRPr="00686FCD">
        <w:rPr>
          <w:rFonts w:ascii="Times New Roman" w:hAnsi="Times New Roman" w:cs="Times New Roman"/>
          <w:sz w:val="24"/>
          <w:szCs w:val="24"/>
        </w:rPr>
        <w:t xml:space="preserve">.  External borrowing is </w:t>
      </w:r>
      <w:r w:rsidRPr="00BE53BB">
        <w:rPr>
          <w:rFonts w:ascii="Times New Roman" w:hAnsi="Times New Roman" w:cs="Times New Roman"/>
          <w:color w:val="000000" w:themeColor="text1"/>
          <w:sz w:val="24"/>
          <w:szCs w:val="24"/>
        </w:rPr>
        <w:t xml:space="preserve">still the most practical way to accumulate </w:t>
      </w:r>
      <w:r>
        <w:rPr>
          <w:rFonts w:ascii="Times New Roman" w:hAnsi="Times New Roman" w:cs="Times New Roman"/>
          <w:color w:val="000000" w:themeColor="text1"/>
          <w:sz w:val="24"/>
          <w:szCs w:val="24"/>
        </w:rPr>
        <w:t xml:space="preserve">capital since it </w:t>
      </w:r>
      <w:r w:rsidRPr="00BE53BB">
        <w:rPr>
          <w:rFonts w:ascii="Times New Roman" w:hAnsi="Times New Roman" w:cs="Times New Roman"/>
          <w:color w:val="000000" w:themeColor="text1"/>
          <w:sz w:val="24"/>
          <w:szCs w:val="24"/>
        </w:rPr>
        <w:t xml:space="preserve">is positively </w:t>
      </w:r>
      <w:r>
        <w:rPr>
          <w:rFonts w:ascii="Times New Roman" w:hAnsi="Times New Roman" w:cs="Times New Roman"/>
          <w:color w:val="000000" w:themeColor="text1"/>
          <w:sz w:val="24"/>
          <w:szCs w:val="24"/>
        </w:rPr>
        <w:t xml:space="preserve">and </w:t>
      </w:r>
      <w:r w:rsidRPr="00BE53BB">
        <w:rPr>
          <w:rFonts w:ascii="Times New Roman" w:hAnsi="Times New Roman" w:cs="Times New Roman"/>
          <w:color w:val="000000" w:themeColor="text1"/>
          <w:sz w:val="24"/>
          <w:szCs w:val="24"/>
        </w:rPr>
        <w:t>statistically significant. However, caution should be exercised to guide against plausible damage delay, default and non-payment</w:t>
      </w:r>
      <w:r>
        <w:rPr>
          <w:rFonts w:ascii="Times New Roman" w:hAnsi="Times New Roman" w:cs="Times New Roman"/>
          <w:color w:val="000000" w:themeColor="text1"/>
          <w:sz w:val="24"/>
          <w:szCs w:val="24"/>
        </w:rPr>
        <w:t>, which</w:t>
      </w:r>
      <w:r w:rsidRPr="00BE53BB">
        <w:rPr>
          <w:rFonts w:ascii="Times New Roman" w:hAnsi="Times New Roman" w:cs="Times New Roman"/>
          <w:color w:val="000000" w:themeColor="text1"/>
          <w:sz w:val="24"/>
          <w:szCs w:val="24"/>
        </w:rPr>
        <w:t xml:space="preserve"> could cause negative impact to the loan objective</w:t>
      </w:r>
      <w:r>
        <w:rPr>
          <w:rFonts w:ascii="Times New Roman" w:hAnsi="Times New Roman" w:cs="Times New Roman"/>
          <w:color w:val="000000" w:themeColor="text1"/>
          <w:sz w:val="24"/>
          <w:szCs w:val="24"/>
        </w:rPr>
        <w:t>. Lastly</w:t>
      </w:r>
      <w:r w:rsidRPr="00BE53BB">
        <w:rPr>
          <w:rFonts w:ascii="Times New Roman" w:hAnsi="Times New Roman" w:cs="Times New Roman"/>
          <w:color w:val="000000" w:themeColor="text1"/>
          <w:sz w:val="24"/>
          <w:szCs w:val="24"/>
        </w:rPr>
        <w:t xml:space="preserve">, since the external debt servicing is not sustainable, saving policy should be encouraged such </w:t>
      </w:r>
      <w:r>
        <w:rPr>
          <w:rFonts w:ascii="Times New Roman" w:hAnsi="Times New Roman" w:cs="Times New Roman"/>
          <w:color w:val="000000" w:themeColor="text1"/>
          <w:sz w:val="24"/>
          <w:szCs w:val="24"/>
        </w:rPr>
        <w:t xml:space="preserve">as </w:t>
      </w:r>
      <w:r w:rsidRPr="00BE53BB">
        <w:rPr>
          <w:rFonts w:ascii="Times New Roman" w:hAnsi="Times New Roman" w:cs="Times New Roman"/>
          <w:color w:val="000000" w:themeColor="text1"/>
          <w:sz w:val="24"/>
          <w:szCs w:val="24"/>
        </w:rPr>
        <w:t xml:space="preserve">the </w:t>
      </w:r>
      <w:r w:rsidRPr="00BE53BB">
        <w:rPr>
          <w:rFonts w:ascii="Times New Roman" w:hAnsi="Times New Roman" w:cs="Times New Roman"/>
          <w:color w:val="000000" w:themeColor="text1"/>
          <w:sz w:val="24"/>
          <w:szCs w:val="24"/>
        </w:rPr>
        <w:lastRenderedPageBreak/>
        <w:t>introd</w:t>
      </w:r>
      <w:r>
        <w:rPr>
          <w:rFonts w:ascii="Times New Roman" w:hAnsi="Times New Roman" w:cs="Times New Roman"/>
          <w:color w:val="000000" w:themeColor="text1"/>
          <w:sz w:val="24"/>
          <w:szCs w:val="24"/>
        </w:rPr>
        <w:t>uction of sovereign wealth fund, excess crude account and the likes, where there should be fiscal discipline from government loans.</w:t>
      </w:r>
    </w:p>
    <w:p w14:paraId="02190748" w14:textId="77777777" w:rsidR="008069CE" w:rsidRDefault="008069CE" w:rsidP="008069CE">
      <w:pPr>
        <w:spacing w:line="360" w:lineRule="auto"/>
        <w:jc w:val="both"/>
        <w:rPr>
          <w:rFonts w:ascii="Times New Roman" w:hAnsi="Times New Roman" w:cs="Times New Roman"/>
          <w:color w:val="000000" w:themeColor="text1"/>
          <w:sz w:val="24"/>
          <w:szCs w:val="24"/>
        </w:rPr>
      </w:pPr>
    </w:p>
    <w:p w14:paraId="1538F767" w14:textId="77777777" w:rsidR="008069CE" w:rsidRPr="00270720" w:rsidRDefault="008069CE" w:rsidP="008069CE">
      <w:pPr>
        <w:rPr>
          <w:highlight w:val="yellow"/>
        </w:rPr>
      </w:pPr>
      <w:r w:rsidRPr="00270720">
        <w:rPr>
          <w:highlight w:val="yellow"/>
        </w:rPr>
        <w:t>Disclaimer (Artificial intelligence)</w:t>
      </w:r>
    </w:p>
    <w:p w14:paraId="4577DE45" w14:textId="77777777" w:rsidR="008069CE" w:rsidRPr="00270720" w:rsidRDefault="008069CE" w:rsidP="008069CE">
      <w:pPr>
        <w:rPr>
          <w:highlight w:val="yellow"/>
        </w:rPr>
      </w:pPr>
    </w:p>
    <w:p w14:paraId="2296E239" w14:textId="77777777" w:rsidR="008069CE" w:rsidRPr="00270720" w:rsidRDefault="008069CE" w:rsidP="008069CE">
      <w:pPr>
        <w:rPr>
          <w:highlight w:val="yellow"/>
        </w:rPr>
      </w:pPr>
      <w:r w:rsidRPr="00270720">
        <w:rPr>
          <w:highlight w:val="yellow"/>
        </w:rPr>
        <w:t xml:space="preserve">Option 1: </w:t>
      </w:r>
    </w:p>
    <w:p w14:paraId="1171606E" w14:textId="77777777" w:rsidR="008069CE" w:rsidRPr="00270720" w:rsidRDefault="008069CE" w:rsidP="008069CE">
      <w:pPr>
        <w:rPr>
          <w:highlight w:val="yellow"/>
        </w:rPr>
      </w:pPr>
    </w:p>
    <w:p w14:paraId="458D0685" w14:textId="77777777" w:rsidR="008069CE" w:rsidRPr="00270720" w:rsidRDefault="008069CE" w:rsidP="008069C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E3FFCC0" w14:textId="77777777" w:rsidR="008069CE" w:rsidRPr="00087F67" w:rsidRDefault="008069CE" w:rsidP="008069CE">
      <w:r w:rsidRPr="00087F67">
        <w:t>I affirmed that NO generative AI technologies such as Large Language Models (ChatGPT, COPILOT, etc.) and text-to-image generators have been used during the writing or editing of this manuscript</w:t>
      </w:r>
    </w:p>
    <w:p w14:paraId="4AC7900B" w14:textId="77777777" w:rsidR="008069CE" w:rsidRPr="00087F67" w:rsidRDefault="008069CE" w:rsidP="008069CE">
      <w:pPr>
        <w:spacing w:line="360" w:lineRule="auto"/>
        <w:jc w:val="both"/>
        <w:rPr>
          <w:rFonts w:ascii="Times New Roman" w:hAnsi="Times New Roman" w:cs="Times New Roman"/>
          <w:b/>
          <w:sz w:val="24"/>
          <w:szCs w:val="24"/>
          <w:lang w:val="en-GB"/>
        </w:rPr>
      </w:pPr>
      <w:r w:rsidRPr="00087F67">
        <w:rPr>
          <w:rFonts w:ascii="Times New Roman" w:hAnsi="Times New Roman" w:cs="Times New Roman"/>
          <w:b/>
          <w:sz w:val="24"/>
          <w:szCs w:val="24"/>
          <w:lang w:val="en-GB"/>
        </w:rPr>
        <w:t>References</w:t>
      </w:r>
      <w:r>
        <w:rPr>
          <w:rFonts w:ascii="Times New Roman" w:hAnsi="Times New Roman" w:cs="Times New Roman"/>
          <w:b/>
          <w:sz w:val="24"/>
          <w:szCs w:val="24"/>
          <w:lang w:val="en-GB"/>
        </w:rPr>
        <w:t xml:space="preserve"> </w:t>
      </w:r>
    </w:p>
    <w:p w14:paraId="64EDD1C8"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Adediyan, A. R., &amp; Ehisuoria, O. T. (2022). External aid behavior in the recipient economy: A probit regression for Africa. </w:t>
      </w:r>
      <w:r w:rsidRPr="00465786">
        <w:rPr>
          <w:rFonts w:ascii="Times New Roman" w:eastAsia="Times New Roman" w:hAnsi="Times New Roman" w:cs="Times New Roman"/>
          <w:i/>
          <w:iCs/>
          <w:sz w:val="24"/>
          <w:szCs w:val="24"/>
        </w:rPr>
        <w:t>Journal of Economics &amp; Management, 44</w:t>
      </w:r>
      <w:r w:rsidRPr="00DE5FCB">
        <w:rPr>
          <w:rFonts w:ascii="Times New Roman" w:eastAsia="Times New Roman" w:hAnsi="Times New Roman" w:cs="Times New Roman"/>
          <w:sz w:val="24"/>
          <w:szCs w:val="24"/>
        </w:rPr>
        <w:t xml:space="preserve">(1), 1–18. </w:t>
      </w:r>
      <w:hyperlink r:id="rId8" w:tgtFrame="_new" w:history="1">
        <w:r w:rsidRPr="00465786">
          <w:rPr>
            <w:rFonts w:ascii="Times New Roman" w:eastAsia="Times New Roman" w:hAnsi="Times New Roman" w:cs="Times New Roman"/>
            <w:color w:val="0000FF"/>
            <w:sz w:val="24"/>
            <w:szCs w:val="24"/>
            <w:u w:val="single"/>
          </w:rPr>
          <w:t>https://doi.org/10.22367/jem.2022.44.01</w:t>
        </w:r>
      </w:hyperlink>
    </w:p>
    <w:p w14:paraId="1295D30E"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Adedoyin, O., Babalola, L., Otekunri, P., &amp; Adeoti, O. (2016). Empirical investigation into the impact of external debt on economic growth in Nigeria. </w:t>
      </w:r>
      <w:r w:rsidRPr="00465786">
        <w:rPr>
          <w:rFonts w:ascii="Times New Roman" w:eastAsia="Times New Roman" w:hAnsi="Times New Roman" w:cs="Times New Roman"/>
          <w:i/>
          <w:iCs/>
          <w:sz w:val="24"/>
          <w:szCs w:val="24"/>
        </w:rPr>
        <w:t>International Journal of Current Research, 4</w:t>
      </w:r>
      <w:r w:rsidRPr="00DE5FCB">
        <w:rPr>
          <w:rFonts w:ascii="Times New Roman" w:eastAsia="Times New Roman" w:hAnsi="Times New Roman" w:cs="Times New Roman"/>
          <w:sz w:val="24"/>
          <w:szCs w:val="24"/>
        </w:rPr>
        <w:t>(2), 12–25.</w:t>
      </w:r>
    </w:p>
    <w:p w14:paraId="18CE7B0F"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Agyapong, D., &amp; Bedjabeng, K. A. (2020). External debt stock, foreign direct investment and financial development: Evidence from African economies. </w:t>
      </w:r>
      <w:r w:rsidRPr="00465786">
        <w:rPr>
          <w:rFonts w:ascii="Times New Roman" w:eastAsia="Times New Roman" w:hAnsi="Times New Roman" w:cs="Times New Roman"/>
          <w:i/>
          <w:iCs/>
          <w:sz w:val="24"/>
          <w:szCs w:val="24"/>
        </w:rPr>
        <w:t>Journal of Asian Business and Economic Studies, 27</w:t>
      </w:r>
      <w:r w:rsidRPr="00DE5FCB">
        <w:rPr>
          <w:rFonts w:ascii="Times New Roman" w:eastAsia="Times New Roman" w:hAnsi="Times New Roman" w:cs="Times New Roman"/>
          <w:sz w:val="24"/>
          <w:szCs w:val="24"/>
        </w:rPr>
        <w:t>(1), 81–98.</w:t>
      </w:r>
    </w:p>
    <w:p w14:paraId="4453A00D"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Ajose, K., &amp; Oyedokun, G. E. (2018). Capital formation and economic growth in Nigeria. </w:t>
      </w:r>
      <w:r w:rsidRPr="00465786">
        <w:rPr>
          <w:rFonts w:ascii="Times New Roman" w:eastAsia="Times New Roman" w:hAnsi="Times New Roman" w:cs="Times New Roman"/>
          <w:i/>
          <w:iCs/>
          <w:sz w:val="24"/>
          <w:szCs w:val="24"/>
        </w:rPr>
        <w:t>Accounting and Taxation Review, 2</w:t>
      </w:r>
      <w:r w:rsidRPr="00DE5FCB">
        <w:rPr>
          <w:rFonts w:ascii="Times New Roman" w:eastAsia="Times New Roman" w:hAnsi="Times New Roman" w:cs="Times New Roman"/>
          <w:sz w:val="24"/>
          <w:szCs w:val="24"/>
        </w:rPr>
        <w:t>(2), 131–142.</w:t>
      </w:r>
    </w:p>
    <w:p w14:paraId="572FF600"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Bakare, A. S. (2011). A theoretical analysis of capital formation and growth in Nigeria. </w:t>
      </w:r>
      <w:r w:rsidRPr="00465786">
        <w:rPr>
          <w:rFonts w:ascii="Times New Roman" w:eastAsia="Times New Roman" w:hAnsi="Times New Roman" w:cs="Times New Roman"/>
          <w:i/>
          <w:iCs/>
          <w:sz w:val="24"/>
          <w:szCs w:val="24"/>
        </w:rPr>
        <w:t>Far East Journal of Psychology and Business, 3</w:t>
      </w:r>
      <w:r w:rsidRPr="00DE5FCB">
        <w:rPr>
          <w:rFonts w:ascii="Times New Roman" w:eastAsia="Times New Roman" w:hAnsi="Times New Roman" w:cs="Times New Roman"/>
          <w:sz w:val="24"/>
          <w:szCs w:val="24"/>
        </w:rPr>
        <w:t>(1), 12–24.</w:t>
      </w:r>
    </w:p>
    <w:p w14:paraId="65FD51B0"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Ben-Porath, Y. (1967). The production of human capital and the life cycle of earnings. </w:t>
      </w:r>
      <w:r w:rsidRPr="00465786">
        <w:rPr>
          <w:rFonts w:ascii="Times New Roman" w:eastAsia="Times New Roman" w:hAnsi="Times New Roman" w:cs="Times New Roman"/>
          <w:i/>
          <w:iCs/>
          <w:sz w:val="24"/>
          <w:szCs w:val="24"/>
        </w:rPr>
        <w:t>Journal of Political Economy, 75</w:t>
      </w:r>
      <w:r w:rsidRPr="00DE5FCB">
        <w:rPr>
          <w:rFonts w:ascii="Times New Roman" w:eastAsia="Times New Roman" w:hAnsi="Times New Roman" w:cs="Times New Roman"/>
          <w:sz w:val="24"/>
          <w:szCs w:val="24"/>
        </w:rPr>
        <w:t>(4), 352–365.</w:t>
      </w:r>
    </w:p>
    <w:p w14:paraId="4233B829"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Burhanudin, M. D. A., Muda, R., Nathan, S. B. S., &amp; Arshad, R. (2017). Real effects of government debt on sustainable economic growth in Malaysia. </w:t>
      </w:r>
      <w:r w:rsidRPr="00465786">
        <w:rPr>
          <w:rFonts w:ascii="Times New Roman" w:eastAsia="Times New Roman" w:hAnsi="Times New Roman" w:cs="Times New Roman"/>
          <w:i/>
          <w:iCs/>
          <w:sz w:val="24"/>
          <w:szCs w:val="24"/>
        </w:rPr>
        <w:t>Journal of International Studies, 10</w:t>
      </w:r>
      <w:r w:rsidRPr="00DE5FCB">
        <w:rPr>
          <w:rFonts w:ascii="Times New Roman" w:eastAsia="Times New Roman" w:hAnsi="Times New Roman" w:cs="Times New Roman"/>
          <w:sz w:val="24"/>
          <w:szCs w:val="24"/>
        </w:rPr>
        <w:t>(3), 148–163.</w:t>
      </w:r>
    </w:p>
    <w:p w14:paraId="552CD3F6"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Central Bank of Nigeria (CBN). (2020). </w:t>
      </w:r>
      <w:r w:rsidRPr="00465786">
        <w:rPr>
          <w:rFonts w:ascii="Times New Roman" w:eastAsia="Times New Roman" w:hAnsi="Times New Roman" w:cs="Times New Roman"/>
          <w:i/>
          <w:iCs/>
          <w:sz w:val="24"/>
          <w:szCs w:val="24"/>
        </w:rPr>
        <w:t>Annual statistical bulletin</w:t>
      </w:r>
      <w:r w:rsidRPr="00DE5FCB">
        <w:rPr>
          <w:rFonts w:ascii="Times New Roman" w:eastAsia="Times New Roman" w:hAnsi="Times New Roman" w:cs="Times New Roman"/>
          <w:sz w:val="24"/>
          <w:szCs w:val="24"/>
        </w:rPr>
        <w:t xml:space="preserve">. </w:t>
      </w:r>
      <w:hyperlink r:id="rId9" w:tgtFrame="_new" w:history="1">
        <w:r w:rsidRPr="00465786">
          <w:rPr>
            <w:rFonts w:ascii="Times New Roman" w:eastAsia="Times New Roman" w:hAnsi="Times New Roman" w:cs="Times New Roman"/>
            <w:color w:val="0000FF"/>
            <w:sz w:val="24"/>
            <w:szCs w:val="24"/>
            <w:u w:val="single"/>
          </w:rPr>
          <w:t>https://www.cbn.gov.ng/documents/Statbulletin.asp</w:t>
        </w:r>
      </w:hyperlink>
    </w:p>
    <w:p w14:paraId="33CC60C1"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lastRenderedPageBreak/>
        <w:t xml:space="preserve">Checherita, C., &amp; Rother, P. (2019). The impact of high and growing government debt on economic growth: An empirical investigation for the Euro Area. </w:t>
      </w:r>
      <w:r w:rsidRPr="00465786">
        <w:rPr>
          <w:rFonts w:ascii="Times New Roman" w:eastAsia="Times New Roman" w:hAnsi="Times New Roman" w:cs="Times New Roman"/>
          <w:i/>
          <w:iCs/>
          <w:sz w:val="24"/>
          <w:szCs w:val="24"/>
        </w:rPr>
        <w:t>ECB Working Paper Series, 1237</w:t>
      </w:r>
      <w:r w:rsidRPr="00DE5FCB">
        <w:rPr>
          <w:rFonts w:ascii="Times New Roman" w:eastAsia="Times New Roman" w:hAnsi="Times New Roman" w:cs="Times New Roman"/>
          <w:sz w:val="24"/>
          <w:szCs w:val="24"/>
        </w:rPr>
        <w:t>. European Central Bank.</w:t>
      </w:r>
    </w:p>
    <w:p w14:paraId="42A8A487"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Chenery, H. B., &amp; Strout, A. (1966). Foreign assistance and economic development. </w:t>
      </w:r>
      <w:r w:rsidRPr="00465786">
        <w:rPr>
          <w:rFonts w:ascii="Times New Roman" w:eastAsia="Times New Roman" w:hAnsi="Times New Roman" w:cs="Times New Roman"/>
          <w:i/>
          <w:iCs/>
          <w:sz w:val="24"/>
          <w:szCs w:val="24"/>
        </w:rPr>
        <w:t>American Economic Review, 56</w:t>
      </w:r>
      <w:r w:rsidRPr="00DE5FCB">
        <w:rPr>
          <w:rFonts w:ascii="Times New Roman" w:eastAsia="Times New Roman" w:hAnsi="Times New Roman" w:cs="Times New Roman"/>
          <w:sz w:val="24"/>
          <w:szCs w:val="24"/>
        </w:rPr>
        <w:t>(10), 679–733.</w:t>
      </w:r>
    </w:p>
    <w:p w14:paraId="5ABCB5C5"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Chowdhury, K. (1994). A structural analysis of external debt and economic growth: Some evidence from selected countries in Asia and Pacific. </w:t>
      </w:r>
      <w:r w:rsidRPr="00465786">
        <w:rPr>
          <w:rFonts w:ascii="Times New Roman" w:eastAsia="Times New Roman" w:hAnsi="Times New Roman" w:cs="Times New Roman"/>
          <w:i/>
          <w:iCs/>
          <w:sz w:val="24"/>
          <w:szCs w:val="24"/>
        </w:rPr>
        <w:t>Applied Economics, 26</w:t>
      </w:r>
      <w:r w:rsidRPr="00DE5FCB">
        <w:rPr>
          <w:rFonts w:ascii="Times New Roman" w:eastAsia="Times New Roman" w:hAnsi="Times New Roman" w:cs="Times New Roman"/>
          <w:sz w:val="24"/>
          <w:szCs w:val="24"/>
        </w:rPr>
        <w:t>(12), 1121–1131.</w:t>
      </w:r>
    </w:p>
    <w:p w14:paraId="14962188"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Debt Management Office (DMO). (2020). External debt (% of GDP). </w:t>
      </w:r>
      <w:hyperlink r:id="rId10" w:tgtFrame="_new" w:history="1">
        <w:r w:rsidRPr="00465786">
          <w:rPr>
            <w:rFonts w:ascii="Times New Roman" w:eastAsia="Times New Roman" w:hAnsi="Times New Roman" w:cs="Times New Roman"/>
            <w:color w:val="0000FF"/>
            <w:sz w:val="24"/>
            <w:szCs w:val="24"/>
            <w:u w:val="single"/>
          </w:rPr>
          <w:t>https://www.focuseconomics.com/economic-indicator/external-de</w:t>
        </w:r>
      </w:hyperlink>
    </w:p>
    <w:p w14:paraId="5E912583"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Dickey, D. A., &amp; Fuller, W. A. (1979). Distribution of the estimators for autoregressive time series with a unit root. </w:t>
      </w:r>
      <w:r w:rsidRPr="00465786">
        <w:rPr>
          <w:rFonts w:ascii="Times New Roman" w:eastAsia="Times New Roman" w:hAnsi="Times New Roman" w:cs="Times New Roman"/>
          <w:i/>
          <w:iCs/>
          <w:sz w:val="24"/>
          <w:szCs w:val="24"/>
        </w:rPr>
        <w:t>Journal of the American Statistical Association, 74</w:t>
      </w:r>
      <w:r w:rsidRPr="00DE5FCB">
        <w:rPr>
          <w:rFonts w:ascii="Times New Roman" w:eastAsia="Times New Roman" w:hAnsi="Times New Roman" w:cs="Times New Roman"/>
          <w:sz w:val="24"/>
          <w:szCs w:val="24"/>
        </w:rPr>
        <w:t>(366), 427–431.</w:t>
      </w:r>
    </w:p>
    <w:p w14:paraId="0158FAE5"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Egbetunde, T. (2015). Public debt and economic growth in Nigeria: Evidence from Granger causality. </w:t>
      </w:r>
      <w:r w:rsidRPr="00465786">
        <w:rPr>
          <w:rFonts w:ascii="Times New Roman" w:eastAsia="Times New Roman" w:hAnsi="Times New Roman" w:cs="Times New Roman"/>
          <w:i/>
          <w:iCs/>
          <w:sz w:val="24"/>
          <w:szCs w:val="24"/>
        </w:rPr>
        <w:t>American Journal of Economics, 2</w:t>
      </w:r>
      <w:r w:rsidRPr="00DE5FCB">
        <w:rPr>
          <w:rFonts w:ascii="Times New Roman" w:eastAsia="Times New Roman" w:hAnsi="Times New Roman" w:cs="Times New Roman"/>
          <w:sz w:val="24"/>
          <w:szCs w:val="24"/>
        </w:rPr>
        <w:t xml:space="preserve">(6), 101–106. </w:t>
      </w:r>
      <w:hyperlink r:id="rId11" w:tgtFrame="_new" w:history="1">
        <w:r w:rsidRPr="00465786">
          <w:rPr>
            <w:rFonts w:ascii="Times New Roman" w:eastAsia="Times New Roman" w:hAnsi="Times New Roman" w:cs="Times New Roman"/>
            <w:color w:val="0000FF"/>
            <w:sz w:val="24"/>
            <w:szCs w:val="24"/>
            <w:u w:val="single"/>
          </w:rPr>
          <w:t>https://doi.org/10.5923/j.economics.20120206.02</w:t>
        </w:r>
      </w:hyperlink>
    </w:p>
    <w:p w14:paraId="4D9DD0AC"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Egbe, I. S., Onuora, U. R., Iteh, A. A., &amp; Onyeanu, E. O. (2021). Effect of economic variables on the financial performance of listed firms in Nigeria. </w:t>
      </w:r>
      <w:r w:rsidRPr="00465786">
        <w:rPr>
          <w:rFonts w:ascii="Times New Roman" w:eastAsia="Times New Roman" w:hAnsi="Times New Roman" w:cs="Times New Roman"/>
          <w:i/>
          <w:iCs/>
          <w:sz w:val="24"/>
          <w:szCs w:val="24"/>
        </w:rPr>
        <w:t>Universal Journal of Accounting and Finance, 9</w:t>
      </w:r>
      <w:r w:rsidRPr="00DE5FCB">
        <w:rPr>
          <w:rFonts w:ascii="Times New Roman" w:eastAsia="Times New Roman" w:hAnsi="Times New Roman" w:cs="Times New Roman"/>
          <w:sz w:val="24"/>
          <w:szCs w:val="24"/>
        </w:rPr>
        <w:t>(6), 1235–1246.</w:t>
      </w:r>
    </w:p>
    <w:p w14:paraId="3A5B3A24"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Elwasila, S. E. M. (2018). Effect of external debt on economic growth of Sudan: Empirical analysis. </w:t>
      </w:r>
      <w:r w:rsidRPr="00465786">
        <w:rPr>
          <w:rFonts w:ascii="Times New Roman" w:eastAsia="Times New Roman" w:hAnsi="Times New Roman" w:cs="Times New Roman"/>
          <w:i/>
          <w:iCs/>
          <w:sz w:val="24"/>
          <w:szCs w:val="24"/>
        </w:rPr>
        <w:t>Journal of Economic Cooperation and Development, 39</w:t>
      </w:r>
      <w:r w:rsidRPr="00DE5FCB">
        <w:rPr>
          <w:rFonts w:ascii="Times New Roman" w:eastAsia="Times New Roman" w:hAnsi="Times New Roman" w:cs="Times New Roman"/>
          <w:sz w:val="24"/>
          <w:szCs w:val="24"/>
        </w:rPr>
        <w:t>(1), 39–62.</w:t>
      </w:r>
    </w:p>
    <w:p w14:paraId="58D24C58"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Engle, R. F., &amp; Granger, C. W. (1987). Co-integration and error correction: Representation, estimation, and testing. </w:t>
      </w:r>
      <w:r w:rsidRPr="00465786">
        <w:rPr>
          <w:rFonts w:ascii="Times New Roman" w:eastAsia="Times New Roman" w:hAnsi="Times New Roman" w:cs="Times New Roman"/>
          <w:i/>
          <w:iCs/>
          <w:sz w:val="24"/>
          <w:szCs w:val="24"/>
        </w:rPr>
        <w:t>Econometrica, 55</w:t>
      </w:r>
      <w:r w:rsidRPr="00DE5FCB">
        <w:rPr>
          <w:rFonts w:ascii="Times New Roman" w:eastAsia="Times New Roman" w:hAnsi="Times New Roman" w:cs="Times New Roman"/>
          <w:sz w:val="24"/>
          <w:szCs w:val="24"/>
        </w:rPr>
        <w:t>(2), 251–276.</w:t>
      </w:r>
    </w:p>
    <w:p w14:paraId="16C7C0EF"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Eravwoke, K. E., &amp; Oyovwi, D. O. (2013). External debt burden and its impact on growth: An assessment of major macroeconomic variables in Nigeria. </w:t>
      </w:r>
      <w:r w:rsidRPr="00465786">
        <w:rPr>
          <w:rFonts w:ascii="Times New Roman" w:eastAsia="Times New Roman" w:hAnsi="Times New Roman" w:cs="Times New Roman"/>
          <w:i/>
          <w:iCs/>
          <w:sz w:val="24"/>
          <w:szCs w:val="24"/>
        </w:rPr>
        <w:t>Academic Journal of Interdisciplinary Studies, 2</w:t>
      </w:r>
      <w:r w:rsidRPr="00DE5FCB">
        <w:rPr>
          <w:rFonts w:ascii="Times New Roman" w:eastAsia="Times New Roman" w:hAnsi="Times New Roman" w:cs="Times New Roman"/>
          <w:sz w:val="24"/>
          <w:szCs w:val="24"/>
        </w:rPr>
        <w:t>(2), 201–211.</w:t>
      </w:r>
    </w:p>
    <w:p w14:paraId="0841590F"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Faraji, K., &amp; Makame, A. (2013). Impact of external debt on economic growth: A case study of Tanzania. </w:t>
      </w:r>
      <w:r w:rsidRPr="00465786">
        <w:rPr>
          <w:rFonts w:ascii="Times New Roman" w:eastAsia="Times New Roman" w:hAnsi="Times New Roman" w:cs="Times New Roman"/>
          <w:i/>
          <w:iCs/>
          <w:sz w:val="24"/>
          <w:szCs w:val="24"/>
        </w:rPr>
        <w:t>Advances in Management and Applied Economics, 3</w:t>
      </w:r>
      <w:r w:rsidRPr="00DE5FCB">
        <w:rPr>
          <w:rFonts w:ascii="Times New Roman" w:eastAsia="Times New Roman" w:hAnsi="Times New Roman" w:cs="Times New Roman"/>
          <w:sz w:val="24"/>
          <w:szCs w:val="24"/>
        </w:rPr>
        <w:t>(4), 59–82.</w:t>
      </w:r>
    </w:p>
    <w:p w14:paraId="4E024BD2"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Forgha, N. G., Mbella, M. E., &amp; Ngangnchi, F. H. (2014). External debt, domestic investment and economic growth in Cameroon: A system estimation approach. </w:t>
      </w:r>
      <w:r w:rsidRPr="00465786">
        <w:rPr>
          <w:rFonts w:ascii="Times New Roman" w:eastAsia="Times New Roman" w:hAnsi="Times New Roman" w:cs="Times New Roman"/>
          <w:i/>
          <w:iCs/>
          <w:sz w:val="24"/>
          <w:szCs w:val="24"/>
        </w:rPr>
        <w:t>Journal of Economics Bibliography, 1</w:t>
      </w:r>
      <w:r w:rsidRPr="00DE5FCB">
        <w:rPr>
          <w:rFonts w:ascii="Times New Roman" w:eastAsia="Times New Roman" w:hAnsi="Times New Roman" w:cs="Times New Roman"/>
          <w:sz w:val="24"/>
          <w:szCs w:val="24"/>
        </w:rPr>
        <w:t xml:space="preserve">(1), 3–16. </w:t>
      </w:r>
      <w:hyperlink r:id="rId12" w:tgtFrame="_new" w:history="1">
        <w:r w:rsidRPr="00465786">
          <w:rPr>
            <w:rFonts w:ascii="Times New Roman" w:eastAsia="Times New Roman" w:hAnsi="Times New Roman" w:cs="Times New Roman"/>
            <w:color w:val="0000FF"/>
            <w:sz w:val="24"/>
            <w:szCs w:val="24"/>
            <w:u w:val="single"/>
          </w:rPr>
          <w:t>https://doi.org/10.1453/jeb.v1i1.161</w:t>
        </w:r>
      </w:hyperlink>
    </w:p>
    <w:p w14:paraId="49239A0B"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Granger, C. W. (1981). Some properties of time series data and their use in econometric model specification. </w:t>
      </w:r>
      <w:r w:rsidRPr="00465786">
        <w:rPr>
          <w:rFonts w:ascii="Times New Roman" w:eastAsia="Times New Roman" w:hAnsi="Times New Roman" w:cs="Times New Roman"/>
          <w:i/>
          <w:iCs/>
          <w:sz w:val="24"/>
          <w:szCs w:val="24"/>
        </w:rPr>
        <w:t>Journal of Econometrics, 16</w:t>
      </w:r>
      <w:r w:rsidRPr="00DE5FCB">
        <w:rPr>
          <w:rFonts w:ascii="Times New Roman" w:eastAsia="Times New Roman" w:hAnsi="Times New Roman" w:cs="Times New Roman"/>
          <w:sz w:val="24"/>
          <w:szCs w:val="24"/>
        </w:rPr>
        <w:t>(1), 121–130.</w:t>
      </w:r>
    </w:p>
    <w:p w14:paraId="75D98144"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Hameed, A., Ashraf, H., &amp; Chaudhary, M. A. (2008). External debt and its impact on economic and business growth in Pakistan. </w:t>
      </w:r>
      <w:r w:rsidRPr="00465786">
        <w:rPr>
          <w:rFonts w:ascii="Times New Roman" w:eastAsia="Times New Roman" w:hAnsi="Times New Roman" w:cs="Times New Roman"/>
          <w:i/>
          <w:iCs/>
          <w:sz w:val="24"/>
          <w:szCs w:val="24"/>
        </w:rPr>
        <w:t>International Research Journal of Finance and Economics, 20</w:t>
      </w:r>
      <w:r w:rsidRPr="00DE5FCB">
        <w:rPr>
          <w:rFonts w:ascii="Times New Roman" w:eastAsia="Times New Roman" w:hAnsi="Times New Roman" w:cs="Times New Roman"/>
          <w:sz w:val="24"/>
          <w:szCs w:val="24"/>
        </w:rPr>
        <w:t>(1), 132–140.</w:t>
      </w:r>
    </w:p>
    <w:p w14:paraId="344115C6"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lastRenderedPageBreak/>
        <w:t xml:space="preserve">Huay, C. S., Winterton, J., Bani, Y., &amp; Matemilola, B. T. (2019). Do remittances promote human development? Empirical evidence from developing countries. </w:t>
      </w:r>
      <w:r w:rsidRPr="00465786">
        <w:rPr>
          <w:rFonts w:ascii="Times New Roman" w:eastAsia="Times New Roman" w:hAnsi="Times New Roman" w:cs="Times New Roman"/>
          <w:i/>
          <w:iCs/>
          <w:sz w:val="24"/>
          <w:szCs w:val="24"/>
        </w:rPr>
        <w:t>International Journal of Social Economics, 46</w:t>
      </w:r>
      <w:r w:rsidRPr="00DE5FCB">
        <w:rPr>
          <w:rFonts w:ascii="Times New Roman" w:eastAsia="Times New Roman" w:hAnsi="Times New Roman" w:cs="Times New Roman"/>
          <w:sz w:val="24"/>
          <w:szCs w:val="24"/>
        </w:rPr>
        <w:t>(10), 1173–1185.</w:t>
      </w:r>
    </w:p>
    <w:p w14:paraId="3FED2160"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Hunt, S. D. (2007). Economic growth: Should policy focus on investment or dynamic competition? </w:t>
      </w:r>
      <w:r w:rsidRPr="00465786">
        <w:rPr>
          <w:rFonts w:ascii="Times New Roman" w:eastAsia="Times New Roman" w:hAnsi="Times New Roman" w:cs="Times New Roman"/>
          <w:i/>
          <w:iCs/>
          <w:sz w:val="24"/>
          <w:szCs w:val="24"/>
        </w:rPr>
        <w:t>European Business Review, 19</w:t>
      </w:r>
      <w:r w:rsidRPr="00DE5FCB">
        <w:rPr>
          <w:rFonts w:ascii="Times New Roman" w:eastAsia="Times New Roman" w:hAnsi="Times New Roman" w:cs="Times New Roman"/>
          <w:sz w:val="24"/>
          <w:szCs w:val="24"/>
        </w:rPr>
        <w:t>(4), 279–291.</w:t>
      </w:r>
    </w:p>
    <w:p w14:paraId="07262E8E"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Ijoko, A. O., Magaji, S., &amp; Gombe, B. M. (2022). Impact of public expenditure on health services delivery in the Federal Capital Territory, Nigeria. </w:t>
      </w:r>
      <w:r w:rsidRPr="00465786">
        <w:rPr>
          <w:rFonts w:ascii="Times New Roman" w:eastAsia="Times New Roman" w:hAnsi="Times New Roman" w:cs="Times New Roman"/>
          <w:i/>
          <w:iCs/>
          <w:sz w:val="24"/>
          <w:szCs w:val="24"/>
        </w:rPr>
        <w:t>Kebbi Journal of Economics and Social Sciences (KJESS), 4</w:t>
      </w:r>
      <w:r w:rsidRPr="00DE5FCB">
        <w:rPr>
          <w:rFonts w:ascii="Times New Roman" w:eastAsia="Times New Roman" w:hAnsi="Times New Roman" w:cs="Times New Roman"/>
          <w:sz w:val="24"/>
          <w:szCs w:val="24"/>
        </w:rPr>
        <w:t>(2), 67–74.</w:t>
      </w:r>
    </w:p>
    <w:p w14:paraId="5ED4A66C"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Im, K. S., Pesaran, M. H., &amp; Shin, Y. (2003). Testing for unit roots in heterogeneous panels. </w:t>
      </w:r>
      <w:r w:rsidRPr="00465786">
        <w:rPr>
          <w:rFonts w:ascii="Times New Roman" w:eastAsia="Times New Roman" w:hAnsi="Times New Roman" w:cs="Times New Roman"/>
          <w:i/>
          <w:iCs/>
          <w:sz w:val="24"/>
          <w:szCs w:val="24"/>
        </w:rPr>
        <w:t>Journal of Econometrics, 115</w:t>
      </w:r>
      <w:r w:rsidRPr="00DE5FCB">
        <w:rPr>
          <w:rFonts w:ascii="Times New Roman" w:eastAsia="Times New Roman" w:hAnsi="Times New Roman" w:cs="Times New Roman"/>
          <w:sz w:val="24"/>
          <w:szCs w:val="24"/>
        </w:rPr>
        <w:t>(1), 53–74.</w:t>
      </w:r>
    </w:p>
    <w:p w14:paraId="1F0156DA"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Iteh, A. A., &amp; Oyeanu, E. (2021). Impact of external debt on economic growth in Nigeria. </w:t>
      </w:r>
      <w:r w:rsidRPr="00465786">
        <w:rPr>
          <w:rFonts w:ascii="Times New Roman" w:eastAsia="Times New Roman" w:hAnsi="Times New Roman" w:cs="Times New Roman"/>
          <w:i/>
          <w:iCs/>
          <w:sz w:val="24"/>
          <w:szCs w:val="24"/>
        </w:rPr>
        <w:t>International Journal of Mechanical Engineering and Technology, 12</w:t>
      </w:r>
      <w:r w:rsidRPr="00DE5FCB">
        <w:rPr>
          <w:rFonts w:ascii="Times New Roman" w:eastAsia="Times New Roman" w:hAnsi="Times New Roman" w:cs="Times New Roman"/>
          <w:sz w:val="24"/>
          <w:szCs w:val="24"/>
        </w:rPr>
        <w:t xml:space="preserve">(7), 49–57. </w:t>
      </w:r>
      <w:hyperlink r:id="rId13" w:tgtFrame="_new" w:history="1">
        <w:r w:rsidRPr="00465786">
          <w:rPr>
            <w:rFonts w:ascii="Times New Roman" w:eastAsia="Times New Roman" w:hAnsi="Times New Roman" w:cs="Times New Roman"/>
            <w:color w:val="0000FF"/>
            <w:sz w:val="24"/>
            <w:szCs w:val="24"/>
            <w:u w:val="single"/>
          </w:rPr>
          <w:t>https://doi.org/10.34218/IJMET.12.7.2021.007</w:t>
        </w:r>
      </w:hyperlink>
    </w:p>
    <w:p w14:paraId="116DA5F7"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Jacob, T. H., &amp; Sule, H. (2022). Impact of external debt on economic growth in Nigeria (1986–2019). </w:t>
      </w:r>
      <w:r w:rsidRPr="00465786">
        <w:rPr>
          <w:rFonts w:ascii="Times New Roman" w:eastAsia="Times New Roman" w:hAnsi="Times New Roman" w:cs="Times New Roman"/>
          <w:i/>
          <w:iCs/>
          <w:sz w:val="24"/>
          <w:szCs w:val="24"/>
        </w:rPr>
        <w:t>American Journal of Economics and Business Innovation, 1</w:t>
      </w:r>
      <w:r w:rsidRPr="00DE5FCB">
        <w:rPr>
          <w:rFonts w:ascii="Times New Roman" w:eastAsia="Times New Roman" w:hAnsi="Times New Roman" w:cs="Times New Roman"/>
          <w:sz w:val="24"/>
          <w:szCs w:val="24"/>
        </w:rPr>
        <w:t xml:space="preserve">(3), 55–72. </w:t>
      </w:r>
      <w:hyperlink r:id="rId14" w:tgtFrame="_new" w:history="1">
        <w:r w:rsidRPr="00465786">
          <w:rPr>
            <w:rFonts w:ascii="Times New Roman" w:eastAsia="Times New Roman" w:hAnsi="Times New Roman" w:cs="Times New Roman"/>
            <w:color w:val="0000FF"/>
            <w:sz w:val="24"/>
            <w:szCs w:val="24"/>
            <w:u w:val="single"/>
          </w:rPr>
          <w:t>https://doi.org/10.54536/ajebi.v1i3.570</w:t>
        </w:r>
      </w:hyperlink>
    </w:p>
    <w:p w14:paraId="3684B41F"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Kandil, M. (2004). Exchange rate fluctuations and economic activity in developing countries: Theory and evidence. </w:t>
      </w:r>
      <w:r w:rsidRPr="00465786">
        <w:rPr>
          <w:rFonts w:ascii="Times New Roman" w:eastAsia="Times New Roman" w:hAnsi="Times New Roman" w:cs="Times New Roman"/>
          <w:i/>
          <w:iCs/>
          <w:sz w:val="24"/>
          <w:szCs w:val="24"/>
        </w:rPr>
        <w:t>Journal of Economic Development, 29</w:t>
      </w:r>
      <w:r w:rsidRPr="00DE5FCB">
        <w:rPr>
          <w:rFonts w:ascii="Times New Roman" w:eastAsia="Times New Roman" w:hAnsi="Times New Roman" w:cs="Times New Roman"/>
          <w:sz w:val="24"/>
          <w:szCs w:val="24"/>
        </w:rPr>
        <w:t>(1), 85–108.</w:t>
      </w:r>
    </w:p>
    <w:p w14:paraId="1BFED65E"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Levin, A., Lin, C. F., &amp; Chu, C. S. J. (2002). Unit root tests in panel data: Asymptotic and finite-sample properties. </w:t>
      </w:r>
      <w:r w:rsidRPr="00465786">
        <w:rPr>
          <w:rFonts w:ascii="Times New Roman" w:eastAsia="Times New Roman" w:hAnsi="Times New Roman" w:cs="Times New Roman"/>
          <w:i/>
          <w:iCs/>
          <w:sz w:val="24"/>
          <w:szCs w:val="24"/>
        </w:rPr>
        <w:t>Journal of Econometrics, 108</w:t>
      </w:r>
      <w:r w:rsidRPr="00DE5FCB">
        <w:rPr>
          <w:rFonts w:ascii="Times New Roman" w:eastAsia="Times New Roman" w:hAnsi="Times New Roman" w:cs="Times New Roman"/>
          <w:sz w:val="24"/>
          <w:szCs w:val="24"/>
        </w:rPr>
        <w:t>(1), 1–24.</w:t>
      </w:r>
    </w:p>
    <w:p w14:paraId="1A72841B"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Lucky, A. L., &amp; Uzah, C. K. (2016). Determinants of capital formation in Nigeria: A test of Jhingan’s proposition (1981–2014). </w:t>
      </w:r>
      <w:r w:rsidRPr="00465786">
        <w:rPr>
          <w:rFonts w:ascii="Times New Roman" w:eastAsia="Times New Roman" w:hAnsi="Times New Roman" w:cs="Times New Roman"/>
          <w:i/>
          <w:iCs/>
          <w:sz w:val="24"/>
          <w:szCs w:val="24"/>
        </w:rPr>
        <w:t>International Journal of Banking and Finance Research, 2</w:t>
      </w:r>
      <w:r w:rsidRPr="00DE5FCB">
        <w:rPr>
          <w:rFonts w:ascii="Times New Roman" w:eastAsia="Times New Roman" w:hAnsi="Times New Roman" w:cs="Times New Roman"/>
          <w:sz w:val="24"/>
          <w:szCs w:val="24"/>
        </w:rPr>
        <w:t>(1), 1–19.</w:t>
      </w:r>
    </w:p>
    <w:p w14:paraId="3642BCE0"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Matandare, M. A., &amp; Tito, J. (2018). Public debt and economic growth nexus in Zimbabwe. </w:t>
      </w:r>
      <w:r w:rsidRPr="00465786">
        <w:rPr>
          <w:rFonts w:ascii="Times New Roman" w:eastAsia="Times New Roman" w:hAnsi="Times New Roman" w:cs="Times New Roman"/>
          <w:i/>
          <w:iCs/>
          <w:sz w:val="24"/>
          <w:szCs w:val="24"/>
        </w:rPr>
        <w:t>Journal of Economics and Sustainable Development, 9</w:t>
      </w:r>
      <w:r w:rsidRPr="00DE5FCB">
        <w:rPr>
          <w:rFonts w:ascii="Times New Roman" w:eastAsia="Times New Roman" w:hAnsi="Times New Roman" w:cs="Times New Roman"/>
          <w:sz w:val="24"/>
          <w:szCs w:val="24"/>
        </w:rPr>
        <w:t>(2), 1–10.</w:t>
      </w:r>
    </w:p>
    <w:p w14:paraId="3954B8A3"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Matuka, A., &amp; Asafo, S. S. (2021). Effects of services on economic growth in Albania: An ARDL approach. </w:t>
      </w:r>
      <w:r w:rsidRPr="00465786">
        <w:rPr>
          <w:rFonts w:ascii="Times New Roman" w:eastAsia="Times New Roman" w:hAnsi="Times New Roman" w:cs="Times New Roman"/>
          <w:i/>
          <w:iCs/>
          <w:sz w:val="24"/>
          <w:szCs w:val="24"/>
        </w:rPr>
        <w:t>Journal of International Trade &amp; Economic Development, 30</w:t>
      </w:r>
      <w:r w:rsidRPr="00DE5FCB">
        <w:rPr>
          <w:rFonts w:ascii="Times New Roman" w:eastAsia="Times New Roman" w:hAnsi="Times New Roman" w:cs="Times New Roman"/>
          <w:sz w:val="24"/>
          <w:szCs w:val="24"/>
        </w:rPr>
        <w:t>(6), 856–881.</w:t>
      </w:r>
    </w:p>
    <w:p w14:paraId="023C2833"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McKinnon, R. I. (1964). Foreign exchange constraints in economic development and efficient aid allocation. </w:t>
      </w:r>
      <w:r w:rsidRPr="00465786">
        <w:rPr>
          <w:rFonts w:ascii="Times New Roman" w:eastAsia="Times New Roman" w:hAnsi="Times New Roman" w:cs="Times New Roman"/>
          <w:i/>
          <w:iCs/>
          <w:sz w:val="24"/>
          <w:szCs w:val="24"/>
        </w:rPr>
        <w:t>The Economic Journal, 74</w:t>
      </w:r>
      <w:r w:rsidRPr="00DE5FCB">
        <w:rPr>
          <w:rFonts w:ascii="Times New Roman" w:eastAsia="Times New Roman" w:hAnsi="Times New Roman" w:cs="Times New Roman"/>
          <w:sz w:val="24"/>
          <w:szCs w:val="24"/>
        </w:rPr>
        <w:t>(294), 388–409.</w:t>
      </w:r>
    </w:p>
    <w:p w14:paraId="58DEDDFB"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Ndubuaku, V. C., Uche, M. U., Onwuka, C. C., &amp; Ifeanyi, P. O. (2021). External debt dynamics and sustainable growth in Nigeria. </w:t>
      </w:r>
      <w:r w:rsidRPr="00465786">
        <w:rPr>
          <w:rFonts w:ascii="Times New Roman" w:eastAsia="Times New Roman" w:hAnsi="Times New Roman" w:cs="Times New Roman"/>
          <w:i/>
          <w:iCs/>
          <w:sz w:val="24"/>
          <w:szCs w:val="24"/>
        </w:rPr>
        <w:t>International Journal of Sustainable Development &amp; World Policy, 10</w:t>
      </w:r>
      <w:r w:rsidRPr="00DE5FCB">
        <w:rPr>
          <w:rFonts w:ascii="Times New Roman" w:eastAsia="Times New Roman" w:hAnsi="Times New Roman" w:cs="Times New Roman"/>
          <w:sz w:val="24"/>
          <w:szCs w:val="24"/>
        </w:rPr>
        <w:t xml:space="preserve">(2), 51–63. </w:t>
      </w:r>
      <w:hyperlink r:id="rId15" w:tgtFrame="_new" w:history="1">
        <w:r w:rsidRPr="00465786">
          <w:rPr>
            <w:rFonts w:ascii="Times New Roman" w:eastAsia="Times New Roman" w:hAnsi="Times New Roman" w:cs="Times New Roman"/>
            <w:color w:val="0000FF"/>
            <w:sz w:val="24"/>
            <w:szCs w:val="24"/>
            <w:u w:val="single"/>
          </w:rPr>
          <w:t>https://doi.org/10.18488/journal.26.2021.102.51.63</w:t>
        </w:r>
      </w:hyperlink>
    </w:p>
    <w:p w14:paraId="78F6BB87"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Ndubuisi, P. (2019). Analysis of the impact of external debt on economic growth in an emerging economy: Evidence from Nigeria. </w:t>
      </w:r>
      <w:r w:rsidRPr="00465786">
        <w:rPr>
          <w:rFonts w:ascii="Times New Roman" w:eastAsia="Times New Roman" w:hAnsi="Times New Roman" w:cs="Times New Roman"/>
          <w:i/>
          <w:iCs/>
          <w:sz w:val="24"/>
          <w:szCs w:val="24"/>
        </w:rPr>
        <w:t>Ethiopian Journal of the Social Sciences and Humanities, 11</w:t>
      </w:r>
      <w:r w:rsidRPr="00DE5FCB">
        <w:rPr>
          <w:rFonts w:ascii="Times New Roman" w:eastAsia="Times New Roman" w:hAnsi="Times New Roman" w:cs="Times New Roman"/>
          <w:sz w:val="24"/>
          <w:szCs w:val="24"/>
        </w:rPr>
        <w:t>(48), 156–173.</w:t>
      </w:r>
    </w:p>
    <w:p w14:paraId="2C85169E"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lastRenderedPageBreak/>
        <w:t xml:space="preserve">Nwagwu, E. J. (2014). The new contributory pension scheme and prompt and regular payment of pension benefits to pensioners in Nigeria. </w:t>
      </w:r>
      <w:r w:rsidRPr="00465786">
        <w:rPr>
          <w:rFonts w:ascii="Times New Roman" w:eastAsia="Times New Roman" w:hAnsi="Times New Roman" w:cs="Times New Roman"/>
          <w:i/>
          <w:iCs/>
          <w:sz w:val="24"/>
          <w:szCs w:val="24"/>
        </w:rPr>
        <w:t>International Journal of Research in Arts and Social Sciences, 5</w:t>
      </w:r>
      <w:r w:rsidRPr="00DE5FCB">
        <w:rPr>
          <w:rFonts w:ascii="Times New Roman" w:eastAsia="Times New Roman" w:hAnsi="Times New Roman" w:cs="Times New Roman"/>
          <w:sz w:val="24"/>
          <w:szCs w:val="24"/>
        </w:rPr>
        <w:t>(1), 101–110.</w:t>
      </w:r>
    </w:p>
    <w:p w14:paraId="08C16685"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Odo, S. I., Igberi, C. O., Udude, C. C., &amp; Anoke, C. I. (2016). Public expenditure and economic growth: Evidence from Nigeria and South Africa. </w:t>
      </w:r>
      <w:r w:rsidRPr="00465786">
        <w:rPr>
          <w:rFonts w:ascii="Times New Roman" w:eastAsia="Times New Roman" w:hAnsi="Times New Roman" w:cs="Times New Roman"/>
          <w:i/>
          <w:iCs/>
          <w:sz w:val="24"/>
          <w:szCs w:val="24"/>
        </w:rPr>
        <w:t>International Journal of Research in Management, Economics and Commerce, 6</w:t>
      </w:r>
      <w:r w:rsidRPr="00DE5FCB">
        <w:rPr>
          <w:rFonts w:ascii="Times New Roman" w:eastAsia="Times New Roman" w:hAnsi="Times New Roman" w:cs="Times New Roman"/>
          <w:sz w:val="24"/>
          <w:szCs w:val="24"/>
        </w:rPr>
        <w:t>(10), 7–28.</w:t>
      </w:r>
    </w:p>
    <w:p w14:paraId="7E86BBDA"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Ogbuabor, J. E., Malaolu, V. A., &amp; Mba, C. (2013). Informality and domestic savings in Nigeria: Lessons from time series analysis. </w:t>
      </w:r>
      <w:r w:rsidRPr="00465786">
        <w:rPr>
          <w:rFonts w:ascii="Times New Roman" w:eastAsia="Times New Roman" w:hAnsi="Times New Roman" w:cs="Times New Roman"/>
          <w:i/>
          <w:iCs/>
          <w:sz w:val="24"/>
          <w:szCs w:val="24"/>
        </w:rPr>
        <w:t>International Journal of Economics and Finance, 1</w:t>
      </w:r>
      <w:r w:rsidRPr="00DE5FCB">
        <w:rPr>
          <w:rFonts w:ascii="Times New Roman" w:eastAsia="Times New Roman" w:hAnsi="Times New Roman" w:cs="Times New Roman"/>
          <w:sz w:val="24"/>
          <w:szCs w:val="24"/>
        </w:rPr>
        <w:t>(3), 24–32.</w:t>
      </w:r>
    </w:p>
    <w:p w14:paraId="11E19B9A"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Ogunbiyi, S. S., &amp; Okunlola, F. A. (2015). External debt burden and the capital accumulation of Nigeria: A cointegration approach (1980–2012). </w:t>
      </w:r>
      <w:r w:rsidRPr="00465786">
        <w:rPr>
          <w:rFonts w:ascii="Times New Roman" w:eastAsia="Times New Roman" w:hAnsi="Times New Roman" w:cs="Times New Roman"/>
          <w:i/>
          <w:iCs/>
          <w:sz w:val="24"/>
          <w:szCs w:val="24"/>
        </w:rPr>
        <w:t>Research Journal of Finance and Accounting, 6</w:t>
      </w:r>
      <w:r w:rsidRPr="00DE5FCB">
        <w:rPr>
          <w:rFonts w:ascii="Times New Roman" w:eastAsia="Times New Roman" w:hAnsi="Times New Roman" w:cs="Times New Roman"/>
          <w:sz w:val="24"/>
          <w:szCs w:val="24"/>
        </w:rPr>
        <w:t>(11), 182–191.</w:t>
      </w:r>
    </w:p>
    <w:p w14:paraId="171B0ABC"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Onwuka, C. E. (2021). External debt burden and infrastructural development nexus in Nigeria: An ARDL approach (1981–2020). </w:t>
      </w:r>
      <w:r w:rsidRPr="00465786">
        <w:rPr>
          <w:rFonts w:ascii="Times New Roman" w:eastAsia="Times New Roman" w:hAnsi="Times New Roman" w:cs="Times New Roman"/>
          <w:i/>
          <w:iCs/>
          <w:sz w:val="24"/>
          <w:szCs w:val="24"/>
        </w:rPr>
        <w:t>International Journal of Business and Social Research, 11</w:t>
      </w:r>
      <w:r w:rsidRPr="00DE5FCB">
        <w:rPr>
          <w:rFonts w:ascii="Times New Roman" w:eastAsia="Times New Roman" w:hAnsi="Times New Roman" w:cs="Times New Roman"/>
          <w:sz w:val="24"/>
          <w:szCs w:val="24"/>
        </w:rPr>
        <w:t>(2), 35–47.</w:t>
      </w:r>
    </w:p>
    <w:p w14:paraId="03779316"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Pattillo, C., Poirson, H., &amp; Ricci, L. (2002). External debt and growth. </w:t>
      </w:r>
      <w:r w:rsidRPr="00465786">
        <w:rPr>
          <w:rFonts w:ascii="Times New Roman" w:eastAsia="Times New Roman" w:hAnsi="Times New Roman" w:cs="Times New Roman"/>
          <w:i/>
          <w:iCs/>
          <w:sz w:val="24"/>
          <w:szCs w:val="24"/>
        </w:rPr>
        <w:t>IMF Working Paper, 02</w:t>
      </w:r>
      <w:r w:rsidRPr="00DE5FCB">
        <w:rPr>
          <w:rFonts w:ascii="Times New Roman" w:eastAsia="Times New Roman" w:hAnsi="Times New Roman" w:cs="Times New Roman"/>
          <w:sz w:val="24"/>
          <w:szCs w:val="24"/>
        </w:rPr>
        <w:t>(69), 1–45.</w:t>
      </w:r>
    </w:p>
    <w:p w14:paraId="1D525CBB"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Pattillo, C., Poirson, H., &amp; Ricci, L. (2004). What are the channels through which external debt affects growth? </w:t>
      </w:r>
      <w:r w:rsidRPr="00465786">
        <w:rPr>
          <w:rFonts w:ascii="Times New Roman" w:eastAsia="Times New Roman" w:hAnsi="Times New Roman" w:cs="Times New Roman"/>
          <w:i/>
          <w:iCs/>
          <w:sz w:val="24"/>
          <w:szCs w:val="24"/>
        </w:rPr>
        <w:t>IMF Working Paper, 04</w:t>
      </w:r>
      <w:r w:rsidRPr="00DE5FCB">
        <w:rPr>
          <w:rFonts w:ascii="Times New Roman" w:eastAsia="Times New Roman" w:hAnsi="Times New Roman" w:cs="Times New Roman"/>
          <w:sz w:val="24"/>
          <w:szCs w:val="24"/>
        </w:rPr>
        <w:t>(15), 1–50.</w:t>
      </w:r>
    </w:p>
    <w:p w14:paraId="7BBC2C13"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Pesaran, M. H., &amp; Shin, Y. (1999). Long-run structural modelling (Unpublished manuscript). University of Cambridge.</w:t>
      </w:r>
    </w:p>
    <w:p w14:paraId="7CF3D34E"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Pesaran, M. H., Shin, Y., &amp; Smith, R. J. (2001). Bounds testing approaches to the analysis of level relationships. </w:t>
      </w:r>
      <w:r w:rsidRPr="00465786">
        <w:rPr>
          <w:rFonts w:ascii="Times New Roman" w:eastAsia="Times New Roman" w:hAnsi="Times New Roman" w:cs="Times New Roman"/>
          <w:i/>
          <w:iCs/>
          <w:sz w:val="24"/>
          <w:szCs w:val="24"/>
        </w:rPr>
        <w:t>Journal of Applied Econometrics, 16</w:t>
      </w:r>
      <w:r w:rsidRPr="00DE5FCB">
        <w:rPr>
          <w:rFonts w:ascii="Times New Roman" w:eastAsia="Times New Roman" w:hAnsi="Times New Roman" w:cs="Times New Roman"/>
          <w:sz w:val="24"/>
          <w:szCs w:val="24"/>
        </w:rPr>
        <w:t>(3), 289–326.</w:t>
      </w:r>
    </w:p>
    <w:p w14:paraId="30FE41A9"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Polycarp, J. E. (2020). Impact of external debt on economic growth in Nigeria. </w:t>
      </w:r>
      <w:r w:rsidRPr="00465786">
        <w:rPr>
          <w:rFonts w:ascii="Times New Roman" w:eastAsia="Times New Roman" w:hAnsi="Times New Roman" w:cs="Times New Roman"/>
          <w:i/>
          <w:iCs/>
          <w:sz w:val="24"/>
          <w:szCs w:val="24"/>
        </w:rPr>
        <w:t>Social Sciences and Management Journal, 1</w:t>
      </w:r>
      <w:r w:rsidRPr="00DE5FCB">
        <w:rPr>
          <w:rFonts w:ascii="Times New Roman" w:eastAsia="Times New Roman" w:hAnsi="Times New Roman" w:cs="Times New Roman"/>
          <w:sz w:val="24"/>
          <w:szCs w:val="24"/>
        </w:rPr>
        <w:t xml:space="preserve">(3), 657–856. </w:t>
      </w:r>
      <w:hyperlink r:id="rId16" w:tgtFrame="_new" w:history="1">
        <w:r w:rsidRPr="00465786">
          <w:rPr>
            <w:rFonts w:ascii="Times New Roman" w:eastAsia="Times New Roman" w:hAnsi="Times New Roman" w:cs="Times New Roman"/>
            <w:color w:val="0000FF"/>
            <w:sz w:val="24"/>
            <w:szCs w:val="24"/>
            <w:u w:val="single"/>
          </w:rPr>
          <w:t>https://www.researchgate.net/publication/347439686</w:t>
        </w:r>
      </w:hyperlink>
    </w:p>
    <w:p w14:paraId="2529C0A5"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Sachs, J. (2002). Resolving the debt crisis of low-income countries. </w:t>
      </w:r>
      <w:r w:rsidRPr="00465786">
        <w:rPr>
          <w:rFonts w:ascii="Times New Roman" w:eastAsia="Times New Roman" w:hAnsi="Times New Roman" w:cs="Times New Roman"/>
          <w:i/>
          <w:iCs/>
          <w:sz w:val="24"/>
          <w:szCs w:val="24"/>
        </w:rPr>
        <w:t>Brookings Papers on Economic Activity, 2002</w:t>
      </w:r>
      <w:r w:rsidRPr="00DE5FCB">
        <w:rPr>
          <w:rFonts w:ascii="Times New Roman" w:eastAsia="Times New Roman" w:hAnsi="Times New Roman" w:cs="Times New Roman"/>
          <w:sz w:val="24"/>
          <w:szCs w:val="24"/>
        </w:rPr>
        <w:t>(1), 1–28.</w:t>
      </w:r>
    </w:p>
    <w:p w14:paraId="4DD04206"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Said, A., &amp; Yusuf, S. (2018). Public debt and economic growth: Evidence from Tanzania. </w:t>
      </w:r>
      <w:r w:rsidRPr="00465786">
        <w:rPr>
          <w:rFonts w:ascii="Times New Roman" w:eastAsia="Times New Roman" w:hAnsi="Times New Roman" w:cs="Times New Roman"/>
          <w:i/>
          <w:iCs/>
          <w:sz w:val="24"/>
          <w:szCs w:val="24"/>
        </w:rPr>
        <w:t>Journal of Economics, Management and Trade, 21</w:t>
      </w:r>
      <w:r w:rsidRPr="00DE5FCB">
        <w:rPr>
          <w:rFonts w:ascii="Times New Roman" w:eastAsia="Times New Roman" w:hAnsi="Times New Roman" w:cs="Times New Roman"/>
          <w:sz w:val="24"/>
          <w:szCs w:val="24"/>
        </w:rPr>
        <w:t>(7), 1–12.</w:t>
      </w:r>
    </w:p>
    <w:p w14:paraId="4981AFFA"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Shkolnyk, I., &amp; Koilo, V. (2018). The relationship between external debt and economic growth: Empirical evidence from Ukraine and other emerging economies. </w:t>
      </w:r>
      <w:r w:rsidRPr="00465786">
        <w:rPr>
          <w:rFonts w:ascii="Times New Roman" w:eastAsia="Times New Roman" w:hAnsi="Times New Roman" w:cs="Times New Roman"/>
          <w:i/>
          <w:iCs/>
          <w:sz w:val="24"/>
          <w:szCs w:val="24"/>
        </w:rPr>
        <w:t>Investment Management and Financial Innovations, 15</w:t>
      </w:r>
      <w:r w:rsidRPr="00DE5FCB">
        <w:rPr>
          <w:rFonts w:ascii="Times New Roman" w:eastAsia="Times New Roman" w:hAnsi="Times New Roman" w:cs="Times New Roman"/>
          <w:sz w:val="24"/>
          <w:szCs w:val="24"/>
        </w:rPr>
        <w:t>(1), 1–11.</w:t>
      </w:r>
    </w:p>
    <w:p w14:paraId="0F48F4D2"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Stock, J. H., &amp; Watson, M. W. (1993). A simple estimator of cointegrating vectors in higher order integrated systems. </w:t>
      </w:r>
      <w:r w:rsidRPr="00465786">
        <w:rPr>
          <w:rFonts w:ascii="Times New Roman" w:eastAsia="Times New Roman" w:hAnsi="Times New Roman" w:cs="Times New Roman"/>
          <w:i/>
          <w:iCs/>
          <w:sz w:val="24"/>
          <w:szCs w:val="24"/>
        </w:rPr>
        <w:t>Econometrica, 61</w:t>
      </w:r>
      <w:r w:rsidRPr="00DE5FCB">
        <w:rPr>
          <w:rFonts w:ascii="Times New Roman" w:eastAsia="Times New Roman" w:hAnsi="Times New Roman" w:cs="Times New Roman"/>
          <w:sz w:val="24"/>
          <w:szCs w:val="24"/>
        </w:rPr>
        <w:t>(4), 783–820.</w:t>
      </w:r>
    </w:p>
    <w:p w14:paraId="7CE4DE73"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Sulaiman, L. A., &amp; Azeez, B. A. (2018). Effect of external debt on economic growth of Nigeria. </w:t>
      </w:r>
      <w:r w:rsidRPr="00465786">
        <w:rPr>
          <w:rFonts w:ascii="Times New Roman" w:eastAsia="Times New Roman" w:hAnsi="Times New Roman" w:cs="Times New Roman"/>
          <w:i/>
          <w:iCs/>
          <w:sz w:val="24"/>
          <w:szCs w:val="24"/>
        </w:rPr>
        <w:t>Journal of Economics and Sustainable Development, 3</w:t>
      </w:r>
      <w:r w:rsidRPr="00DE5FCB">
        <w:rPr>
          <w:rFonts w:ascii="Times New Roman" w:eastAsia="Times New Roman" w:hAnsi="Times New Roman" w:cs="Times New Roman"/>
          <w:sz w:val="24"/>
          <w:szCs w:val="24"/>
        </w:rPr>
        <w:t>(8), 71–79.</w:t>
      </w:r>
    </w:p>
    <w:p w14:paraId="7336CA86"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lastRenderedPageBreak/>
        <w:t xml:space="preserve">Taiwo, A. B., Kareem, R. O., Adeniji, Q. T., &amp; Ashiru, L. O. (2023). Effect of public debt on poverty and economic growth of Nigeria (1981–2019). </w:t>
      </w:r>
      <w:r w:rsidRPr="00465786">
        <w:rPr>
          <w:rFonts w:ascii="Times New Roman" w:eastAsia="Times New Roman" w:hAnsi="Times New Roman" w:cs="Times New Roman"/>
          <w:i/>
          <w:iCs/>
          <w:sz w:val="24"/>
          <w:szCs w:val="24"/>
        </w:rPr>
        <w:t>International Journal of Research and Innovation in Social Science, 7</w:t>
      </w:r>
      <w:r w:rsidRPr="00DE5FCB">
        <w:rPr>
          <w:rFonts w:ascii="Times New Roman" w:eastAsia="Times New Roman" w:hAnsi="Times New Roman" w:cs="Times New Roman"/>
          <w:sz w:val="24"/>
          <w:szCs w:val="24"/>
        </w:rPr>
        <w:t>(10), 687–708.</w:t>
      </w:r>
    </w:p>
    <w:p w14:paraId="18047456"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Udoffia, D. T., &amp; Akpanah, E. A. (2016). An assessment of the impact of external debt on economic growth of Nigeria. </w:t>
      </w:r>
      <w:r w:rsidRPr="00465786">
        <w:rPr>
          <w:rFonts w:ascii="Times New Roman" w:eastAsia="Times New Roman" w:hAnsi="Times New Roman" w:cs="Times New Roman"/>
          <w:i/>
          <w:iCs/>
          <w:sz w:val="24"/>
          <w:szCs w:val="24"/>
        </w:rPr>
        <w:t>International Journal of Social Sciences, 10</w:t>
      </w:r>
      <w:r w:rsidRPr="00DE5FCB">
        <w:rPr>
          <w:rFonts w:ascii="Times New Roman" w:eastAsia="Times New Roman" w:hAnsi="Times New Roman" w:cs="Times New Roman"/>
          <w:sz w:val="24"/>
          <w:szCs w:val="24"/>
        </w:rPr>
        <w:t>(1), 1–27.</w:t>
      </w:r>
    </w:p>
    <w:p w14:paraId="7DEFD23E"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Ugochukwu, U. S., &amp; Chinyere, U. P. (2013). The impact of capital formation on the growth of Nigerian economy. </w:t>
      </w:r>
      <w:r w:rsidRPr="00465786">
        <w:rPr>
          <w:rFonts w:ascii="Times New Roman" w:eastAsia="Times New Roman" w:hAnsi="Times New Roman" w:cs="Times New Roman"/>
          <w:i/>
          <w:iCs/>
          <w:sz w:val="24"/>
          <w:szCs w:val="24"/>
        </w:rPr>
        <w:t>Research Journal of Finance and Accounting, 4</w:t>
      </w:r>
      <w:r w:rsidRPr="00DE5FCB">
        <w:rPr>
          <w:rFonts w:ascii="Times New Roman" w:eastAsia="Times New Roman" w:hAnsi="Times New Roman" w:cs="Times New Roman"/>
          <w:sz w:val="24"/>
          <w:szCs w:val="24"/>
        </w:rPr>
        <w:t>(9), 2222–2847.</w:t>
      </w:r>
    </w:p>
    <w:p w14:paraId="74618DE8"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Ugochukwu, S., Judith, N., &amp; Edith, O. (2014). The impact of foreign direct investment on capital formation in Nigeria: A co-integration approach. </w:t>
      </w:r>
      <w:r w:rsidRPr="00465786">
        <w:rPr>
          <w:rFonts w:ascii="Times New Roman" w:eastAsia="Times New Roman" w:hAnsi="Times New Roman" w:cs="Times New Roman"/>
          <w:i/>
          <w:iCs/>
          <w:sz w:val="24"/>
          <w:szCs w:val="24"/>
        </w:rPr>
        <w:t>International Journal of Finance and Management, 2</w:t>
      </w:r>
      <w:r w:rsidRPr="00DE5FCB">
        <w:rPr>
          <w:rFonts w:ascii="Times New Roman" w:eastAsia="Times New Roman" w:hAnsi="Times New Roman" w:cs="Times New Roman"/>
          <w:sz w:val="24"/>
          <w:szCs w:val="24"/>
        </w:rPr>
        <w:t>(2), 188–196.</w:t>
      </w:r>
    </w:p>
    <w:p w14:paraId="5D8DE102"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Wang, F. (2009). The effects of foreign borrowing policies on economic growth: Success or failure? </w:t>
      </w:r>
      <w:r w:rsidRPr="00465786">
        <w:rPr>
          <w:rFonts w:ascii="Times New Roman" w:eastAsia="Times New Roman" w:hAnsi="Times New Roman" w:cs="Times New Roman"/>
          <w:i/>
          <w:iCs/>
          <w:sz w:val="24"/>
          <w:szCs w:val="24"/>
        </w:rPr>
        <w:t>Journal of Economic Policy Reform, 12</w:t>
      </w:r>
      <w:r w:rsidRPr="00DE5FCB">
        <w:rPr>
          <w:rFonts w:ascii="Times New Roman" w:eastAsia="Times New Roman" w:hAnsi="Times New Roman" w:cs="Times New Roman"/>
          <w:sz w:val="24"/>
          <w:szCs w:val="24"/>
        </w:rPr>
        <w:t>(4), 273–284.</w:t>
      </w:r>
    </w:p>
    <w:p w14:paraId="26FE00F0" w14:textId="77777777" w:rsidR="008069CE" w:rsidRPr="00DE5FCB" w:rsidRDefault="008069CE" w:rsidP="008069C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E5FCB">
        <w:rPr>
          <w:rFonts w:ascii="Times New Roman" w:eastAsia="Times New Roman" w:hAnsi="Times New Roman" w:cs="Times New Roman"/>
          <w:sz w:val="24"/>
          <w:szCs w:val="24"/>
        </w:rPr>
        <w:t xml:space="preserve">Yotopoulos, P., &amp; Nugent, J. (1976). </w:t>
      </w:r>
      <w:r w:rsidRPr="00465786">
        <w:rPr>
          <w:rFonts w:ascii="Times New Roman" w:eastAsia="Times New Roman" w:hAnsi="Times New Roman" w:cs="Times New Roman"/>
          <w:i/>
          <w:iCs/>
          <w:sz w:val="24"/>
          <w:szCs w:val="24"/>
        </w:rPr>
        <w:t>Economics of development: Empirical investigations</w:t>
      </w:r>
      <w:r w:rsidRPr="00DE5FCB">
        <w:rPr>
          <w:rFonts w:ascii="Times New Roman" w:eastAsia="Times New Roman" w:hAnsi="Times New Roman" w:cs="Times New Roman"/>
          <w:sz w:val="24"/>
          <w:szCs w:val="24"/>
        </w:rPr>
        <w:t>. Harper &amp; Row.</w:t>
      </w:r>
    </w:p>
    <w:p w14:paraId="7976D0A6" w14:textId="77777777" w:rsidR="008069CE" w:rsidRPr="00465786" w:rsidRDefault="008069CE" w:rsidP="008069CE">
      <w:pPr>
        <w:spacing w:line="360" w:lineRule="auto"/>
        <w:jc w:val="both"/>
        <w:rPr>
          <w:rFonts w:ascii="Times New Roman" w:hAnsi="Times New Roman" w:cs="Times New Roman"/>
          <w:sz w:val="24"/>
          <w:szCs w:val="24"/>
          <w:lang w:val="en-GB"/>
        </w:rPr>
      </w:pPr>
    </w:p>
    <w:p w14:paraId="5E2F6BDC" w14:textId="77777777" w:rsidR="008069CE" w:rsidRPr="00465786" w:rsidRDefault="008069CE" w:rsidP="008069CE">
      <w:pPr>
        <w:rPr>
          <w:rFonts w:ascii="Times New Roman" w:hAnsi="Times New Roman" w:cs="Times New Roman"/>
          <w:sz w:val="24"/>
          <w:szCs w:val="24"/>
        </w:rPr>
      </w:pPr>
    </w:p>
    <w:p w14:paraId="72786FBD" w14:textId="77777777" w:rsidR="00CE22EA" w:rsidRPr="008069CE" w:rsidRDefault="00CE22EA" w:rsidP="008069CE">
      <w:bookmarkStart w:id="0" w:name="_GoBack"/>
      <w:bookmarkEnd w:id="0"/>
    </w:p>
    <w:sectPr w:rsidR="00CE22EA" w:rsidRPr="008069CE" w:rsidSect="00264CC0">
      <w:headerReference w:type="even" r:id="rId17"/>
      <w:headerReference w:type="default" r:id="rId18"/>
      <w:footerReference w:type="even" r:id="rId19"/>
      <w:footerReference w:type="default" r:id="rId20"/>
      <w:headerReference w:type="first" r:id="rId21"/>
      <w:footerReference w:type="first" r:id="rId22"/>
      <w:pgSz w:w="12240" w:h="15840"/>
      <w:pgMar w:top="851" w:right="758"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B9032" w14:textId="77777777" w:rsidR="0084409F" w:rsidRDefault="0084409F">
      <w:pPr>
        <w:spacing w:after="0" w:line="240" w:lineRule="auto"/>
      </w:pPr>
      <w:r>
        <w:separator/>
      </w:r>
    </w:p>
  </w:endnote>
  <w:endnote w:type="continuationSeparator" w:id="0">
    <w:p w14:paraId="4A0D54EE" w14:textId="77777777" w:rsidR="0084409F" w:rsidRDefault="0084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78261" w14:textId="77777777" w:rsidR="005534FB" w:rsidRDefault="005534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F9BA2" w14:textId="77777777" w:rsidR="005534FB" w:rsidRDefault="005534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04C0D" w14:textId="77777777" w:rsidR="005534FB" w:rsidRDefault="00553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C0304" w14:textId="77777777" w:rsidR="0084409F" w:rsidRDefault="0084409F">
      <w:pPr>
        <w:spacing w:after="0" w:line="240" w:lineRule="auto"/>
      </w:pPr>
      <w:r>
        <w:separator/>
      </w:r>
    </w:p>
  </w:footnote>
  <w:footnote w:type="continuationSeparator" w:id="0">
    <w:p w14:paraId="7009EC93" w14:textId="77777777" w:rsidR="0084409F" w:rsidRDefault="00844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CE5F0" w14:textId="5EE76A7E" w:rsidR="005534FB" w:rsidRDefault="0084409F">
    <w:pPr>
      <w:pStyle w:val="Header"/>
    </w:pPr>
    <w:r>
      <w:rPr>
        <w:noProof/>
      </w:rPr>
      <w:pict w14:anchorId="2E6B2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92891" o:spid="_x0000_s2050" type="#_x0000_t136" style="position:absolute;margin-left:0;margin-top:0;width:614.25pt;height:11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56589" w14:textId="5C72B06C" w:rsidR="005534FB" w:rsidRDefault="0084409F">
    <w:pPr>
      <w:pStyle w:val="Header"/>
      <w:jc w:val="right"/>
    </w:pPr>
    <w:r>
      <w:rPr>
        <w:noProof/>
      </w:rPr>
      <w:pict w14:anchorId="3C189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92892" o:spid="_x0000_s2051" type="#_x0000_t136" style="position:absolute;left:0;text-align:left;margin-left:0;margin-top:0;width:614.25pt;height:11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696350540"/>
        <w:docPartObj>
          <w:docPartGallery w:val="Page Numbers (Top of Page)"/>
          <w:docPartUnique/>
        </w:docPartObj>
      </w:sdtPr>
      <w:sdtEndPr>
        <w:rPr>
          <w:noProof/>
        </w:rPr>
      </w:sdtEndPr>
      <w:sdtContent>
        <w:r w:rsidR="005534FB">
          <w:fldChar w:fldCharType="begin"/>
        </w:r>
        <w:r w:rsidR="005534FB">
          <w:instrText xml:space="preserve"> PAGE   \* MERGEFORMAT </w:instrText>
        </w:r>
        <w:r w:rsidR="005534FB">
          <w:fldChar w:fldCharType="separate"/>
        </w:r>
        <w:r w:rsidR="008533A9">
          <w:rPr>
            <w:noProof/>
          </w:rPr>
          <w:t>24</w:t>
        </w:r>
        <w:r w:rsidR="005534FB">
          <w:rPr>
            <w:noProof/>
          </w:rPr>
          <w:fldChar w:fldCharType="end"/>
        </w:r>
      </w:sdtContent>
    </w:sdt>
  </w:p>
  <w:p w14:paraId="7D94FD40" w14:textId="77777777" w:rsidR="005534FB" w:rsidRDefault="005534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9C5FD" w14:textId="124A4355" w:rsidR="005534FB" w:rsidRDefault="0084409F">
    <w:pPr>
      <w:pStyle w:val="Header"/>
    </w:pPr>
    <w:r>
      <w:rPr>
        <w:noProof/>
      </w:rPr>
      <w:pict w14:anchorId="06A8B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92890" o:spid="_x0000_s2049" type="#_x0000_t136" style="position:absolute;margin-left:0;margin-top:0;width:614.25pt;height:11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5145"/>
    <w:multiLevelType w:val="multilevel"/>
    <w:tmpl w:val="2C7867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4DA04AA"/>
    <w:multiLevelType w:val="multilevel"/>
    <w:tmpl w:val="3510F85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nsid w:val="2BD65E00"/>
    <w:multiLevelType w:val="multilevel"/>
    <w:tmpl w:val="B044C974"/>
    <w:lvl w:ilvl="0">
      <w:start w:val="1"/>
      <w:numFmt w:val="decimal"/>
      <w:lvlText w:val="%1."/>
      <w:lvlJc w:val="left"/>
      <w:pPr>
        <w:ind w:left="1080" w:hanging="360"/>
      </w:pPr>
      <w:rPr>
        <w:rFonts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4C6047C8"/>
    <w:multiLevelType w:val="hybridMultilevel"/>
    <w:tmpl w:val="B5C03BC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FBD1981"/>
    <w:multiLevelType w:val="multilevel"/>
    <w:tmpl w:val="416E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E30D0B"/>
    <w:multiLevelType w:val="hybridMultilevel"/>
    <w:tmpl w:val="C266467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854DE"/>
    <w:multiLevelType w:val="multilevel"/>
    <w:tmpl w:val="8C7C05A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E4040F9"/>
    <w:multiLevelType w:val="multilevel"/>
    <w:tmpl w:val="A82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C4E"/>
    <w:rsid w:val="00003932"/>
    <w:rsid w:val="00007B05"/>
    <w:rsid w:val="00015C0F"/>
    <w:rsid w:val="00020DE5"/>
    <w:rsid w:val="00030E1E"/>
    <w:rsid w:val="0003380A"/>
    <w:rsid w:val="00034EB7"/>
    <w:rsid w:val="000401F5"/>
    <w:rsid w:val="00045D80"/>
    <w:rsid w:val="00057EF5"/>
    <w:rsid w:val="00060B59"/>
    <w:rsid w:val="00064F54"/>
    <w:rsid w:val="00070E48"/>
    <w:rsid w:val="000956FA"/>
    <w:rsid w:val="000D325F"/>
    <w:rsid w:val="000D72DC"/>
    <w:rsid w:val="000D7C65"/>
    <w:rsid w:val="000F2E09"/>
    <w:rsid w:val="001635AB"/>
    <w:rsid w:val="00166023"/>
    <w:rsid w:val="001852EC"/>
    <w:rsid w:val="001B0463"/>
    <w:rsid w:val="001C1947"/>
    <w:rsid w:val="001C68A5"/>
    <w:rsid w:val="00224D76"/>
    <w:rsid w:val="00256719"/>
    <w:rsid w:val="00264CC0"/>
    <w:rsid w:val="00291596"/>
    <w:rsid w:val="002942A6"/>
    <w:rsid w:val="002A206A"/>
    <w:rsid w:val="002D234D"/>
    <w:rsid w:val="002E3B2E"/>
    <w:rsid w:val="002E46AA"/>
    <w:rsid w:val="00351485"/>
    <w:rsid w:val="003850D8"/>
    <w:rsid w:val="00396433"/>
    <w:rsid w:val="003B7A2E"/>
    <w:rsid w:val="003C6A0C"/>
    <w:rsid w:val="00417E4D"/>
    <w:rsid w:val="00423B45"/>
    <w:rsid w:val="004269EC"/>
    <w:rsid w:val="00470A0E"/>
    <w:rsid w:val="0047440B"/>
    <w:rsid w:val="0047504C"/>
    <w:rsid w:val="00480B84"/>
    <w:rsid w:val="004A42AD"/>
    <w:rsid w:val="004A727C"/>
    <w:rsid w:val="004C2203"/>
    <w:rsid w:val="004D1637"/>
    <w:rsid w:val="004D52E0"/>
    <w:rsid w:val="004D7FA3"/>
    <w:rsid w:val="004E4BB5"/>
    <w:rsid w:val="00507C66"/>
    <w:rsid w:val="00517743"/>
    <w:rsid w:val="0052083B"/>
    <w:rsid w:val="0053318E"/>
    <w:rsid w:val="0053774E"/>
    <w:rsid w:val="005453E5"/>
    <w:rsid w:val="005534FB"/>
    <w:rsid w:val="005610CA"/>
    <w:rsid w:val="005705BD"/>
    <w:rsid w:val="0057134D"/>
    <w:rsid w:val="00576FCB"/>
    <w:rsid w:val="005A1DDF"/>
    <w:rsid w:val="005A4BA4"/>
    <w:rsid w:val="005D73FD"/>
    <w:rsid w:val="005E1BD7"/>
    <w:rsid w:val="00606033"/>
    <w:rsid w:val="006127DA"/>
    <w:rsid w:val="006142DA"/>
    <w:rsid w:val="006164F9"/>
    <w:rsid w:val="006169BE"/>
    <w:rsid w:val="00623FD0"/>
    <w:rsid w:val="006433C4"/>
    <w:rsid w:val="0064617C"/>
    <w:rsid w:val="006615FC"/>
    <w:rsid w:val="00662F51"/>
    <w:rsid w:val="00672FC4"/>
    <w:rsid w:val="00686FCD"/>
    <w:rsid w:val="006B6403"/>
    <w:rsid w:val="006C5745"/>
    <w:rsid w:val="006E47B1"/>
    <w:rsid w:val="006E7795"/>
    <w:rsid w:val="0070775D"/>
    <w:rsid w:val="00716880"/>
    <w:rsid w:val="00722508"/>
    <w:rsid w:val="007303C4"/>
    <w:rsid w:val="007710E9"/>
    <w:rsid w:val="007935B6"/>
    <w:rsid w:val="007A6C4E"/>
    <w:rsid w:val="007C118A"/>
    <w:rsid w:val="007C7568"/>
    <w:rsid w:val="007D1D07"/>
    <w:rsid w:val="007D456E"/>
    <w:rsid w:val="007E7AC4"/>
    <w:rsid w:val="008069CE"/>
    <w:rsid w:val="00813F51"/>
    <w:rsid w:val="00821051"/>
    <w:rsid w:val="00830266"/>
    <w:rsid w:val="00835FEF"/>
    <w:rsid w:val="00842F3E"/>
    <w:rsid w:val="0084409F"/>
    <w:rsid w:val="008533A9"/>
    <w:rsid w:val="008651C3"/>
    <w:rsid w:val="008C7E6B"/>
    <w:rsid w:val="008E0C7E"/>
    <w:rsid w:val="009113C7"/>
    <w:rsid w:val="00931966"/>
    <w:rsid w:val="00941C7F"/>
    <w:rsid w:val="00942CB7"/>
    <w:rsid w:val="00962DF5"/>
    <w:rsid w:val="00992447"/>
    <w:rsid w:val="00996651"/>
    <w:rsid w:val="009A712A"/>
    <w:rsid w:val="009B62D6"/>
    <w:rsid w:val="009C155E"/>
    <w:rsid w:val="00A01041"/>
    <w:rsid w:val="00A4220E"/>
    <w:rsid w:val="00A44EEC"/>
    <w:rsid w:val="00A5040B"/>
    <w:rsid w:val="00A92894"/>
    <w:rsid w:val="00AD2288"/>
    <w:rsid w:val="00AF1216"/>
    <w:rsid w:val="00B621C0"/>
    <w:rsid w:val="00B639C1"/>
    <w:rsid w:val="00B75B9F"/>
    <w:rsid w:val="00B815A8"/>
    <w:rsid w:val="00BE3680"/>
    <w:rsid w:val="00BE53BB"/>
    <w:rsid w:val="00BF4ACB"/>
    <w:rsid w:val="00C00FAA"/>
    <w:rsid w:val="00C23356"/>
    <w:rsid w:val="00C471FE"/>
    <w:rsid w:val="00C52E2A"/>
    <w:rsid w:val="00C57F9B"/>
    <w:rsid w:val="00C8233D"/>
    <w:rsid w:val="00C93324"/>
    <w:rsid w:val="00CA4C59"/>
    <w:rsid w:val="00CB754F"/>
    <w:rsid w:val="00CC4062"/>
    <w:rsid w:val="00CC50E0"/>
    <w:rsid w:val="00CD54FD"/>
    <w:rsid w:val="00CE22EA"/>
    <w:rsid w:val="00CE6E8C"/>
    <w:rsid w:val="00D04D4C"/>
    <w:rsid w:val="00D10EDC"/>
    <w:rsid w:val="00D348B1"/>
    <w:rsid w:val="00D5708F"/>
    <w:rsid w:val="00D72626"/>
    <w:rsid w:val="00D83D7F"/>
    <w:rsid w:val="00DB7FBB"/>
    <w:rsid w:val="00DC6EA5"/>
    <w:rsid w:val="00DD06C8"/>
    <w:rsid w:val="00DD4A87"/>
    <w:rsid w:val="00DF58F5"/>
    <w:rsid w:val="00E2642E"/>
    <w:rsid w:val="00E324C2"/>
    <w:rsid w:val="00E67F0F"/>
    <w:rsid w:val="00E704BC"/>
    <w:rsid w:val="00E904C6"/>
    <w:rsid w:val="00EA5514"/>
    <w:rsid w:val="00ED0096"/>
    <w:rsid w:val="00EF45C1"/>
    <w:rsid w:val="00F006F5"/>
    <w:rsid w:val="00F17C1A"/>
    <w:rsid w:val="00F24072"/>
    <w:rsid w:val="00F61311"/>
    <w:rsid w:val="00F66499"/>
    <w:rsid w:val="00F77607"/>
    <w:rsid w:val="00F84C29"/>
    <w:rsid w:val="00F9349D"/>
    <w:rsid w:val="00FB765A"/>
    <w:rsid w:val="00FC68BC"/>
    <w:rsid w:val="00FC7323"/>
    <w:rsid w:val="00FE2930"/>
    <w:rsid w:val="00FE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DFE06A"/>
  <w15:docId w15:val="{2765C4C0-200F-42A1-81C3-6737BF46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6C4E"/>
    <w:pPr>
      <w:spacing w:line="360" w:lineRule="auto"/>
      <w:ind w:left="720"/>
      <w:contextualSpacing/>
      <w:jc w:val="both"/>
    </w:pPr>
    <w:rPr>
      <w:rFonts w:ascii="Times New Roman" w:eastAsiaTheme="minorEastAsia" w:hAnsi="Times New Roman" w:cs="Times New Roman"/>
      <w:color w:val="424142"/>
      <w:sz w:val="24"/>
      <w:szCs w:val="24"/>
      <w:lang w:bidi="en-US"/>
    </w:rPr>
  </w:style>
  <w:style w:type="character" w:customStyle="1" w:styleId="ListParagraphChar">
    <w:name w:val="List Paragraph Char"/>
    <w:link w:val="ListParagraph"/>
    <w:uiPriority w:val="34"/>
    <w:locked/>
    <w:rsid w:val="007A6C4E"/>
    <w:rPr>
      <w:rFonts w:ascii="Times New Roman" w:eastAsiaTheme="minorEastAsia" w:hAnsi="Times New Roman" w:cs="Times New Roman"/>
      <w:color w:val="424142"/>
      <w:sz w:val="24"/>
      <w:szCs w:val="24"/>
      <w:lang w:bidi="en-US"/>
    </w:rPr>
  </w:style>
  <w:style w:type="character" w:styleId="Strong">
    <w:name w:val="Strong"/>
    <w:basedOn w:val="DefaultParagraphFont"/>
    <w:uiPriority w:val="22"/>
    <w:qFormat/>
    <w:rsid w:val="007A6C4E"/>
    <w:rPr>
      <w:b/>
      <w:bCs/>
    </w:rPr>
  </w:style>
  <w:style w:type="character" w:styleId="Hyperlink">
    <w:name w:val="Hyperlink"/>
    <w:basedOn w:val="DefaultParagraphFont"/>
    <w:uiPriority w:val="99"/>
    <w:unhideWhenUsed/>
    <w:rsid w:val="007A6C4E"/>
    <w:rPr>
      <w:color w:val="0000FF"/>
      <w:u w:val="single"/>
    </w:rPr>
  </w:style>
  <w:style w:type="paragraph" w:styleId="BalloonText">
    <w:name w:val="Balloon Text"/>
    <w:basedOn w:val="Normal"/>
    <w:link w:val="BalloonTextChar"/>
    <w:uiPriority w:val="99"/>
    <w:semiHidden/>
    <w:unhideWhenUsed/>
    <w:rsid w:val="007A6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4E"/>
    <w:rPr>
      <w:rFonts w:ascii="Tahoma" w:hAnsi="Tahoma" w:cs="Tahoma"/>
      <w:sz w:val="16"/>
      <w:szCs w:val="16"/>
    </w:rPr>
  </w:style>
  <w:style w:type="table" w:styleId="TableGrid">
    <w:name w:val="Table Grid"/>
    <w:basedOn w:val="TableNormal"/>
    <w:uiPriority w:val="59"/>
    <w:rsid w:val="007A6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6C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A6C4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A6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C4E"/>
  </w:style>
  <w:style w:type="paragraph" w:styleId="Footer">
    <w:name w:val="footer"/>
    <w:basedOn w:val="Normal"/>
    <w:link w:val="FooterChar"/>
    <w:uiPriority w:val="99"/>
    <w:unhideWhenUsed/>
    <w:rsid w:val="007A6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C4E"/>
  </w:style>
  <w:style w:type="character" w:styleId="CommentReference">
    <w:name w:val="annotation reference"/>
    <w:basedOn w:val="DefaultParagraphFont"/>
    <w:uiPriority w:val="99"/>
    <w:semiHidden/>
    <w:unhideWhenUsed/>
    <w:rsid w:val="00CA4C59"/>
    <w:rPr>
      <w:sz w:val="16"/>
      <w:szCs w:val="16"/>
    </w:rPr>
  </w:style>
  <w:style w:type="paragraph" w:styleId="CommentText">
    <w:name w:val="annotation text"/>
    <w:basedOn w:val="Normal"/>
    <w:link w:val="CommentTextChar"/>
    <w:uiPriority w:val="99"/>
    <w:semiHidden/>
    <w:unhideWhenUsed/>
    <w:rsid w:val="00CA4C59"/>
    <w:pPr>
      <w:spacing w:line="240" w:lineRule="auto"/>
    </w:pPr>
    <w:rPr>
      <w:sz w:val="20"/>
      <w:szCs w:val="20"/>
    </w:rPr>
  </w:style>
  <w:style w:type="character" w:customStyle="1" w:styleId="CommentTextChar">
    <w:name w:val="Comment Text Char"/>
    <w:basedOn w:val="DefaultParagraphFont"/>
    <w:link w:val="CommentText"/>
    <w:uiPriority w:val="99"/>
    <w:semiHidden/>
    <w:rsid w:val="00CA4C59"/>
    <w:rPr>
      <w:sz w:val="20"/>
      <w:szCs w:val="20"/>
    </w:rPr>
  </w:style>
  <w:style w:type="paragraph" w:styleId="CommentSubject">
    <w:name w:val="annotation subject"/>
    <w:basedOn w:val="CommentText"/>
    <w:next w:val="CommentText"/>
    <w:link w:val="CommentSubjectChar"/>
    <w:uiPriority w:val="99"/>
    <w:semiHidden/>
    <w:unhideWhenUsed/>
    <w:rsid w:val="00CA4C59"/>
    <w:rPr>
      <w:b/>
      <w:bCs/>
    </w:rPr>
  </w:style>
  <w:style w:type="character" w:customStyle="1" w:styleId="CommentSubjectChar">
    <w:name w:val="Comment Subject Char"/>
    <w:basedOn w:val="CommentTextChar"/>
    <w:link w:val="CommentSubject"/>
    <w:uiPriority w:val="99"/>
    <w:semiHidden/>
    <w:rsid w:val="00CA4C59"/>
    <w:rPr>
      <w:b/>
      <w:bCs/>
      <w:sz w:val="20"/>
      <w:szCs w:val="20"/>
    </w:rPr>
  </w:style>
  <w:style w:type="character" w:customStyle="1" w:styleId="relative">
    <w:name w:val="relative"/>
    <w:basedOn w:val="DefaultParagraphFont"/>
    <w:rsid w:val="00CE6E8C"/>
  </w:style>
  <w:style w:type="character" w:customStyle="1" w:styleId="ms-1">
    <w:name w:val="ms-1"/>
    <w:basedOn w:val="DefaultParagraphFont"/>
    <w:rsid w:val="00CE6E8C"/>
  </w:style>
  <w:style w:type="character" w:customStyle="1" w:styleId="max-w-full">
    <w:name w:val="max-w-full"/>
    <w:basedOn w:val="DefaultParagraphFont"/>
    <w:rsid w:val="00CE6E8C"/>
  </w:style>
  <w:style w:type="character" w:styleId="PlaceholderText">
    <w:name w:val="Placeholder Text"/>
    <w:basedOn w:val="DefaultParagraphFont"/>
    <w:uiPriority w:val="99"/>
    <w:semiHidden/>
    <w:rsid w:val="00FE2A6C"/>
    <w:rPr>
      <w:color w:val="808080"/>
    </w:rPr>
  </w:style>
  <w:style w:type="paragraph" w:styleId="NormalWeb">
    <w:name w:val="Normal (Web)"/>
    <w:basedOn w:val="Normal"/>
    <w:uiPriority w:val="99"/>
    <w:unhideWhenUsed/>
    <w:rsid w:val="004A4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C6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349">
      <w:bodyDiv w:val="1"/>
      <w:marLeft w:val="0"/>
      <w:marRight w:val="0"/>
      <w:marTop w:val="0"/>
      <w:marBottom w:val="0"/>
      <w:divBdr>
        <w:top w:val="none" w:sz="0" w:space="0" w:color="auto"/>
        <w:left w:val="none" w:sz="0" w:space="0" w:color="auto"/>
        <w:bottom w:val="none" w:sz="0" w:space="0" w:color="auto"/>
        <w:right w:val="none" w:sz="0" w:space="0" w:color="auto"/>
      </w:divBdr>
    </w:div>
    <w:div w:id="11805054">
      <w:bodyDiv w:val="1"/>
      <w:marLeft w:val="0"/>
      <w:marRight w:val="0"/>
      <w:marTop w:val="0"/>
      <w:marBottom w:val="0"/>
      <w:divBdr>
        <w:top w:val="none" w:sz="0" w:space="0" w:color="auto"/>
        <w:left w:val="none" w:sz="0" w:space="0" w:color="auto"/>
        <w:bottom w:val="none" w:sz="0" w:space="0" w:color="auto"/>
        <w:right w:val="none" w:sz="0" w:space="0" w:color="auto"/>
      </w:divBdr>
    </w:div>
    <w:div w:id="71588778">
      <w:bodyDiv w:val="1"/>
      <w:marLeft w:val="0"/>
      <w:marRight w:val="0"/>
      <w:marTop w:val="0"/>
      <w:marBottom w:val="0"/>
      <w:divBdr>
        <w:top w:val="none" w:sz="0" w:space="0" w:color="auto"/>
        <w:left w:val="none" w:sz="0" w:space="0" w:color="auto"/>
        <w:bottom w:val="none" w:sz="0" w:space="0" w:color="auto"/>
        <w:right w:val="none" w:sz="0" w:space="0" w:color="auto"/>
      </w:divBdr>
    </w:div>
    <w:div w:id="118651732">
      <w:bodyDiv w:val="1"/>
      <w:marLeft w:val="0"/>
      <w:marRight w:val="0"/>
      <w:marTop w:val="0"/>
      <w:marBottom w:val="0"/>
      <w:divBdr>
        <w:top w:val="none" w:sz="0" w:space="0" w:color="auto"/>
        <w:left w:val="none" w:sz="0" w:space="0" w:color="auto"/>
        <w:bottom w:val="none" w:sz="0" w:space="0" w:color="auto"/>
        <w:right w:val="none" w:sz="0" w:space="0" w:color="auto"/>
      </w:divBdr>
    </w:div>
    <w:div w:id="128256065">
      <w:bodyDiv w:val="1"/>
      <w:marLeft w:val="0"/>
      <w:marRight w:val="0"/>
      <w:marTop w:val="0"/>
      <w:marBottom w:val="0"/>
      <w:divBdr>
        <w:top w:val="none" w:sz="0" w:space="0" w:color="auto"/>
        <w:left w:val="none" w:sz="0" w:space="0" w:color="auto"/>
        <w:bottom w:val="none" w:sz="0" w:space="0" w:color="auto"/>
        <w:right w:val="none" w:sz="0" w:space="0" w:color="auto"/>
      </w:divBdr>
    </w:div>
    <w:div w:id="170141462">
      <w:bodyDiv w:val="1"/>
      <w:marLeft w:val="0"/>
      <w:marRight w:val="0"/>
      <w:marTop w:val="0"/>
      <w:marBottom w:val="0"/>
      <w:divBdr>
        <w:top w:val="none" w:sz="0" w:space="0" w:color="auto"/>
        <w:left w:val="none" w:sz="0" w:space="0" w:color="auto"/>
        <w:bottom w:val="none" w:sz="0" w:space="0" w:color="auto"/>
        <w:right w:val="none" w:sz="0" w:space="0" w:color="auto"/>
      </w:divBdr>
    </w:div>
    <w:div w:id="170529340">
      <w:bodyDiv w:val="1"/>
      <w:marLeft w:val="0"/>
      <w:marRight w:val="0"/>
      <w:marTop w:val="0"/>
      <w:marBottom w:val="0"/>
      <w:divBdr>
        <w:top w:val="none" w:sz="0" w:space="0" w:color="auto"/>
        <w:left w:val="none" w:sz="0" w:space="0" w:color="auto"/>
        <w:bottom w:val="none" w:sz="0" w:space="0" w:color="auto"/>
        <w:right w:val="none" w:sz="0" w:space="0" w:color="auto"/>
      </w:divBdr>
    </w:div>
    <w:div w:id="202834740">
      <w:bodyDiv w:val="1"/>
      <w:marLeft w:val="0"/>
      <w:marRight w:val="0"/>
      <w:marTop w:val="0"/>
      <w:marBottom w:val="0"/>
      <w:divBdr>
        <w:top w:val="none" w:sz="0" w:space="0" w:color="auto"/>
        <w:left w:val="none" w:sz="0" w:space="0" w:color="auto"/>
        <w:bottom w:val="none" w:sz="0" w:space="0" w:color="auto"/>
        <w:right w:val="none" w:sz="0" w:space="0" w:color="auto"/>
      </w:divBdr>
    </w:div>
    <w:div w:id="264312370">
      <w:bodyDiv w:val="1"/>
      <w:marLeft w:val="0"/>
      <w:marRight w:val="0"/>
      <w:marTop w:val="0"/>
      <w:marBottom w:val="0"/>
      <w:divBdr>
        <w:top w:val="none" w:sz="0" w:space="0" w:color="auto"/>
        <w:left w:val="none" w:sz="0" w:space="0" w:color="auto"/>
        <w:bottom w:val="none" w:sz="0" w:space="0" w:color="auto"/>
        <w:right w:val="none" w:sz="0" w:space="0" w:color="auto"/>
      </w:divBdr>
    </w:div>
    <w:div w:id="395935423">
      <w:bodyDiv w:val="1"/>
      <w:marLeft w:val="0"/>
      <w:marRight w:val="0"/>
      <w:marTop w:val="0"/>
      <w:marBottom w:val="0"/>
      <w:divBdr>
        <w:top w:val="none" w:sz="0" w:space="0" w:color="auto"/>
        <w:left w:val="none" w:sz="0" w:space="0" w:color="auto"/>
        <w:bottom w:val="none" w:sz="0" w:space="0" w:color="auto"/>
        <w:right w:val="none" w:sz="0" w:space="0" w:color="auto"/>
      </w:divBdr>
    </w:div>
    <w:div w:id="484274777">
      <w:bodyDiv w:val="1"/>
      <w:marLeft w:val="0"/>
      <w:marRight w:val="0"/>
      <w:marTop w:val="0"/>
      <w:marBottom w:val="0"/>
      <w:divBdr>
        <w:top w:val="none" w:sz="0" w:space="0" w:color="auto"/>
        <w:left w:val="none" w:sz="0" w:space="0" w:color="auto"/>
        <w:bottom w:val="none" w:sz="0" w:space="0" w:color="auto"/>
        <w:right w:val="none" w:sz="0" w:space="0" w:color="auto"/>
      </w:divBdr>
    </w:div>
    <w:div w:id="562562476">
      <w:bodyDiv w:val="1"/>
      <w:marLeft w:val="0"/>
      <w:marRight w:val="0"/>
      <w:marTop w:val="0"/>
      <w:marBottom w:val="0"/>
      <w:divBdr>
        <w:top w:val="none" w:sz="0" w:space="0" w:color="auto"/>
        <w:left w:val="none" w:sz="0" w:space="0" w:color="auto"/>
        <w:bottom w:val="none" w:sz="0" w:space="0" w:color="auto"/>
        <w:right w:val="none" w:sz="0" w:space="0" w:color="auto"/>
      </w:divBdr>
    </w:div>
    <w:div w:id="575169024">
      <w:bodyDiv w:val="1"/>
      <w:marLeft w:val="0"/>
      <w:marRight w:val="0"/>
      <w:marTop w:val="0"/>
      <w:marBottom w:val="0"/>
      <w:divBdr>
        <w:top w:val="none" w:sz="0" w:space="0" w:color="auto"/>
        <w:left w:val="none" w:sz="0" w:space="0" w:color="auto"/>
        <w:bottom w:val="none" w:sz="0" w:space="0" w:color="auto"/>
        <w:right w:val="none" w:sz="0" w:space="0" w:color="auto"/>
      </w:divBdr>
    </w:div>
    <w:div w:id="591939699">
      <w:bodyDiv w:val="1"/>
      <w:marLeft w:val="0"/>
      <w:marRight w:val="0"/>
      <w:marTop w:val="0"/>
      <w:marBottom w:val="0"/>
      <w:divBdr>
        <w:top w:val="none" w:sz="0" w:space="0" w:color="auto"/>
        <w:left w:val="none" w:sz="0" w:space="0" w:color="auto"/>
        <w:bottom w:val="none" w:sz="0" w:space="0" w:color="auto"/>
        <w:right w:val="none" w:sz="0" w:space="0" w:color="auto"/>
      </w:divBdr>
    </w:div>
    <w:div w:id="684209799">
      <w:bodyDiv w:val="1"/>
      <w:marLeft w:val="0"/>
      <w:marRight w:val="0"/>
      <w:marTop w:val="0"/>
      <w:marBottom w:val="0"/>
      <w:divBdr>
        <w:top w:val="none" w:sz="0" w:space="0" w:color="auto"/>
        <w:left w:val="none" w:sz="0" w:space="0" w:color="auto"/>
        <w:bottom w:val="none" w:sz="0" w:space="0" w:color="auto"/>
        <w:right w:val="none" w:sz="0" w:space="0" w:color="auto"/>
      </w:divBdr>
    </w:div>
    <w:div w:id="702360985">
      <w:bodyDiv w:val="1"/>
      <w:marLeft w:val="0"/>
      <w:marRight w:val="0"/>
      <w:marTop w:val="0"/>
      <w:marBottom w:val="0"/>
      <w:divBdr>
        <w:top w:val="none" w:sz="0" w:space="0" w:color="auto"/>
        <w:left w:val="none" w:sz="0" w:space="0" w:color="auto"/>
        <w:bottom w:val="none" w:sz="0" w:space="0" w:color="auto"/>
        <w:right w:val="none" w:sz="0" w:space="0" w:color="auto"/>
      </w:divBdr>
    </w:div>
    <w:div w:id="709957531">
      <w:bodyDiv w:val="1"/>
      <w:marLeft w:val="0"/>
      <w:marRight w:val="0"/>
      <w:marTop w:val="0"/>
      <w:marBottom w:val="0"/>
      <w:divBdr>
        <w:top w:val="none" w:sz="0" w:space="0" w:color="auto"/>
        <w:left w:val="none" w:sz="0" w:space="0" w:color="auto"/>
        <w:bottom w:val="none" w:sz="0" w:space="0" w:color="auto"/>
        <w:right w:val="none" w:sz="0" w:space="0" w:color="auto"/>
      </w:divBdr>
    </w:div>
    <w:div w:id="727151569">
      <w:bodyDiv w:val="1"/>
      <w:marLeft w:val="0"/>
      <w:marRight w:val="0"/>
      <w:marTop w:val="0"/>
      <w:marBottom w:val="0"/>
      <w:divBdr>
        <w:top w:val="none" w:sz="0" w:space="0" w:color="auto"/>
        <w:left w:val="none" w:sz="0" w:space="0" w:color="auto"/>
        <w:bottom w:val="none" w:sz="0" w:space="0" w:color="auto"/>
        <w:right w:val="none" w:sz="0" w:space="0" w:color="auto"/>
      </w:divBdr>
    </w:div>
    <w:div w:id="857046198">
      <w:bodyDiv w:val="1"/>
      <w:marLeft w:val="0"/>
      <w:marRight w:val="0"/>
      <w:marTop w:val="0"/>
      <w:marBottom w:val="0"/>
      <w:divBdr>
        <w:top w:val="none" w:sz="0" w:space="0" w:color="auto"/>
        <w:left w:val="none" w:sz="0" w:space="0" w:color="auto"/>
        <w:bottom w:val="none" w:sz="0" w:space="0" w:color="auto"/>
        <w:right w:val="none" w:sz="0" w:space="0" w:color="auto"/>
      </w:divBdr>
    </w:div>
    <w:div w:id="868756405">
      <w:bodyDiv w:val="1"/>
      <w:marLeft w:val="0"/>
      <w:marRight w:val="0"/>
      <w:marTop w:val="0"/>
      <w:marBottom w:val="0"/>
      <w:divBdr>
        <w:top w:val="none" w:sz="0" w:space="0" w:color="auto"/>
        <w:left w:val="none" w:sz="0" w:space="0" w:color="auto"/>
        <w:bottom w:val="none" w:sz="0" w:space="0" w:color="auto"/>
        <w:right w:val="none" w:sz="0" w:space="0" w:color="auto"/>
      </w:divBdr>
    </w:div>
    <w:div w:id="1046217173">
      <w:bodyDiv w:val="1"/>
      <w:marLeft w:val="0"/>
      <w:marRight w:val="0"/>
      <w:marTop w:val="0"/>
      <w:marBottom w:val="0"/>
      <w:divBdr>
        <w:top w:val="none" w:sz="0" w:space="0" w:color="auto"/>
        <w:left w:val="none" w:sz="0" w:space="0" w:color="auto"/>
        <w:bottom w:val="none" w:sz="0" w:space="0" w:color="auto"/>
        <w:right w:val="none" w:sz="0" w:space="0" w:color="auto"/>
      </w:divBdr>
    </w:div>
    <w:div w:id="1156337557">
      <w:bodyDiv w:val="1"/>
      <w:marLeft w:val="0"/>
      <w:marRight w:val="0"/>
      <w:marTop w:val="0"/>
      <w:marBottom w:val="0"/>
      <w:divBdr>
        <w:top w:val="none" w:sz="0" w:space="0" w:color="auto"/>
        <w:left w:val="none" w:sz="0" w:space="0" w:color="auto"/>
        <w:bottom w:val="none" w:sz="0" w:space="0" w:color="auto"/>
        <w:right w:val="none" w:sz="0" w:space="0" w:color="auto"/>
      </w:divBdr>
    </w:div>
    <w:div w:id="1188911760">
      <w:bodyDiv w:val="1"/>
      <w:marLeft w:val="0"/>
      <w:marRight w:val="0"/>
      <w:marTop w:val="0"/>
      <w:marBottom w:val="0"/>
      <w:divBdr>
        <w:top w:val="none" w:sz="0" w:space="0" w:color="auto"/>
        <w:left w:val="none" w:sz="0" w:space="0" w:color="auto"/>
        <w:bottom w:val="none" w:sz="0" w:space="0" w:color="auto"/>
        <w:right w:val="none" w:sz="0" w:space="0" w:color="auto"/>
      </w:divBdr>
    </w:div>
    <w:div w:id="1199703394">
      <w:bodyDiv w:val="1"/>
      <w:marLeft w:val="0"/>
      <w:marRight w:val="0"/>
      <w:marTop w:val="0"/>
      <w:marBottom w:val="0"/>
      <w:divBdr>
        <w:top w:val="none" w:sz="0" w:space="0" w:color="auto"/>
        <w:left w:val="none" w:sz="0" w:space="0" w:color="auto"/>
        <w:bottom w:val="none" w:sz="0" w:space="0" w:color="auto"/>
        <w:right w:val="none" w:sz="0" w:space="0" w:color="auto"/>
      </w:divBdr>
    </w:div>
    <w:div w:id="1226256468">
      <w:bodyDiv w:val="1"/>
      <w:marLeft w:val="0"/>
      <w:marRight w:val="0"/>
      <w:marTop w:val="0"/>
      <w:marBottom w:val="0"/>
      <w:divBdr>
        <w:top w:val="none" w:sz="0" w:space="0" w:color="auto"/>
        <w:left w:val="none" w:sz="0" w:space="0" w:color="auto"/>
        <w:bottom w:val="none" w:sz="0" w:space="0" w:color="auto"/>
        <w:right w:val="none" w:sz="0" w:space="0" w:color="auto"/>
      </w:divBdr>
    </w:div>
    <w:div w:id="1279796299">
      <w:bodyDiv w:val="1"/>
      <w:marLeft w:val="0"/>
      <w:marRight w:val="0"/>
      <w:marTop w:val="0"/>
      <w:marBottom w:val="0"/>
      <w:divBdr>
        <w:top w:val="none" w:sz="0" w:space="0" w:color="auto"/>
        <w:left w:val="none" w:sz="0" w:space="0" w:color="auto"/>
        <w:bottom w:val="none" w:sz="0" w:space="0" w:color="auto"/>
        <w:right w:val="none" w:sz="0" w:space="0" w:color="auto"/>
      </w:divBdr>
    </w:div>
    <w:div w:id="1282957516">
      <w:bodyDiv w:val="1"/>
      <w:marLeft w:val="0"/>
      <w:marRight w:val="0"/>
      <w:marTop w:val="0"/>
      <w:marBottom w:val="0"/>
      <w:divBdr>
        <w:top w:val="none" w:sz="0" w:space="0" w:color="auto"/>
        <w:left w:val="none" w:sz="0" w:space="0" w:color="auto"/>
        <w:bottom w:val="none" w:sz="0" w:space="0" w:color="auto"/>
        <w:right w:val="none" w:sz="0" w:space="0" w:color="auto"/>
      </w:divBdr>
    </w:div>
    <w:div w:id="1329870233">
      <w:bodyDiv w:val="1"/>
      <w:marLeft w:val="0"/>
      <w:marRight w:val="0"/>
      <w:marTop w:val="0"/>
      <w:marBottom w:val="0"/>
      <w:divBdr>
        <w:top w:val="none" w:sz="0" w:space="0" w:color="auto"/>
        <w:left w:val="none" w:sz="0" w:space="0" w:color="auto"/>
        <w:bottom w:val="none" w:sz="0" w:space="0" w:color="auto"/>
        <w:right w:val="none" w:sz="0" w:space="0" w:color="auto"/>
      </w:divBdr>
    </w:div>
    <w:div w:id="1336691206">
      <w:bodyDiv w:val="1"/>
      <w:marLeft w:val="0"/>
      <w:marRight w:val="0"/>
      <w:marTop w:val="0"/>
      <w:marBottom w:val="0"/>
      <w:divBdr>
        <w:top w:val="none" w:sz="0" w:space="0" w:color="auto"/>
        <w:left w:val="none" w:sz="0" w:space="0" w:color="auto"/>
        <w:bottom w:val="none" w:sz="0" w:space="0" w:color="auto"/>
        <w:right w:val="none" w:sz="0" w:space="0" w:color="auto"/>
      </w:divBdr>
    </w:div>
    <w:div w:id="1436049769">
      <w:bodyDiv w:val="1"/>
      <w:marLeft w:val="0"/>
      <w:marRight w:val="0"/>
      <w:marTop w:val="0"/>
      <w:marBottom w:val="0"/>
      <w:divBdr>
        <w:top w:val="none" w:sz="0" w:space="0" w:color="auto"/>
        <w:left w:val="none" w:sz="0" w:space="0" w:color="auto"/>
        <w:bottom w:val="none" w:sz="0" w:space="0" w:color="auto"/>
        <w:right w:val="none" w:sz="0" w:space="0" w:color="auto"/>
      </w:divBdr>
    </w:div>
    <w:div w:id="1530530569">
      <w:bodyDiv w:val="1"/>
      <w:marLeft w:val="0"/>
      <w:marRight w:val="0"/>
      <w:marTop w:val="0"/>
      <w:marBottom w:val="0"/>
      <w:divBdr>
        <w:top w:val="none" w:sz="0" w:space="0" w:color="auto"/>
        <w:left w:val="none" w:sz="0" w:space="0" w:color="auto"/>
        <w:bottom w:val="none" w:sz="0" w:space="0" w:color="auto"/>
        <w:right w:val="none" w:sz="0" w:space="0" w:color="auto"/>
      </w:divBdr>
    </w:div>
    <w:div w:id="1555697179">
      <w:bodyDiv w:val="1"/>
      <w:marLeft w:val="0"/>
      <w:marRight w:val="0"/>
      <w:marTop w:val="0"/>
      <w:marBottom w:val="0"/>
      <w:divBdr>
        <w:top w:val="none" w:sz="0" w:space="0" w:color="auto"/>
        <w:left w:val="none" w:sz="0" w:space="0" w:color="auto"/>
        <w:bottom w:val="none" w:sz="0" w:space="0" w:color="auto"/>
        <w:right w:val="none" w:sz="0" w:space="0" w:color="auto"/>
      </w:divBdr>
    </w:div>
    <w:div w:id="1619069896">
      <w:bodyDiv w:val="1"/>
      <w:marLeft w:val="0"/>
      <w:marRight w:val="0"/>
      <w:marTop w:val="0"/>
      <w:marBottom w:val="0"/>
      <w:divBdr>
        <w:top w:val="none" w:sz="0" w:space="0" w:color="auto"/>
        <w:left w:val="none" w:sz="0" w:space="0" w:color="auto"/>
        <w:bottom w:val="none" w:sz="0" w:space="0" w:color="auto"/>
        <w:right w:val="none" w:sz="0" w:space="0" w:color="auto"/>
      </w:divBdr>
    </w:div>
    <w:div w:id="1621642653">
      <w:bodyDiv w:val="1"/>
      <w:marLeft w:val="0"/>
      <w:marRight w:val="0"/>
      <w:marTop w:val="0"/>
      <w:marBottom w:val="0"/>
      <w:divBdr>
        <w:top w:val="none" w:sz="0" w:space="0" w:color="auto"/>
        <w:left w:val="none" w:sz="0" w:space="0" w:color="auto"/>
        <w:bottom w:val="none" w:sz="0" w:space="0" w:color="auto"/>
        <w:right w:val="none" w:sz="0" w:space="0" w:color="auto"/>
      </w:divBdr>
    </w:div>
    <w:div w:id="1718970918">
      <w:bodyDiv w:val="1"/>
      <w:marLeft w:val="0"/>
      <w:marRight w:val="0"/>
      <w:marTop w:val="0"/>
      <w:marBottom w:val="0"/>
      <w:divBdr>
        <w:top w:val="none" w:sz="0" w:space="0" w:color="auto"/>
        <w:left w:val="none" w:sz="0" w:space="0" w:color="auto"/>
        <w:bottom w:val="none" w:sz="0" w:space="0" w:color="auto"/>
        <w:right w:val="none" w:sz="0" w:space="0" w:color="auto"/>
      </w:divBdr>
    </w:div>
    <w:div w:id="1722897853">
      <w:bodyDiv w:val="1"/>
      <w:marLeft w:val="0"/>
      <w:marRight w:val="0"/>
      <w:marTop w:val="0"/>
      <w:marBottom w:val="0"/>
      <w:divBdr>
        <w:top w:val="none" w:sz="0" w:space="0" w:color="auto"/>
        <w:left w:val="none" w:sz="0" w:space="0" w:color="auto"/>
        <w:bottom w:val="none" w:sz="0" w:space="0" w:color="auto"/>
        <w:right w:val="none" w:sz="0" w:space="0" w:color="auto"/>
      </w:divBdr>
    </w:div>
    <w:div w:id="1752195916">
      <w:bodyDiv w:val="1"/>
      <w:marLeft w:val="0"/>
      <w:marRight w:val="0"/>
      <w:marTop w:val="0"/>
      <w:marBottom w:val="0"/>
      <w:divBdr>
        <w:top w:val="none" w:sz="0" w:space="0" w:color="auto"/>
        <w:left w:val="none" w:sz="0" w:space="0" w:color="auto"/>
        <w:bottom w:val="none" w:sz="0" w:space="0" w:color="auto"/>
        <w:right w:val="none" w:sz="0" w:space="0" w:color="auto"/>
      </w:divBdr>
    </w:div>
    <w:div w:id="1799954171">
      <w:bodyDiv w:val="1"/>
      <w:marLeft w:val="0"/>
      <w:marRight w:val="0"/>
      <w:marTop w:val="0"/>
      <w:marBottom w:val="0"/>
      <w:divBdr>
        <w:top w:val="none" w:sz="0" w:space="0" w:color="auto"/>
        <w:left w:val="none" w:sz="0" w:space="0" w:color="auto"/>
        <w:bottom w:val="none" w:sz="0" w:space="0" w:color="auto"/>
        <w:right w:val="none" w:sz="0" w:space="0" w:color="auto"/>
      </w:divBdr>
    </w:div>
    <w:div w:id="1959215342">
      <w:bodyDiv w:val="1"/>
      <w:marLeft w:val="0"/>
      <w:marRight w:val="0"/>
      <w:marTop w:val="0"/>
      <w:marBottom w:val="0"/>
      <w:divBdr>
        <w:top w:val="none" w:sz="0" w:space="0" w:color="auto"/>
        <w:left w:val="none" w:sz="0" w:space="0" w:color="auto"/>
        <w:bottom w:val="none" w:sz="0" w:space="0" w:color="auto"/>
        <w:right w:val="none" w:sz="0" w:space="0" w:color="auto"/>
      </w:divBdr>
    </w:div>
    <w:div w:id="1997027294">
      <w:bodyDiv w:val="1"/>
      <w:marLeft w:val="0"/>
      <w:marRight w:val="0"/>
      <w:marTop w:val="0"/>
      <w:marBottom w:val="0"/>
      <w:divBdr>
        <w:top w:val="none" w:sz="0" w:space="0" w:color="auto"/>
        <w:left w:val="none" w:sz="0" w:space="0" w:color="auto"/>
        <w:bottom w:val="none" w:sz="0" w:space="0" w:color="auto"/>
        <w:right w:val="none" w:sz="0" w:space="0" w:color="auto"/>
      </w:divBdr>
    </w:div>
    <w:div w:id="2015112259">
      <w:bodyDiv w:val="1"/>
      <w:marLeft w:val="0"/>
      <w:marRight w:val="0"/>
      <w:marTop w:val="0"/>
      <w:marBottom w:val="0"/>
      <w:divBdr>
        <w:top w:val="none" w:sz="0" w:space="0" w:color="auto"/>
        <w:left w:val="none" w:sz="0" w:space="0" w:color="auto"/>
        <w:bottom w:val="none" w:sz="0" w:space="0" w:color="auto"/>
        <w:right w:val="none" w:sz="0" w:space="0" w:color="auto"/>
      </w:divBdr>
    </w:div>
    <w:div w:id="2022900692">
      <w:bodyDiv w:val="1"/>
      <w:marLeft w:val="0"/>
      <w:marRight w:val="0"/>
      <w:marTop w:val="0"/>
      <w:marBottom w:val="0"/>
      <w:divBdr>
        <w:top w:val="none" w:sz="0" w:space="0" w:color="auto"/>
        <w:left w:val="none" w:sz="0" w:space="0" w:color="auto"/>
        <w:bottom w:val="none" w:sz="0" w:space="0" w:color="auto"/>
        <w:right w:val="none" w:sz="0" w:space="0" w:color="auto"/>
      </w:divBdr>
    </w:div>
    <w:div w:id="2026591132">
      <w:bodyDiv w:val="1"/>
      <w:marLeft w:val="0"/>
      <w:marRight w:val="0"/>
      <w:marTop w:val="0"/>
      <w:marBottom w:val="0"/>
      <w:divBdr>
        <w:top w:val="none" w:sz="0" w:space="0" w:color="auto"/>
        <w:left w:val="none" w:sz="0" w:space="0" w:color="auto"/>
        <w:bottom w:val="none" w:sz="0" w:space="0" w:color="auto"/>
        <w:right w:val="none" w:sz="0" w:space="0" w:color="auto"/>
      </w:divBdr>
    </w:div>
    <w:div w:id="2076393394">
      <w:bodyDiv w:val="1"/>
      <w:marLeft w:val="0"/>
      <w:marRight w:val="0"/>
      <w:marTop w:val="0"/>
      <w:marBottom w:val="0"/>
      <w:divBdr>
        <w:top w:val="none" w:sz="0" w:space="0" w:color="auto"/>
        <w:left w:val="none" w:sz="0" w:space="0" w:color="auto"/>
        <w:bottom w:val="none" w:sz="0" w:space="0" w:color="auto"/>
        <w:right w:val="none" w:sz="0" w:space="0" w:color="auto"/>
      </w:divBdr>
    </w:div>
    <w:div w:id="20845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367/jem.2022.44.01?utm_source=chatgpt.com" TargetMode="External"/><Relationship Id="rId13" Type="http://schemas.openxmlformats.org/officeDocument/2006/relationships/hyperlink" Target="https://doi.org/10.34218/IJMET.12.7.2021.007?utm_source=chatgpt.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1453/jeb.v1i1.161?utm_source=chatgp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publication/347439686?utm_source=chatgp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23/j.economics.20120206.02?utm_source=chatgp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8488/journal.26.2021.102.51.63?utm_source=chatgpt.com" TargetMode="External"/><Relationship Id="rId23" Type="http://schemas.openxmlformats.org/officeDocument/2006/relationships/fontTable" Target="fontTable.xml"/><Relationship Id="rId10" Type="http://schemas.openxmlformats.org/officeDocument/2006/relationships/hyperlink" Target="https://www.focuseconomics.com/economic-indicator/external-de?utm_source=chatgpt.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bn.gov.ng/documents/Statbulletin.asp?utm_source=chatgpt.com" TargetMode="External"/><Relationship Id="rId14" Type="http://schemas.openxmlformats.org/officeDocument/2006/relationships/hyperlink" Target="https://doi.org/10.54536/ajebi.v1i3.570?utm_source=chatgpt.com"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Improved%20MSC\Leatest\MyPHD\Papers%20for%20Publications\References%20game%20theo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Sheet3!$N$2</c:f>
              <c:strCache>
                <c:ptCount val="1"/>
                <c:pt idx="0">
                  <c:v>External Debt (USD)</c:v>
                </c:pt>
              </c:strCache>
            </c:strRef>
          </c:tx>
          <c:cat>
            <c:numRef>
              <c:f>Sheet3!$M$3:$M$16</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Sheet3!$N$3:$N$16</c:f>
              <c:numCache>
                <c:formatCode>General</c:formatCode>
                <c:ptCount val="14"/>
                <c:pt idx="0">
                  <c:v>28.26</c:v>
                </c:pt>
                <c:pt idx="1">
                  <c:v>32.380000000000003</c:v>
                </c:pt>
                <c:pt idx="2">
                  <c:v>36.979999999999997</c:v>
                </c:pt>
                <c:pt idx="3">
                  <c:v>38.770000000000003</c:v>
                </c:pt>
                <c:pt idx="4">
                  <c:v>41.8</c:v>
                </c:pt>
                <c:pt idx="5">
                  <c:v>41.54</c:v>
                </c:pt>
                <c:pt idx="6">
                  <c:v>41.36</c:v>
                </c:pt>
                <c:pt idx="7">
                  <c:v>62.79</c:v>
                </c:pt>
                <c:pt idx="8">
                  <c:v>66.569999999999993</c:v>
                </c:pt>
                <c:pt idx="9">
                  <c:v>77.709999999999994</c:v>
                </c:pt>
                <c:pt idx="10">
                  <c:v>82.83</c:v>
                </c:pt>
                <c:pt idx="11">
                  <c:v>90.89</c:v>
                </c:pt>
                <c:pt idx="12">
                  <c:v>98.34</c:v>
                </c:pt>
                <c:pt idx="13">
                  <c:v>108.2</c:v>
                </c:pt>
              </c:numCache>
            </c:numRef>
          </c:val>
          <c:smooth val="0"/>
          <c:extLst xmlns:c16r2="http://schemas.microsoft.com/office/drawing/2015/06/chart">
            <c:ext xmlns:c16="http://schemas.microsoft.com/office/drawing/2014/chart" uri="{C3380CC4-5D6E-409C-BE32-E72D297353CC}">
              <c16:uniqueId val="{00000000-2675-4428-8248-834BE53B4D38}"/>
            </c:ext>
          </c:extLst>
        </c:ser>
        <c:dLbls>
          <c:showLegendKey val="0"/>
          <c:showVal val="0"/>
          <c:showCatName val="0"/>
          <c:showSerName val="0"/>
          <c:showPercent val="0"/>
          <c:showBubbleSize val="0"/>
        </c:dLbls>
        <c:marker val="1"/>
        <c:smooth val="0"/>
        <c:axId val="1110806704"/>
        <c:axId val="1110813232"/>
      </c:lineChart>
      <c:catAx>
        <c:axId val="1110806704"/>
        <c:scaling>
          <c:orientation val="minMax"/>
        </c:scaling>
        <c:delete val="0"/>
        <c:axPos val="b"/>
        <c:numFmt formatCode="General" sourceLinked="1"/>
        <c:majorTickMark val="out"/>
        <c:minorTickMark val="none"/>
        <c:tickLblPos val="nextTo"/>
        <c:crossAx val="1110813232"/>
        <c:crosses val="autoZero"/>
        <c:auto val="1"/>
        <c:lblAlgn val="ctr"/>
        <c:lblOffset val="100"/>
        <c:noMultiLvlLbl val="0"/>
      </c:catAx>
      <c:valAx>
        <c:axId val="1110813232"/>
        <c:scaling>
          <c:orientation val="minMax"/>
        </c:scaling>
        <c:delete val="0"/>
        <c:axPos val="l"/>
        <c:numFmt formatCode="General" sourceLinked="1"/>
        <c:majorTickMark val="out"/>
        <c:minorTickMark val="none"/>
        <c:tickLblPos val="nextTo"/>
        <c:crossAx val="111080670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5620</TotalTime>
  <Pages>25</Pages>
  <Words>9147</Words>
  <Characters>52140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Uchecollins</dc:creator>
  <cp:lastModifiedBy>chikecekweanya@gmail.com</cp:lastModifiedBy>
  <cp:revision>54</cp:revision>
  <dcterms:created xsi:type="dcterms:W3CDTF">2025-03-19T08:30:00Z</dcterms:created>
  <dcterms:modified xsi:type="dcterms:W3CDTF">2025-09-01T11:38:00Z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cba1818949b52562b5eb0e70d36c6bd69a623ee436d764e54c298b0962ad711a</vt:lpwstr>
  </property>
</Properties>
</file>