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F61B5" w14:textId="6881A273" w:rsidR="002B2C77" w:rsidRPr="00924962" w:rsidRDefault="00924962" w:rsidP="00924962">
      <w:pPr>
        <w:spacing w:before="100" w:beforeAutospacing="1" w:after="100" w:afterAutospacing="1" w:line="360" w:lineRule="auto"/>
        <w:jc w:val="center"/>
        <w:rPr>
          <w:rFonts w:ascii="Arial" w:eastAsia="Times New Roman" w:hAnsi="Arial" w:cs="Arial"/>
          <w:b/>
          <w:bCs/>
          <w:sz w:val="24"/>
          <w:szCs w:val="24"/>
          <w:lang w:val="en-US" w:eastAsia="es-MX"/>
        </w:rPr>
      </w:pPr>
      <w:r w:rsidRPr="00924962">
        <w:rPr>
          <w:rFonts w:ascii="Arial" w:hAnsi="Arial" w:cs="Arial"/>
          <w:b/>
          <w:bCs/>
          <w:sz w:val="24"/>
          <w:szCs w:val="24"/>
          <w:lang w:val="en-US"/>
        </w:rPr>
        <w:t>R</w:t>
      </w:r>
      <w:r w:rsidRPr="00924962">
        <w:rPr>
          <w:rFonts w:ascii="Arial" w:hAnsi="Arial" w:cs="Arial"/>
          <w:b/>
          <w:bCs/>
          <w:sz w:val="24"/>
          <w:szCs w:val="24"/>
          <w:lang w:val="en-US"/>
        </w:rPr>
        <w:t>eview of NOM Standards on Oral Surgery and Periodontology</w:t>
      </w:r>
    </w:p>
    <w:p w14:paraId="2B9B76E8" w14:textId="3A708AB6" w:rsidR="002B2C77" w:rsidRPr="002B2C77" w:rsidRDefault="002B2C77" w:rsidP="00A36028">
      <w:pPr>
        <w:spacing w:before="100" w:beforeAutospacing="1" w:after="100" w:afterAutospacing="1" w:line="360" w:lineRule="auto"/>
        <w:jc w:val="both"/>
        <w:rPr>
          <w:rFonts w:ascii="Arial" w:eastAsia="Times New Roman" w:hAnsi="Arial" w:cs="Arial"/>
          <w:b/>
          <w:bCs/>
          <w:sz w:val="24"/>
          <w:szCs w:val="24"/>
          <w:lang w:val="en-US" w:eastAsia="es-MX"/>
        </w:rPr>
      </w:pPr>
      <w:r w:rsidRPr="00A36028">
        <w:rPr>
          <w:rFonts w:ascii="Arial" w:eastAsia="Times New Roman" w:hAnsi="Arial" w:cs="Arial"/>
          <w:b/>
          <w:bCs/>
          <w:sz w:val="24"/>
          <w:szCs w:val="24"/>
          <w:lang w:val="en-US" w:eastAsia="es-MX"/>
        </w:rPr>
        <w:t>Abstract</w:t>
      </w:r>
    </w:p>
    <w:p w14:paraId="40658F0A" w14:textId="661B2F82" w:rsidR="002B2C77" w:rsidRPr="00A36028" w:rsidRDefault="002B2C77" w:rsidP="00A36028">
      <w:pPr>
        <w:spacing w:before="100" w:beforeAutospacing="1" w:after="100" w:afterAutospacing="1" w:line="360" w:lineRule="auto"/>
        <w:jc w:val="both"/>
        <w:rPr>
          <w:rFonts w:ascii="Arial" w:hAnsi="Arial" w:cs="Arial"/>
          <w:sz w:val="24"/>
          <w:szCs w:val="24"/>
          <w:lang w:val="en-US"/>
        </w:rPr>
      </w:pPr>
      <w:r w:rsidRPr="00A36028">
        <w:rPr>
          <w:rFonts w:ascii="Arial" w:hAnsi="Arial" w:cs="Arial"/>
          <w:sz w:val="24"/>
          <w:szCs w:val="24"/>
          <w:lang w:val="en-US"/>
        </w:rPr>
        <w:t xml:space="preserve">The Mexican Official Standards (Normas </w:t>
      </w:r>
      <w:proofErr w:type="spellStart"/>
      <w:r w:rsidRPr="00A36028">
        <w:rPr>
          <w:rFonts w:ascii="Arial" w:hAnsi="Arial" w:cs="Arial"/>
          <w:sz w:val="24"/>
          <w:szCs w:val="24"/>
          <w:lang w:val="en-US"/>
        </w:rPr>
        <w:t>Oficiales</w:t>
      </w:r>
      <w:proofErr w:type="spellEnd"/>
      <w:r w:rsidRPr="00A36028">
        <w:rPr>
          <w:rFonts w:ascii="Arial" w:hAnsi="Arial" w:cs="Arial"/>
          <w:sz w:val="24"/>
          <w:szCs w:val="24"/>
          <w:lang w:val="en-US"/>
        </w:rPr>
        <w:t xml:space="preserve"> </w:t>
      </w:r>
      <w:proofErr w:type="spellStart"/>
      <w:r w:rsidRPr="00A36028">
        <w:rPr>
          <w:rFonts w:ascii="Arial" w:hAnsi="Arial" w:cs="Arial"/>
          <w:sz w:val="24"/>
          <w:szCs w:val="24"/>
          <w:lang w:val="en-US"/>
        </w:rPr>
        <w:t>Mexicanas</w:t>
      </w:r>
      <w:proofErr w:type="spellEnd"/>
      <w:r w:rsidRPr="00A36028">
        <w:rPr>
          <w:rFonts w:ascii="Arial" w:hAnsi="Arial" w:cs="Arial"/>
          <w:sz w:val="24"/>
          <w:szCs w:val="24"/>
          <w:lang w:val="en-US"/>
        </w:rPr>
        <w:t xml:space="preserve">, NOMs) constitute a mandatory legal, scientific and administrative framework in dental practice because they regulate the quality of services, patient safety and professional responsibility. For periodontics specialists, knowledge and application of these standards not only represents an ethical commitment but also legal protection against sanctions that may range from reprimands and financial fines reaching millions of pesos to partial or definitive closure of clinics and even criminal consequences. Recent studies have shown that although dentists recognize the existence and importance of the NOMs, their knowledge and practical application remain limited. </w:t>
      </w:r>
      <w:r w:rsidR="00924962" w:rsidRPr="00924962">
        <w:rPr>
          <w:rFonts w:ascii="Arial" w:hAnsi="Arial" w:cs="Arial"/>
          <w:sz w:val="24"/>
          <w:szCs w:val="24"/>
          <w:lang w:val="en-US"/>
        </w:rPr>
        <w:t>Materials and Methods</w:t>
      </w:r>
      <w:r w:rsidR="00924962" w:rsidRPr="00924962">
        <w:rPr>
          <w:rFonts w:ascii="Arial" w:hAnsi="Arial" w:cs="Arial"/>
          <w:sz w:val="20"/>
          <w:szCs w:val="20"/>
          <w:lang w:val="en-US"/>
        </w:rPr>
        <w:t>:</w:t>
      </w:r>
      <w:r w:rsidR="00924962" w:rsidRPr="00924962">
        <w:rPr>
          <w:lang w:val="en-US"/>
        </w:rPr>
        <w:t xml:space="preserve"> </w:t>
      </w:r>
      <w:r w:rsidRPr="00A36028">
        <w:rPr>
          <w:rFonts w:ascii="Arial" w:hAnsi="Arial" w:cs="Arial"/>
          <w:sz w:val="24"/>
          <w:szCs w:val="24"/>
          <w:lang w:val="en-US"/>
        </w:rPr>
        <w:t xml:space="preserve">A descriptive, cross-sectional study was conducted among students at the Centro Mexicano </w:t>
      </w:r>
      <w:proofErr w:type="spellStart"/>
      <w:r w:rsidRPr="00A36028">
        <w:rPr>
          <w:rFonts w:ascii="Arial" w:hAnsi="Arial" w:cs="Arial"/>
          <w:sz w:val="24"/>
          <w:szCs w:val="24"/>
          <w:lang w:val="en-US"/>
        </w:rPr>
        <w:t>en</w:t>
      </w:r>
      <w:proofErr w:type="spellEnd"/>
      <w:r w:rsidRPr="00A36028">
        <w:rPr>
          <w:rFonts w:ascii="Arial" w:hAnsi="Arial" w:cs="Arial"/>
          <w:sz w:val="24"/>
          <w:szCs w:val="24"/>
          <w:lang w:val="en-US"/>
        </w:rPr>
        <w:t xml:space="preserve"> </w:t>
      </w:r>
      <w:proofErr w:type="spellStart"/>
      <w:r w:rsidRPr="00A36028">
        <w:rPr>
          <w:rFonts w:ascii="Arial" w:hAnsi="Arial" w:cs="Arial"/>
          <w:sz w:val="24"/>
          <w:szCs w:val="24"/>
          <w:lang w:val="en-US"/>
        </w:rPr>
        <w:t>Estomatología</w:t>
      </w:r>
      <w:proofErr w:type="spellEnd"/>
      <w:r w:rsidRPr="00A36028">
        <w:rPr>
          <w:rFonts w:ascii="Arial" w:hAnsi="Arial" w:cs="Arial"/>
          <w:sz w:val="24"/>
          <w:szCs w:val="24"/>
          <w:lang w:val="en-US"/>
        </w:rPr>
        <w:t>, Morelia Campus</w:t>
      </w:r>
      <w:r w:rsidR="006E58FD">
        <w:rPr>
          <w:rFonts w:ascii="Arial" w:hAnsi="Arial" w:cs="Arial"/>
          <w:sz w:val="24"/>
          <w:szCs w:val="24"/>
          <w:lang w:val="en-US"/>
        </w:rPr>
        <w:t xml:space="preserve"> during the 2024-2025 period. Inclusion criteria: students in the specialties of Oral Surgery, Periodontics, Orthodontics and Maxillary Orthopedics, and Pediatric Dentistry</w:t>
      </w:r>
      <w:r w:rsidRPr="00A36028">
        <w:rPr>
          <w:rFonts w:ascii="Arial" w:hAnsi="Arial" w:cs="Arial"/>
          <w:sz w:val="24"/>
          <w:szCs w:val="24"/>
          <w:lang w:val="en-US"/>
        </w:rPr>
        <w:t>. A total of 41 residents from different dental specialties were evaluated using a structured 40-item instrument focused on the Mexican legal regulations applicable to clinical dental practice; the questionnaire included items on NOM-004-SSA3-2012, NOM-013-SSA2-2015, NOM-087-SEMARNAT-SSA1-2002 and NOM-005-SSA3-2018. One hundred percent (100%) answered correctly the question about the elements that make up the clinical record, demonstrating solid knowledge of this fundamental part of medical documentation; nevertheless, significant deficiencies persist that are particularly relevant in periodontics, where clinical practice involves surgical procedures, generation of fluids and handling of biological-infectious materials. Strengthening the teaching and evaluation of the Mexican Official Standards will allow consolidation of an ethical, safe and legally supported professional practice for both patients and clinicians.</w:t>
      </w:r>
    </w:p>
    <w:p w14:paraId="4D4B7F13" w14:textId="10631C57" w:rsidR="002B2C77" w:rsidRDefault="002B2C77" w:rsidP="00A36028">
      <w:pPr>
        <w:spacing w:before="100" w:beforeAutospacing="1" w:after="100" w:afterAutospacing="1" w:line="360" w:lineRule="auto"/>
        <w:jc w:val="both"/>
        <w:rPr>
          <w:rFonts w:ascii="Arial" w:hAnsi="Arial" w:cs="Arial"/>
          <w:sz w:val="24"/>
          <w:szCs w:val="24"/>
          <w:lang w:val="en-US"/>
        </w:rPr>
      </w:pPr>
      <w:r w:rsidRPr="00A36028">
        <w:rPr>
          <w:rFonts w:ascii="Arial" w:hAnsi="Arial" w:cs="Arial"/>
          <w:b/>
          <w:bCs/>
          <w:sz w:val="24"/>
          <w:szCs w:val="24"/>
          <w:lang w:val="en-US"/>
        </w:rPr>
        <w:t>Keywords:</w:t>
      </w:r>
      <w:r w:rsidRPr="00A36028">
        <w:rPr>
          <w:rFonts w:ascii="Arial" w:hAnsi="Arial" w:cs="Arial"/>
          <w:sz w:val="24"/>
          <w:szCs w:val="24"/>
          <w:lang w:val="en-US"/>
        </w:rPr>
        <w:t xml:space="preserve"> Mexican Official Standards; Dentistry; Legal framework; Periodontology specialty residents; Biosecurity; Clinical record; Health regulation.</w:t>
      </w:r>
    </w:p>
    <w:p w14:paraId="4542DDFE" w14:textId="314B2F71" w:rsidR="00A36028" w:rsidRDefault="00A36028" w:rsidP="00A36028">
      <w:pPr>
        <w:spacing w:before="100" w:beforeAutospacing="1" w:after="100" w:afterAutospacing="1" w:line="360" w:lineRule="auto"/>
        <w:jc w:val="both"/>
        <w:rPr>
          <w:rFonts w:ascii="Arial" w:hAnsi="Arial" w:cs="Arial"/>
          <w:sz w:val="24"/>
          <w:szCs w:val="24"/>
          <w:lang w:val="en-US"/>
        </w:rPr>
      </w:pPr>
    </w:p>
    <w:p w14:paraId="02F54FBD" w14:textId="4D43BA5C" w:rsidR="002B2C77" w:rsidRPr="00A36028" w:rsidRDefault="002B2C77" w:rsidP="00A36028">
      <w:pPr>
        <w:spacing w:after="0" w:line="360" w:lineRule="auto"/>
        <w:jc w:val="both"/>
        <w:rPr>
          <w:rFonts w:ascii="Arial" w:eastAsia="Times New Roman" w:hAnsi="Arial" w:cs="Arial"/>
          <w:b/>
          <w:bCs/>
          <w:sz w:val="24"/>
          <w:szCs w:val="24"/>
          <w:lang w:val="en-US" w:eastAsia="es-MX"/>
        </w:rPr>
      </w:pPr>
      <w:r w:rsidRPr="00A36028">
        <w:rPr>
          <w:rFonts w:ascii="Arial" w:eastAsia="Times New Roman" w:hAnsi="Arial" w:cs="Arial"/>
          <w:b/>
          <w:bCs/>
          <w:sz w:val="24"/>
          <w:szCs w:val="24"/>
          <w:lang w:val="en-US" w:eastAsia="es-MX"/>
        </w:rPr>
        <w:t>Introduction</w:t>
      </w:r>
    </w:p>
    <w:p w14:paraId="202890B6" w14:textId="795D538C" w:rsidR="002B2C77" w:rsidRPr="00A36028" w:rsidRDefault="002B2C77" w:rsidP="00A36028">
      <w:pPr>
        <w:pStyle w:val="NormalWeb"/>
        <w:spacing w:line="360" w:lineRule="auto"/>
        <w:jc w:val="both"/>
        <w:rPr>
          <w:rFonts w:ascii="Arial" w:hAnsi="Arial" w:cs="Arial"/>
          <w:lang w:val="en-US"/>
        </w:rPr>
      </w:pPr>
      <w:r w:rsidRPr="00A36028">
        <w:rPr>
          <w:rFonts w:ascii="Arial" w:hAnsi="Arial" w:cs="Arial"/>
          <w:lang w:val="en-US"/>
        </w:rPr>
        <w:t>The Mexican Official Standards (NOMs) constitute a mandatory legal, scientific and administrative framework for dental practice because they regulate the quality of services, patient safety and professional responsibility. For periodontics specialists, knowledge and application of these standards not only represents an ethical commitment but also legal protection against sanctions that can range from reprimands, economic fines that reach millions of pesos, to temporary or definitive closure of clinics and even criminal consequences in severe cases. The authority responsible for supervising compliance is the Federal Commission for Protection against Sanitary Risks (COFEPRIS), which guarantees that dental procedures adhere to recognized scientific and administrative criteria</w:t>
      </w:r>
      <w:r w:rsidR="00A36028">
        <w:rPr>
          <w:rFonts w:ascii="Arial" w:hAnsi="Arial" w:cs="Arial"/>
          <w:vertAlign w:val="superscript"/>
          <w:lang w:val="en-US"/>
        </w:rPr>
        <w:t>1</w:t>
      </w:r>
      <w:r w:rsidRPr="00A36028">
        <w:rPr>
          <w:rFonts w:ascii="Arial" w:hAnsi="Arial" w:cs="Arial"/>
          <w:lang w:val="en-US"/>
        </w:rPr>
        <w:t>.</w:t>
      </w:r>
    </w:p>
    <w:p w14:paraId="4F445941" w14:textId="6DD8B884" w:rsidR="002B2C77" w:rsidRPr="00A36028" w:rsidRDefault="002B2C77" w:rsidP="00A36028">
      <w:pPr>
        <w:pStyle w:val="NormalWeb"/>
        <w:spacing w:line="360" w:lineRule="auto"/>
        <w:jc w:val="both"/>
        <w:rPr>
          <w:rFonts w:ascii="Arial" w:hAnsi="Arial" w:cs="Arial"/>
          <w:lang w:val="en-US"/>
        </w:rPr>
      </w:pPr>
      <w:r w:rsidRPr="00A36028">
        <w:rPr>
          <w:rFonts w:ascii="Arial" w:hAnsi="Arial" w:cs="Arial"/>
          <w:lang w:val="en-US"/>
        </w:rPr>
        <w:t>Noncompliance with the NOMs entails sanctions that range from warnings with admonition to multimillion-peso fines, temporary or definitive closure of the clinic and even administrative arrest. COFEPRIS is the authority empowered to monitor and sanction professionals and establishments that fail to comply with health provisions. According to the General Health Law and its regulations, fines can range from 1,000 to 10,000 times the current general minimum wage, which corresponds to approximate amounts of MXN $248,930 to $2,489,300 depending on the infraction. Among the most frequent violations are: operating without a notice of operation, lack of sanitary registration for dental supplies, deficiencies in the handling of hazardous biological-infectious waste (RPBI), and omission in the proper integration of the clinical record. These amounts, beyond the economic impact, may cause damage to professional reputation and loss of the right to practice</w:t>
      </w:r>
      <w:r w:rsidR="00A36028">
        <w:rPr>
          <w:rFonts w:ascii="Arial" w:hAnsi="Arial" w:cs="Arial"/>
          <w:vertAlign w:val="superscript"/>
          <w:lang w:val="en-US"/>
        </w:rPr>
        <w:t>2.3</w:t>
      </w:r>
      <w:r w:rsidRPr="00A36028">
        <w:rPr>
          <w:rFonts w:ascii="Arial" w:hAnsi="Arial" w:cs="Arial"/>
          <w:lang w:val="en-US"/>
        </w:rPr>
        <w:t>.</w:t>
      </w:r>
    </w:p>
    <w:p w14:paraId="0C20E2DD" w14:textId="4495B46B" w:rsidR="002B2C77" w:rsidRPr="00A36028" w:rsidRDefault="002B2C77" w:rsidP="00A36028">
      <w:pPr>
        <w:pStyle w:val="NormalWeb"/>
        <w:spacing w:line="360" w:lineRule="auto"/>
        <w:jc w:val="both"/>
        <w:rPr>
          <w:rFonts w:ascii="Arial" w:hAnsi="Arial" w:cs="Arial"/>
          <w:lang w:val="en-US"/>
        </w:rPr>
      </w:pPr>
      <w:r w:rsidRPr="00A36028">
        <w:rPr>
          <w:rFonts w:ascii="Arial" w:hAnsi="Arial" w:cs="Arial"/>
          <w:lang w:val="en-US"/>
        </w:rPr>
        <w:t xml:space="preserve">Among the standards most relevant to dental practice is NOM-004-SSA3-2012, which regulates the preparation, use and preservation of the clinical record as a mandatory document for every procedure, ensuring confidentiality, traceability and legal validity. Likewise, NOM-013-SSA2-2015 establishes provisions for the prevention and control of oral diseases, including dental caries and periodontal </w:t>
      </w:r>
      <w:r w:rsidRPr="00A36028">
        <w:rPr>
          <w:rFonts w:ascii="Arial" w:hAnsi="Arial" w:cs="Arial"/>
          <w:lang w:val="en-US"/>
        </w:rPr>
        <w:lastRenderedPageBreak/>
        <w:t>disease, which affect more than 90% of the Mexican population and represent one of the main causes for seeking health services. On the other hand, NOM-087-ECOL-SSA1-2002 regulates the management of hazardous biological-infectious waste, of particular importance in periodontal surgery where fluids, tissues and contaminated materials are generated. Finally, NOM-005-SSA3-2018 defines the minimum infrastructure and equipment requirements in outpatient medical care facilities, ensuring that dental offices have suitable conditions for clinical practice</w:t>
      </w:r>
      <w:r w:rsidR="00A36028">
        <w:rPr>
          <w:rFonts w:ascii="Arial" w:eastAsia="Arial" w:hAnsi="Arial" w:cs="Arial"/>
          <w:vertAlign w:val="superscript"/>
          <w:lang w:val="en-US"/>
        </w:rPr>
        <w:t>4-</w:t>
      </w:r>
      <w:r w:rsidR="00A36028" w:rsidRPr="00A36028">
        <w:rPr>
          <w:rFonts w:ascii="Arial" w:eastAsia="Arial" w:hAnsi="Arial" w:cs="Arial"/>
          <w:vertAlign w:val="superscript"/>
          <w:lang w:val="en-US"/>
        </w:rPr>
        <w:t>7</w:t>
      </w:r>
      <w:r w:rsidRPr="00A36028">
        <w:rPr>
          <w:rFonts w:ascii="Arial" w:hAnsi="Arial" w:cs="Arial"/>
          <w:lang w:val="en-US"/>
        </w:rPr>
        <w:t>.</w:t>
      </w:r>
    </w:p>
    <w:p w14:paraId="64AC005D" w14:textId="2834A90E" w:rsidR="002B2C77" w:rsidRPr="002B1C24" w:rsidRDefault="002B1C24" w:rsidP="002B1C24">
      <w:pPr>
        <w:spacing w:before="100" w:beforeAutospacing="1" w:after="100" w:afterAutospacing="1" w:line="360" w:lineRule="auto"/>
        <w:jc w:val="both"/>
        <w:rPr>
          <w:rFonts w:ascii="Arial" w:eastAsia="Times New Roman" w:hAnsi="Arial" w:cs="Arial"/>
          <w:sz w:val="24"/>
          <w:szCs w:val="24"/>
          <w:lang w:val="en-US" w:eastAsia="es-MX"/>
        </w:rPr>
      </w:pPr>
      <w:r w:rsidRPr="002B1C24">
        <w:rPr>
          <w:rFonts w:ascii="Arial" w:eastAsia="Times New Roman" w:hAnsi="Arial" w:cs="Arial"/>
          <w:sz w:val="24"/>
          <w:szCs w:val="24"/>
          <w:lang w:val="en-US" w:eastAsia="es-MX"/>
        </w:rPr>
        <w:t>Salazar MH et al. demonstrated that, although dentists recognize the existence and importance of the NOMs, their knowledge and practical application remain limited. For example, studies conducted with residents from different dental specialties indicate that, although the majority acknowledge the mandatory nature of the clinical record and the guidelines on RPBI, less than 35% show adequate knowledge of the documents that make up the complete clinical history or of the administrative processes that ensure the clinic’s legal compliance. Similarly, regarding infrastructure, while more than 70% of specialists are aware of the basic characteristics of the clinic, only 17% can identify the documentation that proves compliance before the authorities</w:t>
      </w:r>
      <w:r w:rsidR="00A36028">
        <w:rPr>
          <w:rFonts w:ascii="Arial" w:eastAsia="Arial" w:hAnsi="Arial" w:cs="Arial"/>
          <w:vertAlign w:val="superscript"/>
          <w:lang w:val="en-US"/>
        </w:rPr>
        <w:t>8</w:t>
      </w:r>
      <w:r w:rsidR="002B2C77" w:rsidRPr="00A36028">
        <w:rPr>
          <w:rFonts w:ascii="Arial" w:hAnsi="Arial" w:cs="Arial"/>
          <w:lang w:val="en-US"/>
        </w:rPr>
        <w:t>.</w:t>
      </w:r>
    </w:p>
    <w:p w14:paraId="3596E5F3" w14:textId="7473457B" w:rsidR="002B2C77" w:rsidRPr="00A36028" w:rsidRDefault="002B2C77" w:rsidP="00A36028">
      <w:pPr>
        <w:pStyle w:val="NormalWeb"/>
        <w:spacing w:line="360" w:lineRule="auto"/>
        <w:jc w:val="both"/>
        <w:rPr>
          <w:rFonts w:ascii="Arial" w:hAnsi="Arial" w:cs="Arial"/>
          <w:lang w:val="en-US"/>
        </w:rPr>
      </w:pPr>
      <w:r w:rsidRPr="00A36028">
        <w:rPr>
          <w:rFonts w:ascii="Arial" w:hAnsi="Arial" w:cs="Arial"/>
          <w:lang w:val="en-US"/>
        </w:rPr>
        <w:t>Despite the importance of sanctions, there are no official publicly available figures that specify how many dentists in Mexico have been sanctioned for noncompliance with these standards. However, COFEPRIS reports highlight that the most common administrative procedures are related to clinics operating without a notice of operation and the commercialization of dental products without sanitary registration. This underscores the urgent need to reinforce the teaching of the regulation in postgraduate programs and to promote continuous updating of periodontics specialists. Thus, observance of NOMs in periodontics is not limited to a legal obligation but constitutes a key factor to guarantee safe, ethical and quality practices aligned with international standards. Likewise, lack of knowledge can result in serious professional, legal and economic consequences. Therefore, integrating these contents into the training and evaluation of specialists is essential to ensure the responsible practice of dentistry in Mexico</w:t>
      </w:r>
      <w:r w:rsidR="00A36028">
        <w:rPr>
          <w:rFonts w:ascii="Arial" w:eastAsia="Arial" w:hAnsi="Arial" w:cs="Arial"/>
          <w:vertAlign w:val="superscript"/>
          <w:lang w:val="en-US"/>
        </w:rPr>
        <w:t>1</w:t>
      </w:r>
      <w:r w:rsidRPr="00A36028">
        <w:rPr>
          <w:rFonts w:ascii="Arial" w:hAnsi="Arial" w:cs="Arial"/>
          <w:lang w:val="en-US"/>
        </w:rPr>
        <w:t>.</w:t>
      </w:r>
    </w:p>
    <w:p w14:paraId="14CE0DBF" w14:textId="023BC70F" w:rsidR="002B2C77" w:rsidRPr="00A36028" w:rsidRDefault="00A36028" w:rsidP="00A36028">
      <w:pPr>
        <w:pStyle w:val="NormalWeb"/>
        <w:spacing w:line="360" w:lineRule="auto"/>
        <w:jc w:val="both"/>
        <w:rPr>
          <w:rFonts w:ascii="Arial" w:hAnsi="Arial" w:cs="Arial"/>
          <w:b/>
          <w:bCs/>
          <w:lang w:val="en-US"/>
        </w:rPr>
      </w:pPr>
      <w:r w:rsidRPr="00A36028">
        <w:rPr>
          <w:rFonts w:ascii="Arial" w:hAnsi="Arial" w:cs="Arial"/>
          <w:b/>
          <w:bCs/>
          <w:lang w:val="en-US"/>
        </w:rPr>
        <w:lastRenderedPageBreak/>
        <w:t>Methods</w:t>
      </w:r>
    </w:p>
    <w:p w14:paraId="79005FE9" w14:textId="63499574" w:rsidR="002B2C77" w:rsidRPr="00A36028" w:rsidRDefault="002B2C77" w:rsidP="00A36028">
      <w:pPr>
        <w:pStyle w:val="NormalWeb"/>
        <w:spacing w:line="360" w:lineRule="auto"/>
        <w:jc w:val="both"/>
        <w:rPr>
          <w:rFonts w:ascii="Arial" w:hAnsi="Arial" w:cs="Arial"/>
          <w:lang w:val="en-US"/>
        </w:rPr>
      </w:pPr>
      <w:r w:rsidRPr="00A36028">
        <w:rPr>
          <w:rFonts w:ascii="Arial" w:hAnsi="Arial" w:cs="Arial"/>
          <w:lang w:val="en-US"/>
        </w:rPr>
        <w:t xml:space="preserve">A descriptive, cross-sectional study was developed among students at the Centro Mexicano </w:t>
      </w:r>
      <w:proofErr w:type="spellStart"/>
      <w:r w:rsidRPr="00A36028">
        <w:rPr>
          <w:rFonts w:ascii="Arial" w:hAnsi="Arial" w:cs="Arial"/>
          <w:lang w:val="en-US"/>
        </w:rPr>
        <w:t>en</w:t>
      </w:r>
      <w:proofErr w:type="spellEnd"/>
      <w:r w:rsidRPr="00A36028">
        <w:rPr>
          <w:rFonts w:ascii="Arial" w:hAnsi="Arial" w:cs="Arial"/>
          <w:lang w:val="en-US"/>
        </w:rPr>
        <w:t xml:space="preserve"> </w:t>
      </w:r>
      <w:proofErr w:type="spellStart"/>
      <w:r w:rsidRPr="00A36028">
        <w:rPr>
          <w:rFonts w:ascii="Arial" w:hAnsi="Arial" w:cs="Arial"/>
          <w:lang w:val="en-US"/>
        </w:rPr>
        <w:t>Estomatología</w:t>
      </w:r>
      <w:proofErr w:type="spellEnd"/>
      <w:r w:rsidRPr="00A36028">
        <w:rPr>
          <w:rFonts w:ascii="Arial" w:hAnsi="Arial" w:cs="Arial"/>
          <w:lang w:val="en-US"/>
        </w:rPr>
        <w:t xml:space="preserve">, Morelia Campus during the 2024–2025 period. Inclusion criteria: students in the specialties of Oral Surgery, Periodontics, Orthodontics and Maxillary Orthopedics, and Pediatric Dentistry at the Centro Mexicano </w:t>
      </w:r>
      <w:proofErr w:type="spellStart"/>
      <w:r w:rsidRPr="00A36028">
        <w:rPr>
          <w:rFonts w:ascii="Arial" w:hAnsi="Arial" w:cs="Arial"/>
          <w:lang w:val="en-US"/>
        </w:rPr>
        <w:t>en</w:t>
      </w:r>
      <w:proofErr w:type="spellEnd"/>
      <w:r w:rsidRPr="00A36028">
        <w:rPr>
          <w:rFonts w:ascii="Arial" w:hAnsi="Arial" w:cs="Arial"/>
          <w:lang w:val="en-US"/>
        </w:rPr>
        <w:t xml:space="preserve"> </w:t>
      </w:r>
      <w:proofErr w:type="spellStart"/>
      <w:r w:rsidRPr="00A36028">
        <w:rPr>
          <w:rFonts w:ascii="Arial" w:hAnsi="Arial" w:cs="Arial"/>
          <w:lang w:val="en-US"/>
        </w:rPr>
        <w:t>Estomatología</w:t>
      </w:r>
      <w:proofErr w:type="spellEnd"/>
      <w:r w:rsidRPr="00A36028">
        <w:rPr>
          <w:rFonts w:ascii="Arial" w:hAnsi="Arial" w:cs="Arial"/>
          <w:lang w:val="en-US"/>
        </w:rPr>
        <w:t>, Morelia Campus. Exclusion criteria: students withdrawn from the academic cycle and students who did not complete the survey.</w:t>
      </w:r>
    </w:p>
    <w:p w14:paraId="2F1C9DDC" w14:textId="17FDF3CF" w:rsidR="002B2C77" w:rsidRPr="00A36028" w:rsidRDefault="002B2C77" w:rsidP="00A36028">
      <w:pPr>
        <w:pStyle w:val="NormalWeb"/>
        <w:spacing w:line="360" w:lineRule="auto"/>
        <w:jc w:val="both"/>
        <w:rPr>
          <w:rFonts w:ascii="Arial" w:hAnsi="Arial" w:cs="Arial"/>
          <w:b/>
          <w:bCs/>
          <w:lang w:val="en-US"/>
        </w:rPr>
      </w:pPr>
      <w:r w:rsidRPr="00A36028">
        <w:rPr>
          <w:rFonts w:ascii="Arial" w:hAnsi="Arial" w:cs="Arial"/>
          <w:b/>
          <w:bCs/>
          <w:lang w:val="en-US"/>
        </w:rPr>
        <w:t>Result</w:t>
      </w:r>
      <w:r w:rsidR="00A36028" w:rsidRPr="00A36028">
        <w:rPr>
          <w:rFonts w:ascii="Arial" w:hAnsi="Arial" w:cs="Arial"/>
          <w:b/>
          <w:bCs/>
          <w:lang w:val="en-US"/>
        </w:rPr>
        <w:t>s</w:t>
      </w:r>
    </w:p>
    <w:p w14:paraId="1E6C562C" w14:textId="77777777" w:rsidR="002B2C77" w:rsidRPr="00A36028" w:rsidRDefault="002B2C77" w:rsidP="00A36028">
      <w:pPr>
        <w:pStyle w:val="NormalWeb"/>
        <w:spacing w:line="360" w:lineRule="auto"/>
        <w:jc w:val="both"/>
        <w:rPr>
          <w:rFonts w:ascii="Arial" w:hAnsi="Arial" w:cs="Arial"/>
          <w:lang w:val="en-US"/>
        </w:rPr>
      </w:pPr>
      <w:r w:rsidRPr="00A36028">
        <w:rPr>
          <w:rFonts w:ascii="Arial" w:hAnsi="Arial" w:cs="Arial"/>
          <w:lang w:val="en-US"/>
        </w:rPr>
        <w:t>A total of 41 residents from different dental specialties were evaluated: periodontics (n = 8), oral surgery (n = 17), orthodontics (n = 15) and pediatric dentistry (n = 1). Participants were at different years of residency and were assessed using a structured 40-item instrument focused on the Mexican legal regulations applicable to clinical dental practice; the questionnaire included NOM-004-SSA3-2012, NOM-013-SSA2-2015, NOM-087-SEMARNAT-SSA1-2002 and NOM-005-SSA3-2018. Only those questions directly related to periodontal surgical practice were selected and graphed.</w:t>
      </w:r>
    </w:p>
    <w:p w14:paraId="3D329872" w14:textId="77777777" w:rsidR="002B2C77" w:rsidRPr="00A36028" w:rsidRDefault="002B2C77" w:rsidP="00A36028">
      <w:pPr>
        <w:pStyle w:val="NormalWeb"/>
        <w:spacing w:line="360" w:lineRule="auto"/>
        <w:jc w:val="both"/>
        <w:rPr>
          <w:rFonts w:ascii="Arial" w:hAnsi="Arial" w:cs="Arial"/>
          <w:lang w:val="en-US"/>
        </w:rPr>
      </w:pPr>
      <w:r w:rsidRPr="00A36028">
        <w:rPr>
          <w:rFonts w:ascii="Arial" w:hAnsi="Arial" w:cs="Arial"/>
          <w:lang w:val="en-US"/>
        </w:rPr>
        <w:t>Regarding NOM-004-SSA3-2012, all participants (100%) answered correctly the question about the elements that make up the clinical record, demonstrating solid knowledge of this fundamental part of medical documentation. However, only 13 students (31.70%) correctly identified the components of the medical history, which suggests a specific deficiency in this area.</w:t>
      </w:r>
    </w:p>
    <w:p w14:paraId="590F2BAC" w14:textId="047F1ACE" w:rsidR="002B2C77" w:rsidRDefault="002B2C77" w:rsidP="00A36028">
      <w:pPr>
        <w:pStyle w:val="NormalWeb"/>
        <w:spacing w:line="360" w:lineRule="auto"/>
        <w:jc w:val="both"/>
        <w:rPr>
          <w:rFonts w:ascii="Arial" w:hAnsi="Arial" w:cs="Arial"/>
          <w:lang w:val="en-US"/>
        </w:rPr>
      </w:pPr>
      <w:r w:rsidRPr="00A36028">
        <w:rPr>
          <w:rFonts w:ascii="Arial" w:hAnsi="Arial" w:cs="Arial"/>
          <w:lang w:val="en-US"/>
        </w:rPr>
        <w:t>On the other hand, 33 students (80.48%) answered correctly about the retention period of the clinical record. In the hypothetical case in which a patient requests their radiograph, 37 participants gave appropriate responses. Finally, when asked about the legal ownership of the medical history, 33 students (80.48%) answered correctly. Figure 1.</w:t>
      </w:r>
    </w:p>
    <w:p w14:paraId="1B33F2B5" w14:textId="462058E9" w:rsidR="00A36028" w:rsidRDefault="00D54E74" w:rsidP="00D54E74">
      <w:pPr>
        <w:pStyle w:val="NormalWeb"/>
        <w:spacing w:line="360" w:lineRule="auto"/>
        <w:jc w:val="center"/>
        <w:rPr>
          <w:rFonts w:ascii="Arial" w:hAnsi="Arial" w:cs="Arial"/>
          <w:lang w:val="en-US"/>
        </w:rPr>
      </w:pPr>
      <w:r>
        <w:rPr>
          <w:noProof/>
          <w:lang w:val="en-US" w:eastAsia="en-US"/>
        </w:rPr>
        <w:lastRenderedPageBreak/>
        <w:drawing>
          <wp:inline distT="0" distB="0" distL="0" distR="0" wp14:anchorId="23F562C9" wp14:editId="17DB6BE6">
            <wp:extent cx="4572000" cy="2743200"/>
            <wp:effectExtent l="0" t="0" r="0" b="0"/>
            <wp:docPr id="1" name="Gráfico 1">
              <a:extLst xmlns:a="http://schemas.openxmlformats.org/drawingml/2006/main">
                <a:ext uri="{FF2B5EF4-FFF2-40B4-BE49-F238E27FC236}">
                  <a16:creationId xmlns:a16="http://schemas.microsoft.com/office/drawing/2014/main" id="{2124F63B-F13E-4E86-B358-B08A181E0D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1FFBFA1" w14:textId="0208B4B3" w:rsidR="00D54E74" w:rsidRPr="00D54E74" w:rsidRDefault="00D54E74" w:rsidP="00A36028">
      <w:pPr>
        <w:pStyle w:val="NormalWeb"/>
        <w:spacing w:line="360" w:lineRule="auto"/>
        <w:jc w:val="both"/>
        <w:rPr>
          <w:rFonts w:ascii="Arial" w:hAnsi="Arial" w:cs="Arial"/>
          <w:lang w:val="en-US"/>
        </w:rPr>
      </w:pPr>
      <w:r>
        <w:rPr>
          <w:rFonts w:ascii="Arial" w:hAnsi="Arial" w:cs="Arial"/>
          <w:lang w:val="en-US"/>
        </w:rPr>
        <w:t>Figure 1: Knowledge o</w:t>
      </w:r>
      <w:r w:rsidR="006C3868">
        <w:rPr>
          <w:rFonts w:ascii="Arial" w:hAnsi="Arial" w:cs="Arial"/>
          <w:lang w:val="en-US"/>
        </w:rPr>
        <w:t>f</w:t>
      </w:r>
      <w:r>
        <w:rPr>
          <w:rFonts w:ascii="Arial" w:hAnsi="Arial" w:cs="Arial"/>
          <w:lang w:val="en-US"/>
        </w:rPr>
        <w:t xml:space="preserve"> the elements of the clinical history according to the Mexican Official Standard.</w:t>
      </w:r>
    </w:p>
    <w:p w14:paraId="360B52A8" w14:textId="32F2C121" w:rsidR="002B2C77" w:rsidRDefault="002B2C77" w:rsidP="00A36028">
      <w:pPr>
        <w:pStyle w:val="NormalWeb"/>
        <w:spacing w:line="360" w:lineRule="auto"/>
        <w:jc w:val="both"/>
        <w:rPr>
          <w:rFonts w:ascii="Arial" w:hAnsi="Arial" w:cs="Arial"/>
          <w:lang w:val="en-US"/>
        </w:rPr>
      </w:pPr>
      <w:r w:rsidRPr="00A36028">
        <w:rPr>
          <w:rFonts w:ascii="Arial" w:hAnsi="Arial" w:cs="Arial"/>
          <w:lang w:val="en-US"/>
        </w:rPr>
        <w:t>Regarding NOM-013-SSA2-2015, 27 students (65.85%) correctly identified the most common periodontal and gingival pathologies. Concerning clinical practices, 41 students (97.56%) answered appropriately about the frequency at which the triple syringe should be changed. When questioned about the sterilization method indicated for high- and low-speed handpieces, 26 participants (63.41%) responded correctly. The question related to the appropriate age for use of toothpastes with 551 to 1500 ppm was not answered by all students. By contrast, 37 students (90.24%) correctly recognized the infrastructure requirements established for dental offices. Figure 2.</w:t>
      </w:r>
    </w:p>
    <w:p w14:paraId="25E7CB62" w14:textId="5470F7BA" w:rsidR="00A36028" w:rsidRDefault="00D54E74" w:rsidP="00D54E74">
      <w:pPr>
        <w:pStyle w:val="NormalWeb"/>
        <w:spacing w:line="360" w:lineRule="auto"/>
        <w:jc w:val="center"/>
        <w:rPr>
          <w:rFonts w:ascii="Arial" w:hAnsi="Arial" w:cs="Arial"/>
          <w:lang w:val="en-US"/>
        </w:rPr>
      </w:pPr>
      <w:r>
        <w:rPr>
          <w:noProof/>
          <w:lang w:val="en-US" w:eastAsia="en-US"/>
        </w:rPr>
        <w:lastRenderedPageBreak/>
        <w:drawing>
          <wp:inline distT="0" distB="0" distL="0" distR="0" wp14:anchorId="1D4F2DF2" wp14:editId="01A26A05">
            <wp:extent cx="4572000" cy="2743200"/>
            <wp:effectExtent l="0" t="0" r="0" b="0"/>
            <wp:docPr id="2" name="Gráfico 2">
              <a:extLst xmlns:a="http://schemas.openxmlformats.org/drawingml/2006/main">
                <a:ext uri="{FF2B5EF4-FFF2-40B4-BE49-F238E27FC236}">
                  <a16:creationId xmlns:a16="http://schemas.microsoft.com/office/drawing/2014/main" id="{E1D7BDE9-2C48-4D9A-AF6D-37C776BE06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CDC7131" w14:textId="11DB5D57" w:rsidR="00D54E74" w:rsidRPr="00A36028" w:rsidRDefault="00D54E74" w:rsidP="00A36028">
      <w:pPr>
        <w:pStyle w:val="NormalWeb"/>
        <w:spacing w:line="360" w:lineRule="auto"/>
        <w:jc w:val="both"/>
        <w:rPr>
          <w:rFonts w:ascii="Arial" w:hAnsi="Arial" w:cs="Arial"/>
          <w:lang w:val="en-US"/>
        </w:rPr>
      </w:pPr>
      <w:r>
        <w:rPr>
          <w:rFonts w:ascii="Arial" w:hAnsi="Arial" w:cs="Arial"/>
          <w:lang w:val="en-US"/>
        </w:rPr>
        <w:t>Figure 2: Most common pathologies in Mexico according to the Mexican Official Standard.</w:t>
      </w:r>
    </w:p>
    <w:p w14:paraId="6B6EC375" w14:textId="48723183" w:rsidR="002B2C77" w:rsidRDefault="002B2C77" w:rsidP="00A36028">
      <w:pPr>
        <w:pStyle w:val="NormalWeb"/>
        <w:spacing w:line="360" w:lineRule="auto"/>
        <w:jc w:val="both"/>
        <w:rPr>
          <w:rFonts w:ascii="Arial" w:hAnsi="Arial" w:cs="Arial"/>
          <w:lang w:val="en-US"/>
        </w:rPr>
      </w:pPr>
      <w:r w:rsidRPr="00A36028">
        <w:rPr>
          <w:rFonts w:ascii="Arial" w:hAnsi="Arial" w:cs="Arial"/>
          <w:lang w:val="en-US"/>
        </w:rPr>
        <w:t>With respect to NOM-087, all participants (100%) correctly identified the requirements for separation, storage and collection of hazardous biological-infectious waste (RPBI). Regarding sanctions for noncompliance, 30 students (73.17%) demonstrated adequate knowledge. Likewise, 33 students (80.48%) knew that permits and licenses can be revoked in case of noncompliance, while 40 (97.56%) correctly identified the sanctioning authority. Concerning the classification of RPBI, 33 participants (80.48%) responded adequately. However, only 14 (34.14%) knew the risk level assigned to a dental clinic, and 24 (58.53%) knew the proper handling of blood in that environment. Regarding the packaging and treatment of RPBI, 34 (82.92%) answered correctly, as did 32 (78.04%) concerning the category corresponding to the volume of waste generated. Questions related to specific classification, container use, maximum storage time and labeling were correctly answered by between 70% and 87% of participants. Only 19 (46.34%) could identify how to handle gingival tissue waste extracted during surgery, and only 14 (34.14%) recognized that sharp instruments used in periodontal procedures are also considered RPBI. Figure 3.</w:t>
      </w:r>
    </w:p>
    <w:p w14:paraId="5FE2504B" w14:textId="3F94BA07" w:rsidR="00A36028" w:rsidRDefault="00D54E74" w:rsidP="00D54E74">
      <w:pPr>
        <w:pStyle w:val="NormalWeb"/>
        <w:spacing w:line="360" w:lineRule="auto"/>
        <w:jc w:val="center"/>
        <w:rPr>
          <w:rFonts w:ascii="Arial" w:hAnsi="Arial" w:cs="Arial"/>
          <w:lang w:val="en-US"/>
        </w:rPr>
      </w:pPr>
      <w:r>
        <w:rPr>
          <w:noProof/>
          <w:lang w:val="en-US" w:eastAsia="en-US"/>
        </w:rPr>
        <w:lastRenderedPageBreak/>
        <w:drawing>
          <wp:inline distT="0" distB="0" distL="0" distR="0" wp14:anchorId="4FE65DEA" wp14:editId="53ADB7AB">
            <wp:extent cx="4572000" cy="2743200"/>
            <wp:effectExtent l="0" t="0" r="0" b="0"/>
            <wp:docPr id="3" name="Gráfico 3">
              <a:extLst xmlns:a="http://schemas.openxmlformats.org/drawingml/2006/main">
                <a:ext uri="{FF2B5EF4-FFF2-40B4-BE49-F238E27FC236}">
                  <a16:creationId xmlns:a16="http://schemas.microsoft.com/office/drawing/2014/main" id="{3A5D186A-A8DB-4C4F-A2F7-F76F8A6C6C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7B184E5" w14:textId="516D88DC" w:rsidR="00D54E74" w:rsidRPr="00A36028" w:rsidRDefault="00D54E74" w:rsidP="00A36028">
      <w:pPr>
        <w:pStyle w:val="NormalWeb"/>
        <w:spacing w:line="360" w:lineRule="auto"/>
        <w:jc w:val="both"/>
        <w:rPr>
          <w:rFonts w:ascii="Arial" w:hAnsi="Arial" w:cs="Arial"/>
          <w:lang w:val="en-US"/>
        </w:rPr>
      </w:pPr>
      <w:r>
        <w:rPr>
          <w:rFonts w:ascii="Arial" w:hAnsi="Arial" w:cs="Arial"/>
          <w:lang w:val="en-US"/>
        </w:rPr>
        <w:t>Figure 3: Blood management in the dental office according to the Official Mexican Standard</w:t>
      </w:r>
    </w:p>
    <w:p w14:paraId="134D43D6" w14:textId="082F480F" w:rsidR="002B2C77" w:rsidRDefault="002B2C77" w:rsidP="00A36028">
      <w:pPr>
        <w:pStyle w:val="NormalWeb"/>
        <w:spacing w:line="360" w:lineRule="auto"/>
        <w:jc w:val="both"/>
        <w:rPr>
          <w:rFonts w:ascii="Arial" w:hAnsi="Arial" w:cs="Arial"/>
          <w:lang w:val="en-US"/>
        </w:rPr>
      </w:pPr>
      <w:r w:rsidRPr="00A36028">
        <w:rPr>
          <w:rFonts w:ascii="Arial" w:hAnsi="Arial" w:cs="Arial"/>
          <w:lang w:val="en-US"/>
        </w:rPr>
        <w:t>In relation to NOM-005-SSA3-2010, 29 participants (70.73%) correctly identified the mandatory infrastructure requirements in specialized clinics. Characteristics of waiting areas and bathrooms were recognized by 20 students (48.78%), while ventilation and lighting criteria were known by 35 (85.36%). Regarding the sterilization area, 32 students (78.04%) responded correctly. The required basic equipment was recognized by 37 (90.24%), and 34 (82.92%) knew the required maintenance criteria. Biosecurity measures were correctly identified by 36 students (87.80%). Likewise, 32 (78.04%) answered appropriately about specific infrastructure requirements, and 29 (70.73%) about the minimum mandatory equipment. Concerning RPBI management under this standard, 40 participants (97.56%) responded correctly. The majority also identified accessibility requirements (39 participants; 95.12%) and those related to the clinical record (34; 82.92%). Only 7 students (17.07%) correctly identified the documentation required to demonstrate regulatory compliance, while 40 (97.56%) answered appropriately regarding the corresponding legal sanctions. Figure 4.</w:t>
      </w:r>
    </w:p>
    <w:p w14:paraId="5AAA332D" w14:textId="6090B984" w:rsidR="00D54E74" w:rsidRDefault="00D54E74" w:rsidP="00D54E74">
      <w:pPr>
        <w:pStyle w:val="NormalWeb"/>
        <w:spacing w:line="360" w:lineRule="auto"/>
        <w:jc w:val="center"/>
        <w:rPr>
          <w:rFonts w:ascii="Arial" w:hAnsi="Arial" w:cs="Arial"/>
          <w:lang w:val="en-US"/>
        </w:rPr>
      </w:pPr>
      <w:r>
        <w:rPr>
          <w:noProof/>
          <w:lang w:val="en-US" w:eastAsia="en-US"/>
        </w:rPr>
        <w:lastRenderedPageBreak/>
        <w:drawing>
          <wp:inline distT="0" distB="0" distL="0" distR="0" wp14:anchorId="78AB48CC" wp14:editId="5E14A2EF">
            <wp:extent cx="4572000" cy="2743200"/>
            <wp:effectExtent l="0" t="0" r="0" b="0"/>
            <wp:docPr id="4" name="Gráfico 4">
              <a:extLst xmlns:a="http://schemas.openxmlformats.org/drawingml/2006/main">
                <a:ext uri="{FF2B5EF4-FFF2-40B4-BE49-F238E27FC236}">
                  <a16:creationId xmlns:a16="http://schemas.microsoft.com/office/drawing/2014/main" id="{DCFB1F9F-19EA-4DC4-BAD6-756DACEF87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3603B1D" w14:textId="564CEF9A" w:rsidR="00D54E74" w:rsidRPr="00A36028" w:rsidRDefault="00D54E74" w:rsidP="00A36028">
      <w:pPr>
        <w:pStyle w:val="NormalWeb"/>
        <w:spacing w:line="360" w:lineRule="auto"/>
        <w:jc w:val="both"/>
        <w:rPr>
          <w:rFonts w:ascii="Arial" w:hAnsi="Arial" w:cs="Arial"/>
          <w:lang w:val="en-US"/>
        </w:rPr>
      </w:pPr>
      <w:r>
        <w:rPr>
          <w:rFonts w:ascii="Arial" w:hAnsi="Arial" w:cs="Arial"/>
          <w:lang w:val="en-US"/>
        </w:rPr>
        <w:t>Figure 4: Minimum infrastructure requirements for a dental office according to the Mexican Official Standard.</w:t>
      </w:r>
    </w:p>
    <w:p w14:paraId="77061ACC" w14:textId="49E43EDF" w:rsidR="00A36028" w:rsidRPr="00A36028" w:rsidRDefault="00A36028" w:rsidP="00A36028">
      <w:pPr>
        <w:pStyle w:val="NormalWeb"/>
        <w:spacing w:line="360" w:lineRule="auto"/>
        <w:jc w:val="both"/>
        <w:rPr>
          <w:rFonts w:ascii="Arial" w:hAnsi="Arial" w:cs="Arial"/>
          <w:b/>
          <w:bCs/>
          <w:lang w:val="en-US"/>
        </w:rPr>
      </w:pPr>
      <w:r w:rsidRPr="00A36028">
        <w:rPr>
          <w:rFonts w:ascii="Arial" w:hAnsi="Arial" w:cs="Arial"/>
          <w:b/>
          <w:bCs/>
          <w:lang w:val="en-US"/>
        </w:rPr>
        <w:t>Discussion</w:t>
      </w:r>
    </w:p>
    <w:p w14:paraId="1630249D" w14:textId="77777777" w:rsidR="002B2C77" w:rsidRPr="00A36028" w:rsidRDefault="002B2C77" w:rsidP="00A36028">
      <w:pPr>
        <w:pStyle w:val="NormalWeb"/>
        <w:spacing w:line="360" w:lineRule="auto"/>
        <w:jc w:val="both"/>
        <w:rPr>
          <w:rFonts w:ascii="Arial" w:hAnsi="Arial" w:cs="Arial"/>
          <w:lang w:val="en-US"/>
        </w:rPr>
      </w:pPr>
      <w:r w:rsidRPr="00A36028">
        <w:rPr>
          <w:rFonts w:ascii="Arial" w:hAnsi="Arial" w:cs="Arial"/>
          <w:lang w:val="en-US"/>
        </w:rPr>
        <w:t>The Mexican Official Standards NOM-004-SSA3-2012 represent legal provisions that have acquired great relevance in dental practice, being grounded in the Constitution and establishing mandatory guidelines for clinical practice. Their implementation seeks to guarantee patient safety and professional responsibility, although in reality there remain opportunities for improvement regarding their knowledge and application.</w:t>
      </w:r>
    </w:p>
    <w:p w14:paraId="1A61F326" w14:textId="77777777" w:rsidR="00B23F4C" w:rsidRDefault="00B23F4C" w:rsidP="00B23F4C">
      <w:pPr>
        <w:pStyle w:val="NormalWeb"/>
        <w:spacing w:line="360" w:lineRule="auto"/>
        <w:jc w:val="both"/>
        <w:rPr>
          <w:rFonts w:ascii="Arial" w:hAnsi="Arial" w:cs="Arial"/>
          <w:lang w:val="en-US"/>
        </w:rPr>
      </w:pPr>
      <w:r>
        <w:rPr>
          <w:rFonts w:ascii="Arial" w:hAnsi="Arial" w:cs="Arial"/>
          <w:lang w:val="en-US"/>
        </w:rPr>
        <w:t xml:space="preserve">The NOM represent an essential legal framework to ensure patient safety and professional responsibility in dental practice. Assessing the knowledge and application of these standards among dentists and students is crucial, as the existing literature indicates that, although their importance is recognized, the level of understanding and compliance may be limited in critical areas, such as the management of the clinical record and administrative procedures. Identifying these deficiencies allows for the development of educational and administrative strategies that ensure proper compliance, improve the quality of care, and reduce legal and clinical risks. Furthermore, the information generated contributes to the national </w:t>
      </w:r>
      <w:r>
        <w:rPr>
          <w:rFonts w:ascii="Arial" w:hAnsi="Arial" w:cs="Arial"/>
          <w:lang w:val="en-US"/>
        </w:rPr>
        <w:lastRenderedPageBreak/>
        <w:t xml:space="preserve">evidence on the preparedness and training of dental professionals regarding regulatory standards, addressing a little-studied gap in Mexican dental </w:t>
      </w:r>
      <w:proofErr w:type="spellStart"/>
      <w:r>
        <w:rPr>
          <w:rFonts w:ascii="Arial" w:hAnsi="Arial" w:cs="Arial"/>
          <w:lang w:val="en-US"/>
        </w:rPr>
        <w:t>practice.Jaramillo</w:t>
      </w:r>
      <w:proofErr w:type="spellEnd"/>
      <w:r>
        <w:rPr>
          <w:rFonts w:ascii="Arial" w:hAnsi="Arial" w:cs="Arial"/>
          <w:lang w:val="en-US"/>
        </w:rPr>
        <w:t>-Pineda MO and Arróniz PS in 2006 reported that only 45% of the dentists surveyed had in-depth knowledge of all the elements that make up a clinical record according to NOM-004-SSA3-2012, highlighting gaps in the section on non-pathological history and the evolution note. This suggests a recurrent gap between recognition of the standard and its detailed application in practice</w:t>
      </w:r>
      <w:r>
        <w:rPr>
          <w:rFonts w:ascii="Arial" w:hAnsi="Arial" w:cs="Arial"/>
          <w:vertAlign w:val="superscript"/>
          <w:lang w:val="en-US"/>
        </w:rPr>
        <w:t>9-12</w:t>
      </w:r>
      <w:r>
        <w:rPr>
          <w:rFonts w:ascii="Arial" w:hAnsi="Arial" w:cs="Arial"/>
          <w:lang w:val="en-US"/>
        </w:rPr>
        <w:t>.</w:t>
      </w:r>
    </w:p>
    <w:p w14:paraId="2EB49F68" w14:textId="38C6AFB3" w:rsidR="002B2C77" w:rsidRPr="00A36028" w:rsidRDefault="002B2C77" w:rsidP="00A36028">
      <w:pPr>
        <w:pStyle w:val="NormalWeb"/>
        <w:spacing w:line="360" w:lineRule="auto"/>
        <w:jc w:val="both"/>
        <w:rPr>
          <w:rFonts w:ascii="Arial" w:hAnsi="Arial" w:cs="Arial"/>
          <w:lang w:val="en-US"/>
        </w:rPr>
      </w:pPr>
      <w:r w:rsidRPr="00A36028">
        <w:rPr>
          <w:rFonts w:ascii="Arial" w:hAnsi="Arial" w:cs="Arial"/>
          <w:lang w:val="en-US"/>
        </w:rPr>
        <w:t>Jiménez-Bastida IP and Quintino CE in 2024 demonstrated that 60% of dentists did not correctly identify the category of sharps after use, and 35% did not know the maximum storage time of RPBI in their clinics, indicating that practical and specific understanding of this standard is a generalized challenge within the profession</w:t>
      </w:r>
      <w:r w:rsidR="00A36028">
        <w:rPr>
          <w:rFonts w:ascii="Arial" w:hAnsi="Arial" w:cs="Arial"/>
          <w:vertAlign w:val="superscript"/>
          <w:lang w:val="en-US"/>
        </w:rPr>
        <w:t>1</w:t>
      </w:r>
      <w:r w:rsidR="00B23F4C">
        <w:rPr>
          <w:rFonts w:ascii="Arial" w:hAnsi="Arial" w:cs="Arial"/>
          <w:vertAlign w:val="superscript"/>
          <w:lang w:val="en-US"/>
        </w:rPr>
        <w:t>3</w:t>
      </w:r>
      <w:r w:rsidRPr="00A36028">
        <w:rPr>
          <w:rFonts w:ascii="Arial" w:hAnsi="Arial" w:cs="Arial"/>
          <w:lang w:val="en-US"/>
        </w:rPr>
        <w:t>.</w:t>
      </w:r>
    </w:p>
    <w:p w14:paraId="625419BE" w14:textId="2E71EEEB" w:rsidR="002B2C77" w:rsidRPr="00A36028" w:rsidRDefault="002B2C77" w:rsidP="00A36028">
      <w:pPr>
        <w:pStyle w:val="NormalWeb"/>
        <w:spacing w:line="360" w:lineRule="auto"/>
        <w:jc w:val="both"/>
        <w:rPr>
          <w:rFonts w:ascii="Arial" w:hAnsi="Arial" w:cs="Arial"/>
          <w:lang w:val="en-US"/>
        </w:rPr>
      </w:pPr>
      <w:r w:rsidRPr="00A36028">
        <w:rPr>
          <w:rFonts w:ascii="Arial" w:hAnsi="Arial" w:cs="Arial"/>
          <w:lang w:val="en-US"/>
        </w:rPr>
        <w:t>Marín-Laredo MM, Calderón VB, Servín-Sámano IP, Guzmán VK, Chávez PJ in 2018 established that 70% of clinic owners claimed to know the infrastructure requirements, but only 25% had all permits and licenses updated and on display, suggesting that the “paper culture” and administrative management are important areas for improvement</w:t>
      </w:r>
      <w:r w:rsidR="00A36028">
        <w:rPr>
          <w:rFonts w:ascii="Arial" w:hAnsi="Arial" w:cs="Arial"/>
          <w:vertAlign w:val="superscript"/>
          <w:lang w:val="en-US"/>
        </w:rPr>
        <w:t>1</w:t>
      </w:r>
      <w:r w:rsidR="00B23F4C">
        <w:rPr>
          <w:rFonts w:ascii="Arial" w:hAnsi="Arial" w:cs="Arial"/>
          <w:vertAlign w:val="superscript"/>
          <w:lang w:val="en-US"/>
        </w:rPr>
        <w:t>4</w:t>
      </w:r>
      <w:r w:rsidRPr="00A36028">
        <w:rPr>
          <w:rFonts w:ascii="Arial" w:hAnsi="Arial" w:cs="Arial"/>
          <w:lang w:val="en-US"/>
        </w:rPr>
        <w:t>.</w:t>
      </w:r>
    </w:p>
    <w:p w14:paraId="622958A1" w14:textId="26FED063" w:rsidR="00A36028" w:rsidRPr="00A36028" w:rsidRDefault="00A36028" w:rsidP="00A36028">
      <w:pPr>
        <w:pStyle w:val="NormalWeb"/>
        <w:spacing w:line="360" w:lineRule="auto"/>
        <w:jc w:val="both"/>
        <w:rPr>
          <w:rFonts w:ascii="Arial" w:hAnsi="Arial" w:cs="Arial"/>
          <w:b/>
          <w:bCs/>
          <w:lang w:val="en-US"/>
        </w:rPr>
      </w:pPr>
      <w:r w:rsidRPr="00A36028">
        <w:rPr>
          <w:rFonts w:ascii="Arial" w:hAnsi="Arial" w:cs="Arial"/>
          <w:b/>
          <w:bCs/>
          <w:lang w:val="en-US"/>
        </w:rPr>
        <w:t>Conclusions</w:t>
      </w:r>
    </w:p>
    <w:p w14:paraId="6F068AA0" w14:textId="77777777" w:rsidR="002B51AB" w:rsidRPr="002B51AB" w:rsidRDefault="002B51AB" w:rsidP="00A36028">
      <w:pPr>
        <w:pStyle w:val="NormalWeb"/>
        <w:spacing w:line="360" w:lineRule="auto"/>
        <w:jc w:val="both"/>
        <w:rPr>
          <w:rFonts w:ascii="Arial" w:hAnsi="Arial" w:cs="Arial"/>
          <w:lang w:val="en-US"/>
        </w:rPr>
      </w:pPr>
      <w:r w:rsidRPr="002B51AB">
        <w:rPr>
          <w:rFonts w:ascii="Arial" w:hAnsi="Arial" w:cs="Arial"/>
          <w:lang w:val="en-US"/>
        </w:rPr>
        <w:t xml:space="preserve">This study demonstrated that, although residents from various dental specialties generally exhibit an acceptable level of knowledge regarding the Mexican Official Standards (NOM) applicable to clinical practice, significant areas for improvement remain. While these trainee professionals possess a solid foundation in health regulations and basic clinical procedures, certain aspects require more thorough and systematic attention to ensure comprehensive regulatory compliance. Notably, the complete integration of the patient’s medical history emerged as a critical area; although most residents record basic information, detailed documentation—including medical history, allergies, previous treatments, and specific risk factors—is not always performed comprehensively, which is essential both for providing safe and personalized care and for legally and ethically supporting professional practice. Similarly, administrative documentation supporting regulatory compliance also </w:t>
      </w:r>
      <w:r w:rsidRPr="002B51AB">
        <w:rPr>
          <w:rFonts w:ascii="Arial" w:hAnsi="Arial" w:cs="Arial"/>
          <w:lang w:val="en-US"/>
        </w:rPr>
        <w:lastRenderedPageBreak/>
        <w:t>requires strengthening, as proper organization and archiving of records, permits, and official forms are crucial to demonstrate adherence to standards set by health authorities, which is particularly important during internal and external audits. Additionally, opportunities for improvement were identified in the management of hazardous biological-infectious waste; aspects such as proper segregation, temporary storage, final disposal, and adherence to specific safety protocols are critical to minimize the risk of infection and cross-contamination, protecting both clinical personnel and patients, as well as the surrounding environment. Collectively, these findings underscore the need to reinforce training and supervision in key areas of clinical practice, administrative management, and biosafety, with the ultimate goal of optimizing quality and safety in dental care.</w:t>
      </w:r>
    </w:p>
    <w:p w14:paraId="0F28FEF7" w14:textId="77777777" w:rsidR="002B51AB" w:rsidRPr="002B51AB" w:rsidRDefault="002B51AB" w:rsidP="002B51AB">
      <w:pPr>
        <w:pStyle w:val="NormalWeb"/>
        <w:spacing w:line="360" w:lineRule="auto"/>
        <w:jc w:val="both"/>
        <w:rPr>
          <w:rFonts w:ascii="Arial" w:hAnsi="Arial" w:cs="Arial"/>
          <w:lang w:val="en-US"/>
        </w:rPr>
      </w:pPr>
      <w:r w:rsidRPr="002B51AB">
        <w:rPr>
          <w:rFonts w:ascii="Arial" w:hAnsi="Arial" w:cs="Arial"/>
          <w:lang w:val="en-US"/>
        </w:rPr>
        <w:t>The correct observance of Mexican Official Standards (NOMs) should be regarded not merely as a legal or administrative obligation, but as a critical component for ensuring patient safety, service quality, and professional protection in dental practice. Compliance with these standards involves multiple dimensions, including accurate documentation of patient histories, proper handling and disposal of clinical and biological materials, and rigorous implementation of infection control protocols. Inadequate adherence can increase patient risk, compromise clinical outcomes, and expose practitioners and institutions to legal or regulatory repercussions, underscoring the necessity of integrating regulatory knowledge into daily clinical decision-making.</w:t>
      </w:r>
    </w:p>
    <w:p w14:paraId="32C9F6C3" w14:textId="77777777" w:rsidR="002B51AB" w:rsidRPr="002B51AB" w:rsidRDefault="002B51AB" w:rsidP="002B51AB">
      <w:pPr>
        <w:pStyle w:val="NormalWeb"/>
        <w:spacing w:line="360" w:lineRule="auto"/>
        <w:jc w:val="both"/>
        <w:rPr>
          <w:rFonts w:ascii="Arial" w:hAnsi="Arial" w:cs="Arial"/>
          <w:lang w:val="en-US"/>
        </w:rPr>
      </w:pPr>
      <w:r w:rsidRPr="002B51AB">
        <w:rPr>
          <w:rFonts w:ascii="Arial" w:hAnsi="Arial" w:cs="Arial"/>
          <w:lang w:val="en-US"/>
        </w:rPr>
        <w:t>Strengthening the teaching and evaluation of NOMs within postgraduate dental programs is therefore essential. Incorporating these regulations into curricula ensures that residents acquire both theoretical understanding and practical skills to implement standards effectively. Active learning strategies, such as case-based discussions, simulation exercises, and supervised clinical practice, provide residents with concrete opportunities to internalize regulatory compliance, fostering a culture of safety, responsibility, and professional accountability.</w:t>
      </w:r>
    </w:p>
    <w:p w14:paraId="090C770D" w14:textId="77777777" w:rsidR="002B51AB" w:rsidRPr="002B51AB" w:rsidRDefault="002B51AB" w:rsidP="002B51AB">
      <w:pPr>
        <w:pStyle w:val="NormalWeb"/>
        <w:spacing w:line="360" w:lineRule="auto"/>
        <w:jc w:val="both"/>
        <w:rPr>
          <w:rFonts w:ascii="Arial" w:hAnsi="Arial" w:cs="Arial"/>
          <w:lang w:val="en-US"/>
        </w:rPr>
      </w:pPr>
      <w:r w:rsidRPr="002B51AB">
        <w:rPr>
          <w:rFonts w:ascii="Arial" w:hAnsi="Arial" w:cs="Arial"/>
          <w:lang w:val="en-US"/>
        </w:rPr>
        <w:lastRenderedPageBreak/>
        <w:t>Equally important is continuous professional updating, as regulations and clinical best practices evolve over time. Access to workshops, seminars, and online courses enables specialists to remain informed about amendments to existing standards, emerging guidelines, and technological innovations impacting compliance. Lifelong learning in this domain not only strengthens individual competencies but also promotes institutional excellence and consistent quality of care.</w:t>
      </w:r>
    </w:p>
    <w:p w14:paraId="6F736D62" w14:textId="17326136" w:rsidR="002B2C77" w:rsidRPr="00B23F4C" w:rsidRDefault="002B2C77" w:rsidP="00A36028">
      <w:pPr>
        <w:pStyle w:val="NormalWeb"/>
        <w:spacing w:line="360" w:lineRule="auto"/>
        <w:jc w:val="both"/>
        <w:rPr>
          <w:rFonts w:ascii="Arial" w:hAnsi="Arial" w:cs="Arial"/>
          <w:lang w:val="en-US"/>
        </w:rPr>
      </w:pPr>
      <w:r w:rsidRPr="00A36028">
        <w:rPr>
          <w:rFonts w:ascii="Arial" w:hAnsi="Arial" w:cs="Arial"/>
          <w:lang w:val="en-US"/>
        </w:rPr>
        <w:t>This study shows that, although residents from various dental specialties possess acceptable general knowledge of the Mexican Official Standards, significant deficiencies persist that are of greater relevance in periodontics, where clinical practice involves surgical procedures, generation of fluids and management of biological-infectious materials. In this specialty, proper handling, compliance and knowledge of the NOMs is crucial to ensure the safety of both patient and professional as well as to support the quality of surgical procedures. Standards such as NOM-004-SSA3-2012 (clinical record), NOM-013-SSA2-2015 (prevention of oral diseases), NOM-087 (handling of RPBI) and NOM-005-SSA3-2010/2018 (infrastructure and equipment) constitute indispensable tools that the periodontist must master not only in theory but in daily application.</w:t>
      </w:r>
      <w:r w:rsidR="00B23F4C">
        <w:rPr>
          <w:rFonts w:ascii="Arial" w:hAnsi="Arial" w:cs="Arial"/>
          <w:lang w:val="en-US"/>
        </w:rPr>
        <w:t xml:space="preserve"> </w:t>
      </w:r>
      <w:r w:rsidR="00B23F4C" w:rsidRPr="00B23F4C">
        <w:rPr>
          <w:rFonts w:ascii="Arial" w:hAnsi="Arial" w:cs="Arial"/>
          <w:lang w:val="en-US"/>
        </w:rPr>
        <w:t>The study demonstrates that, within periodontics, dental specialty residents exhibit solid knowledge of certain aspects of the Mexican Official Standards, particularly regarding the identification of the elements of the clinical record. The use of a structured questionnaire covering multiple NOM allowed a systematic and quantitative assessment of knowledge, highlighting both strengths and specific areas of deficiency. The findings provide relevant evidence on the preparedness of dental professionals regarding regulatory standards, identifying critical gaps in Mexican clinical practice. Furthermore, these results have educational and legal implications, offering a basis for developing strategies to strengthen training, ensure ethical and safe clinical practices, and promote regulatory compliance in periodontics.</w:t>
      </w:r>
    </w:p>
    <w:p w14:paraId="5FD44FFB" w14:textId="77777777" w:rsidR="002B51AB" w:rsidRPr="002B51AB" w:rsidRDefault="002B51AB" w:rsidP="002B51AB">
      <w:pPr>
        <w:pStyle w:val="NormalWeb"/>
        <w:spacing w:line="360" w:lineRule="auto"/>
        <w:jc w:val="both"/>
        <w:rPr>
          <w:rFonts w:ascii="Arial" w:hAnsi="Arial" w:cs="Arial"/>
          <w:lang w:val="en-US"/>
        </w:rPr>
      </w:pPr>
      <w:proofErr w:type="spellStart"/>
      <w:r w:rsidRPr="002B51AB">
        <w:rPr>
          <w:rFonts w:ascii="Arial" w:hAnsi="Arial" w:cs="Arial"/>
          <w:lang w:val="en-US"/>
        </w:rPr>
        <w:t>trengthening</w:t>
      </w:r>
      <w:proofErr w:type="spellEnd"/>
      <w:r w:rsidRPr="002B51AB">
        <w:rPr>
          <w:rFonts w:ascii="Arial" w:hAnsi="Arial" w:cs="Arial"/>
          <w:lang w:val="en-US"/>
        </w:rPr>
        <w:t xml:space="preserve"> the teaching and systematic evaluation of the Mexican Official Standards (NOMs) within postgraduate periodontics programs is a critical priority, as it directly influences both clinical quality and professional accountability. Integrating </w:t>
      </w:r>
      <w:r w:rsidRPr="002B51AB">
        <w:rPr>
          <w:rFonts w:ascii="Arial" w:hAnsi="Arial" w:cs="Arial"/>
          <w:lang w:val="en-US"/>
        </w:rPr>
        <w:lastRenderedPageBreak/>
        <w:t>these standards fully into daily practice ensures that clinicians operate within an ethical, safe, and legally supported framework, minimizing patient risk while safeguarding professional integrity. Comprehensive training in NOMs encompasses accurate documentation of patient histories, adherence to infection control protocols, proper management of clinical materials, and compliance with biosecurity measures, all of which are essential for preventing adverse outcomes and maintaining high standards of care.</w:t>
      </w:r>
    </w:p>
    <w:p w14:paraId="6F0D3512" w14:textId="77777777" w:rsidR="002B51AB" w:rsidRPr="002B51AB" w:rsidRDefault="002B51AB" w:rsidP="002B51AB">
      <w:pPr>
        <w:pStyle w:val="NormalWeb"/>
        <w:spacing w:line="360" w:lineRule="auto"/>
        <w:jc w:val="both"/>
        <w:rPr>
          <w:rFonts w:ascii="Arial" w:hAnsi="Arial" w:cs="Arial"/>
          <w:lang w:val="en-US"/>
        </w:rPr>
      </w:pPr>
      <w:r w:rsidRPr="002B51AB">
        <w:rPr>
          <w:rFonts w:ascii="Arial" w:hAnsi="Arial" w:cs="Arial"/>
          <w:lang w:val="en-US"/>
        </w:rPr>
        <w:t>Embedding NOM-focused education in postgraduate curricula not only enhances patient safety but also protects practitioners from administrative and legal sanctions. Active learning strategies—including case-based discussions, simulation exercises, and supervised clinical rotations—enable residents to internalize regulatory requirements and apply them effectively in real-world clinical settings, fostering a culture of ethical responsibility, vigilance, and professional excellence.</w:t>
      </w:r>
    </w:p>
    <w:p w14:paraId="68B9F6D0" w14:textId="77777777" w:rsidR="002B51AB" w:rsidRPr="002B51AB" w:rsidRDefault="002B51AB" w:rsidP="002B51AB">
      <w:pPr>
        <w:pStyle w:val="NormalWeb"/>
        <w:spacing w:line="360" w:lineRule="auto"/>
        <w:jc w:val="both"/>
        <w:rPr>
          <w:rFonts w:ascii="Arial" w:hAnsi="Arial" w:cs="Arial"/>
          <w:lang w:val="en-US"/>
        </w:rPr>
      </w:pPr>
      <w:r w:rsidRPr="002B51AB">
        <w:rPr>
          <w:rFonts w:ascii="Arial" w:hAnsi="Arial" w:cs="Arial"/>
          <w:lang w:val="en-US"/>
        </w:rPr>
        <w:t>Additionally, the evolving nature of periodontics, with continual advances in techniques, materials, and infection control practices, highlights the need for ongoing professional development. Continuous education ensures that specialists remain informed about updated NOM requirements, enabling the delivery of care that is both evidence-based and fully compliant with regulatory standards.</w:t>
      </w:r>
    </w:p>
    <w:p w14:paraId="5A5DD1AB" w14:textId="77777777" w:rsidR="0021520C" w:rsidRPr="002B51AB" w:rsidRDefault="0021520C" w:rsidP="0021520C">
      <w:pPr>
        <w:rPr>
          <w:lang w:val="en-US"/>
        </w:rPr>
      </w:pPr>
      <w:r w:rsidRPr="002B51AB">
        <w:rPr>
          <w:lang w:val="en-US"/>
        </w:rPr>
        <w:t>Disclaimer (Artificial intelligence)</w:t>
      </w:r>
    </w:p>
    <w:p w14:paraId="5C417D97" w14:textId="77777777" w:rsidR="0021520C" w:rsidRPr="00924962" w:rsidRDefault="0021520C" w:rsidP="0021520C">
      <w:pPr>
        <w:rPr>
          <w:highlight w:val="yellow"/>
          <w:lang w:val="en-US"/>
        </w:rPr>
      </w:pPr>
    </w:p>
    <w:p w14:paraId="577BE39E" w14:textId="77777777" w:rsidR="0021520C" w:rsidRPr="00B23F4C" w:rsidRDefault="0021520C" w:rsidP="0021520C">
      <w:pPr>
        <w:rPr>
          <w:lang w:val="en-US"/>
        </w:rPr>
      </w:pPr>
      <w:r w:rsidRPr="00B23F4C">
        <w:rPr>
          <w:lang w:val="en-US"/>
        </w:rPr>
        <w:t xml:space="preserve">Option 1: </w:t>
      </w:r>
    </w:p>
    <w:p w14:paraId="46D81577" w14:textId="77777777" w:rsidR="0021520C" w:rsidRPr="00B23F4C" w:rsidRDefault="0021520C" w:rsidP="0021520C">
      <w:pPr>
        <w:rPr>
          <w:lang w:val="en-US"/>
        </w:rPr>
      </w:pPr>
    </w:p>
    <w:p w14:paraId="6ABC53BD" w14:textId="77777777" w:rsidR="0021520C" w:rsidRPr="00B23F4C" w:rsidRDefault="0021520C" w:rsidP="0021520C">
      <w:pPr>
        <w:rPr>
          <w:lang w:val="en-US"/>
        </w:rPr>
      </w:pPr>
      <w:r w:rsidRPr="00B23F4C">
        <w:rPr>
          <w:lang w:val="en-US"/>
        </w:rPr>
        <w:t xml:space="preserve">Author(s) hereby </w:t>
      </w:r>
      <w:proofErr w:type="gramStart"/>
      <w:r w:rsidRPr="00B23F4C">
        <w:rPr>
          <w:lang w:val="en-US"/>
        </w:rPr>
        <w:t>declare</w:t>
      </w:r>
      <w:proofErr w:type="gramEnd"/>
      <w:r w:rsidRPr="00B23F4C">
        <w:rPr>
          <w:lang w:val="en-US"/>
        </w:rPr>
        <w:t xml:space="preserve"> that NO generative AI technologies such as Large Language Models (</w:t>
      </w:r>
      <w:proofErr w:type="spellStart"/>
      <w:r w:rsidRPr="00B23F4C">
        <w:rPr>
          <w:lang w:val="en-US"/>
        </w:rPr>
        <w:t>ChatGPT</w:t>
      </w:r>
      <w:proofErr w:type="spellEnd"/>
      <w:r w:rsidRPr="00B23F4C">
        <w:rPr>
          <w:lang w:val="en-US"/>
        </w:rPr>
        <w:t xml:space="preserve">, COPILOT, etc.) and text-to-image generators have been used during the writing or editing of this manuscript. </w:t>
      </w:r>
    </w:p>
    <w:p w14:paraId="0592B49E" w14:textId="77777777" w:rsidR="009D3C05" w:rsidRPr="002B2C77" w:rsidRDefault="009D3C05" w:rsidP="00A36028">
      <w:pPr>
        <w:pStyle w:val="NormalWeb"/>
        <w:spacing w:line="360" w:lineRule="auto"/>
        <w:jc w:val="both"/>
        <w:rPr>
          <w:rFonts w:ascii="Arial" w:hAnsi="Arial" w:cs="Arial"/>
          <w:lang w:val="en-US"/>
        </w:rPr>
      </w:pPr>
    </w:p>
    <w:p w14:paraId="1800C953" w14:textId="77777777" w:rsidR="002B2C77" w:rsidRPr="002B2C77" w:rsidRDefault="002B2C77" w:rsidP="00A36028">
      <w:pPr>
        <w:spacing w:before="100" w:beforeAutospacing="1" w:after="100" w:afterAutospacing="1" w:line="360" w:lineRule="auto"/>
        <w:jc w:val="both"/>
        <w:rPr>
          <w:rFonts w:ascii="Arial" w:eastAsia="Times New Roman" w:hAnsi="Arial" w:cs="Arial"/>
          <w:sz w:val="24"/>
          <w:szCs w:val="24"/>
          <w:lang w:val="en-US" w:eastAsia="es-MX"/>
        </w:rPr>
      </w:pPr>
      <w:r w:rsidRPr="002B2C77">
        <w:rPr>
          <w:rFonts w:ascii="Arial" w:eastAsia="Times New Roman" w:hAnsi="Arial" w:cs="Arial"/>
          <w:b/>
          <w:bCs/>
          <w:sz w:val="24"/>
          <w:szCs w:val="24"/>
          <w:lang w:val="en-US" w:eastAsia="es-MX"/>
        </w:rPr>
        <w:t>References</w:t>
      </w:r>
    </w:p>
    <w:p w14:paraId="71382974" w14:textId="77777777" w:rsidR="002B2C77" w:rsidRPr="00A36028" w:rsidRDefault="002B2C77" w:rsidP="00A36028">
      <w:pPr>
        <w:pStyle w:val="Prrafodelista"/>
        <w:numPr>
          <w:ilvl w:val="0"/>
          <w:numId w:val="1"/>
        </w:numPr>
        <w:spacing w:before="100" w:beforeAutospacing="1" w:after="100" w:afterAutospacing="1" w:line="360" w:lineRule="auto"/>
        <w:jc w:val="both"/>
        <w:rPr>
          <w:rFonts w:ascii="Arial" w:eastAsia="Times New Roman" w:hAnsi="Arial" w:cs="Arial"/>
          <w:sz w:val="24"/>
          <w:szCs w:val="24"/>
          <w:lang w:val="en-US" w:eastAsia="es-MX"/>
        </w:rPr>
      </w:pPr>
      <w:r w:rsidRPr="00A36028">
        <w:rPr>
          <w:rFonts w:ascii="Arial" w:eastAsia="Times New Roman" w:hAnsi="Arial" w:cs="Arial"/>
          <w:sz w:val="24"/>
          <w:szCs w:val="24"/>
          <w:lang w:val="en-US" w:eastAsia="es-MX"/>
        </w:rPr>
        <w:lastRenderedPageBreak/>
        <w:t xml:space="preserve">Government of Mexico. Resolutions and sanctions. [Internet]. Mexico: Government of Mexico; cited September 2, 2025. Available from: </w:t>
      </w:r>
      <w:hyperlink r:id="rId11" w:tgtFrame="_new" w:history="1">
        <w:r w:rsidRPr="00A36028">
          <w:rPr>
            <w:rFonts w:ascii="Arial" w:eastAsia="Times New Roman" w:hAnsi="Arial" w:cs="Arial"/>
            <w:color w:val="0000FF"/>
            <w:sz w:val="24"/>
            <w:szCs w:val="24"/>
            <w:u w:val="single"/>
            <w:lang w:val="en-US" w:eastAsia="es-MX"/>
          </w:rPr>
          <w:t>https://www.gob.mx/cofepris/acciones-y-programas/resoluciones-y-sanciones</w:t>
        </w:r>
      </w:hyperlink>
    </w:p>
    <w:p w14:paraId="129B2FBE" w14:textId="77777777" w:rsidR="002B2C77" w:rsidRPr="00A36028" w:rsidRDefault="002B2C77" w:rsidP="00A36028">
      <w:pPr>
        <w:pStyle w:val="Prrafodelista"/>
        <w:numPr>
          <w:ilvl w:val="0"/>
          <w:numId w:val="1"/>
        </w:numPr>
        <w:spacing w:before="100" w:beforeAutospacing="1" w:after="100" w:afterAutospacing="1" w:line="360" w:lineRule="auto"/>
        <w:jc w:val="both"/>
        <w:rPr>
          <w:rFonts w:ascii="Arial" w:eastAsia="Times New Roman" w:hAnsi="Arial" w:cs="Arial"/>
          <w:sz w:val="24"/>
          <w:szCs w:val="24"/>
          <w:lang w:val="en-US" w:eastAsia="es-MX"/>
        </w:rPr>
      </w:pPr>
      <w:r w:rsidRPr="00A36028">
        <w:rPr>
          <w:rFonts w:ascii="Arial" w:eastAsia="Times New Roman" w:hAnsi="Arial" w:cs="Arial"/>
          <w:sz w:val="24"/>
          <w:szCs w:val="24"/>
          <w:lang w:val="en-US" w:eastAsia="es-MX"/>
        </w:rPr>
        <w:t xml:space="preserve">Chamber of Deputies of the Congress of the Union. General Health Law. [Internet]. Mexico: Deputies; cited September 2, 2025. Available from: </w:t>
      </w:r>
      <w:hyperlink r:id="rId12" w:tgtFrame="_new" w:history="1">
        <w:r w:rsidRPr="00A36028">
          <w:rPr>
            <w:rFonts w:ascii="Arial" w:eastAsia="Times New Roman" w:hAnsi="Arial" w:cs="Arial"/>
            <w:color w:val="0000FF"/>
            <w:sz w:val="24"/>
            <w:szCs w:val="24"/>
            <w:u w:val="single"/>
            <w:lang w:val="en-US" w:eastAsia="es-MX"/>
          </w:rPr>
          <w:t>https://www.diputados.gob.mx/LeyesBiblio/pdf/LGS.pdf</w:t>
        </w:r>
      </w:hyperlink>
    </w:p>
    <w:p w14:paraId="66835560" w14:textId="77777777" w:rsidR="002B2C77" w:rsidRPr="00A36028" w:rsidRDefault="002B2C77" w:rsidP="00A36028">
      <w:pPr>
        <w:pStyle w:val="Prrafodelista"/>
        <w:numPr>
          <w:ilvl w:val="0"/>
          <w:numId w:val="1"/>
        </w:numPr>
        <w:spacing w:before="100" w:beforeAutospacing="1" w:after="100" w:afterAutospacing="1" w:line="360" w:lineRule="auto"/>
        <w:jc w:val="both"/>
        <w:rPr>
          <w:rFonts w:ascii="Arial" w:eastAsia="Times New Roman" w:hAnsi="Arial" w:cs="Arial"/>
          <w:sz w:val="24"/>
          <w:szCs w:val="24"/>
          <w:lang w:val="en-US" w:eastAsia="es-MX"/>
        </w:rPr>
      </w:pPr>
      <w:r w:rsidRPr="00A36028">
        <w:rPr>
          <w:rFonts w:ascii="Arial" w:eastAsia="Times New Roman" w:hAnsi="Arial" w:cs="Arial"/>
          <w:sz w:val="24"/>
          <w:szCs w:val="24"/>
          <w:lang w:val="en-US" w:eastAsia="es-MX"/>
        </w:rPr>
        <w:t xml:space="preserve">Fiscal Symposium. COFEPRIS sanctions in medical offices (2025). [Internet]. Mexico: Fiscal Symposium; cited September 2, 2025. Available from: </w:t>
      </w:r>
      <w:hyperlink r:id="rId13" w:tgtFrame="_new" w:history="1">
        <w:r w:rsidRPr="00A36028">
          <w:rPr>
            <w:rFonts w:ascii="Arial" w:eastAsia="Times New Roman" w:hAnsi="Arial" w:cs="Arial"/>
            <w:color w:val="0000FF"/>
            <w:sz w:val="24"/>
            <w:szCs w:val="24"/>
            <w:u w:val="single"/>
            <w:lang w:val="en-US" w:eastAsia="es-MX"/>
          </w:rPr>
          <w:t>https://www.simposiofiscal.com/2025/08/08/sanciones-de-cofepris-en-consultorios-medicos-2025/</w:t>
        </w:r>
      </w:hyperlink>
    </w:p>
    <w:p w14:paraId="576F3D68" w14:textId="77777777" w:rsidR="002B2C77" w:rsidRPr="00A36028" w:rsidRDefault="002B2C77" w:rsidP="00A36028">
      <w:pPr>
        <w:pStyle w:val="Prrafodelista"/>
        <w:numPr>
          <w:ilvl w:val="0"/>
          <w:numId w:val="1"/>
        </w:numPr>
        <w:spacing w:before="100" w:beforeAutospacing="1" w:after="100" w:afterAutospacing="1" w:line="360" w:lineRule="auto"/>
        <w:jc w:val="both"/>
        <w:rPr>
          <w:rFonts w:ascii="Arial" w:eastAsia="Times New Roman" w:hAnsi="Arial" w:cs="Arial"/>
          <w:sz w:val="24"/>
          <w:szCs w:val="24"/>
          <w:lang w:val="en-US" w:eastAsia="es-MX"/>
        </w:rPr>
      </w:pPr>
      <w:r w:rsidRPr="00A36028">
        <w:rPr>
          <w:rFonts w:ascii="Arial" w:eastAsia="Times New Roman" w:hAnsi="Arial" w:cs="Arial"/>
          <w:sz w:val="24"/>
          <w:szCs w:val="24"/>
          <w:lang w:val="en-US" w:eastAsia="es-MX"/>
        </w:rPr>
        <w:t xml:space="preserve">Government of Mexico. Mexican Official Standard NOM-004-SSA3-2012, Clinical Record. [Internet]. Mexico; cited September 2, 2025. Available from: </w:t>
      </w:r>
      <w:hyperlink r:id="rId14" w:tgtFrame="_new" w:history="1">
        <w:r w:rsidRPr="00A36028">
          <w:rPr>
            <w:rFonts w:ascii="Arial" w:eastAsia="Times New Roman" w:hAnsi="Arial" w:cs="Arial"/>
            <w:color w:val="0000FF"/>
            <w:sz w:val="24"/>
            <w:szCs w:val="24"/>
            <w:u w:val="single"/>
            <w:lang w:val="en-US" w:eastAsia="es-MX"/>
          </w:rPr>
          <w:t>https://dof.gob.mx/nota_detalle_popup.php?codigo=5272787</w:t>
        </w:r>
      </w:hyperlink>
    </w:p>
    <w:p w14:paraId="6193B072" w14:textId="77777777" w:rsidR="002B2C77" w:rsidRPr="00A36028" w:rsidRDefault="002B2C77" w:rsidP="00A36028">
      <w:pPr>
        <w:pStyle w:val="Prrafodelista"/>
        <w:numPr>
          <w:ilvl w:val="0"/>
          <w:numId w:val="1"/>
        </w:numPr>
        <w:spacing w:before="100" w:beforeAutospacing="1" w:after="100" w:afterAutospacing="1" w:line="360" w:lineRule="auto"/>
        <w:jc w:val="both"/>
        <w:rPr>
          <w:rFonts w:ascii="Arial" w:eastAsia="Times New Roman" w:hAnsi="Arial" w:cs="Arial"/>
          <w:sz w:val="24"/>
          <w:szCs w:val="24"/>
          <w:lang w:val="en-US" w:eastAsia="es-MX"/>
        </w:rPr>
      </w:pPr>
      <w:r w:rsidRPr="00A36028">
        <w:rPr>
          <w:rFonts w:ascii="Arial" w:eastAsia="Times New Roman" w:hAnsi="Arial" w:cs="Arial"/>
          <w:sz w:val="24"/>
          <w:szCs w:val="24"/>
          <w:lang w:val="en-US" w:eastAsia="es-MX"/>
        </w:rPr>
        <w:t xml:space="preserve">Government of Mexico. Mexican Official Standard NOM-013-SSA2-2015, For the prevention and control of oral diseases. [Internet]. Mexico; cited September 2, 2025. Available from: </w:t>
      </w:r>
      <w:hyperlink r:id="rId15" w:anchor="gsc.tab=0" w:tgtFrame="_new" w:history="1">
        <w:r w:rsidRPr="00A36028">
          <w:rPr>
            <w:rFonts w:ascii="Arial" w:eastAsia="Times New Roman" w:hAnsi="Arial" w:cs="Arial"/>
            <w:color w:val="0000FF"/>
            <w:sz w:val="24"/>
            <w:szCs w:val="24"/>
            <w:u w:val="single"/>
            <w:lang w:val="en-US" w:eastAsia="es-MX"/>
          </w:rPr>
          <w:t>https://www.dof.gob.mx/nota_detalle.php?codigo=5462039&amp;fecha=23/11/2016#gsc.tab=0</w:t>
        </w:r>
      </w:hyperlink>
    </w:p>
    <w:p w14:paraId="79E4F44E" w14:textId="77777777" w:rsidR="002B2C77" w:rsidRPr="00A36028" w:rsidRDefault="002B2C77" w:rsidP="00A36028">
      <w:pPr>
        <w:pStyle w:val="Prrafodelista"/>
        <w:numPr>
          <w:ilvl w:val="0"/>
          <w:numId w:val="1"/>
        </w:numPr>
        <w:spacing w:before="100" w:beforeAutospacing="1" w:after="100" w:afterAutospacing="1" w:line="360" w:lineRule="auto"/>
        <w:jc w:val="both"/>
        <w:rPr>
          <w:rFonts w:ascii="Arial" w:eastAsia="Times New Roman" w:hAnsi="Arial" w:cs="Arial"/>
          <w:sz w:val="24"/>
          <w:szCs w:val="24"/>
          <w:lang w:val="en-US" w:eastAsia="es-MX"/>
        </w:rPr>
      </w:pPr>
      <w:r w:rsidRPr="00A36028">
        <w:rPr>
          <w:rFonts w:ascii="Arial" w:eastAsia="Times New Roman" w:hAnsi="Arial" w:cs="Arial"/>
          <w:sz w:val="24"/>
          <w:szCs w:val="24"/>
          <w:lang w:val="en-US" w:eastAsia="es-MX"/>
        </w:rPr>
        <w:t xml:space="preserve">Government of Mexico. Mexican Official Standard NOM-087-SSA1-2002, Environmental protection – Environmental health – Hazardous biological-infectious waste – Classification and handling specifications. [Internet]. Mexico; cited September 2, 2025. Available from: </w:t>
      </w:r>
      <w:hyperlink r:id="rId16" w:tgtFrame="_new" w:history="1">
        <w:r w:rsidRPr="00A36028">
          <w:rPr>
            <w:rFonts w:ascii="Arial" w:eastAsia="Times New Roman" w:hAnsi="Arial" w:cs="Arial"/>
            <w:color w:val="0000FF"/>
            <w:sz w:val="24"/>
            <w:szCs w:val="24"/>
            <w:u w:val="single"/>
            <w:lang w:val="en-US" w:eastAsia="es-MX"/>
          </w:rPr>
          <w:t>https://www.cndh.org.mx/DocTR/2016/JUR/A70/01/JUR-20170331-NOR14.pdf</w:t>
        </w:r>
      </w:hyperlink>
    </w:p>
    <w:p w14:paraId="5F7D4DF1" w14:textId="77777777" w:rsidR="002B2C77" w:rsidRPr="00A36028" w:rsidRDefault="002B2C77" w:rsidP="00A36028">
      <w:pPr>
        <w:pStyle w:val="Prrafodelista"/>
        <w:numPr>
          <w:ilvl w:val="0"/>
          <w:numId w:val="1"/>
        </w:numPr>
        <w:spacing w:before="100" w:beforeAutospacing="1" w:after="100" w:afterAutospacing="1" w:line="360" w:lineRule="auto"/>
        <w:jc w:val="both"/>
        <w:rPr>
          <w:rFonts w:ascii="Arial" w:eastAsia="Times New Roman" w:hAnsi="Arial" w:cs="Arial"/>
          <w:sz w:val="24"/>
          <w:szCs w:val="24"/>
          <w:lang w:val="en-US" w:eastAsia="es-MX"/>
        </w:rPr>
      </w:pPr>
      <w:r w:rsidRPr="00A36028">
        <w:rPr>
          <w:rFonts w:ascii="Arial" w:eastAsia="Times New Roman" w:hAnsi="Arial" w:cs="Arial"/>
          <w:sz w:val="24"/>
          <w:szCs w:val="24"/>
          <w:lang w:val="en-US" w:eastAsia="es-MX"/>
        </w:rPr>
        <w:t xml:space="preserve">Government of Mexico. Mexican Official Standard NOM-005-SSA3-2018, Establishing minimum infrastructure and equipment requirements for outpatient medical care facilities. [Internet]. Mexico; cited September 2, 2025. Available from: </w:t>
      </w:r>
      <w:hyperlink r:id="rId17" w:tgtFrame="_new" w:history="1">
        <w:r w:rsidRPr="00A36028">
          <w:rPr>
            <w:rFonts w:ascii="Arial" w:eastAsia="Times New Roman" w:hAnsi="Arial" w:cs="Arial"/>
            <w:color w:val="0000FF"/>
            <w:sz w:val="24"/>
            <w:szCs w:val="24"/>
            <w:u w:val="single"/>
            <w:lang w:val="en-US" w:eastAsia="es-MX"/>
          </w:rPr>
          <w:t>https://www.dof.gob.mx/normasOficiales/8305/salud11_C/salud11_C.html</w:t>
        </w:r>
      </w:hyperlink>
    </w:p>
    <w:p w14:paraId="11C13893" w14:textId="77777777" w:rsidR="002B1C24" w:rsidRPr="002B1C24" w:rsidRDefault="002B1C24" w:rsidP="00A36028">
      <w:pPr>
        <w:pStyle w:val="Prrafodelista"/>
        <w:numPr>
          <w:ilvl w:val="0"/>
          <w:numId w:val="1"/>
        </w:numPr>
        <w:spacing w:before="100" w:beforeAutospacing="1" w:after="100" w:afterAutospacing="1" w:line="360" w:lineRule="auto"/>
        <w:jc w:val="both"/>
        <w:rPr>
          <w:rFonts w:ascii="Arial" w:eastAsia="Times New Roman" w:hAnsi="Arial" w:cs="Arial"/>
          <w:sz w:val="24"/>
          <w:szCs w:val="24"/>
          <w:lang w:eastAsia="es-MX"/>
        </w:rPr>
      </w:pPr>
      <w:r w:rsidRPr="002B1C24">
        <w:rPr>
          <w:rFonts w:ascii="Arial" w:hAnsi="Arial" w:cs="Arial"/>
          <w:sz w:val="24"/>
          <w:szCs w:val="24"/>
        </w:rPr>
        <w:lastRenderedPageBreak/>
        <w:t xml:space="preserve">Salazar MH, Mena RJ, Duarte CV. </w:t>
      </w:r>
      <w:r w:rsidRPr="002B1C24">
        <w:rPr>
          <w:rFonts w:ascii="Arial" w:hAnsi="Arial" w:cs="Arial"/>
          <w:sz w:val="24"/>
          <w:szCs w:val="24"/>
          <w:lang w:val="en-US"/>
        </w:rPr>
        <w:t xml:space="preserve">Compliance with the Mexican Official Standard NOM-013-SSA2-2015 for the prevention and control of oral diseases in private dental practice. (Master’s Thesis). Universidad </w:t>
      </w:r>
      <w:proofErr w:type="spellStart"/>
      <w:r w:rsidRPr="002B1C24">
        <w:rPr>
          <w:rFonts w:ascii="Arial" w:hAnsi="Arial" w:cs="Arial"/>
          <w:sz w:val="24"/>
          <w:szCs w:val="24"/>
          <w:lang w:val="en-US"/>
        </w:rPr>
        <w:t>Veracruzana</w:t>
      </w:r>
      <w:proofErr w:type="spellEnd"/>
      <w:r w:rsidRPr="002B1C24">
        <w:rPr>
          <w:rFonts w:ascii="Arial" w:hAnsi="Arial" w:cs="Arial"/>
          <w:sz w:val="24"/>
          <w:szCs w:val="24"/>
          <w:lang w:val="en-US"/>
        </w:rPr>
        <w:t xml:space="preserve">, Faculty of Medicine. Veracruz. 2019. </w:t>
      </w:r>
      <w:hyperlink r:id="rId18" w:tgtFrame="_new" w:history="1">
        <w:r w:rsidRPr="002B1C24">
          <w:rPr>
            <w:rStyle w:val="Hipervnculo"/>
            <w:rFonts w:ascii="Arial" w:hAnsi="Arial" w:cs="Arial"/>
            <w:sz w:val="24"/>
            <w:szCs w:val="24"/>
            <w:lang w:val="en-US"/>
          </w:rPr>
          <w:t>https://cdigital.uv.mx/server/api/core/bitstreams/df7a7459-da5e-400f-9eac-9799976cedca/content</w:t>
        </w:r>
      </w:hyperlink>
    </w:p>
    <w:p w14:paraId="336A48B8" w14:textId="0E3F962A" w:rsidR="002B2C77" w:rsidRPr="00B23F4C" w:rsidRDefault="002B2C77" w:rsidP="00A36028">
      <w:pPr>
        <w:pStyle w:val="Prrafodelista"/>
        <w:numPr>
          <w:ilvl w:val="0"/>
          <w:numId w:val="1"/>
        </w:numPr>
        <w:spacing w:before="100" w:beforeAutospacing="1" w:after="100" w:afterAutospacing="1" w:line="360" w:lineRule="auto"/>
        <w:jc w:val="both"/>
        <w:rPr>
          <w:rFonts w:ascii="Arial" w:eastAsia="Times New Roman" w:hAnsi="Arial" w:cs="Arial"/>
          <w:sz w:val="24"/>
          <w:szCs w:val="24"/>
          <w:lang w:eastAsia="es-MX"/>
        </w:rPr>
      </w:pPr>
      <w:r w:rsidRPr="002B1C24">
        <w:rPr>
          <w:rFonts w:ascii="Arial" w:eastAsia="Times New Roman" w:hAnsi="Arial" w:cs="Arial"/>
          <w:sz w:val="24"/>
          <w:szCs w:val="24"/>
          <w:lang w:eastAsia="es-MX"/>
        </w:rPr>
        <w:t xml:space="preserve">Jaramillo-Pineda MO, Arróniz PS. </w:t>
      </w:r>
      <w:r w:rsidRPr="00A36028">
        <w:rPr>
          <w:rFonts w:ascii="Arial" w:eastAsia="Times New Roman" w:hAnsi="Arial" w:cs="Arial"/>
          <w:sz w:val="24"/>
          <w:szCs w:val="24"/>
          <w:lang w:val="en-US" w:eastAsia="es-MX"/>
        </w:rPr>
        <w:t xml:space="preserve">Knowledge and application of the dental clinical record according to current standards. [Specialty thesis]. Faculty of Higher Studies </w:t>
      </w:r>
      <w:proofErr w:type="spellStart"/>
      <w:r w:rsidRPr="00A36028">
        <w:rPr>
          <w:rFonts w:ascii="Arial" w:eastAsia="Times New Roman" w:hAnsi="Arial" w:cs="Arial"/>
          <w:sz w:val="24"/>
          <w:szCs w:val="24"/>
          <w:lang w:val="en-US" w:eastAsia="es-MX"/>
        </w:rPr>
        <w:t>Iztacala</w:t>
      </w:r>
      <w:proofErr w:type="spellEnd"/>
      <w:r w:rsidRPr="00A36028">
        <w:rPr>
          <w:rFonts w:ascii="Arial" w:eastAsia="Times New Roman" w:hAnsi="Arial" w:cs="Arial"/>
          <w:sz w:val="24"/>
          <w:szCs w:val="24"/>
          <w:lang w:val="en-US" w:eastAsia="es-MX"/>
        </w:rPr>
        <w:t xml:space="preserve">, Division of Research and Postgraduate Studies, </w:t>
      </w:r>
      <w:proofErr w:type="spellStart"/>
      <w:r w:rsidRPr="00A36028">
        <w:rPr>
          <w:rFonts w:ascii="Arial" w:eastAsia="Times New Roman" w:hAnsi="Arial" w:cs="Arial"/>
          <w:sz w:val="24"/>
          <w:szCs w:val="24"/>
          <w:lang w:val="en-US" w:eastAsia="es-MX"/>
        </w:rPr>
        <w:t>Endoperiodontology</w:t>
      </w:r>
      <w:proofErr w:type="spellEnd"/>
      <w:r w:rsidRPr="00A36028">
        <w:rPr>
          <w:rFonts w:ascii="Arial" w:eastAsia="Times New Roman" w:hAnsi="Arial" w:cs="Arial"/>
          <w:sz w:val="24"/>
          <w:szCs w:val="24"/>
          <w:lang w:val="en-US" w:eastAsia="es-MX"/>
        </w:rPr>
        <w:t xml:space="preserve"> Specialization Clinic. </w:t>
      </w:r>
      <w:proofErr w:type="spellStart"/>
      <w:r w:rsidRPr="00A36028">
        <w:rPr>
          <w:rFonts w:ascii="Arial" w:eastAsia="Times New Roman" w:hAnsi="Arial" w:cs="Arial"/>
          <w:sz w:val="24"/>
          <w:szCs w:val="24"/>
          <w:lang w:eastAsia="es-MX"/>
        </w:rPr>
        <w:t>Mexico</w:t>
      </w:r>
      <w:proofErr w:type="spellEnd"/>
      <w:r w:rsidRPr="00A36028">
        <w:rPr>
          <w:rFonts w:ascii="Arial" w:eastAsia="Times New Roman" w:hAnsi="Arial" w:cs="Arial"/>
          <w:sz w:val="24"/>
          <w:szCs w:val="24"/>
          <w:lang w:eastAsia="es-MX"/>
        </w:rPr>
        <w:t xml:space="preserve">; 2006. </w:t>
      </w:r>
      <w:proofErr w:type="spellStart"/>
      <w:r w:rsidRPr="00A36028">
        <w:rPr>
          <w:rFonts w:ascii="Arial" w:eastAsia="Times New Roman" w:hAnsi="Arial" w:cs="Arial"/>
          <w:sz w:val="24"/>
          <w:szCs w:val="24"/>
          <w:lang w:eastAsia="es-MX"/>
        </w:rPr>
        <w:t>Available</w:t>
      </w:r>
      <w:proofErr w:type="spellEnd"/>
      <w:r w:rsidRPr="00A36028">
        <w:rPr>
          <w:rFonts w:ascii="Arial" w:eastAsia="Times New Roman" w:hAnsi="Arial" w:cs="Arial"/>
          <w:sz w:val="24"/>
          <w:szCs w:val="24"/>
          <w:lang w:eastAsia="es-MX"/>
        </w:rPr>
        <w:t xml:space="preserve"> </w:t>
      </w:r>
      <w:proofErr w:type="spellStart"/>
      <w:r w:rsidRPr="00A36028">
        <w:rPr>
          <w:rFonts w:ascii="Arial" w:eastAsia="Times New Roman" w:hAnsi="Arial" w:cs="Arial"/>
          <w:sz w:val="24"/>
          <w:szCs w:val="24"/>
          <w:lang w:eastAsia="es-MX"/>
        </w:rPr>
        <w:t>from</w:t>
      </w:r>
      <w:proofErr w:type="spellEnd"/>
      <w:r w:rsidRPr="00A36028">
        <w:rPr>
          <w:rFonts w:ascii="Arial" w:eastAsia="Times New Roman" w:hAnsi="Arial" w:cs="Arial"/>
          <w:sz w:val="24"/>
          <w:szCs w:val="24"/>
          <w:lang w:eastAsia="es-MX"/>
        </w:rPr>
        <w:t xml:space="preserve">: </w:t>
      </w:r>
      <w:hyperlink r:id="rId19" w:tgtFrame="_new" w:history="1">
        <w:r w:rsidRPr="00A36028">
          <w:rPr>
            <w:rFonts w:ascii="Arial" w:eastAsia="Times New Roman" w:hAnsi="Arial" w:cs="Arial"/>
            <w:color w:val="0000FF"/>
            <w:sz w:val="24"/>
            <w:szCs w:val="24"/>
            <w:u w:val="single"/>
            <w:lang w:eastAsia="es-MX"/>
          </w:rPr>
          <w:t>https://ru.dgb.unam.mx/server/api/core/bitstreams/a622b07e-2e33-4369-8a34-21c4b5e87cbb/content</w:t>
        </w:r>
      </w:hyperlink>
    </w:p>
    <w:p w14:paraId="047B0C13" w14:textId="77777777" w:rsidR="00B23F4C" w:rsidRPr="00B23F4C" w:rsidRDefault="00B23F4C" w:rsidP="00B23F4C">
      <w:pPr>
        <w:numPr>
          <w:ilvl w:val="0"/>
          <w:numId w:val="1"/>
        </w:numPr>
        <w:spacing w:before="100" w:beforeAutospacing="1" w:after="100" w:afterAutospacing="1" w:line="360" w:lineRule="auto"/>
        <w:jc w:val="both"/>
        <w:rPr>
          <w:rFonts w:ascii="Arial" w:eastAsia="Times New Roman" w:hAnsi="Arial" w:cs="Arial"/>
          <w:sz w:val="24"/>
          <w:szCs w:val="24"/>
          <w:lang w:eastAsia="es-MX"/>
        </w:rPr>
      </w:pPr>
      <w:proofErr w:type="spellStart"/>
      <w:r w:rsidRPr="00B23F4C">
        <w:rPr>
          <w:rFonts w:ascii="Arial" w:eastAsia="Times New Roman" w:hAnsi="Arial" w:cs="Arial"/>
          <w:sz w:val="24"/>
          <w:szCs w:val="24"/>
          <w:lang w:eastAsia="es-MX"/>
        </w:rPr>
        <w:t>Daher</w:t>
      </w:r>
      <w:proofErr w:type="spellEnd"/>
      <w:r w:rsidRPr="00B23F4C">
        <w:rPr>
          <w:rFonts w:ascii="Arial" w:eastAsia="Times New Roman" w:hAnsi="Arial" w:cs="Arial"/>
          <w:sz w:val="24"/>
          <w:szCs w:val="24"/>
          <w:lang w:eastAsia="es-MX"/>
        </w:rPr>
        <w:t xml:space="preserve"> Carrillo A, Aguilar Díaz FC. </w:t>
      </w:r>
      <w:r w:rsidRPr="00B23F4C">
        <w:rPr>
          <w:rFonts w:ascii="Arial" w:eastAsia="Times New Roman" w:hAnsi="Arial" w:cs="Arial"/>
          <w:sz w:val="24"/>
          <w:szCs w:val="24"/>
          <w:lang w:val="en-US" w:eastAsia="es-MX"/>
        </w:rPr>
        <w:t xml:space="preserve">Knowledge, attitudes, and practices of Mexican residents and orthodontists regarding smoking cessation in their clinical practice. </w:t>
      </w:r>
      <w:r w:rsidRPr="00B23F4C">
        <w:rPr>
          <w:rFonts w:ascii="Arial" w:eastAsia="Times New Roman" w:hAnsi="Arial" w:cs="Arial"/>
          <w:sz w:val="24"/>
          <w:szCs w:val="24"/>
          <w:lang w:eastAsia="es-MX"/>
        </w:rPr>
        <w:t xml:space="preserve">Revista </w:t>
      </w:r>
      <w:proofErr w:type="spellStart"/>
      <w:r w:rsidRPr="00B23F4C">
        <w:rPr>
          <w:rFonts w:ascii="Arial" w:eastAsia="Times New Roman" w:hAnsi="Arial" w:cs="Arial"/>
          <w:sz w:val="24"/>
          <w:szCs w:val="24"/>
          <w:lang w:eastAsia="es-MX"/>
        </w:rPr>
        <w:t>Finlay</w:t>
      </w:r>
      <w:proofErr w:type="spellEnd"/>
      <w:r w:rsidRPr="00B23F4C">
        <w:rPr>
          <w:rFonts w:ascii="Arial" w:eastAsia="Times New Roman" w:hAnsi="Arial" w:cs="Arial"/>
          <w:sz w:val="24"/>
          <w:szCs w:val="24"/>
          <w:lang w:eastAsia="es-MX"/>
        </w:rPr>
        <w:t>. 2025;15(0):1461.</w:t>
      </w:r>
    </w:p>
    <w:p w14:paraId="7F8AEB12" w14:textId="77777777" w:rsidR="00B23F4C" w:rsidRPr="00B23F4C" w:rsidRDefault="00B23F4C" w:rsidP="00B23F4C">
      <w:pPr>
        <w:numPr>
          <w:ilvl w:val="0"/>
          <w:numId w:val="1"/>
        </w:numPr>
        <w:spacing w:before="100" w:beforeAutospacing="1" w:after="100" w:afterAutospacing="1" w:line="360" w:lineRule="auto"/>
        <w:jc w:val="both"/>
        <w:rPr>
          <w:rFonts w:ascii="Arial" w:eastAsia="Times New Roman" w:hAnsi="Arial" w:cs="Arial"/>
          <w:sz w:val="24"/>
          <w:szCs w:val="24"/>
          <w:lang w:eastAsia="es-MX"/>
        </w:rPr>
      </w:pPr>
      <w:r w:rsidRPr="00B23F4C">
        <w:rPr>
          <w:rFonts w:ascii="Arial" w:eastAsia="Times New Roman" w:hAnsi="Arial" w:cs="Arial"/>
          <w:sz w:val="24"/>
          <w:szCs w:val="24"/>
          <w:lang w:eastAsia="es-MX"/>
        </w:rPr>
        <w:t xml:space="preserve">Gómez-González A, Rodríguez-González A, Sánchez-González J, et al. </w:t>
      </w:r>
      <w:r w:rsidRPr="00B23F4C">
        <w:rPr>
          <w:rFonts w:ascii="Arial" w:eastAsia="Times New Roman" w:hAnsi="Arial" w:cs="Arial"/>
          <w:sz w:val="24"/>
          <w:szCs w:val="24"/>
          <w:lang w:val="en-US" w:eastAsia="es-MX"/>
        </w:rPr>
        <w:t xml:space="preserve">Knowledge and application of the clinical record in dentistry: a study among dental surgeons and postgraduate students. </w:t>
      </w:r>
      <w:r w:rsidRPr="00B23F4C">
        <w:rPr>
          <w:rFonts w:ascii="Arial" w:eastAsia="Times New Roman" w:hAnsi="Arial" w:cs="Arial"/>
          <w:sz w:val="24"/>
          <w:szCs w:val="24"/>
          <w:lang w:eastAsia="es-MX"/>
        </w:rPr>
        <w:t>Revista de Odontología de la Universidad de La Salle. 2020;17(2):45-52.</w:t>
      </w:r>
    </w:p>
    <w:p w14:paraId="38709503" w14:textId="30DF9746" w:rsidR="00B23F4C" w:rsidRPr="00B23F4C" w:rsidRDefault="00B23F4C" w:rsidP="00B23F4C">
      <w:pPr>
        <w:numPr>
          <w:ilvl w:val="0"/>
          <w:numId w:val="1"/>
        </w:numPr>
        <w:spacing w:before="100" w:beforeAutospacing="1" w:after="100" w:afterAutospacing="1" w:line="360" w:lineRule="auto"/>
        <w:jc w:val="both"/>
        <w:rPr>
          <w:rFonts w:ascii="Arial" w:eastAsia="Times New Roman" w:hAnsi="Arial" w:cs="Arial"/>
          <w:sz w:val="24"/>
          <w:szCs w:val="24"/>
          <w:lang w:eastAsia="es-MX"/>
        </w:rPr>
      </w:pPr>
      <w:r w:rsidRPr="00B23F4C">
        <w:rPr>
          <w:rFonts w:ascii="Arial" w:eastAsia="Times New Roman" w:hAnsi="Arial" w:cs="Arial"/>
          <w:sz w:val="24"/>
          <w:szCs w:val="24"/>
          <w:lang w:eastAsia="es-MX"/>
        </w:rPr>
        <w:t xml:space="preserve">Pérez-Rodríguez A, Martínez-López M, Hernández-González E, et al. </w:t>
      </w:r>
      <w:r w:rsidRPr="00B23F4C">
        <w:rPr>
          <w:rFonts w:ascii="Arial" w:eastAsia="Times New Roman" w:hAnsi="Arial" w:cs="Arial"/>
          <w:sz w:val="24"/>
          <w:szCs w:val="24"/>
          <w:lang w:val="en-US" w:eastAsia="es-MX"/>
        </w:rPr>
        <w:t xml:space="preserve">Assessment of knowledge and compliance with the NOM in private dental clinics in Mexico City. </w:t>
      </w:r>
      <w:r w:rsidRPr="00B23F4C">
        <w:rPr>
          <w:rFonts w:ascii="Arial" w:eastAsia="Times New Roman" w:hAnsi="Arial" w:cs="Arial"/>
          <w:sz w:val="24"/>
          <w:szCs w:val="24"/>
          <w:lang w:eastAsia="es-MX"/>
        </w:rPr>
        <w:t>Revista Mexicana de Ciencias Médicas. 2021;62(3):123-130.</w:t>
      </w:r>
    </w:p>
    <w:p w14:paraId="256163A4" w14:textId="715AB701" w:rsidR="002B2C77" w:rsidRPr="009A161A" w:rsidRDefault="002B2C77" w:rsidP="00A36028">
      <w:pPr>
        <w:pStyle w:val="Prrafodelista"/>
        <w:numPr>
          <w:ilvl w:val="0"/>
          <w:numId w:val="1"/>
        </w:numPr>
        <w:spacing w:before="100" w:beforeAutospacing="1" w:after="100" w:afterAutospacing="1" w:line="360" w:lineRule="auto"/>
        <w:jc w:val="both"/>
        <w:rPr>
          <w:rFonts w:ascii="Arial" w:eastAsia="Times New Roman" w:hAnsi="Arial" w:cs="Arial"/>
          <w:sz w:val="24"/>
          <w:szCs w:val="24"/>
          <w:lang w:val="en-US" w:eastAsia="es-MX"/>
        </w:rPr>
      </w:pPr>
      <w:r w:rsidRPr="00A36028">
        <w:rPr>
          <w:rFonts w:ascii="Arial" w:eastAsia="Times New Roman" w:hAnsi="Arial" w:cs="Arial"/>
          <w:sz w:val="24"/>
          <w:szCs w:val="24"/>
          <w:lang w:eastAsia="es-MX"/>
        </w:rPr>
        <w:t xml:space="preserve">Jiménez-Bastida IP, </w:t>
      </w:r>
      <w:proofErr w:type="spellStart"/>
      <w:r w:rsidRPr="00A36028">
        <w:rPr>
          <w:rFonts w:ascii="Arial" w:eastAsia="Times New Roman" w:hAnsi="Arial" w:cs="Arial"/>
          <w:sz w:val="24"/>
          <w:szCs w:val="24"/>
          <w:lang w:eastAsia="es-MX"/>
        </w:rPr>
        <w:t>Quintino</w:t>
      </w:r>
      <w:proofErr w:type="spellEnd"/>
      <w:r w:rsidRPr="00A36028">
        <w:rPr>
          <w:rFonts w:ascii="Arial" w:eastAsia="Times New Roman" w:hAnsi="Arial" w:cs="Arial"/>
          <w:sz w:val="24"/>
          <w:szCs w:val="24"/>
          <w:lang w:eastAsia="es-MX"/>
        </w:rPr>
        <w:t xml:space="preserve"> CE. </w:t>
      </w:r>
      <w:r w:rsidRPr="00A36028">
        <w:rPr>
          <w:rFonts w:ascii="Arial" w:eastAsia="Times New Roman" w:hAnsi="Arial" w:cs="Arial"/>
          <w:sz w:val="24"/>
          <w:szCs w:val="24"/>
          <w:lang w:val="en-US" w:eastAsia="es-MX"/>
        </w:rPr>
        <w:t xml:space="preserve">Intervention therapy for the development of relationships as a tool to improve communication in dental care for children with autism. [Undergraduate thesis]. Faculty of Dentistry, Mexico; 2024. Available from: </w:t>
      </w:r>
      <w:hyperlink r:id="rId20" w:tgtFrame="_new" w:history="1">
        <w:r w:rsidRPr="00A36028">
          <w:rPr>
            <w:rFonts w:ascii="Arial" w:eastAsia="Times New Roman" w:hAnsi="Arial" w:cs="Arial"/>
            <w:color w:val="0000FF"/>
            <w:sz w:val="24"/>
            <w:szCs w:val="24"/>
            <w:u w:val="single"/>
            <w:lang w:val="en-US" w:eastAsia="es-MX"/>
          </w:rPr>
          <w:t>https://ru.dgb.unam.mx/server/api/core/bitstreams/44bb2aaa-4af7-4794-87fb-8636e030ba86/content</w:t>
        </w:r>
      </w:hyperlink>
    </w:p>
    <w:p w14:paraId="402B8A43" w14:textId="5C16F414" w:rsidR="009A161A" w:rsidRPr="009A161A" w:rsidRDefault="009A161A" w:rsidP="009A161A">
      <w:pPr>
        <w:pStyle w:val="Prrafodelista"/>
        <w:numPr>
          <w:ilvl w:val="0"/>
          <w:numId w:val="1"/>
        </w:numPr>
        <w:spacing w:before="100" w:beforeAutospacing="1" w:after="100" w:afterAutospacing="1" w:line="360" w:lineRule="auto"/>
        <w:jc w:val="both"/>
        <w:rPr>
          <w:rFonts w:ascii="Arial" w:eastAsia="Times New Roman" w:hAnsi="Arial" w:cs="Arial"/>
          <w:sz w:val="24"/>
          <w:szCs w:val="24"/>
          <w:lang w:eastAsia="es-MX"/>
        </w:rPr>
      </w:pPr>
      <w:r w:rsidRPr="009A161A">
        <w:rPr>
          <w:rFonts w:ascii="Arial" w:hAnsi="Arial" w:cs="Arial"/>
          <w:sz w:val="24"/>
          <w:szCs w:val="24"/>
        </w:rPr>
        <w:t xml:space="preserve">Godínez JF, Reyes CR, Ariza-Hernández FJ, </w:t>
      </w:r>
      <w:proofErr w:type="spellStart"/>
      <w:r w:rsidRPr="009A161A">
        <w:rPr>
          <w:rFonts w:ascii="Arial" w:hAnsi="Arial" w:cs="Arial"/>
          <w:sz w:val="24"/>
          <w:szCs w:val="24"/>
        </w:rPr>
        <w:t>Maruris</w:t>
      </w:r>
      <w:proofErr w:type="spellEnd"/>
      <w:r w:rsidRPr="009A161A">
        <w:rPr>
          <w:rFonts w:ascii="Arial" w:hAnsi="Arial" w:cs="Arial"/>
          <w:sz w:val="24"/>
          <w:szCs w:val="24"/>
        </w:rPr>
        <w:t xml:space="preserve"> RM, Cuevas SA, Cabañas CE. </w:t>
      </w:r>
      <w:r w:rsidRPr="009A161A">
        <w:rPr>
          <w:rFonts w:ascii="Arial" w:hAnsi="Arial" w:cs="Arial"/>
          <w:sz w:val="24"/>
          <w:szCs w:val="24"/>
          <w:lang w:val="en-US"/>
        </w:rPr>
        <w:t xml:space="preserve">User satisfaction with outpatient services in a public hospital. </w:t>
      </w:r>
      <w:proofErr w:type="spellStart"/>
      <w:r w:rsidRPr="009A161A">
        <w:rPr>
          <w:rFonts w:ascii="Arial" w:hAnsi="Arial" w:cs="Arial"/>
          <w:sz w:val="24"/>
          <w:szCs w:val="24"/>
          <w:lang w:val="en-US"/>
        </w:rPr>
        <w:t>Psicología</w:t>
      </w:r>
      <w:proofErr w:type="spellEnd"/>
      <w:r w:rsidRPr="009A161A">
        <w:rPr>
          <w:rFonts w:ascii="Arial" w:hAnsi="Arial" w:cs="Arial"/>
          <w:sz w:val="24"/>
          <w:szCs w:val="24"/>
          <w:lang w:val="en-US"/>
        </w:rPr>
        <w:t xml:space="preserve"> y Salud. </w:t>
      </w:r>
      <w:r w:rsidRPr="009A161A">
        <w:rPr>
          <w:rFonts w:ascii="Arial" w:hAnsi="Arial" w:cs="Arial"/>
          <w:sz w:val="24"/>
          <w:szCs w:val="24"/>
        </w:rPr>
        <w:t>2014;24(1):13-20.</w:t>
      </w:r>
    </w:p>
    <w:sectPr w:rsidR="009A161A" w:rsidRPr="009A161A">
      <w:headerReference w:type="even" r:id="rId21"/>
      <w:headerReference w:type="default" r:id="rId22"/>
      <w:headerReference w:type="first" r:id="rId2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A5F4A" w14:textId="77777777" w:rsidR="00743355" w:rsidRDefault="00743355" w:rsidP="00D06C16">
      <w:pPr>
        <w:spacing w:after="0" w:line="240" w:lineRule="auto"/>
      </w:pPr>
      <w:r>
        <w:separator/>
      </w:r>
    </w:p>
  </w:endnote>
  <w:endnote w:type="continuationSeparator" w:id="0">
    <w:p w14:paraId="037E5C66" w14:textId="77777777" w:rsidR="00743355" w:rsidRDefault="00743355" w:rsidP="00D06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A6F10" w14:textId="77777777" w:rsidR="00743355" w:rsidRDefault="00743355" w:rsidP="00D06C16">
      <w:pPr>
        <w:spacing w:after="0" w:line="240" w:lineRule="auto"/>
      </w:pPr>
      <w:r>
        <w:separator/>
      </w:r>
    </w:p>
  </w:footnote>
  <w:footnote w:type="continuationSeparator" w:id="0">
    <w:p w14:paraId="3CD114FB" w14:textId="77777777" w:rsidR="00743355" w:rsidRDefault="00743355" w:rsidP="00D06C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1D59B" w14:textId="1191847F" w:rsidR="00D06C16" w:rsidRDefault="00743355">
    <w:pPr>
      <w:pStyle w:val="Encabezado"/>
    </w:pPr>
    <w:r>
      <w:rPr>
        <w:noProof/>
      </w:rPr>
      <w:pict w14:anchorId="13146C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4383813" o:spid="_x0000_s1026" type="#_x0000_t136" style="position:absolute;margin-left:0;margin-top:0;width:524.6pt;height:98.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1598A" w14:textId="379FE985" w:rsidR="00D06C16" w:rsidRDefault="00743355">
    <w:pPr>
      <w:pStyle w:val="Encabezado"/>
    </w:pPr>
    <w:r>
      <w:rPr>
        <w:noProof/>
      </w:rPr>
      <w:pict w14:anchorId="569F48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4383814" o:spid="_x0000_s1027" type="#_x0000_t136" style="position:absolute;margin-left:0;margin-top:0;width:524.6pt;height:98.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0C5FE" w14:textId="221CE033" w:rsidR="00D06C16" w:rsidRDefault="00743355">
    <w:pPr>
      <w:pStyle w:val="Encabezado"/>
    </w:pPr>
    <w:r>
      <w:rPr>
        <w:noProof/>
      </w:rPr>
      <w:pict w14:anchorId="277A83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4383812" o:spid="_x0000_s1025" type="#_x0000_t136" style="position:absolute;margin-left:0;margin-top:0;width:524.6pt;height:98.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B6F69"/>
    <w:multiLevelType w:val="multilevel"/>
    <w:tmpl w:val="BC9AF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DB5BA4"/>
    <w:multiLevelType w:val="hybridMultilevel"/>
    <w:tmpl w:val="E0AE11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766419854">
    <w:abstractNumId w:val="1"/>
  </w:num>
  <w:num w:numId="2" w16cid:durableId="196747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MX" w:vendorID="64" w:dllVersion="6" w:nlCheck="1" w:checkStyle="0"/>
  <w:activeWritingStyle w:appName="MSWord" w:lang="en-US"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C77"/>
    <w:rsid w:val="00001C53"/>
    <w:rsid w:val="0021520C"/>
    <w:rsid w:val="002B1C24"/>
    <w:rsid w:val="002B2C77"/>
    <w:rsid w:val="002B51AB"/>
    <w:rsid w:val="002B543F"/>
    <w:rsid w:val="003D3864"/>
    <w:rsid w:val="003E1814"/>
    <w:rsid w:val="006C3868"/>
    <w:rsid w:val="006E58FD"/>
    <w:rsid w:val="00743355"/>
    <w:rsid w:val="0077148B"/>
    <w:rsid w:val="00924962"/>
    <w:rsid w:val="009A161A"/>
    <w:rsid w:val="009D3C05"/>
    <w:rsid w:val="00A36028"/>
    <w:rsid w:val="00B23F4C"/>
    <w:rsid w:val="00D06C16"/>
    <w:rsid w:val="00D54E74"/>
    <w:rsid w:val="00ED7AD7"/>
    <w:rsid w:val="00F82265"/>
    <w:rsid w:val="00F8369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7F799"/>
  <w15:chartTrackingRefBased/>
  <w15:docId w15:val="{88389956-9310-415D-A381-9EB5F24AF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5">
    <w:name w:val="heading 5"/>
    <w:basedOn w:val="Normal"/>
    <w:link w:val="Ttulo5Car"/>
    <w:uiPriority w:val="9"/>
    <w:qFormat/>
    <w:rsid w:val="002B2C77"/>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paragraph" w:styleId="Ttulo6">
    <w:name w:val="heading 6"/>
    <w:basedOn w:val="Normal"/>
    <w:link w:val="Ttulo6Car"/>
    <w:uiPriority w:val="9"/>
    <w:qFormat/>
    <w:rsid w:val="002B2C77"/>
    <w:pPr>
      <w:spacing w:before="100" w:beforeAutospacing="1" w:after="100" w:afterAutospacing="1" w:line="240" w:lineRule="auto"/>
      <w:outlineLvl w:val="5"/>
    </w:pPr>
    <w:rPr>
      <w:rFonts w:ascii="Times New Roman" w:eastAsia="Times New Roman" w:hAnsi="Times New Roman" w:cs="Times New Roman"/>
      <w:b/>
      <w:bCs/>
      <w:sz w:val="15"/>
      <w:szCs w:val="15"/>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2B2C77"/>
    <w:rPr>
      <w:rFonts w:ascii="Times New Roman" w:eastAsia="Times New Roman" w:hAnsi="Times New Roman" w:cs="Times New Roman"/>
      <w:b/>
      <w:bCs/>
      <w:sz w:val="20"/>
      <w:szCs w:val="20"/>
      <w:lang w:eastAsia="es-MX"/>
    </w:rPr>
  </w:style>
  <w:style w:type="character" w:customStyle="1" w:styleId="Ttulo6Car">
    <w:name w:val="Título 6 Car"/>
    <w:basedOn w:val="Fuentedeprrafopredeter"/>
    <w:link w:val="Ttulo6"/>
    <w:uiPriority w:val="9"/>
    <w:rsid w:val="002B2C77"/>
    <w:rPr>
      <w:rFonts w:ascii="Times New Roman" w:eastAsia="Times New Roman" w:hAnsi="Times New Roman" w:cs="Times New Roman"/>
      <w:b/>
      <w:bCs/>
      <w:sz w:val="15"/>
      <w:szCs w:val="15"/>
      <w:lang w:eastAsia="es-MX"/>
    </w:rPr>
  </w:style>
  <w:style w:type="paragraph" w:styleId="NormalWeb">
    <w:name w:val="Normal (Web)"/>
    <w:basedOn w:val="Normal"/>
    <w:uiPriority w:val="99"/>
    <w:unhideWhenUsed/>
    <w:rsid w:val="002B2C7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2B2C77"/>
    <w:rPr>
      <w:b/>
      <w:bCs/>
    </w:rPr>
  </w:style>
  <w:style w:type="character" w:styleId="Hipervnculo">
    <w:name w:val="Hyperlink"/>
    <w:basedOn w:val="Fuentedeprrafopredeter"/>
    <w:uiPriority w:val="99"/>
    <w:unhideWhenUsed/>
    <w:rsid w:val="002B2C77"/>
    <w:rPr>
      <w:color w:val="0000FF"/>
      <w:u w:val="single"/>
    </w:rPr>
  </w:style>
  <w:style w:type="character" w:customStyle="1" w:styleId="Mencinsinresolver1">
    <w:name w:val="Mención sin resolver1"/>
    <w:basedOn w:val="Fuentedeprrafopredeter"/>
    <w:uiPriority w:val="99"/>
    <w:semiHidden/>
    <w:unhideWhenUsed/>
    <w:rsid w:val="002B2C77"/>
    <w:rPr>
      <w:color w:val="605E5C"/>
      <w:shd w:val="clear" w:color="auto" w:fill="E1DFDD"/>
    </w:rPr>
  </w:style>
  <w:style w:type="paragraph" w:styleId="Prrafodelista">
    <w:name w:val="List Paragraph"/>
    <w:basedOn w:val="Normal"/>
    <w:uiPriority w:val="34"/>
    <w:qFormat/>
    <w:rsid w:val="00A36028"/>
    <w:pPr>
      <w:ind w:left="720"/>
      <w:contextualSpacing/>
    </w:pPr>
  </w:style>
  <w:style w:type="paragraph" w:styleId="Encabezado">
    <w:name w:val="header"/>
    <w:basedOn w:val="Normal"/>
    <w:link w:val="EncabezadoCar"/>
    <w:uiPriority w:val="99"/>
    <w:unhideWhenUsed/>
    <w:rsid w:val="00D06C16"/>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D06C16"/>
  </w:style>
  <w:style w:type="paragraph" w:styleId="Piedepgina">
    <w:name w:val="footer"/>
    <w:basedOn w:val="Normal"/>
    <w:link w:val="PiedepginaCar"/>
    <w:uiPriority w:val="99"/>
    <w:unhideWhenUsed/>
    <w:rsid w:val="00D06C16"/>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D06C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295926">
      <w:bodyDiv w:val="1"/>
      <w:marLeft w:val="0"/>
      <w:marRight w:val="0"/>
      <w:marTop w:val="0"/>
      <w:marBottom w:val="0"/>
      <w:divBdr>
        <w:top w:val="none" w:sz="0" w:space="0" w:color="auto"/>
        <w:left w:val="none" w:sz="0" w:space="0" w:color="auto"/>
        <w:bottom w:val="none" w:sz="0" w:space="0" w:color="auto"/>
        <w:right w:val="none" w:sz="0" w:space="0" w:color="auto"/>
      </w:divBdr>
    </w:div>
    <w:div w:id="627705936">
      <w:bodyDiv w:val="1"/>
      <w:marLeft w:val="0"/>
      <w:marRight w:val="0"/>
      <w:marTop w:val="0"/>
      <w:marBottom w:val="0"/>
      <w:divBdr>
        <w:top w:val="none" w:sz="0" w:space="0" w:color="auto"/>
        <w:left w:val="none" w:sz="0" w:space="0" w:color="auto"/>
        <w:bottom w:val="none" w:sz="0" w:space="0" w:color="auto"/>
        <w:right w:val="none" w:sz="0" w:space="0" w:color="auto"/>
      </w:divBdr>
    </w:div>
    <w:div w:id="888882072">
      <w:bodyDiv w:val="1"/>
      <w:marLeft w:val="0"/>
      <w:marRight w:val="0"/>
      <w:marTop w:val="0"/>
      <w:marBottom w:val="0"/>
      <w:divBdr>
        <w:top w:val="none" w:sz="0" w:space="0" w:color="auto"/>
        <w:left w:val="none" w:sz="0" w:space="0" w:color="auto"/>
        <w:bottom w:val="none" w:sz="0" w:space="0" w:color="auto"/>
        <w:right w:val="none" w:sz="0" w:space="0" w:color="auto"/>
      </w:divBdr>
    </w:div>
    <w:div w:id="1063719363">
      <w:bodyDiv w:val="1"/>
      <w:marLeft w:val="0"/>
      <w:marRight w:val="0"/>
      <w:marTop w:val="0"/>
      <w:marBottom w:val="0"/>
      <w:divBdr>
        <w:top w:val="none" w:sz="0" w:space="0" w:color="auto"/>
        <w:left w:val="none" w:sz="0" w:space="0" w:color="auto"/>
        <w:bottom w:val="none" w:sz="0" w:space="0" w:color="auto"/>
        <w:right w:val="none" w:sz="0" w:space="0" w:color="auto"/>
      </w:divBdr>
    </w:div>
    <w:div w:id="1103108911">
      <w:bodyDiv w:val="1"/>
      <w:marLeft w:val="0"/>
      <w:marRight w:val="0"/>
      <w:marTop w:val="0"/>
      <w:marBottom w:val="0"/>
      <w:divBdr>
        <w:top w:val="none" w:sz="0" w:space="0" w:color="auto"/>
        <w:left w:val="none" w:sz="0" w:space="0" w:color="auto"/>
        <w:bottom w:val="none" w:sz="0" w:space="0" w:color="auto"/>
        <w:right w:val="none" w:sz="0" w:space="0" w:color="auto"/>
      </w:divBdr>
    </w:div>
    <w:div w:id="1394310416">
      <w:bodyDiv w:val="1"/>
      <w:marLeft w:val="0"/>
      <w:marRight w:val="0"/>
      <w:marTop w:val="0"/>
      <w:marBottom w:val="0"/>
      <w:divBdr>
        <w:top w:val="none" w:sz="0" w:space="0" w:color="auto"/>
        <w:left w:val="none" w:sz="0" w:space="0" w:color="auto"/>
        <w:bottom w:val="none" w:sz="0" w:space="0" w:color="auto"/>
        <w:right w:val="none" w:sz="0" w:space="0" w:color="auto"/>
      </w:divBdr>
    </w:div>
    <w:div w:id="1538271558">
      <w:bodyDiv w:val="1"/>
      <w:marLeft w:val="0"/>
      <w:marRight w:val="0"/>
      <w:marTop w:val="0"/>
      <w:marBottom w:val="0"/>
      <w:divBdr>
        <w:top w:val="none" w:sz="0" w:space="0" w:color="auto"/>
        <w:left w:val="none" w:sz="0" w:space="0" w:color="auto"/>
        <w:bottom w:val="none" w:sz="0" w:space="0" w:color="auto"/>
        <w:right w:val="none" w:sz="0" w:space="0" w:color="auto"/>
      </w:divBdr>
      <w:divsChild>
        <w:div w:id="891305511">
          <w:marLeft w:val="0"/>
          <w:marRight w:val="0"/>
          <w:marTop w:val="0"/>
          <w:marBottom w:val="0"/>
          <w:divBdr>
            <w:top w:val="none" w:sz="0" w:space="0" w:color="auto"/>
            <w:left w:val="none" w:sz="0" w:space="0" w:color="auto"/>
            <w:bottom w:val="none" w:sz="0" w:space="0" w:color="auto"/>
            <w:right w:val="none" w:sz="0" w:space="0" w:color="auto"/>
          </w:divBdr>
          <w:divsChild>
            <w:div w:id="2133478143">
              <w:marLeft w:val="0"/>
              <w:marRight w:val="0"/>
              <w:marTop w:val="0"/>
              <w:marBottom w:val="0"/>
              <w:divBdr>
                <w:top w:val="none" w:sz="0" w:space="0" w:color="auto"/>
                <w:left w:val="none" w:sz="0" w:space="0" w:color="auto"/>
                <w:bottom w:val="none" w:sz="0" w:space="0" w:color="auto"/>
                <w:right w:val="none" w:sz="0" w:space="0" w:color="auto"/>
              </w:divBdr>
              <w:divsChild>
                <w:div w:id="1110127643">
                  <w:marLeft w:val="0"/>
                  <w:marRight w:val="0"/>
                  <w:marTop w:val="0"/>
                  <w:marBottom w:val="0"/>
                  <w:divBdr>
                    <w:top w:val="none" w:sz="0" w:space="0" w:color="auto"/>
                    <w:left w:val="none" w:sz="0" w:space="0" w:color="auto"/>
                    <w:bottom w:val="none" w:sz="0" w:space="0" w:color="auto"/>
                    <w:right w:val="none" w:sz="0" w:space="0" w:color="auto"/>
                  </w:divBdr>
                  <w:divsChild>
                    <w:div w:id="2133940482">
                      <w:marLeft w:val="0"/>
                      <w:marRight w:val="0"/>
                      <w:marTop w:val="0"/>
                      <w:marBottom w:val="0"/>
                      <w:divBdr>
                        <w:top w:val="none" w:sz="0" w:space="0" w:color="auto"/>
                        <w:left w:val="none" w:sz="0" w:space="0" w:color="auto"/>
                        <w:bottom w:val="none" w:sz="0" w:space="0" w:color="auto"/>
                        <w:right w:val="none" w:sz="0" w:space="0" w:color="auto"/>
                      </w:divBdr>
                      <w:divsChild>
                        <w:div w:id="1651861431">
                          <w:marLeft w:val="0"/>
                          <w:marRight w:val="0"/>
                          <w:marTop w:val="0"/>
                          <w:marBottom w:val="0"/>
                          <w:divBdr>
                            <w:top w:val="none" w:sz="0" w:space="0" w:color="auto"/>
                            <w:left w:val="none" w:sz="0" w:space="0" w:color="auto"/>
                            <w:bottom w:val="none" w:sz="0" w:space="0" w:color="auto"/>
                            <w:right w:val="none" w:sz="0" w:space="0" w:color="auto"/>
                          </w:divBdr>
                          <w:divsChild>
                            <w:div w:id="181182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1575329">
          <w:marLeft w:val="0"/>
          <w:marRight w:val="0"/>
          <w:marTop w:val="0"/>
          <w:marBottom w:val="0"/>
          <w:divBdr>
            <w:top w:val="none" w:sz="0" w:space="0" w:color="auto"/>
            <w:left w:val="none" w:sz="0" w:space="0" w:color="auto"/>
            <w:bottom w:val="none" w:sz="0" w:space="0" w:color="auto"/>
            <w:right w:val="none" w:sz="0" w:space="0" w:color="auto"/>
          </w:divBdr>
          <w:divsChild>
            <w:div w:id="1645161224">
              <w:marLeft w:val="0"/>
              <w:marRight w:val="0"/>
              <w:marTop w:val="0"/>
              <w:marBottom w:val="0"/>
              <w:divBdr>
                <w:top w:val="none" w:sz="0" w:space="0" w:color="auto"/>
                <w:left w:val="none" w:sz="0" w:space="0" w:color="auto"/>
                <w:bottom w:val="none" w:sz="0" w:space="0" w:color="auto"/>
                <w:right w:val="none" w:sz="0" w:space="0" w:color="auto"/>
              </w:divBdr>
              <w:divsChild>
                <w:div w:id="1257712559">
                  <w:marLeft w:val="0"/>
                  <w:marRight w:val="0"/>
                  <w:marTop w:val="0"/>
                  <w:marBottom w:val="0"/>
                  <w:divBdr>
                    <w:top w:val="none" w:sz="0" w:space="0" w:color="auto"/>
                    <w:left w:val="none" w:sz="0" w:space="0" w:color="auto"/>
                    <w:bottom w:val="none" w:sz="0" w:space="0" w:color="auto"/>
                    <w:right w:val="none" w:sz="0" w:space="0" w:color="auto"/>
                  </w:divBdr>
                  <w:divsChild>
                    <w:div w:id="24721447">
                      <w:marLeft w:val="0"/>
                      <w:marRight w:val="0"/>
                      <w:marTop w:val="0"/>
                      <w:marBottom w:val="0"/>
                      <w:divBdr>
                        <w:top w:val="none" w:sz="0" w:space="0" w:color="auto"/>
                        <w:left w:val="none" w:sz="0" w:space="0" w:color="auto"/>
                        <w:bottom w:val="none" w:sz="0" w:space="0" w:color="auto"/>
                        <w:right w:val="none" w:sz="0" w:space="0" w:color="auto"/>
                      </w:divBdr>
                      <w:divsChild>
                        <w:div w:id="586772434">
                          <w:marLeft w:val="0"/>
                          <w:marRight w:val="0"/>
                          <w:marTop w:val="0"/>
                          <w:marBottom w:val="0"/>
                          <w:divBdr>
                            <w:top w:val="none" w:sz="0" w:space="0" w:color="auto"/>
                            <w:left w:val="none" w:sz="0" w:space="0" w:color="auto"/>
                            <w:bottom w:val="none" w:sz="0" w:space="0" w:color="auto"/>
                            <w:right w:val="none" w:sz="0" w:space="0" w:color="auto"/>
                          </w:divBdr>
                          <w:divsChild>
                            <w:div w:id="1367683063">
                              <w:marLeft w:val="0"/>
                              <w:marRight w:val="0"/>
                              <w:marTop w:val="0"/>
                              <w:marBottom w:val="0"/>
                              <w:divBdr>
                                <w:top w:val="none" w:sz="0" w:space="0" w:color="auto"/>
                                <w:left w:val="none" w:sz="0" w:space="0" w:color="auto"/>
                                <w:bottom w:val="none" w:sz="0" w:space="0" w:color="auto"/>
                                <w:right w:val="none" w:sz="0" w:space="0" w:color="auto"/>
                              </w:divBdr>
                              <w:divsChild>
                                <w:div w:id="199205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937313">
          <w:marLeft w:val="0"/>
          <w:marRight w:val="0"/>
          <w:marTop w:val="0"/>
          <w:marBottom w:val="0"/>
          <w:divBdr>
            <w:top w:val="none" w:sz="0" w:space="0" w:color="auto"/>
            <w:left w:val="none" w:sz="0" w:space="0" w:color="auto"/>
            <w:bottom w:val="none" w:sz="0" w:space="0" w:color="auto"/>
            <w:right w:val="none" w:sz="0" w:space="0" w:color="auto"/>
          </w:divBdr>
          <w:divsChild>
            <w:div w:id="423384085">
              <w:marLeft w:val="0"/>
              <w:marRight w:val="0"/>
              <w:marTop w:val="0"/>
              <w:marBottom w:val="0"/>
              <w:divBdr>
                <w:top w:val="none" w:sz="0" w:space="0" w:color="auto"/>
                <w:left w:val="none" w:sz="0" w:space="0" w:color="auto"/>
                <w:bottom w:val="none" w:sz="0" w:space="0" w:color="auto"/>
                <w:right w:val="none" w:sz="0" w:space="0" w:color="auto"/>
              </w:divBdr>
              <w:divsChild>
                <w:div w:id="780884018">
                  <w:marLeft w:val="0"/>
                  <w:marRight w:val="0"/>
                  <w:marTop w:val="0"/>
                  <w:marBottom w:val="0"/>
                  <w:divBdr>
                    <w:top w:val="none" w:sz="0" w:space="0" w:color="auto"/>
                    <w:left w:val="none" w:sz="0" w:space="0" w:color="auto"/>
                    <w:bottom w:val="none" w:sz="0" w:space="0" w:color="auto"/>
                    <w:right w:val="none" w:sz="0" w:space="0" w:color="auto"/>
                  </w:divBdr>
                  <w:divsChild>
                    <w:div w:id="1715036788">
                      <w:marLeft w:val="0"/>
                      <w:marRight w:val="0"/>
                      <w:marTop w:val="0"/>
                      <w:marBottom w:val="0"/>
                      <w:divBdr>
                        <w:top w:val="none" w:sz="0" w:space="0" w:color="auto"/>
                        <w:left w:val="none" w:sz="0" w:space="0" w:color="auto"/>
                        <w:bottom w:val="none" w:sz="0" w:space="0" w:color="auto"/>
                        <w:right w:val="none" w:sz="0" w:space="0" w:color="auto"/>
                      </w:divBdr>
                      <w:divsChild>
                        <w:div w:id="1543831594">
                          <w:marLeft w:val="0"/>
                          <w:marRight w:val="0"/>
                          <w:marTop w:val="0"/>
                          <w:marBottom w:val="0"/>
                          <w:divBdr>
                            <w:top w:val="none" w:sz="0" w:space="0" w:color="auto"/>
                            <w:left w:val="none" w:sz="0" w:space="0" w:color="auto"/>
                            <w:bottom w:val="none" w:sz="0" w:space="0" w:color="auto"/>
                            <w:right w:val="none" w:sz="0" w:space="0" w:color="auto"/>
                          </w:divBdr>
                          <w:divsChild>
                            <w:div w:id="57038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580308">
      <w:bodyDiv w:val="1"/>
      <w:marLeft w:val="0"/>
      <w:marRight w:val="0"/>
      <w:marTop w:val="0"/>
      <w:marBottom w:val="0"/>
      <w:divBdr>
        <w:top w:val="none" w:sz="0" w:space="0" w:color="auto"/>
        <w:left w:val="none" w:sz="0" w:space="0" w:color="auto"/>
        <w:bottom w:val="none" w:sz="0" w:space="0" w:color="auto"/>
        <w:right w:val="none" w:sz="0" w:space="0" w:color="auto"/>
      </w:divBdr>
    </w:div>
    <w:div w:id="189650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www.simposiofiscal.com/2025/08/08/sanciones-de-cofepris-en-consultorios-medicos-2025/" TargetMode="External"/><Relationship Id="rId18" Type="http://schemas.openxmlformats.org/officeDocument/2006/relationships/hyperlink" Target="https://cdigital.uv.mx/server/api/core/bitstreams/df7a7459-da5e-400f-9eac-9799976cedca/content"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chart" Target="charts/chart1.xml"/><Relationship Id="rId12" Type="http://schemas.openxmlformats.org/officeDocument/2006/relationships/hyperlink" Target="https://www.diputados.gob.mx/LeyesBiblio/pdf/LGS.pdf" TargetMode="External"/><Relationship Id="rId17" Type="http://schemas.openxmlformats.org/officeDocument/2006/relationships/hyperlink" Target="https://www.dof.gob.mx/normasOficiales/8305/salud11_C/salud11_C.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cndh.org.mx/DocTR/2016/JUR/A70/01/JUR-20170331-NOR14.pdf" TargetMode="External"/><Relationship Id="rId20" Type="http://schemas.openxmlformats.org/officeDocument/2006/relationships/hyperlink" Target="https://ru.dgb.unam.mx/server/api/core/bitstreams/44bb2aaa-4af7-4794-87fb-8636e030ba86/conte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b.mx/cofepris/acciones-y-programas/resoluciones-y-sancione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dof.gob.mx/nota_detalle.php?codigo=5462039&amp;fecha=23/11/2016" TargetMode="External"/><Relationship Id="rId23" Type="http://schemas.openxmlformats.org/officeDocument/2006/relationships/header" Target="header3.xml"/><Relationship Id="rId10" Type="http://schemas.openxmlformats.org/officeDocument/2006/relationships/chart" Target="charts/chart4.xml"/><Relationship Id="rId19" Type="http://schemas.openxmlformats.org/officeDocument/2006/relationships/hyperlink" Target="https://ru.dgb.unam.mx/server/api/core/bitstreams/a622b07e-2e33-4369-8a34-21c4b5e87cbb/content"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dof.gob.mx/nota_detalle_popup.php?codigo=5272787" TargetMode="External"/><Relationship Id="rId22"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Lenovo\Downloads\NORMA%20004%20%20HOJA%20DE%20RESPUESTAS%20(Autoguardado)%20(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Lenovo\Downloads\NORMA%20004%20%20HOJA%20DE%20RESPUESTAS%20(Autoguardado)%20(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Lenovo\Downloads\NORMA%20004%20%20HOJA%20DE%20RESPUESTAS%20(Autoguardado)%20(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Lenovo\Downloads\NORMA%20004%20%20HOJA%20DE%20RESPUESTAS%20(Autoguardado)%20(1).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pivotSource>
    <c:name>[NORMA 004  HOJA DE RESPUESTAS (Autoguardado) (1).xlsx]Hoja3!TablaDinámica5</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sz="1400" b="0" i="0" u="none" strike="noStrike" baseline="0"/>
              <a:t>WHAT ARE THE ELEMENTS OF THE MEDICAL HISTORY?</a:t>
            </a:r>
            <a:endParaRPr lang="es-MX"/>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Hoja3!$B$3</c:f>
              <c:strCache>
                <c:ptCount val="1"/>
                <c:pt idx="0">
                  <c:v>Total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Hoja3!$A$4:$A$7</c:f>
              <c:strCache>
                <c:ptCount val="4"/>
                <c:pt idx="0">
                  <c:v>A</c:v>
                </c:pt>
                <c:pt idx="1">
                  <c:v>B</c:v>
                </c:pt>
                <c:pt idx="2">
                  <c:v>C</c:v>
                </c:pt>
                <c:pt idx="3">
                  <c:v>D</c:v>
                </c:pt>
              </c:strCache>
            </c:strRef>
          </c:cat>
          <c:val>
            <c:numRef>
              <c:f>Hoja3!$B$4:$B$7</c:f>
              <c:numCache>
                <c:formatCode>General</c:formatCode>
                <c:ptCount val="4"/>
                <c:pt idx="0">
                  <c:v>13</c:v>
                </c:pt>
                <c:pt idx="1">
                  <c:v>2</c:v>
                </c:pt>
                <c:pt idx="2">
                  <c:v>1</c:v>
                </c:pt>
                <c:pt idx="3">
                  <c:v>25</c:v>
                </c:pt>
              </c:numCache>
            </c:numRef>
          </c:val>
          <c:extLst>
            <c:ext xmlns:c16="http://schemas.microsoft.com/office/drawing/2014/chart" uri="{C3380CC4-5D6E-409C-BE32-E72D297353CC}">
              <c16:uniqueId val="{00000000-4AC9-4C0A-A7F7-187E9C87AE4A}"/>
            </c:ext>
          </c:extLst>
        </c:ser>
        <c:dLbls>
          <c:showLegendKey val="0"/>
          <c:showVal val="0"/>
          <c:showCatName val="0"/>
          <c:showSerName val="0"/>
          <c:showPercent val="0"/>
          <c:showBubbleSize val="0"/>
        </c:dLbls>
        <c:gapWidth val="219"/>
        <c:overlap val="-27"/>
        <c:axId val="423151727"/>
        <c:axId val="423150063"/>
      </c:barChart>
      <c:catAx>
        <c:axId val="4231517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23150063"/>
        <c:crosses val="autoZero"/>
        <c:auto val="1"/>
        <c:lblAlgn val="ctr"/>
        <c:lblOffset val="100"/>
        <c:noMultiLvlLbl val="0"/>
      </c:catAx>
      <c:valAx>
        <c:axId val="4231500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2315172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extLst>
    <c:ext xmlns:c14="http://schemas.microsoft.com/office/drawing/2007/8/2/chart" uri="{781A3756-C4B2-4CAC-9D66-4F8BD8637D16}">
      <c14:pivotOptions>
        <c14:dropZoneFilter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pivotSource>
    <c:name>[NORMA 004  HOJA DE RESPUESTAS (Autoguardado) (1).xlsx]Hoja11!TablaDinámica45</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sz="1400" b="0" i="0" u="none" strike="noStrike" baseline="0"/>
              <a:t>ACCORDING TO STANDARD 013, WHAT ARE THE PATHOLOGIES THAT OCCUR IN THE ORAL CAVITY OF PERIODONTAL AND GINGIVAL DISEASES?</a:t>
            </a:r>
            <a:endParaRPr lang="es-MX"/>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Hoja11!$B$3</c:f>
              <c:strCache>
                <c:ptCount val="1"/>
                <c:pt idx="0">
                  <c:v>Total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Hoja11!$A$4:$A$6</c:f>
              <c:strCache>
                <c:ptCount val="3"/>
                <c:pt idx="0">
                  <c:v>A</c:v>
                </c:pt>
                <c:pt idx="1">
                  <c:v>B</c:v>
                </c:pt>
                <c:pt idx="2">
                  <c:v>C</c:v>
                </c:pt>
              </c:strCache>
            </c:strRef>
          </c:cat>
          <c:val>
            <c:numRef>
              <c:f>Hoja11!$B$4:$B$6</c:f>
              <c:numCache>
                <c:formatCode>General</c:formatCode>
                <c:ptCount val="3"/>
                <c:pt idx="0">
                  <c:v>5</c:v>
                </c:pt>
                <c:pt idx="1">
                  <c:v>9</c:v>
                </c:pt>
                <c:pt idx="2">
                  <c:v>27</c:v>
                </c:pt>
              </c:numCache>
            </c:numRef>
          </c:val>
          <c:extLst>
            <c:ext xmlns:c16="http://schemas.microsoft.com/office/drawing/2014/chart" uri="{C3380CC4-5D6E-409C-BE32-E72D297353CC}">
              <c16:uniqueId val="{00000000-02B7-4444-953A-D80230DF99CF}"/>
            </c:ext>
          </c:extLst>
        </c:ser>
        <c:dLbls>
          <c:showLegendKey val="0"/>
          <c:showVal val="0"/>
          <c:showCatName val="0"/>
          <c:showSerName val="0"/>
          <c:showPercent val="0"/>
          <c:showBubbleSize val="0"/>
        </c:dLbls>
        <c:gapWidth val="219"/>
        <c:overlap val="-27"/>
        <c:axId val="417592335"/>
        <c:axId val="417592751"/>
      </c:barChart>
      <c:catAx>
        <c:axId val="4175923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17592751"/>
        <c:crosses val="autoZero"/>
        <c:auto val="1"/>
        <c:lblAlgn val="ctr"/>
        <c:lblOffset val="100"/>
        <c:noMultiLvlLbl val="0"/>
      </c:catAx>
      <c:valAx>
        <c:axId val="41759275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1759233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extLst>
    <c:ext xmlns:c14="http://schemas.microsoft.com/office/drawing/2007/8/2/chart" uri="{781A3756-C4B2-4CAC-9D66-4F8BD8637D16}">
      <c14:pivotOptions>
        <c14:dropZoneFilter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pivotSource>
    <c:name>[NORMA 004  HOJA DE RESPUESTAS (Autoguardado) (1).xlsx]Hoja7!TablaDinámica25</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MX" sz="1400" b="0" i="0" u="none" strike="noStrike" baseline="0"/>
              <a:t>ACCORDING TO STANDARD 087, WHAT SHOULD BE THE MANAGEMENT OF BLOOD IN A DENTAL OFFICE?</a:t>
            </a:r>
            <a:endParaRPr lang="es-MX"/>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Hoja7!$B$3</c:f>
              <c:strCache>
                <c:ptCount val="1"/>
                <c:pt idx="0">
                  <c:v>Total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Hoja7!$A$4:$A$7</c:f>
              <c:strCache>
                <c:ptCount val="4"/>
                <c:pt idx="0">
                  <c:v>A</c:v>
                </c:pt>
                <c:pt idx="1">
                  <c:v>B</c:v>
                </c:pt>
                <c:pt idx="2">
                  <c:v>C</c:v>
                </c:pt>
                <c:pt idx="3">
                  <c:v>S/R</c:v>
                </c:pt>
              </c:strCache>
            </c:strRef>
          </c:cat>
          <c:val>
            <c:numRef>
              <c:f>Hoja7!$B$4:$B$7</c:f>
              <c:numCache>
                <c:formatCode>General</c:formatCode>
                <c:ptCount val="4"/>
                <c:pt idx="0">
                  <c:v>24</c:v>
                </c:pt>
                <c:pt idx="1">
                  <c:v>13</c:v>
                </c:pt>
                <c:pt idx="2">
                  <c:v>3</c:v>
                </c:pt>
                <c:pt idx="3">
                  <c:v>1</c:v>
                </c:pt>
              </c:numCache>
            </c:numRef>
          </c:val>
          <c:extLst>
            <c:ext xmlns:c16="http://schemas.microsoft.com/office/drawing/2014/chart" uri="{C3380CC4-5D6E-409C-BE32-E72D297353CC}">
              <c16:uniqueId val="{00000000-3C12-476E-A506-10F5AC7FE1DC}"/>
            </c:ext>
          </c:extLst>
        </c:ser>
        <c:dLbls>
          <c:showLegendKey val="0"/>
          <c:showVal val="0"/>
          <c:showCatName val="0"/>
          <c:showSerName val="0"/>
          <c:showPercent val="0"/>
          <c:showBubbleSize val="0"/>
        </c:dLbls>
        <c:gapWidth val="219"/>
        <c:overlap val="-27"/>
        <c:axId val="463567615"/>
        <c:axId val="419964191"/>
      </c:barChart>
      <c:catAx>
        <c:axId val="4635676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19964191"/>
        <c:crosses val="autoZero"/>
        <c:auto val="1"/>
        <c:lblAlgn val="ctr"/>
        <c:lblOffset val="100"/>
        <c:noMultiLvlLbl val="0"/>
      </c:catAx>
      <c:valAx>
        <c:axId val="41996419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6356761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extLst>
    <c:ext xmlns:c14="http://schemas.microsoft.com/office/drawing/2007/8/2/chart" uri="{781A3756-C4B2-4CAC-9D66-4F8BD8637D16}">
      <c14:pivotOptions>
        <c14:dropZoneFilter val="1"/>
        <c14:dropZonesVisible val="1"/>
      </c14:pivotOptions>
    </c:ext>
    <c:ext xmlns:c16="http://schemas.microsoft.com/office/drawing/2014/chart" uri="{E28EC0CA-F0BB-4C9C-879D-F8772B89E7AC}">
      <c16:pivotOptions16>
        <c16:showExpandCollapseFieldButtons val="1"/>
      </c16:pivotOptions16>
    </c:ext>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pivotSource>
    <c:name>[NORMA 004  HOJA DE RESPUESTAS (Autoguardado) (1).xlsx]Hoja10!TablaDinámica40</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br>
              <a:rPr lang="es-MX" sz="1400" b="0" i="0" u="none" strike="noStrike" baseline="0"/>
            </a:br>
            <a:r>
              <a:rPr lang="es-MX" sz="1400" b="0" i="0" u="none" strike="noStrike" baseline="0">
                <a:effectLst/>
              </a:rPr>
              <a:t>WHAT ARE THE SPECIFIC INFRASTRUCTURE REQUIREMENTS THAT A DENTAL OFFICE MUST COMPLY WITH ACCORDING TO NOM-005-SSA3-2018?</a:t>
            </a:r>
            <a:endParaRPr lang="es-MX"/>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Hoja10!$B$3</c:f>
              <c:strCache>
                <c:ptCount val="1"/>
                <c:pt idx="0">
                  <c:v>Total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Hoja10!$A$4:$A$6</c:f>
              <c:strCache>
                <c:ptCount val="3"/>
                <c:pt idx="0">
                  <c:v>A</c:v>
                </c:pt>
                <c:pt idx="1">
                  <c:v>B</c:v>
                </c:pt>
                <c:pt idx="2">
                  <c:v>C</c:v>
                </c:pt>
              </c:strCache>
            </c:strRef>
          </c:cat>
          <c:val>
            <c:numRef>
              <c:f>Hoja10!$B$4:$B$6</c:f>
              <c:numCache>
                <c:formatCode>General</c:formatCode>
                <c:ptCount val="3"/>
                <c:pt idx="0">
                  <c:v>8</c:v>
                </c:pt>
                <c:pt idx="1">
                  <c:v>32</c:v>
                </c:pt>
                <c:pt idx="2">
                  <c:v>1</c:v>
                </c:pt>
              </c:numCache>
            </c:numRef>
          </c:val>
          <c:extLst>
            <c:ext xmlns:c16="http://schemas.microsoft.com/office/drawing/2014/chart" uri="{C3380CC4-5D6E-409C-BE32-E72D297353CC}">
              <c16:uniqueId val="{00000000-F12A-4B13-9541-211B984C05B9}"/>
            </c:ext>
          </c:extLst>
        </c:ser>
        <c:dLbls>
          <c:showLegendKey val="0"/>
          <c:showVal val="0"/>
          <c:showCatName val="0"/>
          <c:showSerName val="0"/>
          <c:showPercent val="0"/>
          <c:showBubbleSize val="0"/>
        </c:dLbls>
        <c:gapWidth val="219"/>
        <c:overlap val="-27"/>
        <c:axId val="471030303"/>
        <c:axId val="471030719"/>
      </c:barChart>
      <c:catAx>
        <c:axId val="4710303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71030719"/>
        <c:crosses val="autoZero"/>
        <c:auto val="1"/>
        <c:lblAlgn val="ctr"/>
        <c:lblOffset val="100"/>
        <c:noMultiLvlLbl val="0"/>
      </c:catAx>
      <c:valAx>
        <c:axId val="47103071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7103030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extLst>
    <c:ext xmlns:c14="http://schemas.microsoft.com/office/drawing/2007/8/2/chart" uri="{781A3756-C4B2-4CAC-9D66-4F8BD8637D16}">
      <c14:pivotOptions>
        <c14:dropZoneFilter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4028</Words>
  <Characters>22155</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Cristobal Landa</dc:creator>
  <cp:keywords/>
  <dc:description/>
  <cp:lastModifiedBy>Cristobal Landa</cp:lastModifiedBy>
  <cp:revision>2</cp:revision>
  <dcterms:created xsi:type="dcterms:W3CDTF">2025-09-20T03:47:00Z</dcterms:created>
  <dcterms:modified xsi:type="dcterms:W3CDTF">2025-09-20T03:47:00Z</dcterms:modified>
</cp:coreProperties>
</file>