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790D" w14:textId="77777777" w:rsidR="00214CFA" w:rsidRPr="00214CFA" w:rsidRDefault="00214CFA" w:rsidP="00BB62EC">
      <w:pPr>
        <w:pStyle w:val="Heading1"/>
      </w:pPr>
      <w:r w:rsidRPr="00214CFA">
        <w:t xml:space="preserve">Case report </w:t>
      </w:r>
    </w:p>
    <w:p w14:paraId="355F2C4F" w14:textId="77777777" w:rsidR="009736DE" w:rsidRPr="00700CDA" w:rsidRDefault="00700CDA" w:rsidP="00A6549F">
      <w:pPr>
        <w:spacing w:line="240" w:lineRule="auto"/>
        <w:jc w:val="center"/>
        <w:rPr>
          <w:b/>
          <w:bCs/>
          <w:sz w:val="36"/>
          <w:szCs w:val="36"/>
        </w:rPr>
      </w:pPr>
      <w:bookmarkStart w:id="0" w:name="_Hlk208395535"/>
      <w:r w:rsidRPr="00700CDA">
        <w:rPr>
          <w:b/>
          <w:bCs/>
          <w:sz w:val="36"/>
          <w:szCs w:val="36"/>
        </w:rPr>
        <w:t>Patent Foramen Ovale: A Silent Culprit of Cryptogenic Ischemic Stroke</w:t>
      </w:r>
    </w:p>
    <w:bookmarkEnd w:id="0"/>
    <w:p w14:paraId="59FAEC0C" w14:textId="76814A1F" w:rsidR="009736DE" w:rsidRDefault="009736DE" w:rsidP="00A6549F">
      <w:pPr>
        <w:spacing w:line="240" w:lineRule="auto"/>
        <w:rPr>
          <w:rFonts w:ascii="Arial" w:hAnsi="Arial" w:cs="Arial"/>
          <w:b/>
          <w:bCs/>
        </w:rPr>
      </w:pPr>
    </w:p>
    <w:p w14:paraId="59058152" w14:textId="77777777" w:rsidR="00243B0D" w:rsidRPr="00EE7C57" w:rsidRDefault="00243B0D" w:rsidP="00A6549F">
      <w:pPr>
        <w:spacing w:line="240" w:lineRule="auto"/>
        <w:rPr>
          <w:rFonts w:ascii="Arial" w:hAnsi="Arial" w:cs="Arial"/>
          <w:b/>
          <w:bCs/>
        </w:rPr>
      </w:pPr>
    </w:p>
    <w:p w14:paraId="0A3E6BCB" w14:textId="77777777" w:rsidR="00DD4E13" w:rsidRDefault="00DD4E13" w:rsidP="00A6549F">
      <w:pPr>
        <w:spacing w:line="240" w:lineRule="auto"/>
        <w:jc w:val="both"/>
        <w:rPr>
          <w:rFonts w:ascii="Arial" w:hAnsi="Arial" w:cs="Arial"/>
          <w:b/>
          <w:bCs/>
        </w:rPr>
      </w:pPr>
      <w:r w:rsidRPr="004851B1">
        <w:rPr>
          <w:rFonts w:ascii="Arial" w:hAnsi="Arial" w:cs="Arial"/>
          <w:b/>
          <w:bCs/>
        </w:rPr>
        <w:t>A</w:t>
      </w:r>
      <w:r w:rsidR="00EE7C57">
        <w:rPr>
          <w:rFonts w:ascii="Arial" w:hAnsi="Arial" w:cs="Arial"/>
          <w:b/>
          <w:bCs/>
        </w:rPr>
        <w:t>BSTRACT</w:t>
      </w:r>
    </w:p>
    <w:p w14:paraId="69366104" w14:textId="18EC202B" w:rsidR="004D51D1" w:rsidRDefault="004D51D1" w:rsidP="00A6549F">
      <w:pPr>
        <w:spacing w:line="240" w:lineRule="auto"/>
        <w:jc w:val="both"/>
        <w:rPr>
          <w:rFonts w:ascii="Arial" w:hAnsi="Arial" w:cs="Arial"/>
          <w:b/>
          <w:bCs/>
        </w:rPr>
      </w:pPr>
      <w:r>
        <w:rPr>
          <w:rStyle w:val="Strong"/>
        </w:rPr>
        <w:t>Introduction:</w:t>
      </w:r>
      <w:r>
        <w:t xml:space="preserve"> Patent foramen </w:t>
      </w:r>
      <w:proofErr w:type="spellStart"/>
      <w:r>
        <w:t>ovale</w:t>
      </w:r>
      <w:proofErr w:type="spellEnd"/>
      <w:r>
        <w:t xml:space="preserve"> (PFO) is increasingly recognized as a potential risk factor for cryptogenic ischemic stroke in young patients without conventional vascular risk factors. </w:t>
      </w:r>
      <w:r>
        <w:rPr>
          <w:rStyle w:val="Strong"/>
        </w:rPr>
        <w:t>Methods:</w:t>
      </w:r>
      <w:r>
        <w:t xml:space="preserve"> We report the case of a 38-year-old man admitted with a superficial right sylvian infarct, in whom comprehensive diagnostic work-up including ECG, carotid Doppler ultrasound, and laboratory testing excluded atrial fibrillation, carotid disease, and thrombophilia. </w:t>
      </w:r>
      <w:r>
        <w:rPr>
          <w:rStyle w:val="Strong"/>
        </w:rPr>
        <w:t>Results:</w:t>
      </w:r>
      <w:r>
        <w:t xml:space="preserve"> Brain CT confirmed ischemic stroke, and secondary prevention with aspirin and atorvastatin was initiated. Contrast-enhanced transesophageal echocardiography revealed a 3-mm PFO with a significant right-to-left shunt (&gt;20 bubbles during Valsalva maneuver), without atrial septal aneurysm or thrombus. No percutaneous closure was performed, and the patient remained recurrence-free during follow-up under medical management. </w:t>
      </w:r>
      <w:r>
        <w:rPr>
          <w:rStyle w:val="Strong"/>
        </w:rPr>
        <w:t>Conclusion:</w:t>
      </w:r>
      <w:r>
        <w:t xml:space="preserve"> This case underscores the role of systematic PFO evaluation in cryptogenic stroke, highlights the diagnostic value of imaging in detecting interatrial shunts, and emphasizes the need for individualized management.</w:t>
      </w:r>
    </w:p>
    <w:p w14:paraId="55913FEC" w14:textId="679B4D3B" w:rsidR="00F34895" w:rsidRPr="004D51D1" w:rsidRDefault="000C6D1E" w:rsidP="004D51D1">
      <w:pPr>
        <w:spacing w:line="240" w:lineRule="auto"/>
        <w:rPr>
          <w:rFonts w:ascii="Arial" w:hAnsi="Arial" w:cs="Arial"/>
          <w:bCs/>
          <w:i/>
          <w:iCs/>
        </w:rPr>
      </w:pPr>
      <w:r w:rsidRPr="000C6D1E">
        <w:rPr>
          <w:rFonts w:ascii="Arial" w:hAnsi="Arial" w:cs="Arial"/>
          <w:i/>
          <w:iCs/>
          <w:sz w:val="20"/>
          <w:szCs w:val="20"/>
        </w:rPr>
        <w:t>Keywords</w:t>
      </w:r>
      <w:r w:rsidR="00F34895" w:rsidRPr="000C6D1E">
        <w:rPr>
          <w:rFonts w:ascii="Arial" w:hAnsi="Arial" w:cs="Arial"/>
          <w:bCs/>
          <w:sz w:val="20"/>
          <w:szCs w:val="20"/>
        </w:rPr>
        <w:t xml:space="preserve">: </w:t>
      </w:r>
      <w:r w:rsidR="004D51D1" w:rsidRPr="004D51D1">
        <w:rPr>
          <w:i/>
          <w:iCs/>
        </w:rPr>
        <w:t xml:space="preserve">Cryptogenic stroke; Patent foramen </w:t>
      </w:r>
      <w:proofErr w:type="spellStart"/>
      <w:r w:rsidR="004D51D1" w:rsidRPr="004D51D1">
        <w:rPr>
          <w:i/>
          <w:iCs/>
        </w:rPr>
        <w:t>ovale</w:t>
      </w:r>
      <w:proofErr w:type="spellEnd"/>
      <w:r w:rsidR="004D51D1" w:rsidRPr="004D51D1">
        <w:rPr>
          <w:i/>
          <w:iCs/>
        </w:rPr>
        <w:t>; Paradoxical embolism; Transesophageal echocardiography; Secondary prevention.</w:t>
      </w:r>
    </w:p>
    <w:p w14:paraId="404E188D" w14:textId="77777777" w:rsidR="00DD4E13" w:rsidRPr="004D51D1" w:rsidRDefault="00DD4E13" w:rsidP="00A6549F">
      <w:pPr>
        <w:spacing w:line="240" w:lineRule="auto"/>
        <w:rPr>
          <w:rFonts w:ascii="Arial" w:hAnsi="Arial" w:cs="Arial"/>
          <w:b/>
          <w:bCs/>
          <w:i/>
          <w:iCs/>
        </w:rPr>
      </w:pPr>
    </w:p>
    <w:p w14:paraId="0F10AE92" w14:textId="77777777" w:rsidR="00E76F5D" w:rsidRDefault="00E76F5D" w:rsidP="00A6549F">
      <w:pPr>
        <w:spacing w:line="240" w:lineRule="auto"/>
        <w:rPr>
          <w:rFonts w:ascii="Arial" w:hAnsi="Arial" w:cs="Arial"/>
          <w:b/>
          <w:bCs/>
        </w:rPr>
      </w:pPr>
      <w:r w:rsidRPr="004851B1">
        <w:rPr>
          <w:rFonts w:ascii="Arial" w:hAnsi="Arial" w:cs="Arial"/>
          <w:b/>
          <w:bCs/>
        </w:rPr>
        <w:t>I</w:t>
      </w:r>
      <w:r w:rsidR="00D57E1A">
        <w:rPr>
          <w:rFonts w:ascii="Arial" w:hAnsi="Arial" w:cs="Arial"/>
          <w:b/>
          <w:bCs/>
        </w:rPr>
        <w:t>NTRODUCTION</w:t>
      </w:r>
    </w:p>
    <w:p w14:paraId="19916744" w14:textId="312B46A9" w:rsidR="009A60F0" w:rsidRPr="009A60F0" w:rsidRDefault="0053603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536030">
        <w:rPr>
          <w:rFonts w:ascii="Times New Roman" w:eastAsia="Times New Roman" w:hAnsi="Times New Roman" w:cs="Times New Roman"/>
          <w:sz w:val="24"/>
          <w:szCs w:val="24"/>
          <w:highlight w:val="green"/>
          <w:lang w:eastAsia="fr-FR"/>
        </w:rPr>
        <w:t>P</w:t>
      </w:r>
      <w:r w:rsidR="009A60F0" w:rsidRPr="00536030">
        <w:rPr>
          <w:rFonts w:ascii="Times New Roman" w:eastAsia="Times New Roman" w:hAnsi="Times New Roman" w:cs="Times New Roman"/>
          <w:sz w:val="24"/>
          <w:szCs w:val="24"/>
          <w:highlight w:val="green"/>
          <w:lang w:eastAsia="fr-FR"/>
        </w:rPr>
        <w:t>atent</w:t>
      </w:r>
      <w:r w:rsidR="009A60F0" w:rsidRPr="009A60F0">
        <w:rPr>
          <w:rFonts w:ascii="Times New Roman" w:eastAsia="Times New Roman" w:hAnsi="Times New Roman" w:cs="Times New Roman"/>
          <w:sz w:val="24"/>
          <w:szCs w:val="24"/>
          <w:lang w:eastAsia="fr-FR"/>
        </w:rPr>
        <w:t xml:space="preserve"> foramen </w:t>
      </w:r>
      <w:proofErr w:type="spellStart"/>
      <w:r w:rsidR="009A60F0" w:rsidRPr="009A60F0">
        <w:rPr>
          <w:rFonts w:ascii="Times New Roman" w:eastAsia="Times New Roman" w:hAnsi="Times New Roman" w:cs="Times New Roman"/>
          <w:sz w:val="24"/>
          <w:szCs w:val="24"/>
          <w:lang w:eastAsia="fr-FR"/>
        </w:rPr>
        <w:t>ovale</w:t>
      </w:r>
      <w:proofErr w:type="spellEnd"/>
      <w:r w:rsidR="009A60F0" w:rsidRPr="009A60F0">
        <w:rPr>
          <w:rFonts w:ascii="Times New Roman" w:eastAsia="Times New Roman" w:hAnsi="Times New Roman" w:cs="Times New Roman"/>
          <w:sz w:val="24"/>
          <w:szCs w:val="24"/>
          <w:lang w:eastAsia="fr-FR"/>
        </w:rPr>
        <w:t xml:space="preserve"> (PFO) is recognized as a potential risk factor for ischemic stroke of undetermined origin, particularly in young patients. This anomaly, once regarded as a benign embryologic remnant, has been increasingly integrated into the diagnostic work-up of cryptogenic stroke, given its therapeutic implications in secondary prevention</w:t>
      </w:r>
      <w:r w:rsidR="009A60F0" w:rsidRPr="009A60F0">
        <w:rPr>
          <w:rFonts w:ascii="MS Gothic" w:eastAsia="Times New Roman" w:hAnsi="MS Gothic" w:cs="MS Gothic"/>
          <w:sz w:val="24"/>
          <w:szCs w:val="24"/>
          <w:lang w:val="fr-FR" w:eastAsia="fr-FR"/>
        </w:rPr>
        <w:t>【</w:t>
      </w:r>
      <w:r w:rsidR="009A60F0" w:rsidRPr="009A60F0">
        <w:rPr>
          <w:rFonts w:ascii="Times New Roman" w:eastAsia="Times New Roman" w:hAnsi="Times New Roman" w:cs="Times New Roman"/>
          <w:sz w:val="24"/>
          <w:szCs w:val="24"/>
          <w:lang w:eastAsia="fr-FR"/>
        </w:rPr>
        <w:t>1</w:t>
      </w:r>
      <w:r w:rsidR="009A60F0" w:rsidRPr="009A60F0">
        <w:rPr>
          <w:rFonts w:ascii="MS Gothic" w:eastAsia="Times New Roman" w:hAnsi="MS Gothic" w:cs="MS Gothic"/>
          <w:sz w:val="24"/>
          <w:szCs w:val="24"/>
          <w:lang w:val="fr-FR" w:eastAsia="fr-FR"/>
        </w:rPr>
        <w:t>】</w:t>
      </w:r>
      <w:r w:rsidR="009A60F0" w:rsidRPr="009A60F0">
        <w:rPr>
          <w:rFonts w:ascii="Times New Roman" w:eastAsia="Times New Roman" w:hAnsi="Times New Roman" w:cs="Times New Roman"/>
          <w:sz w:val="24"/>
          <w:szCs w:val="24"/>
          <w:lang w:eastAsia="fr-FR"/>
        </w:rPr>
        <w:t>.</w:t>
      </w:r>
      <w:r w:rsidR="009A60F0" w:rsidRPr="009A60F0">
        <w:rPr>
          <w:rFonts w:ascii="Times New Roman" w:eastAsia="Times New Roman" w:hAnsi="Times New Roman" w:cs="Times New Roman"/>
          <w:sz w:val="24"/>
          <w:szCs w:val="24"/>
          <w:lang w:eastAsia="fr-FR"/>
        </w:rPr>
        <w:br/>
        <w:t>Importantly, PFO is usually asymptomatic, but may cause paradoxical embolism and is considered a risk factor mainly for non-lacunar cryptogenic ischemia in young adults</w:t>
      </w:r>
      <w:r w:rsidR="009A60F0" w:rsidRPr="009A60F0">
        <w:rPr>
          <w:rFonts w:ascii="MS Gothic" w:eastAsia="MS Gothic" w:hAnsi="MS Gothic" w:cs="MS Gothic" w:hint="eastAsia"/>
          <w:sz w:val="24"/>
          <w:szCs w:val="24"/>
          <w:lang w:val="fr-FR" w:eastAsia="fr-FR"/>
        </w:rPr>
        <w:t>【</w:t>
      </w:r>
      <w:r w:rsidR="009A60F0" w:rsidRPr="009A60F0">
        <w:rPr>
          <w:rFonts w:ascii="Times New Roman" w:eastAsia="Times New Roman" w:hAnsi="Times New Roman" w:cs="Times New Roman"/>
          <w:sz w:val="24"/>
          <w:szCs w:val="24"/>
          <w:lang w:eastAsia="fr-FR"/>
        </w:rPr>
        <w:t>9</w:t>
      </w:r>
      <w:r w:rsidR="009A60F0" w:rsidRPr="009A60F0">
        <w:rPr>
          <w:rFonts w:ascii="MS Gothic" w:eastAsia="MS Gothic" w:hAnsi="MS Gothic" w:cs="MS Gothic" w:hint="eastAsia"/>
          <w:sz w:val="24"/>
          <w:szCs w:val="24"/>
          <w:lang w:val="fr-FR" w:eastAsia="fr-FR"/>
        </w:rPr>
        <w:t>】</w:t>
      </w:r>
      <w:r w:rsidR="009A60F0" w:rsidRPr="009A60F0">
        <w:rPr>
          <w:rFonts w:ascii="Times New Roman" w:eastAsia="Times New Roman" w:hAnsi="Times New Roman" w:cs="Times New Roman"/>
          <w:sz w:val="24"/>
          <w:szCs w:val="24"/>
          <w:lang w:eastAsia="fr-FR"/>
        </w:rPr>
        <w:t>.</w:t>
      </w:r>
    </w:p>
    <w:p w14:paraId="7A335E29" w14:textId="7BC105D8"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diagnosis of PFO relies primarily on cardiovascular imaging techniques. Contrast-enhanced transesophageal echocardiography (TEE) remains the gold standard for confirming interatrial shunt, while transcranial Doppler (TCD) ultrasound serves as a useful initial non-invasive screening tool</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2</w:t>
      </w:r>
      <w:r w:rsidRPr="009A60F0">
        <w:rPr>
          <w:rFonts w:ascii="MS Gothic" w:eastAsia="Times New Roman" w:hAnsi="MS Gothic" w:cs="MS Gothic"/>
          <w:sz w:val="24"/>
          <w:szCs w:val="24"/>
          <w:lang w:val="fr-FR" w:eastAsia="fr-FR"/>
        </w:rPr>
        <w:t>】</w:t>
      </w:r>
      <w:r>
        <w:rPr>
          <w:rFonts w:ascii="MS Gothic" w:eastAsia="MS Gothic" w:hAnsi="MS Gothic" w:cs="MS Gothic"/>
          <w:sz w:val="24"/>
          <w:szCs w:val="24"/>
          <w:lang w:eastAsia="fr-FR"/>
        </w:rPr>
        <w:t xml:space="preserve"> </w:t>
      </w:r>
      <w:r>
        <w:rPr>
          <w:rFonts w:ascii="Times New Roman" w:eastAsia="Times New Roman" w:hAnsi="Times New Roman" w:cs="Times New Roman"/>
          <w:sz w:val="24"/>
          <w:szCs w:val="24"/>
          <w:lang w:eastAsia="fr-FR"/>
        </w:rPr>
        <w:t>.</w:t>
      </w:r>
      <w:r w:rsidRPr="009A60F0">
        <w:rPr>
          <w:rFonts w:ascii="Times New Roman" w:eastAsia="Times New Roman" w:hAnsi="Times New Roman" w:cs="Times New Roman"/>
          <w:sz w:val="24"/>
          <w:szCs w:val="24"/>
          <w:lang w:eastAsia="fr-FR"/>
        </w:rPr>
        <w:t>Therapeutic decisions</w:t>
      </w:r>
      <w:r>
        <w:rPr>
          <w:rFonts w:ascii="Times New Roman" w:eastAsia="Times New Roman" w:hAnsi="Times New Roman" w:cs="Times New Roman"/>
          <w:sz w:val="24"/>
          <w:szCs w:val="24"/>
          <w:lang w:eastAsia="fr-FR"/>
        </w:rPr>
        <w:t xml:space="preserve"> </w:t>
      </w:r>
      <w:r w:rsidRPr="009A60F0">
        <w:rPr>
          <w:rFonts w:ascii="Times New Roman" w:eastAsia="Times New Roman" w:hAnsi="Times New Roman" w:cs="Times New Roman"/>
          <w:sz w:val="24"/>
          <w:szCs w:val="24"/>
          <w:lang w:eastAsia="fr-FR"/>
        </w:rPr>
        <w:t>whether medical management or percutaneous closure</w:t>
      </w:r>
      <w:r>
        <w:rPr>
          <w:rFonts w:ascii="Times New Roman" w:eastAsia="Times New Roman" w:hAnsi="Times New Roman" w:cs="Times New Roman"/>
          <w:sz w:val="24"/>
          <w:szCs w:val="24"/>
          <w:lang w:eastAsia="fr-FR"/>
        </w:rPr>
        <w:t xml:space="preserve"> </w:t>
      </w:r>
      <w:r w:rsidRPr="009A60F0">
        <w:rPr>
          <w:rFonts w:ascii="Times New Roman" w:eastAsia="Times New Roman" w:hAnsi="Times New Roman" w:cs="Times New Roman"/>
          <w:sz w:val="24"/>
          <w:szCs w:val="24"/>
          <w:lang w:eastAsia="fr-FR"/>
        </w:rPr>
        <w:t>require multidisciplinary assessment based on patient age, shunt characteristics, and the estimated risk of recurrence.</w:t>
      </w:r>
    </w:p>
    <w:p w14:paraId="1FB04F85"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aim of this work is to present a clinical case of cryptogenic stroke associated with PFO and to discuss diagnostic and therapeutic strategies in light of recent recommendations.</w:t>
      </w:r>
    </w:p>
    <w:p w14:paraId="014F74A0" w14:textId="77777777" w:rsidR="00B16BC9" w:rsidRPr="004851B1" w:rsidRDefault="00B16BC9" w:rsidP="00A6549F">
      <w:pPr>
        <w:spacing w:line="240" w:lineRule="auto"/>
        <w:rPr>
          <w:rFonts w:ascii="Arial" w:hAnsi="Arial" w:cs="Arial"/>
          <w:b/>
          <w:bCs/>
        </w:rPr>
      </w:pPr>
    </w:p>
    <w:p w14:paraId="6039CC6E" w14:textId="77777777" w:rsidR="00D57E1A" w:rsidRDefault="00D57E1A" w:rsidP="00A6549F">
      <w:pPr>
        <w:spacing w:line="240" w:lineRule="auto"/>
        <w:rPr>
          <w:rFonts w:ascii="Arial" w:hAnsi="Arial" w:cs="Arial"/>
          <w:b/>
          <w:bCs/>
        </w:rPr>
      </w:pPr>
      <w:r>
        <w:rPr>
          <w:rFonts w:ascii="Arial" w:hAnsi="Arial" w:cs="Arial"/>
          <w:b/>
          <w:bCs/>
        </w:rPr>
        <w:t xml:space="preserve">CASE PRESENTATION </w:t>
      </w:r>
    </w:p>
    <w:p w14:paraId="3A2C63C5"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A 38-year-old patient, with no modifiable cardiovascular risk factors and no significant medical history, was admitted to the neurology department for a cryptogenic ischemic stroke (IS), without clinical sequelae.</w:t>
      </w:r>
    </w:p>
    <w:p w14:paraId="53FC4373"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On admission, clinical examination revealed no motor or sensory deficits, and the National Institutes of Health Stroke Scale (NIHSS) score was 0. Laboratory tests including complete blood count, ESR, platelet count, renal function and coagulation profile were within normal limits.</w:t>
      </w:r>
    </w:p>
    <w:p w14:paraId="0FB4662D"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Brain imaging by non-contrast computed tomography (CT) revealed a superficial right sylvian infarct without signs of intracranial hemorrhage (</w:t>
      </w:r>
      <w:r w:rsidRPr="00536030">
        <w:rPr>
          <w:rFonts w:ascii="Times New Roman" w:eastAsia="Times New Roman" w:hAnsi="Times New Roman" w:cs="Times New Roman"/>
          <w:b/>
          <w:bCs/>
          <w:sz w:val="24"/>
          <w:szCs w:val="24"/>
          <w:lang w:eastAsia="fr-FR"/>
        </w:rPr>
        <w:t>Figure 1</w:t>
      </w:r>
      <w:r w:rsidRPr="009A60F0">
        <w:rPr>
          <w:rFonts w:ascii="Times New Roman" w:eastAsia="Times New Roman" w:hAnsi="Times New Roman" w:cs="Times New Roman"/>
          <w:sz w:val="24"/>
          <w:szCs w:val="24"/>
          <w:lang w:eastAsia="fr-FR"/>
        </w:rPr>
        <w:t>). The most relevant radiological findings were highlighted with arrows for clarity.</w:t>
      </w:r>
    </w:p>
    <w:p w14:paraId="16C08632"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patient was started on aspirin at 100 mg/day for secondary prevention, in accordance with current recommendations. Although the lipid profile was normal, atorvastatin at 40 mg/day was introduced as part of a long-term vascular stabilization strategy.</w:t>
      </w:r>
    </w:p>
    <w:p w14:paraId="72E8E854" w14:textId="53E14C71"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Due to the absence of an identified etiology, the patient underwent contrast-enhanced TEE with saline microbubbles and Valsalva maneuver. This revealed a significant right-to-left shunt, with the passage of more than 20 bubbles and an interatrial communication measuring 3 mm (Figure 2, arrow), confirming the diagnosis of PFO</w:t>
      </w:r>
      <w:r>
        <w:rPr>
          <w:rFonts w:ascii="Times New Roman" w:eastAsia="Times New Roman" w:hAnsi="Times New Roman" w:cs="Times New Roman"/>
          <w:sz w:val="24"/>
          <w:szCs w:val="24"/>
          <w:lang w:eastAsia="fr-FR"/>
        </w:rPr>
        <w:t xml:space="preserve"> </w:t>
      </w:r>
      <w:r w:rsidRPr="00536030">
        <w:rPr>
          <w:rFonts w:asciiTheme="majorBidi" w:hAnsiTheme="majorBidi" w:cstheme="majorBidi"/>
          <w:highlight w:val="green"/>
        </w:rPr>
        <w:t>(</w:t>
      </w:r>
      <w:r w:rsidRPr="00536030">
        <w:rPr>
          <w:rFonts w:asciiTheme="majorBidi" w:hAnsiTheme="majorBidi" w:cstheme="majorBidi"/>
          <w:b/>
          <w:bCs/>
          <w:highlight w:val="green"/>
        </w:rPr>
        <w:t>Figure 1) (Figure 2</w:t>
      </w:r>
      <w:r w:rsidRPr="00536030">
        <w:rPr>
          <w:rFonts w:asciiTheme="majorBidi" w:eastAsia="Times New Roman" w:hAnsiTheme="majorBidi" w:cstheme="majorBidi"/>
          <w:sz w:val="24"/>
          <w:szCs w:val="24"/>
          <w:highlight w:val="green"/>
          <w:lang w:eastAsia="fr-FR"/>
        </w:rPr>
        <w:t>).</w:t>
      </w:r>
      <w:r w:rsidRPr="009A60F0">
        <w:rPr>
          <w:rFonts w:ascii="Times New Roman" w:eastAsia="Times New Roman" w:hAnsi="Times New Roman" w:cs="Times New Roman"/>
          <w:sz w:val="24"/>
          <w:szCs w:val="24"/>
          <w:lang w:eastAsia="fr-FR"/>
        </w:rPr>
        <w:t xml:space="preserve"> No atrial septal aneurysm or intracardiac thrombus was detected. The patient did not undergo percutaneous closure, and clinical progression was favorable, with no recurrence during short-term follow-up.</w:t>
      </w:r>
    </w:p>
    <w:p w14:paraId="43C99F71" w14:textId="77777777" w:rsidR="009A60F0" w:rsidRDefault="009A60F0" w:rsidP="00A6549F">
      <w:pPr>
        <w:spacing w:line="240" w:lineRule="auto"/>
        <w:rPr>
          <w:rFonts w:ascii="Arial" w:hAnsi="Arial" w:cs="Arial"/>
          <w:b/>
          <w:bCs/>
        </w:rPr>
      </w:pPr>
    </w:p>
    <w:p w14:paraId="01D8A03D" w14:textId="77777777" w:rsidR="00743C13" w:rsidRPr="004851B1" w:rsidRDefault="00743C13" w:rsidP="00A6549F">
      <w:pPr>
        <w:spacing w:line="240" w:lineRule="auto"/>
        <w:rPr>
          <w:rFonts w:ascii="Arial" w:hAnsi="Arial" w:cs="Arial"/>
        </w:rPr>
      </w:pPr>
    </w:p>
    <w:p w14:paraId="6E87FF20" w14:textId="77777777" w:rsidR="00743C13" w:rsidRPr="004851B1" w:rsidRDefault="00743C13" w:rsidP="00A6549F">
      <w:pPr>
        <w:spacing w:line="240" w:lineRule="auto"/>
        <w:rPr>
          <w:rFonts w:ascii="Arial" w:hAnsi="Arial" w:cs="Arial"/>
        </w:rPr>
      </w:pPr>
    </w:p>
    <w:p w14:paraId="72536CF4" w14:textId="77777777" w:rsidR="00743C13" w:rsidRPr="004851B1" w:rsidRDefault="00532881" w:rsidP="00A6549F">
      <w:pPr>
        <w:spacing w:line="240" w:lineRule="auto"/>
        <w:rPr>
          <w:rFonts w:ascii="Arial" w:hAnsi="Arial" w:cs="Arial"/>
        </w:rPr>
      </w:pPr>
      <w:r>
        <w:rPr>
          <w:rFonts w:ascii="Arial" w:hAnsi="Arial" w:cs="Arial"/>
          <w:noProof/>
          <w:lang w:val="fr-FR" w:eastAsia="fr-FR"/>
        </w:rPr>
        <w:lastRenderedPageBreak/>
        <w:drawing>
          <wp:inline distT="0" distB="0" distL="0" distR="0" wp14:anchorId="376F17C8" wp14:editId="3BF02A93">
            <wp:extent cx="4228736" cy="492379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b31048b-2afd-4b26-998a-72b93907a0f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3084" cy="4928853"/>
                    </a:xfrm>
                    <a:prstGeom prst="rect">
                      <a:avLst/>
                    </a:prstGeom>
                  </pic:spPr>
                </pic:pic>
              </a:graphicData>
            </a:graphic>
          </wp:inline>
        </w:drawing>
      </w:r>
    </w:p>
    <w:p w14:paraId="0587C701" w14:textId="77777777" w:rsidR="00AD76C5" w:rsidRPr="001C0BE8" w:rsidRDefault="00FB4190" w:rsidP="00532881">
      <w:pPr>
        <w:spacing w:line="240" w:lineRule="auto"/>
        <w:rPr>
          <w:rFonts w:ascii="Arial" w:hAnsi="Arial" w:cs="Arial"/>
          <w:b/>
          <w:bCs/>
          <w:sz w:val="20"/>
          <w:szCs w:val="20"/>
        </w:rPr>
      </w:pPr>
      <w:r w:rsidRPr="001C0BE8">
        <w:rPr>
          <w:rFonts w:ascii="Arial" w:hAnsi="Arial" w:cs="Arial"/>
          <w:b/>
          <w:bCs/>
          <w:sz w:val="20"/>
          <w:szCs w:val="20"/>
        </w:rPr>
        <w:t>Figure</w:t>
      </w:r>
      <w:r w:rsidR="00AD76C5" w:rsidRPr="001C0BE8">
        <w:rPr>
          <w:rFonts w:ascii="Arial" w:hAnsi="Arial" w:cs="Arial"/>
          <w:b/>
          <w:bCs/>
          <w:sz w:val="20"/>
          <w:szCs w:val="20"/>
        </w:rPr>
        <w:t xml:space="preserve"> </w:t>
      </w:r>
      <w:r w:rsidR="001C0BE8" w:rsidRPr="001C0BE8">
        <w:rPr>
          <w:rFonts w:ascii="Arial" w:hAnsi="Arial" w:cs="Arial"/>
          <w:b/>
          <w:bCs/>
          <w:sz w:val="20"/>
          <w:szCs w:val="20"/>
        </w:rPr>
        <w:t>1:</w:t>
      </w:r>
      <w:r w:rsidR="00AD76C5" w:rsidRPr="001C0BE8">
        <w:rPr>
          <w:rFonts w:ascii="Arial" w:hAnsi="Arial" w:cs="Arial"/>
          <w:b/>
          <w:bCs/>
          <w:sz w:val="20"/>
          <w:szCs w:val="20"/>
        </w:rPr>
        <w:t xml:space="preserve"> </w:t>
      </w:r>
      <w:r w:rsidR="00532881" w:rsidRPr="00532881">
        <w:rPr>
          <w:b/>
          <w:bCs/>
        </w:rPr>
        <w:t xml:space="preserve">Transesophageal echocardiography demonstrating a patent foramen </w:t>
      </w:r>
      <w:proofErr w:type="spellStart"/>
      <w:r w:rsidR="00532881" w:rsidRPr="00532881">
        <w:rPr>
          <w:b/>
          <w:bCs/>
        </w:rPr>
        <w:t>ovale</w:t>
      </w:r>
      <w:proofErr w:type="spellEnd"/>
      <w:r w:rsidR="00532881" w:rsidRPr="00532881">
        <w:rPr>
          <w:b/>
          <w:bCs/>
        </w:rPr>
        <w:t xml:space="preserve"> measuring 3 mm</w:t>
      </w:r>
    </w:p>
    <w:p w14:paraId="44EA164E" w14:textId="77777777" w:rsidR="00AD76C5" w:rsidRPr="004851B1" w:rsidRDefault="00AD76C5" w:rsidP="00A6549F">
      <w:pPr>
        <w:spacing w:line="240" w:lineRule="auto"/>
        <w:rPr>
          <w:rFonts w:ascii="Arial" w:hAnsi="Arial" w:cs="Arial"/>
        </w:rPr>
      </w:pPr>
    </w:p>
    <w:p w14:paraId="636676DD" w14:textId="77777777" w:rsidR="00AD76C5" w:rsidRPr="004851B1" w:rsidRDefault="00532881" w:rsidP="00A6549F">
      <w:pPr>
        <w:spacing w:line="240" w:lineRule="auto"/>
        <w:rPr>
          <w:rFonts w:ascii="Arial" w:hAnsi="Arial" w:cs="Arial"/>
        </w:rPr>
      </w:pPr>
      <w:r>
        <w:rPr>
          <w:rFonts w:ascii="Arial" w:hAnsi="Arial" w:cs="Arial"/>
          <w:noProof/>
          <w:lang w:val="fr-FR" w:eastAsia="fr-FR"/>
        </w:rPr>
        <w:lastRenderedPageBreak/>
        <w:drawing>
          <wp:inline distT="0" distB="0" distL="0" distR="0" wp14:anchorId="079E17DB" wp14:editId="5705E6DA">
            <wp:extent cx="3781050" cy="48793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7a87caf-a41c-4251-af90-b8e6ef09bee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4623" cy="4883951"/>
                    </a:xfrm>
                    <a:prstGeom prst="rect">
                      <a:avLst/>
                    </a:prstGeom>
                  </pic:spPr>
                </pic:pic>
              </a:graphicData>
            </a:graphic>
          </wp:inline>
        </w:drawing>
      </w:r>
    </w:p>
    <w:p w14:paraId="6CEAF5E4" w14:textId="77777777" w:rsidR="00532881" w:rsidRPr="001C0BE8" w:rsidRDefault="00532881" w:rsidP="00532881">
      <w:pPr>
        <w:spacing w:line="240" w:lineRule="auto"/>
        <w:rPr>
          <w:rFonts w:ascii="Arial" w:hAnsi="Arial" w:cs="Arial"/>
          <w:b/>
          <w:bCs/>
          <w:sz w:val="20"/>
          <w:szCs w:val="20"/>
        </w:rPr>
      </w:pPr>
      <w:r w:rsidRPr="001C0BE8">
        <w:rPr>
          <w:rFonts w:ascii="Arial" w:hAnsi="Arial" w:cs="Arial"/>
          <w:b/>
          <w:bCs/>
          <w:sz w:val="20"/>
          <w:szCs w:val="20"/>
        </w:rPr>
        <w:t xml:space="preserve">Figure 2: </w:t>
      </w:r>
      <w:r w:rsidRPr="00532881">
        <w:rPr>
          <w:b/>
          <w:bCs/>
        </w:rPr>
        <w:t xml:space="preserve">Transesophageal echocardiography showing a massive right-to-left shunt through a patent foramen </w:t>
      </w:r>
      <w:proofErr w:type="spellStart"/>
      <w:r w:rsidRPr="00532881">
        <w:rPr>
          <w:b/>
          <w:bCs/>
        </w:rPr>
        <w:t>ovale</w:t>
      </w:r>
      <w:proofErr w:type="spellEnd"/>
      <w:r w:rsidRPr="00532881">
        <w:rPr>
          <w:b/>
          <w:bCs/>
        </w:rPr>
        <w:t xml:space="preserve"> with more than 20 microbubbles.</w:t>
      </w:r>
    </w:p>
    <w:p w14:paraId="0CE82477" w14:textId="77777777" w:rsidR="00AD76C5" w:rsidRPr="004851B1" w:rsidRDefault="00AD76C5" w:rsidP="00A6549F">
      <w:pPr>
        <w:spacing w:line="240" w:lineRule="auto"/>
        <w:rPr>
          <w:rFonts w:ascii="Arial" w:hAnsi="Arial" w:cs="Arial"/>
        </w:rPr>
      </w:pPr>
    </w:p>
    <w:p w14:paraId="40CBADCA" w14:textId="77777777" w:rsidR="00743C13" w:rsidRPr="004851B1" w:rsidRDefault="00743C13" w:rsidP="00A6549F">
      <w:pPr>
        <w:spacing w:line="240" w:lineRule="auto"/>
        <w:rPr>
          <w:rFonts w:ascii="Arial" w:hAnsi="Arial" w:cs="Arial"/>
        </w:rPr>
      </w:pPr>
    </w:p>
    <w:p w14:paraId="60D6FFF0" w14:textId="77777777" w:rsidR="00AD76C5" w:rsidRPr="001C0BE8" w:rsidRDefault="00AD76C5" w:rsidP="00A6549F">
      <w:pPr>
        <w:spacing w:line="240" w:lineRule="auto"/>
        <w:rPr>
          <w:rFonts w:ascii="Arial" w:hAnsi="Arial" w:cs="Arial"/>
          <w:b/>
          <w:bCs/>
          <w:sz w:val="20"/>
          <w:szCs w:val="20"/>
        </w:rPr>
      </w:pPr>
    </w:p>
    <w:p w14:paraId="3325870F" w14:textId="77777777" w:rsidR="00DD4E13" w:rsidRPr="004851B1" w:rsidRDefault="00DD4E13" w:rsidP="00A6549F">
      <w:pPr>
        <w:spacing w:line="240" w:lineRule="auto"/>
        <w:rPr>
          <w:rFonts w:ascii="Arial" w:hAnsi="Arial" w:cs="Arial"/>
          <w:b/>
          <w:bCs/>
        </w:rPr>
      </w:pPr>
    </w:p>
    <w:p w14:paraId="41BB215E" w14:textId="77777777" w:rsidR="00DD4E13" w:rsidRPr="00D57E1A" w:rsidRDefault="00D57E1A" w:rsidP="00A6549F">
      <w:pPr>
        <w:spacing w:line="240" w:lineRule="auto"/>
        <w:rPr>
          <w:rFonts w:ascii="Arial" w:hAnsi="Arial" w:cs="Arial"/>
          <w:b/>
          <w:bCs/>
        </w:rPr>
      </w:pPr>
      <w:r w:rsidRPr="00D57E1A">
        <w:rPr>
          <w:rFonts w:ascii="Arial" w:hAnsi="Arial" w:cs="Arial"/>
          <w:b/>
          <w:bCs/>
        </w:rPr>
        <w:t>DISCUSSION</w:t>
      </w:r>
    </w:p>
    <w:p w14:paraId="2EC6191E"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 xml:space="preserve">In young patients with ischemic stroke and no evident cause, patent foramen </w:t>
      </w:r>
      <w:proofErr w:type="spellStart"/>
      <w:r w:rsidRPr="009A60F0">
        <w:rPr>
          <w:rFonts w:ascii="Times New Roman" w:eastAsia="Times New Roman" w:hAnsi="Times New Roman" w:cs="Times New Roman"/>
          <w:sz w:val="24"/>
          <w:szCs w:val="24"/>
          <w:lang w:eastAsia="fr-FR"/>
        </w:rPr>
        <w:t>ovale</w:t>
      </w:r>
      <w:proofErr w:type="spellEnd"/>
      <w:r w:rsidRPr="009A60F0">
        <w:rPr>
          <w:rFonts w:ascii="Times New Roman" w:eastAsia="Times New Roman" w:hAnsi="Times New Roman" w:cs="Times New Roman"/>
          <w:sz w:val="24"/>
          <w:szCs w:val="24"/>
          <w:lang w:eastAsia="fr-FR"/>
        </w:rPr>
        <w:t xml:space="preserve"> (PFO) is an etiology that should be systematically investigated. Present in approximately 20–30% of the general population, PFO is often asymptomatic. However, its prevalence increases to as much as 40% in patients under 60 presenting with cryptogenic stroke, suggesting a potential link between this anatomical variant and paradoxical embolism</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1</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 In this mechanism, a venous thrombus bypasses the pulmonary filter and crosses the interatrial septum through a right-to-left shunt, especially during transient increases in right atrial pressure, such as during Valsalva maneuvers</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2</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w:t>
      </w:r>
      <w:r w:rsidRPr="009A60F0">
        <w:rPr>
          <w:rFonts w:ascii="Times New Roman" w:eastAsia="Times New Roman" w:hAnsi="Times New Roman" w:cs="Times New Roman"/>
          <w:sz w:val="24"/>
          <w:szCs w:val="24"/>
          <w:lang w:eastAsia="fr-FR"/>
        </w:rPr>
        <w:br/>
      </w:r>
      <w:r w:rsidRPr="009A60F0">
        <w:rPr>
          <w:rFonts w:ascii="Times New Roman" w:eastAsia="Times New Roman" w:hAnsi="Times New Roman" w:cs="Times New Roman"/>
          <w:sz w:val="24"/>
          <w:szCs w:val="24"/>
          <w:lang w:eastAsia="fr-FR"/>
        </w:rPr>
        <w:lastRenderedPageBreak/>
        <w:t>Importantly, PFO is usually asymptomatic but may cause paradoxical embolism and represents a significant risk factor for non-lacunar cryptogenic ischemia in young adults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9</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w:t>
      </w:r>
    </w:p>
    <w:p w14:paraId="00BE5970"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In the presented case, the absence of cardiovascular risk factors, atrial fibrillation, carotid stenosis, or thrombophilia supports the hypothesis of a paradoxical embolism mediated by PFO. The diagnosis relied on identifying the interatrial shunt. Contrast-enhanced transesophageal echocardiography (TEE) is currently considered the reference examination</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3</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It allows direct visualization of the interatrial communication, morphological assessment of the septum (e.g., presence of an aneurysm or Eustachian valve), and precise quantification of the shunt based on the number of bubbles seen in the left atrium following the Valsalva maneuver</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4</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In this case, the PFO measured 3 mm and showed massive bubble passage, confirming a significant shunt.</w:t>
      </w:r>
    </w:p>
    <w:p w14:paraId="2179C062"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As an alternative or complement to TEE, transcranial Doppler (TCD) with saline contrast is a sensitive, non-invasive, and reproducible tool for detecting right-to-left shunts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5</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This test is particularly useful as a first-line modality or when TEE is contraindicated or poorly tolerated. However, its main limitation lies in its inability to precisely localize the site of the shunt (e.g., cardiac vs. pulmonary origin), which necessitates TEE for accurate anatomical characterization. Furthermore, suboptimal acoustic windows may limit feasibility, especially in elderly patients or Asian women.</w:t>
      </w:r>
    </w:p>
    <w:p w14:paraId="56D626E6"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management of PFO in secondary prevention of stroke remains a matter of debate. Antiplatelet therapy, anticoagulation, and percutaneous closure are the three main options. Several randomized controlled trials, including RESPECT, CLOSE, and REDUCE, have demonstrated that percutaneous closure of the PFO in selected patients significantly reduces the risk of stroke recurrence compared with medical therapy alone</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6</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However, this benefit is mostly observed in younger patients (&lt;60 years) with high-risk PFO features, such as large shunt or septal aneurysm.</w:t>
      </w:r>
      <w:r w:rsidRPr="009A60F0">
        <w:rPr>
          <w:rFonts w:ascii="Times New Roman" w:eastAsia="Times New Roman" w:hAnsi="Times New Roman" w:cs="Times New Roman"/>
          <w:sz w:val="24"/>
          <w:szCs w:val="24"/>
          <w:lang w:eastAsia="fr-FR"/>
        </w:rPr>
        <w:br/>
        <w:t>Notably, PFO and atrial septal aneurysm were identified as the cardiac source of embolism in only 2 patients out of 402 consecutive ischemic cardioembolic strokes in a large clinical series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10</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This emphasizes that PFO is not always causal and underlines the need for careful patient selection.</w:t>
      </w:r>
    </w:p>
    <w:p w14:paraId="709F2CD7"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In this patient, atorvastatin was initiated despite a normal lipid profile, in accordance with ESC/EAS 2021 and ESO 2024 guidelines, which recommend statin therapy for all patients with ischemic stroke, regardless of LDL-C levels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7</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The rationale is based on the pleiotropic effects of statins, including endothelial function improvement, plaque stabilization, and anti-inflammatory action. The SPARCL trial demonstrated a significant reduction in recurrent stroke with high-dose atorvastatin, even in patients without manifest dyslipidemia</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8</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w:t>
      </w:r>
    </w:p>
    <w:p w14:paraId="25883030"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Although the patient exhibited a profile suggestive of a causal relationship (young age, significant shunt, absence of alternative cause), no percutaneous closure was performed, due to the absence of recurrence and a reassuring clinical context. Aspirin therapy alone remains consistent with current recommendations in cases of first cryptogenic stroke with moderate-to-large shunt but no additional high-risk features.</w:t>
      </w:r>
    </w:p>
    <w:p w14:paraId="74AD737B"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lastRenderedPageBreak/>
        <w:t>Furthermore, acute ischemic strokes in young patients differ from those in older adults regarding risk factor distribution, stroke subtypes, etiology, severity, and outcomes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11</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This observation highlights the need to individualize secondary prevention strategies.</w:t>
      </w:r>
    </w:p>
    <w:p w14:paraId="3D3431EA"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 xml:space="preserve">The most recent European Stroke </w:t>
      </w:r>
      <w:proofErr w:type="spellStart"/>
      <w:r w:rsidRPr="009A60F0">
        <w:rPr>
          <w:rFonts w:ascii="Times New Roman" w:eastAsia="Times New Roman" w:hAnsi="Times New Roman" w:cs="Times New Roman"/>
          <w:sz w:val="24"/>
          <w:szCs w:val="24"/>
          <w:lang w:eastAsia="fr-FR"/>
        </w:rPr>
        <w:t>Organisation</w:t>
      </w:r>
      <w:proofErr w:type="spellEnd"/>
      <w:r w:rsidRPr="009A60F0">
        <w:rPr>
          <w:rFonts w:ascii="Times New Roman" w:eastAsia="Times New Roman" w:hAnsi="Times New Roman" w:cs="Times New Roman"/>
          <w:sz w:val="24"/>
          <w:szCs w:val="24"/>
          <w:lang w:eastAsia="fr-FR"/>
        </w:rPr>
        <w:t xml:space="preserve"> (ESO) 2024 guidelines highlight the need for embolic risk stratification, particularly using the Risk of Paradoxical Embolism (</w:t>
      </w:r>
      <w:proofErr w:type="spellStart"/>
      <w:r w:rsidRPr="009A60F0">
        <w:rPr>
          <w:rFonts w:ascii="Times New Roman" w:eastAsia="Times New Roman" w:hAnsi="Times New Roman" w:cs="Times New Roman"/>
          <w:sz w:val="24"/>
          <w:szCs w:val="24"/>
          <w:lang w:eastAsia="fr-FR"/>
        </w:rPr>
        <w:t>RoPE</w:t>
      </w:r>
      <w:proofErr w:type="spellEnd"/>
      <w:r w:rsidRPr="009A60F0">
        <w:rPr>
          <w:rFonts w:ascii="Times New Roman" w:eastAsia="Times New Roman" w:hAnsi="Times New Roman" w:cs="Times New Roman"/>
          <w:sz w:val="24"/>
          <w:szCs w:val="24"/>
          <w:lang w:eastAsia="fr-FR"/>
        </w:rPr>
        <w:t xml:space="preserve">) score, to estimate the likelihood that the PFO is truly causative. A high </w:t>
      </w:r>
      <w:proofErr w:type="spellStart"/>
      <w:r w:rsidRPr="009A60F0">
        <w:rPr>
          <w:rFonts w:ascii="Times New Roman" w:eastAsia="Times New Roman" w:hAnsi="Times New Roman" w:cs="Times New Roman"/>
          <w:sz w:val="24"/>
          <w:szCs w:val="24"/>
          <w:lang w:eastAsia="fr-FR"/>
        </w:rPr>
        <w:t>RoPE</w:t>
      </w:r>
      <w:proofErr w:type="spellEnd"/>
      <w:r w:rsidRPr="009A60F0">
        <w:rPr>
          <w:rFonts w:ascii="Times New Roman" w:eastAsia="Times New Roman" w:hAnsi="Times New Roman" w:cs="Times New Roman"/>
          <w:sz w:val="24"/>
          <w:szCs w:val="24"/>
          <w:lang w:eastAsia="fr-FR"/>
        </w:rPr>
        <w:t xml:space="preserve"> score supports consideration of closure in the event of recurrence</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7</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w:t>
      </w:r>
    </w:p>
    <w:p w14:paraId="166BBE25"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Finally, a limitation of this case report is the absence of long-term follow-up and the lack of MRI at admission, which would have allowed better tissue characterization. Future studies should further explore patient selection criteria for closure and compare long-term outcomes of conservative versus interventional strategies.</w:t>
      </w:r>
    </w:p>
    <w:p w14:paraId="08EE04DA" w14:textId="77777777" w:rsidR="00DD4E13" w:rsidRPr="00D57E1A" w:rsidRDefault="00DD4E13" w:rsidP="00A6549F">
      <w:pPr>
        <w:spacing w:line="240" w:lineRule="auto"/>
        <w:jc w:val="both"/>
        <w:rPr>
          <w:rFonts w:ascii="Arial" w:hAnsi="Arial" w:cs="Arial"/>
          <w:sz w:val="20"/>
          <w:szCs w:val="20"/>
        </w:rPr>
      </w:pPr>
    </w:p>
    <w:p w14:paraId="2E3CD645" w14:textId="77777777" w:rsidR="00DD4E13" w:rsidRDefault="00FB4190" w:rsidP="00A6549F">
      <w:pPr>
        <w:spacing w:line="240" w:lineRule="auto"/>
        <w:rPr>
          <w:rFonts w:ascii="Arial" w:hAnsi="Arial" w:cs="Arial"/>
          <w:b/>
          <w:bCs/>
        </w:rPr>
      </w:pPr>
      <w:r w:rsidRPr="00FB4190">
        <w:rPr>
          <w:rFonts w:ascii="Arial" w:hAnsi="Arial" w:cs="Arial"/>
          <w:b/>
          <w:bCs/>
        </w:rPr>
        <w:t xml:space="preserve">CONCLUSION </w:t>
      </w:r>
    </w:p>
    <w:p w14:paraId="42A6CCAC" w14:textId="1AD4E2EB" w:rsidR="00B16BC9" w:rsidRPr="00FB4190" w:rsidRDefault="009A60F0" w:rsidP="00A6549F">
      <w:pPr>
        <w:spacing w:line="240" w:lineRule="auto"/>
        <w:rPr>
          <w:rFonts w:ascii="Arial" w:hAnsi="Arial" w:cs="Arial"/>
          <w:b/>
          <w:bCs/>
        </w:rPr>
      </w:pPr>
      <w:r>
        <w:t>This case underscores the importance of a structured and individualized diagnostic and therapeutic approach in cryptogenic stroke associated with PFO. Beyond its role in acute management, this condition highlights the need for systematic screening in young patients with ischemic stroke of undetermined cause. Future research should focus on refining patient selection criteria for closure and exploring long-term outcomes of conservative versus interventional strategies.</w:t>
      </w:r>
    </w:p>
    <w:p w14:paraId="1406C2C5" w14:textId="77777777" w:rsidR="002D0A1E" w:rsidRPr="000C6D1E" w:rsidRDefault="002D0A1E" w:rsidP="00A6549F">
      <w:pPr>
        <w:spacing w:line="240" w:lineRule="auto"/>
        <w:rPr>
          <w:rFonts w:ascii="Arial" w:hAnsi="Arial" w:cs="Arial"/>
          <w:b/>
          <w:bCs/>
        </w:rPr>
      </w:pPr>
      <w:r w:rsidRPr="000C6D1E">
        <w:rPr>
          <w:rFonts w:ascii="Arial" w:hAnsi="Arial" w:cs="Arial"/>
          <w:b/>
          <w:bCs/>
        </w:rPr>
        <w:t>DECLARATION</w:t>
      </w:r>
    </w:p>
    <w:p w14:paraId="13386833" w14:textId="77777777" w:rsidR="00286E23" w:rsidRDefault="00286E23" w:rsidP="00A6549F">
      <w:pPr>
        <w:spacing w:line="240" w:lineRule="auto"/>
        <w:rPr>
          <w:rFonts w:ascii="Arial" w:hAnsi="Arial" w:cs="Arial"/>
          <w:sz w:val="20"/>
          <w:szCs w:val="20"/>
        </w:rPr>
      </w:pPr>
      <w:r w:rsidRPr="00286E23">
        <w:rPr>
          <w:rFonts w:ascii="Arial" w:hAnsi="Arial" w:cs="Arial"/>
          <w:sz w:val="20"/>
          <w:szCs w:val="20"/>
        </w:rPr>
        <w:t xml:space="preserve">Author(s) hereby </w:t>
      </w:r>
      <w:proofErr w:type="gramStart"/>
      <w:r w:rsidRPr="00286E23">
        <w:rPr>
          <w:rFonts w:ascii="Arial" w:hAnsi="Arial" w:cs="Arial"/>
          <w:sz w:val="20"/>
          <w:szCs w:val="20"/>
        </w:rPr>
        <w:t>declare</w:t>
      </w:r>
      <w:proofErr w:type="gramEnd"/>
      <w:r w:rsidRPr="00286E23">
        <w:rPr>
          <w:rFonts w:ascii="Arial" w:hAnsi="Arial" w:cs="Arial"/>
          <w:sz w:val="20"/>
          <w:szCs w:val="20"/>
        </w:rPr>
        <w:t xml:space="preserve"> that NO generative AI technologies such as Large Language Models (ChatGPT, COPILOT, etc.) and text-to-image generators have been used during the writing or editing of this manuscript. </w:t>
      </w:r>
    </w:p>
    <w:p w14:paraId="34BC43A4" w14:textId="67647063" w:rsidR="002D0A1E" w:rsidRPr="000C6D1E" w:rsidRDefault="002D0A1E" w:rsidP="00A6549F">
      <w:pPr>
        <w:spacing w:line="240" w:lineRule="auto"/>
        <w:rPr>
          <w:rFonts w:ascii="Arial" w:hAnsi="Arial" w:cs="Arial"/>
          <w:b/>
          <w:bCs/>
        </w:rPr>
      </w:pPr>
      <w:r w:rsidRPr="000C6D1E">
        <w:rPr>
          <w:rFonts w:ascii="Arial" w:hAnsi="Arial" w:cs="Arial"/>
          <w:b/>
          <w:bCs/>
        </w:rPr>
        <w:t>CONSENT</w:t>
      </w:r>
    </w:p>
    <w:p w14:paraId="357BB2A9" w14:textId="77777777" w:rsidR="002D0A1E" w:rsidRPr="002D0A1E" w:rsidRDefault="002D0A1E" w:rsidP="00A6549F">
      <w:pPr>
        <w:spacing w:line="240" w:lineRule="auto"/>
        <w:rPr>
          <w:rFonts w:ascii="Arial" w:hAnsi="Arial" w:cs="Arial"/>
          <w:sz w:val="20"/>
          <w:szCs w:val="20"/>
        </w:rPr>
      </w:pPr>
      <w:r w:rsidRPr="002D0A1E">
        <w:rPr>
          <w:rFonts w:ascii="Arial" w:hAnsi="Arial" w:cs="Arial"/>
          <w:sz w:val="20"/>
          <w:szCs w:val="20"/>
        </w:rPr>
        <w:t>Informed written consent was obtained from the patient to publish their clinical data.</w:t>
      </w:r>
    </w:p>
    <w:p w14:paraId="6581CD31" w14:textId="77777777" w:rsidR="002D0A1E" w:rsidRPr="000C6D1E" w:rsidRDefault="002D0A1E" w:rsidP="00A6549F">
      <w:pPr>
        <w:spacing w:line="240" w:lineRule="auto"/>
        <w:rPr>
          <w:rFonts w:ascii="Arial" w:hAnsi="Arial" w:cs="Arial"/>
          <w:b/>
          <w:bCs/>
        </w:rPr>
      </w:pPr>
      <w:r w:rsidRPr="000C6D1E">
        <w:rPr>
          <w:rFonts w:ascii="Arial" w:hAnsi="Arial" w:cs="Arial"/>
          <w:b/>
          <w:bCs/>
        </w:rPr>
        <w:t>ETHICAL APPROVAL</w:t>
      </w:r>
    </w:p>
    <w:p w14:paraId="3FA9BBCC" w14:textId="64F43690" w:rsidR="002D0A1E" w:rsidRDefault="002D0A1E" w:rsidP="00A6549F">
      <w:pPr>
        <w:spacing w:line="240" w:lineRule="auto"/>
        <w:rPr>
          <w:rFonts w:ascii="Arial" w:hAnsi="Arial" w:cs="Arial"/>
          <w:sz w:val="20"/>
          <w:szCs w:val="20"/>
        </w:rPr>
      </w:pPr>
      <w:r w:rsidRPr="002D0A1E">
        <w:rPr>
          <w:rFonts w:ascii="Arial" w:hAnsi="Arial" w:cs="Arial"/>
          <w:sz w:val="20"/>
          <w:szCs w:val="20"/>
        </w:rPr>
        <w:t>As per international standards or university standards, written ethical approval has been collected and preserved by the authors.</w:t>
      </w:r>
    </w:p>
    <w:p w14:paraId="07DE184B" w14:textId="6E56B0E3" w:rsidR="009529B8" w:rsidRDefault="009529B8" w:rsidP="00A6549F">
      <w:pPr>
        <w:spacing w:line="240" w:lineRule="auto"/>
        <w:rPr>
          <w:rFonts w:ascii="Arial" w:hAnsi="Arial" w:cs="Arial"/>
          <w:sz w:val="20"/>
          <w:szCs w:val="20"/>
        </w:rPr>
      </w:pPr>
    </w:p>
    <w:p w14:paraId="6571B148" w14:textId="77777777" w:rsidR="009529B8" w:rsidRPr="009C5487" w:rsidRDefault="009529B8" w:rsidP="009529B8">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1F5899D9" w14:textId="17078114" w:rsidR="009529B8" w:rsidRPr="009C5487" w:rsidRDefault="009529B8" w:rsidP="009529B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1"/>
    <w:bookmarkEnd w:id="2"/>
    <w:bookmarkEnd w:id="3"/>
    <w:p w14:paraId="76B72B36" w14:textId="77777777" w:rsidR="00243B0D" w:rsidRDefault="00243B0D" w:rsidP="00A6549F">
      <w:pPr>
        <w:spacing w:line="240" w:lineRule="auto"/>
        <w:rPr>
          <w:rFonts w:ascii="Arial" w:hAnsi="Arial" w:cs="Arial"/>
          <w:b/>
        </w:rPr>
      </w:pPr>
    </w:p>
    <w:p w14:paraId="263E0C31" w14:textId="3D801BCC" w:rsidR="00094F65" w:rsidRPr="000C6D1E" w:rsidRDefault="000C6D1E" w:rsidP="00A6549F">
      <w:pPr>
        <w:spacing w:line="240" w:lineRule="auto"/>
        <w:rPr>
          <w:rFonts w:ascii="Arial" w:hAnsi="Arial" w:cs="Arial"/>
          <w:b/>
        </w:rPr>
      </w:pPr>
      <w:r w:rsidRPr="000C6D1E">
        <w:rPr>
          <w:rFonts w:ascii="Arial" w:hAnsi="Arial" w:cs="Arial"/>
          <w:b/>
        </w:rPr>
        <w:t>REFERENCES:</w:t>
      </w:r>
      <w:r w:rsidR="00094F65" w:rsidRPr="000C6D1E">
        <w:rPr>
          <w:rFonts w:ascii="Arial" w:hAnsi="Arial" w:cs="Arial"/>
          <w:b/>
        </w:rPr>
        <w:t xml:space="preserve">  </w:t>
      </w:r>
    </w:p>
    <w:p w14:paraId="3566760A" w14:textId="77777777" w:rsidR="00B16BC9" w:rsidRP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Homma S, Sacco RL. Patent foramen </w:t>
      </w:r>
      <w:proofErr w:type="spellStart"/>
      <w:r w:rsidRPr="002F3028">
        <w:rPr>
          <w:rFonts w:ascii="Times New Roman" w:eastAsia="Times New Roman" w:hAnsi="Times New Roman" w:cs="Times New Roman"/>
          <w:sz w:val="24"/>
          <w:szCs w:val="24"/>
          <w:lang w:eastAsia="fr-FR"/>
        </w:rPr>
        <w:t>ovale</w:t>
      </w:r>
      <w:proofErr w:type="spellEnd"/>
      <w:r w:rsidRPr="002F3028">
        <w:rPr>
          <w:rFonts w:ascii="Times New Roman" w:eastAsia="Times New Roman" w:hAnsi="Times New Roman" w:cs="Times New Roman"/>
          <w:sz w:val="24"/>
          <w:szCs w:val="24"/>
          <w:lang w:eastAsia="fr-FR"/>
        </w:rPr>
        <w:t xml:space="preserve"> and stroke. </w:t>
      </w:r>
      <w:r w:rsidRPr="002F3028">
        <w:rPr>
          <w:rFonts w:ascii="Times New Roman" w:eastAsia="Times New Roman" w:hAnsi="Times New Roman" w:cs="Times New Roman"/>
          <w:i/>
          <w:iCs/>
          <w:sz w:val="24"/>
          <w:szCs w:val="24"/>
          <w:lang w:eastAsia="fr-FR"/>
        </w:rPr>
        <w:t>Circulation</w:t>
      </w:r>
      <w:r w:rsidRPr="002F3028">
        <w:rPr>
          <w:rFonts w:ascii="Times New Roman" w:eastAsia="Times New Roman" w:hAnsi="Times New Roman" w:cs="Times New Roman"/>
          <w:sz w:val="24"/>
          <w:szCs w:val="24"/>
          <w:lang w:eastAsia="fr-FR"/>
        </w:rPr>
        <w:t>. 2005;112(7):1063–72.</w:t>
      </w:r>
    </w:p>
    <w:p w14:paraId="36CB26FD" w14:textId="77777777" w:rsidR="00B16BC9" w:rsidRP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Shah AH, Horlick EM, Kass M, Carroll JD, Krasuski RA. The pathophysiology of patent foramen </w:t>
      </w:r>
      <w:proofErr w:type="spellStart"/>
      <w:r w:rsidRPr="002F3028">
        <w:rPr>
          <w:rFonts w:ascii="Times New Roman" w:eastAsia="Times New Roman" w:hAnsi="Times New Roman" w:cs="Times New Roman"/>
          <w:sz w:val="24"/>
          <w:szCs w:val="24"/>
          <w:lang w:eastAsia="fr-FR"/>
        </w:rPr>
        <w:t>ovale</w:t>
      </w:r>
      <w:proofErr w:type="spellEnd"/>
      <w:r w:rsidRPr="002F3028">
        <w:rPr>
          <w:rFonts w:ascii="Times New Roman" w:eastAsia="Times New Roman" w:hAnsi="Times New Roman" w:cs="Times New Roman"/>
          <w:sz w:val="24"/>
          <w:szCs w:val="24"/>
          <w:lang w:eastAsia="fr-FR"/>
        </w:rPr>
        <w:t xml:space="preserve"> and its related complications. </w:t>
      </w:r>
      <w:r w:rsidRPr="002F3028">
        <w:rPr>
          <w:rFonts w:ascii="Times New Roman" w:eastAsia="Times New Roman" w:hAnsi="Times New Roman" w:cs="Times New Roman"/>
          <w:i/>
          <w:iCs/>
          <w:sz w:val="24"/>
          <w:szCs w:val="24"/>
          <w:lang w:eastAsia="fr-FR"/>
        </w:rPr>
        <w:t>Am Heart J</w:t>
      </w:r>
      <w:r w:rsidRPr="002F3028">
        <w:rPr>
          <w:rFonts w:ascii="Times New Roman" w:eastAsia="Times New Roman" w:hAnsi="Times New Roman" w:cs="Times New Roman"/>
          <w:sz w:val="24"/>
          <w:szCs w:val="24"/>
          <w:lang w:eastAsia="fr-FR"/>
        </w:rPr>
        <w:t>. 2024.</w:t>
      </w:r>
    </w:p>
    <w:p w14:paraId="2AA38B15"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16BC9">
        <w:rPr>
          <w:rFonts w:ascii="Times New Roman" w:eastAsia="Times New Roman" w:hAnsi="Times New Roman" w:cs="Times New Roman"/>
          <w:sz w:val="24"/>
          <w:szCs w:val="24"/>
          <w:lang w:val="fr-FR" w:eastAsia="fr-FR"/>
        </w:rPr>
        <w:lastRenderedPageBreak/>
        <w:t xml:space="preserve">Cabanes L, Coste J, </w:t>
      </w:r>
      <w:proofErr w:type="spellStart"/>
      <w:r w:rsidRPr="00B16BC9">
        <w:rPr>
          <w:rFonts w:ascii="Times New Roman" w:eastAsia="Times New Roman" w:hAnsi="Times New Roman" w:cs="Times New Roman"/>
          <w:sz w:val="24"/>
          <w:szCs w:val="24"/>
          <w:lang w:val="fr-FR" w:eastAsia="fr-FR"/>
        </w:rPr>
        <w:t>Derumeaux</w:t>
      </w:r>
      <w:proofErr w:type="spellEnd"/>
      <w:r w:rsidRPr="00B16BC9">
        <w:rPr>
          <w:rFonts w:ascii="Times New Roman" w:eastAsia="Times New Roman" w:hAnsi="Times New Roman" w:cs="Times New Roman"/>
          <w:sz w:val="24"/>
          <w:szCs w:val="24"/>
          <w:lang w:val="fr-FR" w:eastAsia="fr-FR"/>
        </w:rPr>
        <w:t xml:space="preserve"> G, et al. </w:t>
      </w:r>
      <w:r w:rsidRPr="002F3028">
        <w:rPr>
          <w:rFonts w:ascii="Times New Roman" w:eastAsia="Times New Roman" w:hAnsi="Times New Roman" w:cs="Times New Roman"/>
          <w:sz w:val="24"/>
          <w:szCs w:val="24"/>
          <w:lang w:eastAsia="fr-FR"/>
        </w:rPr>
        <w:t xml:space="preserve">Interobserver variability in detection of PFO with transesophageal echocardiography. </w:t>
      </w:r>
      <w:r w:rsidRPr="002F3028">
        <w:rPr>
          <w:rFonts w:ascii="Times New Roman" w:eastAsia="Times New Roman" w:hAnsi="Times New Roman" w:cs="Times New Roman"/>
          <w:i/>
          <w:iCs/>
          <w:sz w:val="24"/>
          <w:szCs w:val="24"/>
          <w:lang w:eastAsia="fr-FR"/>
        </w:rPr>
        <w:t xml:space="preserve">J Am Soc </w:t>
      </w:r>
      <w:proofErr w:type="spellStart"/>
      <w:r w:rsidRPr="002F3028">
        <w:rPr>
          <w:rFonts w:ascii="Times New Roman" w:eastAsia="Times New Roman" w:hAnsi="Times New Roman" w:cs="Times New Roman"/>
          <w:i/>
          <w:iCs/>
          <w:sz w:val="24"/>
          <w:szCs w:val="24"/>
          <w:lang w:eastAsia="fr-FR"/>
        </w:rPr>
        <w:t>Echocardiogr</w:t>
      </w:r>
      <w:proofErr w:type="spellEnd"/>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2002;15:441</w:t>
      </w:r>
      <w:proofErr w:type="gramEnd"/>
      <w:r w:rsidRPr="002F3028">
        <w:rPr>
          <w:rFonts w:ascii="Times New Roman" w:eastAsia="Times New Roman" w:hAnsi="Times New Roman" w:cs="Times New Roman"/>
          <w:sz w:val="24"/>
          <w:szCs w:val="24"/>
          <w:lang w:eastAsia="fr-FR"/>
        </w:rPr>
        <w:t>–6.</w:t>
      </w:r>
    </w:p>
    <w:p w14:paraId="5F1B6FEE"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Saver JL, Mattle HP, Thaler D. PFO closure versus medical therapy for cryptogenic stroke: review. </w:t>
      </w:r>
      <w:r w:rsidRPr="002F3028">
        <w:rPr>
          <w:rFonts w:ascii="Times New Roman" w:eastAsia="Times New Roman" w:hAnsi="Times New Roman" w:cs="Times New Roman"/>
          <w:i/>
          <w:iCs/>
          <w:sz w:val="24"/>
          <w:szCs w:val="24"/>
          <w:lang w:eastAsia="fr-FR"/>
        </w:rPr>
        <w:t>Stroke</w:t>
      </w:r>
      <w:r w:rsidRPr="002F3028">
        <w:rPr>
          <w:rFonts w:ascii="Times New Roman" w:eastAsia="Times New Roman" w:hAnsi="Times New Roman" w:cs="Times New Roman"/>
          <w:sz w:val="24"/>
          <w:szCs w:val="24"/>
          <w:lang w:eastAsia="fr-FR"/>
        </w:rPr>
        <w:t>. 2018;49(6):1273–81.</w:t>
      </w:r>
    </w:p>
    <w:p w14:paraId="3AA1EC5B"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16BC9">
        <w:rPr>
          <w:rFonts w:ascii="Times New Roman" w:eastAsia="Times New Roman" w:hAnsi="Times New Roman" w:cs="Times New Roman"/>
          <w:sz w:val="24"/>
          <w:szCs w:val="24"/>
          <w:lang w:val="fr-FR" w:eastAsia="fr-FR"/>
        </w:rPr>
        <w:t>Pristipino</w:t>
      </w:r>
      <w:proofErr w:type="spellEnd"/>
      <w:r w:rsidRPr="00B16BC9">
        <w:rPr>
          <w:rFonts w:ascii="Times New Roman" w:eastAsia="Times New Roman" w:hAnsi="Times New Roman" w:cs="Times New Roman"/>
          <w:sz w:val="24"/>
          <w:szCs w:val="24"/>
          <w:lang w:val="fr-FR" w:eastAsia="fr-FR"/>
        </w:rPr>
        <w:t xml:space="preserve"> C, Sievert H, D’</w:t>
      </w:r>
      <w:proofErr w:type="spellStart"/>
      <w:r w:rsidRPr="00B16BC9">
        <w:rPr>
          <w:rFonts w:ascii="Times New Roman" w:eastAsia="Times New Roman" w:hAnsi="Times New Roman" w:cs="Times New Roman"/>
          <w:sz w:val="24"/>
          <w:szCs w:val="24"/>
          <w:lang w:val="fr-FR" w:eastAsia="fr-FR"/>
        </w:rPr>
        <w:t>Ascenzo</w:t>
      </w:r>
      <w:proofErr w:type="spellEnd"/>
      <w:r w:rsidRPr="00B16BC9">
        <w:rPr>
          <w:rFonts w:ascii="Times New Roman" w:eastAsia="Times New Roman" w:hAnsi="Times New Roman" w:cs="Times New Roman"/>
          <w:sz w:val="24"/>
          <w:szCs w:val="24"/>
          <w:lang w:val="fr-FR" w:eastAsia="fr-FR"/>
        </w:rPr>
        <w:t xml:space="preserve"> F, et al. </w:t>
      </w:r>
      <w:r w:rsidRPr="002F3028">
        <w:rPr>
          <w:rFonts w:ascii="Times New Roman" w:eastAsia="Times New Roman" w:hAnsi="Times New Roman" w:cs="Times New Roman"/>
          <w:sz w:val="24"/>
          <w:szCs w:val="24"/>
          <w:lang w:eastAsia="fr-FR"/>
        </w:rPr>
        <w:t xml:space="preserve">European position paper on the management of patients with PFO. </w:t>
      </w:r>
      <w:r w:rsidRPr="002F3028">
        <w:rPr>
          <w:rFonts w:ascii="Times New Roman" w:eastAsia="Times New Roman" w:hAnsi="Times New Roman" w:cs="Times New Roman"/>
          <w:i/>
          <w:iCs/>
          <w:sz w:val="24"/>
          <w:szCs w:val="24"/>
          <w:lang w:eastAsia="fr-FR"/>
        </w:rPr>
        <w:t>Eur Heart J</w:t>
      </w:r>
      <w:r w:rsidRPr="002F3028">
        <w:rPr>
          <w:rFonts w:ascii="Times New Roman" w:eastAsia="Times New Roman" w:hAnsi="Times New Roman" w:cs="Times New Roman"/>
          <w:sz w:val="24"/>
          <w:szCs w:val="24"/>
          <w:lang w:eastAsia="fr-FR"/>
        </w:rPr>
        <w:t>. 2019;40(38):3182–95.</w:t>
      </w:r>
    </w:p>
    <w:p w14:paraId="70F5324D"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16BC9">
        <w:rPr>
          <w:rFonts w:ascii="Times New Roman" w:eastAsia="Times New Roman" w:hAnsi="Times New Roman" w:cs="Times New Roman"/>
          <w:sz w:val="24"/>
          <w:szCs w:val="24"/>
          <w:lang w:val="fr-FR" w:eastAsia="fr-FR"/>
        </w:rPr>
        <w:t>Søndergaard</w:t>
      </w:r>
      <w:proofErr w:type="spellEnd"/>
      <w:r w:rsidRPr="00B16BC9">
        <w:rPr>
          <w:rFonts w:ascii="Times New Roman" w:eastAsia="Times New Roman" w:hAnsi="Times New Roman" w:cs="Times New Roman"/>
          <w:sz w:val="24"/>
          <w:szCs w:val="24"/>
          <w:lang w:val="fr-FR" w:eastAsia="fr-FR"/>
        </w:rPr>
        <w:t xml:space="preserve"> L, </w:t>
      </w:r>
      <w:proofErr w:type="spellStart"/>
      <w:r w:rsidRPr="00B16BC9">
        <w:rPr>
          <w:rFonts w:ascii="Times New Roman" w:eastAsia="Times New Roman" w:hAnsi="Times New Roman" w:cs="Times New Roman"/>
          <w:sz w:val="24"/>
          <w:szCs w:val="24"/>
          <w:lang w:val="fr-FR" w:eastAsia="fr-FR"/>
        </w:rPr>
        <w:t>Kasner</w:t>
      </w:r>
      <w:proofErr w:type="spellEnd"/>
      <w:r w:rsidRPr="00B16BC9">
        <w:rPr>
          <w:rFonts w:ascii="Times New Roman" w:eastAsia="Times New Roman" w:hAnsi="Times New Roman" w:cs="Times New Roman"/>
          <w:sz w:val="24"/>
          <w:szCs w:val="24"/>
          <w:lang w:val="fr-FR" w:eastAsia="fr-FR"/>
        </w:rPr>
        <w:t xml:space="preserve"> SE, Rhodes JF, et al. </w:t>
      </w:r>
      <w:r w:rsidRPr="002F3028">
        <w:rPr>
          <w:rFonts w:ascii="Times New Roman" w:eastAsia="Times New Roman" w:hAnsi="Times New Roman" w:cs="Times New Roman"/>
          <w:sz w:val="24"/>
          <w:szCs w:val="24"/>
          <w:lang w:eastAsia="fr-FR"/>
        </w:rPr>
        <w:t xml:space="preserve">Patent Foramen Ovale Closure or Antiplatelet Therapy for Cryptogenic Stroke. </w:t>
      </w:r>
      <w:r w:rsidRPr="002F3028">
        <w:rPr>
          <w:rFonts w:ascii="Times New Roman" w:eastAsia="Times New Roman" w:hAnsi="Times New Roman" w:cs="Times New Roman"/>
          <w:i/>
          <w:iCs/>
          <w:sz w:val="24"/>
          <w:szCs w:val="24"/>
          <w:lang w:eastAsia="fr-FR"/>
        </w:rPr>
        <w:t>N Engl J Med</w:t>
      </w:r>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2017;377:1033</w:t>
      </w:r>
      <w:proofErr w:type="gramEnd"/>
      <w:r w:rsidRPr="002F3028">
        <w:rPr>
          <w:rFonts w:ascii="Times New Roman" w:eastAsia="Times New Roman" w:hAnsi="Times New Roman" w:cs="Times New Roman"/>
          <w:sz w:val="24"/>
          <w:szCs w:val="24"/>
          <w:lang w:eastAsia="fr-FR"/>
        </w:rPr>
        <w:t>–42.</w:t>
      </w:r>
    </w:p>
    <w:p w14:paraId="0997AC9C"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European Stroke </w:t>
      </w:r>
      <w:proofErr w:type="spellStart"/>
      <w:r w:rsidRPr="002F3028">
        <w:rPr>
          <w:rFonts w:ascii="Times New Roman" w:eastAsia="Times New Roman" w:hAnsi="Times New Roman" w:cs="Times New Roman"/>
          <w:sz w:val="24"/>
          <w:szCs w:val="24"/>
          <w:lang w:eastAsia="fr-FR"/>
        </w:rPr>
        <w:t>Organisation</w:t>
      </w:r>
      <w:proofErr w:type="spellEnd"/>
      <w:r w:rsidRPr="002F3028">
        <w:rPr>
          <w:rFonts w:ascii="Times New Roman" w:eastAsia="Times New Roman" w:hAnsi="Times New Roman" w:cs="Times New Roman"/>
          <w:sz w:val="24"/>
          <w:szCs w:val="24"/>
          <w:lang w:eastAsia="fr-FR"/>
        </w:rPr>
        <w:t xml:space="preserve"> (ESO). Guidelines on diagnosis and management of PFO after stroke. </w:t>
      </w:r>
      <w:r w:rsidRPr="002F3028">
        <w:rPr>
          <w:rFonts w:ascii="Times New Roman" w:eastAsia="Times New Roman" w:hAnsi="Times New Roman" w:cs="Times New Roman"/>
          <w:i/>
          <w:iCs/>
          <w:sz w:val="24"/>
          <w:szCs w:val="24"/>
          <w:lang w:eastAsia="fr-FR"/>
        </w:rPr>
        <w:t>Eur Stroke J</w:t>
      </w:r>
      <w:r w:rsidRPr="002F3028">
        <w:rPr>
          <w:rFonts w:ascii="Times New Roman" w:eastAsia="Times New Roman" w:hAnsi="Times New Roman" w:cs="Times New Roman"/>
          <w:sz w:val="24"/>
          <w:szCs w:val="24"/>
          <w:lang w:eastAsia="fr-FR"/>
        </w:rPr>
        <w:t>. 2024;9(1):800–34.</w:t>
      </w:r>
    </w:p>
    <w:p w14:paraId="1AC5A13C" w14:textId="77777777" w:rsid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2F3028">
        <w:rPr>
          <w:rFonts w:ascii="Times New Roman" w:eastAsia="Times New Roman" w:hAnsi="Times New Roman" w:cs="Times New Roman"/>
          <w:sz w:val="24"/>
          <w:szCs w:val="24"/>
          <w:lang w:eastAsia="fr-FR"/>
        </w:rPr>
        <w:t>Amarenco</w:t>
      </w:r>
      <w:proofErr w:type="spellEnd"/>
      <w:r w:rsidRPr="002F3028">
        <w:rPr>
          <w:rFonts w:ascii="Times New Roman" w:eastAsia="Times New Roman" w:hAnsi="Times New Roman" w:cs="Times New Roman"/>
          <w:sz w:val="24"/>
          <w:szCs w:val="24"/>
          <w:lang w:eastAsia="fr-FR"/>
        </w:rPr>
        <w:t xml:space="preserve"> P, </w:t>
      </w:r>
      <w:proofErr w:type="spellStart"/>
      <w:r w:rsidRPr="002F3028">
        <w:rPr>
          <w:rFonts w:ascii="Times New Roman" w:eastAsia="Times New Roman" w:hAnsi="Times New Roman" w:cs="Times New Roman"/>
          <w:sz w:val="24"/>
          <w:szCs w:val="24"/>
          <w:lang w:eastAsia="fr-FR"/>
        </w:rPr>
        <w:t>Bogousslavsky</w:t>
      </w:r>
      <w:proofErr w:type="spellEnd"/>
      <w:r w:rsidRPr="002F3028">
        <w:rPr>
          <w:rFonts w:ascii="Times New Roman" w:eastAsia="Times New Roman" w:hAnsi="Times New Roman" w:cs="Times New Roman"/>
          <w:sz w:val="24"/>
          <w:szCs w:val="24"/>
          <w:lang w:eastAsia="fr-FR"/>
        </w:rPr>
        <w:t xml:space="preserve"> J, Callahan A, et al. High-dose atorvastatin after stroke or TIA. </w:t>
      </w:r>
      <w:r w:rsidRPr="002F3028">
        <w:rPr>
          <w:rFonts w:ascii="Times New Roman" w:eastAsia="Times New Roman" w:hAnsi="Times New Roman" w:cs="Times New Roman"/>
          <w:i/>
          <w:iCs/>
          <w:sz w:val="24"/>
          <w:szCs w:val="24"/>
          <w:lang w:eastAsia="fr-FR"/>
        </w:rPr>
        <w:t>N Engl J Med</w:t>
      </w:r>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2006;355:549</w:t>
      </w:r>
      <w:proofErr w:type="gramEnd"/>
      <w:r w:rsidRPr="002F3028">
        <w:rPr>
          <w:rFonts w:ascii="Times New Roman" w:eastAsia="Times New Roman" w:hAnsi="Times New Roman" w:cs="Times New Roman"/>
          <w:sz w:val="24"/>
          <w:szCs w:val="24"/>
          <w:lang w:eastAsia="fr-FR"/>
        </w:rPr>
        <w:t>–59. (SPARCL study)</w:t>
      </w:r>
    </w:p>
    <w:p w14:paraId="1E353B67" w14:textId="6E7A1091" w:rsidR="009A60F0" w:rsidRPr="009A60F0" w:rsidRDefault="009A60F0" w:rsidP="00B16BC9">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9A60F0">
        <w:rPr>
          <w:rFonts w:asciiTheme="majorBidi" w:hAnsiTheme="majorBidi" w:cstheme="majorBidi"/>
          <w:sz w:val="24"/>
          <w:szCs w:val="24"/>
          <w:lang w:val="fr-FR"/>
        </w:rPr>
        <w:t xml:space="preserve">Li J, Liu Y, Zhang Y, et al. </w:t>
      </w:r>
      <w:r w:rsidRPr="009A60F0">
        <w:rPr>
          <w:rFonts w:asciiTheme="majorBidi" w:hAnsiTheme="majorBidi" w:cstheme="majorBidi"/>
          <w:sz w:val="24"/>
          <w:szCs w:val="24"/>
        </w:rPr>
        <w:t xml:space="preserve">Patent foramen </w:t>
      </w:r>
      <w:proofErr w:type="spellStart"/>
      <w:r w:rsidRPr="009A60F0">
        <w:rPr>
          <w:rFonts w:asciiTheme="majorBidi" w:hAnsiTheme="majorBidi" w:cstheme="majorBidi"/>
          <w:sz w:val="24"/>
          <w:szCs w:val="24"/>
        </w:rPr>
        <w:t>ovale</w:t>
      </w:r>
      <w:proofErr w:type="spellEnd"/>
      <w:r w:rsidRPr="009A60F0">
        <w:rPr>
          <w:rFonts w:asciiTheme="majorBidi" w:hAnsiTheme="majorBidi" w:cstheme="majorBidi"/>
          <w:sz w:val="24"/>
          <w:szCs w:val="24"/>
        </w:rPr>
        <w:t xml:space="preserve"> is usually asymptomatic but may cause paradoxical embolism and is a risk factor mainly for non-lacunar cryptogenic cerebral ischemia in young adults. </w:t>
      </w:r>
      <w:r w:rsidRPr="009A60F0">
        <w:rPr>
          <w:rStyle w:val="Emphasis"/>
          <w:rFonts w:asciiTheme="majorBidi" w:hAnsiTheme="majorBidi" w:cstheme="majorBidi"/>
          <w:sz w:val="24"/>
          <w:szCs w:val="24"/>
        </w:rPr>
        <w:t>J Geriatr Cardiol.</w:t>
      </w:r>
      <w:r w:rsidRPr="009A60F0">
        <w:rPr>
          <w:rFonts w:asciiTheme="majorBidi" w:hAnsiTheme="majorBidi" w:cstheme="majorBidi"/>
          <w:sz w:val="24"/>
          <w:szCs w:val="24"/>
        </w:rPr>
        <w:t xml:space="preserve"> 2021;18(1):67–74. doi:10.11909/j.issn.1671-5411.2021.01.009.</w:t>
      </w:r>
    </w:p>
    <w:p w14:paraId="3641721C" w14:textId="6871434C" w:rsidR="009A60F0" w:rsidRPr="009A60F0" w:rsidRDefault="009A60F0" w:rsidP="00B16BC9">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9A60F0">
        <w:rPr>
          <w:rFonts w:asciiTheme="majorBidi" w:hAnsiTheme="majorBidi" w:cstheme="majorBidi"/>
          <w:sz w:val="24"/>
          <w:szCs w:val="24"/>
          <w:lang w:val="fr-FR"/>
        </w:rPr>
        <w:t xml:space="preserve">Cabanes L, Mas JL, Cohen A, et al. </w:t>
      </w:r>
      <w:r w:rsidRPr="009A60F0">
        <w:rPr>
          <w:rFonts w:asciiTheme="majorBidi" w:hAnsiTheme="majorBidi" w:cstheme="majorBidi"/>
          <w:sz w:val="24"/>
          <w:szCs w:val="24"/>
        </w:rPr>
        <w:t xml:space="preserve">Atrial septal aneurysm and patent foramen </w:t>
      </w:r>
      <w:proofErr w:type="spellStart"/>
      <w:r w:rsidRPr="009A60F0">
        <w:rPr>
          <w:rFonts w:asciiTheme="majorBidi" w:hAnsiTheme="majorBidi" w:cstheme="majorBidi"/>
          <w:sz w:val="24"/>
          <w:szCs w:val="24"/>
        </w:rPr>
        <w:t>ovale</w:t>
      </w:r>
      <w:proofErr w:type="spellEnd"/>
      <w:r w:rsidRPr="009A60F0">
        <w:rPr>
          <w:rFonts w:asciiTheme="majorBidi" w:hAnsiTheme="majorBidi" w:cstheme="majorBidi"/>
          <w:sz w:val="24"/>
          <w:szCs w:val="24"/>
        </w:rPr>
        <w:t xml:space="preserve"> as risk factors for cryptogenic stroke in patients less than 55 years of age. </w:t>
      </w:r>
      <w:r w:rsidRPr="009A60F0">
        <w:rPr>
          <w:rStyle w:val="Emphasis"/>
          <w:rFonts w:asciiTheme="majorBidi" w:hAnsiTheme="majorBidi" w:cstheme="majorBidi"/>
          <w:sz w:val="24"/>
          <w:szCs w:val="24"/>
        </w:rPr>
        <w:t xml:space="preserve">Int J </w:t>
      </w:r>
      <w:proofErr w:type="spellStart"/>
      <w:r w:rsidRPr="009A60F0">
        <w:rPr>
          <w:rStyle w:val="Emphasis"/>
          <w:rFonts w:asciiTheme="majorBidi" w:hAnsiTheme="majorBidi" w:cstheme="majorBidi"/>
          <w:sz w:val="24"/>
          <w:szCs w:val="24"/>
        </w:rPr>
        <w:t>Cardiol</w:t>
      </w:r>
      <w:proofErr w:type="spellEnd"/>
      <w:r w:rsidRPr="009A60F0">
        <w:rPr>
          <w:rStyle w:val="Emphasis"/>
          <w:rFonts w:asciiTheme="majorBidi" w:hAnsiTheme="majorBidi" w:cstheme="majorBidi"/>
          <w:sz w:val="24"/>
          <w:szCs w:val="24"/>
        </w:rPr>
        <w:t>.</w:t>
      </w:r>
      <w:r w:rsidRPr="009A60F0">
        <w:rPr>
          <w:rFonts w:asciiTheme="majorBidi" w:hAnsiTheme="majorBidi" w:cstheme="majorBidi"/>
          <w:sz w:val="24"/>
          <w:szCs w:val="24"/>
        </w:rPr>
        <w:t xml:space="preserve"> 2004;95(2–3):129–134.</w:t>
      </w:r>
    </w:p>
    <w:p w14:paraId="4639B708" w14:textId="77777777" w:rsidR="009A60F0" w:rsidRDefault="009A60F0" w:rsidP="009A60F0">
      <w:pPr>
        <w:pStyle w:val="NormalWeb"/>
        <w:numPr>
          <w:ilvl w:val="0"/>
          <w:numId w:val="6"/>
        </w:numPr>
      </w:pPr>
      <w:r w:rsidRPr="00536030">
        <w:rPr>
          <w:lang w:val="nl-NL"/>
        </w:rPr>
        <w:t xml:space="preserve">Putaala J, Yesilot N, Waje-Andreassen U, et al. </w:t>
      </w:r>
      <w:r w:rsidRPr="009A60F0">
        <w:rPr>
          <w:lang w:val="en-US"/>
        </w:rPr>
        <w:t xml:space="preserve">Young adults with ischemic stroke: differences in risk factors, stroke subtypes, stroke severity, outcome and recurrence compared with older adults. </w:t>
      </w:r>
      <w:r>
        <w:rPr>
          <w:rStyle w:val="Emphasis"/>
        </w:rPr>
        <w:t xml:space="preserve">Expert </w:t>
      </w:r>
      <w:proofErr w:type="spellStart"/>
      <w:r>
        <w:rPr>
          <w:rStyle w:val="Emphasis"/>
        </w:rPr>
        <w:t>Rev</w:t>
      </w:r>
      <w:proofErr w:type="spellEnd"/>
      <w:r>
        <w:rPr>
          <w:rStyle w:val="Emphasis"/>
        </w:rPr>
        <w:t xml:space="preserve"> </w:t>
      </w:r>
      <w:proofErr w:type="spellStart"/>
      <w:r>
        <w:rPr>
          <w:rStyle w:val="Emphasis"/>
        </w:rPr>
        <w:t>Neurother</w:t>
      </w:r>
      <w:proofErr w:type="spellEnd"/>
      <w:r>
        <w:rPr>
          <w:rStyle w:val="Emphasis"/>
        </w:rPr>
        <w:t>.</w:t>
      </w:r>
      <w:r>
        <w:t xml:space="preserve"> 2015;15(7):825–831.</w:t>
      </w:r>
    </w:p>
    <w:p w14:paraId="5C2FA528" w14:textId="77777777" w:rsidR="009A60F0" w:rsidRPr="009A60F0" w:rsidRDefault="009A60F0" w:rsidP="009A60F0">
      <w:pPr>
        <w:spacing w:before="100" w:beforeAutospacing="1" w:after="100" w:afterAutospacing="1" w:line="240" w:lineRule="auto"/>
        <w:ind w:left="643"/>
        <w:rPr>
          <w:rFonts w:asciiTheme="majorBidi" w:eastAsia="Times New Roman" w:hAnsiTheme="majorBidi" w:cstheme="majorBidi"/>
          <w:sz w:val="24"/>
          <w:szCs w:val="24"/>
          <w:lang w:eastAsia="fr-FR"/>
        </w:rPr>
      </w:pPr>
    </w:p>
    <w:p w14:paraId="2AC735FE" w14:textId="77777777" w:rsidR="00E76F5D" w:rsidRPr="004851B1" w:rsidRDefault="00E76F5D" w:rsidP="00A6549F">
      <w:pPr>
        <w:spacing w:line="240" w:lineRule="auto"/>
        <w:rPr>
          <w:rFonts w:ascii="Arial" w:hAnsi="Arial" w:cs="Arial"/>
        </w:rPr>
      </w:pPr>
    </w:p>
    <w:sectPr w:rsidR="00E76F5D" w:rsidRPr="004851B1">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AD73" w14:textId="77777777" w:rsidR="00684B5A" w:rsidRDefault="00684B5A" w:rsidP="00743C13">
      <w:pPr>
        <w:spacing w:after="0" w:line="240" w:lineRule="auto"/>
      </w:pPr>
      <w:r>
        <w:separator/>
      </w:r>
    </w:p>
  </w:endnote>
  <w:endnote w:type="continuationSeparator" w:id="0">
    <w:p w14:paraId="776808D6" w14:textId="77777777" w:rsidR="00684B5A" w:rsidRDefault="00684B5A" w:rsidP="0074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581C" w14:textId="77777777" w:rsidR="00243B0D" w:rsidRDefault="0024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953167"/>
      <w:docPartObj>
        <w:docPartGallery w:val="Page Numbers (Bottom of Page)"/>
        <w:docPartUnique/>
      </w:docPartObj>
    </w:sdtPr>
    <w:sdtContent>
      <w:p w14:paraId="05531CD5" w14:textId="77777777" w:rsidR="00F43A2D" w:rsidRDefault="00F43A2D">
        <w:pPr>
          <w:pStyle w:val="Footer"/>
          <w:jc w:val="center"/>
        </w:pPr>
        <w:r>
          <w:fldChar w:fldCharType="begin"/>
        </w:r>
        <w:r>
          <w:instrText>PAGE   \* MERGEFORMAT</w:instrText>
        </w:r>
        <w:r>
          <w:fldChar w:fldCharType="separate"/>
        </w:r>
        <w:r w:rsidR="004D51D1" w:rsidRPr="004D51D1">
          <w:rPr>
            <w:noProof/>
            <w:lang w:val="fr-FR"/>
          </w:rPr>
          <w:t>1</w:t>
        </w:r>
        <w:r>
          <w:fldChar w:fldCharType="end"/>
        </w:r>
      </w:p>
    </w:sdtContent>
  </w:sdt>
  <w:p w14:paraId="6085CB4D" w14:textId="77777777" w:rsidR="00F43A2D" w:rsidRDefault="00F43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3085" w14:textId="77777777" w:rsidR="00243B0D" w:rsidRDefault="00243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694A" w14:textId="77777777" w:rsidR="00684B5A" w:rsidRDefault="00684B5A" w:rsidP="00743C13">
      <w:pPr>
        <w:spacing w:after="0" w:line="240" w:lineRule="auto"/>
      </w:pPr>
      <w:r>
        <w:separator/>
      </w:r>
    </w:p>
  </w:footnote>
  <w:footnote w:type="continuationSeparator" w:id="0">
    <w:p w14:paraId="4BD2FE90" w14:textId="77777777" w:rsidR="00684B5A" w:rsidRDefault="00684B5A" w:rsidP="0074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B710" w14:textId="184D9864" w:rsidR="00243B0D" w:rsidRDefault="00000000">
    <w:pPr>
      <w:pStyle w:val="Header"/>
    </w:pPr>
    <w:r>
      <w:rPr>
        <w:noProof/>
      </w:rPr>
      <w:pict w14:anchorId="151D1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1"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DF0" w14:textId="53F606DF" w:rsidR="00243B0D" w:rsidRDefault="00000000">
    <w:pPr>
      <w:pStyle w:val="Header"/>
    </w:pPr>
    <w:r>
      <w:rPr>
        <w:noProof/>
      </w:rPr>
      <w:pict w14:anchorId="36A78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2"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F1B8" w14:textId="5F8F42BB" w:rsidR="00243B0D" w:rsidRDefault="00000000">
    <w:pPr>
      <w:pStyle w:val="Header"/>
    </w:pPr>
    <w:r>
      <w:rPr>
        <w:noProof/>
      </w:rPr>
      <w:pict w14:anchorId="71623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0"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88E"/>
    <w:multiLevelType w:val="hybridMultilevel"/>
    <w:tmpl w:val="7092E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AA59D5"/>
    <w:multiLevelType w:val="multilevel"/>
    <w:tmpl w:val="21787AE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 w15:restartNumberingAfterBreak="0">
    <w:nsid w:val="304157C2"/>
    <w:multiLevelType w:val="hybridMultilevel"/>
    <w:tmpl w:val="C77A3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56308A"/>
    <w:multiLevelType w:val="hybridMultilevel"/>
    <w:tmpl w:val="A0B01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6232B1"/>
    <w:multiLevelType w:val="hybridMultilevel"/>
    <w:tmpl w:val="BD96B2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565DE1"/>
    <w:multiLevelType w:val="multilevel"/>
    <w:tmpl w:val="A1549F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265BC2"/>
    <w:multiLevelType w:val="hybridMultilevel"/>
    <w:tmpl w:val="B27005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0699796">
    <w:abstractNumId w:val="0"/>
  </w:num>
  <w:num w:numId="2" w16cid:durableId="322245416">
    <w:abstractNumId w:val="3"/>
  </w:num>
  <w:num w:numId="3" w16cid:durableId="421997294">
    <w:abstractNumId w:val="2"/>
  </w:num>
  <w:num w:numId="4" w16cid:durableId="1643659194">
    <w:abstractNumId w:val="6"/>
  </w:num>
  <w:num w:numId="5" w16cid:durableId="647437480">
    <w:abstractNumId w:val="4"/>
  </w:num>
  <w:num w:numId="6" w16cid:durableId="1600024324">
    <w:abstractNumId w:val="1"/>
  </w:num>
  <w:num w:numId="7" w16cid:durableId="882982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5D"/>
    <w:rsid w:val="00094F65"/>
    <w:rsid w:val="000C6D1E"/>
    <w:rsid w:val="001212E6"/>
    <w:rsid w:val="001707C9"/>
    <w:rsid w:val="001C0BE8"/>
    <w:rsid w:val="00201209"/>
    <w:rsid w:val="00214CFA"/>
    <w:rsid w:val="00235A3E"/>
    <w:rsid w:val="00243B0D"/>
    <w:rsid w:val="00244F69"/>
    <w:rsid w:val="00286E23"/>
    <w:rsid w:val="002D0A1E"/>
    <w:rsid w:val="002F57B8"/>
    <w:rsid w:val="003350E3"/>
    <w:rsid w:val="00345F0E"/>
    <w:rsid w:val="00357007"/>
    <w:rsid w:val="003612A7"/>
    <w:rsid w:val="003643CE"/>
    <w:rsid w:val="00372664"/>
    <w:rsid w:val="003C575D"/>
    <w:rsid w:val="003C75B0"/>
    <w:rsid w:val="003D7668"/>
    <w:rsid w:val="003F26B9"/>
    <w:rsid w:val="004851B1"/>
    <w:rsid w:val="00487035"/>
    <w:rsid w:val="004B205F"/>
    <w:rsid w:val="004D51D1"/>
    <w:rsid w:val="00532881"/>
    <w:rsid w:val="00534152"/>
    <w:rsid w:val="00536030"/>
    <w:rsid w:val="00637C2E"/>
    <w:rsid w:val="00684B5A"/>
    <w:rsid w:val="00700CDA"/>
    <w:rsid w:val="00724D4B"/>
    <w:rsid w:val="00743C13"/>
    <w:rsid w:val="00800F68"/>
    <w:rsid w:val="00833464"/>
    <w:rsid w:val="00861B64"/>
    <w:rsid w:val="008C18F0"/>
    <w:rsid w:val="0092323F"/>
    <w:rsid w:val="009529B8"/>
    <w:rsid w:val="009736DE"/>
    <w:rsid w:val="009A39A3"/>
    <w:rsid w:val="009A60F0"/>
    <w:rsid w:val="00A17599"/>
    <w:rsid w:val="00A6549F"/>
    <w:rsid w:val="00AD76C5"/>
    <w:rsid w:val="00B024B6"/>
    <w:rsid w:val="00B16BC9"/>
    <w:rsid w:val="00B46C09"/>
    <w:rsid w:val="00B541C4"/>
    <w:rsid w:val="00BA059C"/>
    <w:rsid w:val="00BB62EC"/>
    <w:rsid w:val="00BF7685"/>
    <w:rsid w:val="00C40867"/>
    <w:rsid w:val="00CA22A0"/>
    <w:rsid w:val="00CD76EC"/>
    <w:rsid w:val="00D31D0A"/>
    <w:rsid w:val="00D46994"/>
    <w:rsid w:val="00D57E1A"/>
    <w:rsid w:val="00DD4E13"/>
    <w:rsid w:val="00DD6E69"/>
    <w:rsid w:val="00E51B96"/>
    <w:rsid w:val="00E76F5D"/>
    <w:rsid w:val="00E9364D"/>
    <w:rsid w:val="00EE7C57"/>
    <w:rsid w:val="00F34895"/>
    <w:rsid w:val="00F43A2D"/>
    <w:rsid w:val="00FB4190"/>
    <w:rsid w:val="00FB7046"/>
    <w:rsid w:val="00FB7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214B5"/>
  <w15:chartTrackingRefBased/>
  <w15:docId w15:val="{55D274C0-89DE-453C-84A5-29B7F106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70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612A7"/>
    <w:pPr>
      <w:tabs>
        <w:tab w:val="left" w:pos="384"/>
      </w:tabs>
      <w:spacing w:after="0" w:line="240" w:lineRule="auto"/>
      <w:ind w:left="384" w:hanging="384"/>
    </w:pPr>
  </w:style>
  <w:style w:type="paragraph" w:styleId="Caption">
    <w:name w:val="caption"/>
    <w:basedOn w:val="Normal"/>
    <w:next w:val="Normal"/>
    <w:uiPriority w:val="35"/>
    <w:unhideWhenUsed/>
    <w:qFormat/>
    <w:rsid w:val="009736D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43C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3C13"/>
  </w:style>
  <w:style w:type="paragraph" w:styleId="Footer">
    <w:name w:val="footer"/>
    <w:basedOn w:val="Normal"/>
    <w:link w:val="FooterChar"/>
    <w:uiPriority w:val="99"/>
    <w:unhideWhenUsed/>
    <w:rsid w:val="00743C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3C13"/>
  </w:style>
  <w:style w:type="paragraph" w:styleId="NoSpacing">
    <w:name w:val="No Spacing"/>
    <w:uiPriority w:val="1"/>
    <w:qFormat/>
    <w:rsid w:val="00357007"/>
    <w:pPr>
      <w:spacing w:after="0" w:line="240" w:lineRule="auto"/>
    </w:pPr>
  </w:style>
  <w:style w:type="character" w:customStyle="1" w:styleId="Heading2Char">
    <w:name w:val="Heading 2 Char"/>
    <w:basedOn w:val="DefaultParagraphFont"/>
    <w:link w:val="Heading2"/>
    <w:uiPriority w:val="9"/>
    <w:rsid w:val="0035700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57007"/>
    <w:pPr>
      <w:ind w:left="720"/>
      <w:contextualSpacing/>
    </w:pPr>
  </w:style>
  <w:style w:type="paragraph" w:styleId="NormalWeb">
    <w:name w:val="Normal (Web)"/>
    <w:basedOn w:val="Normal"/>
    <w:uiPriority w:val="99"/>
    <w:semiHidden/>
    <w:unhideWhenUsed/>
    <w:rsid w:val="00700CD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700CDA"/>
    <w:rPr>
      <w:b/>
      <w:bCs/>
    </w:rPr>
  </w:style>
  <w:style w:type="character" w:styleId="Emphasis">
    <w:name w:val="Emphasis"/>
    <w:basedOn w:val="DefaultParagraphFont"/>
    <w:uiPriority w:val="20"/>
    <w:qFormat/>
    <w:rsid w:val="009A60F0"/>
    <w:rPr>
      <w:i/>
      <w:iCs/>
    </w:rPr>
  </w:style>
  <w:style w:type="character" w:customStyle="1" w:styleId="Heading1Char">
    <w:name w:val="Heading 1 Char"/>
    <w:basedOn w:val="DefaultParagraphFont"/>
    <w:link w:val="Heading1"/>
    <w:uiPriority w:val="9"/>
    <w:rsid w:val="00BB62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9357">
      <w:bodyDiv w:val="1"/>
      <w:marLeft w:val="0"/>
      <w:marRight w:val="0"/>
      <w:marTop w:val="0"/>
      <w:marBottom w:val="0"/>
      <w:divBdr>
        <w:top w:val="none" w:sz="0" w:space="0" w:color="auto"/>
        <w:left w:val="none" w:sz="0" w:space="0" w:color="auto"/>
        <w:bottom w:val="none" w:sz="0" w:space="0" w:color="auto"/>
        <w:right w:val="none" w:sz="0" w:space="0" w:color="auto"/>
      </w:divBdr>
    </w:div>
    <w:div w:id="284967503">
      <w:bodyDiv w:val="1"/>
      <w:marLeft w:val="0"/>
      <w:marRight w:val="0"/>
      <w:marTop w:val="0"/>
      <w:marBottom w:val="0"/>
      <w:divBdr>
        <w:top w:val="none" w:sz="0" w:space="0" w:color="auto"/>
        <w:left w:val="none" w:sz="0" w:space="0" w:color="auto"/>
        <w:bottom w:val="none" w:sz="0" w:space="0" w:color="auto"/>
        <w:right w:val="none" w:sz="0" w:space="0" w:color="auto"/>
      </w:divBdr>
    </w:div>
    <w:div w:id="417485209">
      <w:bodyDiv w:val="1"/>
      <w:marLeft w:val="0"/>
      <w:marRight w:val="0"/>
      <w:marTop w:val="0"/>
      <w:marBottom w:val="0"/>
      <w:divBdr>
        <w:top w:val="none" w:sz="0" w:space="0" w:color="auto"/>
        <w:left w:val="none" w:sz="0" w:space="0" w:color="auto"/>
        <w:bottom w:val="none" w:sz="0" w:space="0" w:color="auto"/>
        <w:right w:val="none" w:sz="0" w:space="0" w:color="auto"/>
      </w:divBdr>
    </w:div>
    <w:div w:id="427389480">
      <w:bodyDiv w:val="1"/>
      <w:marLeft w:val="0"/>
      <w:marRight w:val="0"/>
      <w:marTop w:val="0"/>
      <w:marBottom w:val="0"/>
      <w:divBdr>
        <w:top w:val="none" w:sz="0" w:space="0" w:color="auto"/>
        <w:left w:val="none" w:sz="0" w:space="0" w:color="auto"/>
        <w:bottom w:val="none" w:sz="0" w:space="0" w:color="auto"/>
        <w:right w:val="none" w:sz="0" w:space="0" w:color="auto"/>
      </w:divBdr>
    </w:div>
    <w:div w:id="485363819">
      <w:bodyDiv w:val="1"/>
      <w:marLeft w:val="0"/>
      <w:marRight w:val="0"/>
      <w:marTop w:val="0"/>
      <w:marBottom w:val="0"/>
      <w:divBdr>
        <w:top w:val="none" w:sz="0" w:space="0" w:color="auto"/>
        <w:left w:val="none" w:sz="0" w:space="0" w:color="auto"/>
        <w:bottom w:val="none" w:sz="0" w:space="0" w:color="auto"/>
        <w:right w:val="none" w:sz="0" w:space="0" w:color="auto"/>
      </w:divBdr>
    </w:div>
    <w:div w:id="505901043">
      <w:bodyDiv w:val="1"/>
      <w:marLeft w:val="0"/>
      <w:marRight w:val="0"/>
      <w:marTop w:val="0"/>
      <w:marBottom w:val="0"/>
      <w:divBdr>
        <w:top w:val="none" w:sz="0" w:space="0" w:color="auto"/>
        <w:left w:val="none" w:sz="0" w:space="0" w:color="auto"/>
        <w:bottom w:val="none" w:sz="0" w:space="0" w:color="auto"/>
        <w:right w:val="none" w:sz="0" w:space="0" w:color="auto"/>
      </w:divBdr>
    </w:div>
    <w:div w:id="752628527">
      <w:bodyDiv w:val="1"/>
      <w:marLeft w:val="0"/>
      <w:marRight w:val="0"/>
      <w:marTop w:val="0"/>
      <w:marBottom w:val="0"/>
      <w:divBdr>
        <w:top w:val="none" w:sz="0" w:space="0" w:color="auto"/>
        <w:left w:val="none" w:sz="0" w:space="0" w:color="auto"/>
        <w:bottom w:val="none" w:sz="0" w:space="0" w:color="auto"/>
        <w:right w:val="none" w:sz="0" w:space="0" w:color="auto"/>
      </w:divBdr>
    </w:div>
    <w:div w:id="757214615">
      <w:bodyDiv w:val="1"/>
      <w:marLeft w:val="0"/>
      <w:marRight w:val="0"/>
      <w:marTop w:val="0"/>
      <w:marBottom w:val="0"/>
      <w:divBdr>
        <w:top w:val="none" w:sz="0" w:space="0" w:color="auto"/>
        <w:left w:val="none" w:sz="0" w:space="0" w:color="auto"/>
        <w:bottom w:val="none" w:sz="0" w:space="0" w:color="auto"/>
        <w:right w:val="none" w:sz="0" w:space="0" w:color="auto"/>
      </w:divBdr>
    </w:div>
    <w:div w:id="876896381">
      <w:bodyDiv w:val="1"/>
      <w:marLeft w:val="0"/>
      <w:marRight w:val="0"/>
      <w:marTop w:val="0"/>
      <w:marBottom w:val="0"/>
      <w:divBdr>
        <w:top w:val="none" w:sz="0" w:space="0" w:color="auto"/>
        <w:left w:val="none" w:sz="0" w:space="0" w:color="auto"/>
        <w:bottom w:val="none" w:sz="0" w:space="0" w:color="auto"/>
        <w:right w:val="none" w:sz="0" w:space="0" w:color="auto"/>
      </w:divBdr>
    </w:div>
    <w:div w:id="886336075">
      <w:bodyDiv w:val="1"/>
      <w:marLeft w:val="0"/>
      <w:marRight w:val="0"/>
      <w:marTop w:val="0"/>
      <w:marBottom w:val="0"/>
      <w:divBdr>
        <w:top w:val="none" w:sz="0" w:space="0" w:color="auto"/>
        <w:left w:val="none" w:sz="0" w:space="0" w:color="auto"/>
        <w:bottom w:val="none" w:sz="0" w:space="0" w:color="auto"/>
        <w:right w:val="none" w:sz="0" w:space="0" w:color="auto"/>
      </w:divBdr>
    </w:div>
    <w:div w:id="933896549">
      <w:bodyDiv w:val="1"/>
      <w:marLeft w:val="0"/>
      <w:marRight w:val="0"/>
      <w:marTop w:val="0"/>
      <w:marBottom w:val="0"/>
      <w:divBdr>
        <w:top w:val="none" w:sz="0" w:space="0" w:color="auto"/>
        <w:left w:val="none" w:sz="0" w:space="0" w:color="auto"/>
        <w:bottom w:val="none" w:sz="0" w:space="0" w:color="auto"/>
        <w:right w:val="none" w:sz="0" w:space="0" w:color="auto"/>
      </w:divBdr>
    </w:div>
    <w:div w:id="998584363">
      <w:bodyDiv w:val="1"/>
      <w:marLeft w:val="0"/>
      <w:marRight w:val="0"/>
      <w:marTop w:val="0"/>
      <w:marBottom w:val="0"/>
      <w:divBdr>
        <w:top w:val="none" w:sz="0" w:space="0" w:color="auto"/>
        <w:left w:val="none" w:sz="0" w:space="0" w:color="auto"/>
        <w:bottom w:val="none" w:sz="0" w:space="0" w:color="auto"/>
        <w:right w:val="none" w:sz="0" w:space="0" w:color="auto"/>
      </w:divBdr>
    </w:div>
    <w:div w:id="1160391757">
      <w:bodyDiv w:val="1"/>
      <w:marLeft w:val="0"/>
      <w:marRight w:val="0"/>
      <w:marTop w:val="0"/>
      <w:marBottom w:val="0"/>
      <w:divBdr>
        <w:top w:val="none" w:sz="0" w:space="0" w:color="auto"/>
        <w:left w:val="none" w:sz="0" w:space="0" w:color="auto"/>
        <w:bottom w:val="none" w:sz="0" w:space="0" w:color="auto"/>
        <w:right w:val="none" w:sz="0" w:space="0" w:color="auto"/>
      </w:divBdr>
    </w:div>
    <w:div w:id="1284460728">
      <w:bodyDiv w:val="1"/>
      <w:marLeft w:val="0"/>
      <w:marRight w:val="0"/>
      <w:marTop w:val="0"/>
      <w:marBottom w:val="0"/>
      <w:divBdr>
        <w:top w:val="none" w:sz="0" w:space="0" w:color="auto"/>
        <w:left w:val="none" w:sz="0" w:space="0" w:color="auto"/>
        <w:bottom w:val="none" w:sz="0" w:space="0" w:color="auto"/>
        <w:right w:val="none" w:sz="0" w:space="0" w:color="auto"/>
      </w:divBdr>
    </w:div>
    <w:div w:id="1423334014">
      <w:bodyDiv w:val="1"/>
      <w:marLeft w:val="0"/>
      <w:marRight w:val="0"/>
      <w:marTop w:val="0"/>
      <w:marBottom w:val="0"/>
      <w:divBdr>
        <w:top w:val="none" w:sz="0" w:space="0" w:color="auto"/>
        <w:left w:val="none" w:sz="0" w:space="0" w:color="auto"/>
        <w:bottom w:val="none" w:sz="0" w:space="0" w:color="auto"/>
        <w:right w:val="none" w:sz="0" w:space="0" w:color="auto"/>
      </w:divBdr>
    </w:div>
    <w:div w:id="1651127693">
      <w:bodyDiv w:val="1"/>
      <w:marLeft w:val="0"/>
      <w:marRight w:val="0"/>
      <w:marTop w:val="0"/>
      <w:marBottom w:val="0"/>
      <w:divBdr>
        <w:top w:val="none" w:sz="0" w:space="0" w:color="auto"/>
        <w:left w:val="none" w:sz="0" w:space="0" w:color="auto"/>
        <w:bottom w:val="none" w:sz="0" w:space="0" w:color="auto"/>
        <w:right w:val="none" w:sz="0" w:space="0" w:color="auto"/>
      </w:divBdr>
    </w:div>
    <w:div w:id="1766730628">
      <w:bodyDiv w:val="1"/>
      <w:marLeft w:val="0"/>
      <w:marRight w:val="0"/>
      <w:marTop w:val="0"/>
      <w:marBottom w:val="0"/>
      <w:divBdr>
        <w:top w:val="none" w:sz="0" w:space="0" w:color="auto"/>
        <w:left w:val="none" w:sz="0" w:space="0" w:color="auto"/>
        <w:bottom w:val="none" w:sz="0" w:space="0" w:color="auto"/>
        <w:right w:val="none" w:sz="0" w:space="0" w:color="auto"/>
      </w:divBdr>
    </w:div>
    <w:div w:id="1986658359">
      <w:bodyDiv w:val="1"/>
      <w:marLeft w:val="0"/>
      <w:marRight w:val="0"/>
      <w:marTop w:val="0"/>
      <w:marBottom w:val="0"/>
      <w:divBdr>
        <w:top w:val="none" w:sz="0" w:space="0" w:color="auto"/>
        <w:left w:val="none" w:sz="0" w:space="0" w:color="auto"/>
        <w:bottom w:val="none" w:sz="0" w:space="0" w:color="auto"/>
        <w:right w:val="none" w:sz="0" w:space="0" w:color="auto"/>
      </w:divBdr>
    </w:div>
    <w:div w:id="20862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D4C8-E18A-40AB-BDCE-4B544669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1839</Words>
  <Characters>10488</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zenbook</dc:creator>
  <cp:keywords/>
  <dc:description/>
  <cp:lastModifiedBy>Editor GP 005</cp:lastModifiedBy>
  <cp:revision>3</cp:revision>
  <dcterms:created xsi:type="dcterms:W3CDTF">2025-09-21T05:26:00Z</dcterms:created>
  <dcterms:modified xsi:type="dcterms:W3CDTF">2025-09-22T08:47:00Z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e1357551-771c-4362-aea8-cd479626566d</vt:lpwstr>
  </property>
  <property fmtid="{D5CDD505-2E9C-101B-9397-08002B2CF9AE}" pid="3" name="ZOTERO_PREF_1">
    <vt:lpwstr>&lt;data data-version="3" zotero-version="6.0.36"&gt;&lt;session id="L0YF6h44"/&gt;&lt;style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