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D18F5" w14:textId="77777777" w:rsidR="00873A5C" w:rsidRPr="00AD7B7F" w:rsidRDefault="00477428" w:rsidP="0056581E">
      <w:pPr>
        <w:pStyle w:val="Heading3"/>
        <w:rPr>
          <w:rFonts w:eastAsia="Times New Roman"/>
          <w:noProof/>
          <w:sz w:val="8"/>
        </w:rPr>
      </w:pPr>
      <w:r w:rsidRPr="00AD7B7F">
        <w:rPr>
          <w:rFonts w:eastAsia="Times New Roman"/>
          <w:noProof/>
        </w:rPr>
        <w:drawing>
          <wp:anchor distT="0" distB="0" distL="114300" distR="114300" simplePos="0" relativeHeight="251657728" behindDoc="1" locked="0" layoutInCell="1" allowOverlap="1" wp14:anchorId="3FB5F81C" wp14:editId="42FC2A01">
            <wp:simplePos x="0" y="0"/>
            <wp:positionH relativeFrom="column">
              <wp:posOffset>7620</wp:posOffset>
            </wp:positionH>
            <wp:positionV relativeFrom="paragraph">
              <wp:posOffset>-252730</wp:posOffset>
            </wp:positionV>
            <wp:extent cx="758190" cy="1076960"/>
            <wp:effectExtent l="19050" t="0" r="3810" b="0"/>
            <wp:wrapTight wrapText="bothSides">
              <wp:wrapPolygon edited="0">
                <wp:start x="-543" y="0"/>
                <wp:lineTo x="-543" y="21396"/>
                <wp:lineTo x="21709" y="21396"/>
                <wp:lineTo x="21709" y="0"/>
                <wp:lineTo x="-543" y="0"/>
              </wp:wrapPolygon>
            </wp:wrapTight>
            <wp:docPr id="3" name="Picture 3" descr="E:\Shyamalendu-2\Template\Update cover page\AJC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yamalendu-2\Template\Update cover page\AJCR-A4.png"/>
                    <pic:cNvPicPr>
                      <a:picLocks noChangeAspect="1" noChangeArrowheads="1"/>
                    </pic:cNvPicPr>
                  </pic:nvPicPr>
                  <pic:blipFill>
                    <a:blip r:embed="rId8" cstate="print"/>
                    <a:srcRect/>
                    <a:stretch>
                      <a:fillRect/>
                    </a:stretch>
                  </pic:blipFill>
                  <pic:spPr bwMode="auto">
                    <a:xfrm>
                      <a:off x="0" y="0"/>
                      <a:ext cx="758190" cy="1076960"/>
                    </a:xfrm>
                    <a:prstGeom prst="rect">
                      <a:avLst/>
                    </a:prstGeom>
                    <a:noFill/>
                    <a:ln w="9525">
                      <a:noFill/>
                      <a:miter lim="800000"/>
                      <a:headEnd/>
                      <a:tailEnd/>
                    </a:ln>
                  </pic:spPr>
                </pic:pic>
              </a:graphicData>
            </a:graphic>
          </wp:anchor>
        </w:drawing>
      </w:r>
      <w:r w:rsidR="00691313" w:rsidRPr="00AD7B7F">
        <w:rPr>
          <w:rFonts w:eastAsia="Times New Roman"/>
          <w:noProof/>
          <w:lang w:eastAsia="zh-TW"/>
        </w:rPr>
        <w:t>Asian Journal of Cardiology Research</w:t>
      </w:r>
    </w:p>
    <w:p w14:paraId="76A3684F" w14:textId="77777777" w:rsidR="001A4A55" w:rsidRPr="00AD7B7F" w:rsidRDefault="001A4A55" w:rsidP="001A4A55">
      <w:pPr>
        <w:spacing w:after="0" w:line="240" w:lineRule="auto"/>
        <w:ind w:left="2160"/>
        <w:contextualSpacing/>
        <w:rPr>
          <w:rFonts w:ascii="Arial" w:eastAsia="Times New Roman" w:hAnsi="Arial" w:cs="Arial"/>
          <w:b/>
          <w:i/>
          <w:noProof/>
          <w:sz w:val="24"/>
          <w:szCs w:val="16"/>
          <w:lang w:eastAsia="zh-TW"/>
        </w:rPr>
      </w:pPr>
    </w:p>
    <w:p w14:paraId="75E5A1D2" w14:textId="29171835" w:rsidR="00873A5C" w:rsidRPr="00AD7B7F" w:rsidRDefault="00477428" w:rsidP="0056581E">
      <w:pPr>
        <w:pStyle w:val="Heading4"/>
        <w:rPr>
          <w:rFonts w:eastAsia="Times New Roman"/>
        </w:rPr>
      </w:pPr>
      <w:r w:rsidRPr="00AD7B7F">
        <w:rPr>
          <w:rFonts w:eastAsia="Times New Roman"/>
        </w:rPr>
        <w:t>Volume XXX, Issue XX, Page XX-XX, 20YY</w:t>
      </w:r>
      <w:r w:rsidR="004E094F" w:rsidRPr="00AD7B7F">
        <w:rPr>
          <w:rFonts w:eastAsia="Times New Roman"/>
        </w:rPr>
        <w:t>;</w:t>
      </w:r>
      <w:r w:rsidR="00873A5C" w:rsidRPr="00AD7B7F">
        <w:rPr>
          <w:rFonts w:eastAsia="Times New Roman"/>
        </w:rPr>
        <w:t xml:space="preserve"> Article </w:t>
      </w:r>
      <w:proofErr w:type="gramStart"/>
      <w:r w:rsidR="00873A5C" w:rsidRPr="00AD7B7F">
        <w:rPr>
          <w:rFonts w:eastAsia="Times New Roman"/>
        </w:rPr>
        <w:t>no.</w:t>
      </w:r>
      <w:r w:rsidR="0045151D" w:rsidRPr="00AD7B7F">
        <w:rPr>
          <w:rFonts w:eastAsia="Times New Roman"/>
        </w:rPr>
        <w:t>AJCR</w:t>
      </w:r>
      <w:proofErr w:type="gramEnd"/>
      <w:r w:rsidR="009423FD" w:rsidRPr="00AD7B7F">
        <w:t>.</w:t>
      </w:r>
      <w:r w:rsidR="009423FD" w:rsidRPr="00AD7B7F">
        <w:rPr>
          <w:rFonts w:eastAsia="Times New Roman"/>
        </w:rPr>
        <w:t>135809</w:t>
      </w:r>
    </w:p>
    <w:p w14:paraId="057DF0B3" w14:textId="77777777" w:rsidR="00873A5C" w:rsidRPr="00AD7B7F" w:rsidRDefault="00873A5C" w:rsidP="00EB7881">
      <w:pPr>
        <w:spacing w:after="0" w:line="240" w:lineRule="auto"/>
        <w:ind w:left="2160"/>
        <w:contextualSpacing/>
        <w:rPr>
          <w:rFonts w:ascii="Arial" w:eastAsia="Times New Roman" w:hAnsi="Arial" w:cs="Arial"/>
          <w:b/>
          <w:i/>
          <w:sz w:val="18"/>
          <w:szCs w:val="20"/>
        </w:rPr>
      </w:pPr>
    </w:p>
    <w:p w14:paraId="4B87BCCC" w14:textId="77777777" w:rsidR="00AA0D41" w:rsidRPr="00AD7B7F" w:rsidRDefault="00AA0D41" w:rsidP="00124A37">
      <w:pPr>
        <w:spacing w:after="0" w:line="240" w:lineRule="auto"/>
        <w:contextualSpacing/>
        <w:jc w:val="center"/>
        <w:rPr>
          <w:rFonts w:ascii="Arial" w:eastAsia="Times New Roman" w:hAnsi="Arial" w:cs="Arial"/>
          <w:b/>
          <w:i/>
          <w:sz w:val="14"/>
          <w:szCs w:val="20"/>
        </w:rPr>
      </w:pPr>
    </w:p>
    <w:p w14:paraId="3162B9AC" w14:textId="77777777" w:rsidR="001A4A55" w:rsidRPr="00AD7B7F" w:rsidRDefault="001A4A55" w:rsidP="00124A37">
      <w:pPr>
        <w:spacing w:after="0" w:line="240" w:lineRule="auto"/>
        <w:contextualSpacing/>
        <w:jc w:val="center"/>
        <w:rPr>
          <w:rFonts w:ascii="Arial" w:eastAsia="Times New Roman" w:hAnsi="Arial" w:cs="Arial"/>
          <w:b/>
          <w:i/>
          <w:sz w:val="14"/>
          <w:szCs w:val="20"/>
        </w:rPr>
      </w:pPr>
    </w:p>
    <w:p w14:paraId="3379D3FA" w14:textId="77777777" w:rsidR="00873A5C" w:rsidRPr="00AD7B7F" w:rsidRDefault="00000000" w:rsidP="00873A5C">
      <w:pPr>
        <w:spacing w:after="0" w:line="240" w:lineRule="auto"/>
        <w:contextualSpacing/>
        <w:jc w:val="center"/>
        <w:rPr>
          <w:rFonts w:ascii="Arial" w:eastAsia="Times New Roman" w:hAnsi="Arial" w:cs="Arial"/>
          <w:b/>
          <w:bCs/>
          <w:kern w:val="28"/>
          <w:sz w:val="12"/>
          <w:szCs w:val="20"/>
        </w:rPr>
      </w:pPr>
      <w:r>
        <w:rPr>
          <w:rFonts w:ascii="Arial" w:eastAsia="Times New Roman" w:hAnsi="Arial" w:cs="Arial"/>
          <w:b/>
          <w:bCs/>
          <w:noProof/>
          <w:kern w:val="28"/>
          <w:sz w:val="32"/>
          <w:szCs w:val="20"/>
        </w:rPr>
      </w:r>
      <w:r>
        <w:rPr>
          <w:rFonts w:ascii="Arial" w:eastAsia="Times New Roman" w:hAnsi="Arial" w:cs="Arial"/>
          <w:b/>
          <w:bCs/>
          <w:noProof/>
          <w:kern w:val="28"/>
          <w:sz w:val="32"/>
          <w:szCs w:val="20"/>
        </w:rPr>
        <w:pict w14:anchorId="77A1217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9" type="#_x0000_t34" style="width:450.7pt;height:.05pt;visibility:visible;mso-left-percent:-10001;mso-top-percent:-10001;mso-position-horizontal:absolute;mso-position-horizontal-relative:char;mso-position-vertical:absolute;mso-position-vertical-relative:line;mso-left-percent:-10001;mso-top-percent:-10001" adj="10799,-62100000,-2666" strokeweight="1.5pt">
            <o:lock v:ext="edit" aspectratio="t"/>
            <w10:anchorlock/>
          </v:shape>
        </w:pict>
      </w:r>
    </w:p>
    <w:p w14:paraId="63C5E526" w14:textId="77777777" w:rsidR="00E531CD" w:rsidRPr="00AD7B7F" w:rsidRDefault="00E531CD" w:rsidP="00BD060A">
      <w:pPr>
        <w:spacing w:after="0" w:line="240" w:lineRule="auto"/>
        <w:contextualSpacing/>
        <w:jc w:val="right"/>
        <w:rPr>
          <w:rFonts w:ascii="Arial" w:eastAsia="Times New Roman" w:hAnsi="Arial" w:cs="Arial"/>
          <w:b/>
          <w:bCs/>
          <w:iCs/>
          <w:kern w:val="28"/>
          <w:sz w:val="20"/>
          <w:szCs w:val="20"/>
        </w:rPr>
      </w:pPr>
    </w:p>
    <w:p w14:paraId="39F4E003" w14:textId="0FEB6B1A" w:rsidR="003F47A0" w:rsidRPr="00AD7B7F" w:rsidRDefault="00EC269E" w:rsidP="001E0CE3">
      <w:pPr>
        <w:pStyle w:val="Heading1"/>
        <w:rPr>
          <w:rFonts w:eastAsia="Times New Roman"/>
          <w:kern w:val="28"/>
          <w:sz w:val="48"/>
          <w:szCs w:val="48"/>
        </w:rPr>
      </w:pPr>
      <w:r w:rsidRPr="00AD7B7F">
        <w:rPr>
          <w:rFonts w:eastAsia="Times New Roman"/>
          <w:kern w:val="28"/>
          <w:sz w:val="48"/>
          <w:szCs w:val="48"/>
        </w:rPr>
        <w:t>From Dilatation to Occlusion: A STEMI Case in Coronary Artery Ectasia</w:t>
      </w:r>
    </w:p>
    <w:p w14:paraId="02429A93" w14:textId="77777777" w:rsidR="003F47A0" w:rsidRPr="00AD7B7F" w:rsidRDefault="003F47A0" w:rsidP="003F47A0">
      <w:pPr>
        <w:spacing w:after="0" w:line="240" w:lineRule="auto"/>
        <w:contextualSpacing/>
        <w:jc w:val="right"/>
        <w:rPr>
          <w:rFonts w:ascii="Arial" w:eastAsia="Times New Roman" w:hAnsi="Arial" w:cs="Arial"/>
          <w:b/>
          <w:bCs/>
          <w:sz w:val="36"/>
          <w:szCs w:val="20"/>
        </w:rPr>
      </w:pPr>
    </w:p>
    <w:p w14:paraId="5030B7D1" w14:textId="77777777" w:rsidR="003F47A0" w:rsidRPr="00AD7B7F" w:rsidRDefault="003F47A0" w:rsidP="00477428">
      <w:pPr>
        <w:spacing w:before="10" w:after="0" w:line="240" w:lineRule="auto"/>
        <w:jc w:val="right"/>
        <w:rPr>
          <w:rFonts w:ascii="Arial" w:eastAsia="Times New Roman" w:hAnsi="Arial" w:cs="Arial"/>
          <w:b/>
          <w:bCs/>
          <w:sz w:val="32"/>
          <w:szCs w:val="32"/>
        </w:rPr>
      </w:pPr>
      <w:r w:rsidRPr="00AD7B7F">
        <w:rPr>
          <w:rFonts w:ascii="Arial" w:eastAsia="Times New Roman" w:hAnsi="Arial" w:cs="Arial"/>
          <w:b/>
          <w:bCs/>
          <w:sz w:val="32"/>
          <w:szCs w:val="32"/>
        </w:rPr>
        <w:t>Authors’ Name……………………………………………………</w:t>
      </w:r>
    </w:p>
    <w:p w14:paraId="7808B287" w14:textId="77777777" w:rsidR="003F47A0" w:rsidRPr="00AD7B7F" w:rsidRDefault="003F47A0" w:rsidP="003F47A0">
      <w:pPr>
        <w:spacing w:after="0" w:line="280" w:lineRule="exact"/>
        <w:jc w:val="right"/>
        <w:rPr>
          <w:rFonts w:ascii="Arial" w:eastAsia="Times New Roman" w:hAnsi="Arial" w:cs="Arial"/>
          <w:b/>
          <w:bCs/>
          <w:sz w:val="24"/>
          <w:szCs w:val="20"/>
        </w:rPr>
      </w:pPr>
    </w:p>
    <w:p w14:paraId="00B5E194" w14:textId="77777777" w:rsidR="003F47A0" w:rsidRPr="00AD7B7F" w:rsidRDefault="003F47A0" w:rsidP="003F47A0">
      <w:pPr>
        <w:spacing w:after="0" w:line="240" w:lineRule="auto"/>
        <w:jc w:val="right"/>
        <w:rPr>
          <w:rFonts w:ascii="Arial" w:eastAsia="Times New Roman" w:hAnsi="Arial" w:cs="Arial"/>
          <w:bCs/>
          <w:i/>
          <w:sz w:val="20"/>
          <w:szCs w:val="20"/>
        </w:rPr>
      </w:pPr>
      <w:r w:rsidRPr="00AD7B7F">
        <w:rPr>
          <w:rFonts w:ascii="Arial" w:eastAsia="Times New Roman" w:hAnsi="Arial" w:cs="Arial"/>
          <w:bCs/>
          <w:i/>
          <w:sz w:val="20"/>
          <w:szCs w:val="20"/>
        </w:rPr>
        <w:t>Affiliations……………………………………………………….………………</w:t>
      </w:r>
    </w:p>
    <w:p w14:paraId="5C9B9A0B" w14:textId="77777777" w:rsidR="00D851AD" w:rsidRPr="00AD7B7F" w:rsidRDefault="00D851AD" w:rsidP="00D851AD">
      <w:pPr>
        <w:spacing w:after="0" w:line="240" w:lineRule="auto"/>
        <w:jc w:val="right"/>
        <w:rPr>
          <w:rFonts w:ascii="Arial" w:eastAsia="Times New Roman" w:hAnsi="Arial" w:cs="Arial"/>
          <w:i/>
          <w:sz w:val="20"/>
          <w:szCs w:val="20"/>
        </w:rPr>
      </w:pPr>
    </w:p>
    <w:p w14:paraId="58718970" w14:textId="7F5B29DB" w:rsidR="00A324F0" w:rsidRPr="00AD7B7F" w:rsidRDefault="00A324F0" w:rsidP="00A324F0">
      <w:pPr>
        <w:spacing w:after="0" w:line="240" w:lineRule="auto"/>
        <w:jc w:val="right"/>
        <w:rPr>
          <w:rFonts w:ascii="Arial" w:eastAsia="Times New Roman" w:hAnsi="Arial" w:cs="Arial"/>
          <w:b/>
          <w:i/>
          <w:color w:val="FF0000"/>
          <w:sz w:val="20"/>
          <w:szCs w:val="20"/>
        </w:rPr>
      </w:pPr>
      <w:r w:rsidRPr="00AD7B7F">
        <w:rPr>
          <w:rFonts w:ascii="Arial" w:eastAsia="Times New Roman" w:hAnsi="Arial" w:cs="Arial"/>
          <w:b/>
          <w:i/>
          <w:sz w:val="20"/>
          <w:szCs w:val="20"/>
        </w:rPr>
        <w:t>Authors’ contributions</w:t>
      </w:r>
    </w:p>
    <w:p w14:paraId="16B27325" w14:textId="77777777" w:rsidR="00D851AD" w:rsidRPr="00AD7B7F" w:rsidRDefault="00D851AD" w:rsidP="00D851AD">
      <w:pPr>
        <w:spacing w:after="0" w:line="240" w:lineRule="auto"/>
        <w:jc w:val="right"/>
        <w:rPr>
          <w:rFonts w:ascii="Arial" w:eastAsia="Times New Roman" w:hAnsi="Arial" w:cs="Arial"/>
          <w:b/>
          <w:i/>
          <w:sz w:val="20"/>
          <w:szCs w:val="20"/>
        </w:rPr>
      </w:pPr>
    </w:p>
    <w:p w14:paraId="56F803AB" w14:textId="77777777" w:rsidR="00621C70" w:rsidRPr="00AD7B7F" w:rsidRDefault="00621C70" w:rsidP="00621C70">
      <w:pPr>
        <w:spacing w:after="0" w:line="240" w:lineRule="auto"/>
        <w:jc w:val="right"/>
        <w:rPr>
          <w:rFonts w:ascii="Arial" w:eastAsia="Times New Roman" w:hAnsi="Arial" w:cs="Arial"/>
          <w:i/>
          <w:sz w:val="20"/>
          <w:szCs w:val="20"/>
        </w:rPr>
      </w:pPr>
      <w:r w:rsidRPr="00AD7B7F">
        <w:rPr>
          <w:rFonts w:ascii="Arial" w:hAnsi="Arial" w:cs="Arial"/>
          <w:i/>
          <w:sz w:val="20"/>
        </w:rPr>
        <w:t>This work was carried out in collaboration among all authors. ‘Author A’ designed the study, performed the statistical analysis, wrote the protocol, and wrote the first draft of the manuscript. ‘Author B’ and ‘Author C’ managed the analyses of the study. ‘Author C’ managed the literature searches. All authors read and approved the final manuscript.</w:t>
      </w:r>
    </w:p>
    <w:p w14:paraId="03B19DED" w14:textId="77777777" w:rsidR="00D851AD" w:rsidRPr="00AD7B7F" w:rsidRDefault="00D851AD" w:rsidP="00D851AD">
      <w:pPr>
        <w:spacing w:after="0" w:line="240" w:lineRule="auto"/>
        <w:jc w:val="right"/>
        <w:rPr>
          <w:rFonts w:ascii="Arial" w:eastAsia="Times New Roman" w:hAnsi="Arial" w:cs="Arial"/>
          <w:i/>
          <w:sz w:val="20"/>
          <w:szCs w:val="20"/>
        </w:rPr>
      </w:pPr>
    </w:p>
    <w:p w14:paraId="500448AA" w14:textId="77777777" w:rsidR="00D851AD" w:rsidRPr="00AD7B7F" w:rsidRDefault="00D851AD" w:rsidP="00D851AD">
      <w:pPr>
        <w:spacing w:after="0" w:line="240" w:lineRule="auto"/>
        <w:jc w:val="right"/>
        <w:rPr>
          <w:rFonts w:ascii="Arial" w:eastAsia="Times New Roman" w:hAnsi="Arial" w:cs="Arial"/>
          <w:b/>
          <w:i/>
          <w:sz w:val="20"/>
          <w:szCs w:val="20"/>
        </w:rPr>
      </w:pPr>
      <w:r w:rsidRPr="00AD7B7F">
        <w:rPr>
          <w:rFonts w:ascii="Arial" w:eastAsia="Times New Roman" w:hAnsi="Arial" w:cs="Arial"/>
          <w:b/>
          <w:i/>
          <w:sz w:val="20"/>
          <w:szCs w:val="20"/>
        </w:rPr>
        <w:t>Article Information</w:t>
      </w:r>
    </w:p>
    <w:p w14:paraId="4F648B1B" w14:textId="77777777" w:rsidR="00D851AD" w:rsidRPr="00AD7B7F" w:rsidRDefault="00D851AD" w:rsidP="00D851AD">
      <w:pPr>
        <w:spacing w:after="0" w:line="240" w:lineRule="auto"/>
        <w:jc w:val="right"/>
        <w:rPr>
          <w:rFonts w:ascii="Arial" w:eastAsia="Times New Roman" w:hAnsi="Arial" w:cs="Arial"/>
          <w:b/>
          <w:sz w:val="16"/>
          <w:szCs w:val="20"/>
        </w:rPr>
      </w:pPr>
    </w:p>
    <w:p w14:paraId="6DA1DEE2" w14:textId="4889FDAE" w:rsidR="00964255" w:rsidRPr="00AD7B7F" w:rsidRDefault="00964255" w:rsidP="00D851AD">
      <w:pPr>
        <w:spacing w:after="0" w:line="240" w:lineRule="auto"/>
        <w:jc w:val="right"/>
        <w:rPr>
          <w:rFonts w:ascii="Arial" w:eastAsia="Times New Roman" w:hAnsi="Arial" w:cs="Arial"/>
          <w:b/>
          <w:sz w:val="16"/>
          <w:szCs w:val="20"/>
        </w:rPr>
      </w:pPr>
      <w:r w:rsidRPr="00AD7B7F">
        <w:rPr>
          <w:rFonts w:ascii="Arial" w:eastAsia="Times New Roman" w:hAnsi="Arial" w:cs="Arial"/>
          <w:sz w:val="16"/>
          <w:szCs w:val="16"/>
        </w:rPr>
        <w:t>DOI: 10.9734/AJCR/202</w:t>
      </w:r>
      <w:r w:rsidR="004259EF" w:rsidRPr="00AD7B7F">
        <w:rPr>
          <w:rFonts w:ascii="Arial" w:eastAsia="Times New Roman" w:hAnsi="Arial" w:cs="Arial"/>
          <w:sz w:val="16"/>
          <w:szCs w:val="16"/>
        </w:rPr>
        <w:t>5</w:t>
      </w:r>
      <w:r w:rsidRPr="00AD7B7F">
        <w:rPr>
          <w:rFonts w:ascii="Arial" w:eastAsia="Times New Roman" w:hAnsi="Arial" w:cs="Arial"/>
          <w:sz w:val="16"/>
          <w:szCs w:val="16"/>
        </w:rPr>
        <w:t>/XXXXX</w:t>
      </w:r>
    </w:p>
    <w:p w14:paraId="22170F4D" w14:textId="77777777" w:rsidR="00964255" w:rsidRPr="00AD7B7F" w:rsidRDefault="00964255" w:rsidP="00D851AD">
      <w:pPr>
        <w:spacing w:after="0" w:line="240" w:lineRule="auto"/>
        <w:jc w:val="right"/>
        <w:rPr>
          <w:rFonts w:ascii="Arial" w:eastAsia="Times New Roman" w:hAnsi="Arial" w:cs="Arial"/>
          <w:b/>
          <w:sz w:val="16"/>
          <w:szCs w:val="20"/>
        </w:rPr>
      </w:pPr>
    </w:p>
    <w:p w14:paraId="5F39737B" w14:textId="77777777" w:rsidR="00F17488" w:rsidRPr="00AD7B7F" w:rsidRDefault="00F17488" w:rsidP="00F17488">
      <w:pPr>
        <w:spacing w:after="0" w:line="240" w:lineRule="auto"/>
        <w:jc w:val="right"/>
        <w:rPr>
          <w:rFonts w:ascii="Arial" w:eastAsia="Times New Roman" w:hAnsi="Arial" w:cs="Arial"/>
          <w:b/>
          <w:sz w:val="16"/>
          <w:szCs w:val="16"/>
        </w:rPr>
      </w:pPr>
      <w:r w:rsidRPr="00AD7B7F">
        <w:rPr>
          <w:rFonts w:ascii="Arial" w:eastAsia="Times New Roman" w:hAnsi="Arial" w:cs="Arial"/>
          <w:b/>
          <w:sz w:val="16"/>
          <w:szCs w:val="16"/>
        </w:rPr>
        <w:t>Open Peer Review History:</w:t>
      </w:r>
    </w:p>
    <w:p w14:paraId="3A102C5F" w14:textId="77777777" w:rsidR="00F17488" w:rsidRPr="00AD7B7F" w:rsidRDefault="00F17488" w:rsidP="00F17488">
      <w:pPr>
        <w:spacing w:after="0" w:line="240" w:lineRule="auto"/>
        <w:jc w:val="right"/>
        <w:rPr>
          <w:rFonts w:ascii="Arial" w:eastAsia="Times New Roman" w:hAnsi="Arial" w:cs="Arial"/>
          <w:sz w:val="16"/>
          <w:szCs w:val="16"/>
        </w:rPr>
      </w:pPr>
      <w:r w:rsidRPr="00AD7B7F">
        <w:rPr>
          <w:rFonts w:ascii="Arial" w:eastAsia="Times New Roman" w:hAnsi="Arial" w:cs="Arial"/>
          <w:sz w:val="16"/>
          <w:szCs w:val="16"/>
        </w:rPr>
        <w:t xml:space="preserve">This journal follows the Advanced Open Peer Review policy. Identity of the Reviewers, Editor(s) and additional Reviewers,  peer review comments, different versions of the manuscript, comments of the editors, </w:t>
      </w:r>
      <w:proofErr w:type="spellStart"/>
      <w:r w:rsidRPr="00AD7B7F">
        <w:rPr>
          <w:rFonts w:ascii="Arial" w:eastAsia="Times New Roman" w:hAnsi="Arial" w:cs="Arial"/>
          <w:sz w:val="16"/>
          <w:szCs w:val="16"/>
        </w:rPr>
        <w:t>etc</w:t>
      </w:r>
      <w:proofErr w:type="spellEnd"/>
      <w:r w:rsidRPr="00AD7B7F">
        <w:rPr>
          <w:rFonts w:ascii="Arial" w:eastAsia="Times New Roman" w:hAnsi="Arial" w:cs="Arial"/>
          <w:sz w:val="16"/>
          <w:szCs w:val="16"/>
        </w:rPr>
        <w:t xml:space="preserve"> are available here:</w:t>
      </w:r>
    </w:p>
    <w:p w14:paraId="19830790" w14:textId="77777777" w:rsidR="00BD060A" w:rsidRPr="00AD7B7F" w:rsidRDefault="00BD060A" w:rsidP="002D6E70">
      <w:pPr>
        <w:keepNext/>
        <w:spacing w:after="0" w:line="240" w:lineRule="auto"/>
        <w:contextualSpacing/>
        <w:jc w:val="right"/>
        <w:rPr>
          <w:rFonts w:ascii="Arial" w:eastAsia="Times New Roman" w:hAnsi="Arial" w:cs="Arial"/>
          <w:sz w:val="16"/>
          <w:szCs w:val="20"/>
        </w:rPr>
      </w:pPr>
    </w:p>
    <w:p w14:paraId="52C5EAFD" w14:textId="77777777" w:rsidR="00154C07" w:rsidRPr="00AD7B7F" w:rsidRDefault="00154C07" w:rsidP="002D6E70">
      <w:pPr>
        <w:keepNext/>
        <w:spacing w:after="0" w:line="240" w:lineRule="auto"/>
        <w:contextualSpacing/>
        <w:jc w:val="right"/>
        <w:rPr>
          <w:rFonts w:ascii="Arial" w:eastAsia="Times New Roman" w:hAnsi="Arial" w:cs="Arial"/>
          <w:i/>
          <w:sz w:val="20"/>
          <w:szCs w:val="20"/>
        </w:rPr>
      </w:pPr>
    </w:p>
    <w:p w14:paraId="3953CA29" w14:textId="77777777" w:rsidR="00BD060A" w:rsidRPr="00AD7B7F" w:rsidRDefault="00BD060A" w:rsidP="00BD060A">
      <w:pPr>
        <w:spacing w:after="0" w:line="240" w:lineRule="auto"/>
        <w:contextualSpacing/>
        <w:jc w:val="right"/>
        <w:rPr>
          <w:rFonts w:ascii="Arial" w:eastAsia="Times New Roman" w:hAnsi="Arial" w:cs="Arial"/>
          <w:bCs/>
          <w:iCs/>
          <w:sz w:val="20"/>
          <w:szCs w:val="20"/>
        </w:rPr>
      </w:pPr>
    </w:p>
    <w:p w14:paraId="5E7F5B0A" w14:textId="77777777" w:rsidR="00BD060A" w:rsidRPr="00AD7B7F" w:rsidRDefault="00BD060A" w:rsidP="00BD060A">
      <w:pPr>
        <w:autoSpaceDE w:val="0"/>
        <w:autoSpaceDN w:val="0"/>
        <w:adjustRightInd w:val="0"/>
        <w:spacing w:after="0" w:line="240" w:lineRule="auto"/>
        <w:contextualSpacing/>
        <w:jc w:val="right"/>
        <w:rPr>
          <w:rFonts w:ascii="Arial" w:eastAsia="Times New Roman" w:hAnsi="Arial" w:cs="Arial"/>
          <w:b/>
          <w:i/>
          <w:sz w:val="20"/>
          <w:szCs w:val="16"/>
        </w:rPr>
      </w:pPr>
      <w:r w:rsidRPr="00AD7B7F">
        <w:rPr>
          <w:rFonts w:ascii="Arial" w:eastAsia="Times New Roman" w:hAnsi="Arial" w:cs="Arial"/>
          <w:b/>
          <w:i/>
          <w:sz w:val="20"/>
          <w:szCs w:val="16"/>
        </w:rPr>
        <w:t>Received</w:t>
      </w:r>
      <w:r w:rsidR="00477428" w:rsidRPr="00AD7B7F">
        <w:rPr>
          <w:rFonts w:ascii="Arial" w:eastAsia="Times New Roman" w:hAnsi="Arial" w:cs="Arial"/>
          <w:b/>
          <w:i/>
          <w:sz w:val="20"/>
          <w:szCs w:val="16"/>
        </w:rPr>
        <w:t>:</w:t>
      </w:r>
      <w:r w:rsidRPr="00AD7B7F">
        <w:rPr>
          <w:rFonts w:ascii="Arial" w:eastAsia="Times New Roman" w:hAnsi="Arial" w:cs="Arial"/>
          <w:b/>
          <w:i/>
          <w:sz w:val="20"/>
          <w:szCs w:val="16"/>
        </w:rPr>
        <w:t xml:space="preserve"> </w:t>
      </w:r>
      <w:r w:rsidR="00477428" w:rsidRPr="00AD7B7F">
        <w:rPr>
          <w:rFonts w:ascii="Arial" w:eastAsia="Times New Roman" w:hAnsi="Arial" w:cs="Arial"/>
          <w:b/>
          <w:i/>
          <w:sz w:val="20"/>
          <w:szCs w:val="16"/>
        </w:rPr>
        <w:t>DD/MM/20YY</w:t>
      </w:r>
    </w:p>
    <w:p w14:paraId="56D467CC" w14:textId="77777777" w:rsidR="00BD060A" w:rsidRPr="00AD7B7F" w:rsidRDefault="00000000" w:rsidP="00BD060A">
      <w:pPr>
        <w:autoSpaceDE w:val="0"/>
        <w:autoSpaceDN w:val="0"/>
        <w:adjustRightInd w:val="0"/>
        <w:spacing w:after="0" w:line="240" w:lineRule="auto"/>
        <w:contextualSpacing/>
        <w:jc w:val="right"/>
        <w:rPr>
          <w:rFonts w:ascii="Arial" w:eastAsia="Times New Roman" w:hAnsi="Arial" w:cs="Arial"/>
          <w:b/>
          <w:i/>
          <w:sz w:val="20"/>
          <w:szCs w:val="16"/>
        </w:rPr>
      </w:pPr>
      <w:r>
        <w:rPr>
          <w:rFonts w:ascii="Arial" w:eastAsia="Times New Roman" w:hAnsi="Arial" w:cs="Arial"/>
          <w:b/>
          <w:i/>
          <w:noProof/>
          <w:sz w:val="20"/>
          <w:szCs w:val="20"/>
        </w:rPr>
        <w:pict w14:anchorId="7B8E57E0">
          <v:rect id="_x0000_s2077" style="position:absolute;left:0;text-align:left;margin-left:.75pt;margin-top:3.35pt;width:80.45pt;height:18.65pt;z-index:251666432">
            <v:textbox style="mso-next-textbox:#_x0000_s2077" inset=",2.16pt,,2.16pt">
              <w:txbxContent>
                <w:p w14:paraId="67CF9619" w14:textId="7491A772" w:rsidR="00682F1A" w:rsidRPr="00081439" w:rsidRDefault="00EC269E" w:rsidP="00682F1A">
                  <w:pPr>
                    <w:jc w:val="center"/>
                    <w:rPr>
                      <w:rFonts w:ascii="Arial" w:hAnsi="Arial" w:cs="Arial"/>
                      <w:b/>
                      <w:i/>
                      <w:sz w:val="20"/>
                    </w:rPr>
                  </w:pPr>
                  <w:r w:rsidRPr="00EC269E">
                    <w:rPr>
                      <w:rFonts w:ascii="Arial" w:hAnsi="Arial" w:cs="Arial"/>
                      <w:b/>
                      <w:i/>
                      <w:sz w:val="20"/>
                    </w:rPr>
                    <w:t>Case Report</w:t>
                  </w:r>
                </w:p>
              </w:txbxContent>
            </v:textbox>
          </v:rect>
        </w:pict>
      </w:r>
      <w:r w:rsidR="00BD060A" w:rsidRPr="00AD7B7F">
        <w:rPr>
          <w:rFonts w:ascii="Arial" w:eastAsia="Times New Roman" w:hAnsi="Arial" w:cs="Arial"/>
          <w:b/>
          <w:i/>
          <w:sz w:val="20"/>
          <w:szCs w:val="16"/>
        </w:rPr>
        <w:t>Accepted</w:t>
      </w:r>
      <w:r w:rsidR="00477428" w:rsidRPr="00AD7B7F">
        <w:rPr>
          <w:rFonts w:ascii="Arial" w:eastAsia="Times New Roman" w:hAnsi="Arial" w:cs="Arial"/>
          <w:b/>
          <w:i/>
          <w:sz w:val="20"/>
          <w:szCs w:val="16"/>
        </w:rPr>
        <w:t>:</w:t>
      </w:r>
      <w:r w:rsidR="00BD060A" w:rsidRPr="00AD7B7F">
        <w:rPr>
          <w:rFonts w:ascii="Arial" w:eastAsia="Times New Roman" w:hAnsi="Arial" w:cs="Arial"/>
          <w:b/>
          <w:i/>
          <w:sz w:val="20"/>
          <w:szCs w:val="16"/>
        </w:rPr>
        <w:t xml:space="preserve"> </w:t>
      </w:r>
      <w:r w:rsidR="00477428" w:rsidRPr="00AD7B7F">
        <w:rPr>
          <w:rFonts w:ascii="Arial" w:eastAsia="Times New Roman" w:hAnsi="Arial" w:cs="Arial"/>
          <w:b/>
          <w:i/>
          <w:sz w:val="20"/>
          <w:szCs w:val="16"/>
        </w:rPr>
        <w:t>DD/MM/20YY</w:t>
      </w:r>
    </w:p>
    <w:p w14:paraId="2D9EDCCB" w14:textId="77777777" w:rsidR="00BD060A" w:rsidRPr="00AD7B7F" w:rsidRDefault="00BD060A" w:rsidP="00BD060A">
      <w:pPr>
        <w:autoSpaceDE w:val="0"/>
        <w:autoSpaceDN w:val="0"/>
        <w:adjustRightInd w:val="0"/>
        <w:spacing w:after="0" w:line="240" w:lineRule="auto"/>
        <w:contextualSpacing/>
        <w:jc w:val="right"/>
        <w:rPr>
          <w:rFonts w:ascii="Arial" w:eastAsia="Times New Roman" w:hAnsi="Arial" w:cs="Arial"/>
          <w:sz w:val="20"/>
          <w:szCs w:val="20"/>
        </w:rPr>
      </w:pPr>
      <w:r w:rsidRPr="00AD7B7F">
        <w:rPr>
          <w:rFonts w:ascii="Arial" w:eastAsia="Times New Roman" w:hAnsi="Arial" w:cs="Arial"/>
          <w:b/>
          <w:i/>
          <w:sz w:val="20"/>
          <w:szCs w:val="16"/>
        </w:rPr>
        <w:t>Published</w:t>
      </w:r>
      <w:r w:rsidR="00477428" w:rsidRPr="00AD7B7F">
        <w:rPr>
          <w:rFonts w:ascii="Arial" w:eastAsia="Times New Roman" w:hAnsi="Arial" w:cs="Arial"/>
          <w:b/>
          <w:i/>
          <w:sz w:val="20"/>
          <w:szCs w:val="16"/>
        </w:rPr>
        <w:t>:</w:t>
      </w:r>
      <w:r w:rsidRPr="00AD7B7F">
        <w:rPr>
          <w:rFonts w:ascii="Arial" w:eastAsia="Times New Roman" w:hAnsi="Arial" w:cs="Arial"/>
          <w:b/>
          <w:i/>
          <w:sz w:val="20"/>
          <w:szCs w:val="16"/>
        </w:rPr>
        <w:t xml:space="preserve"> </w:t>
      </w:r>
      <w:r w:rsidR="00477428" w:rsidRPr="00AD7B7F">
        <w:rPr>
          <w:rFonts w:ascii="Arial" w:eastAsia="Times New Roman" w:hAnsi="Arial" w:cs="Arial"/>
          <w:b/>
          <w:i/>
          <w:sz w:val="20"/>
          <w:szCs w:val="16"/>
        </w:rPr>
        <w:t>DD/MM/20YY</w:t>
      </w:r>
    </w:p>
    <w:p w14:paraId="42892FDD" w14:textId="77777777" w:rsidR="00BD060A" w:rsidRPr="00AD7B7F" w:rsidRDefault="00000000" w:rsidP="00BD060A">
      <w:pPr>
        <w:keepNext/>
        <w:spacing w:after="0" w:line="240" w:lineRule="auto"/>
        <w:contextualSpacing/>
        <w:rPr>
          <w:rFonts w:ascii="Arial" w:eastAsia="Times New Roman" w:hAnsi="Arial" w:cs="Arial"/>
          <w:b/>
          <w:caps/>
          <w:sz w:val="24"/>
          <w:szCs w:val="20"/>
        </w:rPr>
      </w:pPr>
      <w:r>
        <w:rPr>
          <w:rFonts w:ascii="Arial" w:eastAsia="Times New Roman" w:hAnsi="Arial" w:cs="Arial"/>
          <w:b/>
          <w:caps/>
          <w:sz w:val="24"/>
          <w:szCs w:val="20"/>
        </w:rPr>
      </w:r>
      <w:r>
        <w:rPr>
          <w:rFonts w:ascii="Arial" w:eastAsia="Times New Roman" w:hAnsi="Arial" w:cs="Arial"/>
          <w:b/>
          <w:caps/>
          <w:sz w:val="24"/>
          <w:szCs w:val="20"/>
        </w:rPr>
        <w:pict w14:anchorId="683A685F">
          <v:shapetype id="_x0000_t32" coordsize="21600,21600" o:spt="32" o:oned="t" path="m,l21600,21600e" filled="f">
            <v:path arrowok="t" fillok="f" o:connecttype="none"/>
            <o:lock v:ext="edit" shapetype="t"/>
          </v:shapetype>
          <v:shape id="_x0000_s2078"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23FDFC24" w14:textId="77777777" w:rsidR="00BD060A" w:rsidRPr="00AD7B7F" w:rsidRDefault="00BD060A" w:rsidP="00BD060A">
      <w:pPr>
        <w:keepNext/>
        <w:tabs>
          <w:tab w:val="left" w:pos="3870"/>
        </w:tabs>
        <w:spacing w:after="0" w:line="240" w:lineRule="auto"/>
        <w:contextualSpacing/>
        <w:rPr>
          <w:rFonts w:ascii="Arial" w:eastAsia="Times New Roman" w:hAnsi="Arial" w:cs="Arial"/>
          <w:b/>
          <w:caps/>
          <w:sz w:val="20"/>
          <w:szCs w:val="20"/>
        </w:rPr>
      </w:pPr>
    </w:p>
    <w:p w14:paraId="61BEB629" w14:textId="77777777" w:rsidR="00BD060A" w:rsidRPr="00AD7B7F" w:rsidRDefault="00BD060A" w:rsidP="00EC269E">
      <w:pPr>
        <w:pStyle w:val="Heading2"/>
        <w:rPr>
          <w:rFonts w:eastAsia="Times New Roman" w:cs="Arial"/>
          <w:sz w:val="20"/>
          <w:szCs w:val="20"/>
        </w:rPr>
      </w:pPr>
      <w:r w:rsidRPr="00AD7B7F">
        <w:rPr>
          <w:rFonts w:eastAsia="Times New Roman" w:cs="Arial"/>
          <w:sz w:val="20"/>
          <w:szCs w:val="20"/>
        </w:rPr>
        <w:t>ABSTRACT</w:t>
      </w:r>
    </w:p>
    <w:p w14:paraId="6C5F2EDD" w14:textId="77777777" w:rsidR="00BD060A" w:rsidRPr="00AD7B7F" w:rsidRDefault="00BD060A" w:rsidP="00EC269E">
      <w:pPr>
        <w:keepNext/>
        <w:spacing w:after="0" w:line="240" w:lineRule="auto"/>
        <w:jc w:val="both"/>
        <w:rPr>
          <w:rFonts w:ascii="Arial" w:eastAsia="Times New Roman" w:hAnsi="Arial" w:cs="Arial"/>
          <w:b/>
          <w:caps/>
          <w:sz w:val="20"/>
          <w:szCs w:val="20"/>
        </w:rPr>
      </w:pPr>
    </w:p>
    <w:tbl>
      <w:tblPr>
        <w:tblStyle w:val="TableGrid"/>
        <w:tblW w:w="4900" w:type="pct"/>
        <w:jc w:val="center"/>
        <w:tblLayout w:type="fixed"/>
        <w:tblLook w:val="04A0" w:firstRow="1" w:lastRow="0" w:firstColumn="1" w:lastColumn="0" w:noHBand="0" w:noVBand="1"/>
      </w:tblPr>
      <w:tblGrid>
        <w:gridCol w:w="9060"/>
      </w:tblGrid>
      <w:tr w:rsidR="00BD060A" w:rsidRPr="00AD7B7F" w14:paraId="10402BBF" w14:textId="77777777" w:rsidTr="009423FD">
        <w:trPr>
          <w:trHeight w:val="20"/>
          <w:jc w:val="center"/>
        </w:trPr>
        <w:tc>
          <w:tcPr>
            <w:tcW w:w="9040" w:type="dxa"/>
          </w:tcPr>
          <w:p w14:paraId="5595A0C8" w14:textId="77777777" w:rsidR="00EC269E" w:rsidRPr="00AD7B7F" w:rsidRDefault="00EC269E" w:rsidP="009423FD">
            <w:pPr>
              <w:jc w:val="both"/>
              <w:rPr>
                <w:rFonts w:ascii="Arial" w:eastAsia="Calibri" w:hAnsi="Arial" w:cs="Arial"/>
                <w:bCs/>
                <w:sz w:val="20"/>
                <w:szCs w:val="20"/>
              </w:rPr>
            </w:pPr>
            <w:r w:rsidRPr="00EC269E">
              <w:rPr>
                <w:rFonts w:ascii="Arial" w:eastAsia="Calibri" w:hAnsi="Arial" w:cs="Arial"/>
                <w:b/>
                <w:sz w:val="20"/>
                <w:szCs w:val="20"/>
              </w:rPr>
              <w:t>Background</w:t>
            </w:r>
            <w:r w:rsidRPr="00EC269E">
              <w:rPr>
                <w:rFonts w:ascii="Arial" w:eastAsia="Calibri" w:hAnsi="Arial" w:cs="Arial"/>
                <w:bCs/>
                <w:sz w:val="20"/>
                <w:szCs w:val="20"/>
              </w:rPr>
              <w:t xml:space="preserve">: Coronary artery ectasia (CAE) is a rare dilation of the coronary arteries, with an incidence of 0.3%–5%. It is most often caused by atherosclerosis and may present with complications such as thrombotic occlusion and acute coronary syndromes (ACS). </w:t>
            </w:r>
            <w:r w:rsidRPr="00EC269E">
              <w:rPr>
                <w:rFonts w:ascii="Arial" w:eastAsia="Calibri" w:hAnsi="Arial" w:cs="Arial"/>
                <w:b/>
                <w:sz w:val="20"/>
                <w:szCs w:val="20"/>
              </w:rPr>
              <w:t>Case Summary</w:t>
            </w:r>
            <w:r w:rsidRPr="00EC269E">
              <w:rPr>
                <w:rFonts w:ascii="Arial" w:eastAsia="Calibri" w:hAnsi="Arial" w:cs="Arial"/>
                <w:bCs/>
                <w:sz w:val="20"/>
                <w:szCs w:val="20"/>
              </w:rPr>
              <w:t xml:space="preserve">: We report the case of a 51-year-old male smoker presenting with ST-segment elevation myocardial infarction (STEMI) due to thrombosis in an </w:t>
            </w:r>
            <w:proofErr w:type="spellStart"/>
            <w:r w:rsidRPr="00EC269E">
              <w:rPr>
                <w:rFonts w:ascii="Arial" w:eastAsia="Calibri" w:hAnsi="Arial" w:cs="Arial"/>
                <w:bCs/>
                <w:sz w:val="20"/>
                <w:szCs w:val="20"/>
              </w:rPr>
              <w:t>ectatic</w:t>
            </w:r>
            <w:proofErr w:type="spellEnd"/>
            <w:r w:rsidRPr="00EC269E">
              <w:rPr>
                <w:rFonts w:ascii="Arial" w:eastAsia="Calibri" w:hAnsi="Arial" w:cs="Arial"/>
                <w:bCs/>
                <w:sz w:val="20"/>
                <w:szCs w:val="20"/>
              </w:rPr>
              <w:t xml:space="preserve"> circumflex artery. Coronary angiography revealed type III CAE with diffuse ectasia and complete thrombotic occlusion of the circumflex artery. The patient was successfully managed with dual antiplatelet therapy, glycoprotein IIb/IIIa inhibitors, beta-blockers, ACE inhibitors, and high-intensity statins. He recovered without complications. </w:t>
            </w:r>
          </w:p>
          <w:p w14:paraId="2D46CD56" w14:textId="5E88E2E7" w:rsidR="003F47A0" w:rsidRPr="00AD7B7F" w:rsidRDefault="00EC269E" w:rsidP="009423FD">
            <w:pPr>
              <w:jc w:val="both"/>
              <w:rPr>
                <w:rFonts w:ascii="Arial" w:eastAsia="Calibri" w:hAnsi="Arial" w:cs="Arial"/>
                <w:bCs/>
                <w:sz w:val="20"/>
                <w:szCs w:val="20"/>
              </w:rPr>
            </w:pPr>
            <w:r w:rsidRPr="00EC269E">
              <w:rPr>
                <w:rFonts w:ascii="Arial" w:eastAsia="Calibri" w:hAnsi="Arial" w:cs="Arial"/>
                <w:b/>
                <w:sz w:val="20"/>
                <w:szCs w:val="20"/>
              </w:rPr>
              <w:t>Conclusion</w:t>
            </w:r>
            <w:r w:rsidRPr="00EC269E">
              <w:rPr>
                <w:rFonts w:ascii="Arial" w:eastAsia="Calibri" w:hAnsi="Arial" w:cs="Arial"/>
                <w:bCs/>
                <w:sz w:val="20"/>
                <w:szCs w:val="20"/>
              </w:rPr>
              <w:t>: CAE complicates coronary flow dynamics, increasing the risk of thrombotic occlusion. Management strategies include antiplatelets, anticoagulants, and risk factor modification. This case emphasizes the importance of coronary angiography in CAE diagnosis and highlights pharmacological strategies tailored to this condition.</w:t>
            </w:r>
          </w:p>
        </w:tc>
      </w:tr>
    </w:tbl>
    <w:p w14:paraId="50E26F73" w14:textId="04B4544F" w:rsidR="00BD060A" w:rsidRPr="00AD7B7F" w:rsidRDefault="00BD060A" w:rsidP="009423FD">
      <w:pPr>
        <w:spacing w:after="0" w:line="240" w:lineRule="auto"/>
        <w:ind w:left="990" w:hanging="990"/>
        <w:jc w:val="both"/>
        <w:rPr>
          <w:rFonts w:ascii="Arial" w:eastAsia="Times New Roman" w:hAnsi="Arial" w:cs="Arial"/>
          <w:bCs/>
          <w:i/>
          <w:iCs/>
          <w:sz w:val="20"/>
          <w:szCs w:val="20"/>
        </w:rPr>
      </w:pPr>
      <w:r w:rsidRPr="00AD7B7F">
        <w:rPr>
          <w:rFonts w:ascii="Arial" w:eastAsia="Times New Roman" w:hAnsi="Arial" w:cs="Arial"/>
          <w:i/>
          <w:sz w:val="20"/>
          <w:szCs w:val="20"/>
        </w:rPr>
        <w:lastRenderedPageBreak/>
        <w:t xml:space="preserve">Keywords: </w:t>
      </w:r>
      <w:r w:rsidR="00EC269E" w:rsidRPr="00AD7B7F">
        <w:rPr>
          <w:rFonts w:ascii="Arial" w:eastAsia="Times New Roman" w:hAnsi="Arial" w:cs="Arial"/>
          <w:bCs/>
          <w:i/>
          <w:iCs/>
          <w:sz w:val="20"/>
          <w:szCs w:val="20"/>
        </w:rPr>
        <w:t xml:space="preserve">Coronary </w:t>
      </w:r>
      <w:r w:rsidR="009423FD" w:rsidRPr="00AD7B7F">
        <w:rPr>
          <w:rFonts w:ascii="Arial" w:eastAsia="Times New Roman" w:hAnsi="Arial" w:cs="Arial"/>
          <w:bCs/>
          <w:i/>
          <w:iCs/>
          <w:sz w:val="20"/>
          <w:szCs w:val="20"/>
        </w:rPr>
        <w:t xml:space="preserve">artery ectasia </w:t>
      </w:r>
      <w:r w:rsidR="00EC269E" w:rsidRPr="00AD7B7F">
        <w:rPr>
          <w:rFonts w:ascii="Arial" w:eastAsia="Times New Roman" w:hAnsi="Arial" w:cs="Arial"/>
          <w:bCs/>
          <w:i/>
          <w:iCs/>
          <w:sz w:val="20"/>
          <w:szCs w:val="20"/>
        </w:rPr>
        <w:t>ST-</w:t>
      </w:r>
      <w:r w:rsidR="009423FD" w:rsidRPr="00AD7B7F">
        <w:rPr>
          <w:rFonts w:ascii="Arial" w:eastAsia="Times New Roman" w:hAnsi="Arial" w:cs="Arial"/>
          <w:bCs/>
          <w:i/>
          <w:iCs/>
          <w:sz w:val="20"/>
          <w:szCs w:val="20"/>
        </w:rPr>
        <w:t xml:space="preserve">elevation; </w:t>
      </w:r>
      <w:r w:rsidR="00EC269E" w:rsidRPr="00AD7B7F">
        <w:rPr>
          <w:rFonts w:ascii="Arial" w:eastAsia="Times New Roman" w:hAnsi="Arial" w:cs="Arial"/>
          <w:bCs/>
          <w:i/>
          <w:iCs/>
          <w:sz w:val="20"/>
          <w:szCs w:val="20"/>
        </w:rPr>
        <w:t>Myocardial Infarction (STEMI) Thrombosis</w:t>
      </w:r>
      <w:r w:rsidR="009423FD" w:rsidRPr="00AD7B7F">
        <w:rPr>
          <w:rFonts w:ascii="Arial" w:eastAsia="Times New Roman" w:hAnsi="Arial" w:cs="Arial"/>
          <w:bCs/>
          <w:i/>
          <w:iCs/>
          <w:sz w:val="20"/>
          <w:szCs w:val="20"/>
        </w:rPr>
        <w:t>;</w:t>
      </w:r>
      <w:r w:rsidR="00EC269E" w:rsidRPr="00AD7B7F">
        <w:rPr>
          <w:rFonts w:ascii="Arial" w:eastAsia="Times New Roman" w:hAnsi="Arial" w:cs="Arial"/>
          <w:bCs/>
          <w:i/>
          <w:iCs/>
          <w:sz w:val="20"/>
          <w:szCs w:val="20"/>
        </w:rPr>
        <w:t xml:space="preserve"> </w:t>
      </w:r>
      <w:r w:rsidR="009423FD" w:rsidRPr="00AD7B7F">
        <w:rPr>
          <w:rFonts w:ascii="Arial" w:eastAsia="Times New Roman" w:hAnsi="Arial" w:cs="Arial"/>
          <w:bCs/>
          <w:i/>
          <w:iCs/>
          <w:sz w:val="20"/>
          <w:szCs w:val="20"/>
        </w:rPr>
        <w:t>dual antiplatelet therapy, coronary angiography.</w:t>
      </w:r>
    </w:p>
    <w:p w14:paraId="34F60550" w14:textId="77777777" w:rsidR="00EC269E" w:rsidRPr="00AD7B7F" w:rsidRDefault="00EC269E" w:rsidP="00EC269E">
      <w:pPr>
        <w:spacing w:after="0" w:line="240" w:lineRule="auto"/>
        <w:ind w:hanging="1080"/>
        <w:jc w:val="both"/>
        <w:rPr>
          <w:rFonts w:ascii="Arial" w:eastAsia="Times New Roman" w:hAnsi="Arial" w:cs="Arial"/>
          <w:bCs/>
          <w:i/>
          <w:iCs/>
          <w:sz w:val="20"/>
          <w:szCs w:val="20"/>
        </w:rPr>
      </w:pPr>
    </w:p>
    <w:p w14:paraId="4CABBD2E" w14:textId="77777777" w:rsidR="009423FD" w:rsidRPr="00AD7B7F" w:rsidRDefault="009423FD" w:rsidP="00EC269E">
      <w:pPr>
        <w:pStyle w:val="Heading2"/>
        <w:rPr>
          <w:rFonts w:eastAsia="Calibri"/>
        </w:rPr>
        <w:sectPr w:rsidR="009423FD" w:rsidRPr="00AD7B7F" w:rsidSect="00F442FC">
          <w:headerReference w:type="even" r:id="rId9"/>
          <w:headerReference w:type="default" r:id="rId10"/>
          <w:footerReference w:type="default" r:id="rId11"/>
          <w:headerReference w:type="first" r:id="rId12"/>
          <w:footerReference w:type="first" r:id="rId13"/>
          <w:pgSz w:w="11909" w:h="16834" w:code="9"/>
          <w:pgMar w:top="1440" w:right="1440" w:bottom="1440" w:left="1440" w:header="720" w:footer="864" w:gutter="0"/>
          <w:pgNumType w:start="1"/>
          <w:cols w:space="720"/>
          <w:titlePg/>
          <w:docGrid w:linePitch="360"/>
        </w:sectPr>
      </w:pPr>
    </w:p>
    <w:p w14:paraId="1FE9E616" w14:textId="66ED5749" w:rsidR="00EC269E" w:rsidRPr="00AD7B7F" w:rsidRDefault="00EC269E" w:rsidP="00EC269E">
      <w:pPr>
        <w:pStyle w:val="Heading2"/>
        <w:rPr>
          <w:rFonts w:eastAsia="Calibri"/>
        </w:rPr>
      </w:pPr>
      <w:r w:rsidRPr="00AD7B7F">
        <w:rPr>
          <w:rFonts w:eastAsia="Calibri"/>
        </w:rPr>
        <w:t>1. INTRODUCTION</w:t>
      </w:r>
    </w:p>
    <w:p w14:paraId="6EC1617F" w14:textId="77777777" w:rsidR="00EC269E" w:rsidRPr="00EC269E" w:rsidRDefault="00EC269E" w:rsidP="00EC269E">
      <w:pPr>
        <w:spacing w:after="0" w:line="240" w:lineRule="auto"/>
        <w:jc w:val="both"/>
        <w:rPr>
          <w:rFonts w:ascii="Arial" w:eastAsia="Calibri" w:hAnsi="Arial" w:cs="Arial"/>
          <w:b/>
          <w:bCs/>
          <w:sz w:val="20"/>
          <w:szCs w:val="20"/>
        </w:rPr>
      </w:pPr>
    </w:p>
    <w:p w14:paraId="6B2C9C4E" w14:textId="2BE96E04" w:rsidR="00EC269E" w:rsidRPr="00AD7B7F" w:rsidRDefault="00EC269E" w:rsidP="00EC269E">
      <w:pPr>
        <w:spacing w:after="0" w:line="240" w:lineRule="auto"/>
        <w:jc w:val="both"/>
        <w:rPr>
          <w:rFonts w:ascii="Arial" w:eastAsia="Calibri" w:hAnsi="Arial" w:cs="Arial"/>
          <w:bCs/>
          <w:sz w:val="20"/>
          <w:szCs w:val="20"/>
        </w:rPr>
      </w:pPr>
      <w:r w:rsidRPr="00EC269E">
        <w:rPr>
          <w:rFonts w:ascii="Arial" w:eastAsia="Calibri" w:hAnsi="Arial" w:cs="Arial"/>
          <w:bCs/>
          <w:sz w:val="20"/>
          <w:szCs w:val="20"/>
        </w:rPr>
        <w:t xml:space="preserve">Coronary artery ectasia (CAE) is an uncommon anomaly, representing approximately 0.3%–5% of coronary angiograms </w:t>
      </w:r>
      <w:r w:rsidRPr="00AD7B7F">
        <w:rPr>
          <w:rFonts w:ascii="Arial" w:eastAsia="Calibri" w:hAnsi="Arial" w:cs="Arial"/>
          <w:bCs/>
          <w:sz w:val="20"/>
          <w:szCs w:val="20"/>
        </w:rPr>
        <w:t>(Antoniadis et al., 2008, Markis et al., 1976)</w:t>
      </w:r>
      <w:r w:rsidRPr="00EC269E">
        <w:rPr>
          <w:rFonts w:ascii="Arial" w:eastAsia="Calibri" w:hAnsi="Arial" w:cs="Arial"/>
          <w:bCs/>
          <w:sz w:val="20"/>
          <w:szCs w:val="20"/>
        </w:rPr>
        <w:t xml:space="preserve">. Defined as coronary dilation exceeding 1.5 times the diameter of adjacent normal segments, CAE is most commonly caused by atherosclerosis (50% of cases) but can also result from congenital anomalies, inflammatory conditions, or genetic predisposition </w:t>
      </w:r>
      <w:r w:rsidRPr="00AD7B7F">
        <w:rPr>
          <w:rFonts w:ascii="Arial" w:eastAsia="Calibri" w:hAnsi="Arial" w:cs="Arial"/>
          <w:bCs/>
          <w:sz w:val="20"/>
          <w:szCs w:val="20"/>
        </w:rPr>
        <w:t>(Markis et al., 1976).</w:t>
      </w:r>
    </w:p>
    <w:p w14:paraId="60CBA512" w14:textId="77777777" w:rsidR="00EC269E" w:rsidRPr="00EC269E" w:rsidRDefault="00EC269E" w:rsidP="00EC269E">
      <w:pPr>
        <w:spacing w:after="0" w:line="240" w:lineRule="auto"/>
        <w:jc w:val="both"/>
        <w:rPr>
          <w:rFonts w:ascii="Arial" w:eastAsia="Calibri" w:hAnsi="Arial" w:cs="Arial"/>
          <w:bCs/>
          <w:sz w:val="20"/>
          <w:szCs w:val="20"/>
        </w:rPr>
      </w:pPr>
    </w:p>
    <w:p w14:paraId="297543AA" w14:textId="572A75BD" w:rsidR="00EC269E" w:rsidRPr="00AD7B7F" w:rsidRDefault="00EC269E" w:rsidP="00EC269E">
      <w:pPr>
        <w:spacing w:after="0" w:line="240" w:lineRule="auto"/>
        <w:jc w:val="both"/>
        <w:rPr>
          <w:rFonts w:ascii="Arial" w:eastAsia="Calibri" w:hAnsi="Arial" w:cs="Arial"/>
          <w:bCs/>
          <w:sz w:val="20"/>
          <w:szCs w:val="20"/>
        </w:rPr>
      </w:pPr>
      <w:r w:rsidRPr="00EC269E">
        <w:rPr>
          <w:rFonts w:ascii="Arial" w:eastAsia="Calibri" w:hAnsi="Arial" w:cs="Arial"/>
          <w:bCs/>
          <w:sz w:val="20"/>
          <w:szCs w:val="20"/>
        </w:rPr>
        <w:t>Patients with CAE are often asymptomatic, but the condition may predispose to acute coronary syndromes (ACS) via thrombus formation, embolization, or impaired coronary flow dynamics, these factors can lead to severe complications such as myocardial infarction, complicating diagnosis and management, especially in cases of ST-segment elevation myocardial infarction. While no consensus guidelines exist for CAE management, the therapeutic approach combines anticoagulation, antiplatelet therapy, and risk factor modification</w:t>
      </w:r>
      <w:r w:rsidRPr="00AD7B7F">
        <w:rPr>
          <w:rFonts w:ascii="Arial" w:eastAsia="Calibri" w:hAnsi="Arial" w:cs="Arial"/>
          <w:bCs/>
          <w:sz w:val="20"/>
          <w:szCs w:val="20"/>
        </w:rPr>
        <w:t xml:space="preserve"> (Esposito et al., 2022)</w:t>
      </w:r>
      <w:r w:rsidRPr="00EC269E">
        <w:rPr>
          <w:rFonts w:ascii="Arial" w:eastAsia="Calibri" w:hAnsi="Arial" w:cs="Arial"/>
          <w:bCs/>
          <w:sz w:val="20"/>
          <w:szCs w:val="20"/>
        </w:rPr>
        <w:t>. Clinicians must understand the underlying mechanisms of CAE and its interactions with other coronary pathologies to provide targeted therapeutic approaches. This report describes a rare presentation of STEMI in a patient with CAE and reviews evidence-based management strategies.</w:t>
      </w:r>
    </w:p>
    <w:p w14:paraId="6E1E42C8" w14:textId="77777777" w:rsidR="00EC269E" w:rsidRPr="00EC269E" w:rsidRDefault="00EC269E" w:rsidP="00EC269E">
      <w:pPr>
        <w:spacing w:after="0" w:line="240" w:lineRule="auto"/>
        <w:jc w:val="both"/>
        <w:rPr>
          <w:rFonts w:ascii="Arial" w:eastAsia="Calibri" w:hAnsi="Arial" w:cs="Arial"/>
          <w:bCs/>
          <w:sz w:val="20"/>
          <w:szCs w:val="20"/>
        </w:rPr>
      </w:pPr>
    </w:p>
    <w:p w14:paraId="12B196D2" w14:textId="1B937782" w:rsidR="00EC269E" w:rsidRPr="00AD7B7F" w:rsidRDefault="00EC269E" w:rsidP="00EC269E">
      <w:pPr>
        <w:pStyle w:val="Heading2"/>
        <w:rPr>
          <w:rFonts w:eastAsia="Calibri"/>
        </w:rPr>
      </w:pPr>
      <w:r w:rsidRPr="00AD7B7F">
        <w:rPr>
          <w:rFonts w:eastAsia="Calibri"/>
        </w:rPr>
        <w:t xml:space="preserve">2. CASE PRESENTATION </w:t>
      </w:r>
    </w:p>
    <w:p w14:paraId="336C9655" w14:textId="77777777" w:rsidR="00EC269E" w:rsidRPr="00EC269E" w:rsidRDefault="00EC269E" w:rsidP="00EC269E">
      <w:pPr>
        <w:spacing w:after="0" w:line="240" w:lineRule="auto"/>
        <w:jc w:val="both"/>
        <w:rPr>
          <w:rFonts w:ascii="Arial" w:eastAsia="Calibri" w:hAnsi="Arial" w:cs="Arial"/>
          <w:b/>
          <w:bCs/>
          <w:sz w:val="14"/>
          <w:szCs w:val="14"/>
        </w:rPr>
      </w:pPr>
    </w:p>
    <w:p w14:paraId="41F3A365" w14:textId="77777777" w:rsidR="00EC269E" w:rsidRPr="00AD7B7F" w:rsidRDefault="00EC269E" w:rsidP="00EC269E">
      <w:pPr>
        <w:spacing w:after="0" w:line="240" w:lineRule="auto"/>
        <w:jc w:val="both"/>
        <w:rPr>
          <w:rFonts w:ascii="Arial" w:eastAsia="Calibri" w:hAnsi="Arial" w:cs="Arial"/>
          <w:sz w:val="20"/>
          <w:szCs w:val="20"/>
        </w:rPr>
      </w:pPr>
      <w:r w:rsidRPr="00EC269E">
        <w:rPr>
          <w:rFonts w:ascii="Arial" w:eastAsia="Calibri" w:hAnsi="Arial" w:cs="Arial"/>
          <w:sz w:val="20"/>
          <w:szCs w:val="20"/>
        </w:rPr>
        <w:t>A 51-year-old male presented to the emergency department with acute, severe chest pain radiating to the left arm, ongoing for less than two hours. His only cardiovascular risk factor was chronic smoking, with no prior medical or surgical history. The patient was hemodynamically stable on initial examination, with a blood pressure of 120/60 mmHg, heart rate of 70 bpm, and oxygen saturation of 98%. Physical examination revealed no signs of heart failure or other abnormalities.</w:t>
      </w:r>
    </w:p>
    <w:p w14:paraId="2D78AC23" w14:textId="77777777" w:rsidR="00EC269E" w:rsidRPr="00EC269E" w:rsidRDefault="00EC269E" w:rsidP="00EC269E">
      <w:pPr>
        <w:spacing w:after="0" w:line="240" w:lineRule="auto"/>
        <w:jc w:val="both"/>
        <w:rPr>
          <w:rFonts w:ascii="Arial" w:eastAsia="Calibri" w:hAnsi="Arial" w:cs="Arial"/>
          <w:b/>
          <w:bCs/>
          <w:sz w:val="14"/>
          <w:szCs w:val="14"/>
        </w:rPr>
      </w:pPr>
    </w:p>
    <w:p w14:paraId="3AD040DE" w14:textId="7BC30C1B" w:rsidR="00EC269E" w:rsidRPr="00AD7B7F" w:rsidRDefault="00EC269E" w:rsidP="00EC269E">
      <w:pPr>
        <w:spacing w:after="0" w:line="240" w:lineRule="auto"/>
        <w:jc w:val="both"/>
        <w:rPr>
          <w:rFonts w:ascii="Arial" w:eastAsia="Calibri" w:hAnsi="Arial" w:cs="Arial"/>
          <w:sz w:val="20"/>
          <w:szCs w:val="20"/>
        </w:rPr>
      </w:pPr>
      <w:r w:rsidRPr="00EC269E">
        <w:rPr>
          <w:rFonts w:ascii="Arial" w:eastAsia="Calibri" w:hAnsi="Arial" w:cs="Arial"/>
          <w:sz w:val="20"/>
          <w:szCs w:val="20"/>
        </w:rPr>
        <w:t xml:space="preserve">An electrocardiogram (ECG) performed shortly after presentation revealed ST-segment elevation in the inferior leads (DII, DIII AVF) more pronounced in DII than in DIII. A Q wave of necrosis is present in the inferior leads, consistent with acute myocardial infarction </w:t>
      </w:r>
      <w:r w:rsidR="009423FD" w:rsidRPr="00AD7B7F">
        <w:rPr>
          <w:rFonts w:ascii="Arial" w:eastAsia="Calibri" w:hAnsi="Arial" w:cs="Arial"/>
          <w:sz w:val="20"/>
          <w:szCs w:val="20"/>
        </w:rPr>
        <w:t xml:space="preserve">            </w:t>
      </w:r>
      <w:proofErr w:type="gramStart"/>
      <w:r w:rsidR="009423FD" w:rsidRPr="00AD7B7F">
        <w:rPr>
          <w:rFonts w:ascii="Arial" w:eastAsia="Calibri" w:hAnsi="Arial" w:cs="Arial"/>
          <w:sz w:val="20"/>
          <w:szCs w:val="20"/>
        </w:rPr>
        <w:t xml:space="preserve">   </w:t>
      </w:r>
      <w:r w:rsidRPr="00EC269E">
        <w:rPr>
          <w:rFonts w:ascii="Arial" w:eastAsia="Calibri" w:hAnsi="Arial" w:cs="Arial"/>
          <w:b/>
          <w:bCs/>
          <w:color w:val="000000"/>
          <w:sz w:val="20"/>
          <w:szCs w:val="20"/>
          <w:shd w:val="clear" w:color="auto" w:fill="FFFFFF"/>
        </w:rPr>
        <w:t>(</w:t>
      </w:r>
      <w:proofErr w:type="gramEnd"/>
      <w:r w:rsidRPr="00EC269E">
        <w:rPr>
          <w:rFonts w:ascii="Arial" w:eastAsia="Calibri" w:hAnsi="Arial" w:cs="Arial"/>
          <w:sz w:val="20"/>
          <w:szCs w:val="20"/>
        </w:rPr>
        <w:t>Fig</w:t>
      </w:r>
      <w:r w:rsidRPr="00AD7B7F">
        <w:rPr>
          <w:rFonts w:ascii="Arial" w:eastAsia="Calibri" w:hAnsi="Arial" w:cs="Arial"/>
          <w:sz w:val="20"/>
          <w:szCs w:val="20"/>
        </w:rPr>
        <w:t>.</w:t>
      </w:r>
      <w:r w:rsidRPr="00EC269E">
        <w:rPr>
          <w:rFonts w:ascii="Arial" w:eastAsia="Calibri" w:hAnsi="Arial" w:cs="Arial"/>
          <w:sz w:val="20"/>
          <w:szCs w:val="20"/>
        </w:rPr>
        <w:t xml:space="preserve"> 1</w:t>
      </w:r>
      <w:r w:rsidRPr="00EC269E">
        <w:rPr>
          <w:rFonts w:ascii="Arial" w:eastAsia="Calibri" w:hAnsi="Arial" w:cs="Arial"/>
          <w:color w:val="000000"/>
          <w:sz w:val="20"/>
          <w:szCs w:val="20"/>
          <w:shd w:val="clear" w:color="auto" w:fill="FFFFFF"/>
        </w:rPr>
        <w:t>)</w:t>
      </w:r>
      <w:r w:rsidRPr="00EC269E">
        <w:rPr>
          <w:rFonts w:ascii="Arial" w:eastAsia="Calibri" w:hAnsi="Arial" w:cs="Arial"/>
          <w:sz w:val="20"/>
          <w:szCs w:val="20"/>
        </w:rPr>
        <w:t>.</w:t>
      </w:r>
    </w:p>
    <w:p w14:paraId="0C3305D9" w14:textId="77777777" w:rsidR="00EC269E" w:rsidRPr="00EC269E" w:rsidRDefault="00EC269E" w:rsidP="00EC269E">
      <w:pPr>
        <w:spacing w:after="0" w:line="240" w:lineRule="auto"/>
        <w:jc w:val="both"/>
        <w:rPr>
          <w:rFonts w:ascii="Arial" w:eastAsia="Calibri" w:hAnsi="Arial" w:cs="Arial"/>
          <w:sz w:val="14"/>
          <w:szCs w:val="14"/>
        </w:rPr>
      </w:pPr>
    </w:p>
    <w:p w14:paraId="6255630E" w14:textId="570783B8" w:rsidR="00EC269E" w:rsidRPr="00EC269E" w:rsidRDefault="00EC269E" w:rsidP="00EC269E">
      <w:pPr>
        <w:spacing w:after="0" w:line="240" w:lineRule="auto"/>
        <w:jc w:val="both"/>
        <w:rPr>
          <w:rFonts w:ascii="Arial" w:eastAsia="Calibri" w:hAnsi="Arial" w:cs="Arial"/>
          <w:sz w:val="20"/>
          <w:szCs w:val="20"/>
        </w:rPr>
      </w:pPr>
      <w:r w:rsidRPr="00EC269E">
        <w:rPr>
          <w:rFonts w:ascii="Arial" w:eastAsia="Calibri" w:hAnsi="Arial" w:cs="Arial"/>
          <w:sz w:val="20"/>
          <w:szCs w:val="20"/>
        </w:rPr>
        <w:t>The patient received a loading dose of aspirin (300 mg) and clopidogrel (300 mg), along with low-molecular-weight heparin (0.3 mg/kg) before being transferred to the catheterization laboratory, where the coronary angiography revealed diffuse coronary ectasia of the circumflex artery, consistent with type III CAE based on the Markis classification</w:t>
      </w:r>
      <w:r w:rsidRPr="00EC269E">
        <w:rPr>
          <w:rFonts w:ascii="Arial" w:eastAsia="Calibri" w:hAnsi="Arial" w:cs="Arial"/>
          <w:color w:val="000000"/>
          <w:sz w:val="20"/>
          <w:szCs w:val="20"/>
          <w:shd w:val="clear" w:color="auto" w:fill="FFFFFF"/>
        </w:rPr>
        <w:t xml:space="preserve"> (</w:t>
      </w:r>
      <w:r w:rsidRPr="00EC269E">
        <w:rPr>
          <w:rFonts w:ascii="Arial" w:eastAsia="Calibri" w:hAnsi="Arial" w:cs="Arial"/>
          <w:sz w:val="20"/>
          <w:szCs w:val="20"/>
        </w:rPr>
        <w:t>Table 1</w:t>
      </w:r>
      <w:r w:rsidRPr="00EC269E">
        <w:rPr>
          <w:rFonts w:ascii="Arial" w:eastAsia="Calibri" w:hAnsi="Arial" w:cs="Arial"/>
          <w:color w:val="000000"/>
          <w:sz w:val="20"/>
          <w:szCs w:val="20"/>
          <w:shd w:val="clear" w:color="auto" w:fill="FFFFFF"/>
        </w:rPr>
        <w:t>)</w:t>
      </w:r>
      <w:r w:rsidRPr="00EC269E">
        <w:rPr>
          <w:rFonts w:ascii="Arial" w:eastAsia="Calibri" w:hAnsi="Arial" w:cs="Arial"/>
          <w:sz w:val="20"/>
          <w:szCs w:val="20"/>
        </w:rPr>
        <w:t xml:space="preserve">. The </w:t>
      </w:r>
      <w:proofErr w:type="spellStart"/>
      <w:r w:rsidRPr="00EC269E">
        <w:rPr>
          <w:rFonts w:ascii="Arial" w:eastAsia="Calibri" w:hAnsi="Arial" w:cs="Arial"/>
          <w:sz w:val="20"/>
          <w:szCs w:val="20"/>
        </w:rPr>
        <w:t>ectatic</w:t>
      </w:r>
      <w:proofErr w:type="spellEnd"/>
      <w:r w:rsidRPr="00EC269E">
        <w:rPr>
          <w:rFonts w:ascii="Arial" w:eastAsia="Calibri" w:hAnsi="Arial" w:cs="Arial"/>
          <w:sz w:val="20"/>
          <w:szCs w:val="20"/>
        </w:rPr>
        <w:t xml:space="preserve"> circumflex artery was completely occluded by thrombus </w:t>
      </w:r>
      <w:r w:rsidRPr="00EC269E">
        <w:rPr>
          <w:rFonts w:ascii="Arial" w:eastAsia="Calibri" w:hAnsi="Arial" w:cs="Arial"/>
          <w:color w:val="000000"/>
          <w:sz w:val="20"/>
          <w:szCs w:val="20"/>
          <w:shd w:val="clear" w:color="auto" w:fill="FFFFFF"/>
        </w:rPr>
        <w:t>(</w:t>
      </w:r>
      <w:r w:rsidRPr="00EC269E">
        <w:rPr>
          <w:rFonts w:ascii="Arial" w:eastAsia="Calibri" w:hAnsi="Arial" w:cs="Arial"/>
          <w:sz w:val="20"/>
          <w:szCs w:val="20"/>
        </w:rPr>
        <w:t>Fig</w:t>
      </w:r>
      <w:r w:rsidRPr="00AD7B7F">
        <w:rPr>
          <w:rFonts w:ascii="Arial" w:eastAsia="Calibri" w:hAnsi="Arial" w:cs="Arial"/>
          <w:sz w:val="20"/>
          <w:szCs w:val="20"/>
        </w:rPr>
        <w:t>.</w:t>
      </w:r>
      <w:r w:rsidRPr="00EC269E">
        <w:rPr>
          <w:rFonts w:ascii="Arial" w:eastAsia="Calibri" w:hAnsi="Arial" w:cs="Arial"/>
          <w:sz w:val="20"/>
          <w:szCs w:val="20"/>
        </w:rPr>
        <w:t xml:space="preserve"> 2), while the rest of the coronary arteries appeared angiographically normal </w:t>
      </w:r>
      <w:r w:rsidRPr="00EC269E">
        <w:rPr>
          <w:rFonts w:ascii="Arial" w:eastAsia="Calibri" w:hAnsi="Arial" w:cs="Arial"/>
          <w:color w:val="000000"/>
          <w:sz w:val="20"/>
          <w:szCs w:val="20"/>
          <w:shd w:val="clear" w:color="auto" w:fill="FFFFFF"/>
        </w:rPr>
        <w:t>(</w:t>
      </w:r>
      <w:r w:rsidRPr="00EC269E">
        <w:rPr>
          <w:rFonts w:ascii="Arial" w:eastAsia="Calibri" w:hAnsi="Arial" w:cs="Arial"/>
          <w:sz w:val="20"/>
          <w:szCs w:val="20"/>
        </w:rPr>
        <w:t>Fig</w:t>
      </w:r>
      <w:r w:rsidRPr="00AD7B7F">
        <w:rPr>
          <w:rFonts w:ascii="Arial" w:eastAsia="Calibri" w:hAnsi="Arial" w:cs="Arial"/>
          <w:sz w:val="20"/>
          <w:szCs w:val="20"/>
        </w:rPr>
        <w:t>.</w:t>
      </w:r>
      <w:r w:rsidRPr="00EC269E">
        <w:rPr>
          <w:rFonts w:ascii="Arial" w:eastAsia="Calibri" w:hAnsi="Arial" w:cs="Arial"/>
          <w:sz w:val="20"/>
          <w:szCs w:val="20"/>
        </w:rPr>
        <w:t xml:space="preserve"> 3</w:t>
      </w:r>
      <w:r w:rsidRPr="00EC269E">
        <w:rPr>
          <w:rFonts w:ascii="Arial" w:eastAsia="Calibri" w:hAnsi="Arial" w:cs="Arial"/>
          <w:color w:val="000000"/>
          <w:sz w:val="20"/>
          <w:szCs w:val="20"/>
          <w:shd w:val="clear" w:color="auto" w:fill="FFFFFF"/>
        </w:rPr>
        <w:t>)</w:t>
      </w:r>
      <w:r w:rsidRPr="00EC269E">
        <w:rPr>
          <w:rFonts w:ascii="Arial" w:eastAsia="Calibri" w:hAnsi="Arial" w:cs="Arial"/>
          <w:sz w:val="20"/>
          <w:szCs w:val="20"/>
        </w:rPr>
        <w:t>.</w:t>
      </w:r>
    </w:p>
    <w:p w14:paraId="738571E3" w14:textId="77777777" w:rsidR="009423FD" w:rsidRPr="00AD7B7F" w:rsidRDefault="009423FD" w:rsidP="00EC269E">
      <w:pPr>
        <w:spacing w:after="0" w:line="240" w:lineRule="auto"/>
        <w:jc w:val="both"/>
        <w:rPr>
          <w:rFonts w:ascii="Arial" w:eastAsia="Calibri" w:hAnsi="Arial" w:cs="Arial"/>
          <w:sz w:val="20"/>
          <w:szCs w:val="20"/>
        </w:rPr>
        <w:sectPr w:rsidR="009423FD" w:rsidRPr="00AD7B7F" w:rsidSect="009423FD">
          <w:type w:val="continuous"/>
          <w:pgSz w:w="11909" w:h="16834" w:code="9"/>
          <w:pgMar w:top="1440" w:right="1440" w:bottom="1440" w:left="1440" w:header="720" w:footer="864" w:gutter="0"/>
          <w:pgNumType w:start="1"/>
          <w:cols w:num="2" w:space="288"/>
          <w:titlePg/>
          <w:docGrid w:linePitch="360"/>
        </w:sectPr>
      </w:pPr>
    </w:p>
    <w:p w14:paraId="48A84159" w14:textId="77777777" w:rsidR="00EC269E" w:rsidRPr="00EC269E" w:rsidRDefault="00EC269E" w:rsidP="009423FD">
      <w:pPr>
        <w:spacing w:after="0" w:line="240" w:lineRule="auto"/>
        <w:jc w:val="center"/>
        <w:rPr>
          <w:rFonts w:ascii="Arial" w:eastAsia="Calibri" w:hAnsi="Arial" w:cs="Arial"/>
          <w:bCs/>
          <w:sz w:val="20"/>
          <w:szCs w:val="20"/>
        </w:rPr>
      </w:pPr>
      <w:r w:rsidRPr="00EC269E">
        <w:rPr>
          <w:rFonts w:ascii="Arial" w:eastAsia="Calibri" w:hAnsi="Arial" w:cs="Arial"/>
          <w:bCs/>
          <w:noProof/>
          <w:sz w:val="20"/>
          <w:szCs w:val="20"/>
          <w:lang w:val="fr-FR" w:eastAsia="fr-FR"/>
        </w:rPr>
        <w:drawing>
          <wp:inline distT="0" distB="0" distL="0" distR="0" wp14:anchorId="6BE1349C" wp14:editId="079EA8BB">
            <wp:extent cx="5518641" cy="2662280"/>
            <wp:effectExtent l="0" t="0" r="0" b="0"/>
            <wp:docPr id="6839371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kou.jp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31283" cy="2668379"/>
                    </a:xfrm>
                    <a:prstGeom prst="rect">
                      <a:avLst/>
                    </a:prstGeom>
                  </pic:spPr>
                </pic:pic>
              </a:graphicData>
            </a:graphic>
          </wp:inline>
        </w:drawing>
      </w:r>
    </w:p>
    <w:p w14:paraId="79DFD869" w14:textId="77777777" w:rsidR="00EC269E" w:rsidRPr="00EC269E" w:rsidRDefault="00EC269E" w:rsidP="00EC269E">
      <w:pPr>
        <w:spacing w:after="0" w:line="240" w:lineRule="auto"/>
        <w:jc w:val="both"/>
        <w:rPr>
          <w:rFonts w:ascii="Arial" w:eastAsia="Calibri" w:hAnsi="Arial" w:cs="Arial"/>
          <w:bCs/>
          <w:sz w:val="20"/>
          <w:szCs w:val="20"/>
        </w:rPr>
      </w:pPr>
    </w:p>
    <w:p w14:paraId="1B7E1AB9" w14:textId="7F72818D" w:rsidR="00EC269E" w:rsidRPr="00EC269E" w:rsidRDefault="00EC269E" w:rsidP="009423FD">
      <w:pPr>
        <w:spacing w:after="0" w:line="240" w:lineRule="auto"/>
        <w:jc w:val="center"/>
        <w:rPr>
          <w:rFonts w:ascii="Arial" w:eastAsia="Calibri" w:hAnsi="Arial" w:cs="Arial"/>
          <w:bCs/>
          <w:sz w:val="20"/>
          <w:szCs w:val="20"/>
        </w:rPr>
      </w:pPr>
      <w:r w:rsidRPr="00EC269E">
        <w:rPr>
          <w:rFonts w:ascii="Arial" w:eastAsia="Calibri" w:hAnsi="Arial" w:cs="Arial"/>
          <w:b/>
          <w:bCs/>
          <w:sz w:val="20"/>
          <w:szCs w:val="20"/>
        </w:rPr>
        <w:t>Fig</w:t>
      </w:r>
      <w:r w:rsidR="009423FD" w:rsidRPr="00AD7B7F">
        <w:rPr>
          <w:rFonts w:ascii="Arial" w:eastAsia="Calibri" w:hAnsi="Arial" w:cs="Arial"/>
          <w:b/>
          <w:bCs/>
          <w:sz w:val="20"/>
          <w:szCs w:val="20"/>
        </w:rPr>
        <w:t>.</w:t>
      </w:r>
      <w:r w:rsidRPr="00EC269E">
        <w:rPr>
          <w:rFonts w:ascii="Arial" w:eastAsia="Calibri" w:hAnsi="Arial" w:cs="Arial"/>
          <w:b/>
          <w:bCs/>
          <w:sz w:val="20"/>
          <w:szCs w:val="20"/>
        </w:rPr>
        <w:t xml:space="preserve"> 1</w:t>
      </w:r>
      <w:r w:rsidR="009423FD" w:rsidRPr="00AD7B7F">
        <w:rPr>
          <w:rFonts w:ascii="Arial" w:eastAsia="Calibri" w:hAnsi="Arial" w:cs="Arial"/>
          <w:b/>
          <w:bCs/>
          <w:sz w:val="20"/>
          <w:szCs w:val="20"/>
        </w:rPr>
        <w:t>.</w:t>
      </w:r>
      <w:r w:rsidRPr="00EC269E">
        <w:rPr>
          <w:rFonts w:ascii="Arial" w:eastAsia="Calibri" w:hAnsi="Arial" w:cs="Arial"/>
          <w:b/>
          <w:bCs/>
          <w:sz w:val="20"/>
          <w:szCs w:val="20"/>
        </w:rPr>
        <w:t xml:space="preserve"> ST-Segment Elevation in Inferior Leads with Q Waves of Necrosis</w:t>
      </w:r>
    </w:p>
    <w:p w14:paraId="11E9C505" w14:textId="77777777" w:rsidR="00EC269E" w:rsidRPr="00AD7B7F" w:rsidRDefault="00EC269E" w:rsidP="009423FD">
      <w:pPr>
        <w:spacing w:after="0" w:line="240" w:lineRule="auto"/>
        <w:jc w:val="center"/>
        <w:rPr>
          <w:rFonts w:ascii="Arial" w:eastAsia="Calibri" w:hAnsi="Arial" w:cs="Arial"/>
          <w:sz w:val="20"/>
          <w:szCs w:val="20"/>
        </w:rPr>
      </w:pPr>
      <w:r w:rsidRPr="00EC269E">
        <w:rPr>
          <w:rFonts w:ascii="Arial" w:eastAsia="Calibri" w:hAnsi="Arial" w:cs="Arial"/>
          <w:noProof/>
          <w:sz w:val="20"/>
          <w:szCs w:val="20"/>
          <w:lang w:val="fr-FR" w:eastAsia="fr-FR"/>
        </w:rPr>
        <w:lastRenderedPageBreak/>
        <w:drawing>
          <wp:inline distT="0" distB="0" distL="0" distR="0" wp14:anchorId="21201405" wp14:editId="66ACCDFE">
            <wp:extent cx="3600000" cy="3496450"/>
            <wp:effectExtent l="0" t="0" r="635"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n.jpg"/>
                    <pic:cNvPicPr/>
                  </pic:nvPicPr>
                  <pic:blipFill>
                    <a:blip r:embed="rId16">
                      <a:extLst>
                        <a:ext uri="{28A0092B-C50C-407E-A947-70E740481C1C}">
                          <a14:useLocalDpi xmlns:a14="http://schemas.microsoft.com/office/drawing/2010/main" val="0"/>
                        </a:ext>
                      </a:extLst>
                    </a:blip>
                    <a:stretch>
                      <a:fillRect/>
                    </a:stretch>
                  </pic:blipFill>
                  <pic:spPr>
                    <a:xfrm>
                      <a:off x="0" y="0"/>
                      <a:ext cx="3600000" cy="3496450"/>
                    </a:xfrm>
                    <a:prstGeom prst="rect">
                      <a:avLst/>
                    </a:prstGeom>
                  </pic:spPr>
                </pic:pic>
              </a:graphicData>
            </a:graphic>
          </wp:inline>
        </w:drawing>
      </w:r>
    </w:p>
    <w:p w14:paraId="2B6B2586" w14:textId="77777777" w:rsidR="009423FD" w:rsidRPr="00EC269E" w:rsidRDefault="009423FD" w:rsidP="009423FD">
      <w:pPr>
        <w:spacing w:after="0" w:line="240" w:lineRule="auto"/>
        <w:jc w:val="center"/>
        <w:rPr>
          <w:rFonts w:ascii="Arial" w:eastAsia="Calibri" w:hAnsi="Arial" w:cs="Arial"/>
          <w:sz w:val="20"/>
          <w:szCs w:val="20"/>
        </w:rPr>
      </w:pPr>
    </w:p>
    <w:p w14:paraId="50380DE2" w14:textId="4F978F9E" w:rsidR="00EC269E" w:rsidRPr="00EC269E" w:rsidRDefault="00EC269E" w:rsidP="009423FD">
      <w:pPr>
        <w:spacing w:after="0" w:line="240" w:lineRule="auto"/>
        <w:jc w:val="center"/>
        <w:rPr>
          <w:rFonts w:ascii="Arial" w:eastAsia="Calibri" w:hAnsi="Arial" w:cs="Arial"/>
          <w:b/>
          <w:bCs/>
          <w:sz w:val="20"/>
          <w:szCs w:val="20"/>
        </w:rPr>
      </w:pPr>
      <w:r w:rsidRPr="00EC269E">
        <w:rPr>
          <w:rFonts w:ascii="Arial" w:eastAsia="Calibri" w:hAnsi="Arial" w:cs="Arial"/>
          <w:b/>
          <w:bCs/>
          <w:sz w:val="20"/>
          <w:szCs w:val="20"/>
        </w:rPr>
        <w:t>Fig</w:t>
      </w:r>
      <w:r w:rsidR="009423FD" w:rsidRPr="00AD7B7F">
        <w:rPr>
          <w:rFonts w:ascii="Arial" w:eastAsia="Calibri" w:hAnsi="Arial" w:cs="Arial"/>
          <w:b/>
          <w:bCs/>
          <w:sz w:val="20"/>
          <w:szCs w:val="20"/>
        </w:rPr>
        <w:t>.</w:t>
      </w:r>
      <w:r w:rsidRPr="00EC269E">
        <w:rPr>
          <w:rFonts w:ascii="Arial" w:eastAsia="Calibri" w:hAnsi="Arial" w:cs="Arial"/>
          <w:b/>
          <w:bCs/>
          <w:sz w:val="20"/>
          <w:szCs w:val="20"/>
        </w:rPr>
        <w:t xml:space="preserve"> 2</w:t>
      </w:r>
      <w:r w:rsidR="009423FD" w:rsidRPr="00AD7B7F">
        <w:rPr>
          <w:rFonts w:ascii="Arial" w:eastAsia="Calibri" w:hAnsi="Arial" w:cs="Arial"/>
          <w:b/>
          <w:bCs/>
          <w:sz w:val="20"/>
          <w:szCs w:val="20"/>
        </w:rPr>
        <w:t>.</w:t>
      </w:r>
      <w:r w:rsidRPr="00EC269E">
        <w:rPr>
          <w:rFonts w:ascii="Arial" w:eastAsia="Calibri" w:hAnsi="Arial" w:cs="Arial"/>
          <w:b/>
          <w:bCs/>
          <w:sz w:val="20"/>
          <w:szCs w:val="20"/>
        </w:rPr>
        <w:t xml:space="preserve"> </w:t>
      </w:r>
      <w:r w:rsidR="009423FD" w:rsidRPr="00AD7B7F">
        <w:rPr>
          <w:rFonts w:ascii="Arial" w:eastAsia="Calibri" w:hAnsi="Arial" w:cs="Arial"/>
          <w:b/>
          <w:bCs/>
          <w:sz w:val="20"/>
          <w:szCs w:val="20"/>
        </w:rPr>
        <w:t xml:space="preserve">Coronary </w:t>
      </w:r>
      <w:r w:rsidRPr="00EC269E">
        <w:rPr>
          <w:rFonts w:ascii="Arial" w:eastAsia="Calibri" w:hAnsi="Arial" w:cs="Arial"/>
          <w:b/>
          <w:bCs/>
          <w:sz w:val="20"/>
          <w:szCs w:val="20"/>
        </w:rPr>
        <w:t>ectasia of the circumflex artery was completely occluded by thrombus</w:t>
      </w:r>
    </w:p>
    <w:p w14:paraId="7B253CC3" w14:textId="77777777" w:rsidR="00EC269E" w:rsidRPr="00EC269E" w:rsidRDefault="00EC269E" w:rsidP="00EC269E">
      <w:pPr>
        <w:spacing w:after="0" w:line="240" w:lineRule="auto"/>
        <w:jc w:val="both"/>
        <w:rPr>
          <w:rFonts w:ascii="Arial" w:eastAsia="Calibri" w:hAnsi="Arial" w:cs="Arial"/>
          <w:sz w:val="20"/>
          <w:szCs w:val="20"/>
        </w:rPr>
      </w:pPr>
    </w:p>
    <w:p w14:paraId="5E990304" w14:textId="77777777" w:rsidR="00EC269E" w:rsidRPr="00AD7B7F" w:rsidRDefault="00EC269E" w:rsidP="009423FD">
      <w:pPr>
        <w:spacing w:after="0" w:line="240" w:lineRule="auto"/>
        <w:jc w:val="center"/>
        <w:rPr>
          <w:rFonts w:ascii="Arial" w:eastAsia="Calibri" w:hAnsi="Arial" w:cs="Arial"/>
          <w:sz w:val="20"/>
          <w:szCs w:val="20"/>
        </w:rPr>
      </w:pPr>
      <w:r w:rsidRPr="00EC269E">
        <w:rPr>
          <w:rFonts w:ascii="Arial" w:eastAsia="Calibri" w:hAnsi="Arial" w:cs="Arial"/>
          <w:noProof/>
          <w:sz w:val="20"/>
          <w:szCs w:val="20"/>
          <w:lang w:val="fr-FR" w:eastAsia="fr-FR"/>
        </w:rPr>
        <w:drawing>
          <wp:inline distT="0" distB="0" distL="0" distR="0" wp14:anchorId="0E6782BC" wp14:editId="638CCA01">
            <wp:extent cx="4171393" cy="284030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s titre.jpg"/>
                    <pic:cNvPicPr/>
                  </pic:nvPicPr>
                  <pic:blipFill>
                    <a:blip r:embed="rId17">
                      <a:extLst>
                        <a:ext uri="{28A0092B-C50C-407E-A947-70E740481C1C}">
                          <a14:useLocalDpi xmlns:a14="http://schemas.microsoft.com/office/drawing/2010/main" val="0"/>
                        </a:ext>
                      </a:extLst>
                    </a:blip>
                    <a:stretch>
                      <a:fillRect/>
                    </a:stretch>
                  </pic:blipFill>
                  <pic:spPr>
                    <a:xfrm>
                      <a:off x="0" y="0"/>
                      <a:ext cx="4182886" cy="2848130"/>
                    </a:xfrm>
                    <a:prstGeom prst="rect">
                      <a:avLst/>
                    </a:prstGeom>
                  </pic:spPr>
                </pic:pic>
              </a:graphicData>
            </a:graphic>
          </wp:inline>
        </w:drawing>
      </w:r>
    </w:p>
    <w:p w14:paraId="79EB45D1" w14:textId="77777777" w:rsidR="009423FD" w:rsidRPr="00EC269E" w:rsidRDefault="009423FD" w:rsidP="009423FD">
      <w:pPr>
        <w:spacing w:after="0" w:line="240" w:lineRule="auto"/>
        <w:jc w:val="center"/>
        <w:rPr>
          <w:rFonts w:ascii="Arial" w:eastAsia="Calibri" w:hAnsi="Arial" w:cs="Arial"/>
          <w:sz w:val="20"/>
          <w:szCs w:val="20"/>
        </w:rPr>
      </w:pPr>
    </w:p>
    <w:p w14:paraId="2F15AC29" w14:textId="2E174FCA" w:rsidR="00EC269E" w:rsidRPr="00AD7B7F" w:rsidRDefault="00EC269E" w:rsidP="009423FD">
      <w:pPr>
        <w:spacing w:after="0" w:line="240" w:lineRule="auto"/>
        <w:jc w:val="center"/>
        <w:rPr>
          <w:rFonts w:ascii="Arial" w:eastAsia="Calibri" w:hAnsi="Arial" w:cs="Arial"/>
          <w:b/>
          <w:bCs/>
          <w:sz w:val="20"/>
          <w:szCs w:val="20"/>
        </w:rPr>
      </w:pPr>
      <w:r w:rsidRPr="00EC269E">
        <w:rPr>
          <w:rFonts w:ascii="Arial" w:eastAsia="Calibri" w:hAnsi="Arial" w:cs="Arial"/>
          <w:b/>
          <w:bCs/>
          <w:sz w:val="20"/>
          <w:szCs w:val="20"/>
        </w:rPr>
        <w:t>Fig</w:t>
      </w:r>
      <w:r w:rsidR="009423FD" w:rsidRPr="00AD7B7F">
        <w:rPr>
          <w:rFonts w:ascii="Arial" w:eastAsia="Calibri" w:hAnsi="Arial" w:cs="Arial"/>
          <w:b/>
          <w:bCs/>
          <w:sz w:val="20"/>
          <w:szCs w:val="20"/>
        </w:rPr>
        <w:t>.</w:t>
      </w:r>
      <w:r w:rsidRPr="00EC269E">
        <w:rPr>
          <w:rFonts w:ascii="Arial" w:eastAsia="Calibri" w:hAnsi="Arial" w:cs="Arial"/>
          <w:b/>
          <w:bCs/>
          <w:sz w:val="20"/>
          <w:szCs w:val="20"/>
        </w:rPr>
        <w:t xml:space="preserve"> 3</w:t>
      </w:r>
      <w:r w:rsidR="009423FD" w:rsidRPr="00AD7B7F">
        <w:rPr>
          <w:rFonts w:ascii="Arial" w:eastAsia="Calibri" w:hAnsi="Arial" w:cs="Arial"/>
          <w:b/>
          <w:bCs/>
          <w:sz w:val="20"/>
          <w:szCs w:val="20"/>
        </w:rPr>
        <w:t>.</w:t>
      </w:r>
      <w:r w:rsidRPr="00EC269E">
        <w:rPr>
          <w:rFonts w:ascii="Arial" w:eastAsia="Calibri" w:hAnsi="Arial" w:cs="Arial"/>
          <w:b/>
          <w:bCs/>
          <w:sz w:val="20"/>
          <w:szCs w:val="20"/>
        </w:rPr>
        <w:t xml:space="preserve"> The right coronary artery appeared angiographically normal</w:t>
      </w:r>
    </w:p>
    <w:p w14:paraId="66D131FB" w14:textId="77777777" w:rsidR="009423FD" w:rsidRPr="00AD7B7F" w:rsidRDefault="009423FD" w:rsidP="009423FD">
      <w:pPr>
        <w:spacing w:after="0" w:line="240" w:lineRule="auto"/>
        <w:jc w:val="center"/>
        <w:rPr>
          <w:rFonts w:ascii="Arial" w:eastAsia="Calibri" w:hAnsi="Arial" w:cs="Arial"/>
          <w:b/>
          <w:bCs/>
          <w:sz w:val="20"/>
          <w:szCs w:val="20"/>
        </w:rPr>
      </w:pPr>
    </w:p>
    <w:p w14:paraId="08AA69B2" w14:textId="77777777" w:rsidR="009423FD" w:rsidRPr="00AD7B7F" w:rsidRDefault="009423FD" w:rsidP="009423FD">
      <w:pPr>
        <w:spacing w:after="0" w:line="240" w:lineRule="auto"/>
        <w:jc w:val="center"/>
        <w:rPr>
          <w:rFonts w:ascii="Arial" w:eastAsia="Calibri" w:hAnsi="Arial" w:cs="Arial"/>
          <w:sz w:val="20"/>
          <w:szCs w:val="20"/>
        </w:rPr>
      </w:pPr>
      <w:r w:rsidRPr="00EC269E">
        <w:rPr>
          <w:rFonts w:ascii="Arial" w:eastAsia="Calibri" w:hAnsi="Arial" w:cs="Arial"/>
          <w:b/>
          <w:bCs/>
          <w:sz w:val="20"/>
          <w:szCs w:val="20"/>
        </w:rPr>
        <w:t>Table 1</w:t>
      </w:r>
      <w:r w:rsidRPr="00AD7B7F">
        <w:rPr>
          <w:rFonts w:ascii="Arial" w:eastAsia="Calibri" w:hAnsi="Arial" w:cs="Arial"/>
          <w:b/>
          <w:bCs/>
          <w:sz w:val="20"/>
          <w:szCs w:val="20"/>
        </w:rPr>
        <w:t xml:space="preserve">. </w:t>
      </w:r>
      <w:r w:rsidRPr="00EC269E">
        <w:rPr>
          <w:rFonts w:ascii="Arial" w:eastAsia="Calibri" w:hAnsi="Arial" w:cs="Arial"/>
          <w:b/>
          <w:bCs/>
          <w:sz w:val="20"/>
          <w:szCs w:val="20"/>
        </w:rPr>
        <w:t xml:space="preserve">Markis </w:t>
      </w:r>
      <w:r w:rsidRPr="00AD7B7F">
        <w:rPr>
          <w:rFonts w:ascii="Arial" w:eastAsia="Calibri" w:hAnsi="Arial" w:cs="Arial"/>
          <w:b/>
          <w:bCs/>
          <w:sz w:val="20"/>
          <w:szCs w:val="20"/>
        </w:rPr>
        <w:t>classification of coronary artery ectasia (Markis et al., 1976)</w:t>
      </w:r>
    </w:p>
    <w:p w14:paraId="0CA589CA" w14:textId="77777777" w:rsidR="009423FD" w:rsidRPr="00EC269E" w:rsidRDefault="009423FD" w:rsidP="009423FD">
      <w:pPr>
        <w:spacing w:after="0" w:line="240" w:lineRule="auto"/>
        <w:jc w:val="both"/>
        <w:rPr>
          <w:rFonts w:ascii="Arial" w:eastAsia="Calibri" w:hAnsi="Arial" w:cs="Arial"/>
          <w:b/>
          <w:bCs/>
          <w:sz w:val="20"/>
          <w:szCs w:val="20"/>
        </w:rPr>
      </w:pPr>
    </w:p>
    <w:tbl>
      <w:tblPr>
        <w:tblStyle w:val="TableGrid"/>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6"/>
        <w:gridCol w:w="6254"/>
      </w:tblGrid>
      <w:tr w:rsidR="009423FD" w:rsidRPr="00EC269E" w14:paraId="1E9461E1" w14:textId="77777777" w:rsidTr="00D51436">
        <w:trPr>
          <w:trHeight w:val="20"/>
          <w:jc w:val="center"/>
        </w:trPr>
        <w:tc>
          <w:tcPr>
            <w:tcW w:w="2806" w:type="dxa"/>
            <w:tcBorders>
              <w:top w:val="single" w:sz="4" w:space="0" w:color="auto"/>
              <w:bottom w:val="single" w:sz="4" w:space="0" w:color="auto"/>
            </w:tcBorders>
          </w:tcPr>
          <w:p w14:paraId="45A3BFBB" w14:textId="77777777" w:rsidR="009423FD" w:rsidRPr="00EC269E" w:rsidRDefault="009423FD" w:rsidP="00D51436">
            <w:pPr>
              <w:rPr>
                <w:rFonts w:ascii="Arial" w:eastAsia="Calibri" w:hAnsi="Arial" w:cs="Arial"/>
                <w:b/>
                <w:bCs/>
                <w:sz w:val="20"/>
                <w:szCs w:val="20"/>
              </w:rPr>
            </w:pPr>
            <w:r w:rsidRPr="00EC269E">
              <w:rPr>
                <w:rFonts w:ascii="Arial" w:eastAsia="Calibri" w:hAnsi="Arial" w:cs="Arial"/>
                <w:b/>
                <w:bCs/>
                <w:sz w:val="20"/>
                <w:szCs w:val="20"/>
              </w:rPr>
              <w:t>Types</w:t>
            </w:r>
          </w:p>
        </w:tc>
        <w:tc>
          <w:tcPr>
            <w:tcW w:w="6254" w:type="dxa"/>
            <w:tcBorders>
              <w:top w:val="single" w:sz="4" w:space="0" w:color="auto"/>
              <w:bottom w:val="single" w:sz="4" w:space="0" w:color="auto"/>
            </w:tcBorders>
          </w:tcPr>
          <w:p w14:paraId="35FF4F5D" w14:textId="77777777" w:rsidR="009423FD" w:rsidRPr="00EC269E" w:rsidRDefault="009423FD" w:rsidP="00D51436">
            <w:pPr>
              <w:rPr>
                <w:rFonts w:ascii="Arial" w:eastAsia="Calibri" w:hAnsi="Arial" w:cs="Arial"/>
                <w:b/>
                <w:bCs/>
                <w:sz w:val="20"/>
                <w:szCs w:val="20"/>
              </w:rPr>
            </w:pPr>
            <w:r w:rsidRPr="00EC269E">
              <w:rPr>
                <w:rFonts w:ascii="Arial" w:eastAsia="Calibri" w:hAnsi="Arial" w:cs="Arial"/>
                <w:b/>
                <w:bCs/>
                <w:sz w:val="20"/>
                <w:szCs w:val="20"/>
              </w:rPr>
              <w:t>Definition</w:t>
            </w:r>
          </w:p>
        </w:tc>
      </w:tr>
      <w:tr w:rsidR="009423FD" w:rsidRPr="00EC269E" w14:paraId="0EE4D257" w14:textId="77777777" w:rsidTr="00D51436">
        <w:trPr>
          <w:trHeight w:val="20"/>
          <w:jc w:val="center"/>
        </w:trPr>
        <w:tc>
          <w:tcPr>
            <w:tcW w:w="2806" w:type="dxa"/>
            <w:tcBorders>
              <w:top w:val="single" w:sz="4" w:space="0" w:color="auto"/>
            </w:tcBorders>
          </w:tcPr>
          <w:p w14:paraId="3D7BA5F7" w14:textId="77777777" w:rsidR="009423FD" w:rsidRPr="00EC269E" w:rsidRDefault="009423FD" w:rsidP="00D51436">
            <w:pPr>
              <w:rPr>
                <w:rFonts w:ascii="Arial" w:eastAsia="Calibri" w:hAnsi="Arial" w:cs="Arial"/>
                <w:sz w:val="20"/>
                <w:szCs w:val="20"/>
              </w:rPr>
            </w:pPr>
            <w:r w:rsidRPr="00EC269E">
              <w:rPr>
                <w:rFonts w:ascii="Arial" w:eastAsia="Calibri" w:hAnsi="Arial" w:cs="Arial"/>
                <w:sz w:val="20"/>
                <w:szCs w:val="20"/>
              </w:rPr>
              <w:t>Type 1</w:t>
            </w:r>
          </w:p>
        </w:tc>
        <w:tc>
          <w:tcPr>
            <w:tcW w:w="6254" w:type="dxa"/>
            <w:tcBorders>
              <w:top w:val="single" w:sz="4" w:space="0" w:color="auto"/>
            </w:tcBorders>
          </w:tcPr>
          <w:p w14:paraId="4B9ADB88" w14:textId="77777777" w:rsidR="009423FD" w:rsidRPr="00EC269E" w:rsidRDefault="009423FD" w:rsidP="00D51436">
            <w:pPr>
              <w:rPr>
                <w:rFonts w:ascii="Arial" w:eastAsia="Calibri" w:hAnsi="Arial" w:cs="Arial"/>
                <w:sz w:val="20"/>
                <w:szCs w:val="20"/>
              </w:rPr>
            </w:pPr>
            <w:r w:rsidRPr="00EC269E">
              <w:rPr>
                <w:rFonts w:ascii="Arial" w:eastAsia="Calibri" w:hAnsi="Arial" w:cs="Arial"/>
                <w:sz w:val="20"/>
                <w:szCs w:val="20"/>
              </w:rPr>
              <w:t>Diffuse ectasia of two or three vessels</w:t>
            </w:r>
          </w:p>
        </w:tc>
      </w:tr>
      <w:tr w:rsidR="009423FD" w:rsidRPr="00EC269E" w14:paraId="68C53CCD" w14:textId="77777777" w:rsidTr="00D51436">
        <w:trPr>
          <w:trHeight w:val="20"/>
          <w:jc w:val="center"/>
        </w:trPr>
        <w:tc>
          <w:tcPr>
            <w:tcW w:w="2806" w:type="dxa"/>
          </w:tcPr>
          <w:p w14:paraId="7B661697" w14:textId="77777777" w:rsidR="009423FD" w:rsidRPr="00EC269E" w:rsidRDefault="009423FD" w:rsidP="00D51436">
            <w:pPr>
              <w:rPr>
                <w:rFonts w:ascii="Arial" w:eastAsia="Calibri" w:hAnsi="Arial" w:cs="Arial"/>
                <w:sz w:val="20"/>
                <w:szCs w:val="20"/>
              </w:rPr>
            </w:pPr>
            <w:r w:rsidRPr="00EC269E">
              <w:rPr>
                <w:rFonts w:ascii="Arial" w:eastAsia="Calibri" w:hAnsi="Arial" w:cs="Arial"/>
                <w:sz w:val="20"/>
                <w:szCs w:val="20"/>
              </w:rPr>
              <w:t>Type 2</w:t>
            </w:r>
          </w:p>
        </w:tc>
        <w:tc>
          <w:tcPr>
            <w:tcW w:w="6254" w:type="dxa"/>
          </w:tcPr>
          <w:p w14:paraId="167D8788" w14:textId="77777777" w:rsidR="009423FD" w:rsidRPr="00EC269E" w:rsidRDefault="009423FD" w:rsidP="00D51436">
            <w:pPr>
              <w:rPr>
                <w:rFonts w:ascii="Arial" w:eastAsia="Calibri" w:hAnsi="Arial" w:cs="Arial"/>
                <w:sz w:val="20"/>
                <w:szCs w:val="20"/>
              </w:rPr>
            </w:pPr>
            <w:r w:rsidRPr="00EC269E">
              <w:rPr>
                <w:rFonts w:ascii="Arial" w:eastAsia="Calibri" w:hAnsi="Arial" w:cs="Arial"/>
                <w:sz w:val="20"/>
                <w:szCs w:val="20"/>
              </w:rPr>
              <w:t>Diffuse ectasia in one vessel and localized disease in another</w:t>
            </w:r>
          </w:p>
        </w:tc>
      </w:tr>
      <w:tr w:rsidR="009423FD" w:rsidRPr="00EC269E" w14:paraId="3B46595C" w14:textId="77777777" w:rsidTr="00D51436">
        <w:trPr>
          <w:trHeight w:val="20"/>
          <w:jc w:val="center"/>
        </w:trPr>
        <w:tc>
          <w:tcPr>
            <w:tcW w:w="2806" w:type="dxa"/>
          </w:tcPr>
          <w:p w14:paraId="71BA80DA" w14:textId="77777777" w:rsidR="009423FD" w:rsidRPr="00EC269E" w:rsidRDefault="009423FD" w:rsidP="00D51436">
            <w:pPr>
              <w:rPr>
                <w:rFonts w:ascii="Arial" w:eastAsia="Calibri" w:hAnsi="Arial" w:cs="Arial"/>
                <w:sz w:val="20"/>
                <w:szCs w:val="20"/>
              </w:rPr>
            </w:pPr>
            <w:r w:rsidRPr="00EC269E">
              <w:rPr>
                <w:rFonts w:ascii="Arial" w:eastAsia="Calibri" w:hAnsi="Arial" w:cs="Arial"/>
                <w:sz w:val="20"/>
                <w:szCs w:val="20"/>
              </w:rPr>
              <w:t>Type 3</w:t>
            </w:r>
          </w:p>
        </w:tc>
        <w:tc>
          <w:tcPr>
            <w:tcW w:w="6254" w:type="dxa"/>
          </w:tcPr>
          <w:p w14:paraId="1AEE191E" w14:textId="77777777" w:rsidR="009423FD" w:rsidRPr="00EC269E" w:rsidRDefault="009423FD" w:rsidP="00D51436">
            <w:pPr>
              <w:rPr>
                <w:rFonts w:ascii="Arial" w:eastAsia="Calibri" w:hAnsi="Arial" w:cs="Arial"/>
                <w:sz w:val="20"/>
                <w:szCs w:val="20"/>
              </w:rPr>
            </w:pPr>
            <w:r w:rsidRPr="00EC269E">
              <w:rPr>
                <w:rFonts w:ascii="Arial" w:eastAsia="Calibri" w:hAnsi="Arial" w:cs="Arial"/>
                <w:sz w:val="20"/>
                <w:szCs w:val="20"/>
              </w:rPr>
              <w:t>Diffuse ectasia in one vessel only</w:t>
            </w:r>
          </w:p>
        </w:tc>
      </w:tr>
      <w:tr w:rsidR="009423FD" w:rsidRPr="00EC269E" w14:paraId="51FAD123" w14:textId="77777777" w:rsidTr="00D51436">
        <w:trPr>
          <w:trHeight w:val="20"/>
          <w:jc w:val="center"/>
        </w:trPr>
        <w:tc>
          <w:tcPr>
            <w:tcW w:w="2806" w:type="dxa"/>
          </w:tcPr>
          <w:p w14:paraId="14DEE083" w14:textId="77777777" w:rsidR="009423FD" w:rsidRPr="00EC269E" w:rsidRDefault="009423FD" w:rsidP="00D51436">
            <w:pPr>
              <w:rPr>
                <w:rFonts w:ascii="Arial" w:eastAsia="Calibri" w:hAnsi="Arial" w:cs="Arial"/>
                <w:sz w:val="20"/>
                <w:szCs w:val="20"/>
              </w:rPr>
            </w:pPr>
            <w:r w:rsidRPr="00EC269E">
              <w:rPr>
                <w:rFonts w:ascii="Arial" w:eastAsia="Calibri" w:hAnsi="Arial" w:cs="Arial"/>
                <w:sz w:val="20"/>
                <w:szCs w:val="20"/>
              </w:rPr>
              <w:t>Type 4</w:t>
            </w:r>
          </w:p>
        </w:tc>
        <w:tc>
          <w:tcPr>
            <w:tcW w:w="6254" w:type="dxa"/>
          </w:tcPr>
          <w:p w14:paraId="4557BD02" w14:textId="77777777" w:rsidR="009423FD" w:rsidRPr="00EC269E" w:rsidRDefault="009423FD" w:rsidP="00D51436">
            <w:pPr>
              <w:rPr>
                <w:rFonts w:ascii="Arial" w:eastAsia="Calibri" w:hAnsi="Arial" w:cs="Arial"/>
                <w:sz w:val="20"/>
                <w:szCs w:val="20"/>
              </w:rPr>
            </w:pPr>
            <w:r w:rsidRPr="00EC269E">
              <w:rPr>
                <w:rFonts w:ascii="Arial" w:eastAsia="Calibri" w:hAnsi="Arial" w:cs="Arial"/>
                <w:sz w:val="20"/>
                <w:szCs w:val="20"/>
              </w:rPr>
              <w:t>Localized and segmental involvement</w:t>
            </w:r>
          </w:p>
        </w:tc>
      </w:tr>
    </w:tbl>
    <w:p w14:paraId="4F5CB85F" w14:textId="77777777" w:rsidR="009423FD" w:rsidRPr="00AD7B7F" w:rsidRDefault="009423FD" w:rsidP="00EC269E">
      <w:pPr>
        <w:spacing w:after="0" w:line="240" w:lineRule="auto"/>
        <w:jc w:val="both"/>
        <w:rPr>
          <w:rFonts w:ascii="Arial" w:eastAsia="Calibri" w:hAnsi="Arial" w:cs="Arial"/>
          <w:sz w:val="20"/>
          <w:szCs w:val="20"/>
        </w:rPr>
        <w:sectPr w:rsidR="009423FD" w:rsidRPr="00AD7B7F" w:rsidSect="00AA3D9B">
          <w:type w:val="continuous"/>
          <w:pgSz w:w="11909" w:h="16834" w:code="9"/>
          <w:pgMar w:top="1440" w:right="1440" w:bottom="1440" w:left="1440" w:header="720" w:footer="864" w:gutter="0"/>
          <w:pgNumType w:start="2"/>
          <w:cols w:space="720"/>
          <w:titlePg/>
          <w:docGrid w:linePitch="360"/>
        </w:sectPr>
      </w:pPr>
    </w:p>
    <w:p w14:paraId="6D7A7676" w14:textId="56550F85" w:rsidR="00EC269E" w:rsidRPr="00AD7B7F" w:rsidRDefault="00EC269E" w:rsidP="00EC269E">
      <w:pPr>
        <w:spacing w:after="0" w:line="240" w:lineRule="auto"/>
        <w:jc w:val="both"/>
        <w:rPr>
          <w:rFonts w:ascii="Arial" w:eastAsia="Calibri" w:hAnsi="Arial" w:cs="Arial"/>
          <w:sz w:val="20"/>
          <w:szCs w:val="20"/>
        </w:rPr>
      </w:pPr>
      <w:r w:rsidRPr="00EC269E">
        <w:rPr>
          <w:rFonts w:ascii="Arial" w:eastAsia="Calibri" w:hAnsi="Arial" w:cs="Arial"/>
          <w:sz w:val="20"/>
          <w:szCs w:val="20"/>
        </w:rPr>
        <w:lastRenderedPageBreak/>
        <w:t>Laboratory tests obtained 2 hours later showed markedly elevated troponin I levels (65,000 ng/L), indicative of myocardial necrosis. Other tests were within normal limits, including a lipid profile, inflammatory markers (C-reactive protein), and renal and hepatic function tests.</w:t>
      </w:r>
    </w:p>
    <w:p w14:paraId="57D42D3C" w14:textId="77777777" w:rsidR="00EC269E" w:rsidRPr="00EC269E" w:rsidRDefault="00EC269E" w:rsidP="00EC269E">
      <w:pPr>
        <w:spacing w:after="0" w:line="240" w:lineRule="auto"/>
        <w:jc w:val="both"/>
        <w:rPr>
          <w:rFonts w:ascii="Arial" w:eastAsia="Calibri" w:hAnsi="Arial" w:cs="Arial"/>
          <w:sz w:val="20"/>
          <w:szCs w:val="20"/>
        </w:rPr>
      </w:pPr>
    </w:p>
    <w:p w14:paraId="0E1F7758" w14:textId="77777777" w:rsidR="00EC269E" w:rsidRPr="00AD7B7F" w:rsidRDefault="00EC269E" w:rsidP="00EC269E">
      <w:pPr>
        <w:spacing w:after="0" w:line="240" w:lineRule="auto"/>
        <w:jc w:val="both"/>
        <w:rPr>
          <w:rFonts w:ascii="Arial" w:eastAsia="Calibri" w:hAnsi="Arial" w:cs="Arial"/>
          <w:sz w:val="20"/>
          <w:szCs w:val="20"/>
        </w:rPr>
      </w:pPr>
      <w:r w:rsidRPr="00EC269E">
        <w:rPr>
          <w:rFonts w:ascii="Arial" w:eastAsia="Calibri" w:hAnsi="Arial" w:cs="Arial"/>
          <w:sz w:val="20"/>
          <w:szCs w:val="20"/>
        </w:rPr>
        <w:t xml:space="preserve">Transthoracic echocardiography (TTE) revealed segmental wall motion abnormalities in the lateral wall, with a preserved left ventricular ejection fraction (LVEF) of 56%. </w:t>
      </w:r>
    </w:p>
    <w:p w14:paraId="370D860E" w14:textId="77777777" w:rsidR="00EC269E" w:rsidRPr="00EC269E" w:rsidRDefault="00EC269E" w:rsidP="00EC269E">
      <w:pPr>
        <w:spacing w:after="0" w:line="240" w:lineRule="auto"/>
        <w:jc w:val="both"/>
        <w:rPr>
          <w:rFonts w:ascii="Arial" w:eastAsia="Calibri" w:hAnsi="Arial" w:cs="Arial"/>
          <w:sz w:val="18"/>
          <w:szCs w:val="18"/>
        </w:rPr>
      </w:pPr>
    </w:p>
    <w:p w14:paraId="683222CA" w14:textId="77777777" w:rsidR="00EC269E" w:rsidRPr="00AD7B7F" w:rsidRDefault="00EC269E" w:rsidP="00EC269E">
      <w:pPr>
        <w:spacing w:after="0" w:line="240" w:lineRule="auto"/>
        <w:jc w:val="both"/>
        <w:rPr>
          <w:rFonts w:ascii="Arial" w:eastAsia="Calibri" w:hAnsi="Arial" w:cs="Arial"/>
          <w:sz w:val="20"/>
          <w:szCs w:val="20"/>
        </w:rPr>
      </w:pPr>
      <w:r w:rsidRPr="00EC269E">
        <w:rPr>
          <w:rFonts w:ascii="Arial" w:eastAsia="Calibri" w:hAnsi="Arial" w:cs="Arial"/>
          <w:sz w:val="20"/>
          <w:szCs w:val="20"/>
        </w:rPr>
        <w:t xml:space="preserve">Treatment included an intravenous infusion of tirofiban, a glycoprotein IIb/IIIa inhibitor, for 24 hours, along with Beta-blocker (metoprolol), angiotensin-converting enzyme (ACE) inhibitor (ramipril), and high-intensity statin therapy (atorvastatin 80 mg daily). </w:t>
      </w:r>
      <w:proofErr w:type="spellStart"/>
      <w:r w:rsidRPr="00EC269E">
        <w:rPr>
          <w:rFonts w:ascii="Arial" w:eastAsia="Calibri" w:hAnsi="Arial" w:cs="Arial"/>
          <w:sz w:val="20"/>
          <w:szCs w:val="20"/>
        </w:rPr>
        <w:t>Thromboaspiration</w:t>
      </w:r>
      <w:proofErr w:type="spellEnd"/>
      <w:r w:rsidRPr="00EC269E">
        <w:rPr>
          <w:rFonts w:ascii="Arial" w:eastAsia="Calibri" w:hAnsi="Arial" w:cs="Arial"/>
          <w:sz w:val="20"/>
          <w:szCs w:val="20"/>
        </w:rPr>
        <w:t xml:space="preserve"> was not performed due to the high risk of distal embolization, and the percutaneous intervention could not be performed due to the unavailability of adequate resources in our catheterization laboratory, and medical therapy was pursued as the primary treatment strategy.</w:t>
      </w:r>
    </w:p>
    <w:p w14:paraId="5D39359C" w14:textId="77777777" w:rsidR="00EC269E" w:rsidRPr="00EC269E" w:rsidRDefault="00EC269E" w:rsidP="00EC269E">
      <w:pPr>
        <w:spacing w:after="0" w:line="240" w:lineRule="auto"/>
        <w:jc w:val="both"/>
        <w:rPr>
          <w:rFonts w:ascii="Arial" w:eastAsia="Calibri" w:hAnsi="Arial" w:cs="Arial"/>
          <w:sz w:val="20"/>
          <w:szCs w:val="20"/>
        </w:rPr>
      </w:pPr>
    </w:p>
    <w:p w14:paraId="666D8595" w14:textId="77777777" w:rsidR="00EC269E" w:rsidRPr="00EC269E" w:rsidRDefault="00EC269E" w:rsidP="00EC269E">
      <w:pPr>
        <w:spacing w:after="0" w:line="240" w:lineRule="auto"/>
        <w:jc w:val="both"/>
        <w:rPr>
          <w:rFonts w:ascii="Arial" w:eastAsia="Calibri" w:hAnsi="Arial" w:cs="Arial"/>
          <w:sz w:val="20"/>
          <w:szCs w:val="20"/>
        </w:rPr>
      </w:pPr>
      <w:r w:rsidRPr="00EC269E">
        <w:rPr>
          <w:rFonts w:ascii="Arial" w:eastAsia="Calibri" w:hAnsi="Arial" w:cs="Arial"/>
          <w:sz w:val="20"/>
          <w:szCs w:val="20"/>
        </w:rPr>
        <w:t>The patient’s symptoms resolved within 24 hours of treatment initiation. During his hospitalization, he remained asymptomatic, and no complications, including arrhythmias or hemodynamic instability, were observed. He was discharged with a treatment plan including dual antiplatelet therapy (aspirin and clopidogrel), high-intensity statins, beta-blockers, and ACE inhibitors, along with smoking cessation counseling.</w:t>
      </w:r>
    </w:p>
    <w:p w14:paraId="12AA9C0B" w14:textId="77777777" w:rsidR="00EC269E" w:rsidRPr="00EC269E" w:rsidRDefault="00EC269E" w:rsidP="00EC269E">
      <w:pPr>
        <w:spacing w:after="0" w:line="240" w:lineRule="auto"/>
        <w:jc w:val="both"/>
        <w:rPr>
          <w:rFonts w:ascii="Arial" w:eastAsia="Calibri" w:hAnsi="Arial" w:cs="Arial"/>
          <w:b/>
          <w:bCs/>
          <w:sz w:val="20"/>
          <w:szCs w:val="20"/>
        </w:rPr>
      </w:pPr>
    </w:p>
    <w:p w14:paraId="36310F97" w14:textId="57CD004D" w:rsidR="00EC269E" w:rsidRPr="00AD7B7F" w:rsidRDefault="00EC269E" w:rsidP="00EC269E">
      <w:pPr>
        <w:pStyle w:val="Heading2"/>
        <w:rPr>
          <w:rFonts w:eastAsia="Calibri"/>
        </w:rPr>
      </w:pPr>
      <w:r w:rsidRPr="00AD7B7F">
        <w:rPr>
          <w:rFonts w:eastAsia="Calibri"/>
        </w:rPr>
        <w:t>3. DISCUSSION</w:t>
      </w:r>
    </w:p>
    <w:p w14:paraId="543E533E" w14:textId="77777777" w:rsidR="00EC269E" w:rsidRPr="00EC269E" w:rsidRDefault="00EC269E" w:rsidP="00EC269E">
      <w:pPr>
        <w:spacing w:after="0" w:line="240" w:lineRule="auto"/>
        <w:jc w:val="both"/>
        <w:rPr>
          <w:rFonts w:ascii="Arial" w:eastAsia="Calibri" w:hAnsi="Arial" w:cs="Arial"/>
          <w:b/>
          <w:bCs/>
          <w:sz w:val="20"/>
          <w:szCs w:val="20"/>
        </w:rPr>
      </w:pPr>
    </w:p>
    <w:p w14:paraId="132FD32C" w14:textId="7D3D82C6" w:rsidR="00EC269E" w:rsidRPr="00AD7B7F" w:rsidRDefault="00EC269E" w:rsidP="00EC269E">
      <w:pPr>
        <w:spacing w:after="0" w:line="240" w:lineRule="auto"/>
        <w:jc w:val="both"/>
        <w:rPr>
          <w:rFonts w:ascii="Arial" w:eastAsia="Calibri" w:hAnsi="Arial" w:cs="Arial"/>
          <w:sz w:val="20"/>
          <w:szCs w:val="20"/>
        </w:rPr>
      </w:pPr>
      <w:r w:rsidRPr="00EC269E">
        <w:rPr>
          <w:rFonts w:ascii="Arial" w:eastAsia="Calibri" w:hAnsi="Arial" w:cs="Arial"/>
          <w:sz w:val="20"/>
          <w:szCs w:val="20"/>
        </w:rPr>
        <w:t xml:space="preserve">Managing STEMI in patients with coronary artery ectasia (CAE) requires a nuanced approach due to the unique structural and functional abnormalities associated with </w:t>
      </w:r>
      <w:proofErr w:type="spellStart"/>
      <w:r w:rsidRPr="00EC269E">
        <w:rPr>
          <w:rFonts w:ascii="Arial" w:eastAsia="Calibri" w:hAnsi="Arial" w:cs="Arial"/>
          <w:sz w:val="20"/>
          <w:szCs w:val="20"/>
        </w:rPr>
        <w:t>ectatic</w:t>
      </w:r>
      <w:proofErr w:type="spellEnd"/>
      <w:r w:rsidRPr="00EC269E">
        <w:rPr>
          <w:rFonts w:ascii="Arial" w:eastAsia="Calibri" w:hAnsi="Arial" w:cs="Arial"/>
          <w:sz w:val="20"/>
          <w:szCs w:val="20"/>
        </w:rPr>
        <w:t xml:space="preserve"> vessels. The dilated and irregular anatomy of </w:t>
      </w:r>
      <w:proofErr w:type="spellStart"/>
      <w:r w:rsidRPr="00EC269E">
        <w:rPr>
          <w:rFonts w:ascii="Arial" w:eastAsia="Calibri" w:hAnsi="Arial" w:cs="Arial"/>
          <w:sz w:val="20"/>
          <w:szCs w:val="20"/>
        </w:rPr>
        <w:t>ectatic</w:t>
      </w:r>
      <w:proofErr w:type="spellEnd"/>
      <w:r w:rsidRPr="00EC269E">
        <w:rPr>
          <w:rFonts w:ascii="Arial" w:eastAsia="Calibri" w:hAnsi="Arial" w:cs="Arial"/>
          <w:sz w:val="20"/>
          <w:szCs w:val="20"/>
        </w:rPr>
        <w:t xml:space="preserve"> arteries results in turbulent blood flow, endothelial dysfunction, and a prothrombotic state, increasing the risk of thrombus formation and distal embolization </w:t>
      </w:r>
      <w:r w:rsidRPr="00AD7B7F">
        <w:rPr>
          <w:rFonts w:ascii="Arial" w:eastAsia="Calibri" w:hAnsi="Arial" w:cs="Arial"/>
          <w:sz w:val="20"/>
          <w:szCs w:val="20"/>
        </w:rPr>
        <w:t xml:space="preserve">(Esposito et al., 2022, </w:t>
      </w:r>
      <w:proofErr w:type="spellStart"/>
      <w:r w:rsidRPr="00AD7B7F">
        <w:rPr>
          <w:rFonts w:ascii="Arial" w:eastAsia="Calibri" w:hAnsi="Arial" w:cs="Arial"/>
          <w:sz w:val="20"/>
          <w:szCs w:val="20"/>
        </w:rPr>
        <w:t>Mavrogeni</w:t>
      </w:r>
      <w:proofErr w:type="spellEnd"/>
      <w:r w:rsidRPr="00AD7B7F">
        <w:rPr>
          <w:rFonts w:ascii="Arial" w:eastAsia="Calibri" w:hAnsi="Arial" w:cs="Arial"/>
          <w:sz w:val="20"/>
          <w:szCs w:val="20"/>
        </w:rPr>
        <w:t xml:space="preserve">, 2024). </w:t>
      </w:r>
      <w:r w:rsidRPr="00EC269E">
        <w:rPr>
          <w:rFonts w:ascii="Arial" w:eastAsia="Calibri" w:hAnsi="Arial" w:cs="Arial"/>
          <w:sz w:val="20"/>
          <w:szCs w:val="20"/>
        </w:rPr>
        <w:t>This predisposes patients to acute coronary syndromes (ACS), particularly STEMI, which complicates both diagnosis and management</w:t>
      </w:r>
      <w:r w:rsidRPr="00AD7B7F">
        <w:rPr>
          <w:rFonts w:ascii="Arial" w:eastAsia="Calibri" w:hAnsi="Arial" w:cs="Arial"/>
          <w:sz w:val="20"/>
          <w:szCs w:val="20"/>
        </w:rPr>
        <w:t xml:space="preserve"> (</w:t>
      </w:r>
      <w:proofErr w:type="spellStart"/>
      <w:r w:rsidRPr="00AD7B7F">
        <w:rPr>
          <w:rFonts w:ascii="Arial" w:eastAsia="Calibri" w:hAnsi="Arial" w:cs="Arial"/>
          <w:sz w:val="20"/>
          <w:szCs w:val="20"/>
        </w:rPr>
        <w:t>Buleu</w:t>
      </w:r>
      <w:proofErr w:type="spellEnd"/>
      <w:r w:rsidRPr="00AD7B7F">
        <w:rPr>
          <w:rFonts w:ascii="Arial" w:eastAsia="Calibri" w:hAnsi="Arial" w:cs="Arial"/>
          <w:sz w:val="20"/>
          <w:szCs w:val="20"/>
        </w:rPr>
        <w:t xml:space="preserve"> et al., 2019).</w:t>
      </w:r>
    </w:p>
    <w:p w14:paraId="769D8450" w14:textId="77777777" w:rsidR="00EC269E" w:rsidRPr="00EC269E" w:rsidRDefault="00EC269E" w:rsidP="00EC269E">
      <w:pPr>
        <w:spacing w:after="0" w:line="240" w:lineRule="auto"/>
        <w:jc w:val="both"/>
        <w:rPr>
          <w:rFonts w:ascii="Arial" w:eastAsia="Calibri" w:hAnsi="Arial" w:cs="Arial"/>
          <w:sz w:val="20"/>
          <w:szCs w:val="20"/>
        </w:rPr>
      </w:pPr>
    </w:p>
    <w:p w14:paraId="59AFB52A" w14:textId="4EE9ECF4" w:rsidR="00EC269E" w:rsidRPr="00AD7B7F" w:rsidRDefault="00EC269E" w:rsidP="00EC269E">
      <w:pPr>
        <w:spacing w:after="0" w:line="240" w:lineRule="auto"/>
        <w:jc w:val="both"/>
        <w:rPr>
          <w:rFonts w:ascii="Arial" w:eastAsia="Calibri" w:hAnsi="Arial" w:cs="Arial"/>
          <w:b/>
          <w:bCs/>
        </w:rPr>
      </w:pPr>
      <w:r w:rsidRPr="00AD7B7F">
        <w:rPr>
          <w:rFonts w:ascii="Arial" w:eastAsia="Calibri" w:hAnsi="Arial" w:cs="Arial"/>
          <w:b/>
          <w:bCs/>
        </w:rPr>
        <w:t xml:space="preserve">3.1 </w:t>
      </w:r>
      <w:r w:rsidRPr="00EC269E">
        <w:rPr>
          <w:rFonts w:ascii="Arial" w:eastAsia="Calibri" w:hAnsi="Arial" w:cs="Arial"/>
          <w:b/>
          <w:bCs/>
        </w:rPr>
        <w:t>Diagnostic Challenges</w:t>
      </w:r>
    </w:p>
    <w:p w14:paraId="6A47D53C" w14:textId="77777777" w:rsidR="009423FD" w:rsidRPr="00AD7B7F" w:rsidRDefault="009423FD" w:rsidP="00EC269E">
      <w:pPr>
        <w:spacing w:after="0" w:line="240" w:lineRule="auto"/>
        <w:jc w:val="both"/>
        <w:rPr>
          <w:rFonts w:ascii="Arial" w:eastAsia="Calibri" w:hAnsi="Arial" w:cs="Arial"/>
          <w:b/>
          <w:bCs/>
        </w:rPr>
      </w:pPr>
    </w:p>
    <w:p w14:paraId="2CC5051E" w14:textId="2B2E8379" w:rsidR="00EC269E" w:rsidRPr="00AD7B7F" w:rsidRDefault="00EC269E" w:rsidP="00EC269E">
      <w:pPr>
        <w:spacing w:after="0" w:line="240" w:lineRule="auto"/>
        <w:jc w:val="both"/>
        <w:rPr>
          <w:rFonts w:ascii="Arial" w:eastAsia="Calibri" w:hAnsi="Arial" w:cs="Arial"/>
          <w:sz w:val="20"/>
          <w:szCs w:val="20"/>
        </w:rPr>
      </w:pPr>
      <w:r w:rsidRPr="00EC269E">
        <w:rPr>
          <w:rFonts w:ascii="Arial" w:eastAsia="Calibri" w:hAnsi="Arial" w:cs="Arial"/>
          <w:sz w:val="20"/>
          <w:szCs w:val="20"/>
        </w:rPr>
        <w:t xml:space="preserve">The diagnosis of CAE relies heavily on coronary angiography, which remains the gold standard for visualizing vessel morphology and identifying </w:t>
      </w:r>
      <w:r w:rsidRPr="00EC269E">
        <w:rPr>
          <w:rFonts w:ascii="Arial" w:eastAsia="Calibri" w:hAnsi="Arial" w:cs="Arial"/>
          <w:sz w:val="20"/>
          <w:szCs w:val="20"/>
        </w:rPr>
        <w:t>complications such as thrombosis or slow coronary flow</w:t>
      </w:r>
      <w:r w:rsidRPr="00AD7B7F">
        <w:t xml:space="preserve"> (</w:t>
      </w:r>
      <w:r w:rsidRPr="00AD7B7F">
        <w:rPr>
          <w:rFonts w:ascii="Arial" w:eastAsia="Calibri" w:hAnsi="Arial" w:cs="Arial"/>
          <w:sz w:val="20"/>
          <w:szCs w:val="20"/>
        </w:rPr>
        <w:t>Esposito et al., 2022)</w:t>
      </w:r>
      <w:r w:rsidRPr="00EC269E">
        <w:rPr>
          <w:rFonts w:ascii="Arial" w:eastAsia="Calibri" w:hAnsi="Arial" w:cs="Arial"/>
          <w:sz w:val="20"/>
          <w:szCs w:val="20"/>
        </w:rPr>
        <w:t>. Markis et al. proposed a classification of coronary artery ectasia based on the extent and number of involved coronary vessels</w:t>
      </w:r>
      <w:r w:rsidRPr="00AD7B7F">
        <w:rPr>
          <w:rFonts w:ascii="Arial" w:eastAsia="Calibri" w:hAnsi="Arial" w:cs="Arial"/>
          <w:sz w:val="20"/>
          <w:szCs w:val="20"/>
        </w:rPr>
        <w:t xml:space="preserve"> (Markis et al., 1976)</w:t>
      </w:r>
      <w:r w:rsidRPr="00EC269E">
        <w:rPr>
          <w:rFonts w:ascii="Arial" w:eastAsia="Calibri" w:hAnsi="Arial" w:cs="Arial"/>
          <w:sz w:val="20"/>
          <w:szCs w:val="20"/>
        </w:rPr>
        <w:t>. In this case, angiography confirmed type III CAE in the circumflex artery, with complete thrombotic occlusion causing STEMI. Advanced imaging techniques such as intravascular ultrasound (IVUS) and optical coherence tomography (OCT) provide insights into plaque morphology and thrombus burden, potentially guiding therapeutic decisions in complex cases</w:t>
      </w:r>
      <w:r w:rsidRPr="00AD7B7F">
        <w:rPr>
          <w:rFonts w:ascii="Arial" w:eastAsia="Calibri" w:hAnsi="Arial" w:cs="Arial"/>
          <w:sz w:val="20"/>
          <w:szCs w:val="20"/>
        </w:rPr>
        <w:t xml:space="preserve"> (</w:t>
      </w:r>
      <w:proofErr w:type="spellStart"/>
      <w:r w:rsidRPr="00AD7B7F">
        <w:rPr>
          <w:rFonts w:ascii="Arial" w:eastAsia="Calibri" w:hAnsi="Arial" w:cs="Arial"/>
          <w:sz w:val="20"/>
          <w:szCs w:val="20"/>
        </w:rPr>
        <w:t>Mavrogeni</w:t>
      </w:r>
      <w:proofErr w:type="spellEnd"/>
      <w:r w:rsidRPr="00AD7B7F">
        <w:rPr>
          <w:rFonts w:ascii="Arial" w:eastAsia="Calibri" w:hAnsi="Arial" w:cs="Arial"/>
          <w:sz w:val="20"/>
          <w:szCs w:val="20"/>
        </w:rPr>
        <w:t>, 2024, Maehara et al., 2001)</w:t>
      </w:r>
      <w:r w:rsidRPr="00EC269E">
        <w:rPr>
          <w:rFonts w:ascii="Arial" w:eastAsia="Calibri" w:hAnsi="Arial" w:cs="Arial"/>
          <w:sz w:val="20"/>
          <w:szCs w:val="20"/>
        </w:rPr>
        <w:t xml:space="preserve">. Angiographic findings, including delayed contrast clearance and segmental backflow, are characteristic of </w:t>
      </w:r>
      <w:proofErr w:type="spellStart"/>
      <w:r w:rsidRPr="00EC269E">
        <w:rPr>
          <w:rFonts w:ascii="Arial" w:eastAsia="Calibri" w:hAnsi="Arial" w:cs="Arial"/>
          <w:sz w:val="20"/>
          <w:szCs w:val="20"/>
        </w:rPr>
        <w:t>ectatic</w:t>
      </w:r>
      <w:proofErr w:type="spellEnd"/>
      <w:r w:rsidRPr="00EC269E">
        <w:rPr>
          <w:rFonts w:ascii="Arial" w:eastAsia="Calibri" w:hAnsi="Arial" w:cs="Arial"/>
          <w:sz w:val="20"/>
          <w:szCs w:val="20"/>
        </w:rPr>
        <w:t xml:space="preserve"> vessels, aiding diagnosis</w:t>
      </w:r>
      <w:r w:rsidRPr="00AD7B7F">
        <w:rPr>
          <w:rFonts w:ascii="Arial" w:eastAsia="Calibri" w:hAnsi="Arial" w:cs="Arial"/>
          <w:sz w:val="20"/>
          <w:szCs w:val="20"/>
        </w:rPr>
        <w:t xml:space="preserve"> (</w:t>
      </w:r>
      <w:proofErr w:type="spellStart"/>
      <w:r w:rsidRPr="00AD7B7F">
        <w:rPr>
          <w:rFonts w:ascii="Arial" w:eastAsia="Calibri" w:hAnsi="Arial" w:cs="Arial"/>
          <w:sz w:val="20"/>
          <w:szCs w:val="20"/>
        </w:rPr>
        <w:t>Buleu</w:t>
      </w:r>
      <w:proofErr w:type="spellEnd"/>
      <w:r w:rsidRPr="00AD7B7F">
        <w:rPr>
          <w:rFonts w:ascii="Arial" w:eastAsia="Calibri" w:hAnsi="Arial" w:cs="Arial"/>
          <w:sz w:val="20"/>
          <w:szCs w:val="20"/>
        </w:rPr>
        <w:t xml:space="preserve"> et al., 2019)</w:t>
      </w:r>
      <w:r w:rsidRPr="00EC269E">
        <w:rPr>
          <w:rFonts w:ascii="Arial" w:eastAsia="Calibri" w:hAnsi="Arial" w:cs="Arial"/>
          <w:sz w:val="20"/>
          <w:szCs w:val="20"/>
        </w:rPr>
        <w:t>.</w:t>
      </w:r>
    </w:p>
    <w:p w14:paraId="2A2C98A9" w14:textId="77777777" w:rsidR="009423FD" w:rsidRPr="00AD7B7F" w:rsidRDefault="009423FD" w:rsidP="00EC269E">
      <w:pPr>
        <w:spacing w:after="0" w:line="240" w:lineRule="auto"/>
        <w:jc w:val="both"/>
        <w:rPr>
          <w:rFonts w:ascii="Arial" w:eastAsia="Calibri" w:hAnsi="Arial" w:cs="Arial"/>
          <w:sz w:val="20"/>
          <w:szCs w:val="20"/>
        </w:rPr>
      </w:pPr>
    </w:p>
    <w:p w14:paraId="324E64EB" w14:textId="77777777" w:rsidR="009423FD" w:rsidRPr="00AD7B7F" w:rsidRDefault="009423FD" w:rsidP="009423FD">
      <w:pPr>
        <w:spacing w:after="0" w:line="240" w:lineRule="auto"/>
        <w:jc w:val="both"/>
        <w:rPr>
          <w:rFonts w:ascii="Arial" w:eastAsia="Calibri" w:hAnsi="Arial" w:cs="Arial"/>
          <w:b/>
          <w:bCs/>
        </w:rPr>
      </w:pPr>
      <w:r w:rsidRPr="00AD7B7F">
        <w:rPr>
          <w:rFonts w:ascii="Arial" w:eastAsia="Calibri" w:hAnsi="Arial" w:cs="Arial"/>
          <w:b/>
          <w:bCs/>
        </w:rPr>
        <w:t xml:space="preserve">3.2 </w:t>
      </w:r>
      <w:r w:rsidRPr="00EC269E">
        <w:rPr>
          <w:rFonts w:ascii="Arial" w:eastAsia="Calibri" w:hAnsi="Arial" w:cs="Arial"/>
          <w:b/>
          <w:bCs/>
        </w:rPr>
        <w:t>Interventional Limitations</w:t>
      </w:r>
    </w:p>
    <w:p w14:paraId="048266DD" w14:textId="100BEECB" w:rsidR="009423FD" w:rsidRPr="00AD7B7F" w:rsidRDefault="009423FD" w:rsidP="009423FD">
      <w:pPr>
        <w:spacing w:after="0" w:line="240" w:lineRule="auto"/>
        <w:jc w:val="both"/>
        <w:rPr>
          <w:rFonts w:ascii="Arial" w:eastAsia="Calibri" w:hAnsi="Arial" w:cs="Arial"/>
          <w:sz w:val="20"/>
          <w:szCs w:val="20"/>
        </w:rPr>
      </w:pPr>
      <w:r w:rsidRPr="00EC269E">
        <w:rPr>
          <w:rFonts w:ascii="Arial" w:eastAsia="Calibri" w:hAnsi="Arial" w:cs="Arial"/>
          <w:sz w:val="20"/>
          <w:szCs w:val="20"/>
        </w:rPr>
        <w:br/>
      </w:r>
      <w:r w:rsidR="00AA3D9B" w:rsidRPr="00AD7B7F">
        <w:rPr>
          <w:rFonts w:ascii="Arial" w:eastAsia="Calibri" w:hAnsi="Arial" w:cs="Arial"/>
          <w:sz w:val="20"/>
          <w:szCs w:val="20"/>
        </w:rPr>
        <w:t xml:space="preserve">The </w:t>
      </w:r>
      <w:r w:rsidRPr="00EC269E">
        <w:rPr>
          <w:rFonts w:ascii="Arial" w:eastAsia="Calibri" w:hAnsi="Arial" w:cs="Arial"/>
          <w:sz w:val="20"/>
          <w:szCs w:val="20"/>
        </w:rPr>
        <w:t xml:space="preserve">management of STEMI in CAE often diverges from standard protocols due to the increased risk of complications with interventional strategies. PCI, though a mainstay in STEMI treatment, poses challenges in </w:t>
      </w:r>
      <w:proofErr w:type="spellStart"/>
      <w:r w:rsidRPr="00EC269E">
        <w:rPr>
          <w:rFonts w:ascii="Arial" w:eastAsia="Calibri" w:hAnsi="Arial" w:cs="Arial"/>
          <w:sz w:val="20"/>
          <w:szCs w:val="20"/>
        </w:rPr>
        <w:t>ectatic</w:t>
      </w:r>
      <w:proofErr w:type="spellEnd"/>
      <w:r w:rsidRPr="00EC269E">
        <w:rPr>
          <w:rFonts w:ascii="Arial" w:eastAsia="Calibri" w:hAnsi="Arial" w:cs="Arial"/>
          <w:sz w:val="20"/>
          <w:szCs w:val="20"/>
        </w:rPr>
        <w:t xml:space="preserve"> arteries because large thrombi and irregular vessel walls heighten the risk of distal embolization and no-reflow phenomena</w:t>
      </w:r>
      <w:r w:rsidRPr="00AD7B7F">
        <w:rPr>
          <w:rFonts w:ascii="Arial" w:eastAsia="Calibri" w:hAnsi="Arial" w:cs="Arial"/>
          <w:sz w:val="20"/>
          <w:szCs w:val="20"/>
        </w:rPr>
        <w:t xml:space="preserve"> (Esposito et al., 2022, </w:t>
      </w:r>
      <w:proofErr w:type="spellStart"/>
      <w:r w:rsidRPr="00AD7B7F">
        <w:rPr>
          <w:rFonts w:ascii="Arial" w:eastAsia="Calibri" w:hAnsi="Arial" w:cs="Arial"/>
          <w:sz w:val="20"/>
          <w:szCs w:val="20"/>
        </w:rPr>
        <w:t>Bogana</w:t>
      </w:r>
      <w:proofErr w:type="spellEnd"/>
      <w:r w:rsidRPr="00AD7B7F">
        <w:rPr>
          <w:rFonts w:ascii="Arial" w:eastAsia="Calibri" w:hAnsi="Arial" w:cs="Arial"/>
          <w:sz w:val="20"/>
          <w:szCs w:val="20"/>
        </w:rPr>
        <w:t xml:space="preserve"> Shanmugam et al., 2017)</w:t>
      </w:r>
      <w:r w:rsidRPr="00EC269E">
        <w:rPr>
          <w:rFonts w:ascii="Arial" w:eastAsia="Calibri" w:hAnsi="Arial" w:cs="Arial"/>
          <w:sz w:val="20"/>
          <w:szCs w:val="20"/>
        </w:rPr>
        <w:t xml:space="preserve">. Recent studies, including </w:t>
      </w:r>
      <w:proofErr w:type="spellStart"/>
      <w:r w:rsidRPr="00EC269E">
        <w:rPr>
          <w:rFonts w:ascii="Arial" w:eastAsia="Calibri" w:hAnsi="Arial" w:cs="Arial"/>
          <w:sz w:val="20"/>
          <w:szCs w:val="20"/>
        </w:rPr>
        <w:t>Shousha</w:t>
      </w:r>
      <w:proofErr w:type="spellEnd"/>
      <w:r w:rsidRPr="00EC269E">
        <w:rPr>
          <w:rFonts w:ascii="Arial" w:eastAsia="Calibri" w:hAnsi="Arial" w:cs="Arial"/>
          <w:sz w:val="20"/>
          <w:szCs w:val="20"/>
        </w:rPr>
        <w:t xml:space="preserve"> et al., have identified the C-reactive protein to albumin ratio (CRP/albumin ratio) as a predictor of no-reflow after primary PCI in patients with STEMI and coronary artery ectasia </w:t>
      </w:r>
      <w:r w:rsidRPr="00AD7B7F">
        <w:rPr>
          <w:rFonts w:ascii="Arial" w:eastAsia="Calibri" w:hAnsi="Arial" w:cs="Arial"/>
          <w:sz w:val="20"/>
          <w:szCs w:val="20"/>
        </w:rPr>
        <w:t>(</w:t>
      </w:r>
      <w:proofErr w:type="spellStart"/>
      <w:r w:rsidRPr="00AD7B7F">
        <w:rPr>
          <w:rFonts w:ascii="Arial" w:eastAsia="Calibri" w:hAnsi="Arial" w:cs="Arial"/>
          <w:sz w:val="20"/>
          <w:szCs w:val="20"/>
        </w:rPr>
        <w:t>Shousha</w:t>
      </w:r>
      <w:proofErr w:type="spellEnd"/>
      <w:r w:rsidRPr="00AD7B7F">
        <w:rPr>
          <w:rFonts w:ascii="Arial" w:eastAsia="Calibri" w:hAnsi="Arial" w:cs="Arial"/>
          <w:sz w:val="20"/>
          <w:szCs w:val="20"/>
        </w:rPr>
        <w:t xml:space="preserve"> et al., 2020)</w:t>
      </w:r>
      <w:r w:rsidRPr="00EC269E">
        <w:rPr>
          <w:rFonts w:ascii="Arial" w:eastAsia="Calibri" w:hAnsi="Arial" w:cs="Arial"/>
          <w:sz w:val="20"/>
          <w:szCs w:val="20"/>
        </w:rPr>
        <w:t xml:space="preserve">. While </w:t>
      </w:r>
      <w:proofErr w:type="spellStart"/>
      <w:r w:rsidRPr="00EC269E">
        <w:rPr>
          <w:rFonts w:ascii="Arial" w:eastAsia="Calibri" w:hAnsi="Arial" w:cs="Arial"/>
          <w:sz w:val="20"/>
          <w:szCs w:val="20"/>
        </w:rPr>
        <w:t>thromboaspiration</w:t>
      </w:r>
      <w:proofErr w:type="spellEnd"/>
      <w:r w:rsidRPr="00EC269E">
        <w:rPr>
          <w:rFonts w:ascii="Arial" w:eastAsia="Calibri" w:hAnsi="Arial" w:cs="Arial"/>
          <w:sz w:val="20"/>
          <w:szCs w:val="20"/>
        </w:rPr>
        <w:t xml:space="preserve"> has been proposed as an alternative approach for managing large thrombi, its role in CAE remains controversial. Studies have highlighted the potential for embolic complications, as observed in our case.</w:t>
      </w:r>
    </w:p>
    <w:p w14:paraId="19B0D772" w14:textId="77777777" w:rsidR="009423FD" w:rsidRPr="00EC269E" w:rsidRDefault="009423FD" w:rsidP="009423FD">
      <w:pPr>
        <w:spacing w:after="0" w:line="240" w:lineRule="auto"/>
        <w:jc w:val="both"/>
        <w:rPr>
          <w:rFonts w:ascii="Arial" w:eastAsia="Calibri" w:hAnsi="Arial" w:cs="Arial"/>
          <w:sz w:val="20"/>
          <w:szCs w:val="20"/>
        </w:rPr>
      </w:pPr>
    </w:p>
    <w:p w14:paraId="3DB07431" w14:textId="299AD1DE" w:rsidR="009423FD" w:rsidRPr="00AD7B7F" w:rsidRDefault="009423FD" w:rsidP="00EC269E">
      <w:pPr>
        <w:spacing w:after="0" w:line="240" w:lineRule="auto"/>
        <w:jc w:val="both"/>
        <w:rPr>
          <w:rFonts w:ascii="Arial" w:eastAsia="Calibri" w:hAnsi="Arial" w:cs="Arial"/>
          <w:sz w:val="20"/>
          <w:szCs w:val="20"/>
        </w:rPr>
      </w:pPr>
      <w:r w:rsidRPr="00EC269E">
        <w:rPr>
          <w:rFonts w:ascii="Arial" w:eastAsia="Calibri" w:hAnsi="Arial" w:cs="Arial"/>
          <w:sz w:val="20"/>
          <w:szCs w:val="20"/>
        </w:rPr>
        <w:t xml:space="preserve">In this case, the decision to pursue medical management over PCI or </w:t>
      </w:r>
      <w:proofErr w:type="spellStart"/>
      <w:r w:rsidRPr="00EC269E">
        <w:rPr>
          <w:rFonts w:ascii="Arial" w:eastAsia="Calibri" w:hAnsi="Arial" w:cs="Arial"/>
          <w:sz w:val="20"/>
          <w:szCs w:val="20"/>
        </w:rPr>
        <w:t>thromboaspiration</w:t>
      </w:r>
      <w:proofErr w:type="spellEnd"/>
      <w:r w:rsidRPr="00EC269E">
        <w:rPr>
          <w:rFonts w:ascii="Arial" w:eastAsia="Calibri" w:hAnsi="Arial" w:cs="Arial"/>
          <w:sz w:val="20"/>
          <w:szCs w:val="20"/>
        </w:rPr>
        <w:t xml:space="preserve"> was influenced by resource limitations and the high thrombotic burden. However, the literature reports similar cases where therapeutic strategies vary according to available resources, with angioplasty or coronary artery bypass grafting sometimes being used</w:t>
      </w:r>
      <w:r w:rsidRPr="00AD7B7F">
        <w:rPr>
          <w:rFonts w:ascii="Arial" w:eastAsia="Calibri" w:hAnsi="Arial" w:cs="Arial"/>
          <w:sz w:val="20"/>
          <w:szCs w:val="20"/>
        </w:rPr>
        <w:t xml:space="preserve"> (Ahmad et al., 2019)</w:t>
      </w:r>
      <w:r w:rsidRPr="00EC269E">
        <w:rPr>
          <w:rFonts w:ascii="Arial" w:eastAsia="Calibri" w:hAnsi="Arial" w:cs="Arial"/>
          <w:sz w:val="20"/>
          <w:szCs w:val="20"/>
        </w:rPr>
        <w:t xml:space="preserve">. Pharmacologic stabilization using tirofiban, a glycoprotein IIb/IIIa inhibitor, played a pivotal role in reducing thrombus burden and mitigating distal embolization. Glycoprotein inhibitors effectively stabilize thrombotic occlusions, especially in patients with high-risk anatomy like </w:t>
      </w:r>
      <w:proofErr w:type="spellStart"/>
      <w:r w:rsidRPr="00EC269E">
        <w:rPr>
          <w:rFonts w:ascii="Arial" w:eastAsia="Calibri" w:hAnsi="Arial" w:cs="Arial"/>
          <w:sz w:val="20"/>
          <w:szCs w:val="20"/>
        </w:rPr>
        <w:t>ectatic</w:t>
      </w:r>
      <w:proofErr w:type="spellEnd"/>
      <w:r w:rsidRPr="00EC269E">
        <w:rPr>
          <w:rFonts w:ascii="Arial" w:eastAsia="Calibri" w:hAnsi="Arial" w:cs="Arial"/>
          <w:sz w:val="20"/>
          <w:szCs w:val="20"/>
        </w:rPr>
        <w:t xml:space="preserve"> vessels </w:t>
      </w:r>
      <w:r w:rsidRPr="00AD7B7F">
        <w:rPr>
          <w:rFonts w:ascii="Arial" w:eastAsia="Calibri" w:hAnsi="Arial" w:cs="Arial"/>
          <w:sz w:val="20"/>
          <w:szCs w:val="20"/>
        </w:rPr>
        <w:t>(Esposito et al., 2022, Baldi et al., 2022, Ozcan et al., 2015).</w:t>
      </w:r>
    </w:p>
    <w:p w14:paraId="59C27C63" w14:textId="77777777" w:rsidR="009423FD" w:rsidRPr="00AD7B7F" w:rsidRDefault="009423FD" w:rsidP="009423FD">
      <w:pPr>
        <w:spacing w:after="0" w:line="240" w:lineRule="auto"/>
        <w:jc w:val="both"/>
        <w:rPr>
          <w:rFonts w:ascii="Arial" w:eastAsia="Calibri" w:hAnsi="Arial" w:cs="Arial"/>
          <w:b/>
          <w:bCs/>
        </w:rPr>
      </w:pPr>
      <w:r w:rsidRPr="00AD7B7F">
        <w:rPr>
          <w:rFonts w:ascii="Arial" w:eastAsia="Calibri" w:hAnsi="Arial" w:cs="Arial"/>
          <w:b/>
          <w:bCs/>
        </w:rPr>
        <w:lastRenderedPageBreak/>
        <w:t xml:space="preserve">3.3 </w:t>
      </w:r>
      <w:r w:rsidRPr="00EC269E">
        <w:rPr>
          <w:rFonts w:ascii="Arial" w:eastAsia="Calibri" w:hAnsi="Arial" w:cs="Arial"/>
          <w:b/>
          <w:bCs/>
        </w:rPr>
        <w:t>Pharmacologic Strategies</w:t>
      </w:r>
    </w:p>
    <w:p w14:paraId="152AC180" w14:textId="77777777" w:rsidR="009423FD" w:rsidRPr="00AD7B7F" w:rsidRDefault="009423FD" w:rsidP="009423FD">
      <w:pPr>
        <w:spacing w:after="0" w:line="240" w:lineRule="auto"/>
        <w:jc w:val="both"/>
        <w:rPr>
          <w:rFonts w:ascii="Arial" w:eastAsia="Calibri" w:hAnsi="Arial" w:cs="Arial"/>
          <w:sz w:val="20"/>
          <w:szCs w:val="20"/>
        </w:rPr>
      </w:pPr>
      <w:r w:rsidRPr="00EC269E">
        <w:rPr>
          <w:rFonts w:ascii="Arial" w:eastAsia="Calibri" w:hAnsi="Arial" w:cs="Arial"/>
          <w:sz w:val="20"/>
          <w:szCs w:val="20"/>
        </w:rPr>
        <w:br/>
        <w:t xml:space="preserve">Pharmacologic therapy is the cornerstone of management for STEMI in CAE, particularly when interventional strategies are limited. Dual antiplatelet therapy (DAPT) with aspirin and clopidogrel forms the foundation for preventing recurrent thrombotic events, especially in acute thrombotic occlusions </w:t>
      </w:r>
      <w:r w:rsidRPr="00AD7B7F">
        <w:rPr>
          <w:rFonts w:ascii="Arial" w:eastAsia="Calibri" w:hAnsi="Arial" w:cs="Arial"/>
          <w:sz w:val="20"/>
          <w:szCs w:val="20"/>
        </w:rPr>
        <w:t xml:space="preserve">(Esposito et al., 2022, </w:t>
      </w:r>
      <w:proofErr w:type="spellStart"/>
      <w:r w:rsidRPr="00AD7B7F">
        <w:rPr>
          <w:rFonts w:ascii="Arial" w:eastAsia="Calibri" w:hAnsi="Arial" w:cs="Arial"/>
          <w:sz w:val="20"/>
          <w:szCs w:val="20"/>
        </w:rPr>
        <w:t>Kawsara</w:t>
      </w:r>
      <w:proofErr w:type="spellEnd"/>
      <w:r w:rsidRPr="00AD7B7F">
        <w:rPr>
          <w:rFonts w:ascii="Arial" w:eastAsia="Calibri" w:hAnsi="Arial" w:cs="Arial"/>
          <w:sz w:val="20"/>
          <w:szCs w:val="20"/>
        </w:rPr>
        <w:t xml:space="preserve"> et al., 2018, Khedr et al., 2021).</w:t>
      </w:r>
      <w:r w:rsidRPr="00EC269E">
        <w:rPr>
          <w:rFonts w:ascii="Arial" w:eastAsia="Calibri" w:hAnsi="Arial" w:cs="Arial"/>
          <w:sz w:val="20"/>
          <w:szCs w:val="20"/>
        </w:rPr>
        <w:t xml:space="preserve"> High-intensity statin therapy is crucial for its anti-inflammatory and plaque-stabilizing effects, as it inhibits matrix metalloproteinase (MMP) activity and reduces vascular wall degradation, a key factor in CAE pathophysiology </w:t>
      </w:r>
      <w:r w:rsidRPr="00AD7B7F">
        <w:rPr>
          <w:rFonts w:ascii="Arial" w:eastAsia="Calibri" w:hAnsi="Arial" w:cs="Arial"/>
          <w:sz w:val="20"/>
          <w:szCs w:val="20"/>
        </w:rPr>
        <w:t>(Fan et al., 2020,</w:t>
      </w:r>
      <w:r w:rsidRPr="00AD7B7F">
        <w:t xml:space="preserve"> </w:t>
      </w:r>
      <w:proofErr w:type="spellStart"/>
      <w:r w:rsidRPr="00AD7B7F">
        <w:rPr>
          <w:rFonts w:ascii="Arial" w:eastAsia="Calibri" w:hAnsi="Arial" w:cs="Arial"/>
          <w:sz w:val="20"/>
          <w:szCs w:val="20"/>
        </w:rPr>
        <w:t>Gülec</w:t>
      </w:r>
      <w:proofErr w:type="spellEnd"/>
      <w:r w:rsidRPr="00AD7B7F">
        <w:rPr>
          <w:rFonts w:ascii="Arial" w:eastAsia="Calibri" w:hAnsi="Arial" w:cs="Arial"/>
          <w:sz w:val="20"/>
          <w:szCs w:val="20"/>
        </w:rPr>
        <w:t xml:space="preserve"> et al., 2003).</w:t>
      </w:r>
    </w:p>
    <w:p w14:paraId="244E15AE" w14:textId="77777777" w:rsidR="009423FD" w:rsidRPr="00EC269E" w:rsidRDefault="009423FD" w:rsidP="009423FD">
      <w:pPr>
        <w:spacing w:after="0" w:line="240" w:lineRule="auto"/>
        <w:jc w:val="both"/>
        <w:rPr>
          <w:rFonts w:ascii="Arial" w:eastAsia="Calibri" w:hAnsi="Arial" w:cs="Arial"/>
          <w:sz w:val="20"/>
          <w:szCs w:val="20"/>
        </w:rPr>
      </w:pPr>
    </w:p>
    <w:p w14:paraId="62A2874E" w14:textId="77777777" w:rsidR="009423FD" w:rsidRPr="00AD7B7F" w:rsidRDefault="009423FD" w:rsidP="009423FD">
      <w:pPr>
        <w:spacing w:after="0" w:line="240" w:lineRule="auto"/>
        <w:jc w:val="both"/>
        <w:rPr>
          <w:rFonts w:ascii="Arial" w:eastAsia="Calibri" w:hAnsi="Arial" w:cs="Arial"/>
          <w:sz w:val="20"/>
          <w:szCs w:val="20"/>
        </w:rPr>
      </w:pPr>
      <w:r w:rsidRPr="00EC269E">
        <w:rPr>
          <w:rFonts w:ascii="Arial" w:eastAsia="Calibri" w:hAnsi="Arial" w:cs="Arial"/>
          <w:sz w:val="20"/>
          <w:szCs w:val="20"/>
        </w:rPr>
        <w:t>Beta-blockers are frequently used to reduce myocardial oxygen demand and ischemic symptoms; however, their potential to exacerbate coronary vasospasm warrants careful patient selection. Calcium channel blockers are preferable in patients with significant vasospasm or slow coronary flow, as they enhance perfusion without the risk of unopposed alpha-adrenergic stimulation</w:t>
      </w:r>
      <w:r w:rsidRPr="00AD7B7F">
        <w:rPr>
          <w:rFonts w:ascii="Arial" w:eastAsia="Calibri" w:hAnsi="Arial" w:cs="Arial"/>
          <w:sz w:val="20"/>
          <w:szCs w:val="20"/>
        </w:rPr>
        <w:t xml:space="preserve"> (Sorrell et al., 1998)</w:t>
      </w:r>
      <w:r w:rsidRPr="00EC269E">
        <w:rPr>
          <w:rFonts w:ascii="Arial" w:eastAsia="Calibri" w:hAnsi="Arial" w:cs="Arial"/>
          <w:sz w:val="20"/>
          <w:szCs w:val="20"/>
        </w:rPr>
        <w:t xml:space="preserve">. While nitrates are commonly used for ischemic symptoms, they are generally contraindicated in CAE due to their potential to worsen ischemia in dilated arteries </w:t>
      </w:r>
      <w:r w:rsidRPr="00AD7B7F">
        <w:rPr>
          <w:rFonts w:ascii="Arial" w:eastAsia="Calibri" w:hAnsi="Arial" w:cs="Arial"/>
          <w:sz w:val="20"/>
          <w:szCs w:val="20"/>
        </w:rPr>
        <w:t>(</w:t>
      </w:r>
      <w:proofErr w:type="spellStart"/>
      <w:r w:rsidRPr="00AD7B7F">
        <w:rPr>
          <w:rFonts w:ascii="Arial" w:eastAsia="Calibri" w:hAnsi="Arial" w:cs="Arial"/>
          <w:sz w:val="20"/>
          <w:szCs w:val="20"/>
        </w:rPr>
        <w:t>Gülec</w:t>
      </w:r>
      <w:proofErr w:type="spellEnd"/>
      <w:r w:rsidRPr="00AD7B7F">
        <w:rPr>
          <w:rFonts w:ascii="Arial" w:eastAsia="Calibri" w:hAnsi="Arial" w:cs="Arial"/>
          <w:sz w:val="20"/>
          <w:szCs w:val="20"/>
        </w:rPr>
        <w:t xml:space="preserve"> et al., 2003,</w:t>
      </w:r>
      <w:r w:rsidRPr="00AD7B7F">
        <w:t xml:space="preserve"> </w:t>
      </w:r>
      <w:r w:rsidRPr="00AD7B7F">
        <w:rPr>
          <w:rFonts w:ascii="Arial" w:eastAsia="Calibri" w:hAnsi="Arial" w:cs="Arial"/>
          <w:sz w:val="20"/>
          <w:szCs w:val="20"/>
        </w:rPr>
        <w:t>Sorrell et al., 1998).</w:t>
      </w:r>
    </w:p>
    <w:p w14:paraId="102DA609" w14:textId="77777777" w:rsidR="009423FD" w:rsidRPr="00EC269E" w:rsidRDefault="009423FD" w:rsidP="009423FD">
      <w:pPr>
        <w:spacing w:after="0" w:line="240" w:lineRule="auto"/>
        <w:jc w:val="both"/>
        <w:rPr>
          <w:rFonts w:ascii="Arial" w:eastAsia="Calibri" w:hAnsi="Arial" w:cs="Arial"/>
          <w:sz w:val="20"/>
          <w:szCs w:val="20"/>
        </w:rPr>
      </w:pPr>
    </w:p>
    <w:p w14:paraId="424773EC" w14:textId="3C126ADF" w:rsidR="009423FD" w:rsidRPr="00AD7B7F" w:rsidRDefault="009423FD" w:rsidP="009423FD">
      <w:pPr>
        <w:spacing w:after="0" w:line="240" w:lineRule="auto"/>
        <w:ind w:left="360" w:hanging="360"/>
        <w:jc w:val="both"/>
        <w:rPr>
          <w:rFonts w:ascii="Arial" w:eastAsia="Calibri" w:hAnsi="Arial" w:cs="Arial"/>
          <w:b/>
          <w:bCs/>
        </w:rPr>
      </w:pPr>
      <w:r w:rsidRPr="00AD7B7F">
        <w:rPr>
          <w:rFonts w:ascii="Arial" w:eastAsia="Calibri" w:hAnsi="Arial" w:cs="Arial"/>
          <w:b/>
          <w:bCs/>
        </w:rPr>
        <w:t>3.4</w:t>
      </w:r>
      <w:r w:rsidRPr="00AD7B7F">
        <w:rPr>
          <w:rFonts w:ascii="Arial" w:eastAsia="Calibri" w:hAnsi="Arial" w:cs="Arial"/>
          <w:b/>
          <w:bCs/>
        </w:rPr>
        <w:tab/>
      </w:r>
      <w:r w:rsidRPr="00EC269E">
        <w:rPr>
          <w:rFonts w:ascii="Arial" w:eastAsia="Calibri" w:hAnsi="Arial" w:cs="Arial"/>
          <w:b/>
          <w:bCs/>
        </w:rPr>
        <w:t>Long-Term Management and Prognosis</w:t>
      </w:r>
    </w:p>
    <w:p w14:paraId="4A36F79B" w14:textId="77777777" w:rsidR="009423FD" w:rsidRPr="00AD7B7F" w:rsidRDefault="009423FD" w:rsidP="009423FD">
      <w:pPr>
        <w:spacing w:after="0" w:line="240" w:lineRule="auto"/>
        <w:jc w:val="both"/>
        <w:rPr>
          <w:rFonts w:ascii="Arial" w:eastAsia="Times New Roman" w:hAnsi="Arial" w:cs="Arial"/>
          <w:sz w:val="20"/>
          <w:szCs w:val="20"/>
        </w:rPr>
      </w:pPr>
      <w:r w:rsidRPr="00EC269E">
        <w:rPr>
          <w:rFonts w:ascii="Arial" w:eastAsia="Calibri" w:hAnsi="Arial" w:cs="Arial"/>
          <w:sz w:val="20"/>
          <w:szCs w:val="20"/>
        </w:rPr>
        <w:br/>
        <w:t xml:space="preserve">While </w:t>
      </w:r>
      <w:r w:rsidRPr="00EC269E">
        <w:rPr>
          <w:rFonts w:ascii="Arial" w:eastAsia="Calibri" w:hAnsi="Arial" w:cs="Arial"/>
          <w:bCs/>
          <w:sz w:val="20"/>
          <w:szCs w:val="20"/>
        </w:rPr>
        <w:t>CAE</w:t>
      </w:r>
      <w:r w:rsidRPr="00EC269E">
        <w:rPr>
          <w:rFonts w:ascii="Arial" w:eastAsia="Calibri" w:hAnsi="Arial" w:cs="Arial"/>
          <w:sz w:val="20"/>
          <w:szCs w:val="20"/>
        </w:rPr>
        <w:t xml:space="preserve"> itself progresses slowly, studies have shown that </w:t>
      </w:r>
      <w:r w:rsidRPr="00EC269E">
        <w:rPr>
          <w:rFonts w:ascii="Arial" w:eastAsia="Calibri" w:hAnsi="Arial" w:cs="Arial"/>
          <w:bCs/>
          <w:sz w:val="20"/>
          <w:szCs w:val="20"/>
        </w:rPr>
        <w:t>atherosclerotic lesions</w:t>
      </w:r>
      <w:r w:rsidRPr="00EC269E">
        <w:rPr>
          <w:rFonts w:ascii="Arial" w:eastAsia="Calibri" w:hAnsi="Arial" w:cs="Arial"/>
          <w:sz w:val="20"/>
          <w:szCs w:val="20"/>
        </w:rPr>
        <w:t xml:space="preserve"> often worsen over time, leading to a </w:t>
      </w:r>
      <w:r w:rsidRPr="00EC269E">
        <w:rPr>
          <w:rFonts w:ascii="Arial" w:eastAsia="Calibri" w:hAnsi="Arial" w:cs="Arial"/>
          <w:bCs/>
          <w:sz w:val="20"/>
          <w:szCs w:val="20"/>
        </w:rPr>
        <w:t>higher risk of recurrence of myocardial infarction</w:t>
      </w:r>
      <w:r w:rsidRPr="00EC269E">
        <w:rPr>
          <w:rFonts w:ascii="Arial" w:eastAsia="Calibri" w:hAnsi="Arial" w:cs="Arial"/>
          <w:sz w:val="20"/>
          <w:szCs w:val="20"/>
        </w:rPr>
        <w:t xml:space="preserve"> and </w:t>
      </w:r>
      <w:r w:rsidRPr="00EC269E">
        <w:rPr>
          <w:rFonts w:ascii="Arial" w:eastAsia="Calibri" w:hAnsi="Arial" w:cs="Arial"/>
          <w:bCs/>
          <w:sz w:val="20"/>
          <w:szCs w:val="20"/>
        </w:rPr>
        <w:t xml:space="preserve">angina </w:t>
      </w:r>
      <w:r w:rsidRPr="00AD7B7F">
        <w:rPr>
          <w:rFonts w:ascii="Arial" w:eastAsia="Calibri" w:hAnsi="Arial" w:cs="Arial"/>
          <w:bCs/>
          <w:sz w:val="20"/>
          <w:szCs w:val="20"/>
        </w:rPr>
        <w:t xml:space="preserve">(Sheikh et al., 2019, Liu et al., 2021). </w:t>
      </w:r>
      <w:r w:rsidRPr="00EC269E">
        <w:rPr>
          <w:rFonts w:ascii="Arial" w:eastAsia="Calibri" w:hAnsi="Arial" w:cs="Arial"/>
          <w:sz w:val="20"/>
          <w:szCs w:val="20"/>
        </w:rPr>
        <w:t>Smoking cessation is particularly important, as smoking exacerbates endothelial dysfunction and chronic inflammation, contributing to the progression of CAE.</w:t>
      </w:r>
      <w:r w:rsidRPr="00EC269E">
        <w:rPr>
          <w:rFonts w:ascii="Arial" w:eastAsia="Times New Roman" w:hAnsi="Arial" w:cs="Arial"/>
          <w:sz w:val="20"/>
          <w:szCs w:val="20"/>
        </w:rPr>
        <w:t xml:space="preserve"> </w:t>
      </w:r>
    </w:p>
    <w:p w14:paraId="39C5CB1A" w14:textId="77777777" w:rsidR="009423FD" w:rsidRPr="00EC269E" w:rsidRDefault="009423FD" w:rsidP="009423FD">
      <w:pPr>
        <w:spacing w:after="0" w:line="240" w:lineRule="auto"/>
        <w:jc w:val="both"/>
        <w:rPr>
          <w:rFonts w:ascii="Arial" w:eastAsia="Times New Roman" w:hAnsi="Arial" w:cs="Arial"/>
          <w:sz w:val="20"/>
          <w:szCs w:val="20"/>
        </w:rPr>
      </w:pPr>
    </w:p>
    <w:p w14:paraId="740D7D75" w14:textId="77777777" w:rsidR="009423FD" w:rsidRPr="00EC269E" w:rsidRDefault="009423FD" w:rsidP="009423FD">
      <w:pPr>
        <w:spacing w:after="0" w:line="240" w:lineRule="auto"/>
        <w:jc w:val="both"/>
        <w:rPr>
          <w:rFonts w:ascii="Arial" w:eastAsia="Calibri" w:hAnsi="Arial" w:cs="Arial"/>
          <w:sz w:val="20"/>
          <w:szCs w:val="20"/>
        </w:rPr>
      </w:pPr>
      <w:r w:rsidRPr="00EC269E">
        <w:rPr>
          <w:rFonts w:ascii="Arial" w:eastAsia="Calibri" w:hAnsi="Arial" w:cs="Arial"/>
          <w:sz w:val="20"/>
          <w:szCs w:val="20"/>
        </w:rPr>
        <w:t xml:space="preserve">The prognosis of CAE patients depends on several factors, including the </w:t>
      </w:r>
      <w:r w:rsidRPr="00EC269E">
        <w:rPr>
          <w:rFonts w:ascii="Arial" w:eastAsia="Calibri" w:hAnsi="Arial" w:cs="Arial"/>
          <w:bCs/>
          <w:sz w:val="20"/>
          <w:szCs w:val="20"/>
        </w:rPr>
        <w:t>extent of coronary artery involvement</w:t>
      </w:r>
      <w:r w:rsidRPr="00EC269E">
        <w:rPr>
          <w:rFonts w:ascii="Arial" w:eastAsia="Calibri" w:hAnsi="Arial" w:cs="Arial"/>
          <w:sz w:val="20"/>
          <w:szCs w:val="20"/>
        </w:rPr>
        <w:t xml:space="preserve"> and the </w:t>
      </w:r>
      <w:r w:rsidRPr="00EC269E">
        <w:rPr>
          <w:rFonts w:ascii="Arial" w:eastAsia="Calibri" w:hAnsi="Arial" w:cs="Arial"/>
          <w:bCs/>
          <w:sz w:val="20"/>
          <w:szCs w:val="20"/>
        </w:rPr>
        <w:t>presence of additional risk factors</w:t>
      </w:r>
      <w:r w:rsidRPr="00EC269E">
        <w:rPr>
          <w:rFonts w:ascii="Arial" w:eastAsia="Calibri" w:hAnsi="Arial" w:cs="Arial"/>
          <w:sz w:val="20"/>
          <w:szCs w:val="20"/>
        </w:rPr>
        <w:t>. ​Close follow-up with serial imaging and functional testing is essential to monitor disease progression and prevent complications.</w:t>
      </w:r>
    </w:p>
    <w:p w14:paraId="4492E99D" w14:textId="77777777" w:rsidR="009423FD" w:rsidRPr="00EC269E" w:rsidRDefault="009423FD" w:rsidP="009423FD">
      <w:pPr>
        <w:spacing w:after="0" w:line="240" w:lineRule="auto"/>
        <w:jc w:val="both"/>
        <w:rPr>
          <w:rFonts w:ascii="Arial" w:eastAsia="Calibri" w:hAnsi="Arial" w:cs="Arial"/>
          <w:sz w:val="20"/>
          <w:szCs w:val="20"/>
        </w:rPr>
      </w:pPr>
      <w:r w:rsidRPr="00EC269E">
        <w:rPr>
          <w:rFonts w:ascii="Arial" w:eastAsia="Calibri" w:hAnsi="Arial" w:cs="Arial"/>
          <w:sz w:val="20"/>
          <w:szCs w:val="20"/>
        </w:rPr>
        <w:br/>
        <w:t xml:space="preserve">Despite advancements in understanding CAE, large-scale studies are needed to evaluate the efficacy of pharmacologic and interventional strategies in this unique population. The development of consensus guidelines for CAE management, particularly in acute settings like STEMI, remains an unmet need. Future research </w:t>
      </w:r>
      <w:r w:rsidRPr="00EC269E">
        <w:rPr>
          <w:rFonts w:ascii="Arial" w:eastAsia="Calibri" w:hAnsi="Arial" w:cs="Arial"/>
          <w:sz w:val="20"/>
          <w:szCs w:val="20"/>
        </w:rPr>
        <w:t xml:space="preserve">should also explore the role of novel agents, such as direct thrombin inhibitors and anti-inflammatory therapies, in mitigating thrombotic and inflammatory complications associated with </w:t>
      </w:r>
      <w:proofErr w:type="spellStart"/>
      <w:r w:rsidRPr="00EC269E">
        <w:rPr>
          <w:rFonts w:ascii="Arial" w:eastAsia="Calibri" w:hAnsi="Arial" w:cs="Arial"/>
          <w:sz w:val="20"/>
          <w:szCs w:val="20"/>
        </w:rPr>
        <w:t>ectatic</w:t>
      </w:r>
      <w:proofErr w:type="spellEnd"/>
      <w:r w:rsidRPr="00EC269E">
        <w:rPr>
          <w:rFonts w:ascii="Arial" w:eastAsia="Calibri" w:hAnsi="Arial" w:cs="Arial"/>
          <w:sz w:val="20"/>
          <w:szCs w:val="20"/>
        </w:rPr>
        <w:t xml:space="preserve"> arteries.</w:t>
      </w:r>
    </w:p>
    <w:p w14:paraId="53190C78" w14:textId="77777777" w:rsidR="009423FD" w:rsidRPr="00EC269E" w:rsidRDefault="009423FD" w:rsidP="009423FD">
      <w:pPr>
        <w:spacing w:after="0" w:line="240" w:lineRule="auto"/>
        <w:jc w:val="both"/>
        <w:rPr>
          <w:rFonts w:ascii="Arial" w:eastAsia="Calibri" w:hAnsi="Arial" w:cs="Arial"/>
          <w:sz w:val="20"/>
          <w:szCs w:val="20"/>
        </w:rPr>
      </w:pPr>
    </w:p>
    <w:p w14:paraId="030028AC" w14:textId="77777777" w:rsidR="009423FD" w:rsidRPr="00AD7B7F" w:rsidRDefault="009423FD" w:rsidP="009423FD">
      <w:pPr>
        <w:pStyle w:val="Heading2"/>
        <w:rPr>
          <w:rFonts w:eastAsia="Calibri"/>
        </w:rPr>
      </w:pPr>
      <w:r w:rsidRPr="00AD7B7F">
        <w:rPr>
          <w:rFonts w:eastAsia="Calibri"/>
        </w:rPr>
        <w:t xml:space="preserve">4. CONCLUSION </w:t>
      </w:r>
    </w:p>
    <w:p w14:paraId="3824F021" w14:textId="77777777" w:rsidR="009423FD" w:rsidRPr="00EC269E" w:rsidRDefault="009423FD" w:rsidP="009423FD">
      <w:pPr>
        <w:spacing w:after="0" w:line="240" w:lineRule="auto"/>
        <w:jc w:val="both"/>
        <w:rPr>
          <w:rFonts w:ascii="Arial" w:eastAsia="Calibri" w:hAnsi="Arial" w:cs="Arial"/>
          <w:b/>
          <w:bCs/>
          <w:sz w:val="20"/>
          <w:szCs w:val="20"/>
        </w:rPr>
      </w:pPr>
    </w:p>
    <w:p w14:paraId="7C1CEAD1" w14:textId="77777777" w:rsidR="009423FD" w:rsidRPr="00AD7B7F" w:rsidRDefault="009423FD" w:rsidP="009423FD">
      <w:pPr>
        <w:spacing w:after="0" w:line="240" w:lineRule="auto"/>
        <w:jc w:val="both"/>
        <w:rPr>
          <w:rFonts w:ascii="Arial" w:eastAsia="Calibri" w:hAnsi="Arial" w:cs="Arial"/>
          <w:sz w:val="20"/>
          <w:szCs w:val="20"/>
        </w:rPr>
      </w:pPr>
      <w:r w:rsidRPr="00EC269E">
        <w:rPr>
          <w:rFonts w:ascii="Arial" w:eastAsia="Calibri" w:hAnsi="Arial" w:cs="Arial"/>
          <w:sz w:val="20"/>
          <w:szCs w:val="20"/>
        </w:rPr>
        <w:t>This case highlights the diagnostic challenges and therapeutic strategies in managing thrombotic complications of coronary artery ectasia. Early recognition via angiography and prompt initiation of antiplatelet and anticoagulant therapy are critical for favorable outcomes. Future studies should aim to standardize treatment protocols and explore novel therapies tailored to CAE pathophysiology.</w:t>
      </w:r>
    </w:p>
    <w:p w14:paraId="7C695A0B" w14:textId="77777777" w:rsidR="009423FD" w:rsidRPr="00AD7B7F" w:rsidRDefault="009423FD" w:rsidP="009423FD">
      <w:pPr>
        <w:spacing w:after="0" w:line="240" w:lineRule="auto"/>
        <w:jc w:val="both"/>
        <w:rPr>
          <w:rFonts w:ascii="Arial" w:eastAsia="Calibri" w:hAnsi="Arial" w:cs="Arial"/>
          <w:sz w:val="20"/>
          <w:szCs w:val="20"/>
        </w:rPr>
      </w:pPr>
    </w:p>
    <w:p w14:paraId="70B05D97" w14:textId="77777777" w:rsidR="009423FD" w:rsidRPr="00AD7B7F" w:rsidRDefault="009423FD" w:rsidP="009423FD">
      <w:pPr>
        <w:spacing w:after="0" w:line="240" w:lineRule="auto"/>
        <w:jc w:val="both"/>
        <w:rPr>
          <w:rFonts w:ascii="Arial" w:eastAsia="Calibri" w:hAnsi="Arial" w:cs="Arial"/>
          <w:b/>
          <w:bCs/>
          <w:sz w:val="21"/>
          <w:szCs w:val="21"/>
        </w:rPr>
      </w:pPr>
      <w:r w:rsidRPr="00AD7B7F">
        <w:rPr>
          <w:rFonts w:ascii="Arial" w:eastAsia="Calibri" w:hAnsi="Arial" w:cs="Arial"/>
          <w:b/>
          <w:bCs/>
          <w:sz w:val="21"/>
          <w:szCs w:val="21"/>
        </w:rPr>
        <w:t>DISCLAIMER (ARTIFICIAL INTELLIGENCE)</w:t>
      </w:r>
    </w:p>
    <w:p w14:paraId="390364F7" w14:textId="77777777" w:rsidR="009423FD" w:rsidRPr="00EC269E" w:rsidRDefault="009423FD" w:rsidP="009423FD">
      <w:pPr>
        <w:spacing w:after="0" w:line="240" w:lineRule="auto"/>
        <w:jc w:val="both"/>
        <w:rPr>
          <w:rFonts w:ascii="Arial" w:eastAsia="Calibri" w:hAnsi="Arial" w:cs="Arial"/>
          <w:b/>
          <w:bCs/>
          <w:sz w:val="20"/>
          <w:szCs w:val="20"/>
        </w:rPr>
      </w:pPr>
    </w:p>
    <w:p w14:paraId="52451BFD" w14:textId="77777777" w:rsidR="009423FD" w:rsidRPr="00EC269E" w:rsidRDefault="009423FD" w:rsidP="009423FD">
      <w:pPr>
        <w:spacing w:after="0" w:line="240" w:lineRule="auto"/>
        <w:jc w:val="both"/>
        <w:rPr>
          <w:rFonts w:ascii="Arial" w:eastAsia="Calibri" w:hAnsi="Arial" w:cs="Arial"/>
          <w:kern w:val="2"/>
          <w:sz w:val="20"/>
          <w:szCs w:val="20"/>
        </w:rPr>
      </w:pPr>
      <w:r w:rsidRPr="00EC269E">
        <w:rPr>
          <w:rFonts w:ascii="Arial" w:eastAsia="Calibri" w:hAnsi="Arial" w:cs="Arial"/>
          <w:kern w:val="2"/>
          <w:sz w:val="20"/>
          <w:szCs w:val="20"/>
        </w:rPr>
        <w:t xml:space="preserve">Author(s) hereby </w:t>
      </w:r>
      <w:proofErr w:type="gramStart"/>
      <w:r w:rsidRPr="00EC269E">
        <w:rPr>
          <w:rFonts w:ascii="Arial" w:eastAsia="Calibri" w:hAnsi="Arial" w:cs="Arial"/>
          <w:kern w:val="2"/>
          <w:sz w:val="20"/>
          <w:szCs w:val="20"/>
        </w:rPr>
        <w:t>declare</w:t>
      </w:r>
      <w:proofErr w:type="gramEnd"/>
      <w:r w:rsidRPr="00EC269E">
        <w:rPr>
          <w:rFonts w:ascii="Arial" w:eastAsia="Calibri" w:hAnsi="Arial" w:cs="Arial"/>
          <w:kern w:val="2"/>
          <w:sz w:val="20"/>
          <w:szCs w:val="20"/>
        </w:rPr>
        <w:t xml:space="preserve"> that NO generative AI technologies such as Large Language Models (ChatGPT, COPILOT, etc.) and text-to-image generators have been used during the writing or editing of this manuscript. </w:t>
      </w:r>
    </w:p>
    <w:p w14:paraId="404FA4F5" w14:textId="77777777" w:rsidR="009423FD" w:rsidRPr="00AD7B7F" w:rsidRDefault="009423FD" w:rsidP="009423FD">
      <w:pPr>
        <w:spacing w:after="0" w:line="240" w:lineRule="auto"/>
        <w:jc w:val="both"/>
        <w:rPr>
          <w:rFonts w:ascii="Arial" w:eastAsia="Calibri" w:hAnsi="Arial" w:cs="Arial"/>
          <w:b/>
          <w:bCs/>
          <w:sz w:val="20"/>
          <w:szCs w:val="20"/>
        </w:rPr>
      </w:pPr>
    </w:p>
    <w:p w14:paraId="4A7821FF" w14:textId="77777777" w:rsidR="009423FD" w:rsidRPr="00AD7B7F" w:rsidRDefault="009423FD" w:rsidP="009423FD">
      <w:pPr>
        <w:pStyle w:val="Heading2"/>
        <w:rPr>
          <w:rFonts w:eastAsia="Calibri"/>
        </w:rPr>
      </w:pPr>
      <w:r w:rsidRPr="00AD7B7F">
        <w:rPr>
          <w:rFonts w:eastAsia="Calibri"/>
        </w:rPr>
        <w:t>CONSENT</w:t>
      </w:r>
    </w:p>
    <w:p w14:paraId="7DBD090D" w14:textId="77777777" w:rsidR="009423FD" w:rsidRPr="00AD7B7F" w:rsidRDefault="009423FD" w:rsidP="009423FD">
      <w:pPr>
        <w:spacing w:after="0" w:line="240" w:lineRule="auto"/>
        <w:jc w:val="both"/>
        <w:rPr>
          <w:rFonts w:ascii="Arial" w:eastAsia="Calibri" w:hAnsi="Arial" w:cs="Arial"/>
          <w:b/>
          <w:bCs/>
          <w:sz w:val="20"/>
          <w:szCs w:val="20"/>
        </w:rPr>
      </w:pPr>
    </w:p>
    <w:p w14:paraId="58113A9F" w14:textId="77777777" w:rsidR="009423FD" w:rsidRPr="00AD7B7F" w:rsidRDefault="009423FD" w:rsidP="009423FD">
      <w:pPr>
        <w:spacing w:after="0" w:line="240" w:lineRule="auto"/>
        <w:jc w:val="both"/>
        <w:rPr>
          <w:rFonts w:ascii="Arial" w:eastAsia="Calibri" w:hAnsi="Arial" w:cs="Arial"/>
          <w:sz w:val="20"/>
          <w:szCs w:val="20"/>
        </w:rPr>
      </w:pPr>
      <w:r w:rsidRPr="00EC269E">
        <w:rPr>
          <w:rFonts w:ascii="Arial" w:eastAsia="Calibri" w:hAnsi="Arial" w:cs="Arial"/>
          <w:sz w:val="20"/>
          <w:szCs w:val="20"/>
        </w:rPr>
        <w:t>Informed written consent was obtained from the patient to publish their clinical data.</w:t>
      </w:r>
    </w:p>
    <w:p w14:paraId="2802CC31" w14:textId="77777777" w:rsidR="009423FD" w:rsidRPr="00EC269E" w:rsidRDefault="009423FD" w:rsidP="009423FD">
      <w:pPr>
        <w:spacing w:after="0" w:line="240" w:lineRule="auto"/>
        <w:jc w:val="both"/>
        <w:rPr>
          <w:rFonts w:ascii="Arial" w:eastAsia="Calibri" w:hAnsi="Arial" w:cs="Arial"/>
          <w:sz w:val="20"/>
          <w:szCs w:val="20"/>
        </w:rPr>
      </w:pPr>
    </w:p>
    <w:p w14:paraId="0E6032E5" w14:textId="77777777" w:rsidR="009423FD" w:rsidRPr="00AD7B7F" w:rsidRDefault="009423FD" w:rsidP="009423FD">
      <w:pPr>
        <w:pStyle w:val="Heading2"/>
        <w:rPr>
          <w:rFonts w:eastAsia="Calibri"/>
        </w:rPr>
      </w:pPr>
      <w:r w:rsidRPr="00AD7B7F">
        <w:rPr>
          <w:rFonts w:eastAsia="Calibri"/>
        </w:rPr>
        <w:t>ETHICAL APPROVAL</w:t>
      </w:r>
    </w:p>
    <w:p w14:paraId="1B8D2C6C" w14:textId="77777777" w:rsidR="009423FD" w:rsidRPr="00EC269E" w:rsidRDefault="009423FD" w:rsidP="009423FD">
      <w:pPr>
        <w:spacing w:after="0" w:line="240" w:lineRule="auto"/>
        <w:jc w:val="both"/>
        <w:rPr>
          <w:rFonts w:ascii="Arial" w:eastAsia="Calibri" w:hAnsi="Arial" w:cs="Arial"/>
          <w:b/>
          <w:bCs/>
          <w:sz w:val="20"/>
          <w:szCs w:val="20"/>
        </w:rPr>
      </w:pPr>
    </w:p>
    <w:p w14:paraId="11EDEBAD" w14:textId="77777777" w:rsidR="009423FD" w:rsidRPr="00AD7B7F" w:rsidRDefault="009423FD" w:rsidP="009423FD">
      <w:pPr>
        <w:spacing w:after="0" w:line="240" w:lineRule="auto"/>
        <w:jc w:val="both"/>
        <w:rPr>
          <w:rFonts w:ascii="Arial" w:eastAsia="Calibri" w:hAnsi="Arial" w:cs="Arial"/>
          <w:sz w:val="20"/>
          <w:szCs w:val="20"/>
        </w:rPr>
      </w:pPr>
      <w:r w:rsidRPr="00EC269E">
        <w:rPr>
          <w:rFonts w:ascii="Arial" w:eastAsia="Calibri" w:hAnsi="Arial" w:cs="Arial"/>
          <w:sz w:val="20"/>
          <w:szCs w:val="20"/>
        </w:rPr>
        <w:t>As per international standards or university standards, written ethical approval has been collected and preserved by the authors.</w:t>
      </w:r>
    </w:p>
    <w:p w14:paraId="6F77076A" w14:textId="77777777" w:rsidR="009423FD" w:rsidRPr="00AD7B7F" w:rsidRDefault="009423FD" w:rsidP="009423FD">
      <w:pPr>
        <w:spacing w:after="0" w:line="240" w:lineRule="auto"/>
        <w:jc w:val="both"/>
        <w:rPr>
          <w:rFonts w:ascii="Arial" w:eastAsia="Calibri" w:hAnsi="Arial" w:cs="Arial"/>
          <w:sz w:val="20"/>
          <w:szCs w:val="20"/>
        </w:rPr>
      </w:pPr>
    </w:p>
    <w:p w14:paraId="446456DB" w14:textId="77777777" w:rsidR="009423FD" w:rsidRPr="00AD7B7F" w:rsidRDefault="009423FD" w:rsidP="009423FD">
      <w:pPr>
        <w:pStyle w:val="Heading2"/>
      </w:pPr>
      <w:r w:rsidRPr="00AD7B7F">
        <w:t>COMPETING INTERESTS</w:t>
      </w:r>
    </w:p>
    <w:p w14:paraId="5864F862" w14:textId="77777777" w:rsidR="009423FD" w:rsidRPr="00AD7B7F" w:rsidRDefault="009423FD" w:rsidP="009423FD">
      <w:pPr>
        <w:pStyle w:val="ReferHead"/>
        <w:spacing w:after="0"/>
        <w:jc w:val="both"/>
        <w:rPr>
          <w:rFonts w:ascii="Arial" w:hAnsi="Arial" w:cs="Arial"/>
          <w:sz w:val="20"/>
        </w:rPr>
      </w:pPr>
    </w:p>
    <w:p w14:paraId="3499A5DD" w14:textId="77777777" w:rsidR="009423FD" w:rsidRPr="00AD7B7F" w:rsidRDefault="009423FD" w:rsidP="009423FD">
      <w:pPr>
        <w:pStyle w:val="ReferHead"/>
        <w:spacing w:after="0"/>
        <w:jc w:val="both"/>
        <w:rPr>
          <w:rFonts w:ascii="Arial" w:hAnsi="Arial" w:cs="Arial"/>
          <w:b w:val="0"/>
          <w:sz w:val="20"/>
        </w:rPr>
      </w:pPr>
      <w:r w:rsidRPr="00AD7B7F">
        <w:rPr>
          <w:rFonts w:ascii="Arial" w:hAnsi="Arial" w:cs="Arial"/>
          <w:b w:val="0"/>
          <w:caps w:val="0"/>
          <w:sz w:val="20"/>
        </w:rPr>
        <w:t>Authors have declared that no competing interests exist.</w:t>
      </w:r>
    </w:p>
    <w:p w14:paraId="057CD619" w14:textId="77777777" w:rsidR="009423FD" w:rsidRPr="00EC269E" w:rsidRDefault="009423FD" w:rsidP="009423FD">
      <w:pPr>
        <w:spacing w:after="0" w:line="240" w:lineRule="auto"/>
        <w:jc w:val="both"/>
        <w:rPr>
          <w:rFonts w:ascii="Arial" w:eastAsia="Calibri" w:hAnsi="Arial" w:cs="Arial"/>
          <w:b/>
          <w:sz w:val="20"/>
          <w:szCs w:val="20"/>
        </w:rPr>
      </w:pPr>
    </w:p>
    <w:p w14:paraId="212E2326" w14:textId="77777777" w:rsidR="009423FD" w:rsidRPr="00AD7B7F" w:rsidRDefault="009423FD" w:rsidP="009423FD">
      <w:pPr>
        <w:pStyle w:val="Heading2"/>
        <w:rPr>
          <w:rFonts w:eastAsia="Calibri"/>
        </w:rPr>
      </w:pPr>
      <w:r w:rsidRPr="00AD7B7F">
        <w:rPr>
          <w:rFonts w:eastAsia="Calibri"/>
        </w:rPr>
        <w:t>REFERENCES</w:t>
      </w:r>
    </w:p>
    <w:p w14:paraId="636193E3" w14:textId="77777777" w:rsidR="00AA3D9B" w:rsidRPr="00AD7B7F" w:rsidRDefault="00AA3D9B" w:rsidP="00AA3D9B">
      <w:pPr>
        <w:spacing w:after="0" w:line="240" w:lineRule="auto"/>
        <w:ind w:left="547" w:hanging="547"/>
        <w:jc w:val="both"/>
        <w:rPr>
          <w:rFonts w:ascii="Arial" w:eastAsia="Calibri" w:hAnsi="Arial" w:cs="Arial"/>
          <w:kern w:val="2"/>
          <w:sz w:val="20"/>
          <w:szCs w:val="20"/>
          <w:lang w:val="en-GB"/>
        </w:rPr>
      </w:pPr>
    </w:p>
    <w:p w14:paraId="317353D7"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r w:rsidRPr="00AA3D9B">
        <w:rPr>
          <w:rFonts w:ascii="Arial" w:eastAsia="Times New Roman" w:hAnsi="Arial" w:cs="Arial"/>
          <w:sz w:val="20"/>
          <w:szCs w:val="20"/>
          <w:lang w:val="en-GB" w:eastAsia="en-GB"/>
        </w:rPr>
        <w:t xml:space="preserve">Ahmad, A., </w:t>
      </w:r>
      <w:proofErr w:type="spellStart"/>
      <w:r w:rsidRPr="00AA3D9B">
        <w:rPr>
          <w:rFonts w:ascii="Arial" w:eastAsia="Times New Roman" w:hAnsi="Arial" w:cs="Arial"/>
          <w:sz w:val="20"/>
          <w:szCs w:val="20"/>
          <w:lang w:val="en-GB" w:eastAsia="en-GB"/>
        </w:rPr>
        <w:t>Roomi</w:t>
      </w:r>
      <w:proofErr w:type="spellEnd"/>
      <w:r w:rsidRPr="00AA3D9B">
        <w:rPr>
          <w:rFonts w:ascii="Arial" w:eastAsia="Times New Roman" w:hAnsi="Arial" w:cs="Arial"/>
          <w:sz w:val="20"/>
          <w:szCs w:val="20"/>
          <w:lang w:val="en-GB" w:eastAsia="en-GB"/>
        </w:rPr>
        <w:t xml:space="preserve">, S. S., Ullah, W., Ali, Z., &amp; Hafez, A. (2019, November 11). A giant coronary artery ectasia successfully managed with coronary artery stenting [Abstract 11899]. </w:t>
      </w:r>
      <w:r w:rsidRPr="00AA3D9B">
        <w:rPr>
          <w:rFonts w:ascii="Arial" w:eastAsia="Times New Roman" w:hAnsi="Arial" w:cs="Arial"/>
          <w:i/>
          <w:iCs/>
          <w:sz w:val="20"/>
          <w:szCs w:val="20"/>
          <w:lang w:val="en-GB" w:eastAsia="en-GB"/>
        </w:rPr>
        <w:t>Circulation</w:t>
      </w:r>
      <w:r w:rsidRPr="00AA3D9B">
        <w:rPr>
          <w:rFonts w:ascii="Arial" w:eastAsia="Times New Roman" w:hAnsi="Arial" w:cs="Arial"/>
          <w:sz w:val="20"/>
          <w:szCs w:val="20"/>
          <w:lang w:val="en-GB" w:eastAsia="en-GB"/>
        </w:rPr>
        <w:t>. https://doi.org/10.1161/circ.139.suppl_1.11899</w:t>
      </w:r>
    </w:p>
    <w:p w14:paraId="306439EB"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r w:rsidRPr="00AA3D9B">
        <w:rPr>
          <w:rFonts w:ascii="Arial" w:eastAsia="Times New Roman" w:hAnsi="Arial" w:cs="Arial"/>
          <w:sz w:val="20"/>
          <w:szCs w:val="20"/>
          <w:lang w:val="en-GB" w:eastAsia="en-GB"/>
        </w:rPr>
        <w:t xml:space="preserve">Antoniadis, A. P., </w:t>
      </w:r>
      <w:proofErr w:type="spellStart"/>
      <w:r w:rsidRPr="00AA3D9B">
        <w:rPr>
          <w:rFonts w:ascii="Arial" w:eastAsia="Times New Roman" w:hAnsi="Arial" w:cs="Arial"/>
          <w:sz w:val="20"/>
          <w:szCs w:val="20"/>
          <w:lang w:val="en-GB" w:eastAsia="en-GB"/>
        </w:rPr>
        <w:t>Chatzizisis</w:t>
      </w:r>
      <w:proofErr w:type="spellEnd"/>
      <w:r w:rsidRPr="00AA3D9B">
        <w:rPr>
          <w:rFonts w:ascii="Arial" w:eastAsia="Times New Roman" w:hAnsi="Arial" w:cs="Arial"/>
          <w:sz w:val="20"/>
          <w:szCs w:val="20"/>
          <w:lang w:val="en-GB" w:eastAsia="en-GB"/>
        </w:rPr>
        <w:t xml:space="preserve">, Y. S., &amp; </w:t>
      </w:r>
      <w:proofErr w:type="spellStart"/>
      <w:r w:rsidRPr="00AA3D9B">
        <w:rPr>
          <w:rFonts w:ascii="Arial" w:eastAsia="Times New Roman" w:hAnsi="Arial" w:cs="Arial"/>
          <w:sz w:val="20"/>
          <w:szCs w:val="20"/>
          <w:lang w:val="en-GB" w:eastAsia="en-GB"/>
        </w:rPr>
        <w:t>Giannoglou</w:t>
      </w:r>
      <w:proofErr w:type="spellEnd"/>
      <w:r w:rsidRPr="00AA3D9B">
        <w:rPr>
          <w:rFonts w:ascii="Arial" w:eastAsia="Times New Roman" w:hAnsi="Arial" w:cs="Arial"/>
          <w:sz w:val="20"/>
          <w:szCs w:val="20"/>
          <w:lang w:val="en-GB" w:eastAsia="en-GB"/>
        </w:rPr>
        <w:t xml:space="preserve">, G. D. (2008). Pathogenetic mechanisms of coronary ectasia. </w:t>
      </w:r>
      <w:r w:rsidRPr="00AA3D9B">
        <w:rPr>
          <w:rFonts w:ascii="Arial" w:eastAsia="Times New Roman" w:hAnsi="Arial" w:cs="Arial"/>
          <w:i/>
          <w:iCs/>
          <w:sz w:val="20"/>
          <w:szCs w:val="20"/>
          <w:lang w:val="en-GB" w:eastAsia="en-GB"/>
        </w:rPr>
        <w:t>International Journal of Cardiology, 130(3),</w:t>
      </w:r>
      <w:r w:rsidRPr="00AA3D9B">
        <w:rPr>
          <w:rFonts w:ascii="Arial" w:eastAsia="Times New Roman" w:hAnsi="Arial" w:cs="Arial"/>
          <w:sz w:val="20"/>
          <w:szCs w:val="20"/>
          <w:lang w:val="en-GB" w:eastAsia="en-GB"/>
        </w:rPr>
        <w:t xml:space="preserve"> 335–343.</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10.1016/j.ijcard.2008.05.071.</w:t>
      </w:r>
    </w:p>
    <w:p w14:paraId="100ECBE8"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r w:rsidRPr="00AA3D9B">
        <w:rPr>
          <w:rFonts w:ascii="Arial" w:eastAsia="Times New Roman" w:hAnsi="Arial" w:cs="Arial"/>
          <w:sz w:val="20"/>
          <w:szCs w:val="20"/>
          <w:lang w:val="en-GB" w:eastAsia="en-GB"/>
        </w:rPr>
        <w:lastRenderedPageBreak/>
        <w:t xml:space="preserve">Baldi, C., Rinaldi, A., Venetucci, R., Stabile, G., Masotti, L., Di Marco, F., ... &amp; </w:t>
      </w:r>
      <w:proofErr w:type="spellStart"/>
      <w:r w:rsidRPr="00AA3D9B">
        <w:rPr>
          <w:rFonts w:ascii="Arial" w:eastAsia="Times New Roman" w:hAnsi="Arial" w:cs="Arial"/>
          <w:sz w:val="20"/>
          <w:szCs w:val="20"/>
          <w:lang w:val="en-GB" w:eastAsia="en-GB"/>
        </w:rPr>
        <w:t>Rapacciuolo</w:t>
      </w:r>
      <w:proofErr w:type="spellEnd"/>
      <w:r w:rsidRPr="00AA3D9B">
        <w:rPr>
          <w:rFonts w:ascii="Arial" w:eastAsia="Times New Roman" w:hAnsi="Arial" w:cs="Arial"/>
          <w:sz w:val="20"/>
          <w:szCs w:val="20"/>
          <w:lang w:val="en-GB" w:eastAsia="en-GB"/>
        </w:rPr>
        <w:t xml:space="preserve">, A. (2022). Clinical outcome of patients with ST-elevation myocardial infarction and angiographic evidence of coronary artery ectasia. </w:t>
      </w:r>
      <w:r w:rsidRPr="00AA3D9B">
        <w:rPr>
          <w:rFonts w:ascii="Arial" w:eastAsia="Times New Roman" w:hAnsi="Arial" w:cs="Arial"/>
          <w:i/>
          <w:iCs/>
          <w:sz w:val="20"/>
          <w:szCs w:val="20"/>
          <w:lang w:val="en-GB" w:eastAsia="en-GB"/>
        </w:rPr>
        <w:t>Catheterization and Cardiovascular Interventions, 99(2),</w:t>
      </w:r>
      <w:r w:rsidRPr="00AA3D9B">
        <w:rPr>
          <w:rFonts w:ascii="Arial" w:eastAsia="Times New Roman" w:hAnsi="Arial" w:cs="Arial"/>
          <w:sz w:val="20"/>
          <w:szCs w:val="20"/>
          <w:lang w:val="en-GB" w:eastAsia="en-GB"/>
        </w:rPr>
        <w:t xml:space="preserve"> 340–347.</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10.1002/ccd.29738</w:t>
      </w:r>
    </w:p>
    <w:p w14:paraId="22B14D76"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proofErr w:type="spellStart"/>
      <w:r w:rsidRPr="00AA3D9B">
        <w:rPr>
          <w:rFonts w:ascii="Arial" w:eastAsia="Times New Roman" w:hAnsi="Arial" w:cs="Arial"/>
          <w:sz w:val="20"/>
          <w:szCs w:val="20"/>
          <w:lang w:val="en-GB" w:eastAsia="en-GB"/>
        </w:rPr>
        <w:t>Bogana</w:t>
      </w:r>
      <w:proofErr w:type="spellEnd"/>
      <w:r w:rsidRPr="00AA3D9B">
        <w:rPr>
          <w:rFonts w:ascii="Arial" w:eastAsia="Times New Roman" w:hAnsi="Arial" w:cs="Arial"/>
          <w:sz w:val="20"/>
          <w:szCs w:val="20"/>
          <w:lang w:val="en-GB" w:eastAsia="en-GB"/>
        </w:rPr>
        <w:t xml:space="preserve"> Shanmugam, V., Psaltis, P. J., Wong, D. T. L., Meredith, I. T., </w:t>
      </w:r>
      <w:proofErr w:type="spellStart"/>
      <w:r w:rsidRPr="00AA3D9B">
        <w:rPr>
          <w:rFonts w:ascii="Arial" w:eastAsia="Times New Roman" w:hAnsi="Arial" w:cs="Arial"/>
          <w:sz w:val="20"/>
          <w:szCs w:val="20"/>
          <w:lang w:val="en-GB" w:eastAsia="en-GB"/>
        </w:rPr>
        <w:t>Malaiapan</w:t>
      </w:r>
      <w:proofErr w:type="spellEnd"/>
      <w:r w:rsidRPr="00AA3D9B">
        <w:rPr>
          <w:rFonts w:ascii="Arial" w:eastAsia="Times New Roman" w:hAnsi="Arial" w:cs="Arial"/>
          <w:sz w:val="20"/>
          <w:szCs w:val="20"/>
          <w:lang w:val="en-GB" w:eastAsia="en-GB"/>
        </w:rPr>
        <w:t xml:space="preserve">, Y., &amp; Ahmar, W. (2017). Outcomes after primary percutaneous coronary intervention for ST-elevation myocardial infarction caused by </w:t>
      </w:r>
      <w:proofErr w:type="spellStart"/>
      <w:r w:rsidRPr="00AA3D9B">
        <w:rPr>
          <w:rFonts w:ascii="Arial" w:eastAsia="Times New Roman" w:hAnsi="Arial" w:cs="Arial"/>
          <w:sz w:val="20"/>
          <w:szCs w:val="20"/>
          <w:lang w:val="en-GB" w:eastAsia="en-GB"/>
        </w:rPr>
        <w:t>ectatic</w:t>
      </w:r>
      <w:proofErr w:type="spellEnd"/>
      <w:r w:rsidRPr="00AA3D9B">
        <w:rPr>
          <w:rFonts w:ascii="Arial" w:eastAsia="Times New Roman" w:hAnsi="Arial" w:cs="Arial"/>
          <w:sz w:val="20"/>
          <w:szCs w:val="20"/>
          <w:lang w:val="en-GB" w:eastAsia="en-GB"/>
        </w:rPr>
        <w:t xml:space="preserve"> infarct related arteries. </w:t>
      </w:r>
      <w:r w:rsidRPr="00AA3D9B">
        <w:rPr>
          <w:rFonts w:ascii="Arial" w:eastAsia="Times New Roman" w:hAnsi="Arial" w:cs="Arial"/>
          <w:i/>
          <w:iCs/>
          <w:sz w:val="20"/>
          <w:szCs w:val="20"/>
          <w:lang w:val="en-GB" w:eastAsia="en-GB"/>
        </w:rPr>
        <w:t>Heart, Lung and Circulation, 26(10),</w:t>
      </w:r>
      <w:r w:rsidRPr="00AA3D9B">
        <w:rPr>
          <w:rFonts w:ascii="Arial" w:eastAsia="Times New Roman" w:hAnsi="Arial" w:cs="Arial"/>
          <w:sz w:val="20"/>
          <w:szCs w:val="20"/>
          <w:lang w:val="en-GB" w:eastAsia="en-GB"/>
        </w:rPr>
        <w:t xml:space="preserve"> 1059–1068.</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10.1016/j.hlc.2016.12.006</w:t>
      </w:r>
    </w:p>
    <w:p w14:paraId="06F57AF7"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proofErr w:type="spellStart"/>
      <w:r w:rsidRPr="00AA3D9B">
        <w:rPr>
          <w:rFonts w:ascii="Arial" w:eastAsia="Times New Roman" w:hAnsi="Arial" w:cs="Arial"/>
          <w:sz w:val="20"/>
          <w:szCs w:val="20"/>
          <w:lang w:val="en-GB" w:eastAsia="en-GB"/>
        </w:rPr>
        <w:t>Buleu</w:t>
      </w:r>
      <w:proofErr w:type="spellEnd"/>
      <w:r w:rsidRPr="00AA3D9B">
        <w:rPr>
          <w:rFonts w:ascii="Arial" w:eastAsia="Times New Roman" w:hAnsi="Arial" w:cs="Arial"/>
          <w:sz w:val="20"/>
          <w:szCs w:val="20"/>
          <w:lang w:val="en-GB" w:eastAsia="en-GB"/>
        </w:rPr>
        <w:t xml:space="preserve">, F., Sirbu, E., Caraba, A., &amp; Dragan, S. (2019). Heart involvement in inflammatory rheumatic diseases: A systematic literature review. </w:t>
      </w:r>
      <w:r w:rsidRPr="00AA3D9B">
        <w:rPr>
          <w:rFonts w:ascii="Arial" w:eastAsia="Times New Roman" w:hAnsi="Arial" w:cs="Arial"/>
          <w:i/>
          <w:iCs/>
          <w:sz w:val="20"/>
          <w:szCs w:val="20"/>
          <w:lang w:val="en-GB" w:eastAsia="en-GB"/>
        </w:rPr>
        <w:t>Medicina (Kaunas), 55(6),</w:t>
      </w:r>
      <w:r w:rsidRPr="00AA3D9B">
        <w:rPr>
          <w:rFonts w:ascii="Arial" w:eastAsia="Times New Roman" w:hAnsi="Arial" w:cs="Arial"/>
          <w:sz w:val="20"/>
          <w:szCs w:val="20"/>
          <w:lang w:val="en-GB" w:eastAsia="en-GB"/>
        </w:rPr>
        <w:t xml:space="preserve"> 249.</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10.3390/medicina55060249</w:t>
      </w:r>
    </w:p>
    <w:p w14:paraId="127B1A11"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r w:rsidRPr="00AA3D9B">
        <w:rPr>
          <w:rFonts w:ascii="Arial" w:eastAsia="Times New Roman" w:hAnsi="Arial" w:cs="Arial"/>
          <w:sz w:val="20"/>
          <w:szCs w:val="20"/>
          <w:lang w:val="en-GB" w:eastAsia="en-GB"/>
        </w:rPr>
        <w:t xml:space="preserve">Esposito, L., D'Ascenzo, F., </w:t>
      </w:r>
      <w:proofErr w:type="spellStart"/>
      <w:r w:rsidRPr="00AA3D9B">
        <w:rPr>
          <w:rFonts w:ascii="Arial" w:eastAsia="Times New Roman" w:hAnsi="Arial" w:cs="Arial"/>
          <w:sz w:val="20"/>
          <w:szCs w:val="20"/>
          <w:lang w:val="en-GB" w:eastAsia="en-GB"/>
        </w:rPr>
        <w:t>Saglietto</w:t>
      </w:r>
      <w:proofErr w:type="spellEnd"/>
      <w:r w:rsidRPr="00AA3D9B">
        <w:rPr>
          <w:rFonts w:ascii="Arial" w:eastAsia="Times New Roman" w:hAnsi="Arial" w:cs="Arial"/>
          <w:sz w:val="20"/>
          <w:szCs w:val="20"/>
          <w:lang w:val="en-GB" w:eastAsia="en-GB"/>
        </w:rPr>
        <w:t xml:space="preserve">, A., De Filippo, O., Secco, G. G., Gili, S., ... &amp; Moretti, C. (2022). Treatment and outcome of patients with coronary artery ectasia: Current evidence and novel opportunities for an old dilemma. </w:t>
      </w:r>
      <w:r w:rsidRPr="00AA3D9B">
        <w:rPr>
          <w:rFonts w:ascii="Arial" w:eastAsia="Times New Roman" w:hAnsi="Arial" w:cs="Arial"/>
          <w:i/>
          <w:iCs/>
          <w:sz w:val="20"/>
          <w:szCs w:val="20"/>
          <w:lang w:val="en-GB" w:eastAsia="en-GB"/>
        </w:rPr>
        <w:t>Frontiers in Cardiovascular Medicine, 8</w:t>
      </w:r>
      <w:r w:rsidRPr="00AA3D9B">
        <w:rPr>
          <w:rFonts w:ascii="Arial" w:eastAsia="Times New Roman" w:hAnsi="Arial" w:cs="Arial"/>
          <w:sz w:val="20"/>
          <w:szCs w:val="20"/>
          <w:lang w:val="en-GB" w:eastAsia="en-GB"/>
        </w:rPr>
        <w:t>, Article 805727.</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10.3389/fcvm.2021.805727</w:t>
      </w:r>
    </w:p>
    <w:p w14:paraId="17A3CAD5" w14:textId="77777777" w:rsidR="00AA3D9B" w:rsidRPr="00AD7B7F" w:rsidRDefault="00AA3D9B" w:rsidP="00445F5A">
      <w:pPr>
        <w:spacing w:before="16" w:after="0" w:line="240" w:lineRule="auto"/>
        <w:ind w:left="547" w:hanging="547"/>
        <w:jc w:val="both"/>
        <w:rPr>
          <w:rFonts w:ascii="Arial" w:eastAsia="Calibri" w:hAnsi="Arial" w:cs="Arial"/>
          <w:kern w:val="2"/>
          <w:sz w:val="20"/>
          <w:szCs w:val="20"/>
          <w:shd w:val="clear" w:color="auto" w:fill="FFFFFF"/>
          <w:lang w:val="en-GB"/>
        </w:rPr>
      </w:pPr>
      <w:r w:rsidRPr="00AD7B7F">
        <w:rPr>
          <w:rFonts w:ascii="Arial" w:eastAsia="Calibri" w:hAnsi="Arial" w:cs="Arial"/>
          <w:kern w:val="2"/>
          <w:sz w:val="20"/>
          <w:szCs w:val="20"/>
          <w:shd w:val="clear" w:color="auto" w:fill="FFFFFF"/>
          <w:lang w:val="en-GB"/>
        </w:rPr>
        <w:t>Fan, C. H., Hao, Y., Liu, Y. H., Li, X. L., Huang, Z. H., Luo, Y., &amp; Li, R. L. (2020). Anti-inflammatory effects of rosuvastatin treatment on coronary artery ectasia patients of different age groups. </w:t>
      </w:r>
      <w:r w:rsidRPr="00AD7B7F">
        <w:rPr>
          <w:rFonts w:ascii="Arial" w:eastAsia="Calibri" w:hAnsi="Arial" w:cs="Arial"/>
          <w:i/>
          <w:iCs/>
          <w:kern w:val="2"/>
          <w:sz w:val="20"/>
          <w:szCs w:val="20"/>
          <w:shd w:val="clear" w:color="auto" w:fill="FFFFFF"/>
          <w:lang w:val="en-GB"/>
        </w:rPr>
        <w:t>BMC Cardiovascular Disorders</w:t>
      </w:r>
      <w:r w:rsidRPr="00AD7B7F">
        <w:rPr>
          <w:rFonts w:ascii="Arial" w:eastAsia="Calibri" w:hAnsi="Arial" w:cs="Arial"/>
          <w:kern w:val="2"/>
          <w:sz w:val="20"/>
          <w:szCs w:val="20"/>
          <w:shd w:val="clear" w:color="auto" w:fill="FFFFFF"/>
          <w:lang w:val="en-GB"/>
        </w:rPr>
        <w:t>, </w:t>
      </w:r>
      <w:r w:rsidRPr="00AD7B7F">
        <w:rPr>
          <w:rFonts w:ascii="Arial" w:eastAsia="Calibri" w:hAnsi="Arial" w:cs="Arial"/>
          <w:i/>
          <w:iCs/>
          <w:kern w:val="2"/>
          <w:sz w:val="20"/>
          <w:szCs w:val="20"/>
          <w:shd w:val="clear" w:color="auto" w:fill="FFFFFF"/>
          <w:lang w:val="en-GB"/>
        </w:rPr>
        <w:t>20</w:t>
      </w:r>
      <w:r w:rsidRPr="00AD7B7F">
        <w:rPr>
          <w:rFonts w:ascii="Arial" w:eastAsia="Calibri" w:hAnsi="Arial" w:cs="Arial"/>
          <w:kern w:val="2"/>
          <w:sz w:val="20"/>
          <w:szCs w:val="20"/>
          <w:shd w:val="clear" w:color="auto" w:fill="FFFFFF"/>
          <w:lang w:val="en-GB"/>
        </w:rPr>
        <w:t>, 1-9.</w:t>
      </w:r>
      <w:r w:rsidRPr="00AD7B7F">
        <w:rPr>
          <w:rFonts w:ascii="Arial" w:eastAsia="Calibri" w:hAnsi="Arial" w:cs="Arial"/>
          <w:kern w:val="2"/>
          <w:sz w:val="20"/>
          <w:szCs w:val="20"/>
          <w:lang w:val="en-GB"/>
        </w:rPr>
        <w:t xml:space="preserve"> </w:t>
      </w:r>
      <w:r w:rsidRPr="00AD7B7F">
        <w:rPr>
          <w:rFonts w:ascii="Arial" w:eastAsia="Calibri" w:hAnsi="Arial" w:cs="Arial"/>
          <w:kern w:val="2"/>
          <w:sz w:val="20"/>
          <w:szCs w:val="20"/>
          <w:shd w:val="clear" w:color="auto" w:fill="FFFFFF"/>
          <w:lang w:val="en-GB"/>
        </w:rPr>
        <w:t>https://pubmed.ncbi.nlm.nih.gov/32652935/</w:t>
      </w:r>
    </w:p>
    <w:p w14:paraId="01A8F9E4" w14:textId="77777777" w:rsidR="00AA3D9B" w:rsidRPr="00AD7B7F" w:rsidRDefault="00AA3D9B" w:rsidP="00445F5A">
      <w:pPr>
        <w:spacing w:before="16" w:after="0" w:line="240" w:lineRule="auto"/>
        <w:ind w:left="547" w:hanging="547"/>
        <w:jc w:val="both"/>
        <w:rPr>
          <w:rFonts w:ascii="Arial" w:eastAsia="Calibri" w:hAnsi="Arial" w:cs="Arial"/>
          <w:kern w:val="2"/>
          <w:sz w:val="20"/>
          <w:szCs w:val="20"/>
          <w:shd w:val="clear" w:color="auto" w:fill="FFFFFF"/>
          <w:lang w:val="en-GB"/>
        </w:rPr>
      </w:pPr>
      <w:proofErr w:type="spellStart"/>
      <w:r w:rsidRPr="00AD7B7F">
        <w:rPr>
          <w:rFonts w:ascii="Arial" w:eastAsia="Calibri" w:hAnsi="Arial" w:cs="Arial"/>
          <w:kern w:val="2"/>
          <w:sz w:val="20"/>
          <w:szCs w:val="20"/>
          <w:shd w:val="clear" w:color="auto" w:fill="FFFFFF"/>
          <w:lang w:val="en-GB"/>
        </w:rPr>
        <w:t>Gülec</w:t>
      </w:r>
      <w:proofErr w:type="spellEnd"/>
      <w:r w:rsidRPr="00AD7B7F">
        <w:rPr>
          <w:rFonts w:ascii="Arial" w:eastAsia="Calibri" w:hAnsi="Arial" w:cs="Arial"/>
          <w:kern w:val="2"/>
          <w:sz w:val="20"/>
          <w:szCs w:val="20"/>
          <w:shd w:val="clear" w:color="auto" w:fill="FFFFFF"/>
          <w:lang w:val="en-GB"/>
        </w:rPr>
        <w:t>, S., Aras, Ö., Atmaca, Y., Akyürek, Ö., Hanson, N. Q., Sayin, T., ... &amp; Oral, D. (2003). Deletion polymorphism of the angiotensin I converting enzyme gene is a potent risk factor for coronary artery ectasia. </w:t>
      </w:r>
      <w:r w:rsidRPr="00AD7B7F">
        <w:rPr>
          <w:rFonts w:ascii="Arial" w:eastAsia="Calibri" w:hAnsi="Arial" w:cs="Arial"/>
          <w:i/>
          <w:iCs/>
          <w:kern w:val="2"/>
          <w:sz w:val="20"/>
          <w:szCs w:val="20"/>
          <w:shd w:val="clear" w:color="auto" w:fill="FFFFFF"/>
          <w:lang w:val="en-GB"/>
        </w:rPr>
        <w:t>Heart</w:t>
      </w:r>
      <w:r w:rsidRPr="00AD7B7F">
        <w:rPr>
          <w:rFonts w:ascii="Arial" w:eastAsia="Calibri" w:hAnsi="Arial" w:cs="Arial"/>
          <w:kern w:val="2"/>
          <w:sz w:val="20"/>
          <w:szCs w:val="20"/>
          <w:shd w:val="clear" w:color="auto" w:fill="FFFFFF"/>
          <w:lang w:val="en-GB"/>
        </w:rPr>
        <w:t>, </w:t>
      </w:r>
      <w:r w:rsidRPr="00AD7B7F">
        <w:rPr>
          <w:rFonts w:ascii="Arial" w:eastAsia="Calibri" w:hAnsi="Arial" w:cs="Arial"/>
          <w:i/>
          <w:iCs/>
          <w:kern w:val="2"/>
          <w:sz w:val="20"/>
          <w:szCs w:val="20"/>
          <w:shd w:val="clear" w:color="auto" w:fill="FFFFFF"/>
          <w:lang w:val="en-GB"/>
        </w:rPr>
        <w:t>89(2),</w:t>
      </w:r>
      <w:r w:rsidRPr="00AD7B7F">
        <w:rPr>
          <w:rFonts w:ascii="Arial" w:eastAsia="Calibri" w:hAnsi="Arial" w:cs="Arial"/>
          <w:kern w:val="2"/>
          <w:sz w:val="20"/>
          <w:szCs w:val="20"/>
          <w:shd w:val="clear" w:color="auto" w:fill="FFFFFF"/>
          <w:lang w:val="en-GB"/>
        </w:rPr>
        <w:t xml:space="preserve"> 213-214.</w:t>
      </w:r>
      <w:r w:rsidRPr="00AD7B7F">
        <w:rPr>
          <w:rFonts w:ascii="Arial" w:eastAsia="Calibri" w:hAnsi="Arial" w:cs="Arial"/>
          <w:kern w:val="2"/>
          <w:sz w:val="20"/>
          <w:szCs w:val="20"/>
          <w:lang w:val="en-GB"/>
        </w:rPr>
        <w:t xml:space="preserve"> </w:t>
      </w:r>
      <w:r w:rsidRPr="00AD7B7F">
        <w:rPr>
          <w:rFonts w:ascii="Arial" w:eastAsia="Calibri" w:hAnsi="Arial" w:cs="Arial"/>
          <w:kern w:val="2"/>
          <w:sz w:val="20"/>
          <w:szCs w:val="20"/>
          <w:shd w:val="clear" w:color="auto" w:fill="FFFFFF"/>
          <w:lang w:val="en-GB"/>
        </w:rPr>
        <w:t>https://pubmed.ncbi.nlm.nih.gov/12527685/</w:t>
      </w:r>
    </w:p>
    <w:p w14:paraId="4A874F42"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proofErr w:type="spellStart"/>
      <w:r w:rsidRPr="00AA3D9B">
        <w:rPr>
          <w:rFonts w:ascii="Arial" w:eastAsia="Times New Roman" w:hAnsi="Arial" w:cs="Arial"/>
          <w:sz w:val="20"/>
          <w:szCs w:val="20"/>
          <w:lang w:val="en-GB" w:eastAsia="en-GB"/>
        </w:rPr>
        <w:t>Kawsara</w:t>
      </w:r>
      <w:proofErr w:type="spellEnd"/>
      <w:r w:rsidRPr="00AA3D9B">
        <w:rPr>
          <w:rFonts w:ascii="Arial" w:eastAsia="Times New Roman" w:hAnsi="Arial" w:cs="Arial"/>
          <w:sz w:val="20"/>
          <w:szCs w:val="20"/>
          <w:lang w:val="en-GB" w:eastAsia="en-GB"/>
        </w:rPr>
        <w:t xml:space="preserve">, A., Núñez Gil, I. J., Alqahtani, F., Moreland, J., </w:t>
      </w:r>
      <w:proofErr w:type="spellStart"/>
      <w:r w:rsidRPr="00AA3D9B">
        <w:rPr>
          <w:rFonts w:ascii="Arial" w:eastAsia="Times New Roman" w:hAnsi="Arial" w:cs="Arial"/>
          <w:sz w:val="20"/>
          <w:szCs w:val="20"/>
          <w:lang w:val="en-GB" w:eastAsia="en-GB"/>
        </w:rPr>
        <w:t>Rihal</w:t>
      </w:r>
      <w:proofErr w:type="spellEnd"/>
      <w:r w:rsidRPr="00AA3D9B">
        <w:rPr>
          <w:rFonts w:ascii="Arial" w:eastAsia="Times New Roman" w:hAnsi="Arial" w:cs="Arial"/>
          <w:sz w:val="20"/>
          <w:szCs w:val="20"/>
          <w:lang w:val="en-GB" w:eastAsia="en-GB"/>
        </w:rPr>
        <w:t xml:space="preserve">, C. S., &amp; </w:t>
      </w:r>
      <w:proofErr w:type="spellStart"/>
      <w:r w:rsidRPr="00AA3D9B">
        <w:rPr>
          <w:rFonts w:ascii="Arial" w:eastAsia="Times New Roman" w:hAnsi="Arial" w:cs="Arial"/>
          <w:sz w:val="20"/>
          <w:szCs w:val="20"/>
          <w:lang w:val="en-GB" w:eastAsia="en-GB"/>
        </w:rPr>
        <w:t>Alkhouli</w:t>
      </w:r>
      <w:proofErr w:type="spellEnd"/>
      <w:r w:rsidRPr="00AA3D9B">
        <w:rPr>
          <w:rFonts w:ascii="Arial" w:eastAsia="Times New Roman" w:hAnsi="Arial" w:cs="Arial"/>
          <w:sz w:val="20"/>
          <w:szCs w:val="20"/>
          <w:lang w:val="en-GB" w:eastAsia="en-GB"/>
        </w:rPr>
        <w:t xml:space="preserve">, M. (2018). Management of coronary artery aneurysms. </w:t>
      </w:r>
      <w:r w:rsidRPr="00AA3D9B">
        <w:rPr>
          <w:rFonts w:ascii="Arial" w:eastAsia="Times New Roman" w:hAnsi="Arial" w:cs="Arial"/>
          <w:i/>
          <w:iCs/>
          <w:sz w:val="20"/>
          <w:szCs w:val="20"/>
          <w:lang w:val="en-GB" w:eastAsia="en-GB"/>
        </w:rPr>
        <w:t>JACC: Cardiovascular Interventions, 11(13),</w:t>
      </w:r>
      <w:r w:rsidRPr="00AA3D9B">
        <w:rPr>
          <w:rFonts w:ascii="Arial" w:eastAsia="Times New Roman" w:hAnsi="Arial" w:cs="Arial"/>
          <w:sz w:val="20"/>
          <w:szCs w:val="20"/>
          <w:lang w:val="en-GB" w:eastAsia="en-GB"/>
        </w:rPr>
        <w:t xml:space="preserve"> 1211–1223.</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10.1016/j.jcin.2018.02.041.</w:t>
      </w:r>
    </w:p>
    <w:p w14:paraId="16132E5B" w14:textId="77777777" w:rsidR="00AA3D9B" w:rsidRPr="00AD7B7F" w:rsidRDefault="00AA3D9B" w:rsidP="00445F5A">
      <w:pPr>
        <w:spacing w:before="16" w:after="0" w:line="240" w:lineRule="auto"/>
        <w:ind w:left="547" w:hanging="547"/>
        <w:jc w:val="both"/>
        <w:rPr>
          <w:rFonts w:ascii="Arial" w:eastAsia="Calibri" w:hAnsi="Arial" w:cs="Arial"/>
          <w:kern w:val="2"/>
          <w:sz w:val="20"/>
          <w:szCs w:val="20"/>
          <w:lang w:val="en-GB"/>
        </w:rPr>
      </w:pPr>
      <w:r w:rsidRPr="00AA3D9B">
        <w:rPr>
          <w:rFonts w:ascii="Arial" w:eastAsia="Times New Roman" w:hAnsi="Arial" w:cs="Arial"/>
          <w:sz w:val="20"/>
          <w:szCs w:val="20"/>
          <w:lang w:val="en-GB" w:eastAsia="en-GB"/>
        </w:rPr>
        <w:t xml:space="preserve">Khedr, A., Neupane, B., </w:t>
      </w:r>
      <w:proofErr w:type="spellStart"/>
      <w:r w:rsidRPr="00AA3D9B">
        <w:rPr>
          <w:rFonts w:ascii="Arial" w:eastAsia="Times New Roman" w:hAnsi="Arial" w:cs="Arial"/>
          <w:sz w:val="20"/>
          <w:szCs w:val="20"/>
          <w:lang w:val="en-GB" w:eastAsia="en-GB"/>
        </w:rPr>
        <w:t>Proskuriakova</w:t>
      </w:r>
      <w:proofErr w:type="spellEnd"/>
      <w:r w:rsidRPr="00AA3D9B">
        <w:rPr>
          <w:rFonts w:ascii="Arial" w:eastAsia="Times New Roman" w:hAnsi="Arial" w:cs="Arial"/>
          <w:sz w:val="20"/>
          <w:szCs w:val="20"/>
          <w:lang w:val="en-GB" w:eastAsia="en-GB"/>
        </w:rPr>
        <w:t xml:space="preserve">, E., Jada, K., </w:t>
      </w:r>
      <w:proofErr w:type="spellStart"/>
      <w:r w:rsidRPr="00AA3D9B">
        <w:rPr>
          <w:rFonts w:ascii="Arial" w:eastAsia="Times New Roman" w:hAnsi="Arial" w:cs="Arial"/>
          <w:sz w:val="20"/>
          <w:szCs w:val="20"/>
          <w:lang w:val="en-GB" w:eastAsia="en-GB"/>
        </w:rPr>
        <w:t>Kakieu</w:t>
      </w:r>
      <w:proofErr w:type="spellEnd"/>
      <w:r w:rsidRPr="00AA3D9B">
        <w:rPr>
          <w:rFonts w:ascii="Arial" w:eastAsia="Times New Roman" w:hAnsi="Arial" w:cs="Arial"/>
          <w:sz w:val="20"/>
          <w:szCs w:val="20"/>
          <w:lang w:val="en-GB" w:eastAsia="en-GB"/>
        </w:rPr>
        <w:t xml:space="preserve"> </w:t>
      </w:r>
      <w:proofErr w:type="spellStart"/>
      <w:r w:rsidRPr="00AA3D9B">
        <w:rPr>
          <w:rFonts w:ascii="Arial" w:eastAsia="Times New Roman" w:hAnsi="Arial" w:cs="Arial"/>
          <w:sz w:val="20"/>
          <w:szCs w:val="20"/>
          <w:lang w:val="en-GB" w:eastAsia="en-GB"/>
        </w:rPr>
        <w:t>Djossi</w:t>
      </w:r>
      <w:proofErr w:type="spellEnd"/>
      <w:r w:rsidRPr="00AA3D9B">
        <w:rPr>
          <w:rFonts w:ascii="Arial" w:eastAsia="Times New Roman" w:hAnsi="Arial" w:cs="Arial"/>
          <w:sz w:val="20"/>
          <w:szCs w:val="20"/>
          <w:lang w:val="en-GB" w:eastAsia="en-GB"/>
        </w:rPr>
        <w:t xml:space="preserve">, S., &amp; Mostafa, J. A. (2021). Pharmacologic management of coronary artery ectasia. </w:t>
      </w:r>
      <w:proofErr w:type="spellStart"/>
      <w:r w:rsidRPr="00AA3D9B">
        <w:rPr>
          <w:rFonts w:ascii="Arial" w:eastAsia="Times New Roman" w:hAnsi="Arial" w:cs="Arial"/>
          <w:i/>
          <w:iCs/>
          <w:sz w:val="20"/>
          <w:szCs w:val="20"/>
          <w:lang w:val="en-GB" w:eastAsia="en-GB"/>
        </w:rPr>
        <w:t>Cureus</w:t>
      </w:r>
      <w:proofErr w:type="spellEnd"/>
      <w:r w:rsidRPr="00AA3D9B">
        <w:rPr>
          <w:rFonts w:ascii="Arial" w:eastAsia="Times New Roman" w:hAnsi="Arial" w:cs="Arial"/>
          <w:sz w:val="20"/>
          <w:szCs w:val="20"/>
          <w:lang w:val="en-GB" w:eastAsia="en-GB"/>
        </w:rPr>
        <w:t>, September, Article 17832.</w:t>
      </w:r>
      <w:r w:rsidRPr="00AD7B7F">
        <w:rPr>
          <w:rFonts w:ascii="Arial" w:eastAsia="Calibri" w:hAnsi="Arial" w:cs="Arial"/>
          <w:kern w:val="2"/>
          <w:sz w:val="20"/>
          <w:szCs w:val="20"/>
          <w:lang w:val="en-GB"/>
        </w:rPr>
        <w:t xml:space="preserve"> </w:t>
      </w:r>
    </w:p>
    <w:p w14:paraId="43F86FFE" w14:textId="67507E89" w:rsidR="00AA3D9B" w:rsidRPr="00AA3D9B" w:rsidRDefault="00AA3D9B" w:rsidP="00445F5A">
      <w:pPr>
        <w:spacing w:before="16" w:after="0" w:line="240" w:lineRule="auto"/>
        <w:ind w:left="547"/>
        <w:jc w:val="both"/>
        <w:rPr>
          <w:rFonts w:ascii="Arial" w:eastAsia="Times New Roman" w:hAnsi="Arial" w:cs="Arial"/>
          <w:sz w:val="20"/>
          <w:szCs w:val="20"/>
          <w:lang w:val="en-GB" w:eastAsia="en-GB"/>
        </w:rPr>
      </w:pPr>
      <w:r w:rsidRPr="00AA3D9B">
        <w:rPr>
          <w:rFonts w:ascii="Arial" w:eastAsia="Times New Roman" w:hAnsi="Arial" w:cs="Arial"/>
          <w:sz w:val="20"/>
          <w:szCs w:val="20"/>
          <w:lang w:val="en-GB" w:eastAsia="en-GB"/>
        </w:rPr>
        <w:t>10.7759/cureus.17832.</w:t>
      </w:r>
    </w:p>
    <w:p w14:paraId="2CED407C"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r w:rsidRPr="00AA3D9B">
        <w:rPr>
          <w:rFonts w:ascii="Arial" w:eastAsia="Times New Roman" w:hAnsi="Arial" w:cs="Arial"/>
          <w:sz w:val="20"/>
          <w:szCs w:val="20"/>
          <w:lang w:val="en-GB" w:eastAsia="en-GB"/>
        </w:rPr>
        <w:t xml:space="preserve">Liu, R., Zhao, H., Gao, X., &amp; Liang, S. (2021). Is coronary artery ectasia a progressive disease? A self-controlled retrospective cohort study. </w:t>
      </w:r>
      <w:r w:rsidRPr="00AA3D9B">
        <w:rPr>
          <w:rFonts w:ascii="Arial" w:eastAsia="Times New Roman" w:hAnsi="Arial" w:cs="Arial"/>
          <w:i/>
          <w:iCs/>
          <w:sz w:val="20"/>
          <w:szCs w:val="20"/>
          <w:lang w:val="en-GB" w:eastAsia="en-GB"/>
        </w:rPr>
        <w:t>Frontiers in Cardiovascular Medicine, 8</w:t>
      </w:r>
      <w:r w:rsidRPr="00AA3D9B">
        <w:rPr>
          <w:rFonts w:ascii="Arial" w:eastAsia="Times New Roman" w:hAnsi="Arial" w:cs="Arial"/>
          <w:sz w:val="20"/>
          <w:szCs w:val="20"/>
          <w:lang w:val="en-GB" w:eastAsia="en-GB"/>
        </w:rPr>
        <w:t>, Article 774597.</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10.3389/fcvm.2021.774597.</w:t>
      </w:r>
    </w:p>
    <w:p w14:paraId="24CFAD64"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r w:rsidRPr="00AA3D9B">
        <w:rPr>
          <w:rFonts w:ascii="Arial" w:eastAsia="Times New Roman" w:hAnsi="Arial" w:cs="Arial"/>
          <w:sz w:val="20"/>
          <w:szCs w:val="20"/>
          <w:lang w:val="en-GB" w:eastAsia="en-GB"/>
        </w:rPr>
        <w:t xml:space="preserve">Maehara, A., Mintz, G. S., Ahmed, J. M., Fuchs, S., Castagna, M. T., Pichard, A. D., ... &amp; Leon, M. B. (2001). An intravascular ultrasound classification of angiographic coronary artery aneurysms. </w:t>
      </w:r>
      <w:r w:rsidRPr="00AA3D9B">
        <w:rPr>
          <w:rFonts w:ascii="Arial" w:eastAsia="Times New Roman" w:hAnsi="Arial" w:cs="Arial"/>
          <w:i/>
          <w:iCs/>
          <w:sz w:val="20"/>
          <w:szCs w:val="20"/>
          <w:lang w:val="en-GB" w:eastAsia="en-GB"/>
        </w:rPr>
        <w:t>American Journal of Cardiology, 88(4),</w:t>
      </w:r>
      <w:r w:rsidRPr="00AA3D9B">
        <w:rPr>
          <w:rFonts w:ascii="Arial" w:eastAsia="Times New Roman" w:hAnsi="Arial" w:cs="Arial"/>
          <w:sz w:val="20"/>
          <w:szCs w:val="20"/>
          <w:lang w:val="en-GB" w:eastAsia="en-GB"/>
        </w:rPr>
        <w:t xml:space="preserve"> 365–370.</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10.1016/s0002-9149(01)01680-0.</w:t>
      </w:r>
    </w:p>
    <w:p w14:paraId="4E3B8EB9"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r w:rsidRPr="00AA3D9B">
        <w:rPr>
          <w:rFonts w:ascii="Arial" w:eastAsia="Times New Roman" w:hAnsi="Arial" w:cs="Arial"/>
          <w:sz w:val="20"/>
          <w:szCs w:val="20"/>
          <w:lang w:val="en-GB" w:eastAsia="en-GB"/>
        </w:rPr>
        <w:t xml:space="preserve">Markis, J. E., Joffe, C. D., Cohn, P. F., Feen, D. J., Herman, M. V., &amp; Gorlin, R. (1976). Clinical significance of coronary arterial ectasia. </w:t>
      </w:r>
      <w:r w:rsidRPr="00AA3D9B">
        <w:rPr>
          <w:rFonts w:ascii="Arial" w:eastAsia="Times New Roman" w:hAnsi="Arial" w:cs="Arial"/>
          <w:i/>
          <w:iCs/>
          <w:sz w:val="20"/>
          <w:szCs w:val="20"/>
          <w:lang w:val="en-GB" w:eastAsia="en-GB"/>
        </w:rPr>
        <w:t>American Journal of Cardiology, 37(2),</w:t>
      </w:r>
      <w:r w:rsidRPr="00AA3D9B">
        <w:rPr>
          <w:rFonts w:ascii="Arial" w:eastAsia="Times New Roman" w:hAnsi="Arial" w:cs="Arial"/>
          <w:sz w:val="20"/>
          <w:szCs w:val="20"/>
          <w:lang w:val="en-GB" w:eastAsia="en-GB"/>
        </w:rPr>
        <w:t xml:space="preserve"> 217–222.</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10.1016/0002-9149(76)90315-5.</w:t>
      </w:r>
    </w:p>
    <w:p w14:paraId="55FFB9FA"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proofErr w:type="spellStart"/>
      <w:r w:rsidRPr="00AA3D9B">
        <w:rPr>
          <w:rFonts w:ascii="Arial" w:eastAsia="Times New Roman" w:hAnsi="Arial" w:cs="Arial"/>
          <w:sz w:val="20"/>
          <w:szCs w:val="20"/>
          <w:lang w:val="en-GB" w:eastAsia="en-GB"/>
        </w:rPr>
        <w:t>Mavrogeni</w:t>
      </w:r>
      <w:proofErr w:type="spellEnd"/>
      <w:r w:rsidRPr="00AA3D9B">
        <w:rPr>
          <w:rFonts w:ascii="Arial" w:eastAsia="Times New Roman" w:hAnsi="Arial" w:cs="Arial"/>
          <w:sz w:val="20"/>
          <w:szCs w:val="20"/>
          <w:lang w:val="en-GB" w:eastAsia="en-GB"/>
        </w:rPr>
        <w:t xml:space="preserve">, S. (2024). Coronary artery ectasia: Diagnosis and treatment. </w:t>
      </w:r>
      <w:r w:rsidRPr="00AA3D9B">
        <w:rPr>
          <w:rFonts w:ascii="Arial" w:eastAsia="Times New Roman" w:hAnsi="Arial" w:cs="Arial"/>
          <w:i/>
          <w:iCs/>
          <w:sz w:val="20"/>
          <w:szCs w:val="20"/>
          <w:lang w:val="en-GB" w:eastAsia="en-GB"/>
        </w:rPr>
        <w:t>E-Journal of Cardiology Practice, 8</w:t>
      </w:r>
      <w:r w:rsidRPr="00AA3D9B">
        <w:rPr>
          <w:rFonts w:ascii="Arial" w:eastAsia="Times New Roman" w:hAnsi="Arial" w:cs="Arial"/>
          <w:sz w:val="20"/>
          <w:szCs w:val="20"/>
          <w:lang w:val="en-GB" w:eastAsia="en-GB"/>
        </w:rPr>
        <w:t xml:space="preserve">. Retrieved November 30, 2024, from </w:t>
      </w:r>
      <w:hyperlink r:id="rId18" w:tgtFrame="_new" w:history="1">
        <w:r w:rsidRPr="00AA3D9B">
          <w:rPr>
            <w:rFonts w:ascii="Arial" w:eastAsia="Times New Roman" w:hAnsi="Arial" w:cs="Arial"/>
            <w:sz w:val="20"/>
            <w:szCs w:val="20"/>
            <w:lang w:val="en-GB" w:eastAsia="en-GB"/>
          </w:rPr>
          <w:t>https://www.escardio.org/Journals/E-Journal-of-Cardiology-Practice/Volume-8/Coronary-artery-ectasia-diagnosis-and-treatment</w:t>
        </w:r>
      </w:hyperlink>
    </w:p>
    <w:p w14:paraId="4E8E97A4"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r w:rsidRPr="00AA3D9B">
        <w:rPr>
          <w:rFonts w:ascii="Arial" w:eastAsia="Times New Roman" w:hAnsi="Arial" w:cs="Arial"/>
          <w:sz w:val="20"/>
          <w:szCs w:val="20"/>
          <w:lang w:val="en-GB" w:eastAsia="en-GB"/>
        </w:rPr>
        <w:t xml:space="preserve">Ozcan, O. U., Turak, O., Canpolat, U., Avci, S., </w:t>
      </w:r>
      <w:proofErr w:type="spellStart"/>
      <w:r w:rsidRPr="00AA3D9B">
        <w:rPr>
          <w:rFonts w:ascii="Arial" w:eastAsia="Times New Roman" w:hAnsi="Arial" w:cs="Arial"/>
          <w:sz w:val="20"/>
          <w:szCs w:val="20"/>
          <w:lang w:val="en-GB" w:eastAsia="en-GB"/>
        </w:rPr>
        <w:t>Aydogdu</w:t>
      </w:r>
      <w:proofErr w:type="spellEnd"/>
      <w:r w:rsidRPr="00AA3D9B">
        <w:rPr>
          <w:rFonts w:ascii="Arial" w:eastAsia="Times New Roman" w:hAnsi="Arial" w:cs="Arial"/>
          <w:sz w:val="20"/>
          <w:szCs w:val="20"/>
          <w:lang w:val="en-GB" w:eastAsia="en-GB"/>
        </w:rPr>
        <w:t xml:space="preserve">, S., Tok, D., ... &amp; Aras, D. (2015). Effect of diltiazem on coronary artery flow and myocardial perfusion in patients with isolated coronary artery ectasia and either stable angina pectoris or positive myocardial ischemic stress test. </w:t>
      </w:r>
      <w:r w:rsidRPr="00AA3D9B">
        <w:rPr>
          <w:rFonts w:ascii="Arial" w:eastAsia="Times New Roman" w:hAnsi="Arial" w:cs="Arial"/>
          <w:i/>
          <w:iCs/>
          <w:sz w:val="20"/>
          <w:szCs w:val="20"/>
          <w:lang w:val="en-GB" w:eastAsia="en-GB"/>
        </w:rPr>
        <w:t>American Journal of Cardiology, 116(8),</w:t>
      </w:r>
      <w:r w:rsidRPr="00AA3D9B">
        <w:rPr>
          <w:rFonts w:ascii="Arial" w:eastAsia="Times New Roman" w:hAnsi="Arial" w:cs="Arial"/>
          <w:sz w:val="20"/>
          <w:szCs w:val="20"/>
          <w:lang w:val="en-GB" w:eastAsia="en-GB"/>
        </w:rPr>
        <w:t xml:space="preserve"> 1199–1203.</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10.1016/j.amjcard.2015.07.033.</w:t>
      </w:r>
    </w:p>
    <w:p w14:paraId="4F5C5707"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r w:rsidRPr="00AA3D9B">
        <w:rPr>
          <w:rFonts w:ascii="Arial" w:eastAsia="Times New Roman" w:hAnsi="Arial" w:cs="Arial"/>
          <w:sz w:val="20"/>
          <w:szCs w:val="20"/>
          <w:lang w:val="en-GB" w:eastAsia="en-GB"/>
        </w:rPr>
        <w:t xml:space="preserve">Sheikh, A. S., Hailan, A., Kinnaird, T., Choudhury, A., &amp; Smith, D. (2019). Coronary artery aneurysm: Evaluation, prognosis, and proposed treatment strategies. </w:t>
      </w:r>
      <w:r w:rsidRPr="00AA3D9B">
        <w:rPr>
          <w:rFonts w:ascii="Arial" w:eastAsia="Times New Roman" w:hAnsi="Arial" w:cs="Arial"/>
          <w:i/>
          <w:iCs/>
          <w:sz w:val="20"/>
          <w:szCs w:val="20"/>
          <w:lang w:val="en-GB" w:eastAsia="en-GB"/>
        </w:rPr>
        <w:t>Heart Views: The Official Journal of the Gulf Heart Association, 20(3),</w:t>
      </w:r>
      <w:r w:rsidRPr="00AA3D9B">
        <w:rPr>
          <w:rFonts w:ascii="Arial" w:eastAsia="Times New Roman" w:hAnsi="Arial" w:cs="Arial"/>
          <w:sz w:val="20"/>
          <w:szCs w:val="20"/>
          <w:lang w:val="en-GB" w:eastAsia="en-GB"/>
        </w:rPr>
        <w:t xml:space="preserve"> 101–108.</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10.4103/HEARTVIEWS.HEARTVIEWS_1_19</w:t>
      </w:r>
    </w:p>
    <w:p w14:paraId="24838954" w14:textId="77777777" w:rsidR="00AA3D9B" w:rsidRPr="00AA3D9B" w:rsidRDefault="00AA3D9B" w:rsidP="00445F5A">
      <w:pPr>
        <w:spacing w:before="16" w:after="0" w:line="240" w:lineRule="auto"/>
        <w:ind w:left="547" w:hanging="547"/>
        <w:jc w:val="both"/>
        <w:rPr>
          <w:rFonts w:ascii="Arial" w:eastAsia="Times New Roman" w:hAnsi="Arial" w:cs="Arial"/>
          <w:sz w:val="20"/>
          <w:szCs w:val="20"/>
          <w:lang w:val="en-GB" w:eastAsia="en-GB"/>
        </w:rPr>
      </w:pPr>
      <w:proofErr w:type="spellStart"/>
      <w:r w:rsidRPr="00AA3D9B">
        <w:rPr>
          <w:rFonts w:ascii="Arial" w:eastAsia="Times New Roman" w:hAnsi="Arial" w:cs="Arial"/>
          <w:sz w:val="20"/>
          <w:szCs w:val="20"/>
          <w:lang w:val="en-GB" w:eastAsia="en-GB"/>
        </w:rPr>
        <w:t>Shousha</w:t>
      </w:r>
      <w:proofErr w:type="spellEnd"/>
      <w:r w:rsidRPr="00AA3D9B">
        <w:rPr>
          <w:rFonts w:ascii="Arial" w:eastAsia="Times New Roman" w:hAnsi="Arial" w:cs="Arial"/>
          <w:sz w:val="20"/>
          <w:szCs w:val="20"/>
          <w:lang w:val="en-GB" w:eastAsia="en-GB"/>
        </w:rPr>
        <w:t xml:space="preserve">, M., </w:t>
      </w:r>
      <w:proofErr w:type="spellStart"/>
      <w:r w:rsidRPr="00AA3D9B">
        <w:rPr>
          <w:rFonts w:ascii="Arial" w:eastAsia="Times New Roman" w:hAnsi="Arial" w:cs="Arial"/>
          <w:sz w:val="20"/>
          <w:szCs w:val="20"/>
          <w:lang w:val="en-GB" w:eastAsia="en-GB"/>
        </w:rPr>
        <w:t>Elbarbary</w:t>
      </w:r>
      <w:proofErr w:type="spellEnd"/>
      <w:r w:rsidRPr="00AA3D9B">
        <w:rPr>
          <w:rFonts w:ascii="Arial" w:eastAsia="Times New Roman" w:hAnsi="Arial" w:cs="Arial"/>
          <w:sz w:val="20"/>
          <w:szCs w:val="20"/>
          <w:lang w:val="en-GB" w:eastAsia="en-GB"/>
        </w:rPr>
        <w:t xml:space="preserve">, Y., </w:t>
      </w:r>
      <w:proofErr w:type="spellStart"/>
      <w:r w:rsidRPr="00AA3D9B">
        <w:rPr>
          <w:rFonts w:ascii="Arial" w:eastAsia="Times New Roman" w:hAnsi="Arial" w:cs="Arial"/>
          <w:sz w:val="20"/>
          <w:szCs w:val="20"/>
          <w:lang w:val="en-GB" w:eastAsia="en-GB"/>
        </w:rPr>
        <w:t>Khalfallah</w:t>
      </w:r>
      <w:proofErr w:type="spellEnd"/>
      <w:r w:rsidRPr="00AA3D9B">
        <w:rPr>
          <w:rFonts w:ascii="Arial" w:eastAsia="Times New Roman" w:hAnsi="Arial" w:cs="Arial"/>
          <w:sz w:val="20"/>
          <w:szCs w:val="20"/>
          <w:lang w:val="en-GB" w:eastAsia="en-GB"/>
        </w:rPr>
        <w:t xml:space="preserve">, M., &amp; Eldin, S. S. (2020). C-reactive protein to albumin ratio versus coronary artery ectasia as predictors of no-reflow after primary percutaneous coronary intervention for patients presenting with ST segment elevation myocardial infarction. </w:t>
      </w:r>
      <w:r w:rsidRPr="00AA3D9B">
        <w:rPr>
          <w:rFonts w:ascii="Arial" w:eastAsia="Times New Roman" w:hAnsi="Arial" w:cs="Arial"/>
          <w:i/>
          <w:iCs/>
          <w:sz w:val="20"/>
          <w:szCs w:val="20"/>
          <w:lang w:val="en-GB" w:eastAsia="en-GB"/>
        </w:rPr>
        <w:t>Journal of Advances in Medicine and Medical Research, 32(20),</w:t>
      </w:r>
      <w:r w:rsidRPr="00AA3D9B">
        <w:rPr>
          <w:rFonts w:ascii="Arial" w:eastAsia="Times New Roman" w:hAnsi="Arial" w:cs="Arial"/>
          <w:sz w:val="20"/>
          <w:szCs w:val="20"/>
          <w:lang w:val="en-GB" w:eastAsia="en-GB"/>
        </w:rPr>
        <w:t xml:space="preserve"> 85–96.</w:t>
      </w:r>
    </w:p>
    <w:p w14:paraId="3921CE12" w14:textId="45D63CAF" w:rsidR="00AA3D9B" w:rsidRPr="00AD7B7F" w:rsidRDefault="00AA3D9B" w:rsidP="00445F5A">
      <w:pPr>
        <w:spacing w:before="16" w:after="0" w:line="240" w:lineRule="auto"/>
        <w:ind w:left="547" w:hanging="547"/>
        <w:jc w:val="both"/>
        <w:rPr>
          <w:rFonts w:ascii="Arial" w:eastAsia="Times New Roman" w:hAnsi="Arial" w:cs="Arial"/>
          <w:sz w:val="20"/>
          <w:szCs w:val="20"/>
          <w:lang w:val="en-GB" w:eastAsia="en-GB"/>
        </w:rPr>
      </w:pPr>
      <w:r w:rsidRPr="00AA3D9B">
        <w:rPr>
          <w:rFonts w:ascii="Arial" w:eastAsia="Times New Roman" w:hAnsi="Arial" w:cs="Arial"/>
          <w:sz w:val="20"/>
          <w:szCs w:val="20"/>
          <w:lang w:val="en-GB" w:eastAsia="en-GB"/>
        </w:rPr>
        <w:lastRenderedPageBreak/>
        <w:t xml:space="preserve">Sorrell, V. L., Davis, M. J., &amp; Bove, A. A. (1998). Current knowledge and significance of coronary artery ectasia: A chronologic review of the literature, recommendations </w:t>
      </w:r>
      <w:r w:rsidRPr="00AA3D9B">
        <w:rPr>
          <w:rFonts w:ascii="Arial" w:eastAsia="Times New Roman" w:hAnsi="Arial" w:cs="Arial"/>
          <w:sz w:val="20"/>
          <w:szCs w:val="20"/>
          <w:lang w:val="en-GB" w:eastAsia="en-GB"/>
        </w:rPr>
        <w:t xml:space="preserve">for treatment, possible </w:t>
      </w:r>
      <w:proofErr w:type="spellStart"/>
      <w:r w:rsidRPr="00AA3D9B">
        <w:rPr>
          <w:rFonts w:ascii="Arial" w:eastAsia="Times New Roman" w:hAnsi="Arial" w:cs="Arial"/>
          <w:sz w:val="20"/>
          <w:szCs w:val="20"/>
          <w:lang w:val="en-GB" w:eastAsia="en-GB"/>
        </w:rPr>
        <w:t>etiologies</w:t>
      </w:r>
      <w:proofErr w:type="spellEnd"/>
      <w:r w:rsidRPr="00AA3D9B">
        <w:rPr>
          <w:rFonts w:ascii="Arial" w:eastAsia="Times New Roman" w:hAnsi="Arial" w:cs="Arial"/>
          <w:sz w:val="20"/>
          <w:szCs w:val="20"/>
          <w:lang w:val="en-GB" w:eastAsia="en-GB"/>
        </w:rPr>
        <w:t xml:space="preserve">, and future considerations. </w:t>
      </w:r>
      <w:r w:rsidRPr="00AA3D9B">
        <w:rPr>
          <w:rFonts w:ascii="Arial" w:eastAsia="Times New Roman" w:hAnsi="Arial" w:cs="Arial"/>
          <w:i/>
          <w:iCs/>
          <w:sz w:val="20"/>
          <w:szCs w:val="20"/>
          <w:lang w:val="en-GB" w:eastAsia="en-GB"/>
        </w:rPr>
        <w:t>Clinical Cardiology, 21(3),</w:t>
      </w:r>
      <w:r w:rsidRPr="00AA3D9B">
        <w:rPr>
          <w:rFonts w:ascii="Arial" w:eastAsia="Times New Roman" w:hAnsi="Arial" w:cs="Arial"/>
          <w:sz w:val="20"/>
          <w:szCs w:val="20"/>
          <w:lang w:val="en-GB" w:eastAsia="en-GB"/>
        </w:rPr>
        <w:t xml:space="preserve"> 157–160.</w:t>
      </w:r>
      <w:r w:rsidRPr="00AD7B7F">
        <w:rPr>
          <w:rFonts w:ascii="Arial" w:eastAsia="Calibri" w:hAnsi="Arial" w:cs="Arial"/>
          <w:kern w:val="2"/>
          <w:sz w:val="20"/>
          <w:szCs w:val="20"/>
          <w:lang w:val="en-GB"/>
        </w:rPr>
        <w:t xml:space="preserve"> </w:t>
      </w:r>
      <w:r w:rsidRPr="00AA3D9B">
        <w:rPr>
          <w:rFonts w:ascii="Arial" w:eastAsia="Times New Roman" w:hAnsi="Arial" w:cs="Arial"/>
          <w:sz w:val="20"/>
          <w:szCs w:val="20"/>
          <w:lang w:val="en-GB" w:eastAsia="en-GB"/>
        </w:rPr>
        <w:t>10.1002/clc.4960210304.</w:t>
      </w:r>
    </w:p>
    <w:p w14:paraId="3319F2FF" w14:textId="60CC436D" w:rsidR="00AA3D9B" w:rsidRPr="00AD7B7F" w:rsidRDefault="00AA3D9B" w:rsidP="00EC269E">
      <w:pPr>
        <w:spacing w:after="0" w:line="240" w:lineRule="auto"/>
        <w:jc w:val="both"/>
        <w:rPr>
          <w:rFonts w:ascii="Arial" w:eastAsia="Calibri" w:hAnsi="Arial" w:cs="Arial"/>
          <w:sz w:val="20"/>
          <w:szCs w:val="20"/>
        </w:rPr>
        <w:sectPr w:rsidR="00AA3D9B" w:rsidRPr="00AD7B7F" w:rsidSect="00AA3D9B">
          <w:type w:val="continuous"/>
          <w:pgSz w:w="11909" w:h="16834" w:code="9"/>
          <w:pgMar w:top="1440" w:right="1440" w:bottom="1440" w:left="1440" w:header="720" w:footer="864" w:gutter="0"/>
          <w:pgNumType w:start="4"/>
          <w:cols w:num="2" w:space="288"/>
          <w:docGrid w:linePitch="360"/>
        </w:sectPr>
      </w:pPr>
    </w:p>
    <w:p w14:paraId="0F504760" w14:textId="77777777" w:rsidR="00EC269E" w:rsidRPr="00EC269E" w:rsidRDefault="00EC269E" w:rsidP="00EC269E">
      <w:pPr>
        <w:spacing w:after="0" w:line="240" w:lineRule="auto"/>
        <w:jc w:val="both"/>
        <w:rPr>
          <w:rFonts w:ascii="Arial" w:eastAsia="Calibri" w:hAnsi="Arial" w:cs="Arial"/>
          <w:sz w:val="20"/>
          <w:szCs w:val="20"/>
        </w:rPr>
      </w:pPr>
    </w:p>
    <w:p w14:paraId="1E8CDD9F" w14:textId="70FCB614" w:rsidR="00D851AD" w:rsidRPr="00AD7B7F" w:rsidRDefault="005545D0" w:rsidP="00BD060A">
      <w:pPr>
        <w:keepNext/>
        <w:spacing w:after="0" w:line="240" w:lineRule="auto"/>
        <w:contextualSpacing/>
        <w:jc w:val="both"/>
        <w:rPr>
          <w:rFonts w:ascii="Arial" w:eastAsia="Times New Roman" w:hAnsi="Arial" w:cs="Arial"/>
          <w:b/>
          <w:sz w:val="15"/>
          <w:szCs w:val="15"/>
        </w:rPr>
      </w:pPr>
      <w:r w:rsidRPr="00AD7B7F">
        <w:rPr>
          <w:rFonts w:ascii="Arial" w:eastAsia="Calibri" w:hAnsi="Arial" w:cs="Arial"/>
          <w:b/>
          <w:bCs/>
          <w:kern w:val="2"/>
          <w:sz w:val="15"/>
          <w:szCs w:val="15"/>
          <w:lang w:val="en-GB"/>
        </w:rPr>
        <w:t xml:space="preserve">Disclaimer/Publisher’s Note: </w:t>
      </w:r>
      <w:r w:rsidRPr="00AD7B7F">
        <w:rPr>
          <w:rFonts w:ascii="Arial" w:eastAsia="Calibri" w:hAnsi="Arial" w:cs="Arial"/>
          <w:kern w:val="2"/>
          <w:sz w:val="15"/>
          <w:szCs w:val="15"/>
          <w:lang w:val="en-GB"/>
        </w:rPr>
        <w:t>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1D1EE91E" w14:textId="77777777" w:rsidR="00D851AD" w:rsidRPr="00AD7B7F" w:rsidRDefault="00D851AD" w:rsidP="00BD060A">
      <w:pPr>
        <w:keepNext/>
        <w:spacing w:after="0" w:line="240" w:lineRule="auto"/>
        <w:contextualSpacing/>
        <w:jc w:val="both"/>
        <w:rPr>
          <w:rFonts w:ascii="Arial" w:eastAsia="Times New Roman" w:hAnsi="Arial" w:cs="Arial"/>
          <w:b/>
          <w:szCs w:val="20"/>
        </w:rPr>
        <w:sectPr w:rsidR="00D851AD" w:rsidRPr="00AD7B7F" w:rsidSect="009423FD">
          <w:type w:val="continuous"/>
          <w:pgSz w:w="11909" w:h="16834" w:code="9"/>
          <w:pgMar w:top="1440" w:right="1440" w:bottom="1440" w:left="1440" w:header="720" w:footer="864" w:gutter="0"/>
          <w:pgNumType w:start="1"/>
          <w:cols w:space="720"/>
          <w:docGrid w:linePitch="360"/>
        </w:sectPr>
      </w:pPr>
    </w:p>
    <w:p w14:paraId="45E1DAE5" w14:textId="77777777" w:rsidR="00BD060A" w:rsidRPr="00AD7B7F" w:rsidRDefault="00BD060A" w:rsidP="00E702F4">
      <w:pPr>
        <w:spacing w:after="0" w:line="240" w:lineRule="auto"/>
        <w:ind w:left="540" w:hanging="540"/>
        <w:jc w:val="center"/>
        <w:rPr>
          <w:rFonts w:ascii="Arial" w:eastAsia="Times New Roman" w:hAnsi="Arial" w:cs="Arial"/>
          <w:i/>
          <w:sz w:val="16"/>
          <w:szCs w:val="20"/>
        </w:rPr>
      </w:pPr>
    </w:p>
    <w:p w14:paraId="04976979" w14:textId="578CD65E" w:rsidR="00CD3A89" w:rsidRDefault="000F3B77" w:rsidP="00380ACB">
      <w:pPr>
        <w:pBdr>
          <w:top w:val="single" w:sz="4" w:space="1" w:color="auto"/>
        </w:pBdr>
        <w:spacing w:after="0" w:line="240" w:lineRule="auto"/>
        <w:jc w:val="both"/>
        <w:rPr>
          <w:rFonts w:ascii="Arial" w:hAnsi="Arial" w:cs="Arial"/>
        </w:rPr>
      </w:pPr>
      <w:r w:rsidRPr="00AD7B7F">
        <w:rPr>
          <w:rFonts w:ascii="Arial" w:eastAsia="Calibri" w:hAnsi="Arial" w:cs="Arial"/>
          <w:i/>
          <w:iCs/>
          <w:kern w:val="2"/>
          <w:sz w:val="16"/>
          <w:szCs w:val="16"/>
          <w:lang w:val="en-GB"/>
        </w:rPr>
        <w:t>© Copyright (202</w:t>
      </w:r>
      <w:r w:rsidR="004259EF" w:rsidRPr="00AD7B7F">
        <w:rPr>
          <w:rFonts w:ascii="Arial" w:eastAsia="Calibri" w:hAnsi="Arial" w:cs="Arial"/>
          <w:i/>
          <w:iCs/>
          <w:kern w:val="2"/>
          <w:sz w:val="16"/>
          <w:szCs w:val="16"/>
          <w:lang w:val="en-GB"/>
        </w:rPr>
        <w:t>5</w:t>
      </w:r>
      <w:r w:rsidRPr="00AD7B7F">
        <w:rPr>
          <w:rFonts w:ascii="Arial" w:eastAsia="Calibri" w:hAnsi="Arial" w:cs="Arial"/>
          <w:i/>
          <w:iCs/>
          <w:kern w:val="2"/>
          <w:sz w:val="16"/>
          <w:szCs w:val="16"/>
          <w:lang w:val="en-GB"/>
        </w:rPr>
        <w:t>): Author(s). The licensee is the journal publisher. This is an Open Access article distributed under the terms of the Creative Commons Attribution License (</w:t>
      </w:r>
      <w:r w:rsidRPr="00AD7B7F">
        <w:rPr>
          <w:rFonts w:ascii="Arial" w:eastAsia="Calibri" w:hAnsi="Arial" w:cs="Arial"/>
          <w:i/>
          <w:iCs/>
          <w:color w:val="0000FF"/>
          <w:kern w:val="2"/>
          <w:sz w:val="16"/>
          <w:szCs w:val="16"/>
          <w:lang w:val="en-GB"/>
        </w:rPr>
        <w:t>http://creativecommons.org/licenses/by/4.0</w:t>
      </w:r>
      <w:r w:rsidRPr="00AD7B7F">
        <w:rPr>
          <w:rFonts w:ascii="Arial" w:eastAsia="Calibri" w:hAnsi="Arial" w:cs="Arial"/>
          <w:i/>
          <w:iCs/>
          <w:kern w:val="2"/>
          <w:sz w:val="16"/>
          <w:szCs w:val="16"/>
          <w:lang w:val="en-GB"/>
        </w:rPr>
        <w:t>), which permits unrestricted use, distribution, and reproduction in any medium, provided the original work is properly cited.</w:t>
      </w:r>
    </w:p>
    <w:sectPr w:rsidR="00CD3A89" w:rsidSect="00F442FC">
      <w:type w:val="continuous"/>
      <w:pgSz w:w="11909" w:h="16834" w:code="9"/>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76959" w14:textId="77777777" w:rsidR="00C040D1" w:rsidRDefault="00C040D1" w:rsidP="00CD3A89">
      <w:pPr>
        <w:spacing w:after="0" w:line="240" w:lineRule="auto"/>
      </w:pPr>
      <w:r>
        <w:separator/>
      </w:r>
    </w:p>
  </w:endnote>
  <w:endnote w:type="continuationSeparator" w:id="0">
    <w:p w14:paraId="648D762A" w14:textId="77777777" w:rsidR="00C040D1" w:rsidRDefault="00C040D1"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3113"/>
      <w:docPartObj>
        <w:docPartGallery w:val="Page Numbers (Bottom of Page)"/>
        <w:docPartUnique/>
      </w:docPartObj>
    </w:sdtPr>
    <w:sdtContent>
      <w:p w14:paraId="4D9EACF4" w14:textId="77777777" w:rsidR="00F6450F" w:rsidRPr="00263AE4" w:rsidRDefault="00F6450F">
        <w:pPr>
          <w:pStyle w:val="Footer"/>
          <w:jc w:val="center"/>
          <w:rPr>
            <w:rFonts w:ascii="Arial" w:hAnsi="Arial" w:cs="Arial"/>
            <w:sz w:val="28"/>
          </w:rPr>
        </w:pPr>
      </w:p>
      <w:p w14:paraId="5B5DF52A" w14:textId="77777777" w:rsidR="00263AE4" w:rsidRDefault="0013612A">
        <w:pPr>
          <w:pStyle w:val="Footer"/>
          <w:jc w:val="center"/>
          <w:rPr>
            <w:rFonts w:ascii="Arial" w:hAnsi="Arial" w:cs="Arial"/>
            <w:sz w:val="20"/>
          </w:rPr>
        </w:pPr>
        <w:r w:rsidRPr="00945900">
          <w:rPr>
            <w:rFonts w:ascii="Arial" w:hAnsi="Arial" w:cs="Arial"/>
            <w:sz w:val="20"/>
          </w:rPr>
          <w:fldChar w:fldCharType="begin"/>
        </w:r>
        <w:r w:rsidR="00A22248" w:rsidRPr="00945900">
          <w:rPr>
            <w:rFonts w:ascii="Arial" w:hAnsi="Arial" w:cs="Arial"/>
            <w:sz w:val="20"/>
          </w:rPr>
          <w:instrText xml:space="preserve"> PAGE   \* MERGEFORMAT </w:instrText>
        </w:r>
        <w:r w:rsidRPr="00945900">
          <w:rPr>
            <w:rFonts w:ascii="Arial" w:hAnsi="Arial" w:cs="Arial"/>
            <w:sz w:val="20"/>
          </w:rPr>
          <w:fldChar w:fldCharType="separate"/>
        </w:r>
        <w:r w:rsidR="00477428">
          <w:rPr>
            <w:rFonts w:ascii="Arial" w:hAnsi="Arial" w:cs="Arial"/>
            <w:noProof/>
            <w:sz w:val="20"/>
          </w:rPr>
          <w:t>10</w:t>
        </w:r>
        <w:r w:rsidRPr="00945900">
          <w:rPr>
            <w:rFonts w:ascii="Arial" w:hAnsi="Arial" w:cs="Arial"/>
            <w:sz w:val="20"/>
          </w:rPr>
          <w:fldChar w:fldCharType="end"/>
        </w:r>
      </w:p>
      <w:p w14:paraId="3E933502" w14:textId="77777777" w:rsidR="00485F13" w:rsidRPr="00527592" w:rsidRDefault="00000000">
        <w:pPr>
          <w:pStyle w:val="Footer"/>
          <w:jc w:val="center"/>
          <w:rPr>
            <w:rFonts w:ascii="Arial" w:hAnsi="Arial" w:cs="Arial"/>
            <w:sz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3BBF" w14:textId="77777777" w:rsidR="00E72385" w:rsidRPr="00E72385" w:rsidRDefault="00E72385" w:rsidP="00E72385">
    <w:pPr>
      <w:tabs>
        <w:tab w:val="center" w:pos="4320"/>
        <w:tab w:val="right" w:pos="8640"/>
      </w:tabs>
      <w:spacing w:after="0" w:line="240" w:lineRule="auto"/>
      <w:rPr>
        <w:rFonts w:ascii="Arial" w:eastAsia="Times New Roman" w:hAnsi="Arial" w:cs="Arial"/>
        <w:sz w:val="16"/>
        <w:szCs w:val="20"/>
      </w:rPr>
    </w:pPr>
    <w:r w:rsidRPr="00E72385">
      <w:rPr>
        <w:rFonts w:ascii="Arial" w:eastAsia="Times New Roman" w:hAnsi="Arial" w:cs="Arial"/>
        <w:sz w:val="16"/>
        <w:szCs w:val="20"/>
      </w:rPr>
      <w:t>____________________________________________</w:t>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t>_________________________________________________________</w:t>
    </w:r>
  </w:p>
  <w:p w14:paraId="27BDDA71" w14:textId="77777777" w:rsidR="00E72385" w:rsidRPr="00E72385" w:rsidRDefault="00E72385" w:rsidP="00E72385">
    <w:pPr>
      <w:spacing w:after="0" w:line="240" w:lineRule="auto"/>
      <w:jc w:val="both"/>
      <w:rPr>
        <w:rFonts w:ascii="Arial" w:eastAsia="Times New Roman" w:hAnsi="Arial" w:cs="Arial"/>
        <w:i/>
        <w:sz w:val="16"/>
        <w:szCs w:val="20"/>
      </w:rPr>
    </w:pPr>
  </w:p>
  <w:p w14:paraId="3971E28A" w14:textId="77777777" w:rsidR="00E72385" w:rsidRDefault="00E72385" w:rsidP="00E72385">
    <w:pPr>
      <w:spacing w:after="0" w:line="240" w:lineRule="auto"/>
      <w:jc w:val="both"/>
      <w:rPr>
        <w:rFonts w:ascii="Arial" w:eastAsia="Times New Roman" w:hAnsi="Arial" w:cs="Arial"/>
        <w:i/>
        <w:sz w:val="16"/>
        <w:szCs w:val="20"/>
      </w:rPr>
    </w:pPr>
    <w:r w:rsidRPr="00E72385">
      <w:rPr>
        <w:rFonts w:ascii="Arial" w:eastAsia="Times New Roman" w:hAnsi="Arial" w:cs="Arial"/>
        <w:i/>
        <w:sz w:val="16"/>
        <w:szCs w:val="20"/>
      </w:rPr>
      <w:t>*Corresponding author: Email: ………………………….;</w:t>
    </w:r>
  </w:p>
  <w:p w14:paraId="610C9887" w14:textId="77777777" w:rsidR="00477428" w:rsidRDefault="00477428" w:rsidP="00E72385">
    <w:pPr>
      <w:spacing w:after="0" w:line="240" w:lineRule="auto"/>
      <w:jc w:val="both"/>
      <w:rPr>
        <w:rFonts w:ascii="Arial" w:eastAsia="Times New Roman" w:hAnsi="Arial" w:cs="Arial"/>
        <w:i/>
        <w:sz w:val="16"/>
        <w:szCs w:val="20"/>
      </w:rPr>
    </w:pPr>
  </w:p>
  <w:p w14:paraId="148B1E8E" w14:textId="77777777" w:rsidR="006A7707" w:rsidRDefault="006A7707" w:rsidP="006A7707">
    <w:pPr>
      <w:pStyle w:val="Footer"/>
      <w:jc w:val="both"/>
      <w:rPr>
        <w:rFonts w:ascii="Arial" w:hAnsi="Arial" w:cs="Arial"/>
        <w:b/>
        <w:bCs/>
        <w:i/>
        <w:sz w:val="16"/>
      </w:rPr>
    </w:pPr>
    <w:r w:rsidRPr="00932C11">
      <w:rPr>
        <w:rFonts w:ascii="Arial" w:hAnsi="Arial" w:cs="Arial"/>
        <w:b/>
        <w:bCs/>
        <w:i/>
        <w:sz w:val="16"/>
      </w:rPr>
      <w:t>Cite as:</w:t>
    </w:r>
  </w:p>
  <w:p w14:paraId="381FF72B" w14:textId="77777777" w:rsidR="006A7707" w:rsidRDefault="006A7707" w:rsidP="006A7707">
    <w:pPr>
      <w:pStyle w:val="Footer"/>
      <w:jc w:val="both"/>
      <w:rPr>
        <w:rFonts w:ascii="Arial" w:hAnsi="Arial" w:cs="Arial"/>
        <w:i/>
        <w:sz w:val="16"/>
      </w:rPr>
    </w:pPr>
  </w:p>
  <w:p w14:paraId="5DBEC683" w14:textId="77777777" w:rsidR="005545D0" w:rsidRDefault="005545D0" w:rsidP="006A7707">
    <w:pPr>
      <w:pStyle w:val="Footer"/>
      <w:jc w:val="both"/>
      <w:rPr>
        <w:rFonts w:ascii="Arial" w:hAnsi="Arial" w:cs="Arial"/>
        <w:i/>
        <w:sz w:val="16"/>
      </w:rPr>
    </w:pPr>
  </w:p>
  <w:p w14:paraId="3D59EE55" w14:textId="77777777" w:rsidR="006A7707" w:rsidRPr="00932C11" w:rsidRDefault="006A7707" w:rsidP="006A7707">
    <w:pPr>
      <w:pStyle w:val="Footer"/>
      <w:jc w:val="both"/>
      <w:rPr>
        <w:rFonts w:ascii="Arial" w:hAnsi="Arial" w:cs="Arial"/>
        <w:i/>
        <w:sz w:val="16"/>
      </w:rPr>
    </w:pPr>
  </w:p>
  <w:p w14:paraId="26A273EB" w14:textId="77777777" w:rsidR="00490A64" w:rsidRDefault="00490A64">
    <w:pPr>
      <w:pStyle w:val="Footer"/>
      <w:rPr>
        <w:rFonts w:ascii="Arial" w:hAnsi="Arial" w:cs="Arial"/>
        <w:sz w:val="20"/>
      </w:rPr>
    </w:pPr>
  </w:p>
  <w:p w14:paraId="5C2BFF42" w14:textId="77777777" w:rsidR="006A7707" w:rsidRPr="00490A64" w:rsidRDefault="006A7707">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B1E1C" w14:textId="77777777" w:rsidR="00C040D1" w:rsidRDefault="00C040D1" w:rsidP="00CD3A89">
      <w:pPr>
        <w:spacing w:after="0" w:line="240" w:lineRule="auto"/>
      </w:pPr>
      <w:r>
        <w:separator/>
      </w:r>
    </w:p>
  </w:footnote>
  <w:footnote w:type="continuationSeparator" w:id="0">
    <w:p w14:paraId="709448BD" w14:textId="77777777" w:rsidR="00C040D1" w:rsidRDefault="00C040D1"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42279" w14:textId="75D97F01" w:rsidR="00926688" w:rsidRDefault="00000000">
    <w:pPr>
      <w:pStyle w:val="Header"/>
    </w:pPr>
    <w:r>
      <w:rPr>
        <w:noProof/>
      </w:rPr>
      <w:pict w14:anchorId="17140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635172" o:spid="_x0000_s1026" type="#_x0000_t136" style="position:absolute;margin-left:0;margin-top:0;width:477.35pt;height:159.1pt;rotation:315;z-index:-251655168;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5CB4" w14:textId="172F6BC7" w:rsidR="00171FBC" w:rsidRPr="005E2E0B" w:rsidRDefault="00000000" w:rsidP="00171FBC">
    <w:pPr>
      <w:tabs>
        <w:tab w:val="center" w:pos="4320"/>
        <w:tab w:val="right" w:pos="8640"/>
      </w:tabs>
      <w:spacing w:after="0" w:line="240" w:lineRule="auto"/>
      <w:jc w:val="right"/>
      <w:rPr>
        <w:rFonts w:ascii="Arial" w:eastAsia="Times New Roman" w:hAnsi="Arial" w:cs="Arial"/>
        <w:i/>
        <w:sz w:val="16"/>
        <w:szCs w:val="20"/>
      </w:rPr>
    </w:pPr>
    <w:r>
      <w:rPr>
        <w:noProof/>
      </w:rPr>
      <w:pict w14:anchorId="4A00A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635173" o:spid="_x0000_s1027" type="#_x0000_t136" style="position:absolute;left:0;text-align:left;margin-left:0;margin-top:0;width:477.35pt;height:159.1pt;rotation:315;z-index:-251653120;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p w14:paraId="24F13F9B" w14:textId="77777777" w:rsidR="00171FBC" w:rsidRPr="005E2E0B" w:rsidRDefault="00171FBC" w:rsidP="00171FBC">
    <w:pPr>
      <w:tabs>
        <w:tab w:val="center" w:pos="4320"/>
        <w:tab w:val="right" w:pos="8640"/>
      </w:tabs>
      <w:spacing w:after="0" w:line="240" w:lineRule="auto"/>
      <w:jc w:val="right"/>
      <w:rPr>
        <w:rFonts w:ascii="Arial" w:eastAsia="Times New Roman" w:hAnsi="Arial" w:cs="Arial"/>
        <w:i/>
        <w:sz w:val="16"/>
        <w:szCs w:val="20"/>
      </w:rPr>
    </w:pPr>
  </w:p>
  <w:p w14:paraId="5621EB75" w14:textId="77777777" w:rsidR="00171FBC" w:rsidRPr="005E2E0B" w:rsidRDefault="00171FBC" w:rsidP="00171FBC">
    <w:pPr>
      <w:tabs>
        <w:tab w:val="center" w:pos="4320"/>
        <w:tab w:val="right" w:pos="8640"/>
      </w:tabs>
      <w:spacing w:after="0" w:line="240" w:lineRule="auto"/>
      <w:jc w:val="right"/>
      <w:rPr>
        <w:rFonts w:ascii="Arial" w:eastAsia="Times New Roman" w:hAnsi="Arial" w:cs="Arial"/>
        <w:i/>
        <w:sz w:val="16"/>
        <w:szCs w:val="20"/>
      </w:rPr>
    </w:pPr>
  </w:p>
  <w:p w14:paraId="6E52D2A6" w14:textId="77777777" w:rsidR="00171FBC" w:rsidRPr="005E2E0B" w:rsidRDefault="00171FBC" w:rsidP="00171FBC">
    <w:pPr>
      <w:tabs>
        <w:tab w:val="center" w:pos="4320"/>
        <w:tab w:val="right" w:pos="8640"/>
      </w:tabs>
      <w:spacing w:after="0" w:line="240" w:lineRule="auto"/>
      <w:jc w:val="right"/>
      <w:rPr>
        <w:rFonts w:ascii="Arial" w:eastAsia="Times New Roman" w:hAnsi="Arial" w:cs="Arial"/>
        <w:i/>
        <w:sz w:val="16"/>
        <w:szCs w:val="20"/>
      </w:rPr>
    </w:pPr>
  </w:p>
  <w:p w14:paraId="7A6820C3" w14:textId="274B084F" w:rsidR="00171FBC" w:rsidRDefault="00974577" w:rsidP="00171FBC">
    <w:pPr>
      <w:tabs>
        <w:tab w:val="center" w:pos="4320"/>
        <w:tab w:val="right" w:pos="8640"/>
      </w:tabs>
      <w:spacing w:after="0" w:line="240" w:lineRule="auto"/>
      <w:jc w:val="right"/>
      <w:rPr>
        <w:rFonts w:ascii="Arial" w:eastAsia="Times New Roman" w:hAnsi="Arial" w:cs="Arial"/>
        <w:i/>
        <w:sz w:val="16"/>
        <w:szCs w:val="20"/>
      </w:rPr>
    </w:pPr>
    <w:r w:rsidRPr="005E2E0B">
      <w:rPr>
        <w:rFonts w:ascii="Arial" w:eastAsia="Times New Roman" w:hAnsi="Arial" w:cs="Arial"/>
        <w:i/>
        <w:sz w:val="16"/>
        <w:szCs w:val="20"/>
      </w:rPr>
      <w:t xml:space="preserve">Author name; </w:t>
    </w:r>
    <w:r w:rsidR="00477428" w:rsidRPr="005E2E0B">
      <w:rPr>
        <w:rFonts w:ascii="Arial" w:eastAsia="Times New Roman" w:hAnsi="Arial" w:cs="Arial"/>
        <w:i/>
        <w:sz w:val="16"/>
        <w:szCs w:val="20"/>
      </w:rPr>
      <w:t xml:space="preserve">Asian J. </w:t>
    </w:r>
    <w:proofErr w:type="spellStart"/>
    <w:r w:rsidR="00477428" w:rsidRPr="005E2E0B">
      <w:rPr>
        <w:rFonts w:ascii="Arial" w:eastAsia="Times New Roman" w:hAnsi="Arial" w:cs="Arial"/>
        <w:i/>
        <w:sz w:val="16"/>
        <w:szCs w:val="20"/>
      </w:rPr>
      <w:t>Cardiol</w:t>
    </w:r>
    <w:proofErr w:type="spellEnd"/>
    <w:r w:rsidR="00477428" w:rsidRPr="005E2E0B">
      <w:rPr>
        <w:rFonts w:ascii="Arial" w:eastAsia="Times New Roman" w:hAnsi="Arial" w:cs="Arial"/>
        <w:i/>
        <w:sz w:val="16"/>
        <w:szCs w:val="20"/>
      </w:rPr>
      <w:t>. Res., vol. xx, no. xx, pp. xx-xx, 20YY</w:t>
    </w:r>
    <w:r w:rsidR="00D851AD" w:rsidRPr="005E2E0B">
      <w:rPr>
        <w:rFonts w:ascii="Arial" w:eastAsia="Times New Roman" w:hAnsi="Arial" w:cs="Arial"/>
        <w:i/>
        <w:sz w:val="16"/>
        <w:szCs w:val="20"/>
      </w:rPr>
      <w:t xml:space="preserve">; Article </w:t>
    </w:r>
    <w:proofErr w:type="gramStart"/>
    <w:r w:rsidR="00D851AD" w:rsidRPr="005E2E0B">
      <w:rPr>
        <w:rFonts w:ascii="Arial" w:eastAsia="Times New Roman" w:hAnsi="Arial" w:cs="Arial"/>
        <w:i/>
        <w:sz w:val="16"/>
        <w:szCs w:val="20"/>
      </w:rPr>
      <w:t>no.</w:t>
    </w:r>
    <w:r w:rsidR="0045151D" w:rsidRPr="005E2E0B">
      <w:rPr>
        <w:rFonts w:ascii="Arial" w:eastAsia="Times New Roman" w:hAnsi="Arial" w:cs="Arial"/>
        <w:i/>
        <w:sz w:val="16"/>
        <w:szCs w:val="20"/>
      </w:rPr>
      <w:t>AJCR</w:t>
    </w:r>
    <w:proofErr w:type="gramEnd"/>
    <w:r w:rsidR="009423FD" w:rsidRPr="005E2E0B">
      <w:rPr>
        <w:rFonts w:ascii="Arial" w:eastAsia="Times New Roman" w:hAnsi="Arial" w:cs="Arial"/>
        <w:i/>
        <w:sz w:val="16"/>
        <w:szCs w:val="20"/>
      </w:rPr>
      <w:t>.135809</w:t>
    </w:r>
  </w:p>
  <w:p w14:paraId="07BDDFCA" w14:textId="77777777" w:rsidR="00974577" w:rsidRPr="00171FBC" w:rsidRDefault="00974577" w:rsidP="00171FBC">
    <w:pPr>
      <w:tabs>
        <w:tab w:val="center" w:pos="4320"/>
        <w:tab w:val="right" w:pos="8640"/>
      </w:tabs>
      <w:spacing w:after="0" w:line="240" w:lineRule="auto"/>
      <w:jc w:val="right"/>
      <w:rPr>
        <w:rFonts w:ascii="Arial" w:eastAsia="Times New Roman" w:hAnsi="Arial" w:cs="Arial"/>
        <w:i/>
        <w:sz w:val="16"/>
        <w:szCs w:val="20"/>
      </w:rPr>
    </w:pPr>
  </w:p>
  <w:p w14:paraId="1A3F011B" w14:textId="77777777" w:rsidR="00171FBC" w:rsidRPr="00171FBC" w:rsidRDefault="00171FBC" w:rsidP="00171FBC">
    <w:pPr>
      <w:tabs>
        <w:tab w:val="center" w:pos="4320"/>
        <w:tab w:val="right" w:pos="8640"/>
      </w:tabs>
      <w:spacing w:after="0" w:line="240" w:lineRule="auto"/>
      <w:jc w:val="right"/>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CAC2" w14:textId="0E6018D2" w:rsidR="00926688" w:rsidRDefault="00000000">
    <w:pPr>
      <w:pStyle w:val="Header"/>
    </w:pPr>
    <w:r>
      <w:rPr>
        <w:noProof/>
      </w:rPr>
      <w:pict w14:anchorId="54D87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635171" o:spid="_x0000_s1025" type="#_x0000_t136" style="position:absolute;margin-left:0;margin-top:0;width:477.35pt;height:159.1pt;rotation:315;z-index:-251657216;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4152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drawingGridHorizontalSpacing w:val="110"/>
  <w:displayHorizontalDrawingGridEvery w:val="2"/>
  <w:characterSpacingControl w:val="doNotCompress"/>
  <w:hdrShapeDefaults>
    <o:shapedefaults v:ext="edit" spidmax="208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13266"/>
    <w:rsid w:val="000140EA"/>
    <w:rsid w:val="000226DD"/>
    <w:rsid w:val="00022FDB"/>
    <w:rsid w:val="000328E4"/>
    <w:rsid w:val="00035EC0"/>
    <w:rsid w:val="000372DB"/>
    <w:rsid w:val="00041716"/>
    <w:rsid w:val="00074DFB"/>
    <w:rsid w:val="000806D3"/>
    <w:rsid w:val="00084B44"/>
    <w:rsid w:val="000A2031"/>
    <w:rsid w:val="000B2863"/>
    <w:rsid w:val="000C2408"/>
    <w:rsid w:val="000D1EC1"/>
    <w:rsid w:val="000F3B77"/>
    <w:rsid w:val="001004BF"/>
    <w:rsid w:val="00100B40"/>
    <w:rsid w:val="0010611F"/>
    <w:rsid w:val="00117484"/>
    <w:rsid w:val="00124A37"/>
    <w:rsid w:val="0013012E"/>
    <w:rsid w:val="0013612A"/>
    <w:rsid w:val="0014561B"/>
    <w:rsid w:val="001458EB"/>
    <w:rsid w:val="00150CE4"/>
    <w:rsid w:val="00152FB8"/>
    <w:rsid w:val="00154C07"/>
    <w:rsid w:val="00171FBC"/>
    <w:rsid w:val="00190C2D"/>
    <w:rsid w:val="001A4A55"/>
    <w:rsid w:val="001A6005"/>
    <w:rsid w:val="001A69A3"/>
    <w:rsid w:val="001B111C"/>
    <w:rsid w:val="001D00F5"/>
    <w:rsid w:val="001E0CE3"/>
    <w:rsid w:val="001E36BC"/>
    <w:rsid w:val="00205B59"/>
    <w:rsid w:val="00220A21"/>
    <w:rsid w:val="0023656F"/>
    <w:rsid w:val="002367E7"/>
    <w:rsid w:val="00250135"/>
    <w:rsid w:val="002573C9"/>
    <w:rsid w:val="00260707"/>
    <w:rsid w:val="00263AE4"/>
    <w:rsid w:val="0028695F"/>
    <w:rsid w:val="00297CC0"/>
    <w:rsid w:val="002A041A"/>
    <w:rsid w:val="002A078A"/>
    <w:rsid w:val="002A635B"/>
    <w:rsid w:val="002B02E7"/>
    <w:rsid w:val="002C7DF4"/>
    <w:rsid w:val="002D6E70"/>
    <w:rsid w:val="0031517D"/>
    <w:rsid w:val="00332601"/>
    <w:rsid w:val="003349BB"/>
    <w:rsid w:val="00335947"/>
    <w:rsid w:val="00337CF5"/>
    <w:rsid w:val="00370C0D"/>
    <w:rsid w:val="00376494"/>
    <w:rsid w:val="00380ACB"/>
    <w:rsid w:val="00384A87"/>
    <w:rsid w:val="003A3084"/>
    <w:rsid w:val="003B2B85"/>
    <w:rsid w:val="003B4704"/>
    <w:rsid w:val="003D0DD7"/>
    <w:rsid w:val="003D63F5"/>
    <w:rsid w:val="003F47A0"/>
    <w:rsid w:val="003F798A"/>
    <w:rsid w:val="00400222"/>
    <w:rsid w:val="0040475A"/>
    <w:rsid w:val="00424421"/>
    <w:rsid w:val="004259EF"/>
    <w:rsid w:val="0043035E"/>
    <w:rsid w:val="00441840"/>
    <w:rsid w:val="00445F5A"/>
    <w:rsid w:val="0045151D"/>
    <w:rsid w:val="00454377"/>
    <w:rsid w:val="00455B14"/>
    <w:rsid w:val="004573F9"/>
    <w:rsid w:val="004743E7"/>
    <w:rsid w:val="00477428"/>
    <w:rsid w:val="00485F13"/>
    <w:rsid w:val="0048681C"/>
    <w:rsid w:val="00490A64"/>
    <w:rsid w:val="004B60EC"/>
    <w:rsid w:val="004C113A"/>
    <w:rsid w:val="004C5D40"/>
    <w:rsid w:val="004D6091"/>
    <w:rsid w:val="004E094F"/>
    <w:rsid w:val="004E2BC3"/>
    <w:rsid w:val="004F2706"/>
    <w:rsid w:val="005040F1"/>
    <w:rsid w:val="0051528E"/>
    <w:rsid w:val="005219E5"/>
    <w:rsid w:val="00527592"/>
    <w:rsid w:val="00536BCB"/>
    <w:rsid w:val="00552187"/>
    <w:rsid w:val="005545D0"/>
    <w:rsid w:val="00562C90"/>
    <w:rsid w:val="0056581E"/>
    <w:rsid w:val="005722FD"/>
    <w:rsid w:val="005734C1"/>
    <w:rsid w:val="0058198B"/>
    <w:rsid w:val="0058461B"/>
    <w:rsid w:val="005A1751"/>
    <w:rsid w:val="005C26C6"/>
    <w:rsid w:val="005C63EE"/>
    <w:rsid w:val="005E2E0B"/>
    <w:rsid w:val="005E42DE"/>
    <w:rsid w:val="00604FB0"/>
    <w:rsid w:val="00621C70"/>
    <w:rsid w:val="0064314B"/>
    <w:rsid w:val="00647361"/>
    <w:rsid w:val="006642C2"/>
    <w:rsid w:val="00682F1A"/>
    <w:rsid w:val="006853A4"/>
    <w:rsid w:val="00686D86"/>
    <w:rsid w:val="0068719D"/>
    <w:rsid w:val="00691313"/>
    <w:rsid w:val="006A2F45"/>
    <w:rsid w:val="006A3FCB"/>
    <w:rsid w:val="006A7707"/>
    <w:rsid w:val="006B60F9"/>
    <w:rsid w:val="006C31ED"/>
    <w:rsid w:val="006C667C"/>
    <w:rsid w:val="006C7C39"/>
    <w:rsid w:val="006D658B"/>
    <w:rsid w:val="00703125"/>
    <w:rsid w:val="007204A9"/>
    <w:rsid w:val="00720F38"/>
    <w:rsid w:val="00721737"/>
    <w:rsid w:val="007240A8"/>
    <w:rsid w:val="007323FC"/>
    <w:rsid w:val="00733C11"/>
    <w:rsid w:val="00746657"/>
    <w:rsid w:val="00747D62"/>
    <w:rsid w:val="00757CF0"/>
    <w:rsid w:val="007622EE"/>
    <w:rsid w:val="0076390D"/>
    <w:rsid w:val="007775D5"/>
    <w:rsid w:val="00785993"/>
    <w:rsid w:val="007B380F"/>
    <w:rsid w:val="007B63EC"/>
    <w:rsid w:val="007C49C7"/>
    <w:rsid w:val="007E02F8"/>
    <w:rsid w:val="007E4345"/>
    <w:rsid w:val="007F504C"/>
    <w:rsid w:val="00807ED0"/>
    <w:rsid w:val="00812548"/>
    <w:rsid w:val="008155A1"/>
    <w:rsid w:val="00823281"/>
    <w:rsid w:val="00825F35"/>
    <w:rsid w:val="00843678"/>
    <w:rsid w:val="00844627"/>
    <w:rsid w:val="00853DC1"/>
    <w:rsid w:val="00867A56"/>
    <w:rsid w:val="00873867"/>
    <w:rsid w:val="00873A5C"/>
    <w:rsid w:val="008776D1"/>
    <w:rsid w:val="008A060E"/>
    <w:rsid w:val="008B2522"/>
    <w:rsid w:val="008C3188"/>
    <w:rsid w:val="008C3497"/>
    <w:rsid w:val="008D50AF"/>
    <w:rsid w:val="008D72FE"/>
    <w:rsid w:val="008F67E8"/>
    <w:rsid w:val="00902A9E"/>
    <w:rsid w:val="00906FFF"/>
    <w:rsid w:val="00926688"/>
    <w:rsid w:val="00932EAB"/>
    <w:rsid w:val="009423FD"/>
    <w:rsid w:val="009431AE"/>
    <w:rsid w:val="00945900"/>
    <w:rsid w:val="00951D84"/>
    <w:rsid w:val="00953210"/>
    <w:rsid w:val="00962251"/>
    <w:rsid w:val="00964255"/>
    <w:rsid w:val="00974577"/>
    <w:rsid w:val="0098174A"/>
    <w:rsid w:val="009820AA"/>
    <w:rsid w:val="00982102"/>
    <w:rsid w:val="00982184"/>
    <w:rsid w:val="00984737"/>
    <w:rsid w:val="009B0B88"/>
    <w:rsid w:val="009D5065"/>
    <w:rsid w:val="009D713F"/>
    <w:rsid w:val="009E1EFB"/>
    <w:rsid w:val="009F3496"/>
    <w:rsid w:val="00A0172A"/>
    <w:rsid w:val="00A0275B"/>
    <w:rsid w:val="00A21828"/>
    <w:rsid w:val="00A22248"/>
    <w:rsid w:val="00A23045"/>
    <w:rsid w:val="00A30A6F"/>
    <w:rsid w:val="00A324F0"/>
    <w:rsid w:val="00A34E42"/>
    <w:rsid w:val="00A5393A"/>
    <w:rsid w:val="00A5640A"/>
    <w:rsid w:val="00A61B2E"/>
    <w:rsid w:val="00A6662D"/>
    <w:rsid w:val="00A706F7"/>
    <w:rsid w:val="00A90597"/>
    <w:rsid w:val="00A90DA5"/>
    <w:rsid w:val="00A95936"/>
    <w:rsid w:val="00AA0D41"/>
    <w:rsid w:val="00AA3D9B"/>
    <w:rsid w:val="00AB7D38"/>
    <w:rsid w:val="00AC3409"/>
    <w:rsid w:val="00AD2C4E"/>
    <w:rsid w:val="00AD3E46"/>
    <w:rsid w:val="00AD7B7F"/>
    <w:rsid w:val="00AE1C1D"/>
    <w:rsid w:val="00AF47AA"/>
    <w:rsid w:val="00B04F76"/>
    <w:rsid w:val="00B12217"/>
    <w:rsid w:val="00B15404"/>
    <w:rsid w:val="00B16C9A"/>
    <w:rsid w:val="00B414F6"/>
    <w:rsid w:val="00B635EC"/>
    <w:rsid w:val="00B75F26"/>
    <w:rsid w:val="00B7605E"/>
    <w:rsid w:val="00B8786D"/>
    <w:rsid w:val="00B950C8"/>
    <w:rsid w:val="00B976CC"/>
    <w:rsid w:val="00BA1088"/>
    <w:rsid w:val="00BB5B87"/>
    <w:rsid w:val="00BC1F51"/>
    <w:rsid w:val="00BD060A"/>
    <w:rsid w:val="00C040D1"/>
    <w:rsid w:val="00C11417"/>
    <w:rsid w:val="00C13266"/>
    <w:rsid w:val="00C14909"/>
    <w:rsid w:val="00C15C73"/>
    <w:rsid w:val="00C32323"/>
    <w:rsid w:val="00C333AF"/>
    <w:rsid w:val="00C41EA3"/>
    <w:rsid w:val="00C47C47"/>
    <w:rsid w:val="00C56D42"/>
    <w:rsid w:val="00C73C16"/>
    <w:rsid w:val="00C86F40"/>
    <w:rsid w:val="00C972F4"/>
    <w:rsid w:val="00CA6FB8"/>
    <w:rsid w:val="00CB0A4D"/>
    <w:rsid w:val="00CB60C5"/>
    <w:rsid w:val="00CD3A89"/>
    <w:rsid w:val="00CD4AFC"/>
    <w:rsid w:val="00CD5E65"/>
    <w:rsid w:val="00CE3E7D"/>
    <w:rsid w:val="00CE4B66"/>
    <w:rsid w:val="00CF722D"/>
    <w:rsid w:val="00D0182A"/>
    <w:rsid w:val="00D152AB"/>
    <w:rsid w:val="00D15D62"/>
    <w:rsid w:val="00D20C8C"/>
    <w:rsid w:val="00D210BB"/>
    <w:rsid w:val="00D51808"/>
    <w:rsid w:val="00D61E1D"/>
    <w:rsid w:val="00D71571"/>
    <w:rsid w:val="00D720CF"/>
    <w:rsid w:val="00D75AE1"/>
    <w:rsid w:val="00D76E4A"/>
    <w:rsid w:val="00D83DBB"/>
    <w:rsid w:val="00D851AD"/>
    <w:rsid w:val="00D931D5"/>
    <w:rsid w:val="00DC4C54"/>
    <w:rsid w:val="00DD059A"/>
    <w:rsid w:val="00DE5E5F"/>
    <w:rsid w:val="00DF6F83"/>
    <w:rsid w:val="00E214BA"/>
    <w:rsid w:val="00E2233D"/>
    <w:rsid w:val="00E448E0"/>
    <w:rsid w:val="00E46D35"/>
    <w:rsid w:val="00E51A67"/>
    <w:rsid w:val="00E531CD"/>
    <w:rsid w:val="00E64926"/>
    <w:rsid w:val="00E702F4"/>
    <w:rsid w:val="00E7093B"/>
    <w:rsid w:val="00E72385"/>
    <w:rsid w:val="00E73D8F"/>
    <w:rsid w:val="00E743C6"/>
    <w:rsid w:val="00E77B28"/>
    <w:rsid w:val="00E81392"/>
    <w:rsid w:val="00E8718E"/>
    <w:rsid w:val="00EB1005"/>
    <w:rsid w:val="00EB740E"/>
    <w:rsid w:val="00EB7881"/>
    <w:rsid w:val="00EC09B7"/>
    <w:rsid w:val="00EC269E"/>
    <w:rsid w:val="00ED402E"/>
    <w:rsid w:val="00ED56A4"/>
    <w:rsid w:val="00ED6468"/>
    <w:rsid w:val="00EF3322"/>
    <w:rsid w:val="00F0322C"/>
    <w:rsid w:val="00F17488"/>
    <w:rsid w:val="00F442FC"/>
    <w:rsid w:val="00F55591"/>
    <w:rsid w:val="00F62C79"/>
    <w:rsid w:val="00F6450F"/>
    <w:rsid w:val="00F656D4"/>
    <w:rsid w:val="00F96ACD"/>
    <w:rsid w:val="00FA453B"/>
    <w:rsid w:val="00FA6E5A"/>
    <w:rsid w:val="00FB57ED"/>
    <w:rsid w:val="00FC23B6"/>
    <w:rsid w:val="00FE419C"/>
    <w:rsid w:val="00FF5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rules v:ext="edit">
        <o:r id="V:Rule1" type="connector" idref="#_x0000_s2079"/>
        <o:r id="V:Rule2" type="connector" idref="#_x0000_s2078"/>
      </o:rules>
    </o:shapelayout>
  </w:shapeDefaults>
  <w:decimalSymbol w:val="."/>
  <w:listSeparator w:val=","/>
  <w14:docId w14:val="08234632"/>
  <w15:docId w15:val="{279FAA66-C1E1-40B3-9A18-FDAB67468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5E"/>
  </w:style>
  <w:style w:type="paragraph" w:styleId="Heading1">
    <w:name w:val="heading 1"/>
    <w:basedOn w:val="Normal"/>
    <w:next w:val="Normal"/>
    <w:link w:val="Heading1Char"/>
    <w:uiPriority w:val="9"/>
    <w:qFormat/>
    <w:rsid w:val="001E0CE3"/>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1E0CE3"/>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56581E"/>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56581E"/>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paragraph" w:customStyle="1" w:styleId="ReferHead">
    <w:name w:val="Refer Head"/>
    <w:basedOn w:val="Normal"/>
    <w:rsid w:val="00BB5B87"/>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98174A"/>
    <w:rPr>
      <w:color w:val="0000FF" w:themeColor="hyperlink"/>
      <w:u w:val="single"/>
    </w:rPr>
  </w:style>
  <w:style w:type="paragraph" w:styleId="BalloonText">
    <w:name w:val="Balloon Text"/>
    <w:basedOn w:val="Normal"/>
    <w:link w:val="BalloonTextChar"/>
    <w:uiPriority w:val="99"/>
    <w:semiHidden/>
    <w:unhideWhenUsed/>
    <w:rsid w:val="00EB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40E"/>
    <w:rPr>
      <w:rFonts w:ascii="Tahoma" w:hAnsi="Tahoma" w:cs="Tahoma"/>
      <w:sz w:val="16"/>
      <w:szCs w:val="16"/>
    </w:rPr>
  </w:style>
  <w:style w:type="character" w:customStyle="1" w:styleId="Heading1Char">
    <w:name w:val="Heading 1 Char"/>
    <w:basedOn w:val="DefaultParagraphFont"/>
    <w:link w:val="Heading1"/>
    <w:uiPriority w:val="9"/>
    <w:rsid w:val="001E0CE3"/>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1E0CE3"/>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56581E"/>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56581E"/>
    <w:rPr>
      <w:rFonts w:ascii="Arial" w:eastAsiaTheme="majorEastAsia" w:hAnsi="Arial" w:cstheme="majorBidi"/>
      <w:b/>
      <w:bCs/>
      <w:i/>
      <w:iCs/>
      <w:sz w:val="20"/>
    </w:rPr>
  </w:style>
  <w:style w:type="paragraph" w:styleId="Bibliography">
    <w:name w:val="Bibliography"/>
    <w:basedOn w:val="Normal"/>
    <w:next w:val="Normal"/>
    <w:uiPriority w:val="37"/>
    <w:semiHidden/>
    <w:unhideWhenUsed/>
    <w:rsid w:val="00EC269E"/>
  </w:style>
  <w:style w:type="table" w:customStyle="1" w:styleId="TableGrid1">
    <w:name w:val="Table Grid1"/>
    <w:basedOn w:val="TableNormal"/>
    <w:next w:val="TableGrid"/>
    <w:uiPriority w:val="59"/>
    <w:rsid w:val="00EC2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C2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4258">
      <w:bodyDiv w:val="1"/>
      <w:marLeft w:val="0"/>
      <w:marRight w:val="0"/>
      <w:marTop w:val="0"/>
      <w:marBottom w:val="0"/>
      <w:divBdr>
        <w:top w:val="none" w:sz="0" w:space="0" w:color="auto"/>
        <w:left w:val="none" w:sz="0" w:space="0" w:color="auto"/>
        <w:bottom w:val="none" w:sz="0" w:space="0" w:color="auto"/>
        <w:right w:val="none" w:sz="0" w:space="0" w:color="auto"/>
      </w:divBdr>
    </w:div>
    <w:div w:id="441649824">
      <w:bodyDiv w:val="1"/>
      <w:marLeft w:val="0"/>
      <w:marRight w:val="0"/>
      <w:marTop w:val="0"/>
      <w:marBottom w:val="0"/>
      <w:divBdr>
        <w:top w:val="none" w:sz="0" w:space="0" w:color="auto"/>
        <w:left w:val="none" w:sz="0" w:space="0" w:color="auto"/>
        <w:bottom w:val="none" w:sz="0" w:space="0" w:color="auto"/>
        <w:right w:val="none" w:sz="0" w:space="0" w:color="auto"/>
      </w:divBdr>
    </w:div>
    <w:div w:id="1070426677">
      <w:bodyDiv w:val="1"/>
      <w:marLeft w:val="0"/>
      <w:marRight w:val="0"/>
      <w:marTop w:val="0"/>
      <w:marBottom w:val="0"/>
      <w:divBdr>
        <w:top w:val="none" w:sz="0" w:space="0" w:color="auto"/>
        <w:left w:val="none" w:sz="0" w:space="0" w:color="auto"/>
        <w:bottom w:val="none" w:sz="0" w:space="0" w:color="auto"/>
        <w:right w:val="none" w:sz="0" w:space="0" w:color="auto"/>
      </w:divBdr>
    </w:div>
    <w:div w:id="1736927517">
      <w:bodyDiv w:val="1"/>
      <w:marLeft w:val="0"/>
      <w:marRight w:val="0"/>
      <w:marTop w:val="0"/>
      <w:marBottom w:val="0"/>
      <w:divBdr>
        <w:top w:val="none" w:sz="0" w:space="0" w:color="auto"/>
        <w:left w:val="none" w:sz="0" w:space="0" w:color="auto"/>
        <w:bottom w:val="none" w:sz="0" w:space="0" w:color="auto"/>
        <w:right w:val="none" w:sz="0" w:space="0" w:color="auto"/>
      </w:divBdr>
    </w:div>
    <w:div w:id="1830706560">
      <w:bodyDiv w:val="1"/>
      <w:marLeft w:val="0"/>
      <w:marRight w:val="0"/>
      <w:marTop w:val="0"/>
      <w:marBottom w:val="0"/>
      <w:divBdr>
        <w:top w:val="none" w:sz="0" w:space="0" w:color="auto"/>
        <w:left w:val="none" w:sz="0" w:space="0" w:color="auto"/>
        <w:bottom w:val="none" w:sz="0" w:space="0" w:color="auto"/>
        <w:right w:val="none" w:sz="0" w:space="0" w:color="auto"/>
      </w:divBdr>
    </w:div>
    <w:div w:id="191327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escardio.org/Journals/E-Journal-of-Cardiology-Practice/Volume-8/Coronary-artery-ectasia-diagnosis-and-treat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24F241-2B6C-4D50-A0F8-EFB6B0E92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Pages>
  <Words>2881</Words>
  <Characters>16425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91</cp:lastModifiedBy>
  <cp:revision>162</cp:revision>
  <cp:lastPrinted>2025-05-08T13:09:00Z</cp:lastPrinted>
  <dcterms:created xsi:type="dcterms:W3CDTF">2014-09-20T11:25:00Z</dcterms:created>
  <dcterms:modified xsi:type="dcterms:W3CDTF">2025-05-08T13:11:00Z</dcterms:modified>
</cp:coreProperties>
</file>