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A5E69" w14:textId="7790A06F" w:rsidR="00754C9A" w:rsidRDefault="0078762E" w:rsidP="00441B6F">
      <w:pPr>
        <w:pStyle w:val="Title"/>
        <w:spacing w:after="0"/>
        <w:jc w:val="both"/>
        <w:rPr>
          <w:rFonts w:ascii="Arial" w:hAnsi="Arial" w:cs="Arial"/>
        </w:rPr>
      </w:pPr>
      <w:bookmarkStart w:id="0" w:name="_GoBack"/>
      <w:bookmarkEnd w:id="0"/>
      <w:r w:rsidRPr="0078762E">
        <w:rPr>
          <w:rFonts w:ascii="Arial" w:hAnsi="Arial" w:cs="Arial"/>
        </w:rPr>
        <w:t>Short Research Article</w:t>
      </w:r>
    </w:p>
    <w:p w14:paraId="225D5A75" w14:textId="77777777" w:rsidR="0078762E" w:rsidRDefault="0078762E" w:rsidP="00441B6F">
      <w:pPr>
        <w:pStyle w:val="Title"/>
        <w:spacing w:after="0"/>
        <w:jc w:val="both"/>
        <w:rPr>
          <w:rFonts w:ascii="Arial" w:hAnsi="Arial" w:cs="Arial"/>
        </w:rPr>
      </w:pPr>
    </w:p>
    <w:p w14:paraId="535257DB" w14:textId="77777777" w:rsidR="0061493F" w:rsidRPr="007133C8" w:rsidRDefault="0061493F" w:rsidP="007133C8">
      <w:pPr>
        <w:jc w:val="center"/>
        <w:rPr>
          <w:b/>
          <w:bCs/>
          <w:sz w:val="32"/>
          <w:szCs w:val="32"/>
          <w:lang w:val="en-GB"/>
        </w:rPr>
      </w:pPr>
      <w:r w:rsidRPr="007133C8">
        <w:rPr>
          <w:b/>
          <w:bCs/>
          <w:sz w:val="32"/>
          <w:szCs w:val="32"/>
          <w:lang w:val="en-GB"/>
        </w:rPr>
        <w:t>Sialic Acid modulation of HMGA1 and HMGA2 Gene Expression in Human Astrocytoma Cells</w:t>
      </w:r>
    </w:p>
    <w:p w14:paraId="574D97EF" w14:textId="03D1FB90" w:rsidR="00163BC4" w:rsidRPr="00B86974" w:rsidRDefault="0061493F" w:rsidP="00441B6F">
      <w:pPr>
        <w:pStyle w:val="Author"/>
        <w:spacing w:line="240" w:lineRule="auto"/>
        <w:rPr>
          <w:rFonts w:asciiTheme="minorBidi" w:hAnsiTheme="minorBidi" w:cstheme="minorBidi"/>
          <w:bCs/>
          <w:iCs/>
          <w:kern w:val="28"/>
          <w:sz w:val="36"/>
        </w:rPr>
      </w:pPr>
      <w:r>
        <w:rPr>
          <w:bCs/>
          <w:lang w:val="en-GB"/>
        </w:rPr>
        <w:t xml:space="preserve"> </w:t>
      </w:r>
      <w:r w:rsidR="00231920" w:rsidRPr="00B86974">
        <w:rPr>
          <w:rFonts w:asciiTheme="minorBidi" w:hAnsiTheme="minorBidi" w:cstheme="minorBidi"/>
          <w:bCs/>
          <w:iCs/>
          <w:kern w:val="28"/>
          <w:sz w:val="36"/>
        </w:rPr>
        <w:t xml:space="preserve"> </w:t>
      </w:r>
    </w:p>
    <w:p w14:paraId="56CA7D58" w14:textId="77777777" w:rsidR="00A258C3" w:rsidRPr="00B86974" w:rsidRDefault="00A258C3" w:rsidP="00441B6F">
      <w:pPr>
        <w:pStyle w:val="Author"/>
        <w:spacing w:line="240" w:lineRule="auto"/>
        <w:jc w:val="both"/>
        <w:rPr>
          <w:rFonts w:asciiTheme="minorBidi" w:hAnsiTheme="minorBidi" w:cstheme="minorBidi"/>
          <w:sz w:val="36"/>
        </w:rPr>
      </w:pPr>
    </w:p>
    <w:p w14:paraId="1640E3E2" w14:textId="77777777" w:rsidR="00790ADA" w:rsidRPr="00FB3A86" w:rsidRDefault="00B01FCD" w:rsidP="00F841B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A1F335" w14:textId="77777777" w:rsidTr="001E44FE">
        <w:tc>
          <w:tcPr>
            <w:tcW w:w="9576" w:type="dxa"/>
            <w:shd w:val="clear" w:color="auto" w:fill="F2F2F2"/>
          </w:tcPr>
          <w:p w14:paraId="527320B4" w14:textId="77777777" w:rsidR="00E3114E" w:rsidRDefault="00E3114E" w:rsidP="00441B6F">
            <w:pPr>
              <w:pStyle w:val="Body"/>
              <w:spacing w:after="0"/>
              <w:rPr>
                <w:rFonts w:ascii="Arial" w:eastAsia="Calibri" w:hAnsi="Arial" w:cs="Arial"/>
                <w:b/>
                <w:szCs w:val="22"/>
              </w:rPr>
            </w:pPr>
          </w:p>
          <w:p w14:paraId="25BA7DCC" w14:textId="586A1426" w:rsidR="00747927" w:rsidRDefault="00BA1B01" w:rsidP="001A29EF">
            <w:pPr>
              <w:pStyle w:val="Body"/>
              <w:spacing w:after="0"/>
              <w:rPr>
                <w:rFonts w:ascii="Arial" w:eastAsia="Calibri" w:hAnsi="Arial" w:cs="Arial"/>
                <w:bCs/>
              </w:rPr>
            </w:pPr>
            <w:r w:rsidRPr="00BA1B01">
              <w:rPr>
                <w:rFonts w:ascii="Arial" w:eastAsia="Calibri" w:hAnsi="Arial" w:cs="Arial"/>
                <w:b/>
                <w:szCs w:val="22"/>
              </w:rPr>
              <w:t xml:space="preserve">Aim: </w:t>
            </w:r>
            <w:r w:rsidR="00747927" w:rsidRPr="00F841B7">
              <w:rPr>
                <w:rFonts w:ascii="Arial" w:eastAsia="Calibri" w:hAnsi="Arial" w:cs="Arial"/>
                <w:bCs/>
              </w:rPr>
              <w:t xml:space="preserve">To correlate the biological effect of sialic acid on the expression of </w:t>
            </w:r>
            <w:r w:rsidR="002468BC">
              <w:rPr>
                <w:rFonts w:ascii="Arial" w:eastAsia="Calibri" w:hAnsi="Arial" w:cs="Arial"/>
                <w:bCs/>
              </w:rPr>
              <w:t>high mobility</w:t>
            </w:r>
            <w:r w:rsidR="002468BC" w:rsidRPr="00F841B7">
              <w:rPr>
                <w:rFonts w:ascii="Arial" w:eastAsia="Calibri" w:hAnsi="Arial" w:cs="Arial"/>
                <w:bCs/>
              </w:rPr>
              <w:t xml:space="preserve"> </w:t>
            </w:r>
            <w:r w:rsidR="00747927" w:rsidRPr="00F841B7">
              <w:rPr>
                <w:rFonts w:ascii="Arial" w:eastAsia="Calibri" w:hAnsi="Arial" w:cs="Arial"/>
                <w:bCs/>
              </w:rPr>
              <w:t>genes in the human astrocytoma cell line with regard to its therapeutic potential.</w:t>
            </w:r>
          </w:p>
          <w:p w14:paraId="3BC39CAF" w14:textId="77777777" w:rsidR="009D1C80" w:rsidRPr="00F841B7" w:rsidRDefault="009D1C80">
            <w:pPr>
              <w:pStyle w:val="Body"/>
              <w:spacing w:after="0"/>
              <w:rPr>
                <w:rFonts w:ascii="Arial" w:eastAsia="Calibri" w:hAnsi="Arial" w:cs="Arial"/>
                <w:bCs/>
              </w:rPr>
            </w:pPr>
          </w:p>
          <w:p w14:paraId="74940538" w14:textId="0A89B2D0" w:rsidR="009D1C80" w:rsidRDefault="00BA1B01" w:rsidP="007133C8">
            <w:pPr>
              <w:pStyle w:val="Body"/>
              <w:rPr>
                <w:rFonts w:ascii="Arial" w:eastAsia="Calibri" w:hAnsi="Arial" w:cs="Arial"/>
                <w:b/>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4FBA" w:rsidRPr="00EF4FBA">
              <w:rPr>
                <w:rFonts w:asciiTheme="minorBidi" w:hAnsiTheme="minorBidi" w:cstheme="minorBidi"/>
              </w:rPr>
              <w:t xml:space="preserve">After the treatment of 1321N1 cells (human astrocytoma cells) with Sialic acid in different doses, </w:t>
            </w:r>
            <w:proofErr w:type="spellStart"/>
            <w:r w:rsidR="00311815" w:rsidRPr="007133C8">
              <w:rPr>
                <w:rFonts w:asciiTheme="minorBidi" w:hAnsiTheme="minorBidi" w:cstheme="minorBidi"/>
                <w:lang w:val="en-IN"/>
              </w:rPr>
              <w:t>qRT</w:t>
            </w:r>
            <w:proofErr w:type="spellEnd"/>
            <w:r w:rsidR="00311815" w:rsidRPr="007133C8">
              <w:rPr>
                <w:rFonts w:asciiTheme="minorBidi" w:hAnsiTheme="minorBidi" w:cstheme="minorBidi"/>
                <w:lang w:val="en-IN"/>
              </w:rPr>
              <w:t>-PCR for gene expression quantification</w:t>
            </w:r>
            <w:r w:rsidR="00311815" w:rsidRPr="00EF4FBA" w:rsidDel="00311815">
              <w:rPr>
                <w:rFonts w:asciiTheme="minorBidi" w:hAnsiTheme="minorBidi" w:cstheme="minorBidi"/>
              </w:rPr>
              <w:t xml:space="preserve"> </w:t>
            </w:r>
            <w:r w:rsidR="00EF4FBA" w:rsidRPr="00EF4FBA">
              <w:rPr>
                <w:rFonts w:asciiTheme="minorBidi" w:hAnsiTheme="minorBidi" w:cstheme="minorBidi"/>
              </w:rPr>
              <w:t xml:space="preserve">of two </w:t>
            </w:r>
            <w:r w:rsidR="00EF4FBA" w:rsidRPr="00EF4FBA">
              <w:rPr>
                <w:rFonts w:asciiTheme="minorBidi" w:hAnsiTheme="minorBidi" w:cstheme="minorBidi"/>
                <w:i/>
                <w:iCs/>
              </w:rPr>
              <w:t>HMGA1</w:t>
            </w:r>
            <w:r w:rsidR="00116CA0">
              <w:rPr>
                <w:rFonts w:asciiTheme="minorBidi" w:hAnsiTheme="minorBidi" w:cstheme="minorBidi"/>
                <w:i/>
                <w:iCs/>
              </w:rPr>
              <w:t xml:space="preserve"> and </w:t>
            </w:r>
            <w:r w:rsidR="00EF4FBA" w:rsidRPr="00EF4FBA">
              <w:rPr>
                <w:rFonts w:asciiTheme="minorBidi" w:hAnsiTheme="minorBidi" w:cstheme="minorBidi"/>
                <w:i/>
                <w:iCs/>
              </w:rPr>
              <w:t>HMGA2</w:t>
            </w:r>
            <w:r w:rsidR="00EF4FBA" w:rsidRPr="00EF4FBA">
              <w:rPr>
                <w:rFonts w:asciiTheme="minorBidi" w:hAnsiTheme="minorBidi" w:cstheme="minorBidi"/>
              </w:rPr>
              <w:t xml:space="preserve"> genes was done</w:t>
            </w:r>
            <w:r w:rsidR="00311815">
              <w:rPr>
                <w:rFonts w:asciiTheme="minorBidi" w:hAnsiTheme="minorBidi" w:cstheme="minorBidi"/>
              </w:rPr>
              <w:t>.</w:t>
            </w:r>
            <w:r w:rsidR="00EF4FBA" w:rsidRPr="00EF4FBA">
              <w:rPr>
                <w:rFonts w:asciiTheme="minorBidi" w:hAnsiTheme="minorBidi" w:cstheme="minorBidi"/>
              </w:rPr>
              <w:t xml:space="preserve"> </w:t>
            </w:r>
          </w:p>
          <w:p w14:paraId="41948416" w14:textId="5840BF57" w:rsidR="006654D9" w:rsidRPr="006654D9" w:rsidRDefault="00BA1B01" w:rsidP="007133C8">
            <w:pPr>
              <w:pStyle w:val="Body"/>
              <w:rPr>
                <w:rFonts w:asciiTheme="minorBidi" w:hAnsiTheme="minorBidi" w:cstheme="minorBidi"/>
              </w:rPr>
            </w:pPr>
            <w:r w:rsidRPr="00BA1B01">
              <w:rPr>
                <w:rFonts w:ascii="Arial" w:eastAsia="Calibri" w:hAnsi="Arial" w:cs="Arial"/>
                <w:b/>
                <w:bCs/>
                <w:szCs w:val="22"/>
              </w:rPr>
              <w:t>Results:</w:t>
            </w:r>
            <w:r w:rsidRPr="00BA1B01">
              <w:rPr>
                <w:rFonts w:ascii="Arial" w:eastAsia="Calibri" w:hAnsi="Arial" w:cs="Arial"/>
                <w:szCs w:val="22"/>
              </w:rPr>
              <w:t xml:space="preserve"> </w:t>
            </w:r>
            <w:r w:rsidR="006654D9" w:rsidRPr="006654D9">
              <w:rPr>
                <w:rFonts w:asciiTheme="minorBidi" w:hAnsiTheme="minorBidi" w:cstheme="minorBidi"/>
              </w:rPr>
              <w:t xml:space="preserve">The </w:t>
            </w:r>
            <w:r w:rsidR="005B4C00">
              <w:rPr>
                <w:rFonts w:asciiTheme="minorBidi" w:hAnsiTheme="minorBidi" w:cstheme="minorBidi"/>
                <w:i/>
                <w:iCs/>
              </w:rPr>
              <w:t>HMGA</w:t>
            </w:r>
            <w:r w:rsidR="006654D9" w:rsidRPr="006654D9">
              <w:rPr>
                <w:rFonts w:asciiTheme="minorBidi" w:hAnsiTheme="minorBidi" w:cstheme="minorBidi"/>
                <w:i/>
                <w:iCs/>
              </w:rPr>
              <w:t>1</w:t>
            </w:r>
            <w:r w:rsidR="006654D9" w:rsidRPr="006654D9">
              <w:rPr>
                <w:rFonts w:asciiTheme="minorBidi" w:hAnsiTheme="minorBidi" w:cstheme="minorBidi"/>
              </w:rPr>
              <w:t xml:space="preserve"> gene showed lowest expression in the absence of </w:t>
            </w:r>
            <w:r w:rsidR="00157930">
              <w:rPr>
                <w:rFonts w:asciiTheme="minorBidi" w:hAnsiTheme="minorBidi" w:cstheme="minorBidi"/>
              </w:rPr>
              <w:t>sialic acid</w:t>
            </w:r>
            <w:r w:rsidR="006654D9" w:rsidRPr="006654D9">
              <w:rPr>
                <w:rFonts w:asciiTheme="minorBidi" w:hAnsiTheme="minorBidi" w:cstheme="minorBidi"/>
              </w:rPr>
              <w:t xml:space="preserve">, while its activity increased significantly in the presence of </w:t>
            </w:r>
            <w:r w:rsidR="00B02857">
              <w:rPr>
                <w:rFonts w:asciiTheme="minorBidi" w:hAnsiTheme="minorBidi" w:cstheme="minorBidi"/>
              </w:rPr>
              <w:t>sialic acid</w:t>
            </w:r>
            <w:r w:rsidR="006654D9" w:rsidRPr="006654D9">
              <w:rPr>
                <w:rFonts w:asciiTheme="minorBidi" w:hAnsiTheme="minorBidi" w:cstheme="minorBidi"/>
              </w:rPr>
              <w:t xml:space="preserve">, depending on the </w:t>
            </w:r>
            <w:r w:rsidR="00157930">
              <w:rPr>
                <w:rFonts w:asciiTheme="minorBidi" w:hAnsiTheme="minorBidi" w:cstheme="minorBidi"/>
              </w:rPr>
              <w:t>sialic acid</w:t>
            </w:r>
            <w:r w:rsidR="00157930" w:rsidRPr="006654D9">
              <w:rPr>
                <w:rFonts w:asciiTheme="minorBidi" w:hAnsiTheme="minorBidi" w:cstheme="minorBidi"/>
              </w:rPr>
              <w:t xml:space="preserve"> </w:t>
            </w:r>
            <w:r w:rsidR="006654D9" w:rsidRPr="006654D9">
              <w:rPr>
                <w:rFonts w:asciiTheme="minorBidi" w:hAnsiTheme="minorBidi" w:cstheme="minorBidi"/>
              </w:rPr>
              <w:t xml:space="preserve">concentration: the highest expression was reached at 200 µM </w:t>
            </w:r>
            <w:r w:rsidR="00B02857">
              <w:rPr>
                <w:rFonts w:asciiTheme="minorBidi" w:hAnsiTheme="minorBidi" w:cstheme="minorBidi"/>
              </w:rPr>
              <w:t>sialic acid</w:t>
            </w:r>
            <w:r w:rsidR="00B02857" w:rsidRPr="006654D9">
              <w:rPr>
                <w:rFonts w:asciiTheme="minorBidi" w:hAnsiTheme="minorBidi" w:cstheme="minorBidi"/>
              </w:rPr>
              <w:t xml:space="preserve"> </w:t>
            </w:r>
            <w:r w:rsidR="006654D9" w:rsidRPr="006654D9">
              <w:rPr>
                <w:rFonts w:asciiTheme="minorBidi" w:hAnsiTheme="minorBidi" w:cstheme="minorBidi"/>
              </w:rPr>
              <w:t xml:space="preserve">(eighteen fold), which gradually decreased to eightfold at a concentration of 800 µM. The </w:t>
            </w:r>
            <w:r w:rsidR="005B4C00">
              <w:rPr>
                <w:rFonts w:asciiTheme="minorBidi" w:hAnsiTheme="minorBidi" w:cstheme="minorBidi"/>
                <w:i/>
                <w:iCs/>
              </w:rPr>
              <w:t>HMGA</w:t>
            </w:r>
            <w:r w:rsidR="006654D9" w:rsidRPr="006654D9">
              <w:rPr>
                <w:rFonts w:asciiTheme="minorBidi" w:hAnsiTheme="minorBidi" w:cstheme="minorBidi"/>
                <w:i/>
                <w:iCs/>
              </w:rPr>
              <w:t>2</w:t>
            </w:r>
            <w:r w:rsidR="006654D9" w:rsidRPr="006654D9">
              <w:rPr>
                <w:rFonts w:asciiTheme="minorBidi" w:hAnsiTheme="minorBidi" w:cstheme="minorBidi"/>
              </w:rPr>
              <w:t xml:space="preserve"> gene behaved in the opposite way: highest expression in the absence and a gradual decrease in </w:t>
            </w:r>
            <w:r w:rsidR="00157930">
              <w:rPr>
                <w:rFonts w:asciiTheme="minorBidi" w:hAnsiTheme="minorBidi" w:cstheme="minorBidi"/>
              </w:rPr>
              <w:t xml:space="preserve">the </w:t>
            </w:r>
            <w:r w:rsidR="006654D9" w:rsidRPr="006654D9">
              <w:rPr>
                <w:rFonts w:asciiTheme="minorBidi" w:hAnsiTheme="minorBidi" w:cstheme="minorBidi"/>
              </w:rPr>
              <w:t xml:space="preserve">presence </w:t>
            </w:r>
            <w:r w:rsidR="00157930">
              <w:rPr>
                <w:rFonts w:asciiTheme="minorBidi" w:hAnsiTheme="minorBidi" w:cstheme="minorBidi"/>
              </w:rPr>
              <w:t>of sialic acid</w:t>
            </w:r>
            <w:r w:rsidR="006654D9" w:rsidRPr="006654D9">
              <w:rPr>
                <w:rFonts w:asciiTheme="minorBidi" w:hAnsiTheme="minorBidi" w:cstheme="minorBidi"/>
              </w:rPr>
              <w:t>.</w:t>
            </w:r>
          </w:p>
          <w:p w14:paraId="799C1914" w14:textId="42F8885F" w:rsidR="006654D9" w:rsidRPr="006654D9" w:rsidRDefault="00BA1B01" w:rsidP="00EF68ED">
            <w:pPr>
              <w:jc w:val="both"/>
              <w:rPr>
                <w:rFonts w:asciiTheme="minorBidi" w:hAnsiTheme="minorBidi" w:cstheme="minorBidi"/>
              </w:rPr>
            </w:pPr>
            <w:r w:rsidRPr="00BA1B01">
              <w:rPr>
                <w:rFonts w:ascii="Arial" w:eastAsia="Calibri" w:hAnsi="Arial" w:cs="Arial"/>
                <w:b/>
                <w:bCs/>
                <w:szCs w:val="22"/>
              </w:rPr>
              <w:t>Conclusion:</w:t>
            </w:r>
            <w:r w:rsidRPr="00BA1B01">
              <w:rPr>
                <w:rFonts w:ascii="Arial" w:eastAsia="Calibri" w:hAnsi="Arial" w:cs="Arial"/>
                <w:szCs w:val="22"/>
              </w:rPr>
              <w:t xml:space="preserve"> </w:t>
            </w:r>
            <w:r w:rsidR="006654D9" w:rsidRPr="006654D9">
              <w:rPr>
                <w:rFonts w:asciiTheme="minorBidi" w:hAnsiTheme="minorBidi" w:cstheme="minorBidi"/>
              </w:rPr>
              <w:t xml:space="preserve">We observed a concentration-dependent modulatory effects of </w:t>
            </w:r>
            <w:r w:rsidR="00116CA0">
              <w:rPr>
                <w:rFonts w:asciiTheme="minorBidi" w:hAnsiTheme="minorBidi" w:cstheme="minorBidi"/>
              </w:rPr>
              <w:t>sialic acid</w:t>
            </w:r>
            <w:r w:rsidR="00116CA0" w:rsidRPr="006654D9">
              <w:rPr>
                <w:rFonts w:asciiTheme="minorBidi" w:hAnsiTheme="minorBidi" w:cstheme="minorBidi"/>
              </w:rPr>
              <w:t xml:space="preserve"> </w:t>
            </w:r>
            <w:r w:rsidR="006654D9" w:rsidRPr="006654D9">
              <w:rPr>
                <w:rFonts w:asciiTheme="minorBidi" w:hAnsiTheme="minorBidi" w:cstheme="minorBidi"/>
              </w:rPr>
              <w:t>on the expression of the</w:t>
            </w:r>
            <w:r w:rsidR="00EF68ED">
              <w:rPr>
                <w:rFonts w:asciiTheme="minorBidi" w:hAnsiTheme="minorBidi" w:cstheme="minorBidi"/>
              </w:rPr>
              <w:t xml:space="preserve"> two</w:t>
            </w:r>
            <w:r w:rsidR="006654D9" w:rsidRPr="006654D9">
              <w:rPr>
                <w:rFonts w:asciiTheme="minorBidi" w:hAnsiTheme="minorBidi" w:cstheme="minorBidi"/>
              </w:rPr>
              <w:t xml:space="preserve"> </w:t>
            </w:r>
            <w:r w:rsidR="005B4C00">
              <w:rPr>
                <w:rFonts w:asciiTheme="minorBidi" w:hAnsiTheme="minorBidi" w:cstheme="minorBidi"/>
                <w:i/>
                <w:iCs/>
              </w:rPr>
              <w:t>HMGA</w:t>
            </w:r>
            <w:r w:rsidR="006654D9" w:rsidRPr="006654D9">
              <w:rPr>
                <w:rFonts w:asciiTheme="minorBidi" w:hAnsiTheme="minorBidi" w:cstheme="minorBidi"/>
              </w:rPr>
              <w:t xml:space="preserve"> gene family in the human </w:t>
            </w:r>
            <w:r w:rsidR="00EF68ED">
              <w:rPr>
                <w:rFonts w:asciiTheme="minorBidi" w:hAnsiTheme="minorBidi" w:cstheme="minorBidi"/>
              </w:rPr>
              <w:t>astrocytoma</w:t>
            </w:r>
            <w:r w:rsidR="00EF68ED" w:rsidRPr="006654D9">
              <w:rPr>
                <w:rFonts w:asciiTheme="minorBidi" w:hAnsiTheme="minorBidi" w:cstheme="minorBidi"/>
              </w:rPr>
              <w:t xml:space="preserve"> </w:t>
            </w:r>
            <w:r w:rsidR="006654D9" w:rsidRPr="006654D9">
              <w:rPr>
                <w:rFonts w:asciiTheme="minorBidi" w:hAnsiTheme="minorBidi" w:cstheme="minorBidi"/>
              </w:rPr>
              <w:t xml:space="preserve">cell line. These results could be important with regard to the therapeutic potential of </w:t>
            </w:r>
            <w:r w:rsidR="00116CA0">
              <w:rPr>
                <w:rFonts w:asciiTheme="minorBidi" w:hAnsiTheme="minorBidi" w:cstheme="minorBidi"/>
              </w:rPr>
              <w:t>sialic acid</w:t>
            </w:r>
            <w:r w:rsidR="00116CA0" w:rsidRPr="006654D9">
              <w:rPr>
                <w:rFonts w:asciiTheme="minorBidi" w:hAnsiTheme="minorBidi" w:cstheme="minorBidi"/>
              </w:rPr>
              <w:t xml:space="preserve"> </w:t>
            </w:r>
            <w:r w:rsidR="00DD526E">
              <w:rPr>
                <w:rFonts w:asciiTheme="minorBidi" w:hAnsiTheme="minorBidi" w:cstheme="minorBidi"/>
              </w:rPr>
              <w:t xml:space="preserve">at least </w:t>
            </w:r>
            <w:r w:rsidR="006654D9" w:rsidRPr="006654D9">
              <w:rPr>
                <w:rFonts w:asciiTheme="minorBidi" w:hAnsiTheme="minorBidi" w:cstheme="minorBidi"/>
              </w:rPr>
              <w:t xml:space="preserve">on </w:t>
            </w:r>
            <w:r w:rsidR="00EF68ED">
              <w:rPr>
                <w:rFonts w:asciiTheme="minorBidi" w:hAnsiTheme="minorBidi" w:cstheme="minorBidi"/>
              </w:rPr>
              <w:t>this type of cells.</w:t>
            </w:r>
          </w:p>
          <w:p w14:paraId="747B1357" w14:textId="77777777" w:rsidR="00505F06" w:rsidRPr="00BA1B01" w:rsidRDefault="004D4277" w:rsidP="00441B6F">
            <w:pPr>
              <w:pStyle w:val="Body"/>
              <w:spacing w:after="0"/>
              <w:rPr>
                <w:rFonts w:ascii="Arial" w:eastAsia="Calibri" w:hAnsi="Arial" w:cs="Arial"/>
                <w:szCs w:val="22"/>
              </w:rPr>
            </w:pPr>
            <w:r w:rsidRPr="006654D9">
              <w:rPr>
                <w:rFonts w:asciiTheme="minorBidi" w:eastAsia="Calibri" w:hAnsiTheme="minorBidi" w:cstheme="minorBidi"/>
                <w:color w:val="FF0000"/>
              </w:rPr>
              <w:t>.</w:t>
            </w:r>
          </w:p>
        </w:tc>
      </w:tr>
    </w:tbl>
    <w:p w14:paraId="4FFC02CF" w14:textId="77777777" w:rsidR="00636EB2" w:rsidRDefault="00636EB2" w:rsidP="00441B6F">
      <w:pPr>
        <w:pStyle w:val="Body"/>
        <w:spacing w:after="0"/>
        <w:rPr>
          <w:rFonts w:ascii="Arial" w:hAnsi="Arial" w:cs="Arial"/>
          <w:i/>
        </w:rPr>
      </w:pPr>
    </w:p>
    <w:p w14:paraId="12048EC7" w14:textId="53948698" w:rsidR="00790ADA" w:rsidRPr="001E2635" w:rsidRDefault="00A24E7E" w:rsidP="002468BC">
      <w:pPr>
        <w:pStyle w:val="Body"/>
        <w:spacing w:after="0"/>
        <w:rPr>
          <w:rFonts w:asciiTheme="minorBidi" w:hAnsiTheme="minorBidi" w:cstheme="minorBidi"/>
          <w:i/>
        </w:rPr>
      </w:pPr>
      <w:r>
        <w:rPr>
          <w:rFonts w:ascii="Arial" w:hAnsi="Arial" w:cs="Arial"/>
          <w:i/>
        </w:rPr>
        <w:t>Keywords</w:t>
      </w:r>
      <w:r w:rsidRPr="001E2635">
        <w:rPr>
          <w:rFonts w:asciiTheme="minorBidi" w:hAnsiTheme="minorBidi" w:cstheme="minorBidi"/>
          <w:i/>
        </w:rPr>
        <w:t xml:space="preserve">: </w:t>
      </w:r>
      <w:r w:rsidR="001E2635" w:rsidRPr="001E2635">
        <w:rPr>
          <w:rFonts w:asciiTheme="minorBidi" w:hAnsiTheme="minorBidi" w:cstheme="minorBidi"/>
        </w:rPr>
        <w:t xml:space="preserve">Sialic acid, </w:t>
      </w:r>
      <w:r w:rsidR="001E2635" w:rsidRPr="007133C8">
        <w:rPr>
          <w:rFonts w:asciiTheme="minorBidi" w:hAnsiTheme="minorBidi" w:cstheme="minorBidi"/>
          <w:i/>
          <w:iCs/>
        </w:rPr>
        <w:t>HMGA1</w:t>
      </w:r>
      <w:r w:rsidR="001E2635" w:rsidRPr="001E2635">
        <w:rPr>
          <w:rFonts w:asciiTheme="minorBidi" w:hAnsiTheme="minorBidi" w:cstheme="minorBidi"/>
        </w:rPr>
        <w:t xml:space="preserve"> gene, </w:t>
      </w:r>
      <w:r w:rsidR="001E2635" w:rsidRPr="007133C8">
        <w:rPr>
          <w:rFonts w:asciiTheme="minorBidi" w:hAnsiTheme="minorBidi" w:cstheme="minorBidi"/>
          <w:i/>
          <w:iCs/>
        </w:rPr>
        <w:t>HMGA2</w:t>
      </w:r>
      <w:r w:rsidR="001E2635" w:rsidRPr="001E2635">
        <w:rPr>
          <w:rFonts w:asciiTheme="minorBidi" w:hAnsiTheme="minorBidi" w:cstheme="minorBidi"/>
        </w:rPr>
        <w:t xml:space="preserve"> gene, </w:t>
      </w:r>
      <w:r w:rsidR="00157930">
        <w:rPr>
          <w:rFonts w:asciiTheme="minorBidi" w:hAnsiTheme="minorBidi" w:cstheme="minorBidi"/>
        </w:rPr>
        <w:t xml:space="preserve">high mobility group proteins, </w:t>
      </w:r>
      <w:r w:rsidR="001E2635" w:rsidRPr="001E2635">
        <w:rPr>
          <w:rFonts w:asciiTheme="minorBidi" w:hAnsiTheme="minorBidi" w:cstheme="minorBidi"/>
        </w:rPr>
        <w:t xml:space="preserve">human </w:t>
      </w:r>
      <w:r w:rsidR="002468BC">
        <w:rPr>
          <w:rFonts w:asciiTheme="minorBidi" w:hAnsiTheme="minorBidi" w:cstheme="minorBidi"/>
        </w:rPr>
        <w:t>Astrocytoma</w:t>
      </w:r>
    </w:p>
    <w:p w14:paraId="53E61805" w14:textId="77777777" w:rsidR="0024282C" w:rsidRDefault="0024282C" w:rsidP="00441B6F">
      <w:pPr>
        <w:pStyle w:val="Body"/>
        <w:spacing w:after="0"/>
        <w:rPr>
          <w:rFonts w:ascii="Arial" w:hAnsi="Arial" w:cs="Arial"/>
          <w:i/>
          <w:sz w:val="18"/>
        </w:rPr>
      </w:pPr>
    </w:p>
    <w:p w14:paraId="3D346CB4" w14:textId="77777777" w:rsidR="00505F06" w:rsidRPr="00A24E7E" w:rsidRDefault="00505F06" w:rsidP="00441B6F">
      <w:pPr>
        <w:pStyle w:val="Body"/>
        <w:spacing w:after="0"/>
        <w:rPr>
          <w:rFonts w:ascii="Arial" w:hAnsi="Arial" w:cs="Arial"/>
          <w:i/>
        </w:rPr>
      </w:pPr>
    </w:p>
    <w:p w14:paraId="1F3B1D05" w14:textId="77777777" w:rsidR="00790ADA" w:rsidRPr="00FB3A86" w:rsidRDefault="00902823" w:rsidP="00B66B8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D5044F" w14:textId="03FC4625" w:rsidR="00B66B80" w:rsidRDefault="00B66B80" w:rsidP="00371133">
      <w:pPr>
        <w:jc w:val="both"/>
        <w:rPr>
          <w:rFonts w:asciiTheme="minorBidi" w:hAnsiTheme="minorBidi" w:cstheme="minorBidi"/>
          <w:lang w:val="en-CA"/>
        </w:rPr>
      </w:pPr>
      <w:r w:rsidRPr="00B66B80">
        <w:rPr>
          <w:rFonts w:asciiTheme="minorBidi" w:hAnsiTheme="minorBidi" w:cstheme="minorBidi"/>
          <w:lang w:val="en-CA"/>
        </w:rPr>
        <w:t>Cancer cases increases every year. Despite enormous efforts over the past fifty years, we have not yet achieved consistent success. One of the difficulties in both diagnosis and treatment is the biological diversity of cancer types (1, 2, 3).</w:t>
      </w:r>
    </w:p>
    <w:p w14:paraId="70B216C4" w14:textId="77777777" w:rsidR="00371133" w:rsidRPr="00B66B80" w:rsidRDefault="00371133" w:rsidP="00B66B80">
      <w:pPr>
        <w:jc w:val="both"/>
        <w:rPr>
          <w:rFonts w:asciiTheme="minorBidi" w:hAnsiTheme="minorBidi" w:cstheme="minorBidi"/>
          <w:lang w:val="en-CA"/>
        </w:rPr>
      </w:pPr>
    </w:p>
    <w:p w14:paraId="3C132D15" w14:textId="001BB384" w:rsidR="00B66B80" w:rsidRDefault="00B66B80" w:rsidP="00271843">
      <w:pPr>
        <w:jc w:val="both"/>
        <w:rPr>
          <w:rFonts w:asciiTheme="minorBidi" w:hAnsiTheme="minorBidi" w:cstheme="minorBidi"/>
          <w:lang w:val="en-CA"/>
        </w:rPr>
      </w:pPr>
      <w:r w:rsidRPr="00B66B80">
        <w:rPr>
          <w:rFonts w:asciiTheme="minorBidi" w:hAnsiTheme="minorBidi" w:cstheme="minorBidi"/>
          <w:lang w:val="en-CA"/>
        </w:rPr>
        <w:t xml:space="preserve">Today, we know that cancer is genetically determined. However, the genetic architecture of tumors differs greatly in development, diagnosis, and treatment (4). Glioblastoma is a prime example of this due to its drug resistance (5). Previous efforts led to the identification of mutations in the two tumor suppressor genes </w:t>
      </w:r>
      <w:r w:rsidRPr="00B66B80">
        <w:rPr>
          <w:rFonts w:asciiTheme="minorBidi" w:hAnsiTheme="minorBidi" w:cstheme="minorBidi"/>
          <w:i/>
          <w:iCs/>
          <w:lang w:val="en-CA"/>
        </w:rPr>
        <w:t xml:space="preserve">TP53 </w:t>
      </w:r>
      <w:r w:rsidRPr="00B66B80">
        <w:rPr>
          <w:rFonts w:asciiTheme="minorBidi" w:hAnsiTheme="minorBidi" w:cstheme="minorBidi"/>
          <w:lang w:val="en-CA"/>
        </w:rPr>
        <w:t xml:space="preserve">and </w:t>
      </w:r>
      <w:r w:rsidRPr="00B66B80">
        <w:rPr>
          <w:rFonts w:asciiTheme="minorBidi" w:hAnsiTheme="minorBidi" w:cstheme="minorBidi"/>
          <w:i/>
          <w:iCs/>
          <w:lang w:val="en-CA"/>
        </w:rPr>
        <w:t>PTEN</w:t>
      </w:r>
      <w:r w:rsidRPr="00B66B80">
        <w:rPr>
          <w:rFonts w:asciiTheme="minorBidi" w:hAnsiTheme="minorBidi" w:cstheme="minorBidi"/>
          <w:lang w:val="en-CA"/>
        </w:rPr>
        <w:t xml:space="preserve"> in glioblastoma. </w:t>
      </w:r>
      <w:r w:rsidR="00271843">
        <w:rPr>
          <w:rFonts w:asciiTheme="minorBidi" w:hAnsiTheme="minorBidi" w:cstheme="minorBidi"/>
          <w:lang w:val="en-CA"/>
        </w:rPr>
        <w:t>To date</w:t>
      </w:r>
      <w:r w:rsidRPr="00B66B80">
        <w:rPr>
          <w:rFonts w:asciiTheme="minorBidi" w:hAnsiTheme="minorBidi" w:cstheme="minorBidi"/>
          <w:lang w:val="en-CA"/>
        </w:rPr>
        <w:t>, over fifty additional genes have been discovered as candidates for this tumor type (6, 7).</w:t>
      </w:r>
    </w:p>
    <w:p w14:paraId="6E845605" w14:textId="77777777" w:rsidR="004E5A6E" w:rsidRPr="00B66B80" w:rsidRDefault="004E5A6E" w:rsidP="00271843">
      <w:pPr>
        <w:jc w:val="both"/>
        <w:rPr>
          <w:rFonts w:asciiTheme="minorBidi" w:hAnsiTheme="minorBidi" w:cstheme="minorBidi"/>
          <w:lang w:val="en-CA"/>
        </w:rPr>
      </w:pPr>
    </w:p>
    <w:p w14:paraId="46B54510" w14:textId="2420AB0B" w:rsidR="00B66B80" w:rsidRDefault="00B66B80" w:rsidP="00B66B80">
      <w:pPr>
        <w:jc w:val="both"/>
        <w:rPr>
          <w:rFonts w:asciiTheme="minorBidi" w:hAnsiTheme="minorBidi" w:cstheme="minorBidi"/>
          <w:lang w:val="en-CA"/>
        </w:rPr>
      </w:pPr>
      <w:r w:rsidRPr="00B66B80">
        <w:rPr>
          <w:rFonts w:asciiTheme="minorBidi" w:hAnsiTheme="minorBidi" w:cstheme="minorBidi"/>
          <w:lang w:val="en-CA"/>
        </w:rPr>
        <w:t>Genetically, three groups of genes are responsible for the pathogenesis of tumor growth: oncogenes, tumor suppressor genes, and repair genes. An imbalance between these gene groups usually leads to malignant cell growth. Genes responsible for malignancy usually encode various proteins such as transcription factors (8, 9, 10).</w:t>
      </w:r>
    </w:p>
    <w:p w14:paraId="144E959F" w14:textId="77777777" w:rsidR="00C67452" w:rsidRPr="00B66B80" w:rsidRDefault="00C67452" w:rsidP="00B66B80">
      <w:pPr>
        <w:jc w:val="both"/>
        <w:rPr>
          <w:rFonts w:asciiTheme="minorBidi" w:hAnsiTheme="minorBidi" w:cstheme="minorBidi"/>
          <w:lang w:val="en-CA"/>
        </w:rPr>
      </w:pPr>
    </w:p>
    <w:p w14:paraId="7BDA9471" w14:textId="24485D1A" w:rsidR="00C67452" w:rsidRDefault="004E5A6E" w:rsidP="00D370E1">
      <w:pPr>
        <w:jc w:val="both"/>
        <w:rPr>
          <w:rFonts w:asciiTheme="minorBidi" w:hAnsiTheme="minorBidi" w:cstheme="minorBidi"/>
          <w:lang w:val="en-CA"/>
        </w:rPr>
      </w:pPr>
      <w:r w:rsidRPr="004E5A6E">
        <w:rPr>
          <w:rFonts w:asciiTheme="minorBidi" w:hAnsiTheme="minorBidi" w:cstheme="minorBidi"/>
          <w:lang w:val="en-CA"/>
        </w:rPr>
        <w:lastRenderedPageBreak/>
        <w:t xml:space="preserve">Transcription factors regulate gene regulation very precisely at multiple levels, requiring chromatin remodeling and gene reprogramming (11). For </w:t>
      </w:r>
      <w:r w:rsidR="00D370E1">
        <w:rPr>
          <w:rFonts w:asciiTheme="minorBidi" w:hAnsiTheme="minorBidi" w:cstheme="minorBidi"/>
          <w:lang w:val="en-CA"/>
        </w:rPr>
        <w:t>instance</w:t>
      </w:r>
      <w:r w:rsidRPr="004E5A6E">
        <w:rPr>
          <w:rFonts w:asciiTheme="minorBidi" w:hAnsiTheme="minorBidi" w:cstheme="minorBidi"/>
          <w:lang w:val="en-CA"/>
        </w:rPr>
        <w:t xml:space="preserve">, the genes </w:t>
      </w:r>
      <w:r w:rsidRPr="007133C8">
        <w:rPr>
          <w:rFonts w:asciiTheme="minorBidi" w:hAnsiTheme="minorBidi" w:cstheme="minorBidi"/>
          <w:i/>
          <w:iCs/>
          <w:lang w:val="en-CA"/>
        </w:rPr>
        <w:t>HMGA1</w:t>
      </w:r>
      <w:r w:rsidRPr="004E5A6E">
        <w:rPr>
          <w:rFonts w:asciiTheme="minorBidi" w:hAnsiTheme="minorBidi" w:cstheme="minorBidi"/>
          <w:lang w:val="en-CA"/>
        </w:rPr>
        <w:t xml:space="preserve"> and </w:t>
      </w:r>
      <w:r w:rsidRPr="007133C8">
        <w:rPr>
          <w:rFonts w:asciiTheme="minorBidi" w:hAnsiTheme="minorBidi" w:cstheme="minorBidi"/>
          <w:i/>
          <w:iCs/>
          <w:lang w:val="en-CA"/>
        </w:rPr>
        <w:t>HMGA2</w:t>
      </w:r>
      <w:r w:rsidRPr="004E5A6E">
        <w:rPr>
          <w:rFonts w:asciiTheme="minorBidi" w:hAnsiTheme="minorBidi" w:cstheme="minorBidi"/>
          <w:lang w:val="en-CA"/>
        </w:rPr>
        <w:t>, which encode non-histone proteins and belong to the high mobility group (HMG) family, regulate the condensation or relaxation of chromatin shape and thus modulate the transcription of downstream genes by binding to transcription factor complexes in the nucleus and altering their conformation</w:t>
      </w:r>
      <w:r>
        <w:rPr>
          <w:rFonts w:asciiTheme="minorBidi" w:hAnsiTheme="minorBidi" w:cstheme="minorBidi"/>
          <w:lang w:val="en-CA"/>
        </w:rPr>
        <w:t xml:space="preserve">, and with their oncogenic over activity, </w:t>
      </w:r>
      <w:r w:rsidR="00C67452" w:rsidRPr="00C67452">
        <w:rPr>
          <w:rFonts w:asciiTheme="minorBidi" w:hAnsiTheme="minorBidi" w:cstheme="minorBidi"/>
          <w:lang w:val="en-CA"/>
        </w:rPr>
        <w:t>bot</w:t>
      </w:r>
      <w:r w:rsidR="00C67452" w:rsidRPr="004E5A6E">
        <w:rPr>
          <w:rFonts w:asciiTheme="minorBidi" w:hAnsiTheme="minorBidi" w:cstheme="minorBidi"/>
          <w:lang w:val="en-CA"/>
        </w:rPr>
        <w:t xml:space="preserve">h genes </w:t>
      </w:r>
      <w:r>
        <w:rPr>
          <w:rFonts w:asciiTheme="minorBidi" w:hAnsiTheme="minorBidi" w:cstheme="minorBidi"/>
          <w:lang w:val="en-CA"/>
        </w:rPr>
        <w:t>lead</w:t>
      </w:r>
      <w:r w:rsidR="00C67452" w:rsidRPr="004E5A6E">
        <w:rPr>
          <w:rFonts w:asciiTheme="minorBidi" w:hAnsiTheme="minorBidi" w:cstheme="minorBidi"/>
          <w:lang w:val="en-CA"/>
        </w:rPr>
        <w:t xml:space="preserve"> to tumor formation</w:t>
      </w:r>
      <w:r>
        <w:rPr>
          <w:rFonts w:asciiTheme="minorBidi" w:hAnsiTheme="minorBidi" w:cstheme="minorBidi"/>
          <w:lang w:val="en-CA"/>
        </w:rPr>
        <w:t>, demonstrating their crucial roles in malignancy (12)</w:t>
      </w:r>
      <w:r w:rsidR="00C67452" w:rsidRPr="004E5A6E">
        <w:rPr>
          <w:rFonts w:asciiTheme="minorBidi" w:hAnsiTheme="minorBidi" w:cstheme="minorBidi"/>
          <w:lang w:val="en-CA"/>
        </w:rPr>
        <w:t xml:space="preserve">. Alternative splicing of the </w:t>
      </w:r>
      <w:r w:rsidR="00C67452" w:rsidRPr="007133C8">
        <w:rPr>
          <w:rFonts w:asciiTheme="minorBidi" w:hAnsiTheme="minorBidi" w:cstheme="minorBidi"/>
          <w:i/>
          <w:iCs/>
          <w:lang w:val="en-CA"/>
        </w:rPr>
        <w:t>HMGA1</w:t>
      </w:r>
      <w:r w:rsidR="00C67452" w:rsidRPr="00920346">
        <w:rPr>
          <w:rFonts w:asciiTheme="minorBidi" w:hAnsiTheme="minorBidi" w:cstheme="minorBidi"/>
          <w:lang w:val="en-CA"/>
        </w:rPr>
        <w:t xml:space="preserve"> gene encodes three proteins, namely HMGA1a, HMGA1b, and HMG1c. Th</w:t>
      </w:r>
      <w:r w:rsidR="00C67452" w:rsidRPr="004E5A6E">
        <w:rPr>
          <w:rFonts w:asciiTheme="minorBidi" w:hAnsiTheme="minorBidi" w:cstheme="minorBidi"/>
          <w:lang w:val="en-CA"/>
        </w:rPr>
        <w:t xml:space="preserve">e </w:t>
      </w:r>
      <w:r w:rsidR="00C67452" w:rsidRPr="007133C8">
        <w:rPr>
          <w:rFonts w:asciiTheme="minorBidi" w:hAnsiTheme="minorBidi" w:cstheme="minorBidi"/>
          <w:i/>
          <w:iCs/>
          <w:lang w:val="en-CA"/>
        </w:rPr>
        <w:t>HMGA2</w:t>
      </w:r>
      <w:r w:rsidR="00C67452" w:rsidRPr="004E5A6E">
        <w:rPr>
          <w:rFonts w:asciiTheme="minorBidi" w:hAnsiTheme="minorBidi" w:cstheme="minorBidi"/>
          <w:lang w:val="en-CA"/>
        </w:rPr>
        <w:t xml:space="preserve"> gene encodes a protein with high affinity for adenine- and thymine-rich DNA. One of the critical transcription factors that can influence this pathway is HMGA1. It influences the expression of an important stem cell marker (</w:t>
      </w:r>
      <w:r w:rsidR="00C67452" w:rsidRPr="007133C8">
        <w:rPr>
          <w:rFonts w:asciiTheme="minorBidi" w:hAnsiTheme="minorBidi" w:cstheme="minorBidi"/>
          <w:i/>
          <w:iCs/>
          <w:lang w:val="en-CA"/>
        </w:rPr>
        <w:t>Sox2</w:t>
      </w:r>
      <w:r w:rsidR="00C67452" w:rsidRPr="00920346">
        <w:rPr>
          <w:rFonts w:asciiTheme="minorBidi" w:hAnsiTheme="minorBidi" w:cstheme="minorBidi"/>
          <w:lang w:val="en-CA"/>
        </w:rPr>
        <w:t xml:space="preserve"> gene) through epige</w:t>
      </w:r>
      <w:r w:rsidR="00C67452" w:rsidRPr="00371133">
        <w:rPr>
          <w:rFonts w:asciiTheme="minorBidi" w:hAnsiTheme="minorBidi" w:cstheme="minorBidi"/>
          <w:lang w:val="en-CA"/>
        </w:rPr>
        <w:t xml:space="preserve">netic processes. Overexpression of the </w:t>
      </w:r>
      <w:r w:rsidR="00C67452" w:rsidRPr="007133C8">
        <w:rPr>
          <w:rFonts w:asciiTheme="minorBidi" w:hAnsiTheme="minorBidi" w:cstheme="minorBidi"/>
          <w:i/>
          <w:iCs/>
          <w:lang w:val="en-CA"/>
        </w:rPr>
        <w:t>HMGA1</w:t>
      </w:r>
      <w:r w:rsidR="00C67452" w:rsidRPr="00920346">
        <w:rPr>
          <w:rFonts w:asciiTheme="minorBidi" w:hAnsiTheme="minorBidi" w:cstheme="minorBidi"/>
          <w:lang w:val="en-CA"/>
        </w:rPr>
        <w:t xml:space="preserve"> gene accelerates cell proliferation, invasion, and angiogenesis. Furthermore, </w:t>
      </w:r>
      <w:r w:rsidR="00C67452" w:rsidRPr="004E5A6E">
        <w:rPr>
          <w:rFonts w:asciiTheme="minorBidi" w:hAnsiTheme="minorBidi" w:cstheme="minorBidi"/>
          <w:lang w:val="en-CA"/>
        </w:rPr>
        <w:t>over activity of HMGA2 can worsen the prognosis in various cancers, such as brain tumors (9).</w:t>
      </w:r>
    </w:p>
    <w:p w14:paraId="04D2796A" w14:textId="5D4C05F0" w:rsidR="00B66B80" w:rsidRPr="00C67452" w:rsidRDefault="008141FF" w:rsidP="006E7BE1">
      <w:pPr>
        <w:jc w:val="both"/>
        <w:rPr>
          <w:rFonts w:asciiTheme="minorBidi" w:hAnsiTheme="minorBidi" w:cstheme="minorBidi"/>
          <w:lang w:val="en-CA"/>
        </w:rPr>
      </w:pPr>
      <w:r>
        <w:rPr>
          <w:rFonts w:asciiTheme="minorBidi" w:hAnsiTheme="minorBidi" w:cstheme="minorBidi"/>
          <w:lang w:val="en-CA"/>
        </w:rPr>
        <w:t>Alternatively</w:t>
      </w:r>
      <w:r w:rsidR="00B66B80" w:rsidRPr="004E5A6E">
        <w:rPr>
          <w:rFonts w:asciiTheme="minorBidi" w:hAnsiTheme="minorBidi" w:cstheme="minorBidi"/>
          <w:lang w:val="en-CA"/>
        </w:rPr>
        <w:t>, we know that protein modification by glycosylation plays a crucial role in mammals, conferring proteins their final functions in various biological processes. Sialic acid, the most abundant sugar molecule on the cell surface, modulates d</w:t>
      </w:r>
      <w:r w:rsidR="00B66B80" w:rsidRPr="00C67452">
        <w:rPr>
          <w:rFonts w:asciiTheme="minorBidi" w:hAnsiTheme="minorBidi" w:cstheme="minorBidi"/>
          <w:lang w:val="en-CA"/>
        </w:rPr>
        <w:t>iverse physiological processes. This molecule occurs as a monomer or polymer and belongs to the neuraminic acid derivatives. Approximately fifty different chemical forms of sialic acid occur naturally (1</w:t>
      </w:r>
      <w:r w:rsidR="006E7BE1" w:rsidRPr="00C67452">
        <w:rPr>
          <w:rFonts w:asciiTheme="minorBidi" w:hAnsiTheme="minorBidi" w:cstheme="minorBidi"/>
          <w:lang w:val="en-CA"/>
        </w:rPr>
        <w:t>4</w:t>
      </w:r>
      <w:r w:rsidR="00B66B80" w:rsidRPr="00C67452">
        <w:rPr>
          <w:rFonts w:asciiTheme="minorBidi" w:hAnsiTheme="minorBidi" w:cstheme="minorBidi"/>
          <w:lang w:val="en-CA"/>
        </w:rPr>
        <w:t>, 1</w:t>
      </w:r>
      <w:r w:rsidR="006E7BE1" w:rsidRPr="00C67452">
        <w:rPr>
          <w:rFonts w:asciiTheme="minorBidi" w:hAnsiTheme="minorBidi" w:cstheme="minorBidi"/>
          <w:lang w:val="en-CA"/>
        </w:rPr>
        <w:t>5</w:t>
      </w:r>
      <w:r w:rsidR="00B66B80" w:rsidRPr="00C67452">
        <w:rPr>
          <w:rFonts w:asciiTheme="minorBidi" w:hAnsiTheme="minorBidi" w:cstheme="minorBidi"/>
          <w:lang w:val="en-CA"/>
        </w:rPr>
        <w:t>, 16). In addition, significant hypersialylation of proteins on the cell surface of tumor cells, such as ovarian, lung, prostate, pancreas, and others, has been described, making it a key player in carcinogenesis.</w:t>
      </w:r>
    </w:p>
    <w:p w14:paraId="1DFA75F7" w14:textId="488CA121" w:rsidR="005D0BDB" w:rsidRPr="005D0BDB" w:rsidRDefault="00B66B80" w:rsidP="005D0BDB">
      <w:pPr>
        <w:jc w:val="both"/>
        <w:rPr>
          <w:rFonts w:asciiTheme="minorBidi" w:hAnsiTheme="minorBidi" w:cstheme="minorBidi"/>
          <w:lang w:val="en-CA"/>
        </w:rPr>
      </w:pPr>
      <w:r w:rsidRPr="00B66B80">
        <w:rPr>
          <w:rFonts w:asciiTheme="minorBidi" w:hAnsiTheme="minorBidi" w:cstheme="minorBidi"/>
          <w:lang w:val="en-CA"/>
        </w:rPr>
        <w:t>In glioblastoma, as in many other cancers, sialic acid promotes tumor cell progression and metastasis, thus enhancing their malignancy (17).</w:t>
      </w:r>
      <w:r w:rsidR="0048124B">
        <w:rPr>
          <w:rFonts w:asciiTheme="minorBidi" w:hAnsiTheme="minorBidi" w:cstheme="minorBidi"/>
          <w:lang w:val="en-CA"/>
        </w:rPr>
        <w:t xml:space="preserve"> </w:t>
      </w:r>
      <w:r w:rsidR="00C036D4" w:rsidRPr="005D0BDB">
        <w:rPr>
          <w:rFonts w:asciiTheme="minorBidi" w:hAnsiTheme="minorBidi" w:cstheme="minorBidi"/>
          <w:lang w:val="en-CA"/>
        </w:rPr>
        <w:t xml:space="preserve">Therefore, it is interesting to find out how the highly mobile </w:t>
      </w:r>
      <w:r w:rsidR="001C416C">
        <w:rPr>
          <w:rFonts w:asciiTheme="minorBidi" w:hAnsiTheme="minorBidi" w:cstheme="minorBidi"/>
          <w:lang w:val="en-CA"/>
        </w:rPr>
        <w:t xml:space="preserve">group </w:t>
      </w:r>
      <w:r w:rsidR="00C036D4" w:rsidRPr="005D0BDB">
        <w:rPr>
          <w:rFonts w:asciiTheme="minorBidi" w:hAnsiTheme="minorBidi" w:cstheme="minorBidi"/>
          <w:lang w:val="en-CA"/>
        </w:rPr>
        <w:t>proteins such as HMGA1 and HMGA2 with their oncogenic potential on the one hand and sialic acid on the other hand due to their malignant nature behave and possibly influence each other's function.</w:t>
      </w:r>
    </w:p>
    <w:p w14:paraId="273FEC19" w14:textId="77777777" w:rsidR="00790ADA" w:rsidRPr="007133C8" w:rsidRDefault="00790ADA" w:rsidP="007133C8">
      <w:pPr>
        <w:jc w:val="both"/>
        <w:rPr>
          <w:rFonts w:asciiTheme="minorBidi" w:hAnsiTheme="minorBidi" w:cstheme="minorBidi"/>
        </w:rPr>
      </w:pPr>
    </w:p>
    <w:p w14:paraId="5A514B54" w14:textId="77777777" w:rsidR="00790ADA" w:rsidRPr="00FB3A86" w:rsidRDefault="00902823" w:rsidP="00CF08B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C3C3F5" w14:textId="77777777" w:rsidR="00885660" w:rsidRPr="007A0D46" w:rsidRDefault="007A0D46" w:rsidP="007A0D46">
      <w:pPr>
        <w:pStyle w:val="Heading3"/>
        <w:spacing w:before="0"/>
        <w:jc w:val="both"/>
        <w:rPr>
          <w:rFonts w:asciiTheme="minorBidi" w:hAnsiTheme="minorBidi" w:cstheme="minorBidi"/>
          <w:b/>
          <w:bCs/>
          <w:color w:val="auto"/>
          <w:sz w:val="22"/>
          <w:szCs w:val="22"/>
        </w:rPr>
      </w:pPr>
      <w:r w:rsidRPr="007A0D46">
        <w:rPr>
          <w:rFonts w:asciiTheme="minorBidi" w:hAnsiTheme="minorBidi" w:cstheme="minorBidi"/>
          <w:b/>
          <w:bCs/>
          <w:color w:val="auto"/>
          <w:sz w:val="22"/>
          <w:szCs w:val="22"/>
        </w:rPr>
        <w:t xml:space="preserve">2.1. </w:t>
      </w:r>
      <w:r w:rsidR="00885660" w:rsidRPr="007A0D46">
        <w:rPr>
          <w:rFonts w:asciiTheme="minorBidi" w:hAnsiTheme="minorBidi" w:cstheme="minorBidi"/>
          <w:b/>
          <w:bCs/>
          <w:color w:val="auto"/>
          <w:sz w:val="22"/>
          <w:szCs w:val="22"/>
        </w:rPr>
        <w:t>Cell line culturing</w:t>
      </w:r>
    </w:p>
    <w:p w14:paraId="2041842B" w14:textId="560E39C4" w:rsidR="00885660" w:rsidRPr="00885660" w:rsidRDefault="00885660" w:rsidP="008D7EC6">
      <w:pPr>
        <w:pStyle w:val="p"/>
        <w:spacing w:before="0" w:beforeAutospacing="0"/>
        <w:jc w:val="both"/>
        <w:rPr>
          <w:rFonts w:asciiTheme="minorBidi" w:hAnsiTheme="minorBidi" w:cstheme="minorBidi"/>
          <w:sz w:val="20"/>
          <w:szCs w:val="20"/>
        </w:rPr>
      </w:pPr>
      <w:r w:rsidRPr="00885660">
        <w:rPr>
          <w:rFonts w:asciiTheme="minorBidi" w:hAnsiTheme="minorBidi" w:cstheme="minorBidi"/>
          <w:sz w:val="20"/>
          <w:szCs w:val="20"/>
        </w:rPr>
        <w:t>Cells were obtained from the Culture Collection (Pasteur institute, Iran). DMEM (Gibco, Carlsbad, USA) containing 10% FBS (Gibco) was used to culture the cells. All cells were incubated at 37°C with 5% CO</w:t>
      </w:r>
      <w:r w:rsidRPr="00885660">
        <w:rPr>
          <w:rFonts w:asciiTheme="minorBidi" w:hAnsiTheme="minorBidi" w:cstheme="minorBidi"/>
          <w:sz w:val="20"/>
          <w:szCs w:val="20"/>
          <w:vertAlign w:val="subscript"/>
        </w:rPr>
        <w:t>2</w:t>
      </w:r>
      <w:r w:rsidRPr="00885660">
        <w:rPr>
          <w:rFonts w:asciiTheme="minorBidi" w:hAnsiTheme="minorBidi" w:cstheme="minorBidi"/>
          <w:sz w:val="20"/>
          <w:szCs w:val="20"/>
        </w:rPr>
        <w:t xml:space="preserve">, and only the cells cultured less 15 passages were used for experiments. We used Mycoplasma Detection Kit to detect mycoplasma contamination (R&amp;D, Minneapolis, USA). The cell line used in this research is </w:t>
      </w:r>
      <w:proofErr w:type="gramStart"/>
      <w:r w:rsidRPr="00885660">
        <w:rPr>
          <w:rFonts w:asciiTheme="minorBidi" w:hAnsiTheme="minorBidi" w:cstheme="minorBidi"/>
          <w:sz w:val="20"/>
          <w:szCs w:val="20"/>
        </w:rPr>
        <w:t>a</w:t>
      </w:r>
      <w:proofErr w:type="gramEnd"/>
      <w:r w:rsidRPr="00885660">
        <w:rPr>
          <w:rFonts w:asciiTheme="minorBidi" w:hAnsiTheme="minorBidi" w:cstheme="minorBidi"/>
          <w:sz w:val="20"/>
          <w:szCs w:val="20"/>
        </w:rPr>
        <w:t xml:space="preserve"> </w:t>
      </w:r>
      <w:r w:rsidR="008D7EC6" w:rsidRPr="007133C8">
        <w:rPr>
          <w:rFonts w:asciiTheme="minorBidi" w:hAnsiTheme="minorBidi" w:cstheme="minorBidi"/>
          <w:bCs/>
          <w:sz w:val="20"/>
          <w:szCs w:val="20"/>
          <w:lang w:val="en-GB"/>
        </w:rPr>
        <w:t>astrocytoma-derived</w:t>
      </w:r>
      <w:r w:rsidR="008D7EC6" w:rsidRPr="00885660">
        <w:rPr>
          <w:rFonts w:asciiTheme="minorBidi" w:hAnsiTheme="minorBidi" w:cstheme="minorBidi"/>
          <w:sz w:val="20"/>
          <w:szCs w:val="20"/>
        </w:rPr>
        <w:t xml:space="preserve"> </w:t>
      </w:r>
      <w:r w:rsidR="008D7EC6">
        <w:rPr>
          <w:rFonts w:asciiTheme="minorBidi" w:hAnsiTheme="minorBidi" w:cstheme="minorBidi"/>
          <w:sz w:val="20"/>
          <w:szCs w:val="20"/>
        </w:rPr>
        <w:t xml:space="preserve">next to </w:t>
      </w:r>
      <w:r w:rsidRPr="00885660">
        <w:rPr>
          <w:rFonts w:asciiTheme="minorBidi" w:hAnsiTheme="minorBidi" w:cstheme="minorBidi"/>
          <w:sz w:val="20"/>
          <w:szCs w:val="20"/>
        </w:rPr>
        <w:t>human glial cell line with C118 NCBI code and the name of the cell line is 1321N1. The colorimetric MTT assay was performed to find the best cell viability relating to different concentrations of Sialic acid.</w:t>
      </w:r>
    </w:p>
    <w:p w14:paraId="0C782A55" w14:textId="77777777" w:rsidR="00885660" w:rsidRPr="007A0D46" w:rsidRDefault="007A0D46" w:rsidP="00885660">
      <w:pPr>
        <w:spacing w:before="100" w:beforeAutospacing="1" w:after="100" w:afterAutospacing="1"/>
        <w:jc w:val="both"/>
        <w:outlineLvl w:val="2"/>
        <w:rPr>
          <w:rFonts w:asciiTheme="minorBidi" w:hAnsiTheme="minorBidi" w:cstheme="minorBidi"/>
          <w:b/>
          <w:bCs/>
          <w:sz w:val="22"/>
          <w:szCs w:val="22"/>
        </w:rPr>
      </w:pPr>
      <w:r w:rsidRPr="007A0D46">
        <w:rPr>
          <w:rFonts w:asciiTheme="minorBidi" w:hAnsiTheme="minorBidi" w:cstheme="minorBidi"/>
          <w:b/>
          <w:bCs/>
          <w:sz w:val="22"/>
          <w:szCs w:val="22"/>
        </w:rPr>
        <w:t xml:space="preserve">2.2. </w:t>
      </w:r>
      <w:r w:rsidR="00885660" w:rsidRPr="007A0D46">
        <w:rPr>
          <w:rFonts w:asciiTheme="minorBidi" w:hAnsiTheme="minorBidi" w:cstheme="minorBidi"/>
          <w:b/>
          <w:bCs/>
          <w:sz w:val="22"/>
          <w:szCs w:val="22"/>
        </w:rPr>
        <w:t xml:space="preserve">RNA extraction and mRNA </w:t>
      </w:r>
      <w:proofErr w:type="spellStart"/>
      <w:r w:rsidR="00885660" w:rsidRPr="007A0D46">
        <w:rPr>
          <w:rFonts w:asciiTheme="minorBidi" w:hAnsiTheme="minorBidi" w:cstheme="minorBidi"/>
          <w:b/>
          <w:bCs/>
          <w:sz w:val="22"/>
          <w:szCs w:val="22"/>
        </w:rPr>
        <w:t>qRT</w:t>
      </w:r>
      <w:proofErr w:type="spellEnd"/>
      <w:r w:rsidR="00885660" w:rsidRPr="007A0D46">
        <w:rPr>
          <w:rFonts w:ascii="Cambria Math" w:hAnsi="Cambria Math" w:cs="Cambria Math"/>
          <w:b/>
          <w:bCs/>
          <w:sz w:val="22"/>
          <w:szCs w:val="22"/>
        </w:rPr>
        <w:t>‐</w:t>
      </w:r>
      <w:r w:rsidR="00885660" w:rsidRPr="007A0D46">
        <w:rPr>
          <w:rFonts w:asciiTheme="minorBidi" w:hAnsiTheme="minorBidi" w:cstheme="minorBidi"/>
          <w:b/>
          <w:bCs/>
          <w:sz w:val="22"/>
          <w:szCs w:val="22"/>
        </w:rPr>
        <w:t>PCR</w:t>
      </w:r>
    </w:p>
    <w:p w14:paraId="78FCC801" w14:textId="11217FCA" w:rsidR="00885660" w:rsidRDefault="00885660" w:rsidP="00885660">
      <w:pPr>
        <w:spacing w:before="100" w:beforeAutospacing="1" w:after="100" w:afterAutospacing="1"/>
        <w:jc w:val="both"/>
        <w:rPr>
          <w:rFonts w:asciiTheme="minorBidi" w:hAnsiTheme="minorBidi" w:cstheme="minorBidi"/>
        </w:rPr>
      </w:pPr>
      <w:r w:rsidRPr="00885660">
        <w:rPr>
          <w:rFonts w:asciiTheme="minorBidi" w:hAnsiTheme="minorBidi" w:cstheme="minorBidi"/>
        </w:rPr>
        <w:t xml:space="preserve">Trizol reagent was used to extract total RNA (Invitrogen, Carlsbad, USA). The cDNA was generated by RevertAid First Strand cDNA Synthesis Kit (Fermentas, USA). The qPCR reactions were performed with FastStart Universal SYBR Green Master Mix (Fermentas, USA) on a </w:t>
      </w:r>
      <w:proofErr w:type="spellStart"/>
      <w:r w:rsidRPr="00885660">
        <w:rPr>
          <w:rFonts w:asciiTheme="minorBidi" w:hAnsiTheme="minorBidi" w:cstheme="minorBidi"/>
        </w:rPr>
        <w:t>StepOne</w:t>
      </w:r>
      <w:proofErr w:type="spellEnd"/>
      <w:r w:rsidRPr="00885660">
        <w:rPr>
          <w:rFonts w:asciiTheme="minorBidi" w:hAnsiTheme="minorBidi" w:cstheme="minorBidi"/>
          <w:vertAlign w:val="superscript"/>
        </w:rPr>
        <w:t>™</w:t>
      </w:r>
      <w:r w:rsidRPr="00885660">
        <w:rPr>
          <w:rFonts w:asciiTheme="minorBidi" w:hAnsiTheme="minorBidi" w:cstheme="minorBidi"/>
        </w:rPr>
        <w:t xml:space="preserve"> Real</w:t>
      </w:r>
      <w:r w:rsidRPr="00885660">
        <w:rPr>
          <w:rFonts w:ascii="Cambria Math" w:hAnsi="Cambria Math" w:cs="Cambria Math"/>
        </w:rPr>
        <w:t>‐</w:t>
      </w:r>
      <w:r w:rsidRPr="00885660">
        <w:rPr>
          <w:rFonts w:asciiTheme="minorBidi" w:hAnsiTheme="minorBidi" w:cstheme="minorBidi"/>
        </w:rPr>
        <w:t>Time PCR System (Applied Biosystems, USA, 95°C, 30 seconds for denaturation, 60°C, 1 minute for annealing and extension, 40 cycles). The relative mRNA level was qualified by ΔΔ</w:t>
      </w:r>
      <w:r w:rsidRPr="00885660">
        <w:rPr>
          <w:rFonts w:asciiTheme="minorBidi" w:hAnsiTheme="minorBidi" w:cstheme="minorBidi"/>
          <w:i/>
          <w:iCs/>
        </w:rPr>
        <w:t>C</w:t>
      </w:r>
      <w:r w:rsidRPr="00885660">
        <w:rPr>
          <w:rFonts w:asciiTheme="minorBidi" w:hAnsiTheme="minorBidi" w:cstheme="minorBidi"/>
        </w:rPr>
        <w:t xml:space="preserve"> </w:t>
      </w:r>
      <w:r w:rsidRPr="00885660">
        <w:rPr>
          <w:rFonts w:asciiTheme="minorBidi" w:hAnsiTheme="minorBidi" w:cstheme="minorBidi"/>
          <w:i/>
          <w:iCs/>
          <w:vertAlign w:val="subscript"/>
        </w:rPr>
        <w:t>T</w:t>
      </w:r>
      <w:r w:rsidRPr="00885660">
        <w:rPr>
          <w:rFonts w:asciiTheme="minorBidi" w:hAnsiTheme="minorBidi" w:cstheme="minorBidi"/>
        </w:rPr>
        <w:t xml:space="preserve"> method, and the ACTB gene was selected as an internal reference. Primer sequences are listed in Table 1.</w:t>
      </w:r>
    </w:p>
    <w:p w14:paraId="4D302FCA" w14:textId="4CA63631" w:rsidR="00622726" w:rsidRDefault="00622726" w:rsidP="00885660">
      <w:pPr>
        <w:spacing w:before="100" w:beforeAutospacing="1" w:after="100" w:afterAutospacing="1"/>
        <w:jc w:val="both"/>
        <w:rPr>
          <w:rFonts w:asciiTheme="minorBidi" w:hAnsiTheme="minorBidi" w:cstheme="minorBidi"/>
        </w:rPr>
      </w:pPr>
    </w:p>
    <w:p w14:paraId="1F79DF87" w14:textId="2180FCD6" w:rsidR="00622726" w:rsidRDefault="00622726" w:rsidP="00885660">
      <w:pPr>
        <w:spacing w:before="100" w:beforeAutospacing="1" w:after="100" w:afterAutospacing="1"/>
        <w:jc w:val="both"/>
        <w:rPr>
          <w:rFonts w:asciiTheme="minorBidi" w:hAnsiTheme="minorBidi" w:cstheme="minorBidi"/>
        </w:rPr>
      </w:pPr>
    </w:p>
    <w:p w14:paraId="6C705975" w14:textId="77777777" w:rsidR="00622726" w:rsidRPr="00885660" w:rsidRDefault="00622726" w:rsidP="00885660">
      <w:pPr>
        <w:spacing w:before="100" w:beforeAutospacing="1" w:after="100" w:afterAutospacing="1"/>
        <w:jc w:val="both"/>
        <w:rPr>
          <w:rFonts w:asciiTheme="minorBidi" w:hAnsiTheme="minorBidi" w:cstheme="minorBidi"/>
        </w:rPr>
      </w:pPr>
    </w:p>
    <w:p w14:paraId="1491D95C" w14:textId="77777777" w:rsidR="00885660" w:rsidRPr="007A0D46" w:rsidRDefault="00885660" w:rsidP="00885660">
      <w:pPr>
        <w:spacing w:before="100" w:beforeAutospacing="1" w:after="100" w:afterAutospacing="1"/>
        <w:jc w:val="both"/>
        <w:rPr>
          <w:rFonts w:asciiTheme="minorBidi" w:hAnsiTheme="minorBidi" w:cstheme="minorBidi"/>
          <w:b/>
          <w:bCs/>
        </w:rPr>
      </w:pPr>
      <w:r w:rsidRPr="007A0D46">
        <w:rPr>
          <w:rFonts w:asciiTheme="minorBidi" w:hAnsiTheme="minorBidi" w:cstheme="minorBidi"/>
          <w:b/>
          <w:bCs/>
        </w:rPr>
        <w:t xml:space="preserve">Table 1: primer sequence of the ACTB gene as housekeeping gene and the two HMGA1 and HMGA2 genes with melting temperature (Tm) and ref </w:t>
      </w:r>
      <w:proofErr w:type="spellStart"/>
      <w:r w:rsidRPr="007A0D46">
        <w:rPr>
          <w:rFonts w:asciiTheme="minorBidi" w:hAnsiTheme="minorBidi" w:cstheme="minorBidi"/>
          <w:b/>
          <w:bCs/>
        </w:rPr>
        <w:t>seq</w:t>
      </w:r>
      <w:proofErr w:type="spellEnd"/>
      <w:r w:rsidRPr="007A0D46">
        <w:rPr>
          <w:rFonts w:asciiTheme="minorBidi" w:hAnsiTheme="minorBidi" w:cstheme="minorBidi"/>
          <w:b/>
          <w:bCs/>
        </w:rPr>
        <w:t xml:space="preserve"> numbers.</w:t>
      </w:r>
    </w:p>
    <w:tbl>
      <w:tblPr>
        <w:tblStyle w:val="PlainTable2"/>
        <w:bidiVisual/>
        <w:tblW w:w="8300" w:type="dxa"/>
        <w:tblLook w:val="0420" w:firstRow="1" w:lastRow="0" w:firstColumn="0" w:lastColumn="0" w:noHBand="0" w:noVBand="1"/>
      </w:tblPr>
      <w:tblGrid>
        <w:gridCol w:w="1430"/>
        <w:gridCol w:w="716"/>
        <w:gridCol w:w="3747"/>
        <w:gridCol w:w="1101"/>
        <w:gridCol w:w="1306"/>
      </w:tblGrid>
      <w:tr w:rsidR="00885660" w:rsidRPr="00885660" w14:paraId="074D5D8F" w14:textId="77777777" w:rsidTr="00CF08B2">
        <w:trPr>
          <w:cnfStyle w:val="100000000000" w:firstRow="1" w:lastRow="0" w:firstColumn="0" w:lastColumn="0" w:oddVBand="0" w:evenVBand="0" w:oddHBand="0" w:evenHBand="0" w:firstRowFirstColumn="0" w:firstRowLastColumn="0" w:lastRowFirstColumn="0" w:lastRowLastColumn="0"/>
          <w:trHeight w:val="602"/>
        </w:trPr>
        <w:tc>
          <w:tcPr>
            <w:tcW w:w="1430" w:type="dxa"/>
            <w:hideMark/>
          </w:tcPr>
          <w:p w14:paraId="3A4C4FCD"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Product length</w:t>
            </w:r>
          </w:p>
        </w:tc>
        <w:tc>
          <w:tcPr>
            <w:tcW w:w="716" w:type="dxa"/>
            <w:hideMark/>
          </w:tcPr>
          <w:p w14:paraId="1C9E39DA"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Tm</w:t>
            </w:r>
          </w:p>
        </w:tc>
        <w:tc>
          <w:tcPr>
            <w:tcW w:w="3747" w:type="dxa"/>
            <w:hideMark/>
          </w:tcPr>
          <w:p w14:paraId="7D1E138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Primer Sequence</w:t>
            </w:r>
          </w:p>
        </w:tc>
        <w:tc>
          <w:tcPr>
            <w:tcW w:w="1101" w:type="dxa"/>
            <w:hideMark/>
          </w:tcPr>
          <w:p w14:paraId="05DFBF6B"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Primer</w:t>
            </w:r>
          </w:p>
        </w:tc>
        <w:tc>
          <w:tcPr>
            <w:tcW w:w="1306" w:type="dxa"/>
            <w:hideMark/>
          </w:tcPr>
          <w:p w14:paraId="73BF2723"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Gene</w:t>
            </w:r>
          </w:p>
        </w:tc>
      </w:tr>
      <w:tr w:rsidR="00885660" w:rsidRPr="00885660" w14:paraId="07FAE6FB" w14:textId="77777777" w:rsidTr="00CF08B2">
        <w:trPr>
          <w:cnfStyle w:val="000000100000" w:firstRow="0" w:lastRow="0" w:firstColumn="0" w:lastColumn="0" w:oddVBand="0" w:evenVBand="0" w:oddHBand="1" w:evenHBand="0" w:firstRowFirstColumn="0" w:firstRowLastColumn="0" w:lastRowFirstColumn="0" w:lastRowLastColumn="0"/>
          <w:trHeight w:val="350"/>
        </w:trPr>
        <w:tc>
          <w:tcPr>
            <w:tcW w:w="1430" w:type="dxa"/>
            <w:vMerge w:val="restart"/>
            <w:hideMark/>
          </w:tcPr>
          <w:p w14:paraId="3E0AE388"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 xml:space="preserve">91 </w:t>
            </w:r>
            <w:proofErr w:type="spellStart"/>
            <w:r w:rsidRPr="00885660">
              <w:rPr>
                <w:rFonts w:asciiTheme="minorBidi" w:hAnsiTheme="minorBidi" w:cstheme="minorBidi"/>
              </w:rPr>
              <w:t>bp</w:t>
            </w:r>
            <w:proofErr w:type="spellEnd"/>
          </w:p>
        </w:tc>
        <w:tc>
          <w:tcPr>
            <w:tcW w:w="716" w:type="dxa"/>
            <w:hideMark/>
          </w:tcPr>
          <w:p w14:paraId="42C7B52B"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59.5</w:t>
            </w:r>
          </w:p>
        </w:tc>
        <w:tc>
          <w:tcPr>
            <w:tcW w:w="3747" w:type="dxa"/>
            <w:hideMark/>
          </w:tcPr>
          <w:p w14:paraId="027E078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tl/>
                <w:lang w:val="en-CA"/>
              </w:rPr>
              <w:t xml:space="preserve">    </w:t>
            </w:r>
            <w:r w:rsidRPr="00885660">
              <w:rPr>
                <w:rFonts w:asciiTheme="minorBidi" w:hAnsiTheme="minorBidi" w:cstheme="minorBidi"/>
              </w:rPr>
              <w:t xml:space="preserve"> ATTGGCAATGAGCGGTTC 3′</w:t>
            </w:r>
            <w:r w:rsidRPr="00885660">
              <w:rPr>
                <w:rFonts w:asciiTheme="minorBidi" w:hAnsiTheme="minorBidi" w:cstheme="minorBidi"/>
                <w:rtl/>
                <w:lang w:val="en-CA"/>
              </w:rPr>
              <w:t>′</w:t>
            </w:r>
            <w:r w:rsidRPr="00885660">
              <w:rPr>
                <w:rFonts w:asciiTheme="minorBidi" w:hAnsiTheme="minorBidi" w:cstheme="minorBidi"/>
              </w:rPr>
              <w:t>5</w:t>
            </w:r>
          </w:p>
        </w:tc>
        <w:tc>
          <w:tcPr>
            <w:tcW w:w="1101" w:type="dxa"/>
            <w:hideMark/>
          </w:tcPr>
          <w:p w14:paraId="37F32513"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Forward</w:t>
            </w:r>
          </w:p>
        </w:tc>
        <w:tc>
          <w:tcPr>
            <w:tcW w:w="1306" w:type="dxa"/>
            <w:vMerge w:val="restart"/>
            <w:hideMark/>
          </w:tcPr>
          <w:p w14:paraId="05E226BF"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ACTB:</w:t>
            </w:r>
          </w:p>
          <w:p w14:paraId="4FF51386" w14:textId="77777777" w:rsidR="00885660" w:rsidRPr="00885660" w:rsidRDefault="00885660" w:rsidP="0040188C">
            <w:pPr>
              <w:spacing w:line="360" w:lineRule="auto"/>
              <w:jc w:val="both"/>
              <w:rPr>
                <w:rFonts w:asciiTheme="minorBidi" w:hAnsiTheme="minorBidi" w:cstheme="minorBidi"/>
              </w:rPr>
            </w:pPr>
            <w:r w:rsidRPr="00885660">
              <w:rPr>
                <w:rStyle w:val="hgkelc"/>
                <w:rFonts w:asciiTheme="minorBidi" w:hAnsiTheme="minorBidi" w:cstheme="minorBidi"/>
                <w:lang w:val="en"/>
              </w:rPr>
              <w:t>NM_001101</w:t>
            </w:r>
          </w:p>
        </w:tc>
      </w:tr>
      <w:tr w:rsidR="00885660" w:rsidRPr="00885660" w14:paraId="30C9D639" w14:textId="77777777" w:rsidTr="00CF08B2">
        <w:trPr>
          <w:trHeight w:val="350"/>
        </w:trPr>
        <w:tc>
          <w:tcPr>
            <w:tcW w:w="1430" w:type="dxa"/>
            <w:vMerge/>
            <w:hideMark/>
          </w:tcPr>
          <w:p w14:paraId="3F7BE2DB" w14:textId="77777777" w:rsidR="00885660" w:rsidRPr="00885660" w:rsidRDefault="00885660" w:rsidP="0040188C">
            <w:pPr>
              <w:spacing w:line="360" w:lineRule="auto"/>
              <w:jc w:val="both"/>
              <w:rPr>
                <w:rFonts w:asciiTheme="minorBidi" w:hAnsiTheme="minorBidi" w:cstheme="minorBidi"/>
              </w:rPr>
            </w:pPr>
          </w:p>
        </w:tc>
        <w:tc>
          <w:tcPr>
            <w:tcW w:w="716" w:type="dxa"/>
            <w:hideMark/>
          </w:tcPr>
          <w:p w14:paraId="0EBAC3D4"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61</w:t>
            </w:r>
          </w:p>
        </w:tc>
        <w:tc>
          <w:tcPr>
            <w:tcW w:w="3747" w:type="dxa"/>
            <w:hideMark/>
          </w:tcPr>
          <w:p w14:paraId="2DF74E72"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 TGAAGGTAGTTTCGTGGATG 3′</w:t>
            </w:r>
          </w:p>
        </w:tc>
        <w:tc>
          <w:tcPr>
            <w:tcW w:w="1101" w:type="dxa"/>
            <w:hideMark/>
          </w:tcPr>
          <w:p w14:paraId="03892843"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Reverse</w:t>
            </w:r>
          </w:p>
        </w:tc>
        <w:tc>
          <w:tcPr>
            <w:tcW w:w="1306" w:type="dxa"/>
            <w:vMerge/>
            <w:hideMark/>
          </w:tcPr>
          <w:p w14:paraId="3FDA3256" w14:textId="77777777" w:rsidR="00885660" w:rsidRPr="00885660" w:rsidRDefault="00885660" w:rsidP="0040188C">
            <w:pPr>
              <w:spacing w:line="360" w:lineRule="auto"/>
              <w:jc w:val="both"/>
              <w:rPr>
                <w:rFonts w:asciiTheme="minorBidi" w:hAnsiTheme="minorBidi" w:cstheme="minorBidi"/>
              </w:rPr>
            </w:pPr>
          </w:p>
        </w:tc>
      </w:tr>
      <w:tr w:rsidR="00885660" w:rsidRPr="00885660" w14:paraId="1788A16F" w14:textId="77777777" w:rsidTr="00CF08B2">
        <w:trPr>
          <w:cnfStyle w:val="000000100000" w:firstRow="0" w:lastRow="0" w:firstColumn="0" w:lastColumn="0" w:oddVBand="0" w:evenVBand="0" w:oddHBand="1" w:evenHBand="0" w:firstRowFirstColumn="0" w:firstRowLastColumn="0" w:lastRowFirstColumn="0" w:lastRowLastColumn="0"/>
          <w:trHeight w:val="350"/>
        </w:trPr>
        <w:tc>
          <w:tcPr>
            <w:tcW w:w="1430" w:type="dxa"/>
            <w:vMerge w:val="restart"/>
            <w:hideMark/>
          </w:tcPr>
          <w:p w14:paraId="4A2C1F66"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 xml:space="preserve">140 </w:t>
            </w:r>
            <w:proofErr w:type="spellStart"/>
            <w:r w:rsidRPr="00885660">
              <w:rPr>
                <w:rFonts w:asciiTheme="minorBidi" w:hAnsiTheme="minorBidi" w:cstheme="minorBidi"/>
              </w:rPr>
              <w:t>bp</w:t>
            </w:r>
            <w:proofErr w:type="spellEnd"/>
          </w:p>
        </w:tc>
        <w:tc>
          <w:tcPr>
            <w:tcW w:w="716" w:type="dxa"/>
            <w:hideMark/>
          </w:tcPr>
          <w:p w14:paraId="19BD6BF7"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62.5</w:t>
            </w:r>
          </w:p>
        </w:tc>
        <w:tc>
          <w:tcPr>
            <w:tcW w:w="3747" w:type="dxa"/>
            <w:hideMark/>
          </w:tcPr>
          <w:p w14:paraId="12E3A964"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5’-CCACCACAACTCCAGGAAG-3’</w:t>
            </w:r>
          </w:p>
        </w:tc>
        <w:tc>
          <w:tcPr>
            <w:tcW w:w="1101" w:type="dxa"/>
            <w:hideMark/>
          </w:tcPr>
          <w:p w14:paraId="42E61FD2"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Forward</w:t>
            </w:r>
          </w:p>
        </w:tc>
        <w:tc>
          <w:tcPr>
            <w:tcW w:w="1306" w:type="dxa"/>
            <w:vMerge w:val="restart"/>
            <w:hideMark/>
          </w:tcPr>
          <w:p w14:paraId="115F8180"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HMGA1:</w:t>
            </w:r>
          </w:p>
          <w:p w14:paraId="17F7C68C" w14:textId="77777777" w:rsidR="00885660" w:rsidRPr="00885660" w:rsidRDefault="00885660" w:rsidP="00401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Bidi" w:hAnsiTheme="minorBidi" w:cstheme="minorBidi"/>
              </w:rPr>
            </w:pPr>
            <w:r w:rsidRPr="00885660">
              <w:rPr>
                <w:rFonts w:asciiTheme="minorBidi" w:hAnsiTheme="minorBidi" w:cstheme="minorBidi"/>
              </w:rPr>
              <w:t>NG_029020</w:t>
            </w:r>
          </w:p>
        </w:tc>
      </w:tr>
      <w:tr w:rsidR="00885660" w:rsidRPr="00885660" w14:paraId="6CAD8759" w14:textId="77777777" w:rsidTr="00CF08B2">
        <w:trPr>
          <w:trHeight w:val="350"/>
        </w:trPr>
        <w:tc>
          <w:tcPr>
            <w:tcW w:w="1430" w:type="dxa"/>
            <w:vMerge/>
            <w:hideMark/>
          </w:tcPr>
          <w:p w14:paraId="6FA5D81E" w14:textId="77777777" w:rsidR="00885660" w:rsidRPr="00885660" w:rsidRDefault="00885660" w:rsidP="0040188C">
            <w:pPr>
              <w:spacing w:line="360" w:lineRule="auto"/>
              <w:jc w:val="both"/>
              <w:rPr>
                <w:rFonts w:asciiTheme="minorBidi" w:hAnsiTheme="minorBidi" w:cstheme="minorBidi"/>
              </w:rPr>
            </w:pPr>
          </w:p>
        </w:tc>
        <w:tc>
          <w:tcPr>
            <w:tcW w:w="716" w:type="dxa"/>
            <w:hideMark/>
          </w:tcPr>
          <w:p w14:paraId="4860EAF6"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60</w:t>
            </w:r>
          </w:p>
        </w:tc>
        <w:tc>
          <w:tcPr>
            <w:tcW w:w="3747" w:type="dxa"/>
            <w:hideMark/>
          </w:tcPr>
          <w:p w14:paraId="4922C72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5’-GTCACTGCTCCTCCTCCG-3’</w:t>
            </w:r>
          </w:p>
        </w:tc>
        <w:tc>
          <w:tcPr>
            <w:tcW w:w="1101" w:type="dxa"/>
            <w:hideMark/>
          </w:tcPr>
          <w:p w14:paraId="563E9FDF"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Reverse</w:t>
            </w:r>
          </w:p>
        </w:tc>
        <w:tc>
          <w:tcPr>
            <w:tcW w:w="1306" w:type="dxa"/>
            <w:vMerge/>
            <w:hideMark/>
          </w:tcPr>
          <w:p w14:paraId="3B880827" w14:textId="77777777" w:rsidR="00885660" w:rsidRPr="00885660" w:rsidRDefault="00885660" w:rsidP="0040188C">
            <w:pPr>
              <w:spacing w:line="360" w:lineRule="auto"/>
              <w:jc w:val="both"/>
              <w:rPr>
                <w:rFonts w:asciiTheme="minorBidi" w:hAnsiTheme="minorBidi" w:cstheme="minorBidi"/>
              </w:rPr>
            </w:pPr>
          </w:p>
        </w:tc>
      </w:tr>
      <w:tr w:rsidR="00885660" w:rsidRPr="00885660" w14:paraId="6FDB7E9F" w14:textId="77777777" w:rsidTr="00CF08B2">
        <w:trPr>
          <w:cnfStyle w:val="000000100000" w:firstRow="0" w:lastRow="0" w:firstColumn="0" w:lastColumn="0" w:oddVBand="0" w:evenVBand="0" w:oddHBand="1" w:evenHBand="0" w:firstRowFirstColumn="0" w:firstRowLastColumn="0" w:lastRowFirstColumn="0" w:lastRowLastColumn="0"/>
          <w:trHeight w:val="350"/>
        </w:trPr>
        <w:tc>
          <w:tcPr>
            <w:tcW w:w="1430" w:type="dxa"/>
            <w:vMerge w:val="restart"/>
            <w:hideMark/>
          </w:tcPr>
          <w:p w14:paraId="582E5099"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 xml:space="preserve">102 </w:t>
            </w:r>
            <w:proofErr w:type="spellStart"/>
            <w:r w:rsidRPr="00885660">
              <w:rPr>
                <w:rFonts w:asciiTheme="minorBidi" w:hAnsiTheme="minorBidi" w:cstheme="minorBidi"/>
              </w:rPr>
              <w:t>bp</w:t>
            </w:r>
            <w:proofErr w:type="spellEnd"/>
          </w:p>
        </w:tc>
        <w:tc>
          <w:tcPr>
            <w:tcW w:w="716" w:type="dxa"/>
            <w:hideMark/>
          </w:tcPr>
          <w:p w14:paraId="03D6F3BF"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59.5</w:t>
            </w:r>
          </w:p>
        </w:tc>
        <w:tc>
          <w:tcPr>
            <w:tcW w:w="3747" w:type="dxa"/>
            <w:hideMark/>
          </w:tcPr>
          <w:p w14:paraId="6851AB05"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5’-GCAGCAGCAAGAACCAACCG-3’</w:t>
            </w:r>
          </w:p>
        </w:tc>
        <w:tc>
          <w:tcPr>
            <w:tcW w:w="1101" w:type="dxa"/>
            <w:hideMark/>
          </w:tcPr>
          <w:p w14:paraId="201AC758"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Forward</w:t>
            </w:r>
          </w:p>
        </w:tc>
        <w:tc>
          <w:tcPr>
            <w:tcW w:w="1306" w:type="dxa"/>
            <w:vMerge w:val="restart"/>
            <w:hideMark/>
          </w:tcPr>
          <w:p w14:paraId="3E5E3D5B"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HMGA2:</w:t>
            </w:r>
          </w:p>
          <w:p w14:paraId="4064A35A" w14:textId="77777777" w:rsidR="00885660" w:rsidRPr="00885660" w:rsidRDefault="00885660" w:rsidP="0040188C">
            <w:pPr>
              <w:pStyle w:val="HTMLPreformatted"/>
              <w:rPr>
                <w:rFonts w:asciiTheme="minorBidi" w:hAnsiTheme="minorBidi" w:cstheme="minorBidi"/>
              </w:rPr>
            </w:pPr>
            <w:r w:rsidRPr="00885660">
              <w:rPr>
                <w:rFonts w:asciiTheme="minorBidi" w:hAnsiTheme="minorBidi" w:cstheme="minorBidi"/>
              </w:rPr>
              <w:t>NG_016296</w:t>
            </w:r>
          </w:p>
        </w:tc>
      </w:tr>
      <w:tr w:rsidR="00885660" w:rsidRPr="00885660" w14:paraId="08EFA343" w14:textId="77777777" w:rsidTr="00CF08B2">
        <w:trPr>
          <w:trHeight w:val="440"/>
        </w:trPr>
        <w:tc>
          <w:tcPr>
            <w:tcW w:w="1430" w:type="dxa"/>
            <w:vMerge/>
            <w:hideMark/>
          </w:tcPr>
          <w:p w14:paraId="52958C2D" w14:textId="77777777" w:rsidR="00885660" w:rsidRPr="00885660" w:rsidRDefault="00885660" w:rsidP="0040188C">
            <w:pPr>
              <w:spacing w:line="360" w:lineRule="auto"/>
              <w:jc w:val="both"/>
              <w:rPr>
                <w:rFonts w:asciiTheme="minorBidi" w:hAnsiTheme="minorBidi" w:cstheme="minorBidi"/>
              </w:rPr>
            </w:pPr>
          </w:p>
        </w:tc>
        <w:tc>
          <w:tcPr>
            <w:tcW w:w="716" w:type="dxa"/>
            <w:hideMark/>
          </w:tcPr>
          <w:p w14:paraId="4E2F8246"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b/>
                <w:bCs/>
              </w:rPr>
              <w:t>62.5</w:t>
            </w:r>
          </w:p>
        </w:tc>
        <w:tc>
          <w:tcPr>
            <w:tcW w:w="3747" w:type="dxa"/>
            <w:hideMark/>
          </w:tcPr>
          <w:p w14:paraId="0FA58ECD"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5’-TAGGTCTGCCTCTTGGCCGT-3’</w:t>
            </w:r>
          </w:p>
        </w:tc>
        <w:tc>
          <w:tcPr>
            <w:tcW w:w="1101" w:type="dxa"/>
            <w:hideMark/>
          </w:tcPr>
          <w:p w14:paraId="5D63FA01" w14:textId="77777777" w:rsidR="00885660" w:rsidRPr="00885660" w:rsidRDefault="00885660" w:rsidP="0040188C">
            <w:pPr>
              <w:spacing w:line="360" w:lineRule="auto"/>
              <w:jc w:val="both"/>
              <w:rPr>
                <w:rFonts w:asciiTheme="minorBidi" w:hAnsiTheme="minorBidi" w:cstheme="minorBidi"/>
              </w:rPr>
            </w:pPr>
            <w:r w:rsidRPr="00885660">
              <w:rPr>
                <w:rFonts w:asciiTheme="minorBidi" w:hAnsiTheme="minorBidi" w:cstheme="minorBidi"/>
              </w:rPr>
              <w:t>Reverse</w:t>
            </w:r>
          </w:p>
        </w:tc>
        <w:tc>
          <w:tcPr>
            <w:tcW w:w="1306" w:type="dxa"/>
            <w:vMerge/>
            <w:hideMark/>
          </w:tcPr>
          <w:p w14:paraId="5F7AE6A8" w14:textId="77777777" w:rsidR="00885660" w:rsidRPr="00885660" w:rsidRDefault="00885660" w:rsidP="0040188C">
            <w:pPr>
              <w:spacing w:line="360" w:lineRule="auto"/>
              <w:jc w:val="both"/>
              <w:rPr>
                <w:rFonts w:asciiTheme="minorBidi" w:hAnsiTheme="minorBidi" w:cstheme="minorBidi"/>
              </w:rPr>
            </w:pPr>
          </w:p>
        </w:tc>
      </w:tr>
    </w:tbl>
    <w:p w14:paraId="6C56E7DA" w14:textId="77777777" w:rsidR="00790ADA" w:rsidRPr="00FB3A86" w:rsidRDefault="00790ADA" w:rsidP="00441B6F">
      <w:pPr>
        <w:pStyle w:val="Body"/>
        <w:spacing w:after="0"/>
        <w:rPr>
          <w:rFonts w:ascii="Arial" w:hAnsi="Arial" w:cs="Arial"/>
        </w:rPr>
      </w:pPr>
    </w:p>
    <w:p w14:paraId="5D097D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3282F6" w14:textId="77777777" w:rsidR="00790ADA" w:rsidRPr="00FB3A86" w:rsidRDefault="00790ADA" w:rsidP="00441B6F">
      <w:pPr>
        <w:pStyle w:val="Head1"/>
        <w:spacing w:after="0"/>
        <w:jc w:val="both"/>
        <w:rPr>
          <w:rFonts w:ascii="Arial" w:hAnsi="Arial" w:cs="Arial"/>
        </w:rPr>
      </w:pPr>
    </w:p>
    <w:p w14:paraId="3CD6F87A" w14:textId="7ACAF8AE" w:rsidR="007D598D" w:rsidRDefault="007D598D" w:rsidP="00205F5D">
      <w:pPr>
        <w:jc w:val="both"/>
        <w:rPr>
          <w:rFonts w:asciiTheme="minorBidi" w:hAnsiTheme="minorBidi" w:cstheme="minorBidi"/>
          <w:lang w:val="en-CA"/>
        </w:rPr>
      </w:pPr>
      <w:r w:rsidRPr="007D598D">
        <w:rPr>
          <w:rFonts w:asciiTheme="minorBidi" w:hAnsiTheme="minorBidi" w:cstheme="minorBidi"/>
          <w:lang w:val="en-CA"/>
        </w:rPr>
        <w:t xml:space="preserve">We observed at the concentration 200 μM of Sialic acid, there was an </w:t>
      </w:r>
      <w:proofErr w:type="gramStart"/>
      <w:r w:rsidRPr="007D598D">
        <w:rPr>
          <w:rFonts w:asciiTheme="minorBidi" w:hAnsiTheme="minorBidi" w:cstheme="minorBidi"/>
          <w:lang w:val="en-CA"/>
        </w:rPr>
        <w:t>eighteen fold</w:t>
      </w:r>
      <w:proofErr w:type="gramEnd"/>
      <w:r w:rsidRPr="007D598D">
        <w:rPr>
          <w:rFonts w:asciiTheme="minorBidi" w:hAnsiTheme="minorBidi" w:cstheme="minorBidi"/>
          <w:lang w:val="en-CA"/>
        </w:rPr>
        <w:t xml:space="preserve"> increase in the </w:t>
      </w:r>
      <w:r w:rsidRPr="007D598D">
        <w:rPr>
          <w:rFonts w:asciiTheme="minorBidi" w:hAnsiTheme="minorBidi" w:cstheme="minorBidi"/>
          <w:i/>
          <w:iCs/>
          <w:lang w:val="en-CA"/>
        </w:rPr>
        <w:t xml:space="preserve">HMGA1 </w:t>
      </w:r>
      <w:r w:rsidRPr="007D598D">
        <w:rPr>
          <w:rFonts w:asciiTheme="minorBidi" w:hAnsiTheme="minorBidi" w:cstheme="minorBidi"/>
          <w:lang w:val="en-CA"/>
        </w:rPr>
        <w:t xml:space="preserve">gene expression, which declined at a concentration of 500 μM and finally at a concentration of 800 μM (figure 1). Additionally, the </w:t>
      </w:r>
      <w:r w:rsidRPr="007D598D">
        <w:rPr>
          <w:rFonts w:asciiTheme="minorBidi" w:hAnsiTheme="minorBidi" w:cstheme="minorBidi"/>
          <w:i/>
          <w:iCs/>
          <w:lang w:val="en-CA"/>
        </w:rPr>
        <w:t xml:space="preserve">HMGA2 </w:t>
      </w:r>
      <w:r w:rsidRPr="007D598D">
        <w:rPr>
          <w:rFonts w:asciiTheme="minorBidi" w:hAnsiTheme="minorBidi" w:cstheme="minorBidi"/>
          <w:lang w:val="en-CA"/>
        </w:rPr>
        <w:t>gene showed had a significant decreasing close to zero in the gene expression in presence of three concentrations of sialic acid compared to the control group.</w:t>
      </w:r>
    </w:p>
    <w:p w14:paraId="1E072362" w14:textId="77777777" w:rsidR="007D598D" w:rsidRPr="007D598D" w:rsidRDefault="007D598D" w:rsidP="007D598D">
      <w:pPr>
        <w:jc w:val="both"/>
        <w:rPr>
          <w:rFonts w:asciiTheme="minorBidi" w:hAnsiTheme="minorBidi" w:cstheme="minorBidi"/>
          <w:lang w:val="en-CA"/>
        </w:rPr>
      </w:pPr>
    </w:p>
    <w:p w14:paraId="12E52FE2" w14:textId="77777777" w:rsidR="007D598D" w:rsidRPr="007D598D" w:rsidRDefault="007D598D" w:rsidP="007D598D">
      <w:pPr>
        <w:jc w:val="both"/>
        <w:rPr>
          <w:rFonts w:asciiTheme="minorBidi" w:hAnsiTheme="minorBidi" w:cstheme="minorBidi"/>
          <w:lang w:val="en-CA"/>
        </w:rPr>
      </w:pPr>
      <w:r w:rsidRPr="007D598D">
        <w:rPr>
          <w:rFonts w:asciiTheme="minorBidi" w:hAnsiTheme="minorBidi" w:cstheme="minorBidi"/>
          <w:noProof/>
        </w:rPr>
        <w:drawing>
          <wp:anchor distT="0" distB="0" distL="114300" distR="114300" simplePos="0" relativeHeight="251659264" behindDoc="1" locked="0" layoutInCell="1" allowOverlap="1" wp14:anchorId="639DAC6F" wp14:editId="32ED0D98">
            <wp:simplePos x="0" y="0"/>
            <wp:positionH relativeFrom="margin">
              <wp:posOffset>-6350</wp:posOffset>
            </wp:positionH>
            <wp:positionV relativeFrom="paragraph">
              <wp:posOffset>5080</wp:posOffset>
            </wp:positionV>
            <wp:extent cx="4525010" cy="2457450"/>
            <wp:effectExtent l="0" t="0" r="8890" b="0"/>
            <wp:wrapTight wrapText="bothSides">
              <wp:wrapPolygon edited="0">
                <wp:start x="0" y="0"/>
                <wp:lineTo x="0" y="21433"/>
                <wp:lineTo x="21552" y="21433"/>
                <wp:lineTo x="21552" y="0"/>
                <wp:lineTo x="0" y="0"/>
              </wp:wrapPolygon>
            </wp:wrapTight>
            <wp:docPr id="42" name="Chart 4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D6ABD4D" w14:textId="77777777" w:rsidR="007D598D" w:rsidRPr="007D598D" w:rsidRDefault="007D598D" w:rsidP="007D598D">
      <w:pPr>
        <w:jc w:val="both"/>
        <w:rPr>
          <w:rFonts w:asciiTheme="minorBidi" w:hAnsiTheme="minorBidi" w:cstheme="minorBidi"/>
          <w:lang w:val="en-CA"/>
        </w:rPr>
      </w:pPr>
    </w:p>
    <w:p w14:paraId="02ED28C4" w14:textId="77777777" w:rsidR="007D598D" w:rsidRPr="007D598D" w:rsidRDefault="007D598D" w:rsidP="007D598D">
      <w:pPr>
        <w:jc w:val="both"/>
        <w:rPr>
          <w:rFonts w:asciiTheme="minorBidi" w:hAnsiTheme="minorBidi" w:cstheme="minorBidi"/>
          <w:lang w:val="en-CA"/>
        </w:rPr>
      </w:pPr>
    </w:p>
    <w:p w14:paraId="5F4188FF" w14:textId="77777777" w:rsidR="007D598D" w:rsidRPr="007D598D" w:rsidRDefault="007D598D" w:rsidP="007D598D">
      <w:pPr>
        <w:jc w:val="both"/>
        <w:rPr>
          <w:rFonts w:asciiTheme="minorBidi" w:hAnsiTheme="minorBidi" w:cstheme="minorBidi"/>
          <w:lang w:val="en-CA"/>
        </w:rPr>
      </w:pPr>
    </w:p>
    <w:p w14:paraId="70317567" w14:textId="77777777" w:rsidR="007D598D" w:rsidRPr="007D598D" w:rsidRDefault="007D598D" w:rsidP="007D598D">
      <w:pPr>
        <w:jc w:val="both"/>
        <w:rPr>
          <w:rFonts w:asciiTheme="minorBidi" w:hAnsiTheme="minorBidi" w:cstheme="minorBidi"/>
          <w:lang w:val="en-CA"/>
        </w:rPr>
      </w:pPr>
    </w:p>
    <w:p w14:paraId="3471EE4C" w14:textId="77777777" w:rsidR="007D598D" w:rsidRPr="007D598D" w:rsidRDefault="007D598D" w:rsidP="007D598D">
      <w:pPr>
        <w:jc w:val="both"/>
        <w:rPr>
          <w:rFonts w:asciiTheme="minorBidi" w:hAnsiTheme="minorBidi" w:cstheme="minorBidi"/>
          <w:lang w:val="en-CA"/>
        </w:rPr>
      </w:pPr>
    </w:p>
    <w:p w14:paraId="11CFB972" w14:textId="77777777" w:rsidR="007D598D" w:rsidRPr="007D598D" w:rsidRDefault="007D598D" w:rsidP="007D598D">
      <w:pPr>
        <w:jc w:val="both"/>
        <w:rPr>
          <w:rFonts w:asciiTheme="minorBidi" w:hAnsiTheme="minorBidi" w:cstheme="minorBidi"/>
          <w:lang w:val="en-CA"/>
        </w:rPr>
      </w:pPr>
    </w:p>
    <w:p w14:paraId="690A0A1A" w14:textId="77777777" w:rsidR="007D598D" w:rsidRPr="007D598D" w:rsidRDefault="007D598D" w:rsidP="007D598D">
      <w:pPr>
        <w:jc w:val="both"/>
        <w:rPr>
          <w:rFonts w:asciiTheme="minorBidi" w:hAnsiTheme="minorBidi" w:cstheme="minorBidi"/>
          <w:lang w:val="en-CA"/>
        </w:rPr>
      </w:pPr>
    </w:p>
    <w:p w14:paraId="4132706C" w14:textId="77777777" w:rsidR="007D598D" w:rsidRPr="007D598D" w:rsidRDefault="007D598D" w:rsidP="007D598D">
      <w:pPr>
        <w:jc w:val="both"/>
        <w:rPr>
          <w:rFonts w:asciiTheme="minorBidi" w:hAnsiTheme="minorBidi" w:cstheme="minorBidi"/>
          <w:lang w:val="en-CA"/>
        </w:rPr>
      </w:pPr>
    </w:p>
    <w:p w14:paraId="470FA511" w14:textId="77777777" w:rsidR="007D598D" w:rsidRDefault="007D598D" w:rsidP="007D598D">
      <w:pPr>
        <w:jc w:val="both"/>
        <w:rPr>
          <w:rFonts w:asciiTheme="minorBidi" w:hAnsiTheme="minorBidi" w:cstheme="minorBidi"/>
          <w:lang w:val="en-CA"/>
        </w:rPr>
      </w:pPr>
    </w:p>
    <w:p w14:paraId="3E3C621B" w14:textId="77777777" w:rsidR="007D598D" w:rsidRDefault="007D598D" w:rsidP="007D598D">
      <w:pPr>
        <w:jc w:val="both"/>
        <w:rPr>
          <w:rFonts w:asciiTheme="minorBidi" w:hAnsiTheme="minorBidi" w:cstheme="minorBidi"/>
          <w:lang w:val="en-CA"/>
        </w:rPr>
      </w:pPr>
    </w:p>
    <w:p w14:paraId="2D8C72FC" w14:textId="77777777" w:rsidR="007D598D" w:rsidRDefault="007D598D" w:rsidP="007D598D">
      <w:pPr>
        <w:jc w:val="both"/>
        <w:rPr>
          <w:rFonts w:asciiTheme="minorBidi" w:hAnsiTheme="minorBidi" w:cstheme="minorBidi"/>
          <w:lang w:val="en-CA"/>
        </w:rPr>
      </w:pPr>
    </w:p>
    <w:p w14:paraId="00240AD6" w14:textId="77777777" w:rsidR="007D598D" w:rsidRDefault="007D598D" w:rsidP="007D598D">
      <w:pPr>
        <w:jc w:val="both"/>
        <w:rPr>
          <w:rFonts w:asciiTheme="minorBidi" w:hAnsiTheme="minorBidi" w:cstheme="minorBidi"/>
          <w:lang w:val="en-CA"/>
        </w:rPr>
      </w:pPr>
    </w:p>
    <w:p w14:paraId="01C06CB1" w14:textId="77777777" w:rsidR="007D598D" w:rsidRDefault="007D598D" w:rsidP="007D598D">
      <w:pPr>
        <w:jc w:val="both"/>
        <w:rPr>
          <w:rFonts w:asciiTheme="minorBidi" w:hAnsiTheme="minorBidi" w:cstheme="minorBidi"/>
          <w:lang w:val="en-CA"/>
        </w:rPr>
      </w:pPr>
    </w:p>
    <w:p w14:paraId="4E167793" w14:textId="77777777" w:rsidR="007D598D" w:rsidRDefault="007D598D" w:rsidP="007D598D">
      <w:pPr>
        <w:jc w:val="both"/>
        <w:rPr>
          <w:rFonts w:asciiTheme="minorBidi" w:hAnsiTheme="minorBidi" w:cstheme="minorBidi"/>
          <w:lang w:val="en-CA"/>
        </w:rPr>
      </w:pPr>
    </w:p>
    <w:p w14:paraId="4EF6303C" w14:textId="77777777" w:rsidR="007D598D" w:rsidRDefault="007D598D" w:rsidP="007D598D">
      <w:pPr>
        <w:jc w:val="both"/>
        <w:rPr>
          <w:rFonts w:asciiTheme="minorBidi" w:hAnsiTheme="minorBidi" w:cstheme="minorBidi"/>
          <w:lang w:val="en-CA"/>
        </w:rPr>
      </w:pPr>
    </w:p>
    <w:p w14:paraId="55A552A6" w14:textId="77777777" w:rsidR="007D598D" w:rsidRDefault="007D598D" w:rsidP="007D598D">
      <w:pPr>
        <w:jc w:val="both"/>
        <w:rPr>
          <w:rFonts w:asciiTheme="minorBidi" w:hAnsiTheme="minorBidi" w:cstheme="minorBidi"/>
          <w:lang w:val="en-CA"/>
        </w:rPr>
      </w:pPr>
    </w:p>
    <w:p w14:paraId="426096E0" w14:textId="77777777" w:rsidR="007D598D" w:rsidRDefault="007D598D" w:rsidP="007D598D">
      <w:pPr>
        <w:jc w:val="both"/>
        <w:rPr>
          <w:rFonts w:asciiTheme="minorBidi" w:hAnsiTheme="minorBidi" w:cstheme="minorBidi"/>
          <w:lang w:val="en-CA"/>
        </w:rPr>
      </w:pPr>
    </w:p>
    <w:p w14:paraId="0E88F0C9" w14:textId="57B31B4D" w:rsidR="007D598D" w:rsidRDefault="007D598D" w:rsidP="00205F5D">
      <w:pPr>
        <w:jc w:val="both"/>
        <w:rPr>
          <w:rFonts w:asciiTheme="minorBidi" w:hAnsiTheme="minorBidi" w:cstheme="minorBidi"/>
          <w:b/>
          <w:bCs/>
          <w:lang w:val="en-CA"/>
        </w:rPr>
      </w:pPr>
      <w:r w:rsidRPr="007D598D">
        <w:rPr>
          <w:rFonts w:asciiTheme="minorBidi" w:hAnsiTheme="minorBidi" w:cstheme="minorBidi"/>
          <w:b/>
          <w:bCs/>
          <w:lang w:val="en-CA"/>
        </w:rPr>
        <w:t xml:space="preserve">Figure 1: expression of the </w:t>
      </w:r>
      <w:r w:rsidRPr="007133C8">
        <w:rPr>
          <w:rFonts w:asciiTheme="minorBidi" w:hAnsiTheme="minorBidi" w:cstheme="minorBidi"/>
          <w:b/>
          <w:bCs/>
          <w:i/>
          <w:iCs/>
          <w:lang w:val="en-CA"/>
        </w:rPr>
        <w:t>HMGA1</w:t>
      </w:r>
      <w:r w:rsidRPr="007D598D">
        <w:rPr>
          <w:rFonts w:asciiTheme="minorBidi" w:hAnsiTheme="minorBidi" w:cstheme="minorBidi"/>
          <w:b/>
          <w:bCs/>
          <w:lang w:val="en-CA"/>
        </w:rPr>
        <w:t xml:space="preserve"> gene depending on different concentrations of Sialic acid. </w:t>
      </w:r>
      <w:r w:rsidR="00205F5D">
        <w:rPr>
          <w:rFonts w:asciiTheme="minorBidi" w:hAnsiTheme="minorBidi" w:cstheme="minorBidi"/>
          <w:b/>
          <w:bCs/>
          <w:lang w:val="en-CA"/>
        </w:rPr>
        <w:t>S</w:t>
      </w:r>
      <w:r w:rsidRPr="007D598D">
        <w:rPr>
          <w:rFonts w:asciiTheme="minorBidi" w:hAnsiTheme="minorBidi" w:cstheme="minorBidi"/>
          <w:b/>
          <w:bCs/>
          <w:lang w:val="en-CA"/>
        </w:rPr>
        <w:t>ignificant increasing of the gene (p&lt;0.05) occur at the 200 µM, with continually decreasing in 500 and 800 µM concentrations.</w:t>
      </w:r>
    </w:p>
    <w:p w14:paraId="368A0797" w14:textId="77777777" w:rsidR="007D598D" w:rsidRPr="007D598D" w:rsidRDefault="007D598D" w:rsidP="007D598D">
      <w:pPr>
        <w:jc w:val="both"/>
        <w:rPr>
          <w:rFonts w:asciiTheme="minorBidi" w:hAnsiTheme="minorBidi" w:cstheme="minorBidi"/>
          <w:b/>
          <w:bCs/>
          <w:rtl/>
          <w:lang w:val="en-CA"/>
        </w:rPr>
      </w:pPr>
    </w:p>
    <w:p w14:paraId="68520B03" w14:textId="77777777" w:rsidR="007D598D" w:rsidRPr="007D598D" w:rsidRDefault="007D598D" w:rsidP="007D598D">
      <w:pPr>
        <w:jc w:val="both"/>
        <w:rPr>
          <w:rFonts w:asciiTheme="minorBidi" w:hAnsiTheme="minorBidi" w:cstheme="minorBidi"/>
          <w:rtl/>
          <w:lang w:val="en-CA"/>
        </w:rPr>
      </w:pPr>
      <w:r w:rsidRPr="007D598D">
        <w:rPr>
          <w:rFonts w:asciiTheme="minorBidi" w:hAnsiTheme="minorBidi" w:cstheme="minorBidi"/>
          <w:noProof/>
        </w:rPr>
        <w:lastRenderedPageBreak/>
        <w:drawing>
          <wp:anchor distT="0" distB="0" distL="114300" distR="114300" simplePos="0" relativeHeight="251660288" behindDoc="1" locked="0" layoutInCell="1" allowOverlap="1" wp14:anchorId="4B2F4FF1" wp14:editId="711AB494">
            <wp:simplePos x="0" y="0"/>
            <wp:positionH relativeFrom="column">
              <wp:posOffset>-35508</wp:posOffset>
            </wp:positionH>
            <wp:positionV relativeFrom="paragraph">
              <wp:posOffset>33461</wp:posOffset>
            </wp:positionV>
            <wp:extent cx="4502110" cy="2568474"/>
            <wp:effectExtent l="0" t="0" r="13335" b="3810"/>
            <wp:wrapTight wrapText="bothSides">
              <wp:wrapPolygon edited="0">
                <wp:start x="0" y="0"/>
                <wp:lineTo x="0" y="21472"/>
                <wp:lineTo x="21573" y="21472"/>
                <wp:lineTo x="21573" y="0"/>
                <wp:lineTo x="0" y="0"/>
              </wp:wrapPolygon>
            </wp:wrapTight>
            <wp:docPr id="43" name="Chart 4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E7D6628" w14:textId="77777777" w:rsidR="007D598D" w:rsidRPr="007D598D" w:rsidRDefault="007D598D" w:rsidP="007D598D">
      <w:pPr>
        <w:jc w:val="right"/>
        <w:rPr>
          <w:rFonts w:asciiTheme="minorBidi" w:hAnsiTheme="minorBidi" w:cstheme="minorBidi"/>
          <w:rtl/>
          <w:lang w:val="en-CA"/>
        </w:rPr>
      </w:pPr>
    </w:p>
    <w:p w14:paraId="1BC4CDDF" w14:textId="77777777" w:rsidR="007D598D" w:rsidRPr="007D598D" w:rsidRDefault="007D598D" w:rsidP="007D598D">
      <w:pPr>
        <w:jc w:val="center"/>
        <w:rPr>
          <w:rFonts w:asciiTheme="minorBidi" w:hAnsiTheme="minorBidi" w:cstheme="minorBidi"/>
          <w:rtl/>
          <w:lang w:val="en-CA"/>
        </w:rPr>
      </w:pPr>
    </w:p>
    <w:p w14:paraId="681AA679" w14:textId="77777777" w:rsidR="007D598D" w:rsidRPr="007D598D" w:rsidRDefault="007D598D" w:rsidP="007D598D">
      <w:pPr>
        <w:jc w:val="right"/>
        <w:rPr>
          <w:rFonts w:asciiTheme="minorBidi" w:hAnsiTheme="minorBidi" w:cstheme="minorBidi"/>
          <w:rtl/>
          <w:lang w:val="en-CA"/>
        </w:rPr>
      </w:pPr>
    </w:p>
    <w:p w14:paraId="61714E37" w14:textId="77777777" w:rsidR="007D598D" w:rsidRPr="007D598D" w:rsidRDefault="007D598D" w:rsidP="007D598D">
      <w:pPr>
        <w:jc w:val="both"/>
        <w:rPr>
          <w:rFonts w:asciiTheme="minorBidi" w:hAnsiTheme="minorBidi" w:cstheme="minorBidi"/>
          <w:lang w:val="en-CA"/>
        </w:rPr>
      </w:pPr>
    </w:p>
    <w:p w14:paraId="52D28126" w14:textId="77777777" w:rsidR="007D598D" w:rsidRPr="007D598D" w:rsidRDefault="007D598D" w:rsidP="007D598D">
      <w:pPr>
        <w:jc w:val="both"/>
        <w:rPr>
          <w:rFonts w:asciiTheme="minorBidi" w:hAnsiTheme="minorBidi" w:cstheme="minorBidi"/>
          <w:lang w:val="en-CA"/>
        </w:rPr>
      </w:pPr>
    </w:p>
    <w:p w14:paraId="70B18198" w14:textId="77777777" w:rsidR="007D598D" w:rsidRPr="007D598D" w:rsidRDefault="007D598D" w:rsidP="007D598D">
      <w:pPr>
        <w:jc w:val="both"/>
        <w:rPr>
          <w:rFonts w:asciiTheme="minorBidi" w:hAnsiTheme="minorBidi" w:cstheme="minorBidi"/>
          <w:lang w:val="en-CA"/>
        </w:rPr>
      </w:pPr>
    </w:p>
    <w:p w14:paraId="64C5888C" w14:textId="77777777" w:rsidR="007D598D" w:rsidRPr="007D598D" w:rsidRDefault="007D598D" w:rsidP="007D598D">
      <w:pPr>
        <w:jc w:val="both"/>
        <w:rPr>
          <w:rFonts w:asciiTheme="minorBidi" w:hAnsiTheme="minorBidi" w:cstheme="minorBidi"/>
          <w:lang w:val="en-CA"/>
        </w:rPr>
      </w:pPr>
    </w:p>
    <w:p w14:paraId="09144518" w14:textId="77777777" w:rsidR="007D598D" w:rsidRPr="007D598D" w:rsidRDefault="007D598D" w:rsidP="007D598D">
      <w:pPr>
        <w:jc w:val="both"/>
        <w:rPr>
          <w:rFonts w:asciiTheme="minorBidi" w:hAnsiTheme="minorBidi" w:cstheme="minorBidi"/>
          <w:lang w:val="en-CA"/>
        </w:rPr>
      </w:pPr>
    </w:p>
    <w:p w14:paraId="69AB6236" w14:textId="77777777" w:rsidR="007D598D" w:rsidRPr="007D598D" w:rsidRDefault="007D598D" w:rsidP="007D598D">
      <w:pPr>
        <w:jc w:val="both"/>
        <w:rPr>
          <w:rFonts w:asciiTheme="minorBidi" w:hAnsiTheme="minorBidi" w:cstheme="minorBidi"/>
          <w:lang w:val="en-CA"/>
        </w:rPr>
      </w:pPr>
    </w:p>
    <w:p w14:paraId="6EE3B02B" w14:textId="77777777" w:rsidR="007D598D" w:rsidRDefault="007D598D" w:rsidP="007D598D">
      <w:pPr>
        <w:jc w:val="both"/>
        <w:rPr>
          <w:rFonts w:asciiTheme="minorBidi" w:hAnsiTheme="minorBidi" w:cstheme="minorBidi"/>
          <w:lang w:val="en-CA"/>
        </w:rPr>
      </w:pPr>
    </w:p>
    <w:p w14:paraId="2FEA59CF" w14:textId="77777777" w:rsidR="007D598D" w:rsidRDefault="007D598D" w:rsidP="007D598D">
      <w:pPr>
        <w:jc w:val="both"/>
        <w:rPr>
          <w:rFonts w:asciiTheme="minorBidi" w:hAnsiTheme="minorBidi" w:cstheme="minorBidi"/>
          <w:lang w:val="en-CA"/>
        </w:rPr>
      </w:pPr>
    </w:p>
    <w:p w14:paraId="4C841B29" w14:textId="77777777" w:rsidR="007D598D" w:rsidRDefault="007D598D" w:rsidP="007D598D">
      <w:pPr>
        <w:jc w:val="both"/>
        <w:rPr>
          <w:rFonts w:asciiTheme="minorBidi" w:hAnsiTheme="minorBidi" w:cstheme="minorBidi"/>
          <w:lang w:val="en-CA"/>
        </w:rPr>
      </w:pPr>
    </w:p>
    <w:p w14:paraId="0312E03F" w14:textId="77777777" w:rsidR="007D598D" w:rsidRDefault="007D598D" w:rsidP="007D598D">
      <w:pPr>
        <w:jc w:val="both"/>
        <w:rPr>
          <w:rFonts w:asciiTheme="minorBidi" w:hAnsiTheme="minorBidi" w:cstheme="minorBidi"/>
          <w:lang w:val="en-CA"/>
        </w:rPr>
      </w:pPr>
    </w:p>
    <w:p w14:paraId="06317707" w14:textId="77777777" w:rsidR="007D598D" w:rsidRDefault="007D598D" w:rsidP="007D598D">
      <w:pPr>
        <w:jc w:val="both"/>
        <w:rPr>
          <w:rFonts w:asciiTheme="minorBidi" w:hAnsiTheme="minorBidi" w:cstheme="minorBidi"/>
          <w:lang w:val="en-CA"/>
        </w:rPr>
      </w:pPr>
    </w:p>
    <w:p w14:paraId="32B00C7B" w14:textId="77777777" w:rsidR="007D598D" w:rsidRDefault="007D598D" w:rsidP="007D598D">
      <w:pPr>
        <w:jc w:val="both"/>
        <w:rPr>
          <w:rFonts w:asciiTheme="minorBidi" w:hAnsiTheme="minorBidi" w:cstheme="minorBidi"/>
          <w:lang w:val="en-CA"/>
        </w:rPr>
      </w:pPr>
    </w:p>
    <w:p w14:paraId="26DB995A" w14:textId="77777777" w:rsidR="007D598D" w:rsidRDefault="007D598D" w:rsidP="007D598D">
      <w:pPr>
        <w:jc w:val="both"/>
        <w:rPr>
          <w:rFonts w:asciiTheme="minorBidi" w:hAnsiTheme="minorBidi" w:cstheme="minorBidi"/>
          <w:lang w:val="en-CA"/>
        </w:rPr>
      </w:pPr>
    </w:p>
    <w:p w14:paraId="5196D1A5" w14:textId="77777777" w:rsidR="007D598D" w:rsidRDefault="007D598D" w:rsidP="007D598D">
      <w:pPr>
        <w:jc w:val="both"/>
        <w:rPr>
          <w:rFonts w:asciiTheme="minorBidi" w:hAnsiTheme="minorBidi" w:cstheme="minorBidi"/>
          <w:lang w:val="en-CA"/>
        </w:rPr>
      </w:pPr>
    </w:p>
    <w:p w14:paraId="21F59520" w14:textId="77777777" w:rsidR="007D598D" w:rsidRDefault="007D598D" w:rsidP="007D598D">
      <w:pPr>
        <w:jc w:val="both"/>
        <w:rPr>
          <w:rFonts w:asciiTheme="minorBidi" w:hAnsiTheme="minorBidi" w:cstheme="minorBidi"/>
          <w:lang w:val="en-CA"/>
        </w:rPr>
      </w:pPr>
    </w:p>
    <w:p w14:paraId="6566B740" w14:textId="0D2B4EFD" w:rsidR="007D598D" w:rsidRPr="007D598D" w:rsidRDefault="007D598D" w:rsidP="000C3310">
      <w:pPr>
        <w:jc w:val="both"/>
        <w:rPr>
          <w:rFonts w:asciiTheme="minorBidi" w:hAnsiTheme="minorBidi" w:cstheme="minorBidi"/>
          <w:b/>
          <w:bCs/>
          <w:lang w:val="en-CA"/>
        </w:rPr>
      </w:pPr>
      <w:r w:rsidRPr="007D598D">
        <w:rPr>
          <w:rFonts w:asciiTheme="minorBidi" w:hAnsiTheme="minorBidi" w:cstheme="minorBidi"/>
          <w:b/>
          <w:bCs/>
          <w:lang w:val="en-CA"/>
        </w:rPr>
        <w:t xml:space="preserve">Figure </w:t>
      </w:r>
      <w:r w:rsidRPr="007D598D">
        <w:rPr>
          <w:rFonts w:asciiTheme="minorBidi" w:hAnsiTheme="minorBidi" w:cstheme="minorBidi"/>
          <w:b/>
          <w:bCs/>
        </w:rPr>
        <w:t>2</w:t>
      </w:r>
      <w:r w:rsidRPr="007D598D">
        <w:rPr>
          <w:rFonts w:asciiTheme="minorBidi" w:hAnsiTheme="minorBidi" w:cstheme="minorBidi"/>
          <w:b/>
          <w:bCs/>
          <w:lang w:val="en-CA"/>
        </w:rPr>
        <w:t xml:space="preserve">: expression of the </w:t>
      </w:r>
      <w:r w:rsidRPr="007133C8">
        <w:rPr>
          <w:rFonts w:asciiTheme="minorBidi" w:hAnsiTheme="minorBidi" w:cstheme="minorBidi"/>
          <w:b/>
          <w:bCs/>
          <w:i/>
          <w:iCs/>
          <w:lang w:val="en-CA"/>
        </w:rPr>
        <w:t>HMGA2</w:t>
      </w:r>
      <w:r w:rsidRPr="007D598D">
        <w:rPr>
          <w:rFonts w:asciiTheme="minorBidi" w:hAnsiTheme="minorBidi" w:cstheme="minorBidi"/>
          <w:b/>
          <w:bCs/>
          <w:lang w:val="en-CA"/>
        </w:rPr>
        <w:t xml:space="preserve"> gene in relation to Sialic acid. </w:t>
      </w:r>
      <w:r w:rsidR="000C3310">
        <w:rPr>
          <w:rFonts w:asciiTheme="minorBidi" w:hAnsiTheme="minorBidi" w:cstheme="minorBidi"/>
          <w:b/>
          <w:bCs/>
          <w:lang w:val="en-CA"/>
        </w:rPr>
        <w:t>S</w:t>
      </w:r>
      <w:r w:rsidRPr="007D598D">
        <w:rPr>
          <w:rFonts w:asciiTheme="minorBidi" w:hAnsiTheme="minorBidi" w:cstheme="minorBidi"/>
          <w:b/>
          <w:bCs/>
          <w:lang w:val="en-CA"/>
        </w:rPr>
        <w:t>ignificant decreasing of the gene (p&lt;0.05) in all three concentrations.</w:t>
      </w:r>
    </w:p>
    <w:p w14:paraId="30910F28" w14:textId="77777777" w:rsidR="007D598D" w:rsidRPr="007D598D" w:rsidRDefault="007D598D" w:rsidP="007D598D">
      <w:pPr>
        <w:jc w:val="both"/>
        <w:rPr>
          <w:rFonts w:asciiTheme="minorBidi" w:hAnsiTheme="minorBidi" w:cstheme="minorBidi"/>
          <w:lang w:val="en-CA"/>
        </w:rPr>
      </w:pPr>
    </w:p>
    <w:p w14:paraId="47FF4381" w14:textId="77777777" w:rsidR="007D598D" w:rsidRPr="007D598D" w:rsidRDefault="007D598D" w:rsidP="007D598D">
      <w:pPr>
        <w:jc w:val="both"/>
        <w:rPr>
          <w:rFonts w:asciiTheme="minorBidi" w:hAnsiTheme="minorBidi" w:cstheme="minorBidi"/>
          <w:lang w:val="en-CA"/>
        </w:rPr>
      </w:pPr>
    </w:p>
    <w:p w14:paraId="0019EDBC" w14:textId="37192875" w:rsidR="00134633" w:rsidRPr="00134633" w:rsidRDefault="00134633" w:rsidP="00C9463B">
      <w:pPr>
        <w:jc w:val="both"/>
        <w:rPr>
          <w:rFonts w:asciiTheme="minorBidi" w:hAnsiTheme="minorBidi" w:cstheme="minorBidi"/>
          <w:lang w:val="en-CA"/>
        </w:rPr>
      </w:pPr>
      <w:r w:rsidRPr="00134633">
        <w:rPr>
          <w:rFonts w:asciiTheme="minorBidi" w:hAnsiTheme="minorBidi" w:cstheme="minorBidi"/>
          <w:lang w:val="en-CA"/>
        </w:rPr>
        <w:t xml:space="preserve">The present study </w:t>
      </w:r>
      <w:r w:rsidR="00622726">
        <w:rPr>
          <w:rFonts w:asciiTheme="minorBidi" w:hAnsiTheme="minorBidi" w:cstheme="minorBidi"/>
          <w:lang w:val="en-CA"/>
        </w:rPr>
        <w:t>reveals</w:t>
      </w:r>
      <w:r w:rsidRPr="00134633">
        <w:rPr>
          <w:rFonts w:asciiTheme="minorBidi" w:hAnsiTheme="minorBidi" w:cstheme="minorBidi"/>
          <w:lang w:val="en-CA"/>
        </w:rPr>
        <w:t xml:space="preserve"> that </w:t>
      </w:r>
      <w:r w:rsidRPr="007133C8">
        <w:rPr>
          <w:rFonts w:asciiTheme="minorBidi" w:hAnsiTheme="minorBidi" w:cstheme="minorBidi"/>
          <w:i/>
          <w:iCs/>
          <w:lang w:val="en-CA"/>
        </w:rPr>
        <w:t>HMGA2</w:t>
      </w:r>
      <w:r w:rsidRPr="00134633">
        <w:rPr>
          <w:rFonts w:asciiTheme="minorBidi" w:hAnsiTheme="minorBidi" w:cstheme="minorBidi"/>
          <w:lang w:val="en-CA"/>
        </w:rPr>
        <w:t xml:space="preserve"> gene expression decreased dramatically with a constant increase in sialic acid concentration compared to the control group (untreated). Conversely, treatment of the </w:t>
      </w:r>
      <w:r w:rsidRPr="007133C8">
        <w:rPr>
          <w:rFonts w:asciiTheme="minorBidi" w:hAnsiTheme="minorBidi" w:cstheme="minorBidi"/>
          <w:i/>
          <w:iCs/>
          <w:lang w:val="en-CA"/>
        </w:rPr>
        <w:t>HMGA1</w:t>
      </w:r>
      <w:r w:rsidRPr="00134633">
        <w:rPr>
          <w:rFonts w:asciiTheme="minorBidi" w:hAnsiTheme="minorBidi" w:cstheme="minorBidi"/>
          <w:lang w:val="en-CA"/>
        </w:rPr>
        <w:t xml:space="preserve"> gene with sialic acid resulted in a strong increase in its expression (nineteen fold), which decreased in a concentration-dependent manner at 500 µM (thirteen fold) and at 800 µM (nine fold) compared to the control group.</w:t>
      </w:r>
    </w:p>
    <w:p w14:paraId="7DC1F519" w14:textId="77777777" w:rsidR="00134633" w:rsidRPr="00134633" w:rsidRDefault="00134633" w:rsidP="00134633">
      <w:pPr>
        <w:jc w:val="both"/>
        <w:rPr>
          <w:rFonts w:asciiTheme="minorBidi" w:hAnsiTheme="minorBidi" w:cstheme="minorBidi"/>
          <w:lang w:val="en-CA"/>
        </w:rPr>
      </w:pPr>
    </w:p>
    <w:p w14:paraId="72148B41" w14:textId="19CAAD8A" w:rsidR="00134633" w:rsidRDefault="00134633" w:rsidP="00134633">
      <w:pPr>
        <w:jc w:val="both"/>
        <w:rPr>
          <w:rFonts w:asciiTheme="minorBidi" w:hAnsiTheme="minorBidi" w:cstheme="minorBidi"/>
          <w:lang w:val="en-CA"/>
        </w:rPr>
      </w:pPr>
      <w:r w:rsidRPr="00134633">
        <w:rPr>
          <w:rFonts w:asciiTheme="minorBidi" w:hAnsiTheme="minorBidi" w:cstheme="minorBidi"/>
          <w:lang w:val="en-CA"/>
        </w:rPr>
        <w:t>As recent findings on the inducing effect of sialic acid on the microenvironment of most cancers suggest, it has a positive effect on tumor cell proliferation by increasing the expression of HMGA1 as an oncogene. However, at higher concentrations, the effect appears to be less pronounced. This change creates favorable conditions for tumor growth and development (18, 19).</w:t>
      </w:r>
      <w:r>
        <w:rPr>
          <w:rFonts w:asciiTheme="minorBidi" w:hAnsiTheme="minorBidi" w:cstheme="minorBidi"/>
          <w:lang w:val="en-CA"/>
        </w:rPr>
        <w:t xml:space="preserve"> </w:t>
      </w:r>
      <w:r w:rsidRPr="00134633">
        <w:rPr>
          <w:rFonts w:asciiTheme="minorBidi" w:hAnsiTheme="minorBidi" w:cstheme="minorBidi"/>
          <w:lang w:val="en-CA"/>
        </w:rPr>
        <w:t xml:space="preserve">Interestingly, the expression of the oncogenes </w:t>
      </w:r>
      <w:r w:rsidRPr="007133C8">
        <w:rPr>
          <w:rFonts w:asciiTheme="minorBidi" w:hAnsiTheme="minorBidi" w:cstheme="minorBidi"/>
          <w:i/>
          <w:iCs/>
          <w:lang w:val="en-CA"/>
        </w:rPr>
        <w:t>HMGA1</w:t>
      </w:r>
      <w:r w:rsidRPr="00134633">
        <w:rPr>
          <w:rFonts w:asciiTheme="minorBidi" w:hAnsiTheme="minorBidi" w:cstheme="minorBidi"/>
          <w:lang w:val="en-CA"/>
        </w:rPr>
        <w:t xml:space="preserve"> and </w:t>
      </w:r>
      <w:r w:rsidRPr="007133C8">
        <w:rPr>
          <w:rFonts w:asciiTheme="minorBidi" w:hAnsiTheme="minorBidi" w:cstheme="minorBidi"/>
          <w:i/>
          <w:iCs/>
          <w:lang w:val="en-CA"/>
        </w:rPr>
        <w:t>HMGA2</w:t>
      </w:r>
      <w:r w:rsidRPr="00134633">
        <w:rPr>
          <w:rFonts w:asciiTheme="minorBidi" w:hAnsiTheme="minorBidi" w:cstheme="minorBidi"/>
          <w:lang w:val="en-CA"/>
        </w:rPr>
        <w:t xml:space="preserve"> in the glioblastoma cell line is opposite: </w:t>
      </w:r>
      <w:r w:rsidRPr="007133C8">
        <w:rPr>
          <w:rFonts w:asciiTheme="minorBidi" w:hAnsiTheme="minorBidi" w:cstheme="minorBidi"/>
          <w:i/>
          <w:iCs/>
          <w:lang w:val="en-CA"/>
        </w:rPr>
        <w:t>HMGA1</w:t>
      </w:r>
      <w:r w:rsidRPr="00134633">
        <w:rPr>
          <w:rFonts w:asciiTheme="minorBidi" w:hAnsiTheme="minorBidi" w:cstheme="minorBidi"/>
          <w:lang w:val="en-CA"/>
        </w:rPr>
        <w:t xml:space="preserve"> is very low (near zero), whereas </w:t>
      </w:r>
      <w:r w:rsidRPr="007133C8">
        <w:rPr>
          <w:rFonts w:asciiTheme="minorBidi" w:hAnsiTheme="minorBidi" w:cstheme="minorBidi"/>
          <w:i/>
          <w:iCs/>
          <w:lang w:val="en-CA"/>
        </w:rPr>
        <w:t>HMGA2</w:t>
      </w:r>
      <w:r w:rsidRPr="00134633">
        <w:rPr>
          <w:rFonts w:asciiTheme="minorBidi" w:hAnsiTheme="minorBidi" w:cstheme="minorBidi"/>
          <w:lang w:val="en-CA"/>
        </w:rPr>
        <w:t xml:space="preserve"> is very high. The effect of sialic acid treatment on the above-mentioned genes has so far been markedly different: it induces tumor growth by increasing </w:t>
      </w:r>
      <w:r w:rsidRPr="007133C8">
        <w:rPr>
          <w:rFonts w:asciiTheme="minorBidi" w:hAnsiTheme="minorBidi" w:cstheme="minorBidi"/>
          <w:i/>
          <w:iCs/>
          <w:lang w:val="en-CA"/>
        </w:rPr>
        <w:t xml:space="preserve">HMGA1 </w:t>
      </w:r>
      <w:r w:rsidRPr="00134633">
        <w:rPr>
          <w:rFonts w:asciiTheme="minorBidi" w:hAnsiTheme="minorBidi" w:cstheme="minorBidi"/>
          <w:lang w:val="en-CA"/>
        </w:rPr>
        <w:t xml:space="preserve">gene expression, while it suppresses tumor growth by reducing </w:t>
      </w:r>
      <w:r w:rsidRPr="007133C8">
        <w:rPr>
          <w:rFonts w:asciiTheme="minorBidi" w:hAnsiTheme="minorBidi" w:cstheme="minorBidi"/>
          <w:i/>
          <w:iCs/>
          <w:lang w:val="en-CA"/>
        </w:rPr>
        <w:t>HMGA2</w:t>
      </w:r>
      <w:r w:rsidRPr="00134633">
        <w:rPr>
          <w:rFonts w:asciiTheme="minorBidi" w:hAnsiTheme="minorBidi" w:cstheme="minorBidi"/>
          <w:lang w:val="en-CA"/>
        </w:rPr>
        <w:t xml:space="preserve"> expression.</w:t>
      </w:r>
    </w:p>
    <w:p w14:paraId="0F704F38" w14:textId="77777777" w:rsidR="00134633" w:rsidRPr="00134633" w:rsidRDefault="00134633" w:rsidP="00134633">
      <w:pPr>
        <w:jc w:val="both"/>
        <w:rPr>
          <w:rFonts w:asciiTheme="minorBidi" w:hAnsiTheme="minorBidi" w:cstheme="minorBidi"/>
          <w:lang w:val="en-CA"/>
        </w:rPr>
      </w:pPr>
    </w:p>
    <w:p w14:paraId="6A7BBA82" w14:textId="629BC0C7" w:rsid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Through several molecular mechanisms in human glioblastoma, cytokines/chemokines in the TME tumor microenvironment play a vital role in recruiting normal cells to support tumor growth, invasion, angiogenesis, and metastasis. Other factors, especially miRNA, have attracted attention in recent years. Highly expressed microRNAs are present in high levels in body fluids such as plasma and cerebrospinal fluid, which participate in intercellular communication and can use as diagnostic and therapeutic biomarkers (7). </w:t>
      </w:r>
    </w:p>
    <w:p w14:paraId="0C3F7D4B" w14:textId="77777777" w:rsidR="00134633" w:rsidRPr="007D598D" w:rsidRDefault="00134633" w:rsidP="007D598D">
      <w:pPr>
        <w:jc w:val="both"/>
        <w:rPr>
          <w:rFonts w:asciiTheme="minorBidi" w:hAnsiTheme="minorBidi" w:cstheme="minorBidi"/>
          <w:lang w:val="en-CA"/>
        </w:rPr>
      </w:pPr>
    </w:p>
    <w:p w14:paraId="27AF0EC8" w14:textId="7AB66868" w:rsid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Zhang </w:t>
      </w:r>
      <w:r w:rsidRPr="007D598D">
        <w:rPr>
          <w:rFonts w:asciiTheme="minorBidi" w:hAnsiTheme="minorBidi" w:cstheme="minorBidi"/>
          <w:i/>
          <w:iCs/>
          <w:lang w:val="en-CA"/>
        </w:rPr>
        <w:t>et al</w:t>
      </w:r>
      <w:r w:rsidRPr="007D598D">
        <w:rPr>
          <w:rFonts w:asciiTheme="minorBidi" w:hAnsiTheme="minorBidi" w:cstheme="minorBidi"/>
          <w:lang w:val="en-CA"/>
        </w:rPr>
        <w:t xml:space="preserve"> in 2018 have documented that </w:t>
      </w:r>
      <w:r w:rsidRPr="007D598D">
        <w:rPr>
          <w:rFonts w:asciiTheme="minorBidi" w:hAnsiTheme="minorBidi" w:cstheme="minorBidi"/>
          <w:i/>
          <w:iCs/>
          <w:lang w:val="en-CA"/>
        </w:rPr>
        <w:t>HMGA2</w:t>
      </w:r>
      <w:r w:rsidRPr="007D598D">
        <w:rPr>
          <w:rFonts w:asciiTheme="minorBidi" w:hAnsiTheme="minorBidi" w:cstheme="minorBidi"/>
          <w:lang w:val="en-CA"/>
        </w:rPr>
        <w:t xml:space="preserve">-shRNA transfection inhibited glioblastoma cell invasion. This team documented that </w:t>
      </w:r>
      <w:r w:rsidRPr="007D598D">
        <w:rPr>
          <w:rFonts w:asciiTheme="minorBidi" w:hAnsiTheme="minorBidi" w:cstheme="minorBidi"/>
          <w:i/>
          <w:iCs/>
          <w:lang w:val="en-CA"/>
        </w:rPr>
        <w:t>HMGA2</w:t>
      </w:r>
      <w:r w:rsidRPr="007D598D">
        <w:rPr>
          <w:rFonts w:asciiTheme="minorBidi" w:hAnsiTheme="minorBidi" w:cstheme="minorBidi"/>
          <w:lang w:val="en-CA"/>
        </w:rPr>
        <w:t xml:space="preserve"> originally recognized as a </w:t>
      </w:r>
      <w:r w:rsidRPr="007D598D">
        <w:rPr>
          <w:rFonts w:asciiTheme="minorBidi" w:hAnsiTheme="minorBidi" w:cstheme="minorBidi"/>
          <w:i/>
          <w:iCs/>
          <w:lang w:val="en-CA"/>
        </w:rPr>
        <w:t xml:space="preserve">GCN5 </w:t>
      </w:r>
      <w:r w:rsidRPr="007D598D">
        <w:rPr>
          <w:rFonts w:asciiTheme="minorBidi" w:hAnsiTheme="minorBidi" w:cstheme="minorBidi"/>
          <w:lang w:val="en-CA"/>
        </w:rPr>
        <w:t xml:space="preserve">partner, implicating in glioma cell invasion, assists to execute this role by inducing rearrangement of the structural framework of the </w:t>
      </w:r>
      <w:r w:rsidRPr="007D598D">
        <w:rPr>
          <w:rFonts w:asciiTheme="minorBidi" w:hAnsiTheme="minorBidi" w:cstheme="minorBidi"/>
          <w:i/>
          <w:iCs/>
          <w:lang w:val="en-CA"/>
        </w:rPr>
        <w:t>MMP2</w:t>
      </w:r>
      <w:r w:rsidRPr="007D598D">
        <w:rPr>
          <w:rFonts w:asciiTheme="minorBidi" w:hAnsiTheme="minorBidi" w:cstheme="minorBidi"/>
          <w:lang w:val="en-CA"/>
        </w:rPr>
        <w:t xml:space="preserve"> gene promoter, and epigenetically activates the transcription of the </w:t>
      </w:r>
      <w:r w:rsidRPr="007D598D">
        <w:rPr>
          <w:rFonts w:asciiTheme="minorBidi" w:hAnsiTheme="minorBidi" w:cstheme="minorBidi"/>
          <w:i/>
          <w:iCs/>
          <w:lang w:val="en-CA"/>
        </w:rPr>
        <w:t>MMP9</w:t>
      </w:r>
      <w:r w:rsidRPr="007D598D">
        <w:rPr>
          <w:rFonts w:asciiTheme="minorBidi" w:hAnsiTheme="minorBidi" w:cstheme="minorBidi"/>
          <w:lang w:val="en-CA"/>
        </w:rPr>
        <w:t xml:space="preserve"> gene (20). The two evaluating genes here has </w:t>
      </w:r>
      <w:r w:rsidR="0052069F" w:rsidRPr="007D598D">
        <w:rPr>
          <w:rFonts w:asciiTheme="minorBidi" w:hAnsiTheme="minorBidi" w:cstheme="minorBidi"/>
          <w:lang w:val="en-CA"/>
        </w:rPr>
        <w:t>potential being</w:t>
      </w:r>
      <w:r w:rsidRPr="007D598D">
        <w:rPr>
          <w:rFonts w:asciiTheme="minorBidi" w:hAnsiTheme="minorBidi" w:cstheme="minorBidi"/>
          <w:lang w:val="en-CA"/>
        </w:rPr>
        <w:t xml:space="preserve"> as a diagnostic marker, which as a mediator of histone acetylation can be a new diagnostic indicator and therapeutic target for brain tumors such as glioma and glioblastoma.</w:t>
      </w:r>
    </w:p>
    <w:p w14:paraId="42D04688" w14:textId="77777777" w:rsidR="00134633" w:rsidRPr="007D598D" w:rsidRDefault="00134633" w:rsidP="007D598D">
      <w:pPr>
        <w:jc w:val="both"/>
        <w:rPr>
          <w:rFonts w:asciiTheme="minorBidi" w:hAnsiTheme="minorBidi" w:cstheme="minorBidi"/>
          <w:lang w:val="en-CA"/>
        </w:rPr>
      </w:pPr>
    </w:p>
    <w:p w14:paraId="01D6C44F" w14:textId="4B2EA6D9" w:rsidR="007D598D" w:rsidRDefault="007D598D" w:rsidP="007D598D">
      <w:pPr>
        <w:jc w:val="both"/>
        <w:rPr>
          <w:rFonts w:asciiTheme="minorBidi" w:hAnsiTheme="minorBidi" w:cstheme="minorBidi"/>
          <w:lang w:val="en-CA"/>
        </w:rPr>
      </w:pPr>
      <w:r w:rsidRPr="007D598D">
        <w:rPr>
          <w:rFonts w:asciiTheme="minorBidi" w:hAnsiTheme="minorBidi" w:cstheme="minorBidi"/>
          <w:lang w:val="en-CA"/>
        </w:rPr>
        <w:t xml:space="preserve">Furthermore, the </w:t>
      </w:r>
      <w:r w:rsidRPr="007D598D">
        <w:rPr>
          <w:rFonts w:asciiTheme="minorBidi" w:hAnsiTheme="minorBidi" w:cstheme="minorBidi"/>
          <w:i/>
          <w:iCs/>
          <w:lang w:val="en-CA"/>
        </w:rPr>
        <w:t>HMGA2</w:t>
      </w:r>
      <w:r w:rsidRPr="007D598D">
        <w:rPr>
          <w:rFonts w:asciiTheme="minorBidi" w:hAnsiTheme="minorBidi" w:cstheme="minorBidi"/>
          <w:lang w:val="en-CA"/>
        </w:rPr>
        <w:t xml:space="preserve"> gene is reported to be repressed by MIRLET7 via the 3'UTR, leading to MPN proliferation and involved in the pathogenesis of Myelofibrosis in mice (21). Its expression, especially variant 1 within the 3'UTR region with a specific miRlet7 site, is more deregulated than variant 2 lacking the 3'UTR, as miRlet7 expression is reduced in granulocytes (22-28).</w:t>
      </w:r>
    </w:p>
    <w:p w14:paraId="57C3ABB2" w14:textId="77777777" w:rsidR="00134633" w:rsidRPr="007D598D" w:rsidRDefault="00134633" w:rsidP="007D598D">
      <w:pPr>
        <w:jc w:val="both"/>
        <w:rPr>
          <w:rFonts w:asciiTheme="minorBidi" w:hAnsiTheme="minorBidi" w:cstheme="minorBidi"/>
          <w:lang w:val="en-CA"/>
        </w:rPr>
      </w:pPr>
    </w:p>
    <w:p w14:paraId="224F6DAA" w14:textId="7AD1B2FF" w:rsidR="001F52D3" w:rsidRDefault="007D598D" w:rsidP="007133C8">
      <w:pPr>
        <w:jc w:val="both"/>
        <w:rPr>
          <w:rFonts w:asciiTheme="minorBidi" w:hAnsiTheme="minorBidi" w:cstheme="minorBidi"/>
          <w:lang w:val="en-CA"/>
        </w:rPr>
      </w:pPr>
      <w:r w:rsidRPr="007D598D">
        <w:rPr>
          <w:rFonts w:asciiTheme="minorBidi" w:hAnsiTheme="minorBidi" w:cstheme="minorBidi"/>
          <w:lang w:val="en-CA"/>
        </w:rPr>
        <w:t xml:space="preserve">In 2021, </w:t>
      </w:r>
      <w:proofErr w:type="spellStart"/>
      <w:r w:rsidRPr="007D598D">
        <w:rPr>
          <w:rFonts w:asciiTheme="minorBidi" w:hAnsiTheme="minorBidi" w:cstheme="minorBidi"/>
          <w:lang w:val="en-CA"/>
        </w:rPr>
        <w:t>Jin</w:t>
      </w:r>
      <w:proofErr w:type="spellEnd"/>
      <w:r w:rsidRPr="007D598D">
        <w:rPr>
          <w:rFonts w:asciiTheme="minorBidi" w:hAnsiTheme="minorBidi" w:cstheme="minorBidi"/>
          <w:lang w:val="en-CA"/>
        </w:rPr>
        <w:t xml:space="preserve"> Jun </w:t>
      </w:r>
      <w:r w:rsidRPr="007D598D">
        <w:rPr>
          <w:rFonts w:asciiTheme="minorBidi" w:hAnsiTheme="minorBidi" w:cstheme="minorBidi"/>
          <w:i/>
          <w:iCs/>
          <w:lang w:val="en-CA"/>
        </w:rPr>
        <w:t>et al</w:t>
      </w:r>
      <w:r w:rsidRPr="007D598D">
        <w:rPr>
          <w:rFonts w:asciiTheme="minorBidi" w:hAnsiTheme="minorBidi" w:cstheme="minorBidi"/>
          <w:lang w:val="en-CA"/>
        </w:rPr>
        <w:t xml:space="preserve"> stated that </w:t>
      </w:r>
      <w:r w:rsidRPr="007D598D">
        <w:rPr>
          <w:rFonts w:asciiTheme="minorBidi" w:hAnsiTheme="minorBidi" w:cstheme="minorBidi"/>
          <w:i/>
          <w:iCs/>
          <w:lang w:val="en-CA"/>
        </w:rPr>
        <w:t xml:space="preserve">LINC00963 </w:t>
      </w:r>
      <w:r w:rsidRPr="007D598D">
        <w:rPr>
          <w:rFonts w:asciiTheme="minorBidi" w:hAnsiTheme="minorBidi" w:cstheme="minorBidi"/>
          <w:lang w:val="en-CA"/>
        </w:rPr>
        <w:t xml:space="preserve">was highly expressed in colorectal cancer and this is associated with the bad diagnosis of the tumor (28). Silencing of </w:t>
      </w:r>
      <w:r w:rsidRPr="007D598D">
        <w:rPr>
          <w:rFonts w:asciiTheme="minorBidi" w:hAnsiTheme="minorBidi" w:cstheme="minorBidi"/>
          <w:i/>
          <w:iCs/>
          <w:lang w:val="en-CA"/>
        </w:rPr>
        <w:t>LINC00963</w:t>
      </w:r>
      <w:r w:rsidRPr="007D598D">
        <w:rPr>
          <w:rFonts w:asciiTheme="minorBidi" w:hAnsiTheme="minorBidi" w:cstheme="minorBidi"/>
          <w:lang w:val="en-CA"/>
        </w:rPr>
        <w:t xml:space="preserve"> inhibits the activity, proliferation, migration and invasion of colorectal tumor cells. The </w:t>
      </w:r>
      <w:r w:rsidRPr="007D598D">
        <w:rPr>
          <w:rFonts w:asciiTheme="minorBidi" w:hAnsiTheme="minorBidi" w:cstheme="minorBidi"/>
          <w:i/>
          <w:iCs/>
          <w:lang w:val="en-CA"/>
        </w:rPr>
        <w:t>MMP3</w:t>
      </w:r>
      <w:r w:rsidRPr="007D598D">
        <w:rPr>
          <w:rFonts w:asciiTheme="minorBidi" w:hAnsiTheme="minorBidi" w:cstheme="minorBidi"/>
          <w:lang w:val="en-CA"/>
        </w:rPr>
        <w:t xml:space="preserve"> and </w:t>
      </w:r>
      <w:r w:rsidRPr="007D598D">
        <w:rPr>
          <w:rFonts w:asciiTheme="minorBidi" w:hAnsiTheme="minorBidi" w:cstheme="minorBidi"/>
          <w:i/>
          <w:iCs/>
          <w:lang w:val="en-CA"/>
        </w:rPr>
        <w:t>MMP-9</w:t>
      </w:r>
      <w:r w:rsidRPr="007D598D">
        <w:rPr>
          <w:rFonts w:asciiTheme="minorBidi" w:hAnsiTheme="minorBidi" w:cstheme="minorBidi"/>
          <w:lang w:val="en-CA"/>
        </w:rPr>
        <w:t xml:space="preserve"> expression halts cell cycle progression and represses cell growth and Ki67 gene expression. Amplifying LINC00963 expression shows opposite effects with its silencing and it regulates and targets the expression of the </w:t>
      </w:r>
      <w:r w:rsidRPr="007D598D">
        <w:rPr>
          <w:rFonts w:asciiTheme="minorBidi" w:hAnsiTheme="minorBidi" w:cstheme="minorBidi"/>
          <w:i/>
          <w:iCs/>
          <w:lang w:val="en-CA"/>
        </w:rPr>
        <w:t>HMGA2</w:t>
      </w:r>
      <w:r w:rsidRPr="007D598D">
        <w:rPr>
          <w:rFonts w:asciiTheme="minorBidi" w:hAnsiTheme="minorBidi" w:cstheme="minorBidi"/>
          <w:lang w:val="en-CA"/>
        </w:rPr>
        <w:t xml:space="preserve"> gene through the </w:t>
      </w:r>
      <w:r w:rsidRPr="007D598D">
        <w:rPr>
          <w:rFonts w:asciiTheme="minorBidi" w:hAnsiTheme="minorBidi" w:cstheme="minorBidi"/>
          <w:i/>
          <w:iCs/>
          <w:lang w:val="en-CA"/>
        </w:rPr>
        <w:t>miR-532-3p</w:t>
      </w:r>
      <w:r w:rsidRPr="007D598D">
        <w:rPr>
          <w:rFonts w:asciiTheme="minorBidi" w:hAnsiTheme="minorBidi" w:cstheme="minorBidi"/>
          <w:lang w:val="en-CA"/>
        </w:rPr>
        <w:t xml:space="preserve"> gene (29). The brain needs sialic acid in order to mature and polymorphisms in the genes </w:t>
      </w:r>
      <w:r w:rsidR="00511BEC">
        <w:rPr>
          <w:rFonts w:asciiTheme="minorBidi" w:hAnsiTheme="minorBidi" w:cstheme="minorBidi"/>
          <w:lang w:val="en-CA"/>
        </w:rPr>
        <w:t>encoding</w:t>
      </w:r>
      <w:r w:rsidRPr="007D598D">
        <w:rPr>
          <w:rFonts w:asciiTheme="minorBidi" w:hAnsiTheme="minorBidi" w:cstheme="minorBidi"/>
          <w:lang w:val="en-CA"/>
        </w:rPr>
        <w:t xml:space="preserve"> for sialic acid biosynthesis can lead to neurological illness such as schizophrenia, autism and bipolar disorders. </w:t>
      </w:r>
      <w:r w:rsidR="00511BEC">
        <w:rPr>
          <w:rFonts w:asciiTheme="minorBidi" w:hAnsiTheme="minorBidi" w:cstheme="minorBidi"/>
          <w:lang w:val="en-CA"/>
        </w:rPr>
        <w:t>We also know</w:t>
      </w:r>
      <w:r w:rsidRPr="007D598D">
        <w:rPr>
          <w:rFonts w:asciiTheme="minorBidi" w:hAnsiTheme="minorBidi" w:cstheme="minorBidi"/>
          <w:lang w:val="en-CA"/>
        </w:rPr>
        <w:t xml:space="preserve"> that sialic acid is a central player in the brain's adaptability, i.e., regenerating its cells, and vertebrate brain sialoglycans are the central key components for the development and stability and health of the nervous system (</w:t>
      </w:r>
      <w:r w:rsidR="00C63BA8">
        <w:rPr>
          <w:rFonts w:asciiTheme="minorBidi" w:hAnsiTheme="minorBidi" w:cstheme="minorBidi"/>
          <w:lang w:val="en-CA"/>
        </w:rPr>
        <w:t>29</w:t>
      </w:r>
      <w:r w:rsidRPr="007D598D">
        <w:rPr>
          <w:rFonts w:asciiTheme="minorBidi" w:hAnsiTheme="minorBidi" w:cstheme="minorBidi"/>
          <w:lang w:val="en-CA"/>
        </w:rPr>
        <w:t>).</w:t>
      </w:r>
      <w:r w:rsidR="001C416C">
        <w:rPr>
          <w:rFonts w:asciiTheme="minorBidi" w:hAnsiTheme="minorBidi" w:cstheme="minorBidi"/>
          <w:lang w:val="en-CA"/>
        </w:rPr>
        <w:t xml:space="preserve"> </w:t>
      </w:r>
      <w:r w:rsidR="001F52D3" w:rsidRPr="001F52D3">
        <w:rPr>
          <w:rFonts w:asciiTheme="minorBidi" w:hAnsiTheme="minorBidi" w:cstheme="minorBidi"/>
          <w:lang w:val="en-CA"/>
        </w:rPr>
        <w:t>How glycosylation can modulate gene expression is not yet fully understood. Sialylation is known to typically occur in extracellular proteins or in proteins undergoing the secretory pathway, which is not consistent for these two nuclear HMGA proteins</w:t>
      </w:r>
      <w:r w:rsidR="000F7EF6">
        <w:rPr>
          <w:rFonts w:asciiTheme="minorBidi" w:hAnsiTheme="minorBidi" w:cstheme="minorBidi"/>
          <w:lang w:val="en-CA"/>
        </w:rPr>
        <w:t xml:space="preserve"> (30)</w:t>
      </w:r>
      <w:r w:rsidR="001F52D3" w:rsidRPr="001F52D3">
        <w:rPr>
          <w:rFonts w:asciiTheme="minorBidi" w:hAnsiTheme="minorBidi" w:cstheme="minorBidi"/>
          <w:lang w:val="en-CA"/>
        </w:rPr>
        <w:t>. Recently, cell membrane-bound sialylated RNAs (glycoRNAs) have been identified, whose function we cannot currently assign. These modified RNA molecules may be involved in the regulation of transcriptional activity (3</w:t>
      </w:r>
      <w:r w:rsidR="000F7EF6">
        <w:rPr>
          <w:rFonts w:asciiTheme="minorBidi" w:hAnsiTheme="minorBidi" w:cstheme="minorBidi"/>
          <w:lang w:val="en-CA"/>
        </w:rPr>
        <w:t>1</w:t>
      </w:r>
      <w:r w:rsidR="001F52D3" w:rsidRPr="001F52D3">
        <w:rPr>
          <w:rFonts w:asciiTheme="minorBidi" w:hAnsiTheme="minorBidi" w:cstheme="minorBidi"/>
          <w:lang w:val="en-CA"/>
        </w:rPr>
        <w:t>).</w:t>
      </w:r>
    </w:p>
    <w:p w14:paraId="0E2387AC" w14:textId="77777777" w:rsidR="001F52D3" w:rsidRDefault="001F52D3" w:rsidP="001F52D3">
      <w:pPr>
        <w:rPr>
          <w:rFonts w:asciiTheme="minorBidi" w:hAnsiTheme="minorBidi" w:cstheme="minorBidi"/>
          <w:lang w:val="en-CA"/>
        </w:rPr>
      </w:pPr>
    </w:p>
    <w:p w14:paraId="51AF5874" w14:textId="77777777" w:rsidR="00B01FCD" w:rsidRPr="007133C8" w:rsidRDefault="00000F8F" w:rsidP="001F52D3">
      <w:pPr>
        <w:rPr>
          <w:rFonts w:ascii="Arial" w:hAnsi="Arial" w:cs="Arial"/>
          <w:b/>
          <w:bCs/>
          <w:sz w:val="22"/>
          <w:szCs w:val="22"/>
        </w:rPr>
      </w:pPr>
      <w:r w:rsidRPr="007133C8">
        <w:rPr>
          <w:rFonts w:ascii="Arial" w:hAnsi="Arial" w:cs="Arial"/>
          <w:b/>
          <w:bCs/>
          <w:sz w:val="22"/>
          <w:szCs w:val="22"/>
        </w:rPr>
        <w:t xml:space="preserve">4. </w:t>
      </w:r>
      <w:r w:rsidR="00B01FCD" w:rsidRPr="007133C8">
        <w:rPr>
          <w:rFonts w:ascii="Arial" w:hAnsi="Arial" w:cs="Arial"/>
          <w:b/>
          <w:bCs/>
          <w:sz w:val="22"/>
          <w:szCs w:val="22"/>
        </w:rPr>
        <w:t>Conclusion</w:t>
      </w:r>
    </w:p>
    <w:p w14:paraId="49066001" w14:textId="7FCC9ECE" w:rsidR="00145052" w:rsidRDefault="00145052" w:rsidP="00152BF0">
      <w:pPr>
        <w:jc w:val="both"/>
        <w:rPr>
          <w:rFonts w:asciiTheme="minorBidi" w:hAnsiTheme="minorBidi" w:cstheme="minorBidi"/>
          <w:lang w:val="en-CA"/>
        </w:rPr>
      </w:pPr>
      <w:r w:rsidRPr="00145052">
        <w:rPr>
          <w:rFonts w:asciiTheme="minorBidi" w:hAnsiTheme="minorBidi" w:cstheme="minorBidi"/>
          <w:lang w:val="en-CA"/>
        </w:rPr>
        <w:t>Apparently, sialic acid differentially modulates the two high mobility group proteins A1 and A2, at least in astrocytoma cells. However, there is currently no evidence of a direct association of these two players with sialic acid in cells. Nevertheless, it is likely that sialic acid indirectly influences signaling pathways</w:t>
      </w:r>
      <w:r w:rsidR="00A93374">
        <w:rPr>
          <w:rFonts w:asciiTheme="minorBidi" w:hAnsiTheme="minorBidi" w:cstheme="minorBidi"/>
          <w:lang w:val="en-CA"/>
        </w:rPr>
        <w:t xml:space="preserve"> that</w:t>
      </w:r>
      <w:r w:rsidRPr="00145052">
        <w:rPr>
          <w:rFonts w:asciiTheme="minorBidi" w:hAnsiTheme="minorBidi" w:cstheme="minorBidi"/>
          <w:lang w:val="en-CA"/>
        </w:rPr>
        <w:t xml:space="preserve"> </w:t>
      </w:r>
      <w:r w:rsidR="00A93374">
        <w:rPr>
          <w:rFonts w:asciiTheme="minorBidi" w:hAnsiTheme="minorBidi" w:cstheme="minorBidi"/>
          <w:lang w:val="en-CA"/>
        </w:rPr>
        <w:t>regulate</w:t>
      </w:r>
      <w:r w:rsidRPr="00145052">
        <w:rPr>
          <w:rFonts w:asciiTheme="minorBidi" w:hAnsiTheme="minorBidi" w:cstheme="minorBidi"/>
          <w:lang w:val="en-CA"/>
        </w:rPr>
        <w:t xml:space="preserve"> the expression of the </w:t>
      </w:r>
      <w:r w:rsidRPr="007133C8">
        <w:rPr>
          <w:rFonts w:asciiTheme="minorBidi" w:hAnsiTheme="minorBidi" w:cstheme="minorBidi"/>
          <w:i/>
          <w:iCs/>
          <w:lang w:val="en-CA"/>
        </w:rPr>
        <w:t>HMGA1</w:t>
      </w:r>
      <w:r w:rsidRPr="00145052">
        <w:rPr>
          <w:rFonts w:asciiTheme="minorBidi" w:hAnsiTheme="minorBidi" w:cstheme="minorBidi"/>
          <w:lang w:val="en-CA"/>
        </w:rPr>
        <w:t xml:space="preserve"> and </w:t>
      </w:r>
      <w:r w:rsidRPr="007133C8">
        <w:rPr>
          <w:rFonts w:asciiTheme="minorBidi" w:hAnsiTheme="minorBidi" w:cstheme="minorBidi"/>
          <w:i/>
          <w:iCs/>
          <w:lang w:val="en-CA"/>
        </w:rPr>
        <w:t>HMGA2</w:t>
      </w:r>
      <w:r w:rsidRPr="00145052">
        <w:rPr>
          <w:rFonts w:asciiTheme="minorBidi" w:hAnsiTheme="minorBidi" w:cstheme="minorBidi"/>
          <w:lang w:val="en-CA"/>
        </w:rPr>
        <w:t xml:space="preserve"> genes in a concentration-dependent manner.</w:t>
      </w:r>
    </w:p>
    <w:p w14:paraId="02E3A60C" w14:textId="7265C6DD" w:rsidR="00111A34" w:rsidRDefault="00111A34" w:rsidP="00C63BA8">
      <w:pPr>
        <w:jc w:val="both"/>
        <w:rPr>
          <w:rFonts w:asciiTheme="minorBidi" w:hAnsiTheme="minorBidi" w:cstheme="minorBidi"/>
          <w:lang w:val="en-CA"/>
        </w:rPr>
      </w:pPr>
    </w:p>
    <w:p w14:paraId="01CFC713" w14:textId="77777777" w:rsidR="00111A34" w:rsidRPr="007133C8" w:rsidRDefault="00111A34" w:rsidP="007133C8">
      <w:pPr>
        <w:jc w:val="both"/>
        <w:rPr>
          <w:rFonts w:asciiTheme="minorBidi" w:eastAsia="Calibri" w:hAnsiTheme="minorBidi" w:cstheme="minorBidi"/>
          <w:b/>
          <w:bCs/>
          <w:kern w:val="2"/>
        </w:rPr>
      </w:pPr>
      <w:bookmarkStart w:id="1" w:name="_Hlk201835975"/>
      <w:bookmarkStart w:id="2" w:name="_Hlk193540946"/>
      <w:bookmarkStart w:id="3" w:name="_Hlk180402183"/>
      <w:bookmarkStart w:id="4" w:name="_Hlk183680988"/>
      <w:bookmarkStart w:id="5" w:name="_Hlk197173371"/>
      <w:r w:rsidRPr="007133C8">
        <w:rPr>
          <w:rFonts w:asciiTheme="minorBidi" w:eastAsia="Calibri" w:hAnsiTheme="minorBidi" w:cstheme="minorBidi"/>
          <w:b/>
          <w:bCs/>
          <w:kern w:val="2"/>
        </w:rPr>
        <w:t>Disclaimer (Artificial intelligence)</w:t>
      </w:r>
    </w:p>
    <w:p w14:paraId="07053388" w14:textId="77777777" w:rsidR="00111A34" w:rsidRPr="007133C8" w:rsidRDefault="00111A34" w:rsidP="007133C8">
      <w:pPr>
        <w:jc w:val="both"/>
        <w:rPr>
          <w:rFonts w:asciiTheme="minorBidi" w:eastAsia="Calibri" w:hAnsiTheme="minorBidi" w:cstheme="minorBidi"/>
          <w:kern w:val="2"/>
        </w:rPr>
      </w:pPr>
      <w:r w:rsidRPr="007133C8">
        <w:rPr>
          <w:rFonts w:asciiTheme="minorBidi" w:eastAsia="Calibri" w:hAnsiTheme="minorBidi" w:cstheme="minorBidi"/>
          <w:kern w:val="2"/>
        </w:rPr>
        <w:t xml:space="preserve">Author(s) hereby declare that NO generative AI technologies such as Large Language Models (ChatGPT, manuscript. </w:t>
      </w:r>
    </w:p>
    <w:bookmarkEnd w:id="1"/>
    <w:bookmarkEnd w:id="2"/>
    <w:bookmarkEnd w:id="3"/>
    <w:bookmarkEnd w:id="4"/>
    <w:bookmarkEnd w:id="5"/>
    <w:p w14:paraId="458B0872" w14:textId="77777777" w:rsidR="00111A34" w:rsidRPr="007D598D" w:rsidRDefault="00111A34" w:rsidP="00C63BA8">
      <w:pPr>
        <w:jc w:val="both"/>
        <w:rPr>
          <w:rFonts w:asciiTheme="minorBidi" w:hAnsiTheme="minorBidi" w:cstheme="minorBidi"/>
          <w:rtl/>
          <w:lang w:val="en-CA"/>
        </w:rPr>
      </w:pPr>
    </w:p>
    <w:p w14:paraId="310F904C" w14:textId="77777777" w:rsidR="00790ADA" w:rsidRPr="00FB3A86" w:rsidRDefault="00790ADA" w:rsidP="00441B6F">
      <w:pPr>
        <w:pStyle w:val="Body"/>
        <w:spacing w:after="0"/>
        <w:rPr>
          <w:rFonts w:ascii="Arial" w:hAnsi="Arial" w:cs="Arial"/>
        </w:rPr>
      </w:pPr>
    </w:p>
    <w:p w14:paraId="4AE16A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FF3E1E" w14:textId="6C0255D8" w:rsidR="008F41C5" w:rsidRPr="007133C8" w:rsidRDefault="008F41C5" w:rsidP="007133C8">
      <w:pPr>
        <w:pStyle w:val="ListParagraph"/>
        <w:numPr>
          <w:ilvl w:val="0"/>
          <w:numId w:val="31"/>
        </w:numPr>
        <w:bidi w:val="0"/>
        <w:jc w:val="both"/>
        <w:rPr>
          <w:rFonts w:asciiTheme="minorBidi" w:hAnsiTheme="minorBidi" w:cstheme="minorBidi"/>
        </w:rPr>
      </w:pPr>
      <w:r w:rsidRPr="007133C8">
        <w:rPr>
          <w:rFonts w:asciiTheme="minorBidi" w:hAnsiTheme="minorBidi" w:cstheme="minorBidi"/>
          <w:lang w:val="de-DE"/>
        </w:rPr>
        <w:t xml:space="preserve">White MC, Holman DM, Boehm JE, Peipins LA, Grossman M, Henley SJ. </w:t>
      </w:r>
      <w:r w:rsidR="00F7199D">
        <w:rPr>
          <w:rFonts w:asciiTheme="minorBidi" w:hAnsiTheme="minorBidi" w:cstheme="minorBidi"/>
        </w:rPr>
        <w:t xml:space="preserve">(2014). </w:t>
      </w:r>
      <w:r w:rsidRPr="007133C8">
        <w:rPr>
          <w:rFonts w:asciiTheme="minorBidi" w:hAnsiTheme="minorBidi" w:cstheme="minorBidi"/>
        </w:rPr>
        <w:t xml:space="preserve">Age and cancer risk: a potentially modifiable relationship. Am J </w:t>
      </w:r>
      <w:proofErr w:type="spellStart"/>
      <w:r w:rsidRPr="007133C8">
        <w:rPr>
          <w:rFonts w:asciiTheme="minorBidi" w:hAnsiTheme="minorBidi" w:cstheme="minorBidi"/>
        </w:rPr>
        <w:t>Prev</w:t>
      </w:r>
      <w:proofErr w:type="spellEnd"/>
      <w:r w:rsidRPr="007133C8">
        <w:rPr>
          <w:rFonts w:asciiTheme="minorBidi" w:hAnsiTheme="minorBidi" w:cstheme="minorBidi"/>
        </w:rPr>
        <w:t xml:space="preserve"> Med.</w:t>
      </w:r>
      <w:r w:rsidR="00F7199D">
        <w:rPr>
          <w:rFonts w:asciiTheme="minorBidi" w:hAnsiTheme="minorBidi" w:cstheme="minorBidi"/>
        </w:rPr>
        <w:t>,</w:t>
      </w:r>
      <w:r w:rsidR="00F7199D" w:rsidRPr="00F7199D">
        <w:rPr>
          <w:rFonts w:asciiTheme="minorBidi" w:hAnsiTheme="minorBidi" w:cstheme="minorBidi"/>
        </w:rPr>
        <w:t xml:space="preserve"> 46</w:t>
      </w:r>
      <w:r w:rsidR="00F7199D">
        <w:rPr>
          <w:rFonts w:asciiTheme="minorBidi" w:hAnsiTheme="minorBidi" w:cstheme="minorBidi"/>
        </w:rPr>
        <w:t xml:space="preserve"> </w:t>
      </w:r>
      <w:r w:rsidRPr="007133C8">
        <w:rPr>
          <w:rFonts w:asciiTheme="minorBidi" w:hAnsiTheme="minorBidi" w:cstheme="minorBidi"/>
        </w:rPr>
        <w:t xml:space="preserve">(3 Suppl 1):S7-15. </w:t>
      </w:r>
    </w:p>
    <w:p w14:paraId="24F47955" w14:textId="34BD2CDD" w:rsidR="00F7199D" w:rsidRPr="007133C8" w:rsidRDefault="008F41C5" w:rsidP="007133C8">
      <w:pPr>
        <w:pStyle w:val="ListParagraph"/>
        <w:numPr>
          <w:ilvl w:val="0"/>
          <w:numId w:val="31"/>
        </w:numPr>
        <w:autoSpaceDE w:val="0"/>
        <w:autoSpaceDN w:val="0"/>
        <w:bidi w:val="0"/>
        <w:adjustRightInd w:val="0"/>
        <w:spacing w:after="200" w:line="276" w:lineRule="auto"/>
        <w:rPr>
          <w:rFonts w:asciiTheme="minorBidi" w:eastAsia="Calibri" w:hAnsiTheme="minorBidi" w:cstheme="minorBidi"/>
          <w:szCs w:val="20"/>
        </w:rPr>
      </w:pPr>
      <w:r w:rsidRPr="00F762EF" w:rsidDel="008F41C5">
        <w:rPr>
          <w:rFonts w:asciiTheme="minorBidi" w:hAnsiTheme="minorBidi" w:cstheme="minorBidi"/>
          <w:szCs w:val="20"/>
          <w:lang w:bidi="ar-SA"/>
        </w:rPr>
        <w:t xml:space="preserve"> </w:t>
      </w:r>
      <w:r w:rsidR="00F7199D" w:rsidRPr="007133C8">
        <w:rPr>
          <w:rFonts w:asciiTheme="minorBidi" w:hAnsiTheme="minorBidi" w:cstheme="minorBidi"/>
        </w:rPr>
        <w:t xml:space="preserve">Thun MJ, </w:t>
      </w:r>
      <w:proofErr w:type="spellStart"/>
      <w:r w:rsidR="00F7199D" w:rsidRPr="007133C8">
        <w:rPr>
          <w:rFonts w:asciiTheme="minorBidi" w:hAnsiTheme="minorBidi" w:cstheme="minorBidi"/>
        </w:rPr>
        <w:t>DeLancey</w:t>
      </w:r>
      <w:proofErr w:type="spellEnd"/>
      <w:r w:rsidR="00F7199D" w:rsidRPr="007133C8">
        <w:rPr>
          <w:rFonts w:asciiTheme="minorBidi" w:hAnsiTheme="minorBidi" w:cstheme="minorBidi"/>
        </w:rPr>
        <w:t xml:space="preserve"> JO, Center MM, </w:t>
      </w:r>
      <w:proofErr w:type="spellStart"/>
      <w:r w:rsidR="00F7199D" w:rsidRPr="007133C8">
        <w:rPr>
          <w:rFonts w:asciiTheme="minorBidi" w:hAnsiTheme="minorBidi" w:cstheme="minorBidi"/>
        </w:rPr>
        <w:t>Jemal</w:t>
      </w:r>
      <w:proofErr w:type="spellEnd"/>
      <w:r w:rsidR="00F7199D" w:rsidRPr="007133C8">
        <w:rPr>
          <w:rFonts w:asciiTheme="minorBidi" w:hAnsiTheme="minorBidi" w:cstheme="minorBidi"/>
        </w:rPr>
        <w:t xml:space="preserve"> A, Ward EM. </w:t>
      </w:r>
      <w:r w:rsidR="00F7199D">
        <w:rPr>
          <w:rFonts w:asciiTheme="minorBidi" w:hAnsiTheme="minorBidi" w:cstheme="minorBidi"/>
        </w:rPr>
        <w:t xml:space="preserve">(2010). </w:t>
      </w:r>
      <w:r w:rsidR="00231BFB" w:rsidRPr="00231BFB">
        <w:rPr>
          <w:rFonts w:asciiTheme="minorBidi" w:hAnsiTheme="minorBidi" w:cstheme="minorBidi"/>
        </w:rPr>
        <w:t>the</w:t>
      </w:r>
      <w:r w:rsidR="00F7199D" w:rsidRPr="007133C8">
        <w:rPr>
          <w:rFonts w:asciiTheme="minorBidi" w:hAnsiTheme="minorBidi" w:cstheme="minorBidi"/>
        </w:rPr>
        <w:t xml:space="preserve"> global burden of cancer: priorities for </w:t>
      </w:r>
      <w:r w:rsidR="00231BFB" w:rsidRPr="00231BFB">
        <w:rPr>
          <w:rFonts w:asciiTheme="minorBidi" w:hAnsiTheme="minorBidi" w:cstheme="minorBidi"/>
        </w:rPr>
        <w:t>prevention. Carcinogenesis</w:t>
      </w:r>
      <w:r w:rsidR="00231BFB">
        <w:rPr>
          <w:rFonts w:asciiTheme="minorBidi" w:hAnsiTheme="minorBidi" w:cstheme="minorBidi"/>
        </w:rPr>
        <w:t xml:space="preserve">, </w:t>
      </w:r>
      <w:r w:rsidR="00F7199D" w:rsidRPr="007133C8">
        <w:rPr>
          <w:rFonts w:asciiTheme="minorBidi" w:hAnsiTheme="minorBidi" w:cstheme="minorBidi"/>
        </w:rPr>
        <w:t>31</w:t>
      </w:r>
      <w:r w:rsidR="00F7199D">
        <w:rPr>
          <w:rFonts w:asciiTheme="minorBidi" w:hAnsiTheme="minorBidi" w:cstheme="minorBidi"/>
        </w:rPr>
        <w:t xml:space="preserve"> </w:t>
      </w:r>
      <w:r w:rsidR="00F7199D" w:rsidRPr="007133C8">
        <w:rPr>
          <w:rFonts w:asciiTheme="minorBidi" w:hAnsiTheme="minorBidi" w:cstheme="minorBidi"/>
        </w:rPr>
        <w:t xml:space="preserve">(1):100-10. </w:t>
      </w:r>
    </w:p>
    <w:p w14:paraId="3CE4685D" w14:textId="77777777" w:rsidR="00C2139B" w:rsidRPr="00F762EF" w:rsidRDefault="00C2139B" w:rsidP="00F7199D">
      <w:pPr>
        <w:pStyle w:val="ListParagraph"/>
        <w:numPr>
          <w:ilvl w:val="0"/>
          <w:numId w:val="31"/>
        </w:numPr>
        <w:autoSpaceDE w:val="0"/>
        <w:autoSpaceDN w:val="0"/>
        <w:bidi w:val="0"/>
        <w:adjustRightInd w:val="0"/>
        <w:spacing w:after="200" w:line="276" w:lineRule="auto"/>
        <w:jc w:val="both"/>
        <w:rPr>
          <w:rFonts w:asciiTheme="minorBidi" w:hAnsiTheme="minorBidi" w:cstheme="minorBidi"/>
          <w:szCs w:val="20"/>
          <w:lang w:bidi="ar-SA"/>
        </w:rPr>
      </w:pPr>
      <w:proofErr w:type="spellStart"/>
      <w:r w:rsidRPr="00F762EF">
        <w:rPr>
          <w:rFonts w:asciiTheme="minorBidi" w:hAnsiTheme="minorBidi" w:cstheme="minorBidi"/>
          <w:szCs w:val="20"/>
          <w:lang w:bidi="ar-SA"/>
        </w:rPr>
        <w:t>Ventayol</w:t>
      </w:r>
      <w:proofErr w:type="spellEnd"/>
      <w:r w:rsidRPr="00F762EF">
        <w:rPr>
          <w:rFonts w:asciiTheme="minorBidi" w:hAnsiTheme="minorBidi" w:cstheme="minorBidi"/>
          <w:szCs w:val="20"/>
          <w:lang w:bidi="ar-SA"/>
        </w:rPr>
        <w:t xml:space="preserve">, M., </w:t>
      </w:r>
      <w:proofErr w:type="spellStart"/>
      <w:r w:rsidRPr="00F762EF">
        <w:rPr>
          <w:rFonts w:asciiTheme="minorBidi" w:hAnsiTheme="minorBidi" w:cstheme="minorBidi"/>
          <w:szCs w:val="20"/>
          <w:lang w:bidi="ar-SA"/>
        </w:rPr>
        <w:t>Viñas</w:t>
      </w:r>
      <w:proofErr w:type="spellEnd"/>
      <w:r w:rsidRPr="00F762EF">
        <w:rPr>
          <w:rFonts w:asciiTheme="minorBidi" w:hAnsiTheme="minorBidi" w:cstheme="minorBidi"/>
          <w:szCs w:val="20"/>
          <w:lang w:bidi="ar-SA"/>
        </w:rPr>
        <w:t xml:space="preserve">, J.L., Sola, A., Jung, M., </w:t>
      </w:r>
      <w:proofErr w:type="spellStart"/>
      <w:r w:rsidRPr="00F762EF">
        <w:rPr>
          <w:rFonts w:asciiTheme="minorBidi" w:hAnsiTheme="minorBidi" w:cstheme="minorBidi"/>
          <w:szCs w:val="20"/>
          <w:lang w:bidi="ar-SA"/>
        </w:rPr>
        <w:t>Brüne</w:t>
      </w:r>
      <w:proofErr w:type="spellEnd"/>
      <w:r w:rsidRPr="00F762EF">
        <w:rPr>
          <w:rFonts w:asciiTheme="minorBidi" w:hAnsiTheme="minorBidi" w:cstheme="minorBidi"/>
          <w:szCs w:val="20"/>
          <w:lang w:bidi="ar-SA"/>
        </w:rPr>
        <w:t xml:space="preserve">, B., Pi, F., </w:t>
      </w:r>
      <w:proofErr w:type="spellStart"/>
      <w:r w:rsidRPr="00F762EF">
        <w:rPr>
          <w:rFonts w:asciiTheme="minorBidi" w:hAnsiTheme="minorBidi" w:cstheme="minorBidi"/>
          <w:szCs w:val="20"/>
          <w:lang w:bidi="ar-SA"/>
        </w:rPr>
        <w:t>Mastora</w:t>
      </w:r>
      <w:proofErr w:type="spellEnd"/>
      <w:r w:rsidRPr="00F762EF">
        <w:rPr>
          <w:rFonts w:asciiTheme="minorBidi" w:hAnsiTheme="minorBidi" w:cstheme="minorBidi"/>
          <w:szCs w:val="20"/>
          <w:lang w:bidi="ar-SA"/>
        </w:rPr>
        <w:t xml:space="preserve">, C. and Hotter, G. </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2014</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 xml:space="preserve">. miRNA let-7e targeting MMP9 is involved in adipose-derived stem cell differentiation toward epithelia. </w:t>
      </w:r>
      <w:r w:rsidRPr="00F762EF">
        <w:rPr>
          <w:rFonts w:asciiTheme="minorBidi" w:hAnsiTheme="minorBidi" w:cstheme="minorBidi"/>
          <w:i/>
          <w:iCs/>
          <w:szCs w:val="20"/>
          <w:lang w:bidi="ar-SA"/>
        </w:rPr>
        <w:t>Cell death &amp; disease</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5</w:t>
      </w:r>
      <w:r w:rsidRPr="00F762EF">
        <w:rPr>
          <w:rFonts w:asciiTheme="minorBidi" w:hAnsiTheme="minorBidi" w:cstheme="minorBidi"/>
          <w:szCs w:val="20"/>
          <w:lang w:bidi="ar-SA"/>
        </w:rPr>
        <w:t xml:space="preserve">(2), </w:t>
      </w:r>
      <w:r w:rsidR="0052069F" w:rsidRPr="00F762EF">
        <w:rPr>
          <w:rFonts w:asciiTheme="minorBidi" w:hAnsiTheme="minorBidi" w:cstheme="minorBidi"/>
          <w:szCs w:val="20"/>
          <w:lang w:bidi="ar-SA"/>
        </w:rPr>
        <w:t>p. e</w:t>
      </w:r>
      <w:r w:rsidRPr="00F762EF">
        <w:rPr>
          <w:rFonts w:asciiTheme="minorBidi" w:hAnsiTheme="minorBidi" w:cstheme="minorBidi"/>
          <w:szCs w:val="20"/>
          <w:lang w:bidi="ar-SA"/>
        </w:rPr>
        <w:t>1048.</w:t>
      </w:r>
    </w:p>
    <w:p w14:paraId="21848989" w14:textId="77777777" w:rsidR="00C2139B" w:rsidRPr="00F762EF" w:rsidRDefault="00C2139B" w:rsidP="00207CD0">
      <w:pPr>
        <w:pStyle w:val="ListParagraph"/>
        <w:numPr>
          <w:ilvl w:val="0"/>
          <w:numId w:val="31"/>
        </w:numPr>
        <w:bidi w:val="0"/>
        <w:jc w:val="both"/>
        <w:rPr>
          <w:rFonts w:asciiTheme="minorBidi" w:hAnsiTheme="minorBidi" w:cstheme="minorBidi"/>
          <w:szCs w:val="20"/>
        </w:rPr>
      </w:pPr>
      <w:proofErr w:type="spellStart"/>
      <w:r w:rsidRPr="00F762EF">
        <w:rPr>
          <w:rFonts w:asciiTheme="minorBidi" w:hAnsiTheme="minorBidi" w:cstheme="minorBidi"/>
          <w:szCs w:val="20"/>
          <w:lang w:bidi="ar-SA"/>
        </w:rPr>
        <w:t>Wielgat</w:t>
      </w:r>
      <w:proofErr w:type="spellEnd"/>
      <w:r w:rsidRPr="00F762EF">
        <w:rPr>
          <w:rFonts w:asciiTheme="minorBidi" w:hAnsiTheme="minorBidi" w:cstheme="minorBidi"/>
          <w:szCs w:val="20"/>
          <w:lang w:bidi="ar-SA"/>
        </w:rPr>
        <w:t xml:space="preserve">, P. and </w:t>
      </w:r>
      <w:proofErr w:type="spellStart"/>
      <w:r w:rsidRPr="00F762EF">
        <w:rPr>
          <w:rFonts w:asciiTheme="minorBidi" w:hAnsiTheme="minorBidi" w:cstheme="minorBidi"/>
          <w:szCs w:val="20"/>
          <w:lang w:bidi="ar-SA"/>
        </w:rPr>
        <w:t>Braszko</w:t>
      </w:r>
      <w:proofErr w:type="spellEnd"/>
      <w:r w:rsidRPr="00F762EF">
        <w:rPr>
          <w:rFonts w:asciiTheme="minorBidi" w:hAnsiTheme="minorBidi" w:cstheme="minorBidi"/>
          <w:szCs w:val="20"/>
          <w:lang w:bidi="ar-SA"/>
        </w:rPr>
        <w:t>, J.J.</w:t>
      </w:r>
      <w:r w:rsidR="00207CD0" w:rsidRPr="00F762EF">
        <w:rPr>
          <w:rFonts w:asciiTheme="minorBidi" w:hAnsiTheme="minorBidi" w:cstheme="minorBidi"/>
          <w:szCs w:val="20"/>
          <w:lang w:bidi="ar-SA"/>
        </w:rPr>
        <w:t xml:space="preserve"> (</w:t>
      </w:r>
      <w:r w:rsidRPr="00F762EF">
        <w:rPr>
          <w:rFonts w:asciiTheme="minorBidi" w:hAnsiTheme="minorBidi" w:cstheme="minorBidi"/>
          <w:szCs w:val="20"/>
          <w:lang w:bidi="ar-SA"/>
        </w:rPr>
        <w:t>2012</w:t>
      </w:r>
      <w:r w:rsidR="00207CD0" w:rsidRPr="00F762EF">
        <w:rPr>
          <w:rFonts w:asciiTheme="minorBidi" w:hAnsiTheme="minorBidi" w:cstheme="minorBidi"/>
          <w:szCs w:val="20"/>
          <w:lang w:bidi="ar-SA"/>
        </w:rPr>
        <w:t>)</w:t>
      </w:r>
      <w:r w:rsidRPr="00F762EF">
        <w:rPr>
          <w:rFonts w:asciiTheme="minorBidi" w:hAnsiTheme="minorBidi" w:cstheme="minorBidi"/>
          <w:szCs w:val="20"/>
          <w:lang w:bidi="ar-SA"/>
        </w:rPr>
        <w:t xml:space="preserve">. The participation of sialic acids in microglia–neuron interactions. </w:t>
      </w:r>
      <w:r w:rsidRPr="00F762EF">
        <w:rPr>
          <w:rFonts w:asciiTheme="minorBidi" w:hAnsiTheme="minorBidi" w:cstheme="minorBidi"/>
          <w:i/>
          <w:iCs/>
          <w:szCs w:val="20"/>
          <w:lang w:bidi="ar-SA"/>
        </w:rPr>
        <w:t>Cellular immunology</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273</w:t>
      </w:r>
      <w:r w:rsidRPr="00F762EF">
        <w:rPr>
          <w:rFonts w:asciiTheme="minorBidi" w:hAnsiTheme="minorBidi" w:cstheme="minorBidi"/>
          <w:szCs w:val="20"/>
          <w:lang w:bidi="ar-SA"/>
        </w:rPr>
        <w:t>(1), pp.17-22.</w:t>
      </w:r>
    </w:p>
    <w:p w14:paraId="749D06C3" w14:textId="77777777" w:rsidR="00C2139B" w:rsidRPr="00F762EF" w:rsidRDefault="00C2139B" w:rsidP="00207CD0">
      <w:pPr>
        <w:pStyle w:val="ListParagraph"/>
        <w:numPr>
          <w:ilvl w:val="0"/>
          <w:numId w:val="31"/>
        </w:numPr>
        <w:bidi w:val="0"/>
        <w:jc w:val="both"/>
        <w:rPr>
          <w:rFonts w:asciiTheme="minorBidi" w:hAnsiTheme="minorBidi" w:cstheme="minorBidi"/>
          <w:szCs w:val="20"/>
        </w:rPr>
      </w:pPr>
      <w:proofErr w:type="spellStart"/>
      <w:r w:rsidRPr="00F762EF">
        <w:rPr>
          <w:rFonts w:asciiTheme="minorBidi" w:hAnsiTheme="minorBidi" w:cstheme="minorBidi"/>
          <w:szCs w:val="20"/>
        </w:rPr>
        <w:t>Wielgat</w:t>
      </w:r>
      <w:proofErr w:type="spellEnd"/>
      <w:r w:rsidRPr="00F762EF">
        <w:rPr>
          <w:rFonts w:asciiTheme="minorBidi" w:hAnsiTheme="minorBidi" w:cstheme="minorBidi"/>
          <w:szCs w:val="20"/>
        </w:rPr>
        <w:t xml:space="preserve">, P. and </w:t>
      </w:r>
      <w:proofErr w:type="spellStart"/>
      <w:r w:rsidRPr="00F762EF">
        <w:rPr>
          <w:rFonts w:asciiTheme="minorBidi" w:hAnsiTheme="minorBidi" w:cstheme="minorBidi"/>
          <w:szCs w:val="20"/>
        </w:rPr>
        <w:t>Braszko</w:t>
      </w:r>
      <w:proofErr w:type="spellEnd"/>
      <w:r w:rsidRPr="00F762EF">
        <w:rPr>
          <w:rFonts w:asciiTheme="minorBidi" w:hAnsiTheme="minorBidi" w:cstheme="minorBidi"/>
          <w:szCs w:val="20"/>
        </w:rPr>
        <w:t>, J.J.</w:t>
      </w:r>
      <w:r w:rsidR="00207CD0" w:rsidRPr="00F762EF">
        <w:rPr>
          <w:rFonts w:asciiTheme="minorBidi" w:hAnsiTheme="minorBidi" w:cstheme="minorBidi"/>
          <w:szCs w:val="20"/>
        </w:rPr>
        <w:t xml:space="preserve"> (</w:t>
      </w:r>
      <w:r w:rsidRPr="00F762EF">
        <w:rPr>
          <w:rFonts w:asciiTheme="minorBidi" w:hAnsiTheme="minorBidi" w:cstheme="minorBidi"/>
          <w:szCs w:val="20"/>
        </w:rPr>
        <w:t>2012</w:t>
      </w:r>
      <w:r w:rsidR="00207CD0" w:rsidRPr="00F762EF">
        <w:rPr>
          <w:rFonts w:asciiTheme="minorBidi" w:hAnsiTheme="minorBidi" w:cstheme="minorBidi"/>
          <w:szCs w:val="20"/>
        </w:rPr>
        <w:t>)</w:t>
      </w:r>
      <w:r w:rsidRPr="00F762EF">
        <w:rPr>
          <w:rFonts w:asciiTheme="minorBidi" w:hAnsiTheme="minorBidi" w:cstheme="minorBidi"/>
          <w:szCs w:val="20"/>
        </w:rPr>
        <w:t xml:space="preserve">. Significance of the cell adhesion molecules and sialic acid in neurodegeneration. </w:t>
      </w:r>
      <w:r w:rsidRPr="00F762EF">
        <w:rPr>
          <w:rFonts w:asciiTheme="minorBidi" w:hAnsiTheme="minorBidi" w:cstheme="minorBidi"/>
          <w:i/>
          <w:iCs/>
          <w:szCs w:val="20"/>
        </w:rPr>
        <w:t>Advances in medical sciences</w:t>
      </w:r>
      <w:r w:rsidRPr="00F762EF">
        <w:rPr>
          <w:rFonts w:asciiTheme="minorBidi" w:hAnsiTheme="minorBidi" w:cstheme="minorBidi"/>
          <w:szCs w:val="20"/>
        </w:rPr>
        <w:t xml:space="preserve">, </w:t>
      </w:r>
      <w:r w:rsidRPr="00F762EF">
        <w:rPr>
          <w:rFonts w:asciiTheme="minorBidi" w:hAnsiTheme="minorBidi" w:cstheme="minorBidi"/>
          <w:i/>
          <w:iCs/>
          <w:szCs w:val="20"/>
        </w:rPr>
        <w:t>57</w:t>
      </w:r>
      <w:r w:rsidRPr="00F762EF">
        <w:rPr>
          <w:rFonts w:asciiTheme="minorBidi" w:hAnsiTheme="minorBidi" w:cstheme="minorBidi"/>
          <w:szCs w:val="20"/>
        </w:rPr>
        <w:t>(1), pp.23-30.</w:t>
      </w:r>
    </w:p>
    <w:p w14:paraId="4719574F" w14:textId="77777777" w:rsidR="00C2139B" w:rsidRPr="00F762EF" w:rsidRDefault="00C2139B" w:rsidP="00207CD0">
      <w:pPr>
        <w:pStyle w:val="ListParagraph"/>
        <w:numPr>
          <w:ilvl w:val="0"/>
          <w:numId w:val="31"/>
        </w:numPr>
        <w:bidi w:val="0"/>
        <w:jc w:val="both"/>
        <w:rPr>
          <w:rFonts w:asciiTheme="minorBidi" w:hAnsiTheme="minorBidi" w:cstheme="minorBidi"/>
          <w:szCs w:val="20"/>
        </w:rPr>
      </w:pPr>
      <w:proofErr w:type="spellStart"/>
      <w:r w:rsidRPr="00F762EF">
        <w:rPr>
          <w:rFonts w:asciiTheme="minorBidi" w:hAnsiTheme="minorBidi" w:cstheme="minorBidi"/>
          <w:szCs w:val="20"/>
        </w:rPr>
        <w:t>Büll</w:t>
      </w:r>
      <w:proofErr w:type="spellEnd"/>
      <w:r w:rsidRPr="00F762EF">
        <w:rPr>
          <w:rFonts w:asciiTheme="minorBidi" w:hAnsiTheme="minorBidi" w:cstheme="minorBidi"/>
          <w:szCs w:val="20"/>
        </w:rPr>
        <w:t xml:space="preserve">, C., </w:t>
      </w:r>
      <w:proofErr w:type="spellStart"/>
      <w:r w:rsidRPr="00F762EF">
        <w:rPr>
          <w:rFonts w:asciiTheme="minorBidi" w:hAnsiTheme="minorBidi" w:cstheme="minorBidi"/>
          <w:szCs w:val="20"/>
        </w:rPr>
        <w:t>Heise</w:t>
      </w:r>
      <w:proofErr w:type="spellEnd"/>
      <w:r w:rsidRPr="00F762EF">
        <w:rPr>
          <w:rFonts w:asciiTheme="minorBidi" w:hAnsiTheme="minorBidi" w:cstheme="minorBidi"/>
          <w:szCs w:val="20"/>
        </w:rPr>
        <w:t xml:space="preserve">, T., </w:t>
      </w:r>
      <w:proofErr w:type="spellStart"/>
      <w:r w:rsidRPr="00F762EF">
        <w:rPr>
          <w:rFonts w:asciiTheme="minorBidi" w:hAnsiTheme="minorBidi" w:cstheme="minorBidi"/>
          <w:szCs w:val="20"/>
        </w:rPr>
        <w:t>Adema</w:t>
      </w:r>
      <w:proofErr w:type="spellEnd"/>
      <w:r w:rsidRPr="00F762EF">
        <w:rPr>
          <w:rFonts w:asciiTheme="minorBidi" w:hAnsiTheme="minorBidi" w:cstheme="minorBidi"/>
          <w:szCs w:val="20"/>
        </w:rPr>
        <w:t xml:space="preserve">, G.J. and </w:t>
      </w:r>
      <w:proofErr w:type="spellStart"/>
      <w:r w:rsidRPr="00F762EF">
        <w:rPr>
          <w:rFonts w:asciiTheme="minorBidi" w:hAnsiTheme="minorBidi" w:cstheme="minorBidi"/>
          <w:szCs w:val="20"/>
        </w:rPr>
        <w:t>Boltje</w:t>
      </w:r>
      <w:proofErr w:type="spellEnd"/>
      <w:r w:rsidRPr="00F762EF">
        <w:rPr>
          <w:rFonts w:asciiTheme="minorBidi" w:hAnsiTheme="minorBidi" w:cstheme="minorBidi"/>
          <w:szCs w:val="20"/>
        </w:rPr>
        <w:t>, T.J.</w:t>
      </w:r>
      <w:r w:rsidR="00207CD0" w:rsidRPr="00F762EF">
        <w:rPr>
          <w:rFonts w:asciiTheme="minorBidi" w:hAnsiTheme="minorBidi" w:cstheme="minorBidi"/>
          <w:szCs w:val="20"/>
        </w:rPr>
        <w:t xml:space="preserve"> (</w:t>
      </w:r>
      <w:r w:rsidRPr="00F762EF">
        <w:rPr>
          <w:rFonts w:asciiTheme="minorBidi" w:hAnsiTheme="minorBidi" w:cstheme="minorBidi"/>
          <w:szCs w:val="20"/>
        </w:rPr>
        <w:t>2016</w:t>
      </w:r>
      <w:r w:rsidR="00207CD0" w:rsidRPr="00F762EF">
        <w:rPr>
          <w:rFonts w:asciiTheme="minorBidi" w:hAnsiTheme="minorBidi" w:cstheme="minorBidi"/>
          <w:szCs w:val="20"/>
        </w:rPr>
        <w:t>)</w:t>
      </w:r>
      <w:r w:rsidRPr="00F762EF">
        <w:rPr>
          <w:rFonts w:asciiTheme="minorBidi" w:hAnsiTheme="minorBidi" w:cstheme="minorBidi"/>
          <w:szCs w:val="20"/>
        </w:rPr>
        <w:t xml:space="preserve">. Sialic acid </w:t>
      </w:r>
      <w:proofErr w:type="spellStart"/>
      <w:r w:rsidRPr="00F762EF">
        <w:rPr>
          <w:rFonts w:asciiTheme="minorBidi" w:hAnsiTheme="minorBidi" w:cstheme="minorBidi"/>
          <w:szCs w:val="20"/>
        </w:rPr>
        <w:t>mimetics</w:t>
      </w:r>
      <w:proofErr w:type="spellEnd"/>
      <w:r w:rsidRPr="00F762EF">
        <w:rPr>
          <w:rFonts w:asciiTheme="minorBidi" w:hAnsiTheme="minorBidi" w:cstheme="minorBidi"/>
          <w:szCs w:val="20"/>
        </w:rPr>
        <w:t xml:space="preserve"> to target the sialic acid–</w:t>
      </w:r>
      <w:proofErr w:type="spellStart"/>
      <w:r w:rsidRPr="00F762EF">
        <w:rPr>
          <w:rFonts w:asciiTheme="minorBidi" w:hAnsiTheme="minorBidi" w:cstheme="minorBidi"/>
          <w:szCs w:val="20"/>
        </w:rPr>
        <w:t>Siglec</w:t>
      </w:r>
      <w:proofErr w:type="spellEnd"/>
      <w:r w:rsidRPr="00F762EF">
        <w:rPr>
          <w:rFonts w:asciiTheme="minorBidi" w:hAnsiTheme="minorBidi" w:cstheme="minorBidi"/>
          <w:szCs w:val="20"/>
        </w:rPr>
        <w:t xml:space="preserve"> axis. </w:t>
      </w:r>
      <w:r w:rsidRPr="00F762EF">
        <w:rPr>
          <w:rFonts w:asciiTheme="minorBidi" w:hAnsiTheme="minorBidi" w:cstheme="minorBidi"/>
          <w:i/>
          <w:iCs/>
          <w:szCs w:val="20"/>
        </w:rPr>
        <w:t>Trends in biochemical sciences</w:t>
      </w:r>
      <w:r w:rsidRPr="00F762EF">
        <w:rPr>
          <w:rFonts w:asciiTheme="minorBidi" w:hAnsiTheme="minorBidi" w:cstheme="minorBidi"/>
          <w:szCs w:val="20"/>
        </w:rPr>
        <w:t xml:space="preserve">, </w:t>
      </w:r>
      <w:r w:rsidRPr="00F762EF">
        <w:rPr>
          <w:rFonts w:asciiTheme="minorBidi" w:hAnsiTheme="minorBidi" w:cstheme="minorBidi"/>
          <w:i/>
          <w:iCs/>
          <w:szCs w:val="20"/>
        </w:rPr>
        <w:t>41</w:t>
      </w:r>
      <w:r w:rsidRPr="00F762EF">
        <w:rPr>
          <w:rFonts w:asciiTheme="minorBidi" w:hAnsiTheme="minorBidi" w:cstheme="minorBidi"/>
          <w:szCs w:val="20"/>
        </w:rPr>
        <w:t>(6), pp.519-531.</w:t>
      </w:r>
    </w:p>
    <w:p w14:paraId="32373DE7" w14:textId="77777777" w:rsidR="00C2139B" w:rsidRPr="00F762EF" w:rsidRDefault="00B35593" w:rsidP="0052069F">
      <w:pPr>
        <w:pStyle w:val="ListParagraph"/>
        <w:numPr>
          <w:ilvl w:val="0"/>
          <w:numId w:val="31"/>
        </w:numPr>
        <w:bidi w:val="0"/>
        <w:spacing w:line="276" w:lineRule="auto"/>
        <w:jc w:val="both"/>
        <w:rPr>
          <w:rFonts w:asciiTheme="minorBidi" w:hAnsiTheme="minorBidi" w:cstheme="minorBidi"/>
          <w:szCs w:val="20"/>
        </w:rPr>
      </w:pPr>
      <w:hyperlink r:id="rId10" w:history="1">
        <w:r w:rsidR="00C2139B" w:rsidRPr="00F762EF">
          <w:rPr>
            <w:rStyle w:val="Hyperlink"/>
            <w:rFonts w:asciiTheme="minorBidi" w:hAnsiTheme="minorBidi" w:cstheme="minorBidi"/>
            <w:color w:val="auto"/>
            <w:szCs w:val="20"/>
          </w:rPr>
          <w:t>Huang</w:t>
        </w:r>
      </w:hyperlink>
      <w:r w:rsidR="00C2139B" w:rsidRPr="00F762EF">
        <w:rPr>
          <w:rFonts w:asciiTheme="minorBidi" w:hAnsiTheme="minorBidi" w:cstheme="minorBidi"/>
          <w:szCs w:val="20"/>
        </w:rPr>
        <w:t xml:space="preserve"> B., Li X., et.al.</w:t>
      </w:r>
      <w:r w:rsidR="0052069F">
        <w:rPr>
          <w:rFonts w:asciiTheme="minorBidi" w:hAnsiTheme="minorBidi" w:cstheme="minorBidi"/>
          <w:szCs w:val="20"/>
        </w:rPr>
        <w:t>(2021)</w:t>
      </w:r>
      <w:r w:rsidR="00C2139B" w:rsidRPr="00F762EF">
        <w:rPr>
          <w:rFonts w:asciiTheme="minorBidi" w:hAnsiTheme="minorBidi" w:cstheme="minorBidi"/>
          <w:szCs w:val="20"/>
        </w:rPr>
        <w:t xml:space="preserve"> Current Immunotherapies for Glioblastoma </w:t>
      </w:r>
      <w:r w:rsidR="009A4CD0" w:rsidRPr="00F762EF">
        <w:rPr>
          <w:rFonts w:asciiTheme="minorBidi" w:hAnsiTheme="minorBidi" w:cstheme="minorBidi"/>
          <w:szCs w:val="20"/>
        </w:rPr>
        <w:t>Mult</w:t>
      </w:r>
      <w:r w:rsidR="009A4CD0">
        <w:rPr>
          <w:rFonts w:asciiTheme="minorBidi" w:hAnsiTheme="minorBidi" w:cstheme="minorBidi"/>
          <w:szCs w:val="20"/>
        </w:rPr>
        <w:t>iform</w:t>
      </w:r>
      <w:r w:rsidR="0052069F">
        <w:rPr>
          <w:rFonts w:asciiTheme="minorBidi" w:hAnsiTheme="minorBidi" w:cstheme="minorBidi"/>
          <w:szCs w:val="20"/>
        </w:rPr>
        <w:t>. Frontiers in Immunology</w:t>
      </w:r>
      <w:r w:rsidR="00C2139B" w:rsidRPr="00F762EF">
        <w:rPr>
          <w:rFonts w:asciiTheme="minorBidi" w:hAnsiTheme="minorBidi" w:cstheme="minorBidi"/>
          <w:szCs w:val="20"/>
        </w:rPr>
        <w:t>, 11.</w:t>
      </w:r>
    </w:p>
    <w:p w14:paraId="0C4E9658" w14:textId="77777777" w:rsidR="00C2139B" w:rsidRPr="00F762EF" w:rsidRDefault="00C2139B" w:rsidP="009A4CD0">
      <w:pPr>
        <w:pStyle w:val="ListParagraph"/>
        <w:numPr>
          <w:ilvl w:val="0"/>
          <w:numId w:val="31"/>
        </w:numPr>
        <w:bidi w:val="0"/>
        <w:spacing w:line="276" w:lineRule="auto"/>
        <w:jc w:val="both"/>
        <w:rPr>
          <w:rFonts w:asciiTheme="minorBidi" w:hAnsiTheme="minorBidi" w:cstheme="minorBidi"/>
          <w:szCs w:val="20"/>
        </w:rPr>
      </w:pPr>
      <w:r w:rsidRPr="0052069F">
        <w:rPr>
          <w:rFonts w:asciiTheme="minorBidi" w:hAnsiTheme="minorBidi" w:cstheme="minorBidi"/>
          <w:szCs w:val="20"/>
          <w:lang w:val="de-DE"/>
        </w:rPr>
        <w:t xml:space="preserve">Chen R., Zhang, M., et,al. </w:t>
      </w:r>
      <w:r w:rsidR="009A4CD0" w:rsidRPr="009A4CD0">
        <w:rPr>
          <w:rFonts w:asciiTheme="minorBidi" w:hAnsiTheme="minorBidi" w:cstheme="minorBidi"/>
          <w:szCs w:val="20"/>
        </w:rPr>
        <w:t>(20</w:t>
      </w:r>
      <w:r w:rsidR="009A4CD0">
        <w:rPr>
          <w:rFonts w:asciiTheme="minorBidi" w:hAnsiTheme="minorBidi" w:cstheme="minorBidi"/>
          <w:szCs w:val="20"/>
        </w:rPr>
        <w:t>20</w:t>
      </w:r>
      <w:r w:rsidR="009A4CD0" w:rsidRPr="009A4CD0">
        <w:rPr>
          <w:rFonts w:asciiTheme="minorBidi" w:hAnsiTheme="minorBidi" w:cstheme="minorBidi"/>
          <w:szCs w:val="20"/>
        </w:rPr>
        <w:t xml:space="preserve">). </w:t>
      </w:r>
      <w:r w:rsidRPr="00F762EF">
        <w:rPr>
          <w:rFonts w:asciiTheme="minorBidi" w:hAnsiTheme="minorBidi" w:cstheme="minorBidi"/>
          <w:szCs w:val="20"/>
        </w:rPr>
        <w:t xml:space="preserve">The application of histone deacetylases inhibitors in glioblastoma. Journal of Experimental &amp; Clinical Cancer </w:t>
      </w:r>
      <w:r w:rsidR="009A4CD0" w:rsidRPr="00F762EF">
        <w:rPr>
          <w:rFonts w:asciiTheme="minorBidi" w:hAnsiTheme="minorBidi" w:cstheme="minorBidi"/>
          <w:szCs w:val="20"/>
        </w:rPr>
        <w:t>Research, 39,138</w:t>
      </w:r>
      <w:r w:rsidRPr="00F762EF">
        <w:rPr>
          <w:rFonts w:asciiTheme="minorBidi" w:hAnsiTheme="minorBidi" w:cstheme="minorBidi"/>
          <w:szCs w:val="20"/>
        </w:rPr>
        <w:t>.</w:t>
      </w:r>
    </w:p>
    <w:p w14:paraId="427F79E5" w14:textId="0E42FCC8" w:rsidR="00105435" w:rsidRPr="007133C8" w:rsidRDefault="00105435" w:rsidP="007133C8">
      <w:pPr>
        <w:pStyle w:val="ListParagraph"/>
        <w:numPr>
          <w:ilvl w:val="0"/>
          <w:numId w:val="31"/>
        </w:numPr>
        <w:bidi w:val="0"/>
        <w:jc w:val="lowKashida"/>
        <w:rPr>
          <w:rFonts w:asciiTheme="minorBidi" w:hAnsiTheme="minorBidi" w:cstheme="minorBidi"/>
          <w:szCs w:val="20"/>
        </w:rPr>
      </w:pPr>
      <w:r w:rsidRPr="007133C8">
        <w:rPr>
          <w:rFonts w:asciiTheme="minorBidi" w:hAnsiTheme="minorBidi" w:cstheme="minorBidi"/>
        </w:rPr>
        <w:t xml:space="preserve">Zhang S, Zhang H, Yu L. </w:t>
      </w:r>
      <w:r>
        <w:rPr>
          <w:rFonts w:asciiTheme="minorBidi" w:hAnsiTheme="minorBidi" w:cstheme="minorBidi"/>
        </w:rPr>
        <w:t xml:space="preserve">(2018). </w:t>
      </w:r>
      <w:r w:rsidRPr="007133C8">
        <w:rPr>
          <w:rFonts w:asciiTheme="minorBidi" w:hAnsiTheme="minorBidi" w:cstheme="minorBidi"/>
        </w:rPr>
        <w:t>HMGA2 promotes glioma invasion and poor prognosis via a long-range ch</w:t>
      </w:r>
      <w:r w:rsidRPr="00105435">
        <w:rPr>
          <w:rFonts w:asciiTheme="minorBidi" w:hAnsiTheme="minorBidi" w:cstheme="minorBidi"/>
        </w:rPr>
        <w:t>romatin interaction. Cancer Med</w:t>
      </w:r>
      <w:r>
        <w:rPr>
          <w:rFonts w:asciiTheme="minorBidi" w:hAnsiTheme="minorBidi" w:cstheme="minorBidi"/>
        </w:rPr>
        <w:t xml:space="preserve">, </w:t>
      </w:r>
      <w:r w:rsidRPr="007133C8">
        <w:rPr>
          <w:rFonts w:asciiTheme="minorBidi" w:hAnsiTheme="minorBidi" w:cstheme="minorBidi"/>
        </w:rPr>
        <w:t>7(7):3226-3239.</w:t>
      </w:r>
    </w:p>
    <w:p w14:paraId="66C28064" w14:textId="77777777" w:rsidR="00C2139B" w:rsidRPr="00F762EF" w:rsidRDefault="00C2139B" w:rsidP="00AA533C">
      <w:pPr>
        <w:pStyle w:val="ListParagraph"/>
        <w:numPr>
          <w:ilvl w:val="0"/>
          <w:numId w:val="31"/>
        </w:numPr>
        <w:bidi w:val="0"/>
        <w:rPr>
          <w:rFonts w:asciiTheme="minorBidi" w:hAnsiTheme="minorBidi" w:cstheme="minorBidi"/>
          <w:szCs w:val="20"/>
        </w:rPr>
      </w:pPr>
      <w:proofErr w:type="spellStart"/>
      <w:r w:rsidRPr="00F762EF">
        <w:rPr>
          <w:rFonts w:asciiTheme="minorBidi" w:hAnsiTheme="minorBidi" w:cstheme="minorBidi"/>
          <w:szCs w:val="20"/>
        </w:rPr>
        <w:t>Vignali</w:t>
      </w:r>
      <w:proofErr w:type="spellEnd"/>
      <w:r w:rsidRPr="00F762EF">
        <w:rPr>
          <w:rFonts w:asciiTheme="minorBidi" w:hAnsiTheme="minorBidi" w:cstheme="minorBidi"/>
          <w:szCs w:val="20"/>
        </w:rPr>
        <w:t xml:space="preserve"> R, </w:t>
      </w:r>
      <w:proofErr w:type="spellStart"/>
      <w:r w:rsidRPr="00F762EF">
        <w:rPr>
          <w:rFonts w:asciiTheme="minorBidi" w:hAnsiTheme="minorBidi" w:cstheme="minorBidi"/>
          <w:szCs w:val="20"/>
        </w:rPr>
        <w:t>Marracci</w:t>
      </w:r>
      <w:proofErr w:type="spellEnd"/>
      <w:r w:rsidRPr="00F762EF">
        <w:rPr>
          <w:rFonts w:asciiTheme="minorBidi" w:hAnsiTheme="minorBidi" w:cstheme="minorBidi"/>
          <w:szCs w:val="20"/>
        </w:rPr>
        <w:t xml:space="preserve"> S.</w:t>
      </w:r>
      <w:r w:rsidR="009A2C44">
        <w:rPr>
          <w:rFonts w:asciiTheme="minorBidi" w:hAnsiTheme="minorBidi" w:cstheme="minorBidi"/>
          <w:szCs w:val="20"/>
        </w:rPr>
        <w:t xml:space="preserve"> (2020). </w:t>
      </w:r>
      <w:r w:rsidRPr="00F762EF">
        <w:rPr>
          <w:rFonts w:asciiTheme="minorBidi" w:hAnsiTheme="minorBidi" w:cstheme="minorBidi"/>
          <w:szCs w:val="20"/>
        </w:rPr>
        <w:t xml:space="preserve">HMGA Genes and Proteins in Development and Evolution. </w:t>
      </w:r>
      <w:proofErr w:type="spellStart"/>
      <w:r w:rsidRPr="00F762EF">
        <w:rPr>
          <w:rFonts w:asciiTheme="minorBidi" w:hAnsiTheme="minorBidi" w:cstheme="minorBidi"/>
          <w:szCs w:val="20"/>
        </w:rPr>
        <w:t>Int</w:t>
      </w:r>
      <w:proofErr w:type="spellEnd"/>
      <w:r w:rsidRPr="00F762EF">
        <w:rPr>
          <w:rFonts w:asciiTheme="minorBidi" w:hAnsiTheme="minorBidi" w:cstheme="minorBidi"/>
          <w:szCs w:val="20"/>
        </w:rPr>
        <w:t xml:space="preserve"> J </w:t>
      </w:r>
      <w:proofErr w:type="spellStart"/>
      <w:r w:rsidRPr="00F762EF">
        <w:rPr>
          <w:rFonts w:asciiTheme="minorBidi" w:hAnsiTheme="minorBidi" w:cstheme="minorBidi"/>
          <w:szCs w:val="20"/>
        </w:rPr>
        <w:t>Mol</w:t>
      </w:r>
      <w:proofErr w:type="spellEnd"/>
      <w:r w:rsidRPr="00F762EF">
        <w:rPr>
          <w:rFonts w:asciiTheme="minorBidi" w:hAnsiTheme="minorBidi" w:cstheme="minorBidi"/>
          <w:szCs w:val="20"/>
        </w:rPr>
        <w:t xml:space="preserve"> Sci. Jan 19;21(2):654. </w:t>
      </w:r>
    </w:p>
    <w:p w14:paraId="4EC46334" w14:textId="77777777" w:rsidR="00C2139B" w:rsidRPr="00F762EF" w:rsidRDefault="00C2139B" w:rsidP="00AA533C">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Colamaio</w:t>
      </w:r>
      <w:proofErr w:type="spellEnd"/>
      <w:r w:rsidRPr="00F762EF">
        <w:rPr>
          <w:rFonts w:asciiTheme="minorBidi" w:hAnsiTheme="minorBidi" w:cstheme="minorBidi"/>
          <w:szCs w:val="20"/>
        </w:rPr>
        <w:t xml:space="preserve"> M., </w:t>
      </w:r>
      <w:proofErr w:type="spellStart"/>
      <w:r w:rsidRPr="00F762EF">
        <w:rPr>
          <w:rFonts w:asciiTheme="minorBidi" w:hAnsiTheme="minorBidi" w:cstheme="minorBidi"/>
          <w:szCs w:val="20"/>
        </w:rPr>
        <w:t>Tosti</w:t>
      </w:r>
      <w:proofErr w:type="spellEnd"/>
      <w:r w:rsidRPr="00F762EF">
        <w:rPr>
          <w:rFonts w:asciiTheme="minorBidi" w:hAnsiTheme="minorBidi" w:cstheme="minorBidi"/>
          <w:szCs w:val="20"/>
        </w:rPr>
        <w:t xml:space="preserve"> N., et.al. </w:t>
      </w:r>
      <w:r w:rsidR="009A4CD0">
        <w:rPr>
          <w:rFonts w:asciiTheme="minorBidi" w:hAnsiTheme="minorBidi" w:cstheme="minorBidi"/>
          <w:szCs w:val="20"/>
        </w:rPr>
        <w:t xml:space="preserve">(2016). </w:t>
      </w:r>
      <w:r w:rsidRPr="00F762EF">
        <w:rPr>
          <w:rFonts w:asciiTheme="minorBidi" w:hAnsiTheme="minorBidi" w:cstheme="minorBidi"/>
          <w:szCs w:val="20"/>
        </w:rPr>
        <w:t xml:space="preserve">HMGA1 silencing reduces stemness and temozolomide resistance in glioblastoma stem cells. Expert </w:t>
      </w:r>
      <w:proofErr w:type="spellStart"/>
      <w:r w:rsidRPr="00F762EF">
        <w:rPr>
          <w:rFonts w:asciiTheme="minorBidi" w:hAnsiTheme="minorBidi" w:cstheme="minorBidi"/>
          <w:szCs w:val="20"/>
        </w:rPr>
        <w:t>Opin</w:t>
      </w:r>
      <w:proofErr w:type="spellEnd"/>
      <w:r w:rsidRPr="00F762EF">
        <w:rPr>
          <w:rFonts w:asciiTheme="minorBidi" w:hAnsiTheme="minorBidi" w:cstheme="minorBidi"/>
          <w:szCs w:val="20"/>
        </w:rPr>
        <w:t xml:space="preserve"> </w:t>
      </w:r>
      <w:proofErr w:type="spellStart"/>
      <w:r w:rsidRPr="00F762EF">
        <w:rPr>
          <w:rFonts w:asciiTheme="minorBidi" w:hAnsiTheme="minorBidi" w:cstheme="minorBidi"/>
          <w:szCs w:val="20"/>
        </w:rPr>
        <w:t>Ther</w:t>
      </w:r>
      <w:proofErr w:type="spellEnd"/>
      <w:r w:rsidRPr="00F762EF">
        <w:rPr>
          <w:rFonts w:asciiTheme="minorBidi" w:hAnsiTheme="minorBidi" w:cstheme="minorBidi"/>
          <w:szCs w:val="20"/>
        </w:rPr>
        <w:t xml:space="preserve"> </w:t>
      </w:r>
      <w:r w:rsidR="00AA533C">
        <w:rPr>
          <w:rFonts w:asciiTheme="minorBidi" w:hAnsiTheme="minorBidi" w:cstheme="minorBidi"/>
          <w:szCs w:val="20"/>
        </w:rPr>
        <w:t>Targets</w:t>
      </w:r>
      <w:r w:rsidRPr="00F762EF">
        <w:rPr>
          <w:rFonts w:asciiTheme="minorBidi" w:hAnsiTheme="minorBidi" w:cstheme="minorBidi"/>
          <w:szCs w:val="20"/>
        </w:rPr>
        <w:t xml:space="preserve">; 20(10),1169-1179. </w:t>
      </w:r>
    </w:p>
    <w:p w14:paraId="5F1EAACA" w14:textId="77777777" w:rsidR="00C2139B" w:rsidRPr="00F762EF" w:rsidRDefault="00C2139B" w:rsidP="00370308">
      <w:pPr>
        <w:pStyle w:val="ListParagraph"/>
        <w:numPr>
          <w:ilvl w:val="0"/>
          <w:numId w:val="31"/>
        </w:numPr>
        <w:bidi w:val="0"/>
        <w:spacing w:line="276" w:lineRule="auto"/>
        <w:jc w:val="both"/>
        <w:rPr>
          <w:rFonts w:asciiTheme="minorBidi" w:hAnsiTheme="minorBidi" w:cstheme="minorBidi"/>
          <w:szCs w:val="20"/>
        </w:rPr>
      </w:pPr>
      <w:r w:rsidRPr="007133C8">
        <w:rPr>
          <w:rFonts w:asciiTheme="minorBidi" w:hAnsiTheme="minorBidi" w:cstheme="minorBidi"/>
          <w:szCs w:val="20"/>
          <w:lang w:val="de-DE"/>
        </w:rPr>
        <w:t>Peixoto A., Marta R.S., et.al.</w:t>
      </w:r>
      <w:r w:rsidR="00370308" w:rsidRPr="007133C8">
        <w:rPr>
          <w:rFonts w:asciiTheme="minorBidi" w:hAnsiTheme="minorBidi" w:cstheme="minorBidi"/>
          <w:szCs w:val="20"/>
          <w:lang w:val="de-DE"/>
        </w:rPr>
        <w:t xml:space="preserve"> (2019). </w:t>
      </w:r>
      <w:r w:rsidRPr="00F762EF">
        <w:rPr>
          <w:rFonts w:asciiTheme="minorBidi" w:hAnsiTheme="minorBidi" w:cstheme="minorBidi"/>
          <w:szCs w:val="20"/>
        </w:rPr>
        <w:t xml:space="preserve">Protein Glycosylation and Tumor Microenvironment Alterations Driving </w:t>
      </w:r>
      <w:r w:rsidR="00370308">
        <w:rPr>
          <w:rFonts w:asciiTheme="minorBidi" w:hAnsiTheme="minorBidi" w:cstheme="minorBidi"/>
          <w:szCs w:val="20"/>
        </w:rPr>
        <w:t xml:space="preserve">Cancer Hallmarks. Front. </w:t>
      </w:r>
      <w:proofErr w:type="spellStart"/>
      <w:r w:rsidR="00370308">
        <w:rPr>
          <w:rFonts w:asciiTheme="minorBidi" w:hAnsiTheme="minorBidi" w:cstheme="minorBidi"/>
          <w:szCs w:val="20"/>
        </w:rPr>
        <w:t>Oncol</w:t>
      </w:r>
      <w:proofErr w:type="spellEnd"/>
      <w:r w:rsidR="00370308">
        <w:rPr>
          <w:rFonts w:asciiTheme="minorBidi" w:hAnsiTheme="minorBidi" w:cstheme="minorBidi"/>
          <w:szCs w:val="20"/>
        </w:rPr>
        <w:t>.</w:t>
      </w:r>
      <w:r w:rsidRPr="00F762EF">
        <w:rPr>
          <w:rFonts w:asciiTheme="minorBidi" w:hAnsiTheme="minorBidi" w:cstheme="minorBidi"/>
          <w:szCs w:val="20"/>
        </w:rPr>
        <w:t xml:space="preserve">, 9(380). </w:t>
      </w:r>
    </w:p>
    <w:p w14:paraId="368AEC9D" w14:textId="77777777" w:rsidR="00C2139B" w:rsidRPr="00F762EF" w:rsidRDefault="00B35593" w:rsidP="00370308">
      <w:pPr>
        <w:pStyle w:val="ListParagraph"/>
        <w:numPr>
          <w:ilvl w:val="0"/>
          <w:numId w:val="31"/>
        </w:numPr>
        <w:bidi w:val="0"/>
        <w:spacing w:line="276" w:lineRule="auto"/>
        <w:jc w:val="both"/>
        <w:rPr>
          <w:rFonts w:asciiTheme="minorBidi" w:hAnsiTheme="minorBidi" w:cstheme="minorBidi"/>
          <w:szCs w:val="20"/>
        </w:rPr>
      </w:pPr>
      <w:hyperlink r:id="rId11" w:history="1">
        <w:proofErr w:type="spellStart"/>
        <w:r w:rsidR="00C2139B" w:rsidRPr="00F762EF">
          <w:rPr>
            <w:rStyle w:val="Hyperlink"/>
            <w:rFonts w:asciiTheme="minorBidi" w:hAnsiTheme="minorBidi" w:cstheme="minorBidi"/>
            <w:color w:val="auto"/>
            <w:szCs w:val="20"/>
          </w:rPr>
          <w:t>Munkley</w:t>
        </w:r>
        <w:proofErr w:type="spellEnd"/>
      </w:hyperlink>
      <w:r w:rsidR="00C2139B" w:rsidRPr="00F762EF">
        <w:rPr>
          <w:rFonts w:asciiTheme="minorBidi" w:hAnsiTheme="minorBidi" w:cstheme="minorBidi"/>
          <w:szCs w:val="20"/>
        </w:rPr>
        <w:t xml:space="preserve"> J., </w:t>
      </w:r>
      <w:hyperlink r:id="rId12" w:history="1">
        <w:r w:rsidR="00C2139B" w:rsidRPr="00F762EF">
          <w:rPr>
            <w:rStyle w:val="Hyperlink"/>
            <w:rFonts w:asciiTheme="minorBidi" w:hAnsiTheme="minorBidi" w:cstheme="minorBidi"/>
            <w:color w:val="auto"/>
            <w:szCs w:val="20"/>
          </w:rPr>
          <w:t>Scott</w:t>
        </w:r>
      </w:hyperlink>
      <w:r w:rsidR="00C2139B" w:rsidRPr="00F762EF">
        <w:rPr>
          <w:rFonts w:asciiTheme="minorBidi" w:hAnsiTheme="minorBidi" w:cstheme="minorBidi"/>
          <w:szCs w:val="20"/>
        </w:rPr>
        <w:t xml:space="preserve"> E. </w:t>
      </w:r>
      <w:r w:rsidR="00370308">
        <w:rPr>
          <w:rFonts w:asciiTheme="minorBidi" w:hAnsiTheme="minorBidi" w:cstheme="minorBidi"/>
          <w:szCs w:val="20"/>
        </w:rPr>
        <w:t xml:space="preserve">(2019). </w:t>
      </w:r>
      <w:r w:rsidR="00C2139B" w:rsidRPr="00F762EF">
        <w:rPr>
          <w:rFonts w:asciiTheme="minorBidi" w:hAnsiTheme="minorBidi" w:cstheme="minorBidi"/>
          <w:szCs w:val="20"/>
        </w:rPr>
        <w:t xml:space="preserve">Targeting Aberrant Sialylation to Treat Cancer. </w:t>
      </w:r>
      <w:hyperlink r:id="rId13" w:history="1">
        <w:r w:rsidR="00C2139B" w:rsidRPr="00F762EF">
          <w:rPr>
            <w:rStyle w:val="Hyperlink"/>
            <w:rFonts w:asciiTheme="minorBidi" w:hAnsiTheme="minorBidi" w:cstheme="minorBidi"/>
            <w:color w:val="auto"/>
            <w:szCs w:val="20"/>
          </w:rPr>
          <w:t>Medicines (Basel)</w:t>
        </w:r>
      </w:hyperlink>
      <w:r w:rsidR="00C2139B" w:rsidRPr="00F762EF">
        <w:rPr>
          <w:rFonts w:asciiTheme="minorBidi" w:hAnsiTheme="minorBidi" w:cstheme="minorBidi"/>
          <w:szCs w:val="20"/>
        </w:rPr>
        <w:t xml:space="preserve">, 6(4), 102. </w:t>
      </w:r>
    </w:p>
    <w:p w14:paraId="0AA405BA" w14:textId="77777777" w:rsidR="00C2139B" w:rsidRPr="00F762EF" w:rsidRDefault="00C2139B" w:rsidP="00C2139B">
      <w:pPr>
        <w:pStyle w:val="ListParagraph"/>
        <w:numPr>
          <w:ilvl w:val="0"/>
          <w:numId w:val="31"/>
        </w:numPr>
        <w:bidi w:val="0"/>
        <w:jc w:val="both"/>
        <w:rPr>
          <w:rFonts w:asciiTheme="minorBidi" w:hAnsiTheme="minorBidi" w:cstheme="minorBidi"/>
          <w:szCs w:val="20"/>
          <w:lang w:bidi="ar-SA"/>
        </w:rPr>
      </w:pPr>
      <w:proofErr w:type="spellStart"/>
      <w:r w:rsidRPr="00F762EF">
        <w:rPr>
          <w:rFonts w:asciiTheme="minorBidi" w:hAnsiTheme="minorBidi" w:cstheme="minorBidi"/>
          <w:szCs w:val="20"/>
          <w:lang w:bidi="ar-SA"/>
        </w:rPr>
        <w:t>Wielgat</w:t>
      </w:r>
      <w:proofErr w:type="spellEnd"/>
      <w:r w:rsidRPr="00F762EF">
        <w:rPr>
          <w:rFonts w:asciiTheme="minorBidi" w:hAnsiTheme="minorBidi" w:cstheme="minorBidi"/>
          <w:szCs w:val="20"/>
          <w:lang w:bidi="ar-SA"/>
        </w:rPr>
        <w:t xml:space="preserve">, P. and </w:t>
      </w:r>
      <w:proofErr w:type="spellStart"/>
      <w:r w:rsidRPr="00F762EF">
        <w:rPr>
          <w:rFonts w:asciiTheme="minorBidi" w:hAnsiTheme="minorBidi" w:cstheme="minorBidi"/>
          <w:szCs w:val="20"/>
          <w:lang w:bidi="ar-SA"/>
        </w:rPr>
        <w:t>Braszko</w:t>
      </w:r>
      <w:proofErr w:type="spellEnd"/>
      <w:r w:rsidRPr="00F762EF">
        <w:rPr>
          <w:rFonts w:asciiTheme="minorBidi" w:hAnsiTheme="minorBidi" w:cstheme="minorBidi"/>
          <w:szCs w:val="20"/>
          <w:lang w:bidi="ar-SA"/>
        </w:rPr>
        <w:t xml:space="preserve">, J.J., </w:t>
      </w:r>
      <w:r w:rsidR="001F0D52">
        <w:rPr>
          <w:rFonts w:asciiTheme="minorBidi" w:hAnsiTheme="minorBidi" w:cstheme="minorBidi"/>
          <w:szCs w:val="20"/>
          <w:lang w:bidi="ar-SA"/>
        </w:rPr>
        <w:t>(</w:t>
      </w:r>
      <w:r w:rsidRPr="00F762EF">
        <w:rPr>
          <w:rFonts w:asciiTheme="minorBidi" w:hAnsiTheme="minorBidi" w:cstheme="minorBidi"/>
          <w:szCs w:val="20"/>
          <w:lang w:bidi="ar-SA"/>
        </w:rPr>
        <w:t>2012</w:t>
      </w:r>
      <w:r w:rsidR="001F0D52">
        <w:rPr>
          <w:rFonts w:asciiTheme="minorBidi" w:hAnsiTheme="minorBidi" w:cstheme="minorBidi"/>
          <w:szCs w:val="20"/>
          <w:lang w:bidi="ar-SA"/>
        </w:rPr>
        <w:t>)</w:t>
      </w:r>
      <w:r w:rsidRPr="00F762EF">
        <w:rPr>
          <w:rFonts w:asciiTheme="minorBidi" w:hAnsiTheme="minorBidi" w:cstheme="minorBidi"/>
          <w:szCs w:val="20"/>
          <w:lang w:bidi="ar-SA"/>
        </w:rPr>
        <w:t xml:space="preserve">. The participation of sialic acids in microglia–neuron interactions. </w:t>
      </w:r>
      <w:r w:rsidRPr="00F762EF">
        <w:rPr>
          <w:rFonts w:asciiTheme="minorBidi" w:hAnsiTheme="minorBidi" w:cstheme="minorBidi"/>
          <w:i/>
          <w:iCs/>
          <w:szCs w:val="20"/>
          <w:lang w:bidi="ar-SA"/>
        </w:rPr>
        <w:t>Cellular immunology</w:t>
      </w:r>
      <w:r w:rsidRPr="00F762EF">
        <w:rPr>
          <w:rFonts w:asciiTheme="minorBidi" w:hAnsiTheme="minorBidi" w:cstheme="minorBidi"/>
          <w:szCs w:val="20"/>
          <w:lang w:bidi="ar-SA"/>
        </w:rPr>
        <w:t xml:space="preserve">, </w:t>
      </w:r>
      <w:r w:rsidRPr="00F762EF">
        <w:rPr>
          <w:rFonts w:asciiTheme="minorBidi" w:hAnsiTheme="minorBidi" w:cstheme="minorBidi"/>
          <w:i/>
          <w:iCs/>
          <w:szCs w:val="20"/>
          <w:lang w:bidi="ar-SA"/>
        </w:rPr>
        <w:t>273</w:t>
      </w:r>
      <w:r w:rsidRPr="00F762EF">
        <w:rPr>
          <w:rFonts w:asciiTheme="minorBidi" w:hAnsiTheme="minorBidi" w:cstheme="minorBidi"/>
          <w:szCs w:val="20"/>
          <w:lang w:bidi="ar-SA"/>
        </w:rPr>
        <w:t>(1), pp.17-22.</w:t>
      </w:r>
    </w:p>
    <w:p w14:paraId="24F84B11" w14:textId="77777777" w:rsidR="0074529A" w:rsidRPr="007133C8" w:rsidRDefault="0074529A" w:rsidP="007133C8">
      <w:pPr>
        <w:pStyle w:val="ListParagraph"/>
        <w:numPr>
          <w:ilvl w:val="0"/>
          <w:numId w:val="31"/>
        </w:numPr>
        <w:bidi w:val="0"/>
        <w:jc w:val="both"/>
        <w:rPr>
          <w:rFonts w:asciiTheme="minorBidi" w:hAnsiTheme="minorBidi" w:cstheme="minorBidi"/>
          <w:lang w:val="en-GB"/>
        </w:rPr>
      </w:pPr>
      <w:r w:rsidRPr="007133C8">
        <w:rPr>
          <w:rFonts w:asciiTheme="minorBidi" w:hAnsiTheme="minorBidi" w:cstheme="minorBidi"/>
          <w:lang w:val="de-DE"/>
        </w:rPr>
        <w:t xml:space="preserve">Pham, N. D., Fermaintt, C. S., Rodriguez, A. C., McCombs, J. E., Nischan, N., &amp; Kohler, J. J. (2015). </w:t>
      </w:r>
      <w:r w:rsidRPr="007133C8">
        <w:rPr>
          <w:rFonts w:asciiTheme="minorBidi" w:hAnsiTheme="minorBidi" w:cstheme="minorBidi"/>
          <w:lang w:val="en-GB"/>
        </w:rPr>
        <w:t>Cellular metabolism of unnatural sialic acid precursors. Glycoconjugate journal, 32(7), 515-529.</w:t>
      </w:r>
    </w:p>
    <w:p w14:paraId="2A22C889"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Lehmanna</w:t>
      </w:r>
      <w:proofErr w:type="spellEnd"/>
      <w:r w:rsidRPr="00F762EF">
        <w:rPr>
          <w:rFonts w:asciiTheme="minorBidi" w:hAnsiTheme="minorBidi" w:cstheme="minorBidi"/>
          <w:szCs w:val="20"/>
        </w:rPr>
        <w:t xml:space="preserve">, E. </w:t>
      </w:r>
      <w:proofErr w:type="spellStart"/>
      <w:r w:rsidRPr="00F762EF">
        <w:rPr>
          <w:rFonts w:asciiTheme="minorBidi" w:hAnsiTheme="minorBidi" w:cstheme="minorBidi"/>
          <w:szCs w:val="20"/>
        </w:rPr>
        <w:t>Tiralongo</w:t>
      </w:r>
      <w:proofErr w:type="spellEnd"/>
      <w:r w:rsidRPr="00F762EF">
        <w:rPr>
          <w:rFonts w:asciiTheme="minorBidi" w:hAnsiTheme="minorBidi" w:cstheme="minorBidi"/>
          <w:szCs w:val="20"/>
        </w:rPr>
        <w:t xml:space="preserve"> b and J. </w:t>
      </w:r>
      <w:proofErr w:type="spellStart"/>
      <w:r w:rsidRPr="00F762EF">
        <w:rPr>
          <w:rFonts w:asciiTheme="minorBidi" w:hAnsiTheme="minorBidi" w:cstheme="minorBidi"/>
          <w:szCs w:val="20"/>
        </w:rPr>
        <w:t>Tiralongo</w:t>
      </w:r>
      <w:proofErr w:type="spellEnd"/>
      <w:r w:rsidRPr="00F762EF">
        <w:rPr>
          <w:rFonts w:asciiTheme="minorBidi" w:hAnsiTheme="minorBidi" w:cstheme="minorBidi"/>
          <w:szCs w:val="20"/>
        </w:rPr>
        <w:t xml:space="preserve"> </w:t>
      </w:r>
      <w:r w:rsidR="009176B9">
        <w:rPr>
          <w:rFonts w:asciiTheme="minorBidi" w:hAnsiTheme="minorBidi" w:cstheme="minorBidi"/>
          <w:szCs w:val="20"/>
        </w:rPr>
        <w:t xml:space="preserve">(2006). </w:t>
      </w:r>
      <w:r w:rsidRPr="00F762EF">
        <w:rPr>
          <w:rFonts w:asciiTheme="minorBidi" w:hAnsiTheme="minorBidi" w:cstheme="minorBidi"/>
          <w:szCs w:val="20"/>
        </w:rPr>
        <w:t xml:space="preserve">Sialic acid-specific lectins: occurrence, specificity and function. Cell. Mol. Life Sci. 63 1331–1354. </w:t>
      </w:r>
    </w:p>
    <w:p w14:paraId="1373FD53"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Kaura</w:t>
      </w:r>
      <w:proofErr w:type="spellEnd"/>
      <w:r w:rsidRPr="00F762EF">
        <w:rPr>
          <w:rFonts w:asciiTheme="minorBidi" w:hAnsiTheme="minorBidi" w:cstheme="minorBidi"/>
          <w:szCs w:val="20"/>
        </w:rPr>
        <w:t xml:space="preserve"> H., Alia </w:t>
      </w:r>
      <w:proofErr w:type="spellStart"/>
      <w:r w:rsidRPr="00F762EF">
        <w:rPr>
          <w:rFonts w:asciiTheme="minorBidi" w:hAnsiTheme="minorBidi" w:cstheme="minorBidi"/>
          <w:szCs w:val="20"/>
        </w:rPr>
        <w:t>S.z</w:t>
      </w:r>
      <w:proofErr w:type="spellEnd"/>
      <w:r w:rsidRPr="00F762EF">
        <w:rPr>
          <w:rFonts w:asciiTheme="minorBidi" w:hAnsiTheme="minorBidi" w:cstheme="minorBidi"/>
          <w:szCs w:val="20"/>
        </w:rPr>
        <w:t xml:space="preserve">., et.al. </w:t>
      </w:r>
      <w:r w:rsidR="009176B9">
        <w:rPr>
          <w:rFonts w:asciiTheme="minorBidi" w:hAnsiTheme="minorBidi" w:cstheme="minorBidi"/>
          <w:szCs w:val="20"/>
        </w:rPr>
        <w:t xml:space="preserve">(2016). </w:t>
      </w:r>
      <w:r w:rsidRPr="00F762EF">
        <w:rPr>
          <w:rFonts w:asciiTheme="minorBidi" w:hAnsiTheme="minorBidi" w:cstheme="minorBidi"/>
          <w:szCs w:val="20"/>
        </w:rPr>
        <w:t>The transcriptional modulator HMGA2 promotes stemness and tumorigenicity in glioblastoma. Cancer Lett. ,377(1), 55–64.</w:t>
      </w:r>
    </w:p>
    <w:p w14:paraId="63CA0C8D"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Pearce O.M.T., </w:t>
      </w:r>
      <w:proofErr w:type="spellStart"/>
      <w:r w:rsidRPr="00F762EF">
        <w:rPr>
          <w:rFonts w:asciiTheme="minorBidi" w:hAnsiTheme="minorBidi" w:cstheme="minorBidi"/>
          <w:szCs w:val="20"/>
        </w:rPr>
        <w:t>Läubli</w:t>
      </w:r>
      <w:proofErr w:type="spellEnd"/>
      <w:r w:rsidRPr="00F762EF">
        <w:rPr>
          <w:rFonts w:asciiTheme="minorBidi" w:hAnsiTheme="minorBidi" w:cstheme="minorBidi"/>
          <w:szCs w:val="20"/>
        </w:rPr>
        <w:t xml:space="preserve"> L.H. </w:t>
      </w:r>
      <w:r w:rsidR="009176B9">
        <w:rPr>
          <w:rFonts w:asciiTheme="minorBidi" w:hAnsiTheme="minorBidi" w:cstheme="minorBidi"/>
          <w:szCs w:val="20"/>
        </w:rPr>
        <w:t xml:space="preserve"> (2016). </w:t>
      </w:r>
      <w:r w:rsidRPr="00F762EF">
        <w:rPr>
          <w:rFonts w:asciiTheme="minorBidi" w:hAnsiTheme="minorBidi" w:cstheme="minorBidi"/>
          <w:szCs w:val="20"/>
        </w:rPr>
        <w:t xml:space="preserve">Sialic acids in cancer biology and immunity. </w:t>
      </w:r>
      <w:proofErr w:type="spellStart"/>
      <w:r w:rsidRPr="00F762EF">
        <w:rPr>
          <w:rFonts w:asciiTheme="minorBidi" w:hAnsiTheme="minorBidi" w:cstheme="minorBidi"/>
          <w:szCs w:val="20"/>
        </w:rPr>
        <w:t>Glycobiology</w:t>
      </w:r>
      <w:proofErr w:type="spellEnd"/>
      <w:r w:rsidRPr="00F762EF">
        <w:rPr>
          <w:rFonts w:asciiTheme="minorBidi" w:hAnsiTheme="minorBidi" w:cstheme="minorBidi"/>
          <w:szCs w:val="20"/>
        </w:rPr>
        <w:t xml:space="preserve">, 26(2), 111–128. </w:t>
      </w:r>
    </w:p>
    <w:p w14:paraId="59506E4A" w14:textId="77777777" w:rsidR="00C2139B" w:rsidRPr="00F762EF" w:rsidRDefault="00C2139B" w:rsidP="009176B9">
      <w:pPr>
        <w:pStyle w:val="ListParagraph"/>
        <w:numPr>
          <w:ilvl w:val="0"/>
          <w:numId w:val="31"/>
        </w:numPr>
        <w:bidi w:val="0"/>
        <w:spacing w:line="276" w:lineRule="auto"/>
        <w:jc w:val="both"/>
        <w:rPr>
          <w:rFonts w:asciiTheme="minorBidi" w:hAnsiTheme="minorBidi" w:cstheme="minorBidi"/>
          <w:szCs w:val="20"/>
        </w:rPr>
      </w:pPr>
      <w:r w:rsidRPr="007133C8">
        <w:rPr>
          <w:rFonts w:asciiTheme="minorBidi" w:hAnsiTheme="minorBidi" w:cstheme="minorBidi"/>
          <w:szCs w:val="20"/>
          <w:lang w:val="de-DE"/>
        </w:rPr>
        <w:t xml:space="preserve">Zhang S., Zhang H., et.sl. </w:t>
      </w:r>
      <w:r w:rsidR="009176B9" w:rsidRPr="007133C8">
        <w:rPr>
          <w:rFonts w:asciiTheme="minorBidi" w:hAnsiTheme="minorBidi" w:cstheme="minorBidi"/>
          <w:szCs w:val="20"/>
          <w:lang w:val="de-DE"/>
        </w:rPr>
        <w:t xml:space="preserve">(2018). </w:t>
      </w:r>
      <w:r w:rsidRPr="00F762EF">
        <w:rPr>
          <w:rFonts w:asciiTheme="minorBidi" w:hAnsiTheme="minorBidi" w:cstheme="minorBidi"/>
          <w:szCs w:val="20"/>
        </w:rPr>
        <w:t>HMGA2 promotes glioma invasion and poor prognosis via a long- range chromatin interaction. Cancer Medicine. 3226–3239.</w:t>
      </w:r>
    </w:p>
    <w:p w14:paraId="7DA3EA64" w14:textId="77777777" w:rsidR="00C2139B" w:rsidRPr="00F762EF" w:rsidRDefault="00C2139B" w:rsidP="00880C3A">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Alves A.L.V., Gomes Z.N.F., et.al. </w:t>
      </w:r>
      <w:r w:rsidR="00880C3A">
        <w:rPr>
          <w:rFonts w:asciiTheme="minorBidi" w:hAnsiTheme="minorBidi" w:cstheme="minorBidi"/>
          <w:szCs w:val="20"/>
        </w:rPr>
        <w:t xml:space="preserve">(2021). </w:t>
      </w:r>
      <w:r w:rsidRPr="00F762EF">
        <w:rPr>
          <w:rFonts w:asciiTheme="minorBidi" w:hAnsiTheme="minorBidi" w:cstheme="minorBidi"/>
          <w:szCs w:val="20"/>
        </w:rPr>
        <w:t xml:space="preserve">Role of glioblastoma stem cells in cancer therapeutic resistance: a perspective on antineoplastic agents from natural sources and chemical derivatives. </w:t>
      </w:r>
      <w:hyperlink r:id="rId14" w:history="1">
        <w:r w:rsidRPr="00EC73DD">
          <w:rPr>
            <w:rStyle w:val="Hyperlink"/>
            <w:rFonts w:asciiTheme="minorBidi" w:hAnsiTheme="minorBidi" w:cstheme="minorBidi"/>
            <w:color w:val="auto"/>
            <w:szCs w:val="20"/>
            <w:u w:val="none"/>
          </w:rPr>
          <w:t>Stem Cell Research &amp; Therapy</w:t>
        </w:r>
      </w:hyperlink>
      <w:r w:rsidRPr="00F762EF">
        <w:rPr>
          <w:rFonts w:asciiTheme="minorBidi" w:hAnsiTheme="minorBidi" w:cstheme="minorBidi"/>
          <w:szCs w:val="20"/>
        </w:rPr>
        <w:t>; 12(206).</w:t>
      </w:r>
    </w:p>
    <w:p w14:paraId="1463F28B" w14:textId="77777777" w:rsidR="00C2139B" w:rsidRPr="00EC73DD" w:rsidRDefault="00C2139B" w:rsidP="00880C3A">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Lopez-</w:t>
      </w:r>
      <w:proofErr w:type="spellStart"/>
      <w:r w:rsidRPr="00F762EF">
        <w:rPr>
          <w:rFonts w:asciiTheme="minorBidi" w:hAnsiTheme="minorBidi" w:cstheme="minorBidi"/>
          <w:szCs w:val="20"/>
        </w:rPr>
        <w:t>Bertoni</w:t>
      </w:r>
      <w:proofErr w:type="spellEnd"/>
      <w:r w:rsidRPr="00F762EF">
        <w:rPr>
          <w:rFonts w:asciiTheme="minorBidi" w:hAnsiTheme="minorBidi" w:cstheme="minorBidi"/>
          <w:szCs w:val="20"/>
        </w:rPr>
        <w:t xml:space="preserve"> H., </w:t>
      </w:r>
      <w:proofErr w:type="spellStart"/>
      <w:r w:rsidRPr="00F762EF">
        <w:rPr>
          <w:rFonts w:asciiTheme="minorBidi" w:hAnsiTheme="minorBidi" w:cstheme="minorBidi"/>
          <w:szCs w:val="20"/>
        </w:rPr>
        <w:t>Laterra</w:t>
      </w:r>
      <w:proofErr w:type="spellEnd"/>
      <w:r w:rsidRPr="00F762EF">
        <w:rPr>
          <w:rFonts w:asciiTheme="minorBidi" w:hAnsiTheme="minorBidi" w:cstheme="minorBidi"/>
          <w:szCs w:val="20"/>
        </w:rPr>
        <w:t xml:space="preserve"> J. </w:t>
      </w:r>
      <w:r w:rsidR="00880C3A">
        <w:rPr>
          <w:rFonts w:asciiTheme="minorBidi" w:hAnsiTheme="minorBidi" w:cstheme="minorBidi"/>
          <w:szCs w:val="20"/>
        </w:rPr>
        <w:t xml:space="preserve">(2016). </w:t>
      </w:r>
      <w:r w:rsidRPr="00F762EF">
        <w:rPr>
          <w:rFonts w:asciiTheme="minorBidi" w:hAnsiTheme="minorBidi" w:cstheme="minorBidi"/>
          <w:szCs w:val="20"/>
        </w:rPr>
        <w:t>epigenetic modulation of a miR-296-5p:</w:t>
      </w:r>
      <w:r w:rsidR="00880C3A">
        <w:rPr>
          <w:rFonts w:asciiTheme="minorBidi" w:hAnsiTheme="minorBidi" w:cstheme="minorBidi"/>
          <w:szCs w:val="20"/>
        </w:rPr>
        <w:t xml:space="preserve"> </w:t>
      </w:r>
      <w:r w:rsidRPr="00F762EF">
        <w:rPr>
          <w:rFonts w:asciiTheme="minorBidi" w:hAnsiTheme="minorBidi" w:cstheme="minorBidi"/>
          <w:szCs w:val="20"/>
        </w:rPr>
        <w:t xml:space="preserve">HMGA1 axis regulates Sox2 expression and glioblastoma stem cells. </w:t>
      </w:r>
      <w:hyperlink r:id="rId15" w:history="1">
        <w:r w:rsidR="00880C3A" w:rsidRPr="00EC73DD">
          <w:rPr>
            <w:rStyle w:val="Hyperlink"/>
            <w:rFonts w:asciiTheme="minorBidi" w:hAnsiTheme="minorBidi" w:cstheme="minorBidi"/>
            <w:color w:val="auto"/>
            <w:szCs w:val="20"/>
            <w:u w:val="none"/>
          </w:rPr>
          <w:t>Translational Cancer Research</w:t>
        </w:r>
        <w:r w:rsidRPr="00EC73DD">
          <w:rPr>
            <w:rStyle w:val="Hyperlink"/>
            <w:rFonts w:asciiTheme="minorBidi" w:hAnsiTheme="minorBidi" w:cstheme="minorBidi"/>
            <w:color w:val="auto"/>
            <w:szCs w:val="20"/>
            <w:u w:val="none"/>
          </w:rPr>
          <w:t xml:space="preserve">; 5(7). </w:t>
        </w:r>
      </w:hyperlink>
    </w:p>
    <w:p w14:paraId="595C8DD8" w14:textId="77777777" w:rsidR="00C2139B" w:rsidRPr="00F762EF" w:rsidRDefault="00C2139B" w:rsidP="00EC73DD">
      <w:pPr>
        <w:pStyle w:val="ListParagraph"/>
        <w:numPr>
          <w:ilvl w:val="0"/>
          <w:numId w:val="31"/>
        </w:numPr>
        <w:bidi w:val="0"/>
        <w:spacing w:line="276" w:lineRule="auto"/>
        <w:jc w:val="both"/>
        <w:rPr>
          <w:rFonts w:asciiTheme="minorBidi" w:hAnsiTheme="minorBidi" w:cstheme="minorBidi"/>
          <w:szCs w:val="20"/>
        </w:rPr>
      </w:pPr>
      <w:r w:rsidRPr="007133C8">
        <w:rPr>
          <w:rFonts w:asciiTheme="minorBidi" w:hAnsiTheme="minorBidi" w:cstheme="minorBidi"/>
          <w:szCs w:val="20"/>
          <w:lang w:val="de-DE"/>
        </w:rPr>
        <w:t xml:space="preserve">Wang B., Brand-Miller J. </w:t>
      </w:r>
      <w:r w:rsidR="00EC73DD" w:rsidRPr="007133C8">
        <w:rPr>
          <w:rFonts w:asciiTheme="minorBidi" w:hAnsiTheme="minorBidi" w:cstheme="minorBidi"/>
          <w:szCs w:val="20"/>
          <w:lang w:val="de-DE"/>
        </w:rPr>
        <w:t xml:space="preserve">(2003). </w:t>
      </w:r>
      <w:r w:rsidRPr="00F762EF">
        <w:rPr>
          <w:rFonts w:asciiTheme="minorBidi" w:hAnsiTheme="minorBidi" w:cstheme="minorBidi"/>
          <w:szCs w:val="20"/>
        </w:rPr>
        <w:t>The role and potential of sialic acid in human nutrition. European Journal of Clinical Nutrition, 57,1351–1369.</w:t>
      </w:r>
    </w:p>
    <w:p w14:paraId="4EBA7F05" w14:textId="77777777" w:rsidR="00C2139B" w:rsidRPr="00F762EF" w:rsidRDefault="00B35593" w:rsidP="00C2139B">
      <w:pPr>
        <w:pStyle w:val="ListParagraph"/>
        <w:numPr>
          <w:ilvl w:val="0"/>
          <w:numId w:val="31"/>
        </w:numPr>
        <w:bidi w:val="0"/>
        <w:spacing w:line="276" w:lineRule="auto"/>
        <w:jc w:val="both"/>
        <w:rPr>
          <w:rFonts w:asciiTheme="minorBidi" w:hAnsiTheme="minorBidi" w:cstheme="minorBidi"/>
          <w:szCs w:val="20"/>
        </w:rPr>
      </w:pPr>
      <w:hyperlink r:id="rId16" w:history="1">
        <w:r w:rsidR="00C2139B" w:rsidRPr="00EC73DD">
          <w:rPr>
            <w:rStyle w:val="Hyperlink"/>
            <w:rFonts w:asciiTheme="minorBidi" w:hAnsiTheme="minorBidi" w:cstheme="minorBidi"/>
            <w:color w:val="auto"/>
            <w:szCs w:val="20"/>
            <w:u w:val="none"/>
          </w:rPr>
          <w:t>Schultz</w:t>
        </w:r>
      </w:hyperlink>
      <w:r w:rsidR="00C2139B" w:rsidRPr="00F762EF">
        <w:rPr>
          <w:rFonts w:asciiTheme="minorBidi" w:hAnsiTheme="minorBidi" w:cstheme="minorBidi"/>
          <w:szCs w:val="20"/>
        </w:rPr>
        <w:t xml:space="preserve"> M.J., </w:t>
      </w:r>
      <w:hyperlink r:id="rId17" w:history="1">
        <w:proofErr w:type="spellStart"/>
        <w:r w:rsidR="00C2139B" w:rsidRPr="00F762EF">
          <w:rPr>
            <w:rStyle w:val="Hyperlink"/>
            <w:rFonts w:asciiTheme="minorBidi" w:hAnsiTheme="minorBidi" w:cstheme="minorBidi"/>
            <w:color w:val="auto"/>
            <w:szCs w:val="20"/>
          </w:rPr>
          <w:t>Swindall</w:t>
        </w:r>
        <w:proofErr w:type="spellEnd"/>
      </w:hyperlink>
      <w:r w:rsidR="00C2139B" w:rsidRPr="00F762EF">
        <w:rPr>
          <w:rFonts w:asciiTheme="minorBidi" w:hAnsiTheme="minorBidi" w:cstheme="minorBidi"/>
          <w:szCs w:val="20"/>
        </w:rPr>
        <w:t xml:space="preserve"> A.F., et.al. Regulation of the metastatic cell phenotype by sialylated glycans. </w:t>
      </w:r>
      <w:hyperlink r:id="rId18" w:history="1">
        <w:r w:rsidR="00C2139B" w:rsidRPr="00EC73DD">
          <w:rPr>
            <w:rStyle w:val="Hyperlink"/>
            <w:rFonts w:asciiTheme="minorBidi" w:hAnsiTheme="minorBidi" w:cstheme="minorBidi"/>
            <w:color w:val="auto"/>
            <w:szCs w:val="20"/>
            <w:u w:val="none"/>
          </w:rPr>
          <w:t xml:space="preserve">Cancer Metastasis Rev. 2012 Dec; 31(0): 501–518. </w:t>
        </w:r>
      </w:hyperlink>
      <w:hyperlink r:id="rId19" w:history="1">
        <w:r w:rsidR="00C2139B" w:rsidRPr="00EC73DD">
          <w:rPr>
            <w:rStyle w:val="Hyperlink"/>
            <w:rFonts w:asciiTheme="minorBidi" w:hAnsiTheme="minorBidi" w:cstheme="minorBidi"/>
            <w:color w:val="auto"/>
            <w:szCs w:val="20"/>
            <w:u w:val="none"/>
          </w:rPr>
          <w:t xml:space="preserve">Hassel </w:t>
        </w:r>
      </w:hyperlink>
      <w:hyperlink r:id="rId20" w:history="1">
        <w:r w:rsidR="00C2139B" w:rsidRPr="00EC73DD">
          <w:rPr>
            <w:rStyle w:val="Hyperlink"/>
            <w:rFonts w:asciiTheme="minorBidi" w:hAnsiTheme="minorBidi" w:cstheme="minorBidi"/>
            <w:color w:val="auto"/>
            <w:szCs w:val="20"/>
            <w:u w:val="none"/>
          </w:rPr>
          <w:t>K.Nl</w:t>
        </w:r>
      </w:hyperlink>
      <w:r w:rsidR="00C2139B" w:rsidRPr="00EC73DD">
        <w:rPr>
          <w:rFonts w:asciiTheme="minorBidi" w:hAnsiTheme="minorBidi" w:cstheme="minorBidi"/>
          <w:szCs w:val="20"/>
          <w:rtl/>
        </w:rPr>
        <w:t>.</w:t>
      </w:r>
      <w:r w:rsidR="00C2139B" w:rsidRPr="00F762EF">
        <w:rPr>
          <w:rFonts w:asciiTheme="minorBidi" w:hAnsiTheme="minorBidi" w:cstheme="minorBidi"/>
          <w:szCs w:val="20"/>
        </w:rPr>
        <w:t xml:space="preserve"> Histone Deacetylases and Their Inhibitors in Cancer </w:t>
      </w:r>
    </w:p>
    <w:p w14:paraId="63A7BDB4" w14:textId="77777777" w:rsidR="00C2139B" w:rsidRPr="00F762EF" w:rsidRDefault="00C2139B" w:rsidP="00315065">
      <w:pPr>
        <w:pStyle w:val="ListParagraph"/>
        <w:numPr>
          <w:ilvl w:val="0"/>
          <w:numId w:val="31"/>
        </w:numPr>
        <w:bidi w:val="0"/>
        <w:spacing w:line="276" w:lineRule="auto"/>
        <w:jc w:val="both"/>
        <w:rPr>
          <w:rFonts w:asciiTheme="minorBidi" w:hAnsiTheme="minorBidi" w:cstheme="minorBidi"/>
          <w:szCs w:val="20"/>
        </w:rPr>
      </w:pPr>
      <w:r w:rsidRPr="00F762EF">
        <w:rPr>
          <w:rFonts w:asciiTheme="minorBidi" w:hAnsiTheme="minorBidi" w:cstheme="minorBidi"/>
          <w:szCs w:val="20"/>
        </w:rPr>
        <w:t xml:space="preserve">Farhan M., </w:t>
      </w:r>
      <w:proofErr w:type="spellStart"/>
      <w:r w:rsidRPr="00F762EF">
        <w:rPr>
          <w:rFonts w:asciiTheme="minorBidi" w:hAnsiTheme="minorBidi" w:cstheme="minorBidi"/>
          <w:szCs w:val="20"/>
        </w:rPr>
        <w:t>Ullah</w:t>
      </w:r>
      <w:proofErr w:type="spellEnd"/>
      <w:r w:rsidRPr="00F762EF">
        <w:rPr>
          <w:rFonts w:asciiTheme="minorBidi" w:hAnsiTheme="minorBidi" w:cstheme="minorBidi"/>
          <w:szCs w:val="20"/>
        </w:rPr>
        <w:t xml:space="preserve"> M.A., et.al. </w:t>
      </w:r>
      <w:r w:rsidR="00315065">
        <w:rPr>
          <w:rFonts w:asciiTheme="minorBidi" w:hAnsiTheme="minorBidi" w:cstheme="minorBidi"/>
          <w:szCs w:val="20"/>
        </w:rPr>
        <w:t xml:space="preserve">(2019). </w:t>
      </w:r>
      <w:r w:rsidRPr="00F762EF">
        <w:rPr>
          <w:rFonts w:asciiTheme="minorBidi" w:hAnsiTheme="minorBidi" w:cstheme="minorBidi"/>
          <w:szCs w:val="20"/>
        </w:rPr>
        <w:t>Differential Methylation and Acetylation as the</w:t>
      </w:r>
      <w:r w:rsidR="00315065">
        <w:rPr>
          <w:rFonts w:asciiTheme="minorBidi" w:hAnsiTheme="minorBidi" w:cstheme="minorBidi"/>
          <w:szCs w:val="20"/>
        </w:rPr>
        <w:t xml:space="preserve"> </w:t>
      </w:r>
      <w:r w:rsidRPr="00F762EF">
        <w:rPr>
          <w:rFonts w:asciiTheme="minorBidi" w:hAnsiTheme="minorBidi" w:cstheme="minorBidi"/>
          <w:szCs w:val="20"/>
        </w:rPr>
        <w:t>Epigenetic Basis of Resveratrol’s Anticancer Activity. Medicine, 6,24.</w:t>
      </w:r>
    </w:p>
    <w:p w14:paraId="352588E5" w14:textId="77777777" w:rsidR="00C2139B" w:rsidRPr="00F762EF" w:rsidRDefault="00C2139B" w:rsidP="002A36F8">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t>Carlevaro-Fita</w:t>
      </w:r>
      <w:proofErr w:type="spellEnd"/>
      <w:r w:rsidRPr="00F762EF">
        <w:rPr>
          <w:rFonts w:asciiTheme="minorBidi" w:hAnsiTheme="minorBidi" w:cstheme="minorBidi"/>
          <w:szCs w:val="20"/>
        </w:rPr>
        <w:t xml:space="preserve"> J., </w:t>
      </w:r>
      <w:proofErr w:type="spellStart"/>
      <w:r w:rsidRPr="00F762EF">
        <w:rPr>
          <w:rFonts w:asciiTheme="minorBidi" w:hAnsiTheme="minorBidi" w:cstheme="minorBidi"/>
          <w:szCs w:val="20"/>
        </w:rPr>
        <w:t>Lanzós</w:t>
      </w:r>
      <w:proofErr w:type="spellEnd"/>
      <w:r w:rsidRPr="00F762EF">
        <w:rPr>
          <w:rFonts w:asciiTheme="minorBidi" w:hAnsiTheme="minorBidi" w:cstheme="minorBidi"/>
          <w:szCs w:val="20"/>
        </w:rPr>
        <w:t xml:space="preserve"> A., et.al. </w:t>
      </w:r>
      <w:r w:rsidR="002A36F8">
        <w:rPr>
          <w:rFonts w:asciiTheme="minorBidi" w:hAnsiTheme="minorBidi" w:cstheme="minorBidi"/>
          <w:szCs w:val="20"/>
        </w:rPr>
        <w:t xml:space="preserve">(2020). </w:t>
      </w:r>
      <w:r w:rsidRPr="00F762EF">
        <w:rPr>
          <w:rFonts w:asciiTheme="minorBidi" w:hAnsiTheme="minorBidi" w:cstheme="minorBidi"/>
          <w:szCs w:val="20"/>
        </w:rPr>
        <w:t xml:space="preserve">Cancer LncRNA Census reveals evidence for deep functional conservation of long noncoding </w:t>
      </w:r>
      <w:proofErr w:type="spellStart"/>
      <w:r w:rsidRPr="00F762EF">
        <w:rPr>
          <w:rFonts w:asciiTheme="minorBidi" w:hAnsiTheme="minorBidi" w:cstheme="minorBidi"/>
          <w:szCs w:val="20"/>
        </w:rPr>
        <w:t>RNAsin</w:t>
      </w:r>
      <w:proofErr w:type="spellEnd"/>
      <w:r w:rsidRPr="00F762EF">
        <w:rPr>
          <w:rFonts w:asciiTheme="minorBidi" w:hAnsiTheme="minorBidi" w:cstheme="minorBidi"/>
          <w:szCs w:val="20"/>
        </w:rPr>
        <w:t xml:space="preserve"> tumor-genesis.  Communication Biology, 3, 56. </w:t>
      </w:r>
    </w:p>
    <w:p w14:paraId="7C017F3F" w14:textId="77777777" w:rsidR="00C2139B" w:rsidRPr="00F762EF" w:rsidRDefault="00C2139B" w:rsidP="004673CD">
      <w:pPr>
        <w:pStyle w:val="ListParagraph"/>
        <w:numPr>
          <w:ilvl w:val="0"/>
          <w:numId w:val="31"/>
        </w:numPr>
        <w:bidi w:val="0"/>
        <w:spacing w:line="276" w:lineRule="auto"/>
        <w:jc w:val="both"/>
        <w:rPr>
          <w:rFonts w:asciiTheme="minorBidi" w:hAnsiTheme="minorBidi" w:cstheme="minorBidi"/>
          <w:szCs w:val="20"/>
        </w:rPr>
      </w:pPr>
      <w:proofErr w:type="spellStart"/>
      <w:r w:rsidRPr="00F762EF">
        <w:rPr>
          <w:rFonts w:asciiTheme="minorBidi" w:hAnsiTheme="minorBidi" w:cstheme="minorBidi"/>
          <w:szCs w:val="20"/>
        </w:rPr>
        <w:lastRenderedPageBreak/>
        <w:t>Jinjun</w:t>
      </w:r>
      <w:proofErr w:type="spellEnd"/>
      <w:r w:rsidRPr="00F762EF">
        <w:rPr>
          <w:rFonts w:asciiTheme="minorBidi" w:hAnsiTheme="minorBidi" w:cstheme="minorBidi"/>
          <w:szCs w:val="20"/>
        </w:rPr>
        <w:t xml:space="preserve"> Ye, </w:t>
      </w:r>
      <w:proofErr w:type="spellStart"/>
      <w:r w:rsidRPr="00F762EF">
        <w:rPr>
          <w:rFonts w:asciiTheme="minorBidi" w:hAnsiTheme="minorBidi" w:cstheme="minorBidi"/>
          <w:szCs w:val="20"/>
        </w:rPr>
        <w:t>Jidong</w:t>
      </w:r>
      <w:proofErr w:type="spellEnd"/>
      <w:r w:rsidRPr="00F762EF">
        <w:rPr>
          <w:rFonts w:asciiTheme="minorBidi" w:hAnsiTheme="minorBidi" w:cstheme="minorBidi"/>
          <w:szCs w:val="20"/>
        </w:rPr>
        <w:t xml:space="preserve"> Liu, et.al. </w:t>
      </w:r>
      <w:r w:rsidR="004673CD">
        <w:rPr>
          <w:rFonts w:asciiTheme="minorBidi" w:hAnsiTheme="minorBidi" w:cstheme="minorBidi"/>
          <w:szCs w:val="20"/>
        </w:rPr>
        <w:t xml:space="preserve">(2021). </w:t>
      </w:r>
      <w:r w:rsidRPr="00F762EF">
        <w:rPr>
          <w:rFonts w:asciiTheme="minorBidi" w:hAnsiTheme="minorBidi" w:cstheme="minorBidi"/>
          <w:szCs w:val="20"/>
        </w:rPr>
        <w:t>LINC00963 affects the development of colorectal cancer via MiR-532-3p/HMGA2 axis. Cancer Cell International</w:t>
      </w:r>
      <w:r w:rsidR="004673CD">
        <w:rPr>
          <w:rFonts w:asciiTheme="minorBidi" w:hAnsiTheme="minorBidi" w:cstheme="minorBidi"/>
          <w:szCs w:val="20"/>
        </w:rPr>
        <w:t>;</w:t>
      </w:r>
      <w:r w:rsidRPr="00F762EF">
        <w:rPr>
          <w:rFonts w:asciiTheme="minorBidi" w:hAnsiTheme="minorBidi" w:cstheme="minorBidi"/>
          <w:szCs w:val="20"/>
        </w:rPr>
        <w:t xml:space="preserve"> 21:87.</w:t>
      </w:r>
    </w:p>
    <w:p w14:paraId="607B8DB8" w14:textId="77777777" w:rsidR="00C2139B" w:rsidRPr="004673CD" w:rsidRDefault="00B35593" w:rsidP="004673CD">
      <w:pPr>
        <w:pStyle w:val="ListParagraph"/>
        <w:numPr>
          <w:ilvl w:val="0"/>
          <w:numId w:val="31"/>
        </w:numPr>
        <w:bidi w:val="0"/>
        <w:spacing w:line="276" w:lineRule="auto"/>
        <w:jc w:val="both"/>
        <w:rPr>
          <w:rFonts w:asciiTheme="minorBidi" w:hAnsiTheme="minorBidi" w:cstheme="minorBidi"/>
          <w:szCs w:val="20"/>
        </w:rPr>
      </w:pPr>
      <w:hyperlink r:id="rId21" w:history="1">
        <w:r w:rsidR="00C2139B" w:rsidRPr="004673CD">
          <w:rPr>
            <w:rStyle w:val="Hyperlink"/>
            <w:rFonts w:asciiTheme="minorBidi" w:hAnsiTheme="minorBidi" w:cstheme="minorBidi"/>
            <w:color w:val="auto"/>
            <w:szCs w:val="20"/>
            <w:u w:val="none"/>
          </w:rPr>
          <w:t>Harada-</w:t>
        </w:r>
        <w:proofErr w:type="spellStart"/>
      </w:hyperlink>
      <w:hyperlink r:id="rId22" w:history="1">
        <w:r w:rsidR="00C2139B" w:rsidRPr="004673CD">
          <w:rPr>
            <w:rStyle w:val="Hyperlink"/>
            <w:rFonts w:asciiTheme="minorBidi" w:hAnsiTheme="minorBidi" w:cstheme="minorBidi"/>
            <w:color w:val="auto"/>
            <w:szCs w:val="20"/>
            <w:u w:val="none"/>
          </w:rPr>
          <w:t>Shirado</w:t>
        </w:r>
        <w:proofErr w:type="spellEnd"/>
      </w:hyperlink>
      <w:r w:rsidR="00C2139B" w:rsidRPr="004673CD">
        <w:rPr>
          <w:rFonts w:asciiTheme="minorBidi" w:hAnsiTheme="minorBidi" w:cstheme="minorBidi"/>
          <w:szCs w:val="20"/>
        </w:rPr>
        <w:t xml:space="preserve"> K., </w:t>
      </w:r>
      <w:hyperlink r:id="rId23" w:history="1">
        <w:r w:rsidR="00C2139B" w:rsidRPr="004673CD">
          <w:rPr>
            <w:rStyle w:val="Hyperlink"/>
            <w:rFonts w:asciiTheme="minorBidi" w:hAnsiTheme="minorBidi" w:cstheme="minorBidi"/>
            <w:color w:val="auto"/>
            <w:szCs w:val="20"/>
            <w:u w:val="none"/>
          </w:rPr>
          <w:t>Ikeda</w:t>
        </w:r>
      </w:hyperlink>
      <w:r w:rsidR="00C2139B" w:rsidRPr="004673CD">
        <w:rPr>
          <w:rFonts w:asciiTheme="minorBidi" w:hAnsiTheme="minorBidi" w:cstheme="minorBidi"/>
          <w:szCs w:val="20"/>
        </w:rPr>
        <w:t xml:space="preserve"> K., et.al. </w:t>
      </w:r>
      <w:r w:rsidR="004673CD">
        <w:rPr>
          <w:rFonts w:asciiTheme="minorBidi" w:hAnsiTheme="minorBidi" w:cstheme="minorBidi"/>
          <w:szCs w:val="20"/>
        </w:rPr>
        <w:t xml:space="preserve">(2015). </w:t>
      </w:r>
      <w:r w:rsidR="00C2139B" w:rsidRPr="004673CD">
        <w:rPr>
          <w:rFonts w:asciiTheme="minorBidi" w:hAnsiTheme="minorBidi" w:cstheme="minorBidi"/>
          <w:szCs w:val="20"/>
        </w:rPr>
        <w:t>Dysregulation of the MIRLET7/HMGA2 axis with methylation of the CDKN2A promoter in my</w:t>
      </w:r>
      <w:r w:rsidR="004673CD">
        <w:rPr>
          <w:rFonts w:asciiTheme="minorBidi" w:hAnsiTheme="minorBidi" w:cstheme="minorBidi"/>
          <w:szCs w:val="20"/>
        </w:rPr>
        <w:t>eloproliferative neoplasms. BJH</w:t>
      </w:r>
      <w:r w:rsidR="00C2139B" w:rsidRPr="004673CD">
        <w:rPr>
          <w:rFonts w:asciiTheme="minorBidi" w:hAnsiTheme="minorBidi" w:cstheme="minorBidi"/>
          <w:szCs w:val="20"/>
        </w:rPr>
        <w:t>, 168, 338–349</w:t>
      </w:r>
    </w:p>
    <w:p w14:paraId="64831BCE" w14:textId="6494913B" w:rsidR="00BE2892" w:rsidRPr="007133C8" w:rsidRDefault="00BE2892" w:rsidP="007133C8">
      <w:pPr>
        <w:pStyle w:val="ListParagraph"/>
        <w:numPr>
          <w:ilvl w:val="0"/>
          <w:numId w:val="31"/>
        </w:numPr>
        <w:bidi w:val="0"/>
        <w:jc w:val="both"/>
        <w:rPr>
          <w:rFonts w:asciiTheme="minorBidi" w:hAnsiTheme="minorBidi" w:cstheme="minorBidi"/>
          <w:szCs w:val="20"/>
        </w:rPr>
      </w:pPr>
      <w:proofErr w:type="spellStart"/>
      <w:r w:rsidRPr="007133C8">
        <w:rPr>
          <w:rFonts w:asciiTheme="minorBidi" w:hAnsiTheme="minorBidi" w:cstheme="minorBidi"/>
          <w:szCs w:val="20"/>
        </w:rPr>
        <w:t>Handa</w:t>
      </w:r>
      <w:proofErr w:type="spellEnd"/>
      <w:r w:rsidRPr="007133C8">
        <w:rPr>
          <w:rFonts w:asciiTheme="minorBidi" w:hAnsiTheme="minorBidi" w:cstheme="minorBidi"/>
          <w:szCs w:val="20"/>
        </w:rPr>
        <w:t xml:space="preserve"> S, </w:t>
      </w:r>
      <w:proofErr w:type="spellStart"/>
      <w:r w:rsidRPr="007133C8">
        <w:rPr>
          <w:rFonts w:asciiTheme="minorBidi" w:hAnsiTheme="minorBidi" w:cstheme="minorBidi"/>
          <w:szCs w:val="20"/>
        </w:rPr>
        <w:t>Schaniel</w:t>
      </w:r>
      <w:proofErr w:type="spellEnd"/>
      <w:r w:rsidRPr="007133C8">
        <w:rPr>
          <w:rFonts w:asciiTheme="minorBidi" w:hAnsiTheme="minorBidi" w:cstheme="minorBidi"/>
          <w:szCs w:val="20"/>
        </w:rPr>
        <w:t xml:space="preserve"> C, </w:t>
      </w:r>
      <w:r w:rsidR="000B7CD2" w:rsidRPr="007133C8">
        <w:rPr>
          <w:rFonts w:asciiTheme="minorBidi" w:hAnsiTheme="minorBidi" w:cstheme="minorBidi"/>
          <w:szCs w:val="20"/>
        </w:rPr>
        <w:t>et al. (2024).</w:t>
      </w:r>
      <w:r w:rsidRPr="007133C8">
        <w:rPr>
          <w:rFonts w:asciiTheme="minorBidi" w:hAnsiTheme="minorBidi" w:cstheme="minorBidi"/>
          <w:szCs w:val="20"/>
        </w:rPr>
        <w:t xml:space="preserve"> HMGA2 overexpression with specific</w:t>
      </w:r>
      <w:r w:rsidR="000B7CD2" w:rsidRPr="007133C8">
        <w:rPr>
          <w:rFonts w:asciiTheme="minorBidi" w:hAnsiTheme="minorBidi" w:cstheme="minorBidi"/>
          <w:szCs w:val="20"/>
        </w:rPr>
        <w:t xml:space="preserve"> </w:t>
      </w:r>
      <w:r w:rsidRPr="007133C8">
        <w:rPr>
          <w:rFonts w:asciiTheme="minorBidi" w:hAnsiTheme="minorBidi" w:cstheme="minorBidi"/>
          <w:szCs w:val="20"/>
        </w:rPr>
        <w:t xml:space="preserve">chromosomal abnormalities predominate in CALR and ASXL1 mutated </w:t>
      </w:r>
      <w:proofErr w:type="spellStart"/>
      <w:r w:rsidRPr="007133C8">
        <w:rPr>
          <w:rFonts w:asciiTheme="minorBidi" w:hAnsiTheme="minorBidi" w:cstheme="minorBidi"/>
          <w:szCs w:val="20"/>
        </w:rPr>
        <w:t>myelofibrosis</w:t>
      </w:r>
      <w:proofErr w:type="spellEnd"/>
      <w:r w:rsidRPr="007133C8">
        <w:rPr>
          <w:rFonts w:asciiTheme="minorBidi" w:hAnsiTheme="minorBidi" w:cstheme="minorBidi"/>
          <w:szCs w:val="20"/>
        </w:rPr>
        <w:t>. Leukemia. 39(3):663-674.</w:t>
      </w:r>
    </w:p>
    <w:p w14:paraId="25FE64F8" w14:textId="4487B624" w:rsidR="00C2139B" w:rsidRPr="007133C8" w:rsidRDefault="00C2139B" w:rsidP="00011B24">
      <w:pPr>
        <w:pStyle w:val="ListParagraph"/>
        <w:numPr>
          <w:ilvl w:val="0"/>
          <w:numId w:val="31"/>
        </w:numPr>
        <w:bidi w:val="0"/>
        <w:spacing w:line="276" w:lineRule="auto"/>
        <w:jc w:val="both"/>
        <w:rPr>
          <w:rFonts w:asciiTheme="minorBidi" w:hAnsiTheme="minorBidi" w:cstheme="minorBidi"/>
        </w:rPr>
      </w:pPr>
      <w:r w:rsidRPr="007133C8">
        <w:rPr>
          <w:rFonts w:asciiTheme="minorBidi" w:hAnsiTheme="minorBidi" w:cstheme="minorBidi"/>
          <w:szCs w:val="20"/>
          <w:lang w:val="de-DE"/>
        </w:rPr>
        <w:t xml:space="preserve">Schnaar R.L., Gerardy-Schahn R., et.al. </w:t>
      </w:r>
      <w:r w:rsidR="004673CD" w:rsidRPr="007133C8">
        <w:rPr>
          <w:rFonts w:asciiTheme="minorBidi" w:hAnsiTheme="minorBidi" w:cstheme="minorBidi"/>
          <w:szCs w:val="20"/>
          <w:lang w:val="de-DE"/>
        </w:rPr>
        <w:t xml:space="preserve">(2014). </w:t>
      </w:r>
      <w:r w:rsidRPr="004673CD">
        <w:rPr>
          <w:rFonts w:asciiTheme="minorBidi" w:hAnsiTheme="minorBidi" w:cstheme="minorBidi"/>
          <w:szCs w:val="20"/>
        </w:rPr>
        <w:t>Sialic acids in the brain: gangliosides and polysialic acid in nervous system development, stability, disease, and regeneration.   Physiological Reviews, 94(2)</w:t>
      </w:r>
      <w:r w:rsidR="00231BFB" w:rsidRPr="004673CD">
        <w:rPr>
          <w:rFonts w:asciiTheme="minorBidi" w:hAnsiTheme="minorBidi" w:cstheme="minorBidi"/>
          <w:szCs w:val="20"/>
        </w:rPr>
        <w:t>, 461</w:t>
      </w:r>
      <w:r w:rsidRPr="004673CD">
        <w:rPr>
          <w:rFonts w:asciiTheme="minorBidi" w:hAnsiTheme="minorBidi" w:cstheme="minorBidi"/>
          <w:szCs w:val="20"/>
        </w:rPr>
        <w:t>-518.</w:t>
      </w:r>
    </w:p>
    <w:p w14:paraId="0982BC58" w14:textId="76F94340" w:rsidR="00FB06F2" w:rsidRPr="007133C8" w:rsidRDefault="00FB06F2" w:rsidP="009D1C80">
      <w:pPr>
        <w:pStyle w:val="ListParagraph"/>
        <w:numPr>
          <w:ilvl w:val="0"/>
          <w:numId w:val="31"/>
        </w:numPr>
        <w:bidi w:val="0"/>
        <w:spacing w:line="276" w:lineRule="auto"/>
        <w:jc w:val="both"/>
        <w:rPr>
          <w:rFonts w:asciiTheme="minorBidi" w:hAnsiTheme="minorBidi" w:cstheme="minorBidi"/>
        </w:rPr>
      </w:pPr>
      <w:proofErr w:type="spellStart"/>
      <w:r w:rsidRPr="007133C8">
        <w:rPr>
          <w:rFonts w:asciiTheme="minorBidi" w:hAnsiTheme="minorBidi" w:cstheme="minorBidi"/>
        </w:rPr>
        <w:t>Bhide</w:t>
      </w:r>
      <w:proofErr w:type="spellEnd"/>
      <w:r w:rsidRPr="007133C8">
        <w:rPr>
          <w:rFonts w:asciiTheme="minorBidi" w:hAnsiTheme="minorBidi" w:cstheme="minorBidi"/>
        </w:rPr>
        <w:t xml:space="preserve"> GP, Colley KJ. </w:t>
      </w:r>
      <w:r w:rsidR="009D1C80">
        <w:rPr>
          <w:rFonts w:asciiTheme="minorBidi" w:hAnsiTheme="minorBidi" w:cstheme="minorBidi"/>
        </w:rPr>
        <w:t xml:space="preserve">(2017). </w:t>
      </w:r>
      <w:r w:rsidRPr="007133C8">
        <w:rPr>
          <w:rFonts w:asciiTheme="minorBidi" w:hAnsiTheme="minorBidi" w:cstheme="minorBidi"/>
        </w:rPr>
        <w:t>Sialylation of N-</w:t>
      </w:r>
      <w:proofErr w:type="spellStart"/>
      <w:r w:rsidRPr="007133C8">
        <w:rPr>
          <w:rFonts w:asciiTheme="minorBidi" w:hAnsiTheme="minorBidi" w:cstheme="minorBidi"/>
        </w:rPr>
        <w:t>glycans</w:t>
      </w:r>
      <w:proofErr w:type="spellEnd"/>
      <w:r w:rsidRPr="007133C8">
        <w:rPr>
          <w:rFonts w:asciiTheme="minorBidi" w:hAnsiTheme="minorBidi" w:cstheme="minorBidi"/>
        </w:rPr>
        <w:t>: mechanism, cellular compartmentalization and function</w:t>
      </w:r>
      <w:r w:rsidR="009D1C80" w:rsidRPr="009D1C80">
        <w:rPr>
          <w:rFonts w:asciiTheme="minorBidi" w:hAnsiTheme="minorBidi" w:cstheme="minorBidi"/>
        </w:rPr>
        <w:t xml:space="preserve">. </w:t>
      </w:r>
      <w:proofErr w:type="spellStart"/>
      <w:r w:rsidR="009D1C80" w:rsidRPr="009D1C80">
        <w:rPr>
          <w:rFonts w:asciiTheme="minorBidi" w:hAnsiTheme="minorBidi" w:cstheme="minorBidi"/>
        </w:rPr>
        <w:t>Histochem</w:t>
      </w:r>
      <w:proofErr w:type="spellEnd"/>
      <w:r w:rsidR="009D1C80" w:rsidRPr="009D1C80">
        <w:rPr>
          <w:rFonts w:asciiTheme="minorBidi" w:hAnsiTheme="minorBidi" w:cstheme="minorBidi"/>
        </w:rPr>
        <w:t xml:space="preserve"> Cell Biol</w:t>
      </w:r>
      <w:r w:rsidR="009D1C80">
        <w:rPr>
          <w:rFonts w:asciiTheme="minorBidi" w:hAnsiTheme="minorBidi" w:cstheme="minorBidi"/>
        </w:rPr>
        <w:t>,</w:t>
      </w:r>
      <w:r w:rsidRPr="007133C8">
        <w:rPr>
          <w:rFonts w:asciiTheme="minorBidi" w:hAnsiTheme="minorBidi" w:cstheme="minorBidi"/>
        </w:rPr>
        <w:t>147(2):149-174.</w:t>
      </w:r>
    </w:p>
    <w:p w14:paraId="7C0BC9DC" w14:textId="25634C6F" w:rsidR="00E95C5A" w:rsidRPr="00E95C5A" w:rsidRDefault="00E95C5A" w:rsidP="007133C8">
      <w:pPr>
        <w:pStyle w:val="ListParagraph"/>
        <w:numPr>
          <w:ilvl w:val="0"/>
          <w:numId w:val="31"/>
        </w:numPr>
        <w:bidi w:val="0"/>
        <w:spacing w:line="276" w:lineRule="auto"/>
        <w:rPr>
          <w:rFonts w:asciiTheme="minorBidi" w:hAnsiTheme="minorBidi" w:cstheme="minorBidi"/>
        </w:rPr>
      </w:pPr>
      <w:r w:rsidRPr="007133C8">
        <w:rPr>
          <w:rFonts w:asciiTheme="minorBidi" w:hAnsiTheme="minorBidi" w:cstheme="minorBidi"/>
        </w:rPr>
        <w:t xml:space="preserve">Montag N, </w:t>
      </w:r>
      <w:proofErr w:type="spellStart"/>
      <w:r w:rsidRPr="007133C8">
        <w:rPr>
          <w:rFonts w:asciiTheme="minorBidi" w:hAnsiTheme="minorBidi" w:cstheme="minorBidi"/>
        </w:rPr>
        <w:t>Gousis</w:t>
      </w:r>
      <w:proofErr w:type="spellEnd"/>
      <w:r w:rsidRPr="007133C8">
        <w:rPr>
          <w:rFonts w:asciiTheme="minorBidi" w:hAnsiTheme="minorBidi" w:cstheme="minorBidi"/>
        </w:rPr>
        <w:t xml:space="preserve"> P, </w:t>
      </w:r>
      <w:proofErr w:type="spellStart"/>
      <w:r w:rsidRPr="007133C8">
        <w:rPr>
          <w:rFonts w:asciiTheme="minorBidi" w:hAnsiTheme="minorBidi" w:cstheme="minorBidi"/>
        </w:rPr>
        <w:t>Wittmann</w:t>
      </w:r>
      <w:proofErr w:type="spellEnd"/>
      <w:r w:rsidRPr="007133C8">
        <w:rPr>
          <w:rFonts w:asciiTheme="minorBidi" w:hAnsiTheme="minorBidi" w:cstheme="minorBidi"/>
        </w:rPr>
        <w:t xml:space="preserve"> J. </w:t>
      </w:r>
      <w:r>
        <w:rPr>
          <w:rFonts w:asciiTheme="minorBidi" w:hAnsiTheme="minorBidi" w:cstheme="minorBidi"/>
        </w:rPr>
        <w:t xml:space="preserve">(2025). </w:t>
      </w:r>
      <w:r w:rsidRPr="007133C8">
        <w:rPr>
          <w:rFonts w:asciiTheme="minorBidi" w:hAnsiTheme="minorBidi" w:cstheme="minorBidi"/>
        </w:rPr>
        <w:t>The emerging role of GlycoRNAs in immune regulatio</w:t>
      </w:r>
      <w:r w:rsidRPr="00E95C5A">
        <w:rPr>
          <w:rFonts w:asciiTheme="minorBidi" w:hAnsiTheme="minorBidi" w:cstheme="minorBidi"/>
        </w:rPr>
        <w:t xml:space="preserve">n and recognition. </w:t>
      </w:r>
      <w:proofErr w:type="spellStart"/>
      <w:r w:rsidRPr="00E95C5A">
        <w:rPr>
          <w:rFonts w:asciiTheme="minorBidi" w:hAnsiTheme="minorBidi" w:cstheme="minorBidi"/>
        </w:rPr>
        <w:t>Immunol</w:t>
      </w:r>
      <w:proofErr w:type="spellEnd"/>
      <w:r w:rsidRPr="00E95C5A">
        <w:rPr>
          <w:rFonts w:asciiTheme="minorBidi" w:hAnsiTheme="minorBidi" w:cstheme="minorBidi"/>
        </w:rPr>
        <w:t xml:space="preserve"> Lett</w:t>
      </w:r>
      <w:r>
        <w:rPr>
          <w:rFonts w:asciiTheme="minorBidi" w:hAnsiTheme="minorBidi" w:cstheme="minorBidi"/>
        </w:rPr>
        <w:t>,</w:t>
      </w:r>
      <w:r w:rsidRPr="007133C8">
        <w:rPr>
          <w:rFonts w:asciiTheme="minorBidi" w:hAnsiTheme="minorBidi" w:cstheme="minorBidi"/>
        </w:rPr>
        <w:t xml:space="preserve"> 276:107048.</w:t>
      </w:r>
    </w:p>
    <w:p w14:paraId="2B744ABF" w14:textId="77777777" w:rsidR="00C2139B" w:rsidRPr="00E95C5A" w:rsidRDefault="00C2139B" w:rsidP="007133C8">
      <w:pPr>
        <w:pStyle w:val="ListParagraph"/>
        <w:bidi w:val="0"/>
        <w:ind w:left="360"/>
        <w:rPr>
          <w:rFonts w:asciiTheme="minorBidi" w:hAnsiTheme="minorBidi" w:cstheme="minorBidi"/>
        </w:rPr>
      </w:pPr>
    </w:p>
    <w:p w14:paraId="27645442" w14:textId="77777777" w:rsidR="004D4277" w:rsidRPr="00FB3A86" w:rsidRDefault="00B01FCD" w:rsidP="00441B6F">
      <w:pPr>
        <w:pStyle w:val="Appendix"/>
        <w:spacing w:after="0"/>
        <w:jc w:val="both"/>
        <w:rPr>
          <w:rFonts w:ascii="Arial" w:hAnsi="Arial" w:cs="Arial"/>
          <w:b w:val="0"/>
        </w:rPr>
        <w:sectPr w:rsidR="004D4277" w:rsidRPr="00FB3A86" w:rsidSect="003B50BA">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F013DC5" w14:textId="77777777" w:rsidR="00B01FCD" w:rsidRDefault="0022576B" w:rsidP="00441B6F">
      <w:pPr>
        <w:pStyle w:val="Appendix"/>
        <w:spacing w:after="0"/>
        <w:jc w:val="both"/>
        <w:rPr>
          <w:rFonts w:ascii="Arial" w:hAnsi="Arial" w:cs="Arial"/>
          <w:b w:val="0"/>
        </w:rPr>
      </w:pPr>
      <w:r>
        <w:rPr>
          <w:rFonts w:asciiTheme="majorBidi" w:hAnsiTheme="majorBidi" w:cstheme="majorBidi"/>
          <w:b w:val="0"/>
          <w:bCs/>
          <w:noProof/>
          <w:sz w:val="28"/>
          <w:szCs w:val="28"/>
        </w:rPr>
        <w:lastRenderedPageBreak/>
        <w:drawing>
          <wp:anchor distT="0" distB="0" distL="114300" distR="114300" simplePos="0" relativeHeight="251661312" behindDoc="1" locked="0" layoutInCell="1" allowOverlap="1" wp14:anchorId="288E7E6A" wp14:editId="7D946AAB">
            <wp:simplePos x="0" y="0"/>
            <wp:positionH relativeFrom="margin">
              <wp:align>left</wp:align>
            </wp:positionH>
            <wp:positionV relativeFrom="paragraph">
              <wp:posOffset>76200</wp:posOffset>
            </wp:positionV>
            <wp:extent cx="5553075" cy="3366719"/>
            <wp:effectExtent l="0" t="0" r="0" b="5715"/>
            <wp:wrapTight wrapText="bothSides">
              <wp:wrapPolygon edited="0">
                <wp:start x="0" y="0"/>
                <wp:lineTo x="0" y="21514"/>
                <wp:lineTo x="21489" y="21514"/>
                <wp:lineTo x="21489"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A.jpg"/>
                    <pic:cNvPicPr/>
                  </pic:nvPicPr>
                  <pic:blipFill rotWithShape="1">
                    <a:blip r:embed="rId30">
                      <a:extLst>
                        <a:ext uri="{28A0092B-C50C-407E-A947-70E740481C1C}">
                          <a14:useLocalDpi xmlns:a14="http://schemas.microsoft.com/office/drawing/2010/main" val="0"/>
                        </a:ext>
                      </a:extLst>
                    </a:blip>
                    <a:srcRect l="17117" t="12114" r="14082" b="13729"/>
                    <a:stretch/>
                  </pic:blipFill>
                  <pic:spPr bwMode="auto">
                    <a:xfrm>
                      <a:off x="0" y="0"/>
                      <a:ext cx="5553075" cy="3366719"/>
                    </a:xfrm>
                    <a:prstGeom prst="rect">
                      <a:avLst/>
                    </a:prstGeom>
                    <a:ln>
                      <a:noFill/>
                    </a:ln>
                    <a:extLst>
                      <a:ext uri="{53640926-AAD7-44D8-BBD7-CCE9431645EC}">
                        <a14:shadowObscured xmlns:a14="http://schemas.microsoft.com/office/drawing/2010/main"/>
                      </a:ext>
                    </a:extLst>
                  </pic:spPr>
                </pic:pic>
              </a:graphicData>
            </a:graphic>
          </wp:anchor>
        </w:drawing>
      </w:r>
    </w:p>
    <w:p w14:paraId="7DAB8794" w14:textId="77777777" w:rsidR="00C2139B" w:rsidRPr="00C2139B" w:rsidRDefault="00C2139B" w:rsidP="0022576B">
      <w:pPr>
        <w:tabs>
          <w:tab w:val="left" w:pos="8261"/>
        </w:tabs>
        <w:ind w:left="1418"/>
        <w:jc w:val="center"/>
        <w:rPr>
          <w:rFonts w:asciiTheme="minorBidi" w:hAnsiTheme="minorBidi" w:cstheme="minorBidi"/>
          <w:b/>
          <w:bCs/>
        </w:rPr>
      </w:pPr>
      <w:r w:rsidRPr="00C2139B">
        <w:rPr>
          <w:rFonts w:asciiTheme="minorBidi" w:hAnsiTheme="minorBidi" w:cstheme="minorBidi"/>
          <w:b/>
          <w:bCs/>
        </w:rPr>
        <w:t>Graphic abstract</w:t>
      </w:r>
    </w:p>
    <w:p w14:paraId="387D30E0" w14:textId="77777777" w:rsidR="00C2139B" w:rsidRPr="00FB3A86" w:rsidRDefault="00C2139B" w:rsidP="00441B6F">
      <w:pPr>
        <w:pStyle w:val="Appendix"/>
        <w:spacing w:after="0"/>
        <w:jc w:val="both"/>
        <w:rPr>
          <w:rFonts w:ascii="Arial" w:hAnsi="Arial" w:cs="Arial"/>
          <w:b w:val="0"/>
        </w:rPr>
      </w:pPr>
    </w:p>
    <w:sectPr w:rsidR="00C2139B" w:rsidRPr="00FB3A86" w:rsidSect="003B50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B50E" w14:textId="77777777" w:rsidR="00B35593" w:rsidRDefault="00B35593" w:rsidP="00C37E61">
      <w:r>
        <w:separator/>
      </w:r>
    </w:p>
  </w:endnote>
  <w:endnote w:type="continuationSeparator" w:id="0">
    <w:p w14:paraId="52C6A53F" w14:textId="77777777" w:rsidR="00B35593" w:rsidRDefault="00B355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C4EA" w14:textId="77777777" w:rsidR="004704F6" w:rsidRDefault="004704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96F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B186" w14:textId="77777777" w:rsidR="004704F6" w:rsidRDefault="004704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8E1F" w14:textId="77777777" w:rsidR="00B35593" w:rsidRDefault="00B35593" w:rsidP="00C37E61">
      <w:r>
        <w:separator/>
      </w:r>
    </w:p>
  </w:footnote>
  <w:footnote w:type="continuationSeparator" w:id="0">
    <w:p w14:paraId="76E516C4" w14:textId="77777777" w:rsidR="00B35593" w:rsidRDefault="00B3559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562E2" w14:textId="41B43651" w:rsidR="004704F6" w:rsidRDefault="00B35593">
    <w:pPr>
      <w:pStyle w:val="Header"/>
    </w:pPr>
    <w:r>
      <w:rPr>
        <w:noProof/>
      </w:rPr>
      <w:pict w14:anchorId="1FACC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3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8C1E" w14:textId="2AC1CFD5" w:rsidR="004704F6" w:rsidRDefault="00B35593">
    <w:pPr>
      <w:pStyle w:val="Header"/>
    </w:pPr>
    <w:r>
      <w:rPr>
        <w:noProof/>
      </w:rPr>
      <w:pict w14:anchorId="5A167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3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AE7C" w14:textId="1EF7591E" w:rsidR="004704F6" w:rsidRDefault="00B35593">
    <w:pPr>
      <w:pStyle w:val="Header"/>
    </w:pPr>
    <w:r>
      <w:rPr>
        <w:noProof/>
      </w:rPr>
      <w:pict w14:anchorId="3255C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324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54C46"/>
    <w:multiLevelType w:val="hybridMultilevel"/>
    <w:tmpl w:val="F0FEE6B2"/>
    <w:lvl w:ilvl="0" w:tplc="8B7EC5D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66DD"/>
    <w:rsid w:val="00030174"/>
    <w:rsid w:val="0004579C"/>
    <w:rsid w:val="00070823"/>
    <w:rsid w:val="00073F88"/>
    <w:rsid w:val="00085DC8"/>
    <w:rsid w:val="000A47FA"/>
    <w:rsid w:val="000A65D3"/>
    <w:rsid w:val="000B1E33"/>
    <w:rsid w:val="000B7CD2"/>
    <w:rsid w:val="000C3310"/>
    <w:rsid w:val="000D689F"/>
    <w:rsid w:val="000E7B7B"/>
    <w:rsid w:val="000E7D62"/>
    <w:rsid w:val="000F1F2F"/>
    <w:rsid w:val="000F7EF6"/>
    <w:rsid w:val="00103357"/>
    <w:rsid w:val="00105435"/>
    <w:rsid w:val="00111A34"/>
    <w:rsid w:val="00116CA0"/>
    <w:rsid w:val="00123C9F"/>
    <w:rsid w:val="00126190"/>
    <w:rsid w:val="00127C16"/>
    <w:rsid w:val="00130F17"/>
    <w:rsid w:val="001320BF"/>
    <w:rsid w:val="00134633"/>
    <w:rsid w:val="00145052"/>
    <w:rsid w:val="00152BF0"/>
    <w:rsid w:val="00157930"/>
    <w:rsid w:val="00163BC4"/>
    <w:rsid w:val="00191062"/>
    <w:rsid w:val="00192B72"/>
    <w:rsid w:val="001A29D8"/>
    <w:rsid w:val="001A29EF"/>
    <w:rsid w:val="001A5CAA"/>
    <w:rsid w:val="001B0427"/>
    <w:rsid w:val="001C416C"/>
    <w:rsid w:val="001D3A51"/>
    <w:rsid w:val="001E10D2"/>
    <w:rsid w:val="001E25B4"/>
    <w:rsid w:val="001E2635"/>
    <w:rsid w:val="001E3E7C"/>
    <w:rsid w:val="001E44FE"/>
    <w:rsid w:val="001F0D52"/>
    <w:rsid w:val="001F52D3"/>
    <w:rsid w:val="00200595"/>
    <w:rsid w:val="00204835"/>
    <w:rsid w:val="00205F5D"/>
    <w:rsid w:val="00207CD0"/>
    <w:rsid w:val="0022576B"/>
    <w:rsid w:val="00231920"/>
    <w:rsid w:val="0023195C"/>
    <w:rsid w:val="00231BFB"/>
    <w:rsid w:val="0024282C"/>
    <w:rsid w:val="002460DC"/>
    <w:rsid w:val="002468BC"/>
    <w:rsid w:val="00250985"/>
    <w:rsid w:val="002556F6"/>
    <w:rsid w:val="0025786E"/>
    <w:rsid w:val="00271843"/>
    <w:rsid w:val="00283105"/>
    <w:rsid w:val="00284C4C"/>
    <w:rsid w:val="00287E68"/>
    <w:rsid w:val="00296529"/>
    <w:rsid w:val="002A36F8"/>
    <w:rsid w:val="002B27FB"/>
    <w:rsid w:val="002B685A"/>
    <w:rsid w:val="002C57D2"/>
    <w:rsid w:val="002E0D56"/>
    <w:rsid w:val="00311815"/>
    <w:rsid w:val="00315065"/>
    <w:rsid w:val="00315186"/>
    <w:rsid w:val="00326A7B"/>
    <w:rsid w:val="0033343E"/>
    <w:rsid w:val="003512C2"/>
    <w:rsid w:val="00370308"/>
    <w:rsid w:val="00371133"/>
    <w:rsid w:val="00371FB6"/>
    <w:rsid w:val="003763C1"/>
    <w:rsid w:val="00376BBE"/>
    <w:rsid w:val="00383587"/>
    <w:rsid w:val="0039224F"/>
    <w:rsid w:val="003A43A4"/>
    <w:rsid w:val="003A7E18"/>
    <w:rsid w:val="003B50BA"/>
    <w:rsid w:val="003C4C86"/>
    <w:rsid w:val="003C6258"/>
    <w:rsid w:val="003D09D8"/>
    <w:rsid w:val="003E2904"/>
    <w:rsid w:val="00401927"/>
    <w:rsid w:val="0041027F"/>
    <w:rsid w:val="00412475"/>
    <w:rsid w:val="00423789"/>
    <w:rsid w:val="004303F5"/>
    <w:rsid w:val="00440F43"/>
    <w:rsid w:val="00441B6F"/>
    <w:rsid w:val="00446221"/>
    <w:rsid w:val="00450E62"/>
    <w:rsid w:val="004539DB"/>
    <w:rsid w:val="004673CD"/>
    <w:rsid w:val="004704F6"/>
    <w:rsid w:val="00471A80"/>
    <w:rsid w:val="0048124B"/>
    <w:rsid w:val="004D305E"/>
    <w:rsid w:val="004D4277"/>
    <w:rsid w:val="004E5A6E"/>
    <w:rsid w:val="00502516"/>
    <w:rsid w:val="00505F06"/>
    <w:rsid w:val="00506828"/>
    <w:rsid w:val="00511BEC"/>
    <w:rsid w:val="0052069F"/>
    <w:rsid w:val="00520835"/>
    <w:rsid w:val="0053056E"/>
    <w:rsid w:val="00554FDA"/>
    <w:rsid w:val="00570520"/>
    <w:rsid w:val="005B4C00"/>
    <w:rsid w:val="005C784C"/>
    <w:rsid w:val="005D0BDB"/>
    <w:rsid w:val="005D17F6"/>
    <w:rsid w:val="005E5539"/>
    <w:rsid w:val="00602BF5"/>
    <w:rsid w:val="006108FC"/>
    <w:rsid w:val="0061493F"/>
    <w:rsid w:val="00617FDD"/>
    <w:rsid w:val="00621C2B"/>
    <w:rsid w:val="00622726"/>
    <w:rsid w:val="00633614"/>
    <w:rsid w:val="00633F68"/>
    <w:rsid w:val="00636EB2"/>
    <w:rsid w:val="006375B8"/>
    <w:rsid w:val="0066510A"/>
    <w:rsid w:val="006654D9"/>
    <w:rsid w:val="00673F9F"/>
    <w:rsid w:val="00684C24"/>
    <w:rsid w:val="00686953"/>
    <w:rsid w:val="00687DEA"/>
    <w:rsid w:val="00687E67"/>
    <w:rsid w:val="006967F7"/>
    <w:rsid w:val="006A250C"/>
    <w:rsid w:val="006B21D3"/>
    <w:rsid w:val="006B57D0"/>
    <w:rsid w:val="006D30FF"/>
    <w:rsid w:val="006D6940"/>
    <w:rsid w:val="006E72B4"/>
    <w:rsid w:val="006E7BE1"/>
    <w:rsid w:val="006F11EC"/>
    <w:rsid w:val="0070082C"/>
    <w:rsid w:val="007071FB"/>
    <w:rsid w:val="007133C8"/>
    <w:rsid w:val="00726141"/>
    <w:rsid w:val="007369E6"/>
    <w:rsid w:val="0074529A"/>
    <w:rsid w:val="00746E59"/>
    <w:rsid w:val="00747927"/>
    <w:rsid w:val="00754C9A"/>
    <w:rsid w:val="0075599A"/>
    <w:rsid w:val="0076105C"/>
    <w:rsid w:val="00761D52"/>
    <w:rsid w:val="0077749E"/>
    <w:rsid w:val="00785203"/>
    <w:rsid w:val="0078762E"/>
    <w:rsid w:val="00790ADA"/>
    <w:rsid w:val="007A0D46"/>
    <w:rsid w:val="007D2288"/>
    <w:rsid w:val="007D598D"/>
    <w:rsid w:val="007E088F"/>
    <w:rsid w:val="007F7B32"/>
    <w:rsid w:val="00804BC2"/>
    <w:rsid w:val="008141FF"/>
    <w:rsid w:val="0081431A"/>
    <w:rsid w:val="00824668"/>
    <w:rsid w:val="0083216F"/>
    <w:rsid w:val="00860000"/>
    <w:rsid w:val="00863BD3"/>
    <w:rsid w:val="008641ED"/>
    <w:rsid w:val="00866D66"/>
    <w:rsid w:val="008671C6"/>
    <w:rsid w:val="00875803"/>
    <w:rsid w:val="00880C3A"/>
    <w:rsid w:val="00885660"/>
    <w:rsid w:val="008B459E"/>
    <w:rsid w:val="008D7EC6"/>
    <w:rsid w:val="008E13AE"/>
    <w:rsid w:val="008E1506"/>
    <w:rsid w:val="008E65F7"/>
    <w:rsid w:val="008E710C"/>
    <w:rsid w:val="008F41C5"/>
    <w:rsid w:val="008F69D6"/>
    <w:rsid w:val="00902823"/>
    <w:rsid w:val="009134EC"/>
    <w:rsid w:val="00915CA6"/>
    <w:rsid w:val="009176B9"/>
    <w:rsid w:val="00920346"/>
    <w:rsid w:val="00927834"/>
    <w:rsid w:val="009500A6"/>
    <w:rsid w:val="00957C18"/>
    <w:rsid w:val="00962166"/>
    <w:rsid w:val="009659BA"/>
    <w:rsid w:val="00983040"/>
    <w:rsid w:val="009A2C44"/>
    <w:rsid w:val="009A4CD0"/>
    <w:rsid w:val="009B3FB9"/>
    <w:rsid w:val="009C2465"/>
    <w:rsid w:val="009D1C80"/>
    <w:rsid w:val="009D35A0"/>
    <w:rsid w:val="009D7EB7"/>
    <w:rsid w:val="009E048A"/>
    <w:rsid w:val="009E08E9"/>
    <w:rsid w:val="009E1360"/>
    <w:rsid w:val="009E3600"/>
    <w:rsid w:val="009E3DB9"/>
    <w:rsid w:val="009E6E35"/>
    <w:rsid w:val="009F0EDA"/>
    <w:rsid w:val="00A03B96"/>
    <w:rsid w:val="00A05B19"/>
    <w:rsid w:val="00A1134E"/>
    <w:rsid w:val="00A24E7E"/>
    <w:rsid w:val="00A258C3"/>
    <w:rsid w:val="00A347C0"/>
    <w:rsid w:val="00A503AF"/>
    <w:rsid w:val="00A51431"/>
    <w:rsid w:val="00A539AD"/>
    <w:rsid w:val="00A73C7F"/>
    <w:rsid w:val="00A93374"/>
    <w:rsid w:val="00A94063"/>
    <w:rsid w:val="00AA533C"/>
    <w:rsid w:val="00AA6219"/>
    <w:rsid w:val="00AA74E0"/>
    <w:rsid w:val="00AB703F"/>
    <w:rsid w:val="00AC6BB8"/>
    <w:rsid w:val="00AE008F"/>
    <w:rsid w:val="00B01FCD"/>
    <w:rsid w:val="00B02857"/>
    <w:rsid w:val="00B1776C"/>
    <w:rsid w:val="00B35593"/>
    <w:rsid w:val="00B52583"/>
    <w:rsid w:val="00B52896"/>
    <w:rsid w:val="00B57E26"/>
    <w:rsid w:val="00B66B80"/>
    <w:rsid w:val="00B80AC0"/>
    <w:rsid w:val="00B86974"/>
    <w:rsid w:val="00B95236"/>
    <w:rsid w:val="00B9641C"/>
    <w:rsid w:val="00B96BD9"/>
    <w:rsid w:val="00BA1B01"/>
    <w:rsid w:val="00BA2641"/>
    <w:rsid w:val="00BB37AA"/>
    <w:rsid w:val="00BC53A0"/>
    <w:rsid w:val="00BD7C86"/>
    <w:rsid w:val="00BE2892"/>
    <w:rsid w:val="00BE62AD"/>
    <w:rsid w:val="00BF121F"/>
    <w:rsid w:val="00BF1F80"/>
    <w:rsid w:val="00C036D4"/>
    <w:rsid w:val="00C166EF"/>
    <w:rsid w:val="00C17EB0"/>
    <w:rsid w:val="00C2139B"/>
    <w:rsid w:val="00C27F5F"/>
    <w:rsid w:val="00C30A0F"/>
    <w:rsid w:val="00C37E61"/>
    <w:rsid w:val="00C61F8A"/>
    <w:rsid w:val="00C63BA8"/>
    <w:rsid w:val="00C67452"/>
    <w:rsid w:val="00C70F1B"/>
    <w:rsid w:val="00C71A47"/>
    <w:rsid w:val="00C7464C"/>
    <w:rsid w:val="00C85588"/>
    <w:rsid w:val="00C9463B"/>
    <w:rsid w:val="00CD6755"/>
    <w:rsid w:val="00CD6856"/>
    <w:rsid w:val="00CE0089"/>
    <w:rsid w:val="00CE21D5"/>
    <w:rsid w:val="00CE793C"/>
    <w:rsid w:val="00CF08B2"/>
    <w:rsid w:val="00CF193C"/>
    <w:rsid w:val="00D173F1"/>
    <w:rsid w:val="00D17BBC"/>
    <w:rsid w:val="00D370E1"/>
    <w:rsid w:val="00D74CB0"/>
    <w:rsid w:val="00D8295D"/>
    <w:rsid w:val="00DA7FEF"/>
    <w:rsid w:val="00DC2A65"/>
    <w:rsid w:val="00DD1A58"/>
    <w:rsid w:val="00DD1AF8"/>
    <w:rsid w:val="00DD526E"/>
    <w:rsid w:val="00DE15F0"/>
    <w:rsid w:val="00DE5663"/>
    <w:rsid w:val="00DE78AA"/>
    <w:rsid w:val="00E01B40"/>
    <w:rsid w:val="00E053D0"/>
    <w:rsid w:val="00E15994"/>
    <w:rsid w:val="00E3114E"/>
    <w:rsid w:val="00E31A70"/>
    <w:rsid w:val="00E34ED4"/>
    <w:rsid w:val="00E35B02"/>
    <w:rsid w:val="00E66496"/>
    <w:rsid w:val="00E66B35"/>
    <w:rsid w:val="00E66E10"/>
    <w:rsid w:val="00E769F6"/>
    <w:rsid w:val="00E8407C"/>
    <w:rsid w:val="00E84F3C"/>
    <w:rsid w:val="00E95C5A"/>
    <w:rsid w:val="00EA012C"/>
    <w:rsid w:val="00EC589F"/>
    <w:rsid w:val="00EC6A55"/>
    <w:rsid w:val="00EC73DD"/>
    <w:rsid w:val="00ED0288"/>
    <w:rsid w:val="00EE52CB"/>
    <w:rsid w:val="00EF4FBA"/>
    <w:rsid w:val="00EF581D"/>
    <w:rsid w:val="00EF68ED"/>
    <w:rsid w:val="00EF7FD8"/>
    <w:rsid w:val="00F06F59"/>
    <w:rsid w:val="00F17988"/>
    <w:rsid w:val="00F21F19"/>
    <w:rsid w:val="00F469F0"/>
    <w:rsid w:val="00F53273"/>
    <w:rsid w:val="00F7199D"/>
    <w:rsid w:val="00F755E4"/>
    <w:rsid w:val="00F762EF"/>
    <w:rsid w:val="00F77D02"/>
    <w:rsid w:val="00F841B7"/>
    <w:rsid w:val="00FA0CF5"/>
    <w:rsid w:val="00FA70FF"/>
    <w:rsid w:val="00FB06F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1EAD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856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85660"/>
    <w:rPr>
      <w:rFonts w:asciiTheme="majorHAnsi" w:eastAsiaTheme="majorEastAsia" w:hAnsiTheme="majorHAnsi" w:cstheme="majorBidi"/>
      <w:color w:val="243F60" w:themeColor="accent1" w:themeShade="7F"/>
      <w:sz w:val="24"/>
      <w:szCs w:val="24"/>
    </w:rPr>
  </w:style>
  <w:style w:type="paragraph" w:customStyle="1" w:styleId="p">
    <w:name w:val="p"/>
    <w:basedOn w:val="Normal"/>
    <w:rsid w:val="00885660"/>
    <w:pPr>
      <w:spacing w:before="100" w:beforeAutospacing="1" w:after="100" w:afterAutospacing="1"/>
    </w:pPr>
    <w:rPr>
      <w:rFonts w:ascii="Times New Roman" w:hAnsi="Times New Roman"/>
      <w:sz w:val="24"/>
      <w:szCs w:val="24"/>
      <w:lang w:bidi="fa-IR"/>
    </w:rPr>
  </w:style>
  <w:style w:type="character" w:customStyle="1" w:styleId="hgkelc">
    <w:name w:val="hgkelc"/>
    <w:basedOn w:val="DefaultParagraphFont"/>
    <w:rsid w:val="00885660"/>
  </w:style>
  <w:style w:type="table" w:customStyle="1" w:styleId="GridTable4-Accent51">
    <w:name w:val="Grid Table 4 - Accent 51"/>
    <w:basedOn w:val="TableNormal"/>
    <w:uiPriority w:val="49"/>
    <w:rsid w:val="00885660"/>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TMLPreformatted">
    <w:name w:val="HTML Preformatted"/>
    <w:basedOn w:val="Normal"/>
    <w:link w:val="HTMLPreformattedChar"/>
    <w:uiPriority w:val="99"/>
    <w:unhideWhenUsed/>
    <w:rsid w:val="0088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85660"/>
    <w:rPr>
      <w:rFonts w:ascii="Courier New" w:hAnsi="Courier New" w:cs="Courier New"/>
    </w:rPr>
  </w:style>
  <w:style w:type="table" w:styleId="PlainTable2">
    <w:name w:val="Plain Table 2"/>
    <w:basedOn w:val="TableNormal"/>
    <w:uiPriority w:val="42"/>
    <w:rsid w:val="00CF08B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2139B"/>
    <w:pPr>
      <w:bidi/>
      <w:ind w:left="720"/>
      <w:contextualSpacing/>
    </w:pPr>
    <w:rPr>
      <w:rFonts w:ascii="Times New Roman" w:hAnsi="Times New Roman" w:cs="Traditional Arabic"/>
      <w:szCs w:val="24"/>
      <w:lang w:bidi="fa-IR"/>
    </w:rPr>
  </w:style>
  <w:style w:type="character" w:customStyle="1" w:styleId="UnresolvedMention">
    <w:name w:val="Unresolved Mention"/>
    <w:basedOn w:val="DefaultParagraphFont"/>
    <w:uiPriority w:val="99"/>
    <w:semiHidden/>
    <w:unhideWhenUsed/>
    <w:rsid w:val="0078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038191">
      <w:bodyDiv w:val="1"/>
      <w:marLeft w:val="0"/>
      <w:marRight w:val="0"/>
      <w:marTop w:val="0"/>
      <w:marBottom w:val="0"/>
      <w:divBdr>
        <w:top w:val="none" w:sz="0" w:space="0" w:color="auto"/>
        <w:left w:val="none" w:sz="0" w:space="0" w:color="auto"/>
        <w:bottom w:val="none" w:sz="0" w:space="0" w:color="auto"/>
        <w:right w:val="none" w:sz="0" w:space="0" w:color="auto"/>
      </w:divBdr>
      <w:divsChild>
        <w:div w:id="211042956">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0665843">
      <w:bodyDiv w:val="1"/>
      <w:marLeft w:val="0"/>
      <w:marRight w:val="0"/>
      <w:marTop w:val="0"/>
      <w:marBottom w:val="0"/>
      <w:divBdr>
        <w:top w:val="none" w:sz="0" w:space="0" w:color="auto"/>
        <w:left w:val="none" w:sz="0" w:space="0" w:color="auto"/>
        <w:bottom w:val="none" w:sz="0" w:space="0" w:color="auto"/>
        <w:right w:val="none" w:sz="0" w:space="0" w:color="auto"/>
      </w:divBdr>
      <w:divsChild>
        <w:div w:id="7425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cbi.nlm.nih.gov/pmc/articles/PMC6963943/" TargetMode="External"/><Relationship Id="rId18" Type="http://schemas.openxmlformats.org/officeDocument/2006/relationships/hyperlink" Target="https://www.ncbi.nlm.nih.gov/entrez/eutils/elink.fcgi?dbfrom=pubmed&amp;retmode=ref&amp;cmd=prlinks&amp;id=2269931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nlinelibrary.wiley.com/action/doSearch?ContribAuthorStored=Harada-Shirado,+Kayo" TargetMode="External"/><Relationship Id="rId7" Type="http://schemas.openxmlformats.org/officeDocument/2006/relationships/endnotes" Target="endnotes.xml"/><Relationship Id="rId12" Type="http://schemas.openxmlformats.org/officeDocument/2006/relationships/hyperlink" Target="https://www.ncbi.nlm.nih.gov/pubmed/?term=Scott%20E%5bAuthor%5d&amp;cauthor=true&amp;cauthor_uid=31614918" TargetMode="External"/><Relationship Id="rId17" Type="http://schemas.openxmlformats.org/officeDocument/2006/relationships/hyperlink" Target="https://www.ncbi.nlm.nih.gov/pubmed/?term=Swindall%20AF%5bAuthor%5d&amp;cauthor=true&amp;cauthor_uid=2269931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cbi.nlm.nih.gov/pubmed/?term=Schultz%20MJ%5bAuthor%5d&amp;cauthor=true&amp;cauthor_uid=22699311" TargetMode="External"/><Relationship Id="rId20" Type="http://schemas.openxmlformats.org/officeDocument/2006/relationships/hyperlink" Target="https://www.ncbi.nlm.nih.gov/pubmed/?term=Hassell%20KN%5bAuthor%5d&amp;cauthor=true&amp;cauthor_uid=3168380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Munkley%20J%5bAuthor%5d&amp;cauthor=true&amp;cauthor_uid=31614918"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cr.amegroups.com/issue/view/209" TargetMode="External"/><Relationship Id="rId23" Type="http://schemas.openxmlformats.org/officeDocument/2006/relationships/hyperlink" Target="https://onlinelibrary.wiley.com/action/doSearch?ContribAuthorStored=Ikeda,+Kazuhiko" TargetMode="External"/><Relationship Id="rId28" Type="http://schemas.openxmlformats.org/officeDocument/2006/relationships/header" Target="header3.xml"/><Relationship Id="rId10" Type="http://schemas.openxmlformats.org/officeDocument/2006/relationships/hyperlink" Target="https://www.frontiersin.org/people/u/902693" TargetMode="External"/><Relationship Id="rId19" Type="http://schemas.openxmlformats.org/officeDocument/2006/relationships/hyperlink" Target="https://www.ncbi.nlm.nih.gov/pubmed/?term=Hassell%20KN%5bAuthor%5d&amp;cauthor=true&amp;cauthor_uid=3168380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stemcellres.biomedcentral.com/" TargetMode="External"/><Relationship Id="rId22" Type="http://schemas.openxmlformats.org/officeDocument/2006/relationships/hyperlink" Target="https://onlinelibrary.wiley.com/action/doSearch?ContribAuthorStored=Harada-Shirado,+Kayo" TargetMode="External"/><Relationship Id="rId27" Type="http://schemas.openxmlformats.org/officeDocument/2006/relationships/footer" Target="footer2.xml"/><Relationship Id="rId30"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00\&#1662;&#1575;&#1740;&#1575;&#1606;%20&#1606;&#1575;&#1605;&#1607;\HMGA1+HMGA2-G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00\&#1662;&#1575;&#1740;&#1575;&#1606;%20&#1606;&#1575;&#1605;&#1607;\HMGA1+HMGA2-G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i="1">
                <a:latin typeface="Times New Roman" panose="02020603050405020304" pitchFamily="18" charset="0"/>
                <a:cs typeface="Times New Roman" panose="02020603050405020304" pitchFamily="18" charset="0"/>
              </a:rPr>
              <a:t>HMGA1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solidFill>
              <a:srgbClr val="FF0000"/>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plus"/>
            <c:errValType val="cust"/>
            <c:noEndCap val="0"/>
            <c:plus>
              <c:numRef>
                <c:f>'HMGA1 (GBM)'!$I$6:$L$6</c:f>
                <c:numCache>
                  <c:formatCode>General</c:formatCode>
                  <c:ptCount val="4"/>
                  <c:pt idx="0">
                    <c:v>0</c:v>
                  </c:pt>
                  <c:pt idx="1">
                    <c:v>1.7708372535101491</c:v>
                  </c:pt>
                  <c:pt idx="2">
                    <c:v>5.6675749221803216</c:v>
                  </c:pt>
                  <c:pt idx="3">
                    <c:v>0.90004959281527064</c:v>
                  </c:pt>
                </c:numCache>
              </c:numRef>
            </c:plus>
            <c:minus>
              <c:numLit>
                <c:formatCode>General</c:formatCode>
                <c:ptCount val="1"/>
                <c:pt idx="0">
                  <c:v>1</c:v>
                </c:pt>
              </c:numLit>
            </c:minus>
            <c:spPr>
              <a:noFill/>
              <a:ln w="9525">
                <a:solidFill>
                  <a:schemeClr val="tx2">
                    <a:lumMod val="75000"/>
                    <a:lumOff val="25000"/>
                  </a:schemeClr>
                </a:solidFill>
                <a:round/>
              </a:ln>
              <a:effectLst/>
            </c:spPr>
          </c:errBars>
          <c:cat>
            <c:strRef>
              <c:f>'HMGA1 (GBM)'!$H$10:$H$13</c:f>
              <c:strCache>
                <c:ptCount val="4"/>
                <c:pt idx="0">
                  <c:v>GB-cntrl</c:v>
                </c:pt>
                <c:pt idx="1">
                  <c:v>GB-200 uM</c:v>
                </c:pt>
                <c:pt idx="2">
                  <c:v>GB-500 uM</c:v>
                </c:pt>
                <c:pt idx="3">
                  <c:v>GB-800 uM</c:v>
                </c:pt>
              </c:strCache>
            </c:strRef>
          </c:cat>
          <c:val>
            <c:numRef>
              <c:f>'HMGA1 (GBM)'!$I$10:$I$13</c:f>
              <c:numCache>
                <c:formatCode>General</c:formatCode>
                <c:ptCount val="4"/>
                <c:pt idx="0">
                  <c:v>1</c:v>
                </c:pt>
                <c:pt idx="1">
                  <c:v>18.902432531694824</c:v>
                </c:pt>
                <c:pt idx="2">
                  <c:v>13.045677822453666</c:v>
                </c:pt>
                <c:pt idx="3">
                  <c:v>8.9942313902289381</c:v>
                </c:pt>
              </c:numCache>
            </c:numRef>
          </c:val>
          <c:extLst>
            <c:ext xmlns:c16="http://schemas.microsoft.com/office/drawing/2014/chart" uri="{C3380CC4-5D6E-409C-BE32-E72D297353CC}">
              <c16:uniqueId val="{00000000-88C6-4C26-9E94-816BCB2D3E92}"/>
            </c:ext>
          </c:extLst>
        </c:ser>
        <c:dLbls>
          <c:dLblPos val="outEnd"/>
          <c:showLegendKey val="0"/>
          <c:showVal val="1"/>
          <c:showCatName val="0"/>
          <c:showSerName val="0"/>
          <c:showPercent val="0"/>
          <c:showBubbleSize val="0"/>
        </c:dLbls>
        <c:gapWidth val="100"/>
        <c:overlap val="-24"/>
        <c:axId val="203171592"/>
        <c:axId val="203173160"/>
      </c:barChart>
      <c:catAx>
        <c:axId val="2031715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Sialic</a:t>
                </a:r>
                <a:r>
                  <a:rPr lang="en-US" baseline="0"/>
                  <a:t> Acid Conc.</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03173160"/>
        <c:crosses val="autoZero"/>
        <c:auto val="1"/>
        <c:lblAlgn val="ctr"/>
        <c:lblOffset val="100"/>
        <c:noMultiLvlLbl val="0"/>
      </c:catAx>
      <c:valAx>
        <c:axId val="2031731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Relative</a:t>
                </a:r>
                <a:r>
                  <a:rPr lang="en-US" sz="1050" baseline="0">
                    <a:latin typeface="Times New Roman" panose="02020603050405020304" pitchFamily="18" charset="0"/>
                    <a:cs typeface="Times New Roman" panose="02020603050405020304" pitchFamily="18" charset="0"/>
                  </a:rPr>
                  <a:t> Expression</a:t>
                </a:r>
                <a:endParaRPr lang="en-US"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03171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1" u="none" strike="noStrike" kern="1200" spc="0" baseline="0">
                <a:solidFill>
                  <a:schemeClr val="tx1">
                    <a:lumMod val="65000"/>
                    <a:lumOff val="35000"/>
                  </a:schemeClr>
                </a:solidFill>
                <a:latin typeface="+mn-lt"/>
                <a:ea typeface="+mn-ea"/>
                <a:cs typeface="+mn-cs"/>
              </a:defRPr>
            </a:pPr>
            <a:r>
              <a:rPr lang="en-US" i="1">
                <a:latin typeface="Times New Roman" panose="02020603050405020304" pitchFamily="18" charset="0"/>
                <a:cs typeface="Times New Roman" panose="02020603050405020304" pitchFamily="18" charset="0"/>
              </a:rPr>
              <a:t>HMGA2</a:t>
            </a:r>
          </a:p>
        </c:rich>
      </c:tx>
      <c:overlay val="0"/>
      <c:spPr>
        <a:noFill/>
        <a:ln>
          <a:noFill/>
        </a:ln>
        <a:effectLst/>
      </c:spPr>
      <c:txPr>
        <a:bodyPr rot="0" spcFirstLastPara="1" vertOverflow="ellipsis" vert="horz" wrap="square" anchor="ctr" anchorCtr="1"/>
        <a:lstStyle/>
        <a:p>
          <a:pPr algn="l">
            <a:defRPr sz="1400" b="0"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FFFF00"/>
            </a:solidFill>
            <a:ln w="19050">
              <a:solidFill>
                <a:srgbClr val="FF0000"/>
              </a:solidFill>
            </a:ln>
            <a:effectLst/>
          </c:spPr>
          <c:invertIfNegative val="0"/>
          <c:errBars>
            <c:errBarType val="plus"/>
            <c:errValType val="cust"/>
            <c:noEndCap val="0"/>
            <c:plus>
              <c:numRef>
                <c:f>'HMGA2 (GBM)'!$I$7:$L$7</c:f>
                <c:numCache>
                  <c:formatCode>General</c:formatCode>
                  <c:ptCount val="4"/>
                  <c:pt idx="0">
                    <c:v>0</c:v>
                  </c:pt>
                  <c:pt idx="1">
                    <c:v>3.6618907812704223E-2</c:v>
                  </c:pt>
                  <c:pt idx="2">
                    <c:v>1.5207973513921568E-2</c:v>
                  </c:pt>
                  <c:pt idx="3">
                    <c:v>5.6090798917253363E-3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'HMGA2 (GBM)'!$H$12:$H$15</c:f>
              <c:strCache>
                <c:ptCount val="4"/>
                <c:pt idx="0">
                  <c:v>cntrl</c:v>
                </c:pt>
                <c:pt idx="1">
                  <c:v>200 uM</c:v>
                </c:pt>
                <c:pt idx="2">
                  <c:v>500 uM</c:v>
                </c:pt>
                <c:pt idx="3">
                  <c:v>800 uM</c:v>
                </c:pt>
              </c:strCache>
            </c:strRef>
          </c:cat>
          <c:val>
            <c:numRef>
              <c:f>'HMGA2 (GBM)'!$I$12:$I$15</c:f>
              <c:numCache>
                <c:formatCode>General</c:formatCode>
                <c:ptCount val="4"/>
                <c:pt idx="0">
                  <c:v>1</c:v>
                </c:pt>
                <c:pt idx="1">
                  <c:v>3.6618907812704223E-2</c:v>
                </c:pt>
                <c:pt idx="2">
                  <c:v>1.5207973513921568E-2</c:v>
                </c:pt>
                <c:pt idx="3">
                  <c:v>5.6090798917253363E-3</c:v>
                </c:pt>
              </c:numCache>
            </c:numRef>
          </c:val>
          <c:extLst>
            <c:ext xmlns:c16="http://schemas.microsoft.com/office/drawing/2014/chart" uri="{C3380CC4-5D6E-409C-BE32-E72D297353CC}">
              <c16:uniqueId val="{00000000-BDC3-4FB1-99C1-E32EB0FC1192}"/>
            </c:ext>
          </c:extLst>
        </c:ser>
        <c:dLbls>
          <c:showLegendKey val="0"/>
          <c:showVal val="0"/>
          <c:showCatName val="0"/>
          <c:showSerName val="0"/>
          <c:showPercent val="0"/>
          <c:showBubbleSize val="0"/>
        </c:dLbls>
        <c:gapWidth val="219"/>
        <c:overlap val="-27"/>
        <c:axId val="351268208"/>
        <c:axId val="351271344"/>
      </c:barChart>
      <c:catAx>
        <c:axId val="35126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Sialic</a:t>
                </a:r>
                <a:r>
                  <a:rPr lang="en-US" sz="1200" b="1" baseline="0">
                    <a:latin typeface="Times New Roman" panose="02020603050405020304" pitchFamily="18" charset="0"/>
                    <a:cs typeface="Times New Roman" panose="02020603050405020304" pitchFamily="18" charset="0"/>
                  </a:rPr>
                  <a:t> Acid Conc.</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51271344"/>
        <c:crosses val="autoZero"/>
        <c:auto val="1"/>
        <c:lblAlgn val="ctr"/>
        <c:lblOffset val="100"/>
        <c:noMultiLvlLbl val="0"/>
      </c:catAx>
      <c:valAx>
        <c:axId val="35127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1">
                    <a:latin typeface="Times New Roman" panose="02020603050405020304" pitchFamily="18" charset="0"/>
                    <a:cs typeface="Times New Roman" panose="02020603050405020304" pitchFamily="18" charset="0"/>
                  </a:rPr>
                  <a:t>Relative</a:t>
                </a:r>
                <a:r>
                  <a:rPr lang="en-US" sz="1200" b="1" i="1" baseline="0">
                    <a:latin typeface="Times New Roman" panose="02020603050405020304" pitchFamily="18" charset="0"/>
                    <a:cs typeface="Times New Roman" panose="02020603050405020304" pitchFamily="18" charset="0"/>
                  </a:rPr>
                  <a:t> Expression</a:t>
                </a:r>
                <a:endParaRPr lang="en-US" sz="1200" b="1"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35126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8DCB6-F2C1-480E-95BF-26D19186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7</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cp:lastModifiedBy>
  <cp:revision>16</cp:revision>
  <cp:lastPrinted>1999-07-06T11:00:00Z</cp:lastPrinted>
  <dcterms:created xsi:type="dcterms:W3CDTF">2025-09-05T06:25:00Z</dcterms:created>
  <dcterms:modified xsi:type="dcterms:W3CDTF">2025-09-05T07:07:00Z</dcterms:modified>
</cp:coreProperties>
</file>