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F13F" w14:textId="377CEA43" w:rsidR="001E1679" w:rsidRDefault="00924C20" w:rsidP="003360D0">
      <w:pPr>
        <w:jc w:val="center"/>
        <w:rPr>
          <w:rFonts w:ascii="Times New Roman" w:eastAsia="Calibri" w:hAnsi="Times New Roman" w:cs="Times New Roman"/>
          <w:kern w:val="0"/>
          <w:sz w:val="34"/>
          <w:szCs w:val="34"/>
          <w:lang w:val="id-ID" w:eastAsia="ko-KR"/>
          <w14:ligatures w14:val="none"/>
        </w:rPr>
      </w:pPr>
      <w:r w:rsidRPr="003360D0">
        <w:rPr>
          <w:rFonts w:ascii="Times New Roman" w:eastAsia="Calibri" w:hAnsi="Times New Roman" w:cs="Times New Roman"/>
          <w:kern w:val="0"/>
          <w:sz w:val="34"/>
          <w:szCs w:val="34"/>
          <w:lang w:val="id-ID" w:eastAsia="ko-KR"/>
          <w14:ligatures w14:val="none"/>
        </w:rPr>
        <w:t>Relationship</w:t>
      </w:r>
      <w:r w:rsidR="003360D0" w:rsidRPr="003360D0">
        <w:rPr>
          <w:rFonts w:ascii="Times New Roman" w:eastAsia="Calibri" w:hAnsi="Times New Roman" w:cs="Times New Roman"/>
          <w:kern w:val="0"/>
          <w:sz w:val="34"/>
          <w:szCs w:val="34"/>
          <w:lang w:val="id-ID" w:eastAsia="ko-KR"/>
          <w14:ligatures w14:val="none"/>
        </w:rPr>
        <w:t xml:space="preserve"> between the alignment of the project design with the donor priorities and the grant award decisions for humanitarian projects in Juba, South Sudan</w:t>
      </w:r>
    </w:p>
    <w:p w14:paraId="7E7A71B1" w14:textId="77777777" w:rsidR="00052F98" w:rsidRDefault="00052F98" w:rsidP="003360D0">
      <w:pPr>
        <w:jc w:val="center"/>
        <w:rPr>
          <w:rFonts w:ascii="Times New Roman" w:eastAsia="Calibri" w:hAnsi="Times New Roman" w:cs="Times New Roman"/>
          <w:kern w:val="0"/>
          <w:sz w:val="34"/>
          <w:szCs w:val="34"/>
          <w:lang w:val="id-ID" w:eastAsia="ko-KR"/>
          <w14:ligatures w14:val="none"/>
        </w:rPr>
      </w:pPr>
    </w:p>
    <w:p w14:paraId="26814848" w14:textId="77777777" w:rsidR="00B81F7E" w:rsidRDefault="00B81F7E" w:rsidP="00B81F7E">
      <w:pPr>
        <w:jc w:val="center"/>
        <w:rPr>
          <w:rFonts w:ascii="Times New Roman" w:hAnsi="Times New Roman" w:cs="Times New Roman"/>
        </w:rPr>
      </w:pPr>
      <w:r>
        <w:rPr>
          <w:rFonts w:ascii="Times New Roman" w:hAnsi="Times New Roman" w:cs="Times New Roman"/>
        </w:rPr>
        <w:t>Abstract</w:t>
      </w:r>
    </w:p>
    <w:p w14:paraId="48BEB24B" w14:textId="77777777" w:rsidR="003360D0" w:rsidRPr="00826FDC" w:rsidRDefault="003360D0" w:rsidP="00E149D3">
      <w:pPr>
        <w:spacing w:after="0" w:line="240" w:lineRule="auto"/>
        <w:jc w:val="both"/>
        <w:rPr>
          <w:rFonts w:ascii="Times New Roman" w:hAnsi="Times New Roman" w:cs="Times New Roman"/>
          <w:sz w:val="22"/>
          <w:szCs w:val="22"/>
        </w:rPr>
      </w:pPr>
      <w:r w:rsidRPr="00826FDC">
        <w:rPr>
          <w:rFonts w:ascii="Times New Roman" w:hAnsi="Times New Roman" w:cs="Times New Roman"/>
          <w:sz w:val="22"/>
          <w:szCs w:val="22"/>
        </w:rPr>
        <w:t>Humanitarian grants provide the operational and financial foundation of humanitarian assistance. These grants</w:t>
      </w:r>
      <w:r w:rsid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offer vital financial and material resources to assist those impacted by emergencies, ultimately preserving lives,</w:t>
      </w:r>
      <w:r w:rsid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 xml:space="preserve">reducing suffering, and advancing respect and dignity for those facing adversity. This study examined </w:t>
      </w:r>
      <w:r w:rsidR="00E75932" w:rsidRPr="00826FDC">
        <w:rPr>
          <w:rFonts w:ascii="Times New Roman" w:hAnsi="Times New Roman" w:cs="Times New Roman"/>
          <w:sz w:val="22"/>
          <w:szCs w:val="22"/>
        </w:rPr>
        <w:t>the relationship between the alignment of the project design with the donor priorities and the grant award decisions for humanitarian projects in Juba, South Sudan</w:t>
      </w:r>
      <w:r w:rsidRPr="00826FDC">
        <w:rPr>
          <w:rFonts w:ascii="Times New Roman" w:hAnsi="Times New Roman" w:cs="Times New Roman"/>
          <w:sz w:val="22"/>
          <w:szCs w:val="22"/>
        </w:rPr>
        <w:t>. This study</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appraised Institutional Theory building on the hypothesis that these theories infl</w:t>
      </w:r>
      <w:r w:rsidR="00E75932" w:rsidRPr="00826FDC">
        <w:rPr>
          <w:rFonts w:ascii="Times New Roman" w:hAnsi="Times New Roman" w:cs="Times New Roman"/>
          <w:sz w:val="22"/>
          <w:szCs w:val="22"/>
        </w:rPr>
        <w:t>uence, to a significant extent,</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the grant award decision on a proposal. A descriptive research design</w:t>
      </w:r>
      <w:r w:rsidR="00E75932" w:rsidRPr="00826FDC">
        <w:rPr>
          <w:rFonts w:ascii="Times New Roman" w:hAnsi="Times New Roman" w:cs="Times New Roman"/>
          <w:sz w:val="22"/>
          <w:szCs w:val="22"/>
        </w:rPr>
        <w:t xml:space="preserve"> was adopted by the study. Non-</w:t>
      </w:r>
      <w:r w:rsidRPr="00826FDC">
        <w:rPr>
          <w:rFonts w:ascii="Times New Roman" w:hAnsi="Times New Roman" w:cs="Times New Roman"/>
          <w:sz w:val="22"/>
          <w:szCs w:val="22"/>
        </w:rPr>
        <w:t>Governmental Organizations (NGOs) and humanitarian donors operating in S</w:t>
      </w:r>
      <w:r w:rsidR="00E75932" w:rsidRPr="00826FDC">
        <w:rPr>
          <w:rFonts w:ascii="Times New Roman" w:hAnsi="Times New Roman" w:cs="Times New Roman"/>
          <w:sz w:val="22"/>
          <w:szCs w:val="22"/>
        </w:rPr>
        <w:t>outh Sudan were targeted by the</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study, with a sample of 14 NGOs and one donor representative using a stratifie</w:t>
      </w:r>
      <w:r w:rsidR="00E75932" w:rsidRPr="00826FDC">
        <w:rPr>
          <w:rFonts w:ascii="Times New Roman" w:hAnsi="Times New Roman" w:cs="Times New Roman"/>
          <w:sz w:val="22"/>
          <w:szCs w:val="22"/>
        </w:rPr>
        <w:t>d random sampling technique by</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 xml:space="preserve">employing Krejcie &amp;amp; Morgan sampling formula. A 5-point Likert scale was </w:t>
      </w:r>
      <w:r w:rsidR="00E75932" w:rsidRPr="00826FDC">
        <w:rPr>
          <w:rFonts w:ascii="Times New Roman" w:hAnsi="Times New Roman" w:cs="Times New Roman"/>
          <w:sz w:val="22"/>
          <w:szCs w:val="22"/>
        </w:rPr>
        <w:t>used for data collection. Pilot</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testing was done to check the user-friendliness/appropriateness of the study q</w:t>
      </w:r>
      <w:r w:rsidR="00E75932" w:rsidRPr="00826FDC">
        <w:rPr>
          <w:rFonts w:ascii="Times New Roman" w:hAnsi="Times New Roman" w:cs="Times New Roman"/>
          <w:sz w:val="22"/>
          <w:szCs w:val="22"/>
        </w:rPr>
        <w:t>uestionnaire. Data cleaning was</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carefully done and the completed and returned questionnaires were examined</w:t>
      </w:r>
      <w:r w:rsidR="00E75932" w:rsidRPr="00826FDC">
        <w:rPr>
          <w:rFonts w:ascii="Times New Roman" w:hAnsi="Times New Roman" w:cs="Times New Roman"/>
          <w:sz w:val="22"/>
          <w:szCs w:val="22"/>
        </w:rPr>
        <w:t xml:space="preserve"> for accuracy, reliability, and</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coded. Raw data was processed and analyzed using Statistical Package for Social</w:t>
      </w:r>
      <w:r w:rsidR="00E75932" w:rsidRPr="00826FDC">
        <w:rPr>
          <w:rFonts w:ascii="Times New Roman" w:hAnsi="Times New Roman" w:cs="Times New Roman"/>
          <w:sz w:val="22"/>
          <w:szCs w:val="22"/>
        </w:rPr>
        <w:t xml:space="preserve"> Sciences. The study finds that</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a grant proposal can hardly be funded if the needs of the affected people are not</w:t>
      </w:r>
      <w:r w:rsidR="00E75932" w:rsidRPr="00826FDC">
        <w:rPr>
          <w:rFonts w:ascii="Times New Roman" w:hAnsi="Times New Roman" w:cs="Times New Roman"/>
          <w:sz w:val="22"/>
          <w:szCs w:val="22"/>
        </w:rPr>
        <w:t xml:space="preserve"> well articulated, the proposal</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doesn’t align with donor priorities, the proposal doesn’t showcase exp</w:t>
      </w:r>
      <w:r w:rsidR="00E75932" w:rsidRPr="00826FDC">
        <w:rPr>
          <w:rFonts w:ascii="Times New Roman" w:hAnsi="Times New Roman" w:cs="Times New Roman"/>
          <w:sz w:val="22"/>
          <w:szCs w:val="22"/>
        </w:rPr>
        <w:t>erience or the proposal doesn’t</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demonstrate a realistic sustainability model. The study concludes that it’s para</w:t>
      </w:r>
      <w:r w:rsidR="00E75932" w:rsidRPr="00826FDC">
        <w:rPr>
          <w:rFonts w:ascii="Times New Roman" w:hAnsi="Times New Roman" w:cs="Times New Roman"/>
          <w:sz w:val="22"/>
          <w:szCs w:val="22"/>
        </w:rPr>
        <w:t>mount to clearly articulate the</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needs of the affected population in a grant proposal, that alignment with donor pri</w:t>
      </w:r>
      <w:r w:rsidR="00E75932" w:rsidRPr="00826FDC">
        <w:rPr>
          <w:rFonts w:ascii="Times New Roman" w:hAnsi="Times New Roman" w:cs="Times New Roman"/>
          <w:sz w:val="22"/>
          <w:szCs w:val="22"/>
        </w:rPr>
        <w:t>orities is a critical factor to</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consider when designing grant proposals, that experience is a critical ele</w:t>
      </w:r>
      <w:r w:rsidR="00E75932" w:rsidRPr="00826FDC">
        <w:rPr>
          <w:rFonts w:ascii="Times New Roman" w:hAnsi="Times New Roman" w:cs="Times New Roman"/>
          <w:sz w:val="22"/>
          <w:szCs w:val="22"/>
        </w:rPr>
        <w:t>ment prioritized by donors when</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 xml:space="preserve">making competitive grant award decisions, that a project’s sustainability </w:t>
      </w:r>
      <w:r w:rsidR="00E75932" w:rsidRPr="00826FDC">
        <w:rPr>
          <w:rFonts w:ascii="Times New Roman" w:hAnsi="Times New Roman" w:cs="Times New Roman"/>
          <w:sz w:val="22"/>
          <w:szCs w:val="22"/>
        </w:rPr>
        <w:t>model is a key determinant of a</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positive grant award decision, and that a project may still be funded even if</w:t>
      </w:r>
      <w:r w:rsidR="00E75932" w:rsidRPr="00826FDC">
        <w:rPr>
          <w:rFonts w:ascii="Times New Roman" w:hAnsi="Times New Roman" w:cs="Times New Roman"/>
          <w:sz w:val="22"/>
          <w:szCs w:val="22"/>
        </w:rPr>
        <w:t xml:space="preserve"> it doesn’t include a theory of</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change.</w:t>
      </w:r>
    </w:p>
    <w:p w14:paraId="56CAD3AB" w14:textId="77777777" w:rsidR="001E1679" w:rsidRPr="00826FDC" w:rsidRDefault="001E1679" w:rsidP="00AB5530">
      <w:pPr>
        <w:spacing w:after="0"/>
        <w:jc w:val="both"/>
        <w:rPr>
          <w:rFonts w:ascii="Times New Roman" w:hAnsi="Times New Roman" w:cs="Times New Roman"/>
          <w:sz w:val="22"/>
          <w:szCs w:val="22"/>
        </w:rPr>
      </w:pPr>
      <w:r w:rsidRPr="00826FDC">
        <w:rPr>
          <w:rFonts w:ascii="Times New Roman" w:hAnsi="Times New Roman" w:cs="Times New Roman"/>
          <w:b/>
          <w:sz w:val="22"/>
          <w:szCs w:val="22"/>
        </w:rPr>
        <w:t>Key words:</w:t>
      </w:r>
      <w:r w:rsidRPr="00826FDC">
        <w:rPr>
          <w:rFonts w:ascii="Times New Roman" w:hAnsi="Times New Roman" w:cs="Times New Roman"/>
          <w:sz w:val="22"/>
          <w:szCs w:val="22"/>
        </w:rPr>
        <w:t xml:space="preserve"> </w:t>
      </w:r>
      <w:r w:rsidR="00E75932" w:rsidRPr="00826FDC">
        <w:rPr>
          <w:rFonts w:ascii="Times New Roman" w:hAnsi="Times New Roman" w:cs="Times New Roman"/>
          <w:sz w:val="22"/>
          <w:szCs w:val="22"/>
        </w:rPr>
        <w:t>humanitarian grants, needs articulation, donors</w:t>
      </w:r>
    </w:p>
    <w:p w14:paraId="3E271A97" w14:textId="77777777" w:rsidR="00B24990" w:rsidRDefault="00B24990" w:rsidP="00AB5530">
      <w:pPr>
        <w:spacing w:after="0"/>
        <w:jc w:val="both"/>
        <w:rPr>
          <w:rFonts w:ascii="Times New Roman" w:hAnsi="Times New Roman" w:cs="Times New Roman"/>
          <w:sz w:val="20"/>
          <w:szCs w:val="20"/>
        </w:rPr>
      </w:pPr>
    </w:p>
    <w:p w14:paraId="7D33FA07" w14:textId="77777777" w:rsidR="00B24990" w:rsidRPr="00277771" w:rsidRDefault="00B24990" w:rsidP="00277771">
      <w:pPr>
        <w:spacing w:after="0"/>
        <w:rPr>
          <w:rFonts w:ascii="Times New Roman" w:hAnsi="Times New Roman" w:cs="Times New Roman"/>
          <w:b/>
          <w:bCs/>
        </w:rPr>
      </w:pPr>
      <w:r w:rsidRPr="00277771">
        <w:rPr>
          <w:rFonts w:ascii="Times New Roman" w:hAnsi="Times New Roman" w:cs="Times New Roman"/>
          <w:b/>
          <w:bCs/>
        </w:rPr>
        <w:t xml:space="preserve">Introduction </w:t>
      </w:r>
    </w:p>
    <w:p w14:paraId="4E0BE351"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Humanitarian grants provide the operational and financial foundation of humanitarian assistance globally. The Organization for Economic Co-operation and Development (OECD, 2023) defines humanitarian assistance as aid intended to preserve and uphold human dignity both during and after emergencies while also saving lives and reducing suffering. These grants are highly significant as they offer vital financial resources to assist those impacted by emergencies or natural catastrophes. Humanitarian initiatives support those who have suffered trauma or loss, help to strengthen the resilience of those in need, and shield those who are susceptible from danger (OECD, 2023). Ultimately, humanitarian efforts help to preserve life, reduce human suffering, and restore respect and dignity for people facing adversity. Sectorial or multi-sectorial approaches are used to develop and offer this assistance, which includes but is not limited to giving those in need of access to food, water, shelter, education, safety, psychosocial support, and medical treatment.</w:t>
      </w:r>
    </w:p>
    <w:p w14:paraId="391C6F2C"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Over the decades, Non-governmental Organizations (NGOs) have shown crucial function and meaningful results in designing and delivering humanitarian assistance to the affected communities globally (Daniela, 2010). This is partly because NGOs are widely believed to be more efficient and closer to the affected people than the donors in providing aid to the poor and needy recipients, also known as project participants. On the other hand, donors (government, private sector, individuals) play </w:t>
      </w:r>
      <w:r w:rsidRPr="00E75932">
        <w:rPr>
          <w:rFonts w:ascii="Times New Roman" w:hAnsi="Times New Roman" w:cs="Times New Roman"/>
          <w:sz w:val="22"/>
          <w:szCs w:val="22"/>
          <w:lang w:val="en-US"/>
        </w:rPr>
        <w:lastRenderedPageBreak/>
        <w:t xml:space="preserve">a critical role in ensuring that funds (humanitarian grants) are available for the NGOs to reach the affected populations. </w:t>
      </w:r>
    </w:p>
    <w:p w14:paraId="12E1AF2C"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Funding humanitarian responses is marred with its unique challenges, including the capacity to design projects that impact donor humanitarian assistance funding decisions. As conflicts, natural disasters, and climate emergencies continue to rise, humanitarian needs continue to swell globally while funding shrinks (United Nations Office for the Coordination of Humanitarian Affairs, 2022). </w:t>
      </w:r>
    </w:p>
    <w:p w14:paraId="7709E9B2"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With insufficient funding and more humanitarian agencies at play, the competition for funding has risen in recent years explicitly bringing to light the capacity issues of the grant applicants to design projects that influence the grant award decisions by the donors. In 2022 alone, the donor resources were spread across major crises like the Ukraine conflict crisis, Syria crisis, Somalia hunger crisis, South Sudan conflict crisis, Ethiopian conflict among other humanitarian responses. Globally, 274 million individuals needed humanitarian protection and humanitarian aid in general in 2022, compared to 235 million people the previous year, which was the largest number in so many years; these numbers represent a huge increase in humanitarian needs (OCHA, 2022). Moreso, these humanitarian crises suggest a strained donor capacity and fatigue to provide the necessary financial resources to satisfy the urgent humanitarian requirements. This further implies that the implementing agencies on the ground must now ‘compete’ for the few donor resources to maintain their life-saving operations in crisis zones like South Sudan, Somalia, and Afghanistan among others.</w:t>
      </w:r>
    </w:p>
    <w:p w14:paraId="52575324"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The South Sudan Humanitarian Fund (SSHF), the country’s donor-pooled fund, allocated US$68.8 million to 64 humanitarian partners operating in the country in 2022, through the standard and reserve allocation modalities (OCHA, 2022). The SSHF is a country-based pooled fund in which major donors contribute to one funding pool, with UNOCHA as the fund manager in the country.</w:t>
      </w:r>
    </w:p>
    <w:p w14:paraId="7B1D611E"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By July 2022, the SSHF allocation for the year only amounted to US$25 million (close to 64% reduced funding level relative to the previous year); this was intended to give a major boost to humanitarian assistance activities in tackling the effects of heightened violence and food shortages in ten counties of the four most severely affected states of South Sudan: Warrap, Jonglei, Unity, and Western Equatoria states (OCHA, 2022).</w:t>
      </w:r>
    </w:p>
    <w:p w14:paraId="3123C252"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With the 64% reduction in SSHF funding in 2022 in comparison to the funding levels in the previous year, the number of partners eligible to receive this funding increased from 64 to 125, close to double the number eligible in 2021. This implies serious ‘competition’ for funding slots in the pooled fund; this is definitely not the ‘usual’ state of things in the country’s humanitarian industry. Suddenly, there is a 64% reduction in resources (funds) and a close to 50% increase in the number of implementing partners, the potential fund recipients. This is a case of more eligible (potential) implementing partners, less funding in the pool; more needs, and stringent partner (fund recipient) selection criteria.</w:t>
      </w:r>
      <w:bookmarkStart w:id="0" w:name="_Hlk162159912"/>
      <w:r w:rsidRPr="00E75932">
        <w:rPr>
          <w:rFonts w:ascii="Times New Roman" w:hAnsi="Times New Roman" w:cs="Times New Roman"/>
          <w:sz w:val="22"/>
          <w:szCs w:val="22"/>
          <w:lang w:val="en-US"/>
        </w:rPr>
        <w:t xml:space="preserve"> As the competition for funds becomes steep, and as the number of eligible partners becomes twice as much, the chances that a grant proposal by an eligible applicant gets funded are diminishing. This further implies that project designs will be subjected to more stringent selection criteria during grant award decision-making process by the donors. With the low funding levels, there is a high risk of grant proposals being rejected for funding, which ultimately implies that the needs of the affected populations will not be met adequately which further triggers a crisis within crisis. The reduced donor appetite and little prioritization of funding allocations to South Sudan crisis is a recent phenomenon that humanitarian agencies in the country are facing in the last few years, given that South Sudan has been on the priority list of the major humanitarian donors since the country became independent in 2011. </w:t>
      </w:r>
    </w:p>
    <w:p w14:paraId="43E29888"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Amidst the looping funding shortages globally and in the country particularly, an astounding 76 percent of South Sudan's population, or over 9.4 million people, were predicted to require humanitarian aid in 2023. In the country, at least 148,000 foreign returnees were still displaced and unable to return to their homes (OCHA, 2023). In 2023, there were 9.4 million individuals in need of humanitarian assistance, </w:t>
      </w:r>
      <w:r w:rsidRPr="00E75932">
        <w:rPr>
          <w:rFonts w:ascii="Times New Roman" w:hAnsi="Times New Roman" w:cs="Times New Roman"/>
          <w:sz w:val="22"/>
          <w:szCs w:val="22"/>
          <w:lang w:val="en-US"/>
        </w:rPr>
        <w:lastRenderedPageBreak/>
        <w:t>an increase from 8.9 million in 2022 due to the decline in people's coping strategies, living conditions, and physical and mental health. Compounding shocks brought on by ongoing conflict, extensive flooding, growing food insecurity, inflation, rising food costs, and limited access to essential services are the main causes of this escalation (OCHA, 2023).</w:t>
      </w:r>
    </w:p>
    <w:p w14:paraId="670283F4"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South Sudan became a self-governing state in 2011, having gained her independence from Sudan through a popular referendum. The young nation started off with promising economic prospects. However, the country’s economy was heavily dependent on oil revenues, making up to 98% of the overall government revenue base (Attipoe et. al, 2014). South Sudan had no external debts in 2011 when it gained independence. More so, the government spent far less per person due to its relatively small population and abundant oil income, compared to many of its neighbors in the region. With these prospects, external observers believed that the nation indeed had a promising economic future. With the inherited untapped oil reserves supplementing the nation's well-established oil sector, the nation was in a good position to finance the significant expenditures needed for physical infrastructure, health care, and education coupled with its mining and huge agricultural potential. However, a few years into independence, this potential was lost. Cross border conflict with Sudan and internal political wrangling crippled South Sudan oil exports in particular and the economy at large. In 2015, South Sudan devalued its currency against the US Dollar and a year later, the nation had the highest rate of inflation in the world, just five years after gaining independence, as its currency lost more than 90% of its value (South Sudan Humanitarian Project, 2016). </w:t>
      </w:r>
    </w:p>
    <w:p w14:paraId="668D0CB8"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Two years after its independence, the young nation was back to the frontline, this time against itself and within its national boundaries; an armed conflict broke out in the country’s capital, Juba, between the government and opposition groups, and spread across other parts of the country fast. This triggered a humanitarian catastrophe in the form of widespread displacement, loss of lives and livelihoods, and a fragile economy. A peace agreement was signed to quell the conflict, but this didn’t last long. In 2016, another conflict broke out, again between the government and opposition forces. This resulted in mass displacement, the creation of Protection of Civilians (POCs) camps, a spike in food insecurity levels, major safety challenges, access restrictions, and economic meltdown. The food security levels continued to worsen while humanitarian needs continued to deepen and became complex in nature.</w:t>
      </w:r>
    </w:p>
    <w:bookmarkEnd w:id="0"/>
    <w:p w14:paraId="4C2DC9F5"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As the humanitarian needs deepened in South Sudan, other sustained and emerging humanitarian crises and responses also grew in complexity and number in other countries including Somalia, Yemen, Afghanistan, Ukraine, and Democratic Republic of Congo in the recent times. According to OCHA (2024), Somalia endured a devastating protracted dry spell in 2023, which preceded severe floods in a matter of months. The severity and spread of the humanitarian requirements remain unabated. Acute food insecurity affects nearly one in five Somalis. The Integral Food Security Phase Classification (IPC) analysis, which was published on February 15, 2024, projected that until March 2024, at least 4 million people, or 21% of the population, was going to be in IPC Phase 3 or worse (Crisis or Emergency phase). Given that 23 out of 74 districts are deemed difficult or extremely difficult to access, the drawdown was expected to exacerbate the difficulty of humanitarian access and raise the cost of relief efforts during a period when a decrease in humanitarian funding was anticipated, as only 43% of the funding allocated for the 2023 Humanitarian Response Plan was received the previous year (OCHA, 2024). One significant obstacle is that, at US$ 1.6 billion, the nation's financial needs for 2024 are 40% lower than those for 2023. An estimated 4.8 million people needed assistance from this allocation, which was 32% fewer than the number of people targeted in 2023 (OCHA, 2024). With the limited funding and increasing humanitarian needs in Somalia, it’s apparent that competition for funding would rise and well-designed projects to meet specific donor requirements likely received positive funding decisions. Similar humanitarian challenges cut across other regions and countries, for instance, Yemen.</w:t>
      </w:r>
    </w:p>
    <w:p w14:paraId="13A9910D"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lastRenderedPageBreak/>
        <w:t>In 2024, after nine years of conflict escalation and more than a year since the agreement between the warring sides expired, Yemen found itself at a crossroads. The developments of the recent regional conflicts, such as the war in Gaza, have increased the humanitarian hazards involved and worsened the overall humanitarian outlook. Now and in the next few years, there will be a great demand for humanitarian aid across the country. In 2024, Yemen's complicated protection issues remained the main source of the nation's humanitarian needs (OCHA, 2024). OCHA (2023) reported that by the end of December 2023, just 38.3% of the US$4.34 billion Yemen Humanitarian Response Plan (HRP) had been financed, prompting 229 humanitarian agencies in the country to scale back or discontinue vital support programs for 17.3 million people. This situation bears similarities to both South Sudan and Somalia, with notable declines in funding, a huge number of aid agencies on the ground, and growing unmet humanitarian needs. This supports the theory that, in this fiercely competitive environment, donor funding will most likely only be attracted to well-designed programs. Afghanistan and other humanitarian disasters bear a similar dent.</w:t>
      </w:r>
    </w:p>
    <w:p w14:paraId="6B2E596A"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Afghanistan is still battling the aftereffects of four decades of warfare, pervasive poverty, effects of climate change, and grim barriers to women's equality and involvement in public life. The Republic's underlying fragilities, such as inadequate chances for rural as well as urban residents to earn a living, have been made worse by the economic downturn that followed the change in leadership in August 2021, which also happened to coincide with the suspension of significant bilateral development cooperation (OCHA, 2024). Moreover, half of Afghanistan's population, or 23.7 million people needed humanitarian aid by 2024, out of which, only 17.3 million were targeted for humanitarian support. This means over 6.4 million individuals who needed aid couldn’t be reached due to lack of funding. Humanitarian actors have been and will continue to be forced by these limited resources to prioritize the most vulnerable and those in dire need </w:t>
      </w:r>
      <w:r w:rsidRPr="00E75932">
        <w:rPr>
          <w:rFonts w:ascii="Times New Roman" w:hAnsi="Times New Roman" w:cs="Times New Roman"/>
          <w:sz w:val="22"/>
          <w:szCs w:val="22"/>
          <w:lang w:val="zh-CN"/>
        </w:rPr>
        <w:t>(OCHA, 2023).</w:t>
      </w:r>
      <w:r w:rsidRPr="00E75932">
        <w:rPr>
          <w:rFonts w:ascii="Times New Roman" w:hAnsi="Times New Roman" w:cs="Times New Roman"/>
          <w:sz w:val="22"/>
          <w:szCs w:val="22"/>
          <w:lang w:val="en-US"/>
        </w:rPr>
        <w:t xml:space="preserve"> The strained Afghan economy, which is mostly dependent on remittances and humanitarian assistance, is facing difficulties made worse by women's marginalization from the workforce. </w:t>
      </w:r>
      <w:r w:rsidRPr="00E75932">
        <w:rPr>
          <w:rFonts w:ascii="Times New Roman" w:hAnsi="Times New Roman" w:cs="Times New Roman"/>
          <w:sz w:val="22"/>
          <w:szCs w:val="22"/>
          <w:lang w:val="zh-CN"/>
        </w:rPr>
        <w:t>From the project design perspective, given the high competition for the limited humanitarian funding in Afghanistan, project designs that best meet specific donor requirements will likely receive positive award decisions.</w:t>
      </w:r>
    </w:p>
    <w:p w14:paraId="6C293276"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zh-CN"/>
        </w:rPr>
        <w:t xml:space="preserve">In </w:t>
      </w:r>
      <w:r w:rsidRPr="00E75932">
        <w:rPr>
          <w:rFonts w:ascii="Times New Roman" w:hAnsi="Times New Roman" w:cs="Times New Roman"/>
          <w:sz w:val="22"/>
          <w:szCs w:val="22"/>
          <w:lang w:val="en-US"/>
        </w:rPr>
        <w:t xml:space="preserve">the </w:t>
      </w:r>
      <w:r w:rsidRPr="00E75932">
        <w:rPr>
          <w:rFonts w:ascii="Times New Roman" w:hAnsi="Times New Roman" w:cs="Times New Roman"/>
          <w:sz w:val="22"/>
          <w:szCs w:val="22"/>
          <w:lang w:val="zh-CN"/>
        </w:rPr>
        <w:t>West and Central Africa, similar humanitarian trends are witnessed in conflict-affected countries like the Democratic Republic of Congo (DRC).</w:t>
      </w:r>
      <w:r w:rsidRPr="00E75932">
        <w:rPr>
          <w:rFonts w:ascii="Times New Roman" w:hAnsi="Times New Roman" w:cs="Times New Roman"/>
          <w:sz w:val="22"/>
          <w:szCs w:val="22"/>
          <w:lang w:val="en-US"/>
        </w:rPr>
        <w:t xml:space="preserve"> The DRC's humanitarian outlook is still grave. More than 25.4 million people, or 25% of the population, needed humanitarian aid in 2024. The Eastern provinces, which have been particularly affected by conflict and insecurity, continue to have the greatest humanitarian needs. With almost 9.6 million people in the DRC on the move as of December 31, 2023—including 2.6 million returnees, 527,000 refugees, and 6.5 million displaced by conflict people—the country had one of the worst displacement crises in the world, second only to Sudan.</w:t>
      </w:r>
    </w:p>
    <w:p w14:paraId="0381DBEC"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According to OCHA (2023), the 2023–2024 DRC Humanitarian Response Plan estimated that the nation required $2.25 billion for national and international NGOs, as well as United Nations agencies, to provide aid to 10 million people. This aid was used to help those affected meet their basic needs while also preserving lives, easing suffering, and improving civilian protection. </w:t>
      </w:r>
    </w:p>
    <w:p w14:paraId="27DE9460"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zh-CN"/>
        </w:rPr>
        <w:t>Despite the huge humanitarian needs, only 33.5% of the humanitarian funding needs were met in the country in 2023, leaving a huge gap of unmet needs. Given the significant funding gaps with a huge presence of humanitarian agencies, the competition for funds rises dramatically and this calls for high capacity to design projects that best meet the donor requirements in order to enhance an agency’s chances of positive grant award decisions from the donors.</w:t>
      </w:r>
    </w:p>
    <w:p w14:paraId="20EEDDBA" w14:textId="77777777" w:rsidR="00E75932" w:rsidRPr="00E75932" w:rsidRDefault="00E75932" w:rsidP="00E75932">
      <w:pPr>
        <w:spacing w:after="0"/>
        <w:jc w:val="both"/>
        <w:rPr>
          <w:rFonts w:ascii="Times New Roman" w:hAnsi="Times New Roman" w:cs="Times New Roman"/>
          <w:sz w:val="22"/>
          <w:szCs w:val="22"/>
          <w:lang w:val="en-US"/>
        </w:rPr>
      </w:pPr>
      <w:bookmarkStart w:id="1" w:name="_Hlk135787788"/>
      <w:r w:rsidRPr="00E75932">
        <w:rPr>
          <w:rFonts w:ascii="Times New Roman" w:hAnsi="Times New Roman" w:cs="Times New Roman"/>
          <w:sz w:val="22"/>
          <w:szCs w:val="22"/>
          <w:lang w:val="en-US"/>
        </w:rPr>
        <w:t xml:space="preserve">The level of humanitarian funding is expected to significantly decrease in 2024 and 2025 following major cuts by the leading government donors in their humanitarian budgets for the year. As the humanitarian funding shrinks and humanitarian needs continue to rise globally, regionally and in South Sudan in particular, the competition for the little available funds is anticipated to rise. To exacerbate </w:t>
      </w:r>
      <w:r w:rsidRPr="00E75932">
        <w:rPr>
          <w:rFonts w:ascii="Times New Roman" w:hAnsi="Times New Roman" w:cs="Times New Roman"/>
          <w:sz w:val="22"/>
          <w:szCs w:val="22"/>
          <w:lang w:val="en-US"/>
        </w:rPr>
        <w:lastRenderedPageBreak/>
        <w:t>this further, particularly in the context of South Sudan, the number of humanitarian agencies eligible for the locally available funds has been rising over the last few years, despite the shrinking funding levels. This creates a limited space for acquiring funds to meet the increasing needs of the affected populations. The immediate consequence of which is that the needs of the affected populations will not be adequately met, lives will be lost, and the already vulnerable communities will plunge into deeper crises. The donors on one side will need to make critical, if not hard, decisions on the type of proposals to fund with the little available funding while the humanitarian grant applicants will need to be creative on what would make a winning grant in this hyper-competitive humanitarian environment.</w:t>
      </w:r>
    </w:p>
    <w:p w14:paraId="06BCDA8D"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This study is cognizant that donor funding will always be limited as there are not enough resources to meet all the needs; nonetheless, agencies that design humanitarian projects will need to demonstrate the capacity to design projects that positively influence humanitarian donor grant award decisions. The study is premised on the fact that no substantial literature exists on project design and donor award decisions for humanitarian assistance in South Sudan. Therefore, the paper endeavored to clearly ascertain and document what project design parameters make a winning grant proposal in a competitive humanitarian context of South Sudan. Specifically looking at project design and grant award decisions for humanitarian assistance projects in Juba, South Sudan.</w:t>
      </w:r>
    </w:p>
    <w:bookmarkEnd w:id="1"/>
    <w:p w14:paraId="16190C9F" w14:textId="77777777" w:rsidR="00277771" w:rsidRPr="00277771" w:rsidRDefault="00277771" w:rsidP="00277771">
      <w:pPr>
        <w:spacing w:after="0"/>
        <w:jc w:val="both"/>
        <w:rPr>
          <w:rFonts w:ascii="Times New Roman" w:hAnsi="Times New Roman" w:cs="Times New Roman"/>
          <w:b/>
          <w:bCs/>
        </w:rPr>
      </w:pPr>
      <w:r w:rsidRPr="00277771">
        <w:rPr>
          <w:rFonts w:ascii="Times New Roman" w:hAnsi="Times New Roman" w:cs="Times New Roman"/>
          <w:b/>
          <w:bCs/>
        </w:rPr>
        <w:t xml:space="preserve">Literature review </w:t>
      </w:r>
    </w:p>
    <w:p w14:paraId="5A05E87B" w14:textId="77777777" w:rsidR="00E75932" w:rsidRPr="00E75932" w:rsidRDefault="00E75932" w:rsidP="00E75932">
      <w:pPr>
        <w:spacing w:after="0"/>
        <w:jc w:val="both"/>
        <w:rPr>
          <w:rFonts w:ascii="Times New Roman" w:hAnsi="Times New Roman" w:cs="Times New Roman"/>
          <w:b/>
          <w:bCs/>
          <w:sz w:val="22"/>
          <w:szCs w:val="22"/>
          <w:lang w:val="en-US"/>
        </w:rPr>
      </w:pPr>
      <w:r w:rsidRPr="00E75932">
        <w:rPr>
          <w:rFonts w:ascii="Times New Roman" w:hAnsi="Times New Roman" w:cs="Times New Roman"/>
          <w:b/>
          <w:bCs/>
          <w:sz w:val="22"/>
          <w:szCs w:val="22"/>
          <w:lang w:val="en-US"/>
        </w:rPr>
        <w:t>Alignment to donor priorities and grant award decisions for humanitarian projects.</w:t>
      </w:r>
    </w:p>
    <w:p w14:paraId="2FB4A3C8"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 xml:space="preserve">When designing a solicited proposal, the grant writing process is normally preceded by a call for proposal that is launched by a donor. The call for proposal/request for proposal is a document with clearly defined terms of reference (TOR) which serves to stipulate the programming focus of a specific call. The TOR states the geographical focus of the call, the prioritized sectors, project periods, budget ceilings, proposal narrative and budget templates, eligibility criteria and scoring criteria for the proposals to be submitted. This is a critical document as it defines, from the onset, what the project reviewers will be looking for when appraising the submitted proposals. </w:t>
      </w:r>
    </w:p>
    <w:p w14:paraId="3FFBF51D"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 xml:space="preserve">Whereas the applicants (humanitarian agencies) are expected to strongly align their submissions to the donor TOR, it’s also expected that there could be a misalignment between what the donor prioritizes versus the needs on the ground and the focus areas of the grant applicant. Sometimes the donors have their own political or humanitarian agenda, passions, goals and ideas that may not be congruent with the needs on the ground. This poses a dilemma on whether the grant writers should follow the donor priorities and not risk losing grants or stick to meeting the real needs on the ground and make a strong case to sway donor intentions through strong justification of the proposed interventions during the proposal development stage. This brings in focus the idea of centrality of alignment to donor requirements when developing humanitarian grant proposals. </w:t>
      </w:r>
    </w:p>
    <w:p w14:paraId="3FF741FC"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 xml:space="preserve">The main concern in the philanthropic sector, according to research by Paul Brest (2008), is how donors' and NGOs' interests are balanced. This stems from the observation that certain donors exploit the influence of their wallets to settle disputes in an unbalanced manner that boosts their egos but ultimately harms society. Small, temporary donations with a narrow focus on certain issues are made by the donors. During the application process, they make groups jump through hoops, and afterward, they micromanage the grantees' actions (Brest, 2008). Furthermore, unrestricted assistance should be viewed as one of several humanitarian intervention techniques that are helpful for specific goals but not as a goal itself. This is to claim that the mission, suggested approaches, and activities of the implementing agency, along with the aims and strategies of a donor, determine which form of funding is most suited (Brest 2008). </w:t>
      </w:r>
    </w:p>
    <w:p w14:paraId="0BAB4255"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 xml:space="preserve">Boenigk and Scherhag's (2013) study delves deeply into the impact of donor priority tactics on the results of fundraising efforts. The aim of this research was to examine how donor satisfaction, loyalty, upgrade/downgrade intentions, and voluntary behavior are impacted by the perception of donor priority </w:t>
      </w:r>
      <w:r w:rsidRPr="00E75932">
        <w:rPr>
          <w:rFonts w:ascii="Times New Roman" w:hAnsi="Times New Roman" w:cs="Times New Roman"/>
          <w:bCs/>
          <w:sz w:val="22"/>
          <w:szCs w:val="22"/>
          <w:lang w:val="en-US"/>
        </w:rPr>
        <w:lastRenderedPageBreak/>
        <w:t xml:space="preserve">benefits on fundraising outcomes. A partial least squares path analysis was performed on 804 donors in the German cultural sector as part of the study, which focused on how donor satisfaction and loyalty are favorably impacted by alignment to donor priorities. </w:t>
      </w:r>
    </w:p>
    <w:p w14:paraId="441C6BEE"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According to the study, intentions to downgrade among higher-priority donors are negatively impacted by alignment with donor strategy, whereas intentions to upgrade among lower-priority donors are positively enhanced. Additionally, the authors demonstrate that most connection effects between donors with higher and lower priorities do not change considerably when using multigroup comparison. Because the donor priority approach offers cultural organizations the opportunity to cultivate strong relationships with donors at all levels, the study is in favor of its implementation.</w:t>
      </w:r>
    </w:p>
    <w:p w14:paraId="11655405"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Victoria Fan et al. (2013) investigated the relationship between grant ratings and donor funds disbursement, a measure of how much donor needs and performance incentives are passed on to grant recipients. This study delves deeper into the topic of grant rating with regard to alignment to donor needs. The study collected publicly accessible information on 508 Global Fund grantees between 2003 and 2012, including performance scores and fund payments. This information was combined with information from other datasets that included pertinent nation characteristics. Two dependent variables were employed in the study: whether a project grant had any phase-2 payments and the quantity of such disbursements. Regression analysis was then used to discover indicators of grant disbursements in phase 2, which is usually the last three of a grant's five years. The study also looked into the factors that influence grant performance assessments in a different approach.</w:t>
      </w:r>
    </w:p>
    <w:p w14:paraId="7754ED06"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According to the study, there was no correlation between phase-1 rankings and phase-2 payment amounts, however there was a positive correlation between grant performance score in phase 1 with having payouts in phase 2. Furthermore, because the donor generates performance measurements based on subjective and discretionary judgments, performance scores are not repeatable by outside reviewers. This shows the donor's arbitrary ranking of the recipients' funding allocations based on which ones they thought best matched their objectives or approach. The study contends that the Global Fund should restructure its current performance-based funding approach to clearly tie a portion of the funds to a basic performance indicator in health coverage or outcomes, assessed independently and fairly, to adequately and objectively communicate reward for performance to recipients.</w:t>
      </w:r>
    </w:p>
    <w:p w14:paraId="1015FBA4"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 xml:space="preserve">The alignment issue also extends to particular humanitarian sectors. For instance, Daneil Esser and Kara Bench (2011) ask: Does Global Health Funding Respond to Recipients' Needs? in relation to the health sector. The first thorough country-level study of the responsiveness of global health assistance is provided by this study. The analysis demonstrates that neither public nor private aid flows during this time period can be explained by national patterns of disease burden. On the other hand, data currently available about health expenditures also point to enduring disparities and discrepancies at the national and international levels. </w:t>
      </w:r>
    </w:p>
    <w:p w14:paraId="36636AD1"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It is evident from Esser and Bench's (2011) argument that donor contributions cannot be based solely on considerations of current requirements and the wish to enhance recipient nations' health condition as efficiently as possible. This is consistent with the theory put forth by Ravishankar et al. (2009), which holds that several factors, such as income, the prevalence of illness, political stability, and the past and current relationships between particular donors and recipient nations, influence how development support for health is allocated to different countries. However, this does not mean that these are equally important.</w:t>
      </w:r>
    </w:p>
    <w:p w14:paraId="1F059C29"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 xml:space="preserve">Périn and Attaran (2003) were among the first to contend that donor beliefs primarily influence the political process involved in allocating aid for health. Similar to this, Crane and Dusenberry (2004) highlighted the role of religion in family planning and HIV prevention. The claim that the provision of foreign health assistance is political rather than technical, political rather than bureaucratic, and political rather than academic has been reaffirmed by Pearlman and Roy (2009). As a result, decisions about </w:t>
      </w:r>
      <w:r w:rsidRPr="00E75932">
        <w:rPr>
          <w:rFonts w:ascii="Times New Roman" w:hAnsi="Times New Roman" w:cs="Times New Roman"/>
          <w:bCs/>
          <w:sz w:val="22"/>
          <w:szCs w:val="22"/>
          <w:lang w:val="en-US"/>
        </w:rPr>
        <w:lastRenderedPageBreak/>
        <w:t>grant awards are frequently influenced by ideology, values, and organizational and national interests (Esser &amp; Bench, 2011).</w:t>
      </w:r>
    </w:p>
    <w:p w14:paraId="35448844" w14:textId="77777777" w:rsidR="00E75932" w:rsidRPr="00E75932" w:rsidRDefault="00E75932" w:rsidP="00277771">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The Kaiser/Pew Global Health Survey (Kaiser Family Foundation, 2007) was utilized as the standard for country selection in Esser and Bench's (2011) analysis because it encompassed 27 developing nations and all other data sources offered comprehensive information for these countries as well. The study is based on in-person interviews with 500–3,142 individuals representing various countries, except for Bolivia, Brazil, China, India, Pakistan, South Africa, and Venezuela, where a major portion of the population was sampled from urban areas. The analysis discovers that the local community priorities in 27 recipient countries, the country-level disease burden, and the alignment of donor aid commitments with private support by the top five US-based private foundations between 2005 and 2007 differed significantly by region.</w:t>
      </w:r>
    </w:p>
    <w:p w14:paraId="212C7B76" w14:textId="77777777" w:rsidR="00924993" w:rsidRDefault="00924993" w:rsidP="00277771">
      <w:pPr>
        <w:spacing w:after="0"/>
        <w:jc w:val="both"/>
        <w:rPr>
          <w:rFonts w:ascii="Times New Roman" w:hAnsi="Times New Roman" w:cs="Times New Roman"/>
          <w:sz w:val="20"/>
          <w:szCs w:val="20"/>
        </w:rPr>
      </w:pPr>
    </w:p>
    <w:p w14:paraId="428920C7" w14:textId="77777777" w:rsidR="00924993" w:rsidRPr="00924993" w:rsidRDefault="00924993" w:rsidP="00924993">
      <w:pPr>
        <w:spacing w:after="0"/>
        <w:jc w:val="both"/>
        <w:rPr>
          <w:rFonts w:ascii="Times New Roman" w:hAnsi="Times New Roman" w:cs="Times New Roman"/>
          <w:b/>
          <w:bCs/>
        </w:rPr>
      </w:pPr>
      <w:r w:rsidRPr="00924993">
        <w:rPr>
          <w:rFonts w:ascii="Times New Roman" w:hAnsi="Times New Roman" w:cs="Times New Roman"/>
          <w:b/>
          <w:bCs/>
        </w:rPr>
        <w:t>Theoretical Review</w:t>
      </w:r>
    </w:p>
    <w:p w14:paraId="21BB5400" w14:textId="77777777" w:rsidR="00E75932" w:rsidRPr="00E75932" w:rsidRDefault="00E75932" w:rsidP="00E75932">
      <w:pPr>
        <w:spacing w:after="0"/>
        <w:jc w:val="both"/>
        <w:rPr>
          <w:rFonts w:ascii="Times New Roman" w:hAnsi="Times New Roman" w:cs="Times New Roman"/>
          <w:b/>
          <w:bCs/>
          <w:sz w:val="22"/>
          <w:szCs w:val="22"/>
          <w:lang w:val="en-US"/>
        </w:rPr>
      </w:pPr>
      <w:r w:rsidRPr="00E75932">
        <w:rPr>
          <w:rFonts w:ascii="Times New Roman" w:hAnsi="Times New Roman" w:cs="Times New Roman"/>
          <w:b/>
          <w:bCs/>
          <w:sz w:val="22"/>
          <w:szCs w:val="22"/>
          <w:lang w:val="en-US"/>
        </w:rPr>
        <w:t>Institutional Theory</w:t>
      </w:r>
    </w:p>
    <w:p w14:paraId="2A925872"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John Meyer and Brian Rowan developed institutional theory in the late 1970s to investigate how organizations interact with, are influenced by, and were formed by their local, regional, national, and international contexts. The theory considers the ways in which tools and frameworks—such as work plans, rules, norms, and conventions—become acknowledged as the only acceptable frameworks for social behavior (Gordon, 2022). According to the idea, institutions, also known as organizations, have normative, regulative, and cognitive traits that work together to give people's social conduct inside the organization structure, stability, and meaning (Muller et al., 2019).</w:t>
      </w:r>
    </w:p>
    <w:p w14:paraId="4B57DC17"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This theory elaborates how each institution/organization embodies a unique set of knowledge, experiences, and physical assets, operating systems such as finance and accounting systems, policies, cultures, values, professional networks, and operational capabilities. These unique ‘qualities’ make an organization stand out in executing tasks.</w:t>
      </w:r>
    </w:p>
    <w:p w14:paraId="04A32D8F"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Inasmuch as the theory is primarily geared toward social behavior, it is also true in professional settings in which stakeholders such as donors or government institutions make decisions on channeling of critical resources like humanitarian funds based on how they perceive the institutional capacity of the applicant agency. This in a way implies a form of ‘soft bias’ in favor of organizations that are perceived by the donors to exhibit credible institutional capabilities including good track record of performance, possession of critical expertise, availability of adequate means of mobility to the project sites and good accounting and social safeguarding policies.</w:t>
      </w:r>
    </w:p>
    <w:p w14:paraId="03177A34"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In grant acquisition processes, the question is whether organizations that present stronger and unique institutional capabilities tend to stand a higher chance of being trusted by the donors and communities they serve to ultimately meet the project goal. This may boost their chances of being selected in a competitive grant acquisition process. This affirms part of the institutional theory’s tenet that an institution’s technical capabilities, approaches, and operational capacity greatly influence the organization’s position to bargain for more resources while commanding trust and operational excellence in competitive environments.   </w:t>
      </w:r>
    </w:p>
    <w:p w14:paraId="36B7D9A9"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Although institutionalism has been successful in taking center stage as the most popular theory for researching macro-organizational phenomena, it should be noted that the theory's original intent has been greatly expanded upon to explain how organizational structures and processes gain continuity and meaning beyond their functional objectives (Suddaby, 2010). Furthermore, the idea has inherent flaws regarding strong outside influences. Regardless of an institution's competence and capability, factors like political instability, unfavorable natural diseases, and conflict or insecurity can significantly impair its functioning. This limits the idea of institutionalism by rendering an institution's capacity and capability "temporary."</w:t>
      </w:r>
    </w:p>
    <w:p w14:paraId="4625E7C9" w14:textId="77777777" w:rsidR="00924993" w:rsidRDefault="00924993" w:rsidP="00924993">
      <w:pPr>
        <w:spacing w:after="0"/>
        <w:jc w:val="both"/>
        <w:rPr>
          <w:rFonts w:ascii="Times New Roman" w:hAnsi="Times New Roman" w:cs="Times New Roman"/>
          <w:sz w:val="22"/>
          <w:szCs w:val="22"/>
        </w:rPr>
      </w:pPr>
    </w:p>
    <w:p w14:paraId="3739EE20" w14:textId="77777777" w:rsidR="00A47AC7" w:rsidRDefault="00A47AC7" w:rsidP="00A47AC7">
      <w:pPr>
        <w:spacing w:after="0"/>
        <w:jc w:val="both"/>
        <w:rPr>
          <w:rFonts w:ascii="Times New Roman" w:hAnsi="Times New Roman" w:cs="Times New Roman"/>
          <w:b/>
          <w:bCs/>
        </w:rPr>
      </w:pPr>
      <w:r w:rsidRPr="00A47AC7">
        <w:rPr>
          <w:rFonts w:ascii="Times New Roman" w:hAnsi="Times New Roman" w:cs="Times New Roman"/>
          <w:b/>
          <w:bCs/>
        </w:rPr>
        <w:t>Materials and Methods</w:t>
      </w:r>
    </w:p>
    <w:p w14:paraId="44710EE0" w14:textId="77777777" w:rsidR="00616019" w:rsidRDefault="00616019" w:rsidP="00A47AC7">
      <w:pPr>
        <w:spacing w:after="0"/>
        <w:jc w:val="both"/>
        <w:rPr>
          <w:rFonts w:ascii="Times New Roman" w:hAnsi="Times New Roman" w:cs="Times New Roman"/>
          <w:b/>
          <w:bCs/>
        </w:rPr>
      </w:pPr>
      <w:r>
        <w:rPr>
          <w:rFonts w:ascii="Times New Roman" w:hAnsi="Times New Roman" w:cs="Times New Roman"/>
          <w:b/>
          <w:bCs/>
        </w:rPr>
        <w:t xml:space="preserve">Research Design </w:t>
      </w:r>
    </w:p>
    <w:p w14:paraId="40548BA1" w14:textId="77777777" w:rsidR="00E75932" w:rsidRDefault="00E75932" w:rsidP="00A47AC7">
      <w:pPr>
        <w:spacing w:after="0"/>
        <w:jc w:val="both"/>
        <w:rPr>
          <w:rFonts w:ascii="Times New Roman" w:hAnsi="Times New Roman" w:cs="Times New Roman"/>
          <w:sz w:val="22"/>
          <w:szCs w:val="22"/>
        </w:rPr>
      </w:pPr>
      <w:r w:rsidRPr="00E75932">
        <w:rPr>
          <w:rFonts w:ascii="Times New Roman" w:hAnsi="Times New Roman" w:cs="Times New Roman"/>
          <w:sz w:val="22"/>
          <w:szCs w:val="22"/>
          <w:lang w:val="en-US"/>
        </w:rPr>
        <w:t>Descriptive research design was used to conduct this study. This is because the study focused on the use of statistical measures of tendencies to describe how different factors relate or correlate to one another (Churchill, 1991). According to Kothari (2004), descriptive research accurately describes individuals, events, or circumstances. A description of the variables connected to a demographic subject is part of descriptive research. This type of approach makes it possible to correctly attribute the observed characteristics of the study subject (the who, what, and how of an issue).</w:t>
      </w:r>
    </w:p>
    <w:p w14:paraId="067D7AAE" w14:textId="77777777" w:rsidR="00616019" w:rsidRPr="00616019" w:rsidRDefault="00616019" w:rsidP="00616019">
      <w:pPr>
        <w:rPr>
          <w:rFonts w:ascii="Times New Roman" w:hAnsi="Times New Roman" w:cs="Times New Roman"/>
          <w:b/>
          <w:bCs/>
        </w:rPr>
      </w:pPr>
      <w:r w:rsidRPr="00616019">
        <w:rPr>
          <w:rFonts w:ascii="Times New Roman" w:hAnsi="Times New Roman" w:cs="Times New Roman"/>
          <w:b/>
          <w:bCs/>
        </w:rPr>
        <w:t>Target Population</w:t>
      </w:r>
    </w:p>
    <w:p w14:paraId="16D81ADD" w14:textId="77777777" w:rsidR="001F1D34" w:rsidRPr="001F1D34" w:rsidRDefault="001F1D34" w:rsidP="001F1D34">
      <w:pPr>
        <w:spacing w:after="0" w:line="240" w:lineRule="auto"/>
        <w:jc w:val="both"/>
        <w:rPr>
          <w:rFonts w:ascii="Times New Roman" w:hAnsi="Times New Roman" w:cs="Times New Roman"/>
          <w:bCs/>
          <w:sz w:val="22"/>
          <w:szCs w:val="22"/>
        </w:rPr>
      </w:pPr>
      <w:bookmarkStart w:id="2" w:name="_Toc181607963"/>
      <w:r w:rsidRPr="001F1D34">
        <w:rPr>
          <w:rFonts w:ascii="Times New Roman" w:hAnsi="Times New Roman" w:cs="Times New Roman"/>
          <w:bCs/>
          <w:sz w:val="22"/>
          <w:szCs w:val="22"/>
        </w:rPr>
        <w:t>The institutional humanitarian donors and International Non-Governmental Organizations (INGOs)</w:t>
      </w:r>
    </w:p>
    <w:p w14:paraId="7B8B45DB"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operating in South Sudan were the main target population of this study. The study focused on</w:t>
      </w:r>
    </w:p>
    <w:p w14:paraId="2903DDE4"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interviewing donors and INGO staff members with at least two years or more experience in project</w:t>
      </w:r>
    </w:p>
    <w:p w14:paraId="14644D12"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design, project management, and grant award processes. This included but not limited to program</w:t>
      </w:r>
    </w:p>
    <w:p w14:paraId="66ED6BD3"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officers, sector specialists, and grant managers who work for an INGO or a donor agency. The study</w:t>
      </w:r>
    </w:p>
    <w:p w14:paraId="3D4E7803"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focused on the decisions and strategies made by INGOs when writing proposals for humanitarian</w:t>
      </w:r>
    </w:p>
    <w:p w14:paraId="065ED652"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assistance projects. On the donor side, the study documented decision making process by the donors</w:t>
      </w:r>
    </w:p>
    <w:p w14:paraId="7F50C959"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when they fund grant proposals for humanitarian assistance. The study&amp;#</w:t>
      </w:r>
      <w:proofErr w:type="gramStart"/>
      <w:r w:rsidRPr="001F1D34">
        <w:rPr>
          <w:rFonts w:ascii="Times New Roman" w:hAnsi="Times New Roman" w:cs="Times New Roman"/>
          <w:bCs/>
          <w:sz w:val="22"/>
          <w:szCs w:val="22"/>
        </w:rPr>
        <w:t>39;s</w:t>
      </w:r>
      <w:proofErr w:type="gramEnd"/>
      <w:r w:rsidRPr="001F1D34">
        <w:rPr>
          <w:rFonts w:ascii="Times New Roman" w:hAnsi="Times New Roman" w:cs="Times New Roman"/>
          <w:bCs/>
          <w:sz w:val="22"/>
          <w:szCs w:val="22"/>
        </w:rPr>
        <w:t xml:space="preserve"> target population also</w:t>
      </w:r>
    </w:p>
    <w:p w14:paraId="5949590F"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included other relevant authorities/individuals with background in project design and grant award</w:t>
      </w:r>
    </w:p>
    <w:p w14:paraId="6DEA8CDB"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decisions as a way of triangulating views while capturing different perspectives on the study subject.</w:t>
      </w:r>
    </w:p>
    <w:p w14:paraId="5A2AA9CA"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According to the South Sudan Relief and Rehabilitation Commission (Government office that</w:t>
      </w:r>
    </w:p>
    <w:p w14:paraId="31C08A84"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registers non-governmental organizations and donors operating in the country) and the South Sudan</w:t>
      </w:r>
    </w:p>
    <w:p w14:paraId="428EC584"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NGO Forum, there are 118 international non-governmental organizations (INGOs), 1,800 National</w:t>
      </w:r>
    </w:p>
    <w:p w14:paraId="7A3C3171" w14:textId="77777777" w:rsidR="001F1D34" w:rsidRPr="001F1D34" w:rsidRDefault="001F1D34" w:rsidP="001F1D34">
      <w:pPr>
        <w:spacing w:after="0" w:line="240" w:lineRule="auto"/>
        <w:jc w:val="both"/>
        <w:rPr>
          <w:rFonts w:ascii="Times New Roman" w:hAnsi="Times New Roman" w:cs="Times New Roman"/>
          <w:bCs/>
          <w:sz w:val="22"/>
          <w:szCs w:val="22"/>
        </w:rPr>
      </w:pPr>
    </w:p>
    <w:p w14:paraId="7241A9BE"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NGOs, and several donor agencies operating in South Sudan (South Sudan NGO forum, 2024).</w:t>
      </w:r>
    </w:p>
    <w:p w14:paraId="5C19DB3A"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Despite the high number of INGOs (118) making up the South Sudan NGO forum, not all of them are</w:t>
      </w:r>
    </w:p>
    <w:p w14:paraId="66FC2DFD"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regular or big recipients (by grant size) of funds from the country’s pooled fund, the South Sudan</w:t>
      </w:r>
    </w:p>
    <w:p w14:paraId="737D2EA7"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Humanitarian Fund (SSHF). The study targeted 15 INGOs who are the top recipients (by grant size)</w:t>
      </w:r>
    </w:p>
    <w:p w14:paraId="2473C484"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of funding from SSHF. The 15 INGOs composed an adjusted primary target population for this study,</w:t>
      </w:r>
    </w:p>
    <w:p w14:paraId="0846BB92"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alongside the institutional donors represented by UN OCHA in the country. South Sudan uses a</w:t>
      </w:r>
    </w:p>
    <w:p w14:paraId="1C968BAF"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country-based pooled funding mechanism in which several donors put their resources together into</w:t>
      </w:r>
    </w:p>
    <w:p w14:paraId="56798287"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one pool called South Sudan Humanitarian Fund (SSHF), managed by UN OCHA. Thus, OCHA staff</w:t>
      </w:r>
    </w:p>
    <w:p w14:paraId="0E91599A"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were targeted and interviewed by the study as the overall representative of the donor community in</w:t>
      </w:r>
    </w:p>
    <w:p w14:paraId="79271347" w14:textId="77777777" w:rsidR="00A871B2"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the country.</w:t>
      </w:r>
    </w:p>
    <w:p w14:paraId="6B1B7CAF" w14:textId="77777777" w:rsidR="001F1D34" w:rsidRPr="001F1D34" w:rsidRDefault="001F1D34" w:rsidP="001F1D34">
      <w:pPr>
        <w:spacing w:after="0" w:line="240" w:lineRule="auto"/>
        <w:jc w:val="both"/>
        <w:rPr>
          <w:rFonts w:ascii="Times New Roman" w:hAnsi="Times New Roman" w:cs="Times New Roman"/>
          <w:bCs/>
          <w:sz w:val="22"/>
          <w:szCs w:val="22"/>
        </w:rPr>
      </w:pPr>
    </w:p>
    <w:p w14:paraId="188B2303" w14:textId="77777777" w:rsidR="00616019" w:rsidRPr="00A871B2" w:rsidRDefault="00616019" w:rsidP="00A871B2">
      <w:pPr>
        <w:spacing w:after="0" w:line="240" w:lineRule="auto"/>
        <w:jc w:val="both"/>
        <w:rPr>
          <w:rFonts w:ascii="Times New Roman" w:hAnsi="Times New Roman" w:cs="Times New Roman"/>
          <w:b/>
          <w:bCs/>
          <w:sz w:val="22"/>
          <w:szCs w:val="22"/>
        </w:rPr>
      </w:pPr>
      <w:r w:rsidRPr="00A871B2">
        <w:rPr>
          <w:rFonts w:ascii="Times New Roman" w:hAnsi="Times New Roman" w:cs="Times New Roman"/>
          <w:b/>
          <w:bCs/>
          <w:sz w:val="22"/>
          <w:szCs w:val="22"/>
        </w:rPr>
        <w:t>Sampling Procedures sample size</w:t>
      </w:r>
      <w:bookmarkEnd w:id="2"/>
    </w:p>
    <w:p w14:paraId="2CCAF10C" w14:textId="77777777" w:rsidR="001F1D34" w:rsidRPr="001F1D34" w:rsidRDefault="001F1D34" w:rsidP="001F1D34">
      <w:pPr>
        <w:spacing w:after="0" w:line="240" w:lineRule="auto"/>
        <w:rPr>
          <w:rFonts w:ascii="Times New Roman" w:hAnsi="Times New Roman" w:cs="Times New Roman"/>
          <w:bCs/>
          <w:sz w:val="22"/>
          <w:szCs w:val="22"/>
          <w:lang w:val="en-US"/>
        </w:rPr>
      </w:pPr>
      <w:bookmarkStart w:id="3" w:name="_Toc181607970"/>
      <w:r w:rsidRPr="001F1D34">
        <w:rPr>
          <w:rFonts w:ascii="Times New Roman" w:hAnsi="Times New Roman" w:cs="Times New Roman"/>
          <w:bCs/>
          <w:sz w:val="22"/>
          <w:szCs w:val="22"/>
          <w:lang w:val="en-US"/>
        </w:rPr>
        <w:t>For a sampling formula, the study adopted Krejcie &amp; Morgan (1970) sampling table to determine the study’s sample size. According to Krejcie &amp; Morgan (1970), if the target population is 15-19 units, the target sample will be 14 units. Therefore, the sample size of this study was 14 INGOs and one donor, UN OCHA, as the representative of an umbrella of donors as per the country’s pooled funding mechanism. The respondents were targeted for interviews and their responses gathered and analyzed.</w:t>
      </w:r>
      <w:bookmarkStart w:id="4" w:name="_Hlk171000653"/>
    </w:p>
    <w:p w14:paraId="008E33BA" w14:textId="77777777" w:rsidR="001F1D34" w:rsidRPr="001F1D34" w:rsidRDefault="001F1D34" w:rsidP="001F1D34">
      <w:pPr>
        <w:spacing w:after="0" w:line="240" w:lineRule="auto"/>
        <w:rPr>
          <w:rFonts w:ascii="Times New Roman" w:hAnsi="Times New Roman" w:cs="Times New Roman"/>
          <w:b/>
          <w:bCs/>
          <w:sz w:val="22"/>
          <w:szCs w:val="22"/>
          <w:lang w:val="en-US"/>
        </w:rPr>
      </w:pPr>
      <w:r w:rsidRPr="001F1D34">
        <w:rPr>
          <w:rFonts w:ascii="Times New Roman" w:hAnsi="Times New Roman" w:cs="Times New Roman"/>
          <w:b/>
          <w:bCs/>
          <w:sz w:val="22"/>
          <w:szCs w:val="22"/>
          <w:lang w:val="en-US"/>
        </w:rPr>
        <w:t>Table 1: Target population</w:t>
      </w:r>
    </w:p>
    <w:tbl>
      <w:tblPr>
        <w:tblW w:w="0" w:type="auto"/>
        <w:tblBorders>
          <w:top w:val="single" w:sz="4" w:space="0" w:color="auto"/>
          <w:bottom w:val="single" w:sz="4" w:space="0" w:color="auto"/>
        </w:tblBorders>
        <w:tblLook w:val="0000" w:firstRow="0" w:lastRow="0" w:firstColumn="0" w:lastColumn="0" w:noHBand="0" w:noVBand="0"/>
      </w:tblPr>
      <w:tblGrid>
        <w:gridCol w:w="4878"/>
        <w:gridCol w:w="2790"/>
      </w:tblGrid>
      <w:tr w:rsidR="001F1D34" w:rsidRPr="001F1D34" w14:paraId="1F13507B" w14:textId="77777777" w:rsidTr="009B2AD4">
        <w:trPr>
          <w:trHeight w:val="530"/>
        </w:trPr>
        <w:tc>
          <w:tcPr>
            <w:tcW w:w="4878" w:type="dxa"/>
            <w:tcBorders>
              <w:top w:val="single" w:sz="4" w:space="0" w:color="auto"/>
              <w:bottom w:val="single" w:sz="4" w:space="0" w:color="auto"/>
            </w:tcBorders>
          </w:tcPr>
          <w:bookmarkEnd w:id="4"/>
          <w:p w14:paraId="6A631C4B" w14:textId="77777777" w:rsidR="001F1D34" w:rsidRPr="001F1D34" w:rsidRDefault="001F1D34" w:rsidP="001F1D34">
            <w:pPr>
              <w:spacing w:after="0" w:line="240" w:lineRule="auto"/>
              <w:rPr>
                <w:rFonts w:ascii="Times New Roman" w:hAnsi="Times New Roman" w:cs="Times New Roman"/>
                <w:bCs/>
                <w:sz w:val="22"/>
                <w:szCs w:val="22"/>
                <w:lang w:val="en-US"/>
              </w:rPr>
            </w:pPr>
            <w:r w:rsidRPr="001F1D34">
              <w:rPr>
                <w:rFonts w:ascii="Times New Roman" w:hAnsi="Times New Roman" w:cs="Times New Roman"/>
                <w:bCs/>
                <w:sz w:val="22"/>
                <w:szCs w:val="22"/>
                <w:lang w:val="en-US"/>
              </w:rPr>
              <w:t>Target population</w:t>
            </w:r>
          </w:p>
        </w:tc>
        <w:tc>
          <w:tcPr>
            <w:tcW w:w="2790" w:type="dxa"/>
            <w:tcBorders>
              <w:top w:val="single" w:sz="4" w:space="0" w:color="auto"/>
              <w:bottom w:val="single" w:sz="4" w:space="0" w:color="auto"/>
            </w:tcBorders>
          </w:tcPr>
          <w:p w14:paraId="77414C26" w14:textId="77777777" w:rsidR="001F1D34" w:rsidRPr="001F1D34" w:rsidRDefault="001F1D34" w:rsidP="001F1D34">
            <w:pPr>
              <w:spacing w:after="0" w:line="240" w:lineRule="auto"/>
              <w:rPr>
                <w:rFonts w:ascii="Times New Roman" w:hAnsi="Times New Roman" w:cs="Times New Roman"/>
                <w:bCs/>
                <w:sz w:val="22"/>
                <w:szCs w:val="22"/>
                <w:lang w:val="en-US"/>
              </w:rPr>
            </w:pPr>
            <w:r w:rsidRPr="001F1D34">
              <w:rPr>
                <w:rFonts w:ascii="Times New Roman" w:hAnsi="Times New Roman" w:cs="Times New Roman"/>
                <w:bCs/>
                <w:sz w:val="22"/>
                <w:szCs w:val="22"/>
                <w:lang w:val="en-US"/>
              </w:rPr>
              <w:t>Sample size</w:t>
            </w:r>
          </w:p>
        </w:tc>
      </w:tr>
      <w:tr w:rsidR="001F1D34" w:rsidRPr="001F1D34" w14:paraId="56FBA854" w14:textId="77777777" w:rsidTr="009B2AD4">
        <w:tc>
          <w:tcPr>
            <w:tcW w:w="4878" w:type="dxa"/>
            <w:tcBorders>
              <w:top w:val="single" w:sz="4" w:space="0" w:color="auto"/>
            </w:tcBorders>
          </w:tcPr>
          <w:p w14:paraId="43035021" w14:textId="77777777" w:rsidR="001F1D34" w:rsidRPr="001F1D34" w:rsidRDefault="001F1D34" w:rsidP="001F1D34">
            <w:pPr>
              <w:spacing w:after="0" w:line="240" w:lineRule="auto"/>
              <w:rPr>
                <w:rFonts w:ascii="Times New Roman" w:hAnsi="Times New Roman" w:cs="Times New Roman"/>
                <w:bCs/>
                <w:sz w:val="22"/>
                <w:szCs w:val="22"/>
                <w:lang w:val="en-US"/>
              </w:rPr>
            </w:pPr>
            <w:r>
              <w:rPr>
                <w:rFonts w:ascii="Times New Roman" w:hAnsi="Times New Roman" w:cs="Times New Roman"/>
                <w:bCs/>
                <w:sz w:val="22"/>
                <w:szCs w:val="22"/>
                <w:lang w:val="en-US"/>
              </w:rPr>
              <w:t>14</w:t>
            </w:r>
          </w:p>
        </w:tc>
        <w:tc>
          <w:tcPr>
            <w:tcW w:w="2790" w:type="dxa"/>
            <w:tcBorders>
              <w:top w:val="single" w:sz="4" w:space="0" w:color="auto"/>
            </w:tcBorders>
          </w:tcPr>
          <w:p w14:paraId="7125ECD5" w14:textId="77777777" w:rsidR="001F1D34" w:rsidRPr="001F1D34" w:rsidRDefault="001F1D34" w:rsidP="001F1D34">
            <w:pPr>
              <w:spacing w:after="0" w:line="240" w:lineRule="auto"/>
              <w:rPr>
                <w:rFonts w:ascii="Times New Roman" w:hAnsi="Times New Roman" w:cs="Times New Roman"/>
                <w:bCs/>
                <w:sz w:val="22"/>
                <w:szCs w:val="22"/>
                <w:lang w:val="en-US"/>
              </w:rPr>
            </w:pPr>
            <w:r>
              <w:rPr>
                <w:rFonts w:ascii="Times New Roman" w:hAnsi="Times New Roman" w:cs="Times New Roman"/>
                <w:bCs/>
                <w:sz w:val="22"/>
                <w:szCs w:val="22"/>
                <w:lang w:val="en-US"/>
              </w:rPr>
              <w:t>14</w:t>
            </w:r>
          </w:p>
        </w:tc>
      </w:tr>
    </w:tbl>
    <w:p w14:paraId="0F758F96" w14:textId="77777777" w:rsidR="001F1D34" w:rsidRPr="001F1D34" w:rsidRDefault="001F1D34" w:rsidP="001F1D34">
      <w:pPr>
        <w:spacing w:after="0" w:line="240" w:lineRule="auto"/>
        <w:rPr>
          <w:rFonts w:ascii="Times New Roman" w:hAnsi="Times New Roman" w:cs="Times New Roman"/>
          <w:bCs/>
          <w:sz w:val="22"/>
          <w:szCs w:val="22"/>
          <w:lang w:val="en-US"/>
        </w:rPr>
      </w:pPr>
      <w:r w:rsidRPr="001F1D34">
        <w:rPr>
          <w:rFonts w:ascii="Times New Roman" w:hAnsi="Times New Roman" w:cs="Times New Roman"/>
          <w:b/>
          <w:bCs/>
          <w:sz w:val="22"/>
          <w:szCs w:val="22"/>
          <w:lang w:val="en-US"/>
        </w:rPr>
        <w:t xml:space="preserve"> </w:t>
      </w:r>
      <w:r w:rsidRPr="001F1D34">
        <w:rPr>
          <w:rFonts w:ascii="Times New Roman" w:hAnsi="Times New Roman" w:cs="Times New Roman"/>
          <w:bCs/>
          <w:sz w:val="22"/>
          <w:szCs w:val="22"/>
          <w:lang w:val="en-US"/>
        </w:rPr>
        <w:t>Source: Author, 2024</w:t>
      </w:r>
    </w:p>
    <w:p w14:paraId="2C1224A4" w14:textId="77777777" w:rsidR="001F1D34" w:rsidRPr="001F1D34" w:rsidRDefault="001F1D34" w:rsidP="001F1D34">
      <w:pPr>
        <w:spacing w:after="0" w:line="240" w:lineRule="auto"/>
        <w:rPr>
          <w:rFonts w:ascii="Times New Roman" w:hAnsi="Times New Roman" w:cs="Times New Roman"/>
          <w:bCs/>
          <w:sz w:val="22"/>
          <w:szCs w:val="22"/>
          <w:lang w:val="en-US"/>
        </w:rPr>
      </w:pPr>
      <w:r w:rsidRPr="001F1D34">
        <w:rPr>
          <w:rFonts w:ascii="Times New Roman" w:hAnsi="Times New Roman" w:cs="Times New Roman"/>
          <w:bCs/>
          <w:sz w:val="22"/>
          <w:szCs w:val="22"/>
          <w:lang w:val="en-US"/>
        </w:rPr>
        <w:t xml:space="preserve">The study adopted a sampling criterion that is representative of the INGOs that are the most frequent and biggest recipients of SSHF funds, by grant size, while reflecting the main sectors (program areas) that have been prioritized for funding by the donor over the last two years. According to OCHA (2024)’s financial tracking service (FTS) update for South Sudan for 2024, the top four most funded sectors/program areas through the pooled fund mechanism are Food Security and Livelihoods ($206,521,772), followed by protection ($52,566,588), nutrition ($42,674,384), and health </w:t>
      </w:r>
      <w:r w:rsidRPr="001F1D34">
        <w:rPr>
          <w:rFonts w:ascii="Times New Roman" w:hAnsi="Times New Roman" w:cs="Times New Roman"/>
          <w:bCs/>
          <w:sz w:val="22"/>
          <w:szCs w:val="22"/>
          <w:lang w:val="en-US"/>
        </w:rPr>
        <w:lastRenderedPageBreak/>
        <w:t xml:space="preserve">($42,322,032). INGOs that have been receiving funds in the sectors above were targeted for interviews by the study. </w:t>
      </w:r>
    </w:p>
    <w:p w14:paraId="4F14756E" w14:textId="77777777" w:rsidR="001F1D34" w:rsidRPr="001F1D34" w:rsidRDefault="001F1D34" w:rsidP="001F1D34">
      <w:pPr>
        <w:spacing w:after="0" w:line="240" w:lineRule="auto"/>
        <w:rPr>
          <w:rFonts w:ascii="Times New Roman" w:hAnsi="Times New Roman" w:cs="Times New Roman"/>
          <w:bCs/>
          <w:sz w:val="22"/>
          <w:szCs w:val="22"/>
          <w:lang w:val="en-US"/>
        </w:rPr>
      </w:pPr>
      <w:r w:rsidRPr="001F1D34">
        <w:rPr>
          <w:rFonts w:ascii="Times New Roman" w:hAnsi="Times New Roman" w:cs="Times New Roman"/>
          <w:bCs/>
          <w:sz w:val="22"/>
          <w:szCs w:val="22"/>
          <w:lang w:val="en-US"/>
        </w:rPr>
        <w:t>The study diversified the types of responses by looking at different roles or levels of experience in the INGOs or donor staffing; specifically ensuring there is a representative sample for program officers, sector specialists, and senior advisors in the INGOs and donor teams as these are the key decision makers on project design and grant award decisions. Thus, the study’s sampling criteria followed this staff distribution within the INGOs or donor teams in Juba.</w:t>
      </w:r>
    </w:p>
    <w:p w14:paraId="5EE9CC3C" w14:textId="77777777" w:rsidR="001F1D34" w:rsidRPr="001F1D34" w:rsidRDefault="001F1D34" w:rsidP="00A871B2">
      <w:pPr>
        <w:spacing w:after="0" w:line="240" w:lineRule="auto"/>
        <w:rPr>
          <w:rFonts w:ascii="Times New Roman" w:hAnsi="Times New Roman" w:cs="Times New Roman"/>
          <w:bCs/>
        </w:rPr>
      </w:pPr>
    </w:p>
    <w:bookmarkEnd w:id="3"/>
    <w:p w14:paraId="04328809" w14:textId="77777777" w:rsidR="00A871B2" w:rsidRPr="003F28B2" w:rsidRDefault="00A871B2" w:rsidP="00A871B2">
      <w:pPr>
        <w:rPr>
          <w:rFonts w:eastAsia="Calibri"/>
        </w:rPr>
      </w:pPr>
      <w:r w:rsidRPr="00A871B2">
        <w:rPr>
          <w:rFonts w:ascii="Times New Roman" w:eastAsia="Calibri" w:hAnsi="Times New Roman" w:cs="Times New Roman"/>
          <w:b/>
          <w:bCs/>
        </w:rPr>
        <w:t>Results and Discussion</w:t>
      </w:r>
    </w:p>
    <w:p w14:paraId="219982FC" w14:textId="77777777" w:rsidR="00A871B2" w:rsidRPr="001F1D34" w:rsidRDefault="00A871B2" w:rsidP="00A871B2">
      <w:pPr>
        <w:spacing w:after="0"/>
        <w:jc w:val="both"/>
        <w:rPr>
          <w:rFonts w:ascii="Times New Roman" w:hAnsi="Times New Roman" w:cs="Times New Roman"/>
          <w:b/>
          <w:sz w:val="22"/>
          <w:szCs w:val="22"/>
        </w:rPr>
      </w:pPr>
      <w:r w:rsidRPr="001F1D34">
        <w:rPr>
          <w:rFonts w:ascii="Times New Roman" w:hAnsi="Times New Roman" w:cs="Times New Roman"/>
          <w:b/>
          <w:sz w:val="22"/>
          <w:szCs w:val="22"/>
        </w:rPr>
        <w:t>Response Rate</w:t>
      </w:r>
    </w:p>
    <w:p w14:paraId="1942BC7D"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lang w:val="en-US"/>
        </w:rPr>
        <w:t xml:space="preserve">The sample of this work was 15 units of the targeted population. A total of 15 questionnaires were administered through face-to-face interviews and pick-and-drop approach; all the questionnaires were filled and completed at a 100% response rate. </w:t>
      </w:r>
      <w:r w:rsidRPr="001F1D34">
        <w:rPr>
          <w:rFonts w:ascii="Times New Roman" w:hAnsi="Times New Roman" w:cs="Times New Roman"/>
          <w:sz w:val="22"/>
          <w:szCs w:val="22"/>
        </w:rPr>
        <w:t xml:space="preserve">A study response rate of up to 60% r is considered fair and a 70% response rate or higher is considered exceptional, according to Mugenda and Mugenda (2003). As a result, the study received an outstanding response rate, as shown in table </w:t>
      </w:r>
      <w:r w:rsidR="00826FDC">
        <w:rPr>
          <w:rFonts w:ascii="Times New Roman" w:hAnsi="Times New Roman" w:cs="Times New Roman"/>
          <w:sz w:val="22"/>
          <w:szCs w:val="22"/>
        </w:rPr>
        <w:t>2</w:t>
      </w:r>
      <w:r w:rsidRPr="001F1D34">
        <w:rPr>
          <w:rFonts w:ascii="Times New Roman" w:hAnsi="Times New Roman" w:cs="Times New Roman"/>
          <w:sz w:val="22"/>
          <w:szCs w:val="22"/>
        </w:rPr>
        <w:t xml:space="preserve"> below.</w:t>
      </w:r>
    </w:p>
    <w:p w14:paraId="3045D111" w14:textId="77777777" w:rsidR="001F1D34" w:rsidRPr="001F1D34" w:rsidRDefault="00826FDC" w:rsidP="001F1D34">
      <w:pPr>
        <w:spacing w:after="0"/>
        <w:jc w:val="both"/>
        <w:rPr>
          <w:rFonts w:ascii="Times New Roman" w:hAnsi="Times New Roman" w:cs="Times New Roman"/>
          <w:b/>
          <w:bCs/>
          <w:sz w:val="22"/>
          <w:szCs w:val="22"/>
        </w:rPr>
      </w:pPr>
      <w:r>
        <w:rPr>
          <w:rFonts w:ascii="Times New Roman" w:hAnsi="Times New Roman" w:cs="Times New Roman"/>
          <w:b/>
          <w:bCs/>
          <w:sz w:val="22"/>
          <w:szCs w:val="22"/>
        </w:rPr>
        <w:t>Table 2</w:t>
      </w:r>
      <w:r w:rsidR="001F1D34" w:rsidRPr="001F1D34">
        <w:rPr>
          <w:rFonts w:ascii="Times New Roman" w:hAnsi="Times New Roman" w:cs="Times New Roman"/>
          <w:b/>
          <w:bCs/>
          <w:sz w:val="22"/>
          <w:szCs w:val="22"/>
        </w:rPr>
        <w:t>: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995"/>
        <w:gridCol w:w="2998"/>
      </w:tblGrid>
      <w:tr w:rsidR="001F1D34" w:rsidRPr="001F1D34" w14:paraId="574C47BF" w14:textId="77777777" w:rsidTr="009B2AD4">
        <w:tc>
          <w:tcPr>
            <w:tcW w:w="3192" w:type="dxa"/>
            <w:tcBorders>
              <w:top w:val="single" w:sz="4" w:space="0" w:color="auto"/>
              <w:left w:val="nil"/>
              <w:bottom w:val="single" w:sz="4" w:space="0" w:color="auto"/>
              <w:right w:val="nil"/>
            </w:tcBorders>
          </w:tcPr>
          <w:p w14:paraId="017241DC"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Questionnaires</w:t>
            </w:r>
          </w:p>
        </w:tc>
        <w:tc>
          <w:tcPr>
            <w:tcW w:w="3192" w:type="dxa"/>
            <w:tcBorders>
              <w:top w:val="single" w:sz="4" w:space="0" w:color="auto"/>
              <w:left w:val="nil"/>
              <w:bottom w:val="single" w:sz="4" w:space="0" w:color="auto"/>
              <w:right w:val="nil"/>
            </w:tcBorders>
          </w:tcPr>
          <w:p w14:paraId="17554FBE"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Frequency</w:t>
            </w:r>
          </w:p>
        </w:tc>
        <w:tc>
          <w:tcPr>
            <w:tcW w:w="3192" w:type="dxa"/>
            <w:tcBorders>
              <w:top w:val="single" w:sz="4" w:space="0" w:color="auto"/>
              <w:left w:val="nil"/>
              <w:bottom w:val="single" w:sz="4" w:space="0" w:color="auto"/>
              <w:right w:val="nil"/>
            </w:tcBorders>
          </w:tcPr>
          <w:p w14:paraId="3EE0F60E"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Percentage (%)</w:t>
            </w:r>
          </w:p>
        </w:tc>
      </w:tr>
      <w:tr w:rsidR="001F1D34" w:rsidRPr="001F1D34" w14:paraId="7C00D495" w14:textId="77777777" w:rsidTr="009B2AD4">
        <w:tc>
          <w:tcPr>
            <w:tcW w:w="3192" w:type="dxa"/>
            <w:tcBorders>
              <w:top w:val="single" w:sz="4" w:space="0" w:color="auto"/>
              <w:left w:val="nil"/>
              <w:bottom w:val="nil"/>
              <w:right w:val="nil"/>
            </w:tcBorders>
          </w:tcPr>
          <w:p w14:paraId="246945A7"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Filled and completed</w:t>
            </w:r>
          </w:p>
        </w:tc>
        <w:tc>
          <w:tcPr>
            <w:tcW w:w="3192" w:type="dxa"/>
            <w:tcBorders>
              <w:top w:val="single" w:sz="4" w:space="0" w:color="auto"/>
              <w:left w:val="nil"/>
              <w:bottom w:val="nil"/>
              <w:right w:val="nil"/>
            </w:tcBorders>
          </w:tcPr>
          <w:p w14:paraId="75A1D448"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15</w:t>
            </w:r>
          </w:p>
        </w:tc>
        <w:tc>
          <w:tcPr>
            <w:tcW w:w="3192" w:type="dxa"/>
            <w:tcBorders>
              <w:top w:val="single" w:sz="4" w:space="0" w:color="auto"/>
              <w:left w:val="nil"/>
              <w:bottom w:val="nil"/>
              <w:right w:val="nil"/>
            </w:tcBorders>
          </w:tcPr>
          <w:p w14:paraId="5C59CC56"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100.00</w:t>
            </w:r>
          </w:p>
        </w:tc>
      </w:tr>
      <w:tr w:rsidR="001F1D34" w:rsidRPr="001F1D34" w14:paraId="2857557C" w14:textId="77777777" w:rsidTr="009B2AD4">
        <w:tc>
          <w:tcPr>
            <w:tcW w:w="3192" w:type="dxa"/>
            <w:tcBorders>
              <w:top w:val="nil"/>
              <w:left w:val="nil"/>
              <w:bottom w:val="nil"/>
              <w:right w:val="nil"/>
            </w:tcBorders>
          </w:tcPr>
          <w:p w14:paraId="46E8540F"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Uncompleted</w:t>
            </w:r>
          </w:p>
        </w:tc>
        <w:tc>
          <w:tcPr>
            <w:tcW w:w="3192" w:type="dxa"/>
            <w:tcBorders>
              <w:top w:val="nil"/>
              <w:left w:val="nil"/>
              <w:bottom w:val="nil"/>
              <w:right w:val="nil"/>
            </w:tcBorders>
          </w:tcPr>
          <w:p w14:paraId="59EDAE12"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0</w:t>
            </w:r>
          </w:p>
        </w:tc>
        <w:tc>
          <w:tcPr>
            <w:tcW w:w="3192" w:type="dxa"/>
            <w:tcBorders>
              <w:top w:val="nil"/>
              <w:left w:val="nil"/>
              <w:bottom w:val="nil"/>
              <w:right w:val="nil"/>
            </w:tcBorders>
          </w:tcPr>
          <w:p w14:paraId="0E3BD497"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0.00</w:t>
            </w:r>
          </w:p>
        </w:tc>
      </w:tr>
      <w:tr w:rsidR="001F1D34" w:rsidRPr="001F1D34" w14:paraId="656DA712" w14:textId="77777777" w:rsidTr="009B2AD4">
        <w:tc>
          <w:tcPr>
            <w:tcW w:w="3192" w:type="dxa"/>
            <w:tcBorders>
              <w:top w:val="nil"/>
              <w:left w:val="nil"/>
              <w:bottom w:val="single" w:sz="4" w:space="0" w:color="auto"/>
              <w:right w:val="nil"/>
            </w:tcBorders>
          </w:tcPr>
          <w:p w14:paraId="39774B77"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Total</w:t>
            </w:r>
          </w:p>
        </w:tc>
        <w:tc>
          <w:tcPr>
            <w:tcW w:w="3192" w:type="dxa"/>
            <w:tcBorders>
              <w:top w:val="nil"/>
              <w:left w:val="nil"/>
              <w:bottom w:val="single" w:sz="4" w:space="0" w:color="auto"/>
              <w:right w:val="nil"/>
            </w:tcBorders>
          </w:tcPr>
          <w:p w14:paraId="3096F0C5"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15</w:t>
            </w:r>
          </w:p>
        </w:tc>
        <w:tc>
          <w:tcPr>
            <w:tcW w:w="3192" w:type="dxa"/>
            <w:tcBorders>
              <w:top w:val="nil"/>
              <w:left w:val="nil"/>
              <w:bottom w:val="single" w:sz="4" w:space="0" w:color="auto"/>
              <w:right w:val="nil"/>
            </w:tcBorders>
          </w:tcPr>
          <w:p w14:paraId="299F758F"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100.00</w:t>
            </w:r>
          </w:p>
        </w:tc>
      </w:tr>
    </w:tbl>
    <w:p w14:paraId="6F3432AD" w14:textId="77777777" w:rsidR="001F1D34" w:rsidRDefault="001F1D34" w:rsidP="00A871B2">
      <w:pPr>
        <w:spacing w:after="0"/>
        <w:jc w:val="both"/>
        <w:rPr>
          <w:rFonts w:ascii="Times New Roman" w:hAnsi="Times New Roman" w:cs="Times New Roman"/>
          <w:sz w:val="22"/>
          <w:szCs w:val="22"/>
        </w:rPr>
      </w:pPr>
    </w:p>
    <w:p w14:paraId="4088FC4D" w14:textId="77777777" w:rsidR="009B2AD4" w:rsidRPr="009B2AD4" w:rsidRDefault="009B2AD4" w:rsidP="009B2AD4">
      <w:pPr>
        <w:spacing w:after="0"/>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Alignment to Donor Priorities and Grant Award Decisions</w:t>
      </w:r>
    </w:p>
    <w:p w14:paraId="6243EDB6" w14:textId="77777777" w:rsidR="009B2AD4" w:rsidRPr="00826FDC" w:rsidRDefault="009B2AD4" w:rsidP="009B2AD4">
      <w:pPr>
        <w:spacing w:after="0"/>
        <w:jc w:val="both"/>
        <w:rPr>
          <w:rFonts w:ascii="Times New Roman" w:hAnsi="Times New Roman" w:cs="Times New Roman"/>
          <w:sz w:val="22"/>
          <w:szCs w:val="22"/>
          <w:lang w:val="en-US"/>
        </w:rPr>
      </w:pPr>
      <w:bookmarkStart w:id="5" w:name="_Hlk184448511"/>
      <w:r w:rsidRPr="009B2AD4">
        <w:rPr>
          <w:rFonts w:ascii="Times New Roman" w:hAnsi="Times New Roman" w:cs="Times New Roman"/>
          <w:sz w:val="22"/>
          <w:szCs w:val="22"/>
          <w:lang w:val="en-US"/>
        </w:rPr>
        <w:t xml:space="preserve">This independent variable </w:t>
      </w:r>
      <w:r w:rsidRPr="009B2AD4">
        <w:rPr>
          <w:rFonts w:ascii="Times New Roman" w:hAnsi="Times New Roman" w:cs="Times New Roman"/>
          <w:bCs/>
          <w:sz w:val="22"/>
          <w:szCs w:val="22"/>
          <w:lang w:val="x-none"/>
        </w:rPr>
        <w:t>examined</w:t>
      </w:r>
      <w:r w:rsidRPr="009B2AD4">
        <w:rPr>
          <w:rFonts w:ascii="Times New Roman" w:hAnsi="Times New Roman" w:cs="Times New Roman"/>
          <w:sz w:val="22"/>
          <w:szCs w:val="22"/>
          <w:lang w:val="en-US"/>
        </w:rPr>
        <w:t xml:space="preserve"> the role of alignment to donor priorities in grant award decisions </w:t>
      </w:r>
      <w:r w:rsidRPr="009B2AD4">
        <w:rPr>
          <w:rFonts w:ascii="Times New Roman" w:hAnsi="Times New Roman" w:cs="Times New Roman"/>
          <w:bCs/>
          <w:sz w:val="22"/>
          <w:szCs w:val="22"/>
          <w:lang w:val="x-none"/>
        </w:rPr>
        <w:t xml:space="preserve">for humanitarian projects. A five-point Likert scale was used to administer a set of questions to the study respondents. The thoughts and technical opinions of the study participants are documented in table </w:t>
      </w:r>
      <w:r w:rsidR="00826FDC">
        <w:rPr>
          <w:rFonts w:ascii="Times New Roman" w:hAnsi="Times New Roman" w:cs="Times New Roman"/>
          <w:bCs/>
          <w:sz w:val="22"/>
          <w:szCs w:val="22"/>
          <w:lang w:val="en-US"/>
        </w:rPr>
        <w:t>3</w:t>
      </w:r>
      <w:r w:rsidRPr="009B2AD4">
        <w:rPr>
          <w:rFonts w:ascii="Times New Roman" w:hAnsi="Times New Roman" w:cs="Times New Roman"/>
          <w:bCs/>
          <w:sz w:val="22"/>
          <w:szCs w:val="22"/>
          <w:lang w:val="x-none"/>
        </w:rPr>
        <w:t xml:space="preserve"> below with the statistical measures (mean, standard deviation, and variance) for each variable. Table </w:t>
      </w:r>
      <w:r w:rsidR="00826FDC">
        <w:rPr>
          <w:rFonts w:ascii="Times New Roman" w:hAnsi="Times New Roman" w:cs="Times New Roman"/>
          <w:bCs/>
          <w:sz w:val="22"/>
          <w:szCs w:val="22"/>
          <w:lang w:val="en-US"/>
        </w:rPr>
        <w:t>3</w:t>
      </w:r>
      <w:r w:rsidRPr="009B2AD4">
        <w:rPr>
          <w:rFonts w:ascii="Times New Roman" w:hAnsi="Times New Roman" w:cs="Times New Roman"/>
          <w:bCs/>
          <w:sz w:val="22"/>
          <w:szCs w:val="22"/>
          <w:lang w:val="x-none"/>
        </w:rPr>
        <w:t xml:space="preserve"> below presents the findings under the alignment to donor priorities independent variable, with an in-depth interpretation of the findings provided </w:t>
      </w:r>
      <w:bookmarkEnd w:id="5"/>
      <w:r w:rsidR="00826FDC">
        <w:rPr>
          <w:rFonts w:ascii="Times New Roman" w:hAnsi="Times New Roman" w:cs="Times New Roman"/>
          <w:bCs/>
          <w:sz w:val="22"/>
          <w:szCs w:val="22"/>
          <w:lang w:val="en-US"/>
        </w:rPr>
        <w:t>below.</w:t>
      </w:r>
    </w:p>
    <w:p w14:paraId="630353DB" w14:textId="77777777" w:rsidR="009B2AD4" w:rsidRPr="009B2AD4" w:rsidRDefault="009B2AD4" w:rsidP="009B2AD4">
      <w:pPr>
        <w:spacing w:after="0"/>
        <w:jc w:val="both"/>
        <w:rPr>
          <w:rFonts w:ascii="Times New Roman" w:hAnsi="Times New Roman" w:cs="Times New Roman"/>
          <w:sz w:val="22"/>
          <w:szCs w:val="22"/>
          <w:lang w:val="en-US"/>
        </w:rPr>
      </w:pPr>
    </w:p>
    <w:p w14:paraId="11B4D240" w14:textId="77777777" w:rsidR="009B2AD4" w:rsidRPr="009B2AD4" w:rsidRDefault="009B2AD4" w:rsidP="009B2AD4">
      <w:pPr>
        <w:spacing w:after="0"/>
        <w:jc w:val="both"/>
        <w:rPr>
          <w:rFonts w:ascii="Times New Roman" w:hAnsi="Times New Roman" w:cs="Times New Roman"/>
          <w:b/>
          <w:bCs/>
          <w:sz w:val="22"/>
          <w:szCs w:val="22"/>
          <w:lang w:val="x-none"/>
        </w:rPr>
      </w:pPr>
      <w:r w:rsidRPr="009B2AD4">
        <w:rPr>
          <w:rFonts w:ascii="Times New Roman" w:hAnsi="Times New Roman" w:cs="Times New Roman"/>
          <w:b/>
          <w:bCs/>
          <w:sz w:val="22"/>
          <w:szCs w:val="22"/>
          <w:lang w:val="en-US"/>
        </w:rPr>
        <w:t xml:space="preserve">Table </w:t>
      </w:r>
      <w:r w:rsidR="00826FDC">
        <w:rPr>
          <w:rFonts w:ascii="Times New Roman" w:hAnsi="Times New Roman" w:cs="Times New Roman"/>
          <w:b/>
          <w:bCs/>
          <w:sz w:val="22"/>
          <w:szCs w:val="22"/>
          <w:lang w:val="en-US"/>
        </w:rPr>
        <w:t>3</w:t>
      </w:r>
      <w:r w:rsidRPr="009B2AD4">
        <w:rPr>
          <w:rFonts w:ascii="Times New Roman" w:hAnsi="Times New Roman" w:cs="Times New Roman"/>
          <w:b/>
          <w:bCs/>
          <w:sz w:val="22"/>
          <w:szCs w:val="22"/>
          <w:lang w:val="en-US"/>
        </w:rPr>
        <w:t>: Alignment to donor priorities and grant award decisions</w:t>
      </w:r>
    </w:p>
    <w:tbl>
      <w:tblPr>
        <w:tblW w:w="9630" w:type="dxa"/>
        <w:tblLayout w:type="fixed"/>
        <w:tblCellMar>
          <w:left w:w="0" w:type="dxa"/>
          <w:right w:w="0" w:type="dxa"/>
        </w:tblCellMar>
        <w:tblLook w:val="0000" w:firstRow="0" w:lastRow="0" w:firstColumn="0" w:lastColumn="0" w:noHBand="0" w:noVBand="0"/>
      </w:tblPr>
      <w:tblGrid>
        <w:gridCol w:w="540"/>
        <w:gridCol w:w="1170"/>
        <w:gridCol w:w="2070"/>
        <w:gridCol w:w="1800"/>
        <w:gridCol w:w="2070"/>
        <w:gridCol w:w="1980"/>
      </w:tblGrid>
      <w:tr w:rsidR="009B2AD4" w:rsidRPr="009B2AD4" w14:paraId="57B0392D" w14:textId="77777777" w:rsidTr="009B2AD4">
        <w:trPr>
          <w:cantSplit/>
          <w:trHeight w:val="225"/>
        </w:trPr>
        <w:tc>
          <w:tcPr>
            <w:tcW w:w="9630" w:type="dxa"/>
            <w:gridSpan w:val="6"/>
            <w:tcBorders>
              <w:top w:val="nil"/>
              <w:left w:val="nil"/>
              <w:bottom w:val="nil"/>
              <w:right w:val="nil"/>
            </w:tcBorders>
            <w:shd w:val="clear" w:color="auto" w:fill="FFFFFF"/>
            <w:vAlign w:val="center"/>
          </w:tcPr>
          <w:p w14:paraId="60F2A4FC" w14:textId="77777777" w:rsidR="009B2AD4" w:rsidRPr="009B2AD4" w:rsidRDefault="009B2AD4" w:rsidP="009B2AD4">
            <w:pPr>
              <w:spacing w:after="0"/>
              <w:jc w:val="both"/>
              <w:rPr>
                <w:rFonts w:ascii="Times New Roman" w:hAnsi="Times New Roman" w:cs="Times New Roman"/>
                <w:sz w:val="22"/>
                <w:szCs w:val="22"/>
                <w:lang w:val="en-US"/>
              </w:rPr>
            </w:pPr>
          </w:p>
        </w:tc>
      </w:tr>
      <w:tr w:rsidR="009B2AD4" w:rsidRPr="009B2AD4" w14:paraId="71055B20" w14:textId="77777777" w:rsidTr="009B2AD4">
        <w:trPr>
          <w:cantSplit/>
          <w:trHeight w:val="1116"/>
        </w:trPr>
        <w:tc>
          <w:tcPr>
            <w:tcW w:w="1710" w:type="dxa"/>
            <w:gridSpan w:val="2"/>
            <w:tcBorders>
              <w:top w:val="nil"/>
              <w:left w:val="nil"/>
              <w:bottom w:val="single" w:sz="8" w:space="0" w:color="152935"/>
              <w:right w:val="nil"/>
            </w:tcBorders>
            <w:shd w:val="clear" w:color="auto" w:fill="FFFFFF"/>
            <w:vAlign w:val="bottom"/>
          </w:tcPr>
          <w:p w14:paraId="1E8E6730" w14:textId="77777777" w:rsidR="009B2AD4" w:rsidRPr="009B2AD4" w:rsidRDefault="009B2AD4" w:rsidP="009B2AD4">
            <w:pPr>
              <w:spacing w:after="0"/>
              <w:jc w:val="both"/>
              <w:rPr>
                <w:rFonts w:ascii="Times New Roman" w:hAnsi="Times New Roman" w:cs="Times New Roman"/>
                <w:sz w:val="22"/>
                <w:szCs w:val="22"/>
                <w:lang w:val="en-US"/>
              </w:rPr>
            </w:pPr>
          </w:p>
        </w:tc>
        <w:tc>
          <w:tcPr>
            <w:tcW w:w="2070" w:type="dxa"/>
            <w:tcBorders>
              <w:top w:val="nil"/>
              <w:left w:val="nil"/>
              <w:bottom w:val="single" w:sz="8" w:space="0" w:color="152935"/>
              <w:right w:val="single" w:sz="4" w:space="0" w:color="auto"/>
            </w:tcBorders>
            <w:shd w:val="clear" w:color="auto" w:fill="FFFFFF"/>
            <w:vAlign w:val="bottom"/>
          </w:tcPr>
          <w:p w14:paraId="58196F3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Proposal funding and alignment with donor priorities</w:t>
            </w:r>
          </w:p>
        </w:tc>
        <w:tc>
          <w:tcPr>
            <w:tcW w:w="1800" w:type="dxa"/>
            <w:tcBorders>
              <w:top w:val="nil"/>
              <w:left w:val="single" w:sz="4" w:space="0" w:color="auto"/>
              <w:bottom w:val="single" w:sz="8" w:space="0" w:color="152935"/>
              <w:right w:val="single" w:sz="4" w:space="0" w:color="auto"/>
            </w:tcBorders>
            <w:shd w:val="clear" w:color="auto" w:fill="FFFFFF"/>
            <w:vAlign w:val="bottom"/>
          </w:tcPr>
          <w:p w14:paraId="62CD1F9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Alignment with donor priorities and grant ward decision </w:t>
            </w:r>
          </w:p>
        </w:tc>
        <w:tc>
          <w:tcPr>
            <w:tcW w:w="2070" w:type="dxa"/>
            <w:tcBorders>
              <w:top w:val="nil"/>
              <w:left w:val="single" w:sz="4" w:space="0" w:color="auto"/>
              <w:bottom w:val="single" w:sz="8" w:space="0" w:color="152935"/>
              <w:right w:val="single" w:sz="4" w:space="0" w:color="auto"/>
            </w:tcBorders>
            <w:shd w:val="clear" w:color="auto" w:fill="FFFFFF"/>
            <w:vAlign w:val="bottom"/>
          </w:tcPr>
          <w:p w14:paraId="7242F3E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Justification of custom activities and grant award decision</w:t>
            </w:r>
          </w:p>
        </w:tc>
        <w:tc>
          <w:tcPr>
            <w:tcW w:w="1980" w:type="dxa"/>
            <w:tcBorders>
              <w:top w:val="nil"/>
              <w:left w:val="single" w:sz="4" w:space="0" w:color="auto"/>
              <w:bottom w:val="single" w:sz="8" w:space="0" w:color="152935"/>
              <w:right w:val="nil"/>
            </w:tcBorders>
            <w:shd w:val="clear" w:color="auto" w:fill="FFFFFF"/>
            <w:vAlign w:val="bottom"/>
          </w:tcPr>
          <w:p w14:paraId="0D938FE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Adherence to donor terms of reference and grant ward decision</w:t>
            </w:r>
          </w:p>
        </w:tc>
      </w:tr>
      <w:tr w:rsidR="009B2AD4" w:rsidRPr="009B2AD4" w14:paraId="231B2749" w14:textId="77777777" w:rsidTr="009B2AD4">
        <w:trPr>
          <w:cantSplit/>
        </w:trPr>
        <w:tc>
          <w:tcPr>
            <w:tcW w:w="540" w:type="dxa"/>
            <w:vMerge w:val="restart"/>
            <w:tcBorders>
              <w:top w:val="single" w:sz="8" w:space="0" w:color="152935"/>
              <w:left w:val="nil"/>
              <w:bottom w:val="single" w:sz="8" w:space="0" w:color="AEAEAE"/>
              <w:right w:val="nil"/>
            </w:tcBorders>
          </w:tcPr>
          <w:p w14:paraId="7585C74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w:t>
            </w:r>
          </w:p>
        </w:tc>
        <w:tc>
          <w:tcPr>
            <w:tcW w:w="1170" w:type="dxa"/>
            <w:tcBorders>
              <w:top w:val="single" w:sz="8" w:space="0" w:color="152935"/>
              <w:left w:val="nil"/>
              <w:bottom w:val="single" w:sz="8" w:space="0" w:color="AEAEAE"/>
              <w:right w:val="nil"/>
            </w:tcBorders>
          </w:tcPr>
          <w:p w14:paraId="283A8A9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Valid</w:t>
            </w:r>
          </w:p>
        </w:tc>
        <w:tc>
          <w:tcPr>
            <w:tcW w:w="2070" w:type="dxa"/>
            <w:tcBorders>
              <w:top w:val="single" w:sz="8" w:space="0" w:color="152935"/>
              <w:left w:val="nil"/>
              <w:bottom w:val="single" w:sz="8" w:space="0" w:color="AEAEAE"/>
              <w:right w:val="single" w:sz="4" w:space="0" w:color="auto"/>
            </w:tcBorders>
            <w:shd w:val="clear" w:color="auto" w:fill="F9F9FB"/>
          </w:tcPr>
          <w:p w14:paraId="68E3ABA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1800" w:type="dxa"/>
            <w:tcBorders>
              <w:top w:val="single" w:sz="8" w:space="0" w:color="152935"/>
              <w:left w:val="single" w:sz="4" w:space="0" w:color="auto"/>
              <w:bottom w:val="single" w:sz="8" w:space="0" w:color="AEAEAE"/>
              <w:right w:val="single" w:sz="4" w:space="0" w:color="auto"/>
            </w:tcBorders>
            <w:shd w:val="clear" w:color="auto" w:fill="F9F9FB"/>
          </w:tcPr>
          <w:p w14:paraId="013E107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2070" w:type="dxa"/>
            <w:tcBorders>
              <w:top w:val="single" w:sz="8" w:space="0" w:color="152935"/>
              <w:left w:val="single" w:sz="4" w:space="0" w:color="auto"/>
              <w:bottom w:val="single" w:sz="8" w:space="0" w:color="AEAEAE"/>
              <w:right w:val="single" w:sz="4" w:space="0" w:color="auto"/>
            </w:tcBorders>
            <w:shd w:val="clear" w:color="auto" w:fill="F9F9FB"/>
          </w:tcPr>
          <w:p w14:paraId="450AB8C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1980" w:type="dxa"/>
            <w:tcBorders>
              <w:top w:val="single" w:sz="8" w:space="0" w:color="152935"/>
              <w:left w:val="single" w:sz="4" w:space="0" w:color="auto"/>
              <w:bottom w:val="single" w:sz="8" w:space="0" w:color="AEAEAE"/>
              <w:right w:val="nil"/>
            </w:tcBorders>
            <w:shd w:val="clear" w:color="auto" w:fill="F9F9FB"/>
          </w:tcPr>
          <w:p w14:paraId="475F03A2"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r>
      <w:tr w:rsidR="009B2AD4" w:rsidRPr="009B2AD4" w14:paraId="1C754FA4" w14:textId="77777777" w:rsidTr="009B2AD4">
        <w:trPr>
          <w:cantSplit/>
        </w:trPr>
        <w:tc>
          <w:tcPr>
            <w:tcW w:w="540" w:type="dxa"/>
            <w:vMerge/>
            <w:tcBorders>
              <w:top w:val="single" w:sz="8" w:space="0" w:color="152935"/>
              <w:left w:val="nil"/>
              <w:bottom w:val="single" w:sz="8" w:space="0" w:color="AEAEAE"/>
              <w:right w:val="nil"/>
            </w:tcBorders>
          </w:tcPr>
          <w:p w14:paraId="63BECF4B" w14:textId="77777777" w:rsidR="009B2AD4" w:rsidRPr="009B2AD4" w:rsidRDefault="009B2AD4" w:rsidP="009B2AD4">
            <w:pPr>
              <w:spacing w:after="0"/>
              <w:jc w:val="both"/>
              <w:rPr>
                <w:rFonts w:ascii="Times New Roman" w:hAnsi="Times New Roman" w:cs="Times New Roman"/>
                <w:sz w:val="22"/>
                <w:szCs w:val="22"/>
                <w:lang w:val="en-US"/>
              </w:rPr>
            </w:pPr>
          </w:p>
        </w:tc>
        <w:tc>
          <w:tcPr>
            <w:tcW w:w="1170" w:type="dxa"/>
            <w:tcBorders>
              <w:top w:val="single" w:sz="8" w:space="0" w:color="AEAEAE"/>
              <w:left w:val="nil"/>
              <w:bottom w:val="single" w:sz="8" w:space="0" w:color="AEAEAE"/>
              <w:right w:val="nil"/>
            </w:tcBorders>
          </w:tcPr>
          <w:p w14:paraId="2A235DC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Missing</w:t>
            </w:r>
          </w:p>
        </w:tc>
        <w:tc>
          <w:tcPr>
            <w:tcW w:w="2070" w:type="dxa"/>
            <w:tcBorders>
              <w:top w:val="single" w:sz="8" w:space="0" w:color="AEAEAE"/>
              <w:left w:val="nil"/>
              <w:bottom w:val="single" w:sz="8" w:space="0" w:color="AEAEAE"/>
              <w:right w:val="single" w:sz="4" w:space="0" w:color="auto"/>
            </w:tcBorders>
            <w:shd w:val="clear" w:color="auto" w:fill="F9F9FB"/>
          </w:tcPr>
          <w:p w14:paraId="29D1FDA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1800" w:type="dxa"/>
            <w:tcBorders>
              <w:top w:val="single" w:sz="8" w:space="0" w:color="AEAEAE"/>
              <w:left w:val="single" w:sz="4" w:space="0" w:color="auto"/>
              <w:bottom w:val="single" w:sz="8" w:space="0" w:color="AEAEAE"/>
              <w:right w:val="single" w:sz="4" w:space="0" w:color="auto"/>
            </w:tcBorders>
            <w:shd w:val="clear" w:color="auto" w:fill="F9F9FB"/>
          </w:tcPr>
          <w:p w14:paraId="77FCBF6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2070" w:type="dxa"/>
            <w:tcBorders>
              <w:top w:val="single" w:sz="8" w:space="0" w:color="AEAEAE"/>
              <w:left w:val="single" w:sz="4" w:space="0" w:color="auto"/>
              <w:bottom w:val="single" w:sz="8" w:space="0" w:color="AEAEAE"/>
              <w:right w:val="single" w:sz="4" w:space="0" w:color="auto"/>
            </w:tcBorders>
            <w:shd w:val="clear" w:color="auto" w:fill="F9F9FB"/>
          </w:tcPr>
          <w:p w14:paraId="3647435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1980" w:type="dxa"/>
            <w:tcBorders>
              <w:top w:val="single" w:sz="8" w:space="0" w:color="AEAEAE"/>
              <w:left w:val="single" w:sz="4" w:space="0" w:color="auto"/>
              <w:bottom w:val="single" w:sz="8" w:space="0" w:color="AEAEAE"/>
              <w:right w:val="nil"/>
            </w:tcBorders>
            <w:shd w:val="clear" w:color="auto" w:fill="F9F9FB"/>
          </w:tcPr>
          <w:p w14:paraId="66EFE6C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r>
      <w:tr w:rsidR="009B2AD4" w:rsidRPr="009B2AD4" w14:paraId="7A6EC1F7" w14:textId="77777777" w:rsidTr="009B2AD4">
        <w:trPr>
          <w:cantSplit/>
        </w:trPr>
        <w:tc>
          <w:tcPr>
            <w:tcW w:w="1710" w:type="dxa"/>
            <w:gridSpan w:val="2"/>
            <w:tcBorders>
              <w:top w:val="single" w:sz="8" w:space="0" w:color="AEAEAE"/>
              <w:left w:val="nil"/>
              <w:bottom w:val="single" w:sz="8" w:space="0" w:color="AEAEAE"/>
              <w:right w:val="nil"/>
            </w:tcBorders>
          </w:tcPr>
          <w:p w14:paraId="5B7CF6E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Mean</w:t>
            </w:r>
          </w:p>
        </w:tc>
        <w:tc>
          <w:tcPr>
            <w:tcW w:w="2070" w:type="dxa"/>
            <w:tcBorders>
              <w:top w:val="single" w:sz="8" w:space="0" w:color="AEAEAE"/>
              <w:left w:val="nil"/>
              <w:bottom w:val="single" w:sz="8" w:space="0" w:color="AEAEAE"/>
              <w:right w:val="single" w:sz="4" w:space="0" w:color="auto"/>
            </w:tcBorders>
            <w:shd w:val="clear" w:color="auto" w:fill="F9F9FB"/>
          </w:tcPr>
          <w:p w14:paraId="6419023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4.53</w:t>
            </w:r>
          </w:p>
        </w:tc>
        <w:tc>
          <w:tcPr>
            <w:tcW w:w="1800" w:type="dxa"/>
            <w:tcBorders>
              <w:top w:val="single" w:sz="8" w:space="0" w:color="AEAEAE"/>
              <w:left w:val="single" w:sz="4" w:space="0" w:color="auto"/>
              <w:bottom w:val="single" w:sz="8" w:space="0" w:color="AEAEAE"/>
              <w:right w:val="single" w:sz="4" w:space="0" w:color="auto"/>
            </w:tcBorders>
            <w:shd w:val="clear" w:color="auto" w:fill="F9F9FB"/>
          </w:tcPr>
          <w:p w14:paraId="2E75D876"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4.07</w:t>
            </w:r>
          </w:p>
        </w:tc>
        <w:tc>
          <w:tcPr>
            <w:tcW w:w="2070" w:type="dxa"/>
            <w:tcBorders>
              <w:top w:val="single" w:sz="8" w:space="0" w:color="AEAEAE"/>
              <w:left w:val="single" w:sz="4" w:space="0" w:color="auto"/>
              <w:bottom w:val="single" w:sz="8" w:space="0" w:color="AEAEAE"/>
              <w:right w:val="single" w:sz="4" w:space="0" w:color="auto"/>
            </w:tcBorders>
            <w:shd w:val="clear" w:color="auto" w:fill="F9F9FB"/>
          </w:tcPr>
          <w:p w14:paraId="79FDE55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3.07</w:t>
            </w:r>
          </w:p>
        </w:tc>
        <w:tc>
          <w:tcPr>
            <w:tcW w:w="1980" w:type="dxa"/>
            <w:tcBorders>
              <w:top w:val="single" w:sz="8" w:space="0" w:color="AEAEAE"/>
              <w:left w:val="single" w:sz="4" w:space="0" w:color="auto"/>
              <w:bottom w:val="single" w:sz="8" w:space="0" w:color="AEAEAE"/>
              <w:right w:val="nil"/>
            </w:tcBorders>
            <w:shd w:val="clear" w:color="auto" w:fill="F9F9FB"/>
          </w:tcPr>
          <w:p w14:paraId="1C54C0A2"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2.20</w:t>
            </w:r>
          </w:p>
        </w:tc>
      </w:tr>
      <w:tr w:rsidR="009B2AD4" w:rsidRPr="009B2AD4" w14:paraId="5FF00A34" w14:textId="77777777" w:rsidTr="009B2AD4">
        <w:trPr>
          <w:cantSplit/>
          <w:trHeight w:val="610"/>
        </w:trPr>
        <w:tc>
          <w:tcPr>
            <w:tcW w:w="1710" w:type="dxa"/>
            <w:gridSpan w:val="2"/>
            <w:tcBorders>
              <w:top w:val="single" w:sz="8" w:space="0" w:color="AEAEAE"/>
              <w:left w:val="nil"/>
              <w:bottom w:val="single" w:sz="8" w:space="0" w:color="AEAEAE"/>
              <w:right w:val="nil"/>
            </w:tcBorders>
          </w:tcPr>
          <w:p w14:paraId="06142D0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Std. Error of Mean</w:t>
            </w:r>
          </w:p>
        </w:tc>
        <w:tc>
          <w:tcPr>
            <w:tcW w:w="2070" w:type="dxa"/>
            <w:tcBorders>
              <w:top w:val="single" w:sz="8" w:space="0" w:color="AEAEAE"/>
              <w:left w:val="nil"/>
              <w:bottom w:val="single" w:sz="8" w:space="0" w:color="AEAEAE"/>
              <w:right w:val="single" w:sz="4" w:space="0" w:color="auto"/>
            </w:tcBorders>
            <w:shd w:val="clear" w:color="auto" w:fill="F9F9FB"/>
          </w:tcPr>
          <w:p w14:paraId="4F0F0DA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w:t>
            </w:r>
          </w:p>
        </w:tc>
        <w:tc>
          <w:tcPr>
            <w:tcW w:w="1800" w:type="dxa"/>
            <w:tcBorders>
              <w:top w:val="single" w:sz="8" w:space="0" w:color="AEAEAE"/>
              <w:left w:val="single" w:sz="4" w:space="0" w:color="auto"/>
              <w:bottom w:val="single" w:sz="8" w:space="0" w:color="AEAEAE"/>
              <w:right w:val="single" w:sz="4" w:space="0" w:color="auto"/>
            </w:tcBorders>
            <w:shd w:val="clear" w:color="auto" w:fill="F9F9FB"/>
          </w:tcPr>
          <w:p w14:paraId="0F8C73E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.153</w:t>
            </w:r>
          </w:p>
        </w:tc>
        <w:tc>
          <w:tcPr>
            <w:tcW w:w="2070" w:type="dxa"/>
            <w:tcBorders>
              <w:top w:val="single" w:sz="8" w:space="0" w:color="AEAEAE"/>
              <w:left w:val="single" w:sz="4" w:space="0" w:color="auto"/>
              <w:bottom w:val="single" w:sz="8" w:space="0" w:color="AEAEAE"/>
              <w:right w:val="single" w:sz="4" w:space="0" w:color="auto"/>
            </w:tcBorders>
            <w:shd w:val="clear" w:color="auto" w:fill="F9F9FB"/>
          </w:tcPr>
          <w:p w14:paraId="1A4808E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.300</w:t>
            </w:r>
          </w:p>
        </w:tc>
        <w:tc>
          <w:tcPr>
            <w:tcW w:w="1980" w:type="dxa"/>
            <w:tcBorders>
              <w:top w:val="single" w:sz="8" w:space="0" w:color="AEAEAE"/>
              <w:left w:val="single" w:sz="4" w:space="0" w:color="auto"/>
              <w:bottom w:val="single" w:sz="8" w:space="0" w:color="AEAEAE"/>
              <w:right w:val="nil"/>
            </w:tcBorders>
            <w:shd w:val="clear" w:color="auto" w:fill="F9F9FB"/>
          </w:tcPr>
          <w:p w14:paraId="588ACD3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.223</w:t>
            </w:r>
          </w:p>
        </w:tc>
      </w:tr>
      <w:tr w:rsidR="009B2AD4" w:rsidRPr="009B2AD4" w14:paraId="27BF3F59" w14:textId="77777777" w:rsidTr="009B2AD4">
        <w:trPr>
          <w:cantSplit/>
        </w:trPr>
        <w:tc>
          <w:tcPr>
            <w:tcW w:w="1710" w:type="dxa"/>
            <w:gridSpan w:val="2"/>
            <w:tcBorders>
              <w:top w:val="single" w:sz="8" w:space="0" w:color="AEAEAE"/>
              <w:left w:val="nil"/>
              <w:bottom w:val="single" w:sz="8" w:space="0" w:color="AEAEAE"/>
              <w:right w:val="nil"/>
            </w:tcBorders>
          </w:tcPr>
          <w:p w14:paraId="16C4487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Std. Deviation</w:t>
            </w:r>
          </w:p>
        </w:tc>
        <w:tc>
          <w:tcPr>
            <w:tcW w:w="2070" w:type="dxa"/>
            <w:tcBorders>
              <w:top w:val="single" w:sz="8" w:space="0" w:color="AEAEAE"/>
              <w:left w:val="nil"/>
              <w:bottom w:val="single" w:sz="8" w:space="0" w:color="AEAEAE"/>
              <w:right w:val="single" w:sz="4" w:space="0" w:color="auto"/>
            </w:tcBorders>
            <w:shd w:val="clear" w:color="auto" w:fill="F9F9FB"/>
          </w:tcPr>
          <w:p w14:paraId="031C62A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.516</w:t>
            </w:r>
          </w:p>
        </w:tc>
        <w:tc>
          <w:tcPr>
            <w:tcW w:w="1800" w:type="dxa"/>
            <w:tcBorders>
              <w:top w:val="single" w:sz="8" w:space="0" w:color="AEAEAE"/>
              <w:left w:val="single" w:sz="4" w:space="0" w:color="auto"/>
              <w:bottom w:val="single" w:sz="8" w:space="0" w:color="AEAEAE"/>
              <w:right w:val="single" w:sz="4" w:space="0" w:color="auto"/>
            </w:tcBorders>
            <w:shd w:val="clear" w:color="auto" w:fill="F9F9FB"/>
          </w:tcPr>
          <w:p w14:paraId="7300A82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.594</w:t>
            </w:r>
          </w:p>
        </w:tc>
        <w:tc>
          <w:tcPr>
            <w:tcW w:w="2070" w:type="dxa"/>
            <w:tcBorders>
              <w:top w:val="single" w:sz="8" w:space="0" w:color="AEAEAE"/>
              <w:left w:val="single" w:sz="4" w:space="0" w:color="auto"/>
              <w:bottom w:val="single" w:sz="8" w:space="0" w:color="AEAEAE"/>
              <w:right w:val="single" w:sz="4" w:space="0" w:color="auto"/>
            </w:tcBorders>
            <w:shd w:val="clear" w:color="auto" w:fill="F9F9FB"/>
          </w:tcPr>
          <w:p w14:paraId="7B40E9E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1.163</w:t>
            </w:r>
          </w:p>
        </w:tc>
        <w:tc>
          <w:tcPr>
            <w:tcW w:w="1980" w:type="dxa"/>
            <w:tcBorders>
              <w:top w:val="single" w:sz="8" w:space="0" w:color="AEAEAE"/>
              <w:left w:val="single" w:sz="4" w:space="0" w:color="auto"/>
              <w:bottom w:val="single" w:sz="8" w:space="0" w:color="AEAEAE"/>
              <w:right w:val="nil"/>
            </w:tcBorders>
            <w:shd w:val="clear" w:color="auto" w:fill="F9F9FB"/>
          </w:tcPr>
          <w:p w14:paraId="045ABAD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.862</w:t>
            </w:r>
          </w:p>
        </w:tc>
      </w:tr>
      <w:tr w:rsidR="009B2AD4" w:rsidRPr="009B2AD4" w14:paraId="20C8BB6D" w14:textId="77777777" w:rsidTr="009B2AD4">
        <w:trPr>
          <w:cantSplit/>
        </w:trPr>
        <w:tc>
          <w:tcPr>
            <w:tcW w:w="1710" w:type="dxa"/>
            <w:gridSpan w:val="2"/>
            <w:tcBorders>
              <w:top w:val="single" w:sz="8" w:space="0" w:color="AEAEAE"/>
              <w:left w:val="nil"/>
              <w:bottom w:val="single" w:sz="8" w:space="0" w:color="AEAEAE"/>
              <w:right w:val="nil"/>
            </w:tcBorders>
          </w:tcPr>
          <w:p w14:paraId="6EEE005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Variance</w:t>
            </w:r>
          </w:p>
        </w:tc>
        <w:tc>
          <w:tcPr>
            <w:tcW w:w="2070" w:type="dxa"/>
            <w:tcBorders>
              <w:top w:val="single" w:sz="8" w:space="0" w:color="AEAEAE"/>
              <w:left w:val="nil"/>
              <w:bottom w:val="single" w:sz="8" w:space="0" w:color="AEAEAE"/>
              <w:right w:val="single" w:sz="4" w:space="0" w:color="auto"/>
            </w:tcBorders>
            <w:shd w:val="clear" w:color="auto" w:fill="F9F9FB"/>
          </w:tcPr>
          <w:p w14:paraId="3B90D11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.267</w:t>
            </w:r>
          </w:p>
        </w:tc>
        <w:tc>
          <w:tcPr>
            <w:tcW w:w="1800" w:type="dxa"/>
            <w:tcBorders>
              <w:top w:val="single" w:sz="8" w:space="0" w:color="AEAEAE"/>
              <w:left w:val="single" w:sz="4" w:space="0" w:color="auto"/>
              <w:bottom w:val="single" w:sz="8" w:space="0" w:color="AEAEAE"/>
              <w:right w:val="single" w:sz="4" w:space="0" w:color="auto"/>
            </w:tcBorders>
            <w:shd w:val="clear" w:color="auto" w:fill="F9F9FB"/>
          </w:tcPr>
          <w:p w14:paraId="3DB343F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.352</w:t>
            </w:r>
          </w:p>
        </w:tc>
        <w:tc>
          <w:tcPr>
            <w:tcW w:w="2070" w:type="dxa"/>
            <w:tcBorders>
              <w:top w:val="single" w:sz="8" w:space="0" w:color="AEAEAE"/>
              <w:left w:val="single" w:sz="4" w:space="0" w:color="auto"/>
              <w:bottom w:val="single" w:sz="8" w:space="0" w:color="AEAEAE"/>
              <w:right w:val="single" w:sz="4" w:space="0" w:color="auto"/>
            </w:tcBorders>
            <w:shd w:val="clear" w:color="auto" w:fill="F9F9FB"/>
          </w:tcPr>
          <w:p w14:paraId="2142387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1.352</w:t>
            </w:r>
          </w:p>
        </w:tc>
        <w:tc>
          <w:tcPr>
            <w:tcW w:w="1980" w:type="dxa"/>
            <w:tcBorders>
              <w:top w:val="single" w:sz="8" w:space="0" w:color="AEAEAE"/>
              <w:left w:val="single" w:sz="4" w:space="0" w:color="auto"/>
              <w:bottom w:val="single" w:sz="8" w:space="0" w:color="AEAEAE"/>
              <w:right w:val="nil"/>
            </w:tcBorders>
            <w:shd w:val="clear" w:color="auto" w:fill="F9F9FB"/>
          </w:tcPr>
          <w:p w14:paraId="047BE9E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.743</w:t>
            </w:r>
          </w:p>
        </w:tc>
      </w:tr>
      <w:tr w:rsidR="009B2AD4" w:rsidRPr="009B2AD4" w14:paraId="45536E8D" w14:textId="77777777" w:rsidTr="009B2AD4">
        <w:trPr>
          <w:cantSplit/>
        </w:trPr>
        <w:tc>
          <w:tcPr>
            <w:tcW w:w="1710" w:type="dxa"/>
            <w:gridSpan w:val="2"/>
            <w:tcBorders>
              <w:top w:val="single" w:sz="8" w:space="0" w:color="AEAEAE"/>
              <w:left w:val="nil"/>
              <w:bottom w:val="single" w:sz="8" w:space="0" w:color="152935"/>
              <w:right w:val="nil"/>
            </w:tcBorders>
          </w:tcPr>
          <w:p w14:paraId="4FCB182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Sum</w:t>
            </w:r>
          </w:p>
        </w:tc>
        <w:tc>
          <w:tcPr>
            <w:tcW w:w="2070" w:type="dxa"/>
            <w:tcBorders>
              <w:top w:val="single" w:sz="8" w:space="0" w:color="AEAEAE"/>
              <w:left w:val="nil"/>
              <w:bottom w:val="single" w:sz="8" w:space="0" w:color="152935"/>
              <w:right w:val="single" w:sz="4" w:space="0" w:color="auto"/>
            </w:tcBorders>
            <w:shd w:val="clear" w:color="auto" w:fill="F9F9FB"/>
          </w:tcPr>
          <w:p w14:paraId="3D6A0B3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68</w:t>
            </w:r>
          </w:p>
        </w:tc>
        <w:tc>
          <w:tcPr>
            <w:tcW w:w="1800" w:type="dxa"/>
            <w:tcBorders>
              <w:top w:val="single" w:sz="8" w:space="0" w:color="AEAEAE"/>
              <w:left w:val="single" w:sz="4" w:space="0" w:color="auto"/>
              <w:bottom w:val="single" w:sz="8" w:space="0" w:color="152935"/>
              <w:right w:val="single" w:sz="4" w:space="0" w:color="auto"/>
            </w:tcBorders>
            <w:shd w:val="clear" w:color="auto" w:fill="F9F9FB"/>
          </w:tcPr>
          <w:p w14:paraId="283D63F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61</w:t>
            </w:r>
          </w:p>
        </w:tc>
        <w:tc>
          <w:tcPr>
            <w:tcW w:w="2070" w:type="dxa"/>
            <w:tcBorders>
              <w:top w:val="single" w:sz="8" w:space="0" w:color="AEAEAE"/>
              <w:left w:val="single" w:sz="4" w:space="0" w:color="auto"/>
              <w:bottom w:val="single" w:sz="8" w:space="0" w:color="152935"/>
              <w:right w:val="single" w:sz="4" w:space="0" w:color="auto"/>
            </w:tcBorders>
            <w:shd w:val="clear" w:color="auto" w:fill="F9F9FB"/>
          </w:tcPr>
          <w:p w14:paraId="563202C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46</w:t>
            </w:r>
          </w:p>
        </w:tc>
        <w:tc>
          <w:tcPr>
            <w:tcW w:w="1980" w:type="dxa"/>
            <w:tcBorders>
              <w:top w:val="single" w:sz="8" w:space="0" w:color="AEAEAE"/>
              <w:left w:val="single" w:sz="4" w:space="0" w:color="auto"/>
              <w:bottom w:val="single" w:sz="8" w:space="0" w:color="152935"/>
              <w:right w:val="nil"/>
            </w:tcBorders>
            <w:shd w:val="clear" w:color="auto" w:fill="F9F9FB"/>
          </w:tcPr>
          <w:p w14:paraId="57A08D2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33</w:t>
            </w:r>
          </w:p>
        </w:tc>
      </w:tr>
    </w:tbl>
    <w:p w14:paraId="1AD97F0E" w14:textId="77777777" w:rsidR="00C53139" w:rsidRDefault="00C53139" w:rsidP="009B2AD4">
      <w:pPr>
        <w:spacing w:after="0"/>
        <w:jc w:val="both"/>
        <w:rPr>
          <w:rFonts w:ascii="Times New Roman" w:hAnsi="Times New Roman" w:cs="Times New Roman"/>
          <w:b/>
          <w:bCs/>
          <w:sz w:val="22"/>
          <w:szCs w:val="22"/>
          <w:lang w:val="en-US"/>
        </w:rPr>
      </w:pPr>
      <w:bookmarkStart w:id="6" w:name="_Toc196068106"/>
    </w:p>
    <w:p w14:paraId="24EC01D9" w14:textId="77777777" w:rsidR="009B2AD4" w:rsidRPr="009B2AD4" w:rsidRDefault="009B2AD4" w:rsidP="009B2AD4">
      <w:pPr>
        <w:spacing w:after="0"/>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Proposal funding and alignment with donor priorities</w:t>
      </w:r>
      <w:bookmarkEnd w:id="6"/>
      <w:r w:rsidRPr="009B2AD4">
        <w:rPr>
          <w:rFonts w:ascii="Times New Roman" w:hAnsi="Times New Roman" w:cs="Times New Roman"/>
          <w:b/>
          <w:bCs/>
          <w:sz w:val="22"/>
          <w:szCs w:val="22"/>
          <w:lang w:val="en-US"/>
        </w:rPr>
        <w:t xml:space="preserve"> </w:t>
      </w:r>
    </w:p>
    <w:p w14:paraId="0D0F996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lastRenderedPageBreak/>
        <w:t>This variable determines whether a proposal can be funded if it doesn’t align with donor priorities as stated in the terms of reference in the call for applications. The views and opinions of the respondents were tallied a</w:t>
      </w:r>
      <w:r w:rsidR="00C53139">
        <w:rPr>
          <w:rFonts w:ascii="Times New Roman" w:hAnsi="Times New Roman" w:cs="Times New Roman"/>
          <w:sz w:val="22"/>
          <w:szCs w:val="22"/>
          <w:lang w:val="en-US"/>
        </w:rPr>
        <w:t xml:space="preserve">nd presented in table </w:t>
      </w:r>
      <w:r w:rsidR="00826FDC">
        <w:rPr>
          <w:rFonts w:ascii="Times New Roman" w:hAnsi="Times New Roman" w:cs="Times New Roman"/>
          <w:sz w:val="22"/>
          <w:szCs w:val="22"/>
          <w:lang w:val="en-US"/>
        </w:rPr>
        <w:t>4</w:t>
      </w:r>
      <w:r w:rsidR="00C53139">
        <w:rPr>
          <w:rFonts w:ascii="Times New Roman" w:hAnsi="Times New Roman" w:cs="Times New Roman"/>
          <w:sz w:val="22"/>
          <w:szCs w:val="22"/>
          <w:lang w:val="en-US"/>
        </w:rPr>
        <w:t xml:space="preserve"> below.</w:t>
      </w:r>
    </w:p>
    <w:p w14:paraId="2A7DE243" w14:textId="77777777" w:rsidR="009B2AD4" w:rsidRPr="009B2AD4" w:rsidRDefault="009B2AD4" w:rsidP="009B2AD4">
      <w:pPr>
        <w:spacing w:after="0"/>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Table</w:t>
      </w:r>
      <w:r w:rsidR="00826FDC">
        <w:rPr>
          <w:rFonts w:ascii="Times New Roman" w:hAnsi="Times New Roman" w:cs="Times New Roman"/>
          <w:b/>
          <w:bCs/>
          <w:sz w:val="22"/>
          <w:szCs w:val="22"/>
          <w:lang w:val="en-US"/>
        </w:rPr>
        <w:t xml:space="preserve"> 4</w:t>
      </w:r>
      <w:r w:rsidRPr="009B2AD4">
        <w:rPr>
          <w:rFonts w:ascii="Times New Roman" w:hAnsi="Times New Roman" w:cs="Times New Roman"/>
          <w:b/>
          <w:bCs/>
          <w:sz w:val="22"/>
          <w:szCs w:val="22"/>
          <w:lang w:val="en-US"/>
        </w:rPr>
        <w:t>: Proposal funding and alignment with donor priorities</w:t>
      </w:r>
    </w:p>
    <w:tbl>
      <w:tblPr>
        <w:tblW w:w="0" w:type="auto"/>
        <w:tblBorders>
          <w:top w:val="single" w:sz="4" w:space="0" w:color="auto"/>
          <w:bottom w:val="single" w:sz="4" w:space="0" w:color="auto"/>
        </w:tblBorders>
        <w:tblLook w:val="04A0" w:firstRow="1" w:lastRow="0" w:firstColumn="1" w:lastColumn="0" w:noHBand="0" w:noVBand="1"/>
      </w:tblPr>
      <w:tblGrid>
        <w:gridCol w:w="3248"/>
        <w:gridCol w:w="168"/>
        <w:gridCol w:w="2708"/>
        <w:gridCol w:w="2902"/>
      </w:tblGrid>
      <w:tr w:rsidR="009B2AD4" w:rsidRPr="009B2AD4" w14:paraId="7F1992FE" w14:textId="77777777" w:rsidTr="009B2AD4">
        <w:trPr>
          <w:trHeight w:val="539"/>
        </w:trPr>
        <w:tc>
          <w:tcPr>
            <w:tcW w:w="3438" w:type="dxa"/>
            <w:tcBorders>
              <w:top w:val="single" w:sz="4" w:space="0" w:color="auto"/>
              <w:bottom w:val="single" w:sz="4" w:space="0" w:color="auto"/>
            </w:tcBorders>
          </w:tcPr>
          <w:p w14:paraId="3A5DDAE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Response</w:t>
            </w:r>
          </w:p>
        </w:tc>
        <w:tc>
          <w:tcPr>
            <w:tcW w:w="3060" w:type="dxa"/>
            <w:gridSpan w:val="2"/>
            <w:tcBorders>
              <w:top w:val="single" w:sz="4" w:space="0" w:color="auto"/>
              <w:bottom w:val="single" w:sz="4" w:space="0" w:color="auto"/>
            </w:tcBorders>
          </w:tcPr>
          <w:p w14:paraId="3DA3194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Count</w:t>
            </w:r>
          </w:p>
        </w:tc>
        <w:tc>
          <w:tcPr>
            <w:tcW w:w="3078" w:type="dxa"/>
            <w:tcBorders>
              <w:top w:val="single" w:sz="4" w:space="0" w:color="auto"/>
              <w:bottom w:val="single" w:sz="4" w:space="0" w:color="auto"/>
            </w:tcBorders>
          </w:tcPr>
          <w:p w14:paraId="350E427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Percent</w:t>
            </w:r>
          </w:p>
        </w:tc>
      </w:tr>
      <w:tr w:rsidR="009B2AD4" w:rsidRPr="009B2AD4" w14:paraId="003F1267" w14:textId="77777777" w:rsidTr="009B2AD4">
        <w:trPr>
          <w:trHeight w:val="494"/>
        </w:trPr>
        <w:tc>
          <w:tcPr>
            <w:tcW w:w="3618" w:type="dxa"/>
            <w:gridSpan w:val="2"/>
            <w:tcBorders>
              <w:top w:val="single" w:sz="4" w:space="0" w:color="auto"/>
              <w:bottom w:val="nil"/>
            </w:tcBorders>
          </w:tcPr>
          <w:p w14:paraId="1329157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disagree</w:t>
            </w:r>
          </w:p>
        </w:tc>
        <w:tc>
          <w:tcPr>
            <w:tcW w:w="2880" w:type="dxa"/>
            <w:tcBorders>
              <w:top w:val="single" w:sz="4" w:space="0" w:color="auto"/>
              <w:bottom w:val="nil"/>
            </w:tcBorders>
          </w:tcPr>
          <w:p w14:paraId="2A28F4A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078" w:type="dxa"/>
            <w:tcBorders>
              <w:top w:val="single" w:sz="4" w:space="0" w:color="auto"/>
              <w:bottom w:val="nil"/>
            </w:tcBorders>
          </w:tcPr>
          <w:p w14:paraId="003EB1F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6018A0F7" w14:textId="77777777" w:rsidTr="009B2AD4">
        <w:trPr>
          <w:trHeight w:val="494"/>
        </w:trPr>
        <w:tc>
          <w:tcPr>
            <w:tcW w:w="3618" w:type="dxa"/>
            <w:gridSpan w:val="2"/>
            <w:tcBorders>
              <w:top w:val="nil"/>
              <w:bottom w:val="nil"/>
            </w:tcBorders>
          </w:tcPr>
          <w:p w14:paraId="0EB1A49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Disagree</w:t>
            </w:r>
          </w:p>
        </w:tc>
        <w:tc>
          <w:tcPr>
            <w:tcW w:w="2880" w:type="dxa"/>
            <w:tcBorders>
              <w:top w:val="nil"/>
              <w:bottom w:val="nil"/>
            </w:tcBorders>
          </w:tcPr>
          <w:p w14:paraId="50039B9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078" w:type="dxa"/>
            <w:tcBorders>
              <w:top w:val="nil"/>
              <w:bottom w:val="nil"/>
            </w:tcBorders>
          </w:tcPr>
          <w:p w14:paraId="3574E24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1A29C539" w14:textId="77777777" w:rsidTr="009B2AD4">
        <w:trPr>
          <w:trHeight w:val="494"/>
        </w:trPr>
        <w:tc>
          <w:tcPr>
            <w:tcW w:w="3618" w:type="dxa"/>
            <w:gridSpan w:val="2"/>
            <w:tcBorders>
              <w:top w:val="nil"/>
              <w:bottom w:val="nil"/>
            </w:tcBorders>
          </w:tcPr>
          <w:p w14:paraId="2BE41D4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Neutral</w:t>
            </w:r>
          </w:p>
        </w:tc>
        <w:tc>
          <w:tcPr>
            <w:tcW w:w="2880" w:type="dxa"/>
            <w:tcBorders>
              <w:top w:val="nil"/>
              <w:bottom w:val="nil"/>
            </w:tcBorders>
          </w:tcPr>
          <w:p w14:paraId="6943850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078" w:type="dxa"/>
            <w:tcBorders>
              <w:top w:val="nil"/>
              <w:bottom w:val="nil"/>
            </w:tcBorders>
          </w:tcPr>
          <w:p w14:paraId="5E52664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00CAC2DC" w14:textId="77777777" w:rsidTr="009B2AD4">
        <w:trPr>
          <w:trHeight w:val="494"/>
        </w:trPr>
        <w:tc>
          <w:tcPr>
            <w:tcW w:w="3618" w:type="dxa"/>
            <w:gridSpan w:val="2"/>
            <w:tcBorders>
              <w:top w:val="nil"/>
              <w:bottom w:val="single" w:sz="4" w:space="0" w:color="auto"/>
            </w:tcBorders>
          </w:tcPr>
          <w:p w14:paraId="4F7FEDF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Agree</w:t>
            </w:r>
          </w:p>
        </w:tc>
        <w:tc>
          <w:tcPr>
            <w:tcW w:w="2880" w:type="dxa"/>
            <w:tcBorders>
              <w:top w:val="nil"/>
              <w:bottom w:val="single" w:sz="4" w:space="0" w:color="auto"/>
            </w:tcBorders>
          </w:tcPr>
          <w:p w14:paraId="79D97A9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7</w:t>
            </w:r>
          </w:p>
        </w:tc>
        <w:tc>
          <w:tcPr>
            <w:tcW w:w="3078" w:type="dxa"/>
            <w:tcBorders>
              <w:top w:val="nil"/>
              <w:bottom w:val="single" w:sz="4" w:space="0" w:color="auto"/>
            </w:tcBorders>
          </w:tcPr>
          <w:p w14:paraId="2740ECD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46.70</w:t>
            </w:r>
          </w:p>
        </w:tc>
      </w:tr>
      <w:tr w:rsidR="009B2AD4" w:rsidRPr="009B2AD4" w14:paraId="72C3D89C" w14:textId="77777777" w:rsidTr="009B2AD4">
        <w:trPr>
          <w:trHeight w:val="494"/>
        </w:trPr>
        <w:tc>
          <w:tcPr>
            <w:tcW w:w="3618" w:type="dxa"/>
            <w:gridSpan w:val="2"/>
            <w:tcBorders>
              <w:top w:val="nil"/>
              <w:bottom w:val="single" w:sz="4" w:space="0" w:color="auto"/>
            </w:tcBorders>
          </w:tcPr>
          <w:p w14:paraId="7DA221B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agree</w:t>
            </w:r>
          </w:p>
        </w:tc>
        <w:tc>
          <w:tcPr>
            <w:tcW w:w="2880" w:type="dxa"/>
            <w:tcBorders>
              <w:top w:val="nil"/>
              <w:bottom w:val="single" w:sz="4" w:space="0" w:color="auto"/>
            </w:tcBorders>
          </w:tcPr>
          <w:p w14:paraId="4FF4B21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8</w:t>
            </w:r>
          </w:p>
        </w:tc>
        <w:tc>
          <w:tcPr>
            <w:tcW w:w="3078" w:type="dxa"/>
            <w:tcBorders>
              <w:top w:val="nil"/>
              <w:bottom w:val="single" w:sz="4" w:space="0" w:color="auto"/>
            </w:tcBorders>
          </w:tcPr>
          <w:p w14:paraId="795FFEE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53.30</w:t>
            </w:r>
          </w:p>
        </w:tc>
      </w:tr>
      <w:tr w:rsidR="009B2AD4" w:rsidRPr="009B2AD4" w14:paraId="27912C56" w14:textId="77777777" w:rsidTr="009B2AD4">
        <w:trPr>
          <w:trHeight w:val="494"/>
        </w:trPr>
        <w:tc>
          <w:tcPr>
            <w:tcW w:w="3618" w:type="dxa"/>
            <w:gridSpan w:val="2"/>
            <w:tcBorders>
              <w:top w:val="single" w:sz="4" w:space="0" w:color="auto"/>
            </w:tcBorders>
          </w:tcPr>
          <w:p w14:paraId="5E59C51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2880" w:type="dxa"/>
            <w:tcBorders>
              <w:top w:val="single" w:sz="4" w:space="0" w:color="auto"/>
            </w:tcBorders>
          </w:tcPr>
          <w:p w14:paraId="34EAFD4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3078" w:type="dxa"/>
            <w:tcBorders>
              <w:top w:val="single" w:sz="4" w:space="0" w:color="auto"/>
            </w:tcBorders>
          </w:tcPr>
          <w:p w14:paraId="3602E17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100.00</w:t>
            </w:r>
          </w:p>
        </w:tc>
      </w:tr>
    </w:tbl>
    <w:p w14:paraId="394016CE" w14:textId="77777777" w:rsidR="00924C20" w:rsidRDefault="00924C20" w:rsidP="009B2AD4">
      <w:pPr>
        <w:spacing w:after="0"/>
        <w:jc w:val="both"/>
        <w:rPr>
          <w:rFonts w:ascii="Times New Roman" w:hAnsi="Times New Roman" w:cs="Times New Roman"/>
          <w:sz w:val="22"/>
          <w:szCs w:val="22"/>
          <w:lang w:val="en-US"/>
        </w:rPr>
      </w:pPr>
    </w:p>
    <w:p w14:paraId="573A1472" w14:textId="4E33EE0C"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The study finds that a proposal can hardly be funded if it doesn’t align with donor priorities with 100% of the respondents either agreeing (46.6%) or strongly agreeing (53.3%) to the statement. An analysis of the variable yielded a mean score of 4.53 and standard deviation of 0.516, showing a strong positive correlation between alignment to donor priorities and positive grant ward decisions. This finding strongly agrees with the work of Parks (2018), who finds that NGOs are likely to lose funding and ultimately close if they don’t align to donor priorities. Moreso, NGOs that remain will be much more closely aligned with donor priorities and interests. Parks (2018) acknowledges that there is a process of convergence towards donor needs in terms of setting priorities and determining project designs, which results in increasing upward accountability at the expense of the relationship of the NGOs to their constituencies among the poor. However, critical views by other authors like Bernard Kamau (2024) highlight the importance of other factors such as community involvement, government policies, political stability, and resource availability in shaping the success and sustainability of humanitarian projects. Kamau (2024) emphasizes that involving community members and stakeholders allows projects to better address local needs and priorities, ultimately influencing the project outcomes and performance. This view acknowledges the need for upward accountability (accountability to donors), but it strongly argues that alignment to donor priorities should not overwrite other important factors like community involvement, government policies, needs on the ground etc. when designing sustainable projects. </w:t>
      </w:r>
    </w:p>
    <w:p w14:paraId="6A2F504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Early works of authors like Adams (2002) highlight that generally, only those NGOs who can satisfy the donors’ priorities and meet their evaluation criteria will get funds. However, one major challenge facing NGO funding is the fact that donor priorities may shift in an arbitrary manner unrelated to the needs and priorities of the countries or local NGOs. This presents a balancing act to grant writers as they need to carefully review the donor priorities for a call and align their proposals to those priorities stipulated in the call’s terms of reference while maintaining an awareness that donor priorities can shift with time. </w:t>
      </w:r>
    </w:p>
    <w:p w14:paraId="3426843D" w14:textId="77777777" w:rsidR="00C53139" w:rsidRDefault="00C53139" w:rsidP="009B2AD4">
      <w:pPr>
        <w:spacing w:after="0"/>
        <w:jc w:val="both"/>
        <w:rPr>
          <w:rFonts w:ascii="Times New Roman" w:hAnsi="Times New Roman" w:cs="Times New Roman"/>
          <w:b/>
          <w:bCs/>
          <w:sz w:val="22"/>
          <w:szCs w:val="22"/>
          <w:lang w:val="en-US"/>
        </w:rPr>
      </w:pPr>
      <w:bookmarkStart w:id="7" w:name="_Toc196068107"/>
    </w:p>
    <w:p w14:paraId="44ABDB98" w14:textId="77777777" w:rsidR="009B2AD4" w:rsidRPr="009B2AD4" w:rsidRDefault="009B2AD4" w:rsidP="009B2AD4">
      <w:pPr>
        <w:spacing w:after="0"/>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Alignment with donor priorities and grant ward decision</w:t>
      </w:r>
      <w:bookmarkEnd w:id="7"/>
      <w:r w:rsidRPr="009B2AD4">
        <w:rPr>
          <w:rFonts w:ascii="Times New Roman" w:hAnsi="Times New Roman" w:cs="Times New Roman"/>
          <w:b/>
          <w:bCs/>
          <w:sz w:val="22"/>
          <w:szCs w:val="22"/>
          <w:lang w:val="en-US"/>
        </w:rPr>
        <w:t xml:space="preserve"> </w:t>
      </w:r>
    </w:p>
    <w:p w14:paraId="1014425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This variable determines whether all proposals should align with donor priorities as a matter of principle. The respondent views and experiences were recorded and tallied as seen in table </w:t>
      </w:r>
      <w:r w:rsidR="00826FDC">
        <w:rPr>
          <w:rFonts w:ascii="Times New Roman" w:hAnsi="Times New Roman" w:cs="Times New Roman"/>
          <w:sz w:val="22"/>
          <w:szCs w:val="22"/>
          <w:lang w:val="en-US"/>
        </w:rPr>
        <w:t xml:space="preserve">5 </w:t>
      </w:r>
      <w:r w:rsidRPr="009B2AD4">
        <w:rPr>
          <w:rFonts w:ascii="Times New Roman" w:hAnsi="Times New Roman" w:cs="Times New Roman"/>
          <w:sz w:val="22"/>
          <w:szCs w:val="22"/>
          <w:lang w:val="en-US"/>
        </w:rPr>
        <w:t>below.</w:t>
      </w:r>
    </w:p>
    <w:p w14:paraId="7441E190" w14:textId="77777777" w:rsidR="009B2AD4" w:rsidRPr="009B2AD4" w:rsidRDefault="00826FDC" w:rsidP="009B2AD4">
      <w:pPr>
        <w:spacing w:after="0"/>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Table 5</w:t>
      </w:r>
      <w:r w:rsidR="009B2AD4" w:rsidRPr="009B2AD4">
        <w:rPr>
          <w:rFonts w:ascii="Times New Roman" w:hAnsi="Times New Roman" w:cs="Times New Roman"/>
          <w:b/>
          <w:bCs/>
          <w:sz w:val="22"/>
          <w:szCs w:val="22"/>
          <w:lang w:val="en-US"/>
        </w:rPr>
        <w:t>: Alignment with donor priorities and grant ward decision</w:t>
      </w:r>
    </w:p>
    <w:tbl>
      <w:tblPr>
        <w:tblW w:w="0" w:type="auto"/>
        <w:tblBorders>
          <w:top w:val="single" w:sz="4" w:space="0" w:color="auto"/>
          <w:bottom w:val="single" w:sz="4" w:space="0" w:color="auto"/>
        </w:tblBorders>
        <w:tblLook w:val="04A0" w:firstRow="1" w:lastRow="0" w:firstColumn="1" w:lastColumn="0" w:noHBand="0" w:noVBand="1"/>
      </w:tblPr>
      <w:tblGrid>
        <w:gridCol w:w="3248"/>
        <w:gridCol w:w="168"/>
        <w:gridCol w:w="2603"/>
        <w:gridCol w:w="3007"/>
      </w:tblGrid>
      <w:tr w:rsidR="009B2AD4" w:rsidRPr="009B2AD4" w14:paraId="7C47A5F3" w14:textId="77777777" w:rsidTr="009B2AD4">
        <w:trPr>
          <w:trHeight w:val="539"/>
        </w:trPr>
        <w:tc>
          <w:tcPr>
            <w:tcW w:w="3438" w:type="dxa"/>
            <w:tcBorders>
              <w:top w:val="single" w:sz="4" w:space="0" w:color="auto"/>
              <w:bottom w:val="single" w:sz="4" w:space="0" w:color="auto"/>
            </w:tcBorders>
          </w:tcPr>
          <w:p w14:paraId="1E7748F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lastRenderedPageBreak/>
              <w:t>Response</w:t>
            </w:r>
          </w:p>
        </w:tc>
        <w:tc>
          <w:tcPr>
            <w:tcW w:w="2946" w:type="dxa"/>
            <w:gridSpan w:val="2"/>
            <w:tcBorders>
              <w:top w:val="single" w:sz="4" w:space="0" w:color="auto"/>
              <w:bottom w:val="single" w:sz="4" w:space="0" w:color="auto"/>
            </w:tcBorders>
          </w:tcPr>
          <w:p w14:paraId="6137557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Count</w:t>
            </w:r>
          </w:p>
        </w:tc>
        <w:tc>
          <w:tcPr>
            <w:tcW w:w="3192" w:type="dxa"/>
            <w:tcBorders>
              <w:top w:val="single" w:sz="4" w:space="0" w:color="auto"/>
              <w:bottom w:val="single" w:sz="4" w:space="0" w:color="auto"/>
            </w:tcBorders>
          </w:tcPr>
          <w:p w14:paraId="22D5B9D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Percent</w:t>
            </w:r>
          </w:p>
        </w:tc>
      </w:tr>
      <w:tr w:rsidR="009B2AD4" w:rsidRPr="009B2AD4" w14:paraId="7C882BEF" w14:textId="77777777" w:rsidTr="009B2AD4">
        <w:trPr>
          <w:trHeight w:val="494"/>
        </w:trPr>
        <w:tc>
          <w:tcPr>
            <w:tcW w:w="3618" w:type="dxa"/>
            <w:gridSpan w:val="2"/>
            <w:tcBorders>
              <w:top w:val="single" w:sz="4" w:space="0" w:color="auto"/>
              <w:bottom w:val="nil"/>
            </w:tcBorders>
          </w:tcPr>
          <w:p w14:paraId="63B65F9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disagree</w:t>
            </w:r>
          </w:p>
        </w:tc>
        <w:tc>
          <w:tcPr>
            <w:tcW w:w="2766" w:type="dxa"/>
            <w:tcBorders>
              <w:top w:val="single" w:sz="4" w:space="0" w:color="auto"/>
              <w:bottom w:val="nil"/>
            </w:tcBorders>
          </w:tcPr>
          <w:p w14:paraId="667E686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192" w:type="dxa"/>
            <w:tcBorders>
              <w:top w:val="single" w:sz="4" w:space="0" w:color="auto"/>
              <w:bottom w:val="nil"/>
            </w:tcBorders>
          </w:tcPr>
          <w:p w14:paraId="1A77AF2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55284A93" w14:textId="77777777" w:rsidTr="009B2AD4">
        <w:trPr>
          <w:trHeight w:val="494"/>
        </w:trPr>
        <w:tc>
          <w:tcPr>
            <w:tcW w:w="3618" w:type="dxa"/>
            <w:gridSpan w:val="2"/>
            <w:tcBorders>
              <w:top w:val="nil"/>
              <w:bottom w:val="nil"/>
            </w:tcBorders>
          </w:tcPr>
          <w:p w14:paraId="0F0A60D2"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Disagree</w:t>
            </w:r>
          </w:p>
        </w:tc>
        <w:tc>
          <w:tcPr>
            <w:tcW w:w="2766" w:type="dxa"/>
            <w:tcBorders>
              <w:top w:val="nil"/>
              <w:bottom w:val="nil"/>
            </w:tcBorders>
          </w:tcPr>
          <w:p w14:paraId="1C31087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192" w:type="dxa"/>
            <w:tcBorders>
              <w:top w:val="nil"/>
              <w:bottom w:val="nil"/>
            </w:tcBorders>
          </w:tcPr>
          <w:p w14:paraId="201EB59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6B6F67BD" w14:textId="77777777" w:rsidTr="009B2AD4">
        <w:trPr>
          <w:trHeight w:val="494"/>
        </w:trPr>
        <w:tc>
          <w:tcPr>
            <w:tcW w:w="3618" w:type="dxa"/>
            <w:gridSpan w:val="2"/>
            <w:tcBorders>
              <w:top w:val="nil"/>
              <w:bottom w:val="nil"/>
            </w:tcBorders>
          </w:tcPr>
          <w:p w14:paraId="05C1CD8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Neutral</w:t>
            </w:r>
          </w:p>
        </w:tc>
        <w:tc>
          <w:tcPr>
            <w:tcW w:w="2766" w:type="dxa"/>
            <w:tcBorders>
              <w:top w:val="nil"/>
              <w:bottom w:val="nil"/>
            </w:tcBorders>
          </w:tcPr>
          <w:p w14:paraId="76F5C17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nil"/>
              <w:bottom w:val="nil"/>
            </w:tcBorders>
          </w:tcPr>
          <w:p w14:paraId="4D0C499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4047607A" w14:textId="77777777" w:rsidTr="009B2AD4">
        <w:trPr>
          <w:trHeight w:val="494"/>
        </w:trPr>
        <w:tc>
          <w:tcPr>
            <w:tcW w:w="3618" w:type="dxa"/>
            <w:gridSpan w:val="2"/>
            <w:tcBorders>
              <w:top w:val="nil"/>
              <w:bottom w:val="nil"/>
            </w:tcBorders>
          </w:tcPr>
          <w:p w14:paraId="2BEBA79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Agree</w:t>
            </w:r>
          </w:p>
        </w:tc>
        <w:tc>
          <w:tcPr>
            <w:tcW w:w="2766" w:type="dxa"/>
            <w:tcBorders>
              <w:top w:val="nil"/>
              <w:bottom w:val="nil"/>
            </w:tcBorders>
          </w:tcPr>
          <w:p w14:paraId="0A89DF8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w:t>
            </w:r>
          </w:p>
        </w:tc>
        <w:tc>
          <w:tcPr>
            <w:tcW w:w="3192" w:type="dxa"/>
            <w:tcBorders>
              <w:top w:val="nil"/>
              <w:bottom w:val="nil"/>
            </w:tcBorders>
          </w:tcPr>
          <w:p w14:paraId="6650AE9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66.70</w:t>
            </w:r>
          </w:p>
        </w:tc>
      </w:tr>
      <w:tr w:rsidR="009B2AD4" w:rsidRPr="009B2AD4" w14:paraId="6857D5AE" w14:textId="77777777" w:rsidTr="009B2AD4">
        <w:trPr>
          <w:trHeight w:val="494"/>
        </w:trPr>
        <w:tc>
          <w:tcPr>
            <w:tcW w:w="3618" w:type="dxa"/>
            <w:gridSpan w:val="2"/>
            <w:tcBorders>
              <w:top w:val="nil"/>
              <w:bottom w:val="single" w:sz="4" w:space="0" w:color="auto"/>
            </w:tcBorders>
          </w:tcPr>
          <w:p w14:paraId="0D4CFEF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agree</w:t>
            </w:r>
          </w:p>
        </w:tc>
        <w:tc>
          <w:tcPr>
            <w:tcW w:w="2766" w:type="dxa"/>
            <w:tcBorders>
              <w:top w:val="nil"/>
              <w:bottom w:val="single" w:sz="4" w:space="0" w:color="auto"/>
            </w:tcBorders>
          </w:tcPr>
          <w:p w14:paraId="5DDD162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w:t>
            </w:r>
          </w:p>
        </w:tc>
        <w:tc>
          <w:tcPr>
            <w:tcW w:w="3192" w:type="dxa"/>
            <w:tcBorders>
              <w:top w:val="nil"/>
              <w:bottom w:val="single" w:sz="4" w:space="0" w:color="auto"/>
            </w:tcBorders>
          </w:tcPr>
          <w:p w14:paraId="05A6BAC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20.00</w:t>
            </w:r>
          </w:p>
        </w:tc>
      </w:tr>
      <w:tr w:rsidR="009B2AD4" w:rsidRPr="009B2AD4" w14:paraId="3EC9F63A" w14:textId="77777777" w:rsidTr="009B2AD4">
        <w:trPr>
          <w:trHeight w:val="494"/>
        </w:trPr>
        <w:tc>
          <w:tcPr>
            <w:tcW w:w="3618" w:type="dxa"/>
            <w:gridSpan w:val="2"/>
            <w:tcBorders>
              <w:top w:val="single" w:sz="4" w:space="0" w:color="auto"/>
            </w:tcBorders>
          </w:tcPr>
          <w:p w14:paraId="0CAD644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2766" w:type="dxa"/>
            <w:tcBorders>
              <w:top w:val="single" w:sz="4" w:space="0" w:color="auto"/>
            </w:tcBorders>
          </w:tcPr>
          <w:p w14:paraId="72EDD3F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3192" w:type="dxa"/>
            <w:tcBorders>
              <w:top w:val="single" w:sz="4" w:space="0" w:color="auto"/>
            </w:tcBorders>
          </w:tcPr>
          <w:p w14:paraId="28EA479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100.00</w:t>
            </w:r>
          </w:p>
        </w:tc>
      </w:tr>
    </w:tbl>
    <w:p w14:paraId="233B8FCB" w14:textId="77777777" w:rsidR="00924C20" w:rsidRDefault="00924C20" w:rsidP="009B2AD4">
      <w:pPr>
        <w:spacing w:after="0"/>
        <w:jc w:val="both"/>
        <w:rPr>
          <w:rFonts w:ascii="Times New Roman" w:hAnsi="Times New Roman" w:cs="Times New Roman"/>
          <w:sz w:val="22"/>
          <w:szCs w:val="22"/>
          <w:lang w:val="en-US"/>
        </w:rPr>
      </w:pPr>
    </w:p>
    <w:p w14:paraId="14253609" w14:textId="6AB7AB82"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The study finds that 66.7% of respondents agreed with the statement, 20% others strongly agreed while 13.3% of respondents remained neutral to the statement. With the majority of the respondents (86.7%) either agreeing or strongly agreeing to the statement, with a mean score of 4.07 and standard deviation of 0.594 for the variable, the study depicts a strong positive correlation between aligning a grant proposal with donor priorities as a matter of principle and positive grant award decisions by humanitarian donors. Further discussions with the respondents revealed that donors tend to fund proposals that promote their own priorities, both strategic and humanitarian priorities. Therefore, grant writers should embrace the principle of aligning their proposals to the donor priorities to boost their chances of winning a grant award. </w:t>
      </w:r>
    </w:p>
    <w:p w14:paraId="7296C5C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According to Pratt and Hyder (2014), whereas the principle of alignment to donor priorities is upheld in project design processes, it could, however, be pointless if the priority setting process (or development of the national poverty reduction strategy) was not locally-owned. As opposed to alignment to donor priorities, local buy-in can be achieved when states are run by individuals for whom national development, including improved health and equity, is a central objective and these in-country actors and civil society (not donors) drive priority setting processes for development projects. This argument signifies a quintessential political wrangling, namely the wrestling of power from the hands of donors and the subsequent transfer of agency into recipient governments' hands, ultimately representing a shift of power in the aid relationship between humanitarian donors and the local communities.</w:t>
      </w:r>
    </w:p>
    <w:p w14:paraId="1D2EE460" w14:textId="77777777" w:rsidR="00C53139" w:rsidRDefault="00C53139" w:rsidP="009B2AD4">
      <w:pPr>
        <w:spacing w:after="0"/>
        <w:jc w:val="both"/>
        <w:rPr>
          <w:rFonts w:ascii="Times New Roman" w:hAnsi="Times New Roman" w:cs="Times New Roman"/>
          <w:b/>
          <w:bCs/>
          <w:sz w:val="22"/>
          <w:szCs w:val="22"/>
          <w:lang w:val="en-US"/>
        </w:rPr>
      </w:pPr>
      <w:bookmarkStart w:id="8" w:name="_Toc196068108"/>
    </w:p>
    <w:p w14:paraId="2AFBF272" w14:textId="77777777" w:rsidR="009B2AD4" w:rsidRPr="009B2AD4" w:rsidRDefault="009B2AD4" w:rsidP="009B2AD4">
      <w:pPr>
        <w:spacing w:after="0"/>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Justification of custom activities and grant award decision</w:t>
      </w:r>
      <w:bookmarkEnd w:id="8"/>
      <w:r w:rsidRPr="009B2AD4">
        <w:rPr>
          <w:rFonts w:ascii="Times New Roman" w:hAnsi="Times New Roman" w:cs="Times New Roman"/>
          <w:b/>
          <w:bCs/>
          <w:sz w:val="22"/>
          <w:szCs w:val="22"/>
          <w:lang w:val="en-US"/>
        </w:rPr>
        <w:t xml:space="preserve"> </w:t>
      </w:r>
    </w:p>
    <w:p w14:paraId="1E90C26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This variable determines whether a grant writer can justify custom activities (activities not stated in the donor’s call for proposals) in a project design and still win a grant. The views of the study participants are recorded in table </w:t>
      </w:r>
      <w:r w:rsidR="00826FDC">
        <w:rPr>
          <w:rFonts w:ascii="Times New Roman" w:hAnsi="Times New Roman" w:cs="Times New Roman"/>
          <w:sz w:val="22"/>
          <w:szCs w:val="22"/>
          <w:lang w:val="en-US"/>
        </w:rPr>
        <w:t>6</w:t>
      </w:r>
      <w:r w:rsidRPr="009B2AD4">
        <w:rPr>
          <w:rFonts w:ascii="Times New Roman" w:hAnsi="Times New Roman" w:cs="Times New Roman"/>
          <w:sz w:val="22"/>
          <w:szCs w:val="22"/>
          <w:lang w:val="en-US"/>
        </w:rPr>
        <w:t xml:space="preserve"> below.</w:t>
      </w:r>
    </w:p>
    <w:p w14:paraId="327EABBB" w14:textId="77777777" w:rsidR="009B2AD4" w:rsidRPr="009B2AD4" w:rsidRDefault="00826FDC" w:rsidP="009B2AD4">
      <w:pPr>
        <w:spacing w:after="0"/>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Table 6</w:t>
      </w:r>
      <w:r w:rsidR="009B2AD4" w:rsidRPr="009B2AD4">
        <w:rPr>
          <w:rFonts w:ascii="Times New Roman" w:hAnsi="Times New Roman" w:cs="Times New Roman"/>
          <w:b/>
          <w:bCs/>
          <w:sz w:val="22"/>
          <w:szCs w:val="22"/>
          <w:lang w:val="en-US"/>
        </w:rPr>
        <w:t>: Justification of custom activities and grant ward decision</w:t>
      </w:r>
    </w:p>
    <w:tbl>
      <w:tblPr>
        <w:tblW w:w="0" w:type="auto"/>
        <w:tblBorders>
          <w:top w:val="single" w:sz="4" w:space="0" w:color="auto"/>
          <w:bottom w:val="single" w:sz="4" w:space="0" w:color="auto"/>
        </w:tblBorders>
        <w:tblLook w:val="04A0" w:firstRow="1" w:lastRow="0" w:firstColumn="1" w:lastColumn="0" w:noHBand="0" w:noVBand="1"/>
      </w:tblPr>
      <w:tblGrid>
        <w:gridCol w:w="3248"/>
        <w:gridCol w:w="168"/>
        <w:gridCol w:w="2603"/>
        <w:gridCol w:w="3007"/>
      </w:tblGrid>
      <w:tr w:rsidR="009B2AD4" w:rsidRPr="009B2AD4" w14:paraId="72591BB7" w14:textId="77777777" w:rsidTr="009B2AD4">
        <w:trPr>
          <w:trHeight w:val="539"/>
        </w:trPr>
        <w:tc>
          <w:tcPr>
            <w:tcW w:w="3438" w:type="dxa"/>
            <w:tcBorders>
              <w:top w:val="single" w:sz="4" w:space="0" w:color="auto"/>
              <w:bottom w:val="single" w:sz="4" w:space="0" w:color="auto"/>
            </w:tcBorders>
          </w:tcPr>
          <w:p w14:paraId="408EF542"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Response</w:t>
            </w:r>
          </w:p>
        </w:tc>
        <w:tc>
          <w:tcPr>
            <w:tcW w:w="2946" w:type="dxa"/>
            <w:gridSpan w:val="2"/>
            <w:tcBorders>
              <w:top w:val="single" w:sz="4" w:space="0" w:color="auto"/>
              <w:bottom w:val="single" w:sz="4" w:space="0" w:color="auto"/>
            </w:tcBorders>
          </w:tcPr>
          <w:p w14:paraId="4763B40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Count</w:t>
            </w:r>
          </w:p>
        </w:tc>
        <w:tc>
          <w:tcPr>
            <w:tcW w:w="3192" w:type="dxa"/>
            <w:tcBorders>
              <w:top w:val="single" w:sz="4" w:space="0" w:color="auto"/>
              <w:bottom w:val="single" w:sz="4" w:space="0" w:color="auto"/>
            </w:tcBorders>
          </w:tcPr>
          <w:p w14:paraId="56FE3C3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Percent</w:t>
            </w:r>
          </w:p>
        </w:tc>
      </w:tr>
      <w:tr w:rsidR="009B2AD4" w:rsidRPr="009B2AD4" w14:paraId="2283646B" w14:textId="77777777" w:rsidTr="009B2AD4">
        <w:trPr>
          <w:trHeight w:val="494"/>
        </w:trPr>
        <w:tc>
          <w:tcPr>
            <w:tcW w:w="3618" w:type="dxa"/>
            <w:gridSpan w:val="2"/>
            <w:tcBorders>
              <w:top w:val="single" w:sz="4" w:space="0" w:color="auto"/>
              <w:bottom w:val="nil"/>
            </w:tcBorders>
          </w:tcPr>
          <w:p w14:paraId="5F89207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disagree</w:t>
            </w:r>
          </w:p>
        </w:tc>
        <w:tc>
          <w:tcPr>
            <w:tcW w:w="2766" w:type="dxa"/>
            <w:tcBorders>
              <w:top w:val="single" w:sz="4" w:space="0" w:color="auto"/>
              <w:bottom w:val="nil"/>
            </w:tcBorders>
          </w:tcPr>
          <w:p w14:paraId="2AB0093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single" w:sz="4" w:space="0" w:color="auto"/>
              <w:bottom w:val="nil"/>
            </w:tcBorders>
          </w:tcPr>
          <w:p w14:paraId="3E5D75F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78E2E0D2" w14:textId="77777777" w:rsidTr="009B2AD4">
        <w:trPr>
          <w:trHeight w:val="494"/>
        </w:trPr>
        <w:tc>
          <w:tcPr>
            <w:tcW w:w="3618" w:type="dxa"/>
            <w:gridSpan w:val="2"/>
            <w:tcBorders>
              <w:top w:val="nil"/>
              <w:bottom w:val="nil"/>
            </w:tcBorders>
          </w:tcPr>
          <w:p w14:paraId="25B00EA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Disagree</w:t>
            </w:r>
          </w:p>
        </w:tc>
        <w:tc>
          <w:tcPr>
            <w:tcW w:w="2766" w:type="dxa"/>
            <w:tcBorders>
              <w:top w:val="nil"/>
              <w:bottom w:val="nil"/>
            </w:tcBorders>
          </w:tcPr>
          <w:p w14:paraId="6E2DDAF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w:t>
            </w:r>
          </w:p>
        </w:tc>
        <w:tc>
          <w:tcPr>
            <w:tcW w:w="3192" w:type="dxa"/>
            <w:tcBorders>
              <w:top w:val="nil"/>
              <w:bottom w:val="nil"/>
            </w:tcBorders>
          </w:tcPr>
          <w:p w14:paraId="7036944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20.00</w:t>
            </w:r>
          </w:p>
        </w:tc>
      </w:tr>
      <w:tr w:rsidR="009B2AD4" w:rsidRPr="009B2AD4" w14:paraId="7458DB4E" w14:textId="77777777" w:rsidTr="009B2AD4">
        <w:trPr>
          <w:trHeight w:val="494"/>
        </w:trPr>
        <w:tc>
          <w:tcPr>
            <w:tcW w:w="3618" w:type="dxa"/>
            <w:gridSpan w:val="2"/>
            <w:tcBorders>
              <w:top w:val="nil"/>
              <w:bottom w:val="nil"/>
            </w:tcBorders>
          </w:tcPr>
          <w:p w14:paraId="32D7DCB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Neutral</w:t>
            </w:r>
          </w:p>
        </w:tc>
        <w:tc>
          <w:tcPr>
            <w:tcW w:w="2766" w:type="dxa"/>
            <w:tcBorders>
              <w:top w:val="nil"/>
              <w:bottom w:val="nil"/>
            </w:tcBorders>
          </w:tcPr>
          <w:p w14:paraId="1E3A244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nil"/>
              <w:bottom w:val="nil"/>
            </w:tcBorders>
          </w:tcPr>
          <w:p w14:paraId="378E978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74F665BD" w14:textId="77777777" w:rsidTr="009B2AD4">
        <w:trPr>
          <w:trHeight w:val="494"/>
        </w:trPr>
        <w:tc>
          <w:tcPr>
            <w:tcW w:w="3618" w:type="dxa"/>
            <w:gridSpan w:val="2"/>
            <w:tcBorders>
              <w:top w:val="nil"/>
              <w:bottom w:val="nil"/>
            </w:tcBorders>
          </w:tcPr>
          <w:p w14:paraId="0FE22C6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Agree</w:t>
            </w:r>
          </w:p>
        </w:tc>
        <w:tc>
          <w:tcPr>
            <w:tcW w:w="2766" w:type="dxa"/>
            <w:tcBorders>
              <w:top w:val="nil"/>
              <w:bottom w:val="nil"/>
            </w:tcBorders>
          </w:tcPr>
          <w:p w14:paraId="72CF63C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8</w:t>
            </w:r>
          </w:p>
        </w:tc>
        <w:tc>
          <w:tcPr>
            <w:tcW w:w="3192" w:type="dxa"/>
            <w:tcBorders>
              <w:top w:val="nil"/>
              <w:bottom w:val="nil"/>
            </w:tcBorders>
          </w:tcPr>
          <w:p w14:paraId="1933D81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53.30</w:t>
            </w:r>
          </w:p>
        </w:tc>
      </w:tr>
      <w:tr w:rsidR="009B2AD4" w:rsidRPr="009B2AD4" w14:paraId="7D4C3CDA" w14:textId="77777777" w:rsidTr="009B2AD4">
        <w:trPr>
          <w:trHeight w:val="494"/>
        </w:trPr>
        <w:tc>
          <w:tcPr>
            <w:tcW w:w="3618" w:type="dxa"/>
            <w:gridSpan w:val="2"/>
            <w:tcBorders>
              <w:top w:val="nil"/>
              <w:bottom w:val="single" w:sz="4" w:space="0" w:color="auto"/>
            </w:tcBorders>
          </w:tcPr>
          <w:p w14:paraId="2BA9ED0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lastRenderedPageBreak/>
              <w:t>Strongly agree</w:t>
            </w:r>
          </w:p>
        </w:tc>
        <w:tc>
          <w:tcPr>
            <w:tcW w:w="2766" w:type="dxa"/>
            <w:tcBorders>
              <w:top w:val="nil"/>
              <w:bottom w:val="single" w:sz="4" w:space="0" w:color="auto"/>
            </w:tcBorders>
          </w:tcPr>
          <w:p w14:paraId="30F64E8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192" w:type="dxa"/>
            <w:tcBorders>
              <w:top w:val="nil"/>
              <w:bottom w:val="single" w:sz="4" w:space="0" w:color="auto"/>
            </w:tcBorders>
          </w:tcPr>
          <w:p w14:paraId="7430557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33A5C643" w14:textId="77777777" w:rsidTr="009B2AD4">
        <w:trPr>
          <w:trHeight w:val="494"/>
        </w:trPr>
        <w:tc>
          <w:tcPr>
            <w:tcW w:w="3618" w:type="dxa"/>
            <w:gridSpan w:val="2"/>
            <w:tcBorders>
              <w:top w:val="single" w:sz="4" w:space="0" w:color="auto"/>
            </w:tcBorders>
          </w:tcPr>
          <w:p w14:paraId="70C76A0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2766" w:type="dxa"/>
            <w:tcBorders>
              <w:top w:val="single" w:sz="4" w:space="0" w:color="auto"/>
            </w:tcBorders>
          </w:tcPr>
          <w:p w14:paraId="2D3CACD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3192" w:type="dxa"/>
            <w:tcBorders>
              <w:top w:val="single" w:sz="4" w:space="0" w:color="auto"/>
            </w:tcBorders>
          </w:tcPr>
          <w:p w14:paraId="0BBED95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100.00</w:t>
            </w:r>
          </w:p>
        </w:tc>
      </w:tr>
    </w:tbl>
    <w:p w14:paraId="79B3CD61" w14:textId="3F0811FF" w:rsid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 </w:t>
      </w:r>
    </w:p>
    <w:p w14:paraId="3352B2F5" w14:textId="77777777" w:rsidR="00924C20" w:rsidRPr="009B2AD4" w:rsidRDefault="00924C20" w:rsidP="009B2AD4">
      <w:pPr>
        <w:spacing w:after="0"/>
        <w:jc w:val="both"/>
        <w:rPr>
          <w:rFonts w:ascii="Times New Roman" w:hAnsi="Times New Roman" w:cs="Times New Roman"/>
          <w:sz w:val="22"/>
          <w:szCs w:val="22"/>
          <w:lang w:val="en-US"/>
        </w:rPr>
      </w:pPr>
    </w:p>
    <w:p w14:paraId="01DB08A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The study finds a diversified pool of technical views with 53.3% of respondents agreeing to the statement while 13.3% remained neutral, 20% disagreed and 13.3% others strongly disagreed with the statement. While a lean majority agree with the statement (53.3%, n = 8), a significant number of respondents either remained neutral (13.3%, n = 2), disagreed (20%, n = 3) or strongly disagreed (13.3%, n = 2) with the statement. The study, therefore, finds a weak correlation between the need to justify custom activities by grant writers and positive grant award decisions by donors. </w:t>
      </w:r>
    </w:p>
    <w:p w14:paraId="4AE8102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Further discussions with the study respondents revealed that from their experience in grant writing, some donors allow a few custom activities and indicators (activities outside their terms of reference) if these custom activities contribute in a way to the donor’s strategic objectives. The study finds that this has a negligible bearing on donor grant award decisions. An analysis of this variable shows a mean score of 3.07 with a standard deviation of 1.163, showing no significant weight of this variable on grant ward decisions by humanitarian donors. Thus, it further justifies why some donors permit some window for custom activities and indicators during the project design stage. This finding aligns with the works of Iwunna et al. (2023) who find that sometimes donors permit some of their resources to be used to meet the priorities of individual governments or NGOs to increase program efficiency. This level of donor flexibility increases with NGOs that provide co-funding (match funding) to donor resources (Khieng, 2013). </w:t>
      </w:r>
    </w:p>
    <w:p w14:paraId="43BFF944" w14:textId="77777777" w:rsidR="00C53139" w:rsidRDefault="00C53139" w:rsidP="009B2AD4">
      <w:pPr>
        <w:spacing w:after="0"/>
        <w:jc w:val="both"/>
        <w:rPr>
          <w:rFonts w:ascii="Times New Roman" w:hAnsi="Times New Roman" w:cs="Times New Roman"/>
          <w:b/>
          <w:bCs/>
          <w:sz w:val="22"/>
          <w:szCs w:val="22"/>
          <w:lang w:val="en-US"/>
        </w:rPr>
      </w:pPr>
      <w:bookmarkStart w:id="9" w:name="_Toc196068109"/>
    </w:p>
    <w:p w14:paraId="36CA7B6C" w14:textId="77777777" w:rsidR="009B2AD4" w:rsidRPr="009B2AD4" w:rsidRDefault="009B2AD4" w:rsidP="009B2AD4">
      <w:pPr>
        <w:spacing w:after="0"/>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Adherence to donor terms of reference and grant ward decisions</w:t>
      </w:r>
      <w:bookmarkEnd w:id="9"/>
    </w:p>
    <w:p w14:paraId="10EDB04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This variable determines whether donor Terms of References are mere hints but not an obligation to follow during project design process. The respondents’ views and opinions were a</w:t>
      </w:r>
      <w:r w:rsidR="00826FDC">
        <w:rPr>
          <w:rFonts w:ascii="Times New Roman" w:hAnsi="Times New Roman" w:cs="Times New Roman"/>
          <w:sz w:val="22"/>
          <w:szCs w:val="22"/>
          <w:lang w:val="en-US"/>
        </w:rPr>
        <w:t>nalyzed as presented in table 7</w:t>
      </w:r>
      <w:r w:rsidRPr="009B2AD4">
        <w:rPr>
          <w:rFonts w:ascii="Times New Roman" w:hAnsi="Times New Roman" w:cs="Times New Roman"/>
          <w:sz w:val="22"/>
          <w:szCs w:val="22"/>
          <w:lang w:val="en-US"/>
        </w:rPr>
        <w:t xml:space="preserve"> below.</w:t>
      </w:r>
    </w:p>
    <w:p w14:paraId="09909007" w14:textId="77777777" w:rsidR="009B2AD4" w:rsidRPr="009B2AD4" w:rsidRDefault="00826FDC" w:rsidP="009B2AD4">
      <w:pPr>
        <w:spacing w:after="0"/>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Table 7</w:t>
      </w:r>
      <w:r w:rsidR="009B2AD4" w:rsidRPr="009B2AD4">
        <w:rPr>
          <w:rFonts w:ascii="Times New Roman" w:hAnsi="Times New Roman" w:cs="Times New Roman"/>
          <w:b/>
          <w:bCs/>
          <w:sz w:val="22"/>
          <w:szCs w:val="22"/>
          <w:lang w:val="en-US"/>
        </w:rPr>
        <w:t>: Adherence to donor terms of reference and grant ward decision</w:t>
      </w:r>
    </w:p>
    <w:tbl>
      <w:tblPr>
        <w:tblW w:w="0" w:type="auto"/>
        <w:tblBorders>
          <w:top w:val="single" w:sz="4" w:space="0" w:color="auto"/>
          <w:bottom w:val="single" w:sz="4" w:space="0" w:color="auto"/>
        </w:tblBorders>
        <w:tblLook w:val="04A0" w:firstRow="1" w:lastRow="0" w:firstColumn="1" w:lastColumn="0" w:noHBand="0" w:noVBand="1"/>
      </w:tblPr>
      <w:tblGrid>
        <w:gridCol w:w="3331"/>
        <w:gridCol w:w="2688"/>
        <w:gridCol w:w="3007"/>
      </w:tblGrid>
      <w:tr w:rsidR="009B2AD4" w:rsidRPr="009B2AD4" w14:paraId="22FC2454" w14:textId="77777777" w:rsidTr="009B2AD4">
        <w:trPr>
          <w:trHeight w:val="539"/>
        </w:trPr>
        <w:tc>
          <w:tcPr>
            <w:tcW w:w="3528" w:type="dxa"/>
            <w:tcBorders>
              <w:top w:val="single" w:sz="4" w:space="0" w:color="auto"/>
              <w:bottom w:val="single" w:sz="4" w:space="0" w:color="auto"/>
            </w:tcBorders>
          </w:tcPr>
          <w:p w14:paraId="09F2162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Response</w:t>
            </w:r>
          </w:p>
        </w:tc>
        <w:tc>
          <w:tcPr>
            <w:tcW w:w="2856" w:type="dxa"/>
            <w:tcBorders>
              <w:top w:val="single" w:sz="4" w:space="0" w:color="auto"/>
              <w:bottom w:val="single" w:sz="4" w:space="0" w:color="auto"/>
            </w:tcBorders>
          </w:tcPr>
          <w:p w14:paraId="274916E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Count</w:t>
            </w:r>
          </w:p>
        </w:tc>
        <w:tc>
          <w:tcPr>
            <w:tcW w:w="3192" w:type="dxa"/>
            <w:tcBorders>
              <w:top w:val="single" w:sz="4" w:space="0" w:color="auto"/>
              <w:bottom w:val="single" w:sz="4" w:space="0" w:color="auto"/>
            </w:tcBorders>
          </w:tcPr>
          <w:p w14:paraId="39FFBCD6"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Percent</w:t>
            </w:r>
          </w:p>
        </w:tc>
      </w:tr>
      <w:tr w:rsidR="009B2AD4" w:rsidRPr="009B2AD4" w14:paraId="38426C83" w14:textId="77777777" w:rsidTr="009B2AD4">
        <w:trPr>
          <w:trHeight w:val="494"/>
        </w:trPr>
        <w:tc>
          <w:tcPr>
            <w:tcW w:w="3528" w:type="dxa"/>
            <w:tcBorders>
              <w:top w:val="single" w:sz="4" w:space="0" w:color="auto"/>
              <w:bottom w:val="nil"/>
            </w:tcBorders>
          </w:tcPr>
          <w:p w14:paraId="3E0A620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disagree</w:t>
            </w:r>
          </w:p>
        </w:tc>
        <w:tc>
          <w:tcPr>
            <w:tcW w:w="2856" w:type="dxa"/>
            <w:tcBorders>
              <w:top w:val="single" w:sz="4" w:space="0" w:color="auto"/>
              <w:bottom w:val="nil"/>
            </w:tcBorders>
          </w:tcPr>
          <w:p w14:paraId="2F5FE3F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single" w:sz="4" w:space="0" w:color="auto"/>
              <w:bottom w:val="nil"/>
            </w:tcBorders>
          </w:tcPr>
          <w:p w14:paraId="0CB9356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2619BF17" w14:textId="77777777" w:rsidTr="009B2AD4">
        <w:trPr>
          <w:trHeight w:val="494"/>
        </w:trPr>
        <w:tc>
          <w:tcPr>
            <w:tcW w:w="3528" w:type="dxa"/>
            <w:tcBorders>
              <w:top w:val="nil"/>
              <w:bottom w:val="nil"/>
            </w:tcBorders>
          </w:tcPr>
          <w:p w14:paraId="6749AAF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Disagree</w:t>
            </w:r>
          </w:p>
        </w:tc>
        <w:tc>
          <w:tcPr>
            <w:tcW w:w="2856" w:type="dxa"/>
            <w:tcBorders>
              <w:top w:val="nil"/>
              <w:bottom w:val="nil"/>
            </w:tcBorders>
          </w:tcPr>
          <w:p w14:paraId="10319E1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w:t>
            </w:r>
          </w:p>
        </w:tc>
        <w:tc>
          <w:tcPr>
            <w:tcW w:w="3192" w:type="dxa"/>
            <w:tcBorders>
              <w:top w:val="nil"/>
              <w:bottom w:val="nil"/>
            </w:tcBorders>
          </w:tcPr>
          <w:p w14:paraId="5A8B1E6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66.70</w:t>
            </w:r>
          </w:p>
        </w:tc>
      </w:tr>
      <w:tr w:rsidR="009B2AD4" w:rsidRPr="009B2AD4" w14:paraId="3B6D0A32" w14:textId="77777777" w:rsidTr="009B2AD4">
        <w:trPr>
          <w:trHeight w:val="494"/>
        </w:trPr>
        <w:tc>
          <w:tcPr>
            <w:tcW w:w="3528" w:type="dxa"/>
            <w:tcBorders>
              <w:top w:val="nil"/>
              <w:bottom w:val="nil"/>
            </w:tcBorders>
          </w:tcPr>
          <w:p w14:paraId="44C4AA4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Neutral</w:t>
            </w:r>
          </w:p>
        </w:tc>
        <w:tc>
          <w:tcPr>
            <w:tcW w:w="2856" w:type="dxa"/>
            <w:tcBorders>
              <w:top w:val="nil"/>
              <w:bottom w:val="nil"/>
            </w:tcBorders>
          </w:tcPr>
          <w:p w14:paraId="47C42B5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c>
          <w:tcPr>
            <w:tcW w:w="3192" w:type="dxa"/>
            <w:tcBorders>
              <w:top w:val="nil"/>
              <w:bottom w:val="nil"/>
            </w:tcBorders>
          </w:tcPr>
          <w:p w14:paraId="4BC0B85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6.70</w:t>
            </w:r>
          </w:p>
        </w:tc>
      </w:tr>
      <w:tr w:rsidR="009B2AD4" w:rsidRPr="009B2AD4" w14:paraId="71186594" w14:textId="77777777" w:rsidTr="009B2AD4">
        <w:trPr>
          <w:trHeight w:val="494"/>
        </w:trPr>
        <w:tc>
          <w:tcPr>
            <w:tcW w:w="3528" w:type="dxa"/>
            <w:tcBorders>
              <w:top w:val="nil"/>
              <w:bottom w:val="nil"/>
            </w:tcBorders>
          </w:tcPr>
          <w:p w14:paraId="612CEE2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Agree</w:t>
            </w:r>
          </w:p>
        </w:tc>
        <w:tc>
          <w:tcPr>
            <w:tcW w:w="2856" w:type="dxa"/>
            <w:tcBorders>
              <w:top w:val="nil"/>
              <w:bottom w:val="nil"/>
            </w:tcBorders>
          </w:tcPr>
          <w:p w14:paraId="13B99E7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nil"/>
              <w:bottom w:val="nil"/>
            </w:tcBorders>
          </w:tcPr>
          <w:p w14:paraId="530139E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77E0AE86" w14:textId="77777777" w:rsidTr="009B2AD4">
        <w:trPr>
          <w:trHeight w:val="494"/>
        </w:trPr>
        <w:tc>
          <w:tcPr>
            <w:tcW w:w="3528" w:type="dxa"/>
            <w:tcBorders>
              <w:top w:val="nil"/>
              <w:bottom w:val="single" w:sz="4" w:space="0" w:color="auto"/>
            </w:tcBorders>
          </w:tcPr>
          <w:p w14:paraId="4FFDE436"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agree</w:t>
            </w:r>
          </w:p>
        </w:tc>
        <w:tc>
          <w:tcPr>
            <w:tcW w:w="2856" w:type="dxa"/>
            <w:tcBorders>
              <w:top w:val="nil"/>
              <w:bottom w:val="single" w:sz="4" w:space="0" w:color="auto"/>
            </w:tcBorders>
          </w:tcPr>
          <w:p w14:paraId="5A28D8C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192" w:type="dxa"/>
            <w:tcBorders>
              <w:top w:val="nil"/>
              <w:bottom w:val="single" w:sz="4" w:space="0" w:color="auto"/>
            </w:tcBorders>
          </w:tcPr>
          <w:p w14:paraId="6C1189C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6882CE1D" w14:textId="77777777" w:rsidTr="009B2AD4">
        <w:trPr>
          <w:trHeight w:val="494"/>
        </w:trPr>
        <w:tc>
          <w:tcPr>
            <w:tcW w:w="3528" w:type="dxa"/>
            <w:tcBorders>
              <w:top w:val="single" w:sz="4" w:space="0" w:color="auto"/>
            </w:tcBorders>
          </w:tcPr>
          <w:p w14:paraId="0194534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2856" w:type="dxa"/>
            <w:tcBorders>
              <w:top w:val="single" w:sz="4" w:space="0" w:color="auto"/>
            </w:tcBorders>
          </w:tcPr>
          <w:p w14:paraId="324B835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3192" w:type="dxa"/>
            <w:tcBorders>
              <w:top w:val="single" w:sz="4" w:space="0" w:color="auto"/>
            </w:tcBorders>
          </w:tcPr>
          <w:p w14:paraId="15FB65F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100.00</w:t>
            </w:r>
          </w:p>
        </w:tc>
      </w:tr>
    </w:tbl>
    <w:p w14:paraId="54D5DB4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The study finds that 66.7% of respondents disagreed, 13.3% agreed while 13.3% others strongly disagreed with this statement. This makes a total of 80% of respondents who either disagreed (66.7%, n = 10) or strongly disagreed (13.3%, n = 2) with the statement. This shows that donor TORs are not just hints but mandatory briefs to follow when designing humanitarian projects. Conversely, the study reveals that non-adherence to the donor TOR may lead to a negative grant ward decision by a donor. This finding strongly collates with the work of Carthey (2019) who argues that one of the most important strategies for conducting a successful participatory design process is following a term of </w:t>
      </w:r>
      <w:r w:rsidRPr="009B2AD4">
        <w:rPr>
          <w:rFonts w:ascii="Times New Roman" w:hAnsi="Times New Roman" w:cs="Times New Roman"/>
          <w:sz w:val="22"/>
          <w:szCs w:val="22"/>
          <w:lang w:val="en-US"/>
        </w:rPr>
        <w:lastRenderedPageBreak/>
        <w:t xml:space="preserve">reference which provides a clear definition and documentation of the vision, agreed goals and objectives for the project. Carthey (2019) emphasizes how well the goals and objectives of the project design team and those of the donor should mesh or overlap to assist the project design team to achieve a positive proposal outcome. This finding implies that the donor Terms of Reference are an important instruction to adhere to during the project design processes. </w:t>
      </w:r>
    </w:p>
    <w:p w14:paraId="2B4AF3B6"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Additional notes from the discussions with the respondents reveal that most donors strictly use TORs with weighted scoring criteria to make grant award decisions for humanitarian projects. This implies a huge significance of the need to adhere to the donor TOR for a positive grant award decision. Analysis of this variable shows a mean of 2.2 and a standard deviation of 0.862; this may show a relatively smaller weight of the mean of this variable (compared to other variables under the needs articulation independent subset of the study variables) but this variable reveals an important finding that donor TORs are an obligation to follow when designing humanitarian projects however much they provide a guide on the structure of the proposal.</w:t>
      </w:r>
    </w:p>
    <w:p w14:paraId="757465AE" w14:textId="77777777" w:rsidR="009B2AD4" w:rsidRDefault="009B2AD4" w:rsidP="00A871B2">
      <w:pPr>
        <w:spacing w:after="0"/>
        <w:jc w:val="both"/>
        <w:rPr>
          <w:rFonts w:ascii="Times New Roman" w:hAnsi="Times New Roman" w:cs="Times New Roman"/>
          <w:sz w:val="22"/>
          <w:szCs w:val="22"/>
        </w:rPr>
      </w:pPr>
    </w:p>
    <w:p w14:paraId="0D6DB8E1" w14:textId="77777777" w:rsidR="004749BC" w:rsidRPr="004749BC" w:rsidRDefault="004749BC" w:rsidP="004749BC">
      <w:pPr>
        <w:spacing w:after="0"/>
        <w:jc w:val="both"/>
        <w:rPr>
          <w:rFonts w:ascii="Times New Roman" w:hAnsi="Times New Roman" w:cs="Times New Roman"/>
          <w:b/>
          <w:bCs/>
        </w:rPr>
      </w:pPr>
      <w:r w:rsidRPr="004749BC">
        <w:rPr>
          <w:rFonts w:ascii="Times New Roman" w:hAnsi="Times New Roman" w:cs="Times New Roman"/>
          <w:b/>
          <w:bCs/>
        </w:rPr>
        <w:t>Correlation Analysis</w:t>
      </w:r>
    </w:p>
    <w:p w14:paraId="455A3C2C" w14:textId="77777777" w:rsidR="009B2AD4" w:rsidRPr="009B2AD4" w:rsidRDefault="009B2AD4" w:rsidP="009B2AD4">
      <w:pPr>
        <w:spacing w:after="0" w:line="240" w:lineRule="auto"/>
        <w:jc w:val="both"/>
        <w:rPr>
          <w:rFonts w:ascii="Times New Roman" w:hAnsi="Times New Roman" w:cs="Times New Roman"/>
          <w:b/>
          <w:bCs/>
          <w:sz w:val="22"/>
          <w:szCs w:val="22"/>
          <w:lang w:val="en-US"/>
        </w:rPr>
      </w:pPr>
      <w:bookmarkStart w:id="10" w:name="_Toc196068126"/>
      <w:r w:rsidRPr="009B2AD4">
        <w:rPr>
          <w:rFonts w:ascii="Times New Roman" w:hAnsi="Times New Roman" w:cs="Times New Roman"/>
          <w:b/>
          <w:bCs/>
          <w:sz w:val="22"/>
          <w:szCs w:val="22"/>
          <w:lang w:val="en-US"/>
        </w:rPr>
        <w:t>Pearson Correlation Analysis</w:t>
      </w:r>
      <w:bookmarkEnd w:id="10"/>
    </w:p>
    <w:p w14:paraId="31C332CF" w14:textId="77777777" w:rsid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 xml:space="preserve">To ascertain the type and degree of relationships between the hypothesized project design (independent) variables and grant award decision for humanitarian assistance projects in Juba, South Sudan (dependent variable), the study performed Pearson correlation analysis. The Pearson correlations between the project design variables and the positive funding decisions for humanitarian assistance projects are shown in Table </w:t>
      </w:r>
      <w:r w:rsidR="00826FDC">
        <w:rPr>
          <w:rFonts w:ascii="Times New Roman" w:hAnsi="Times New Roman" w:cs="Times New Roman"/>
          <w:sz w:val="22"/>
          <w:szCs w:val="22"/>
        </w:rPr>
        <w:t>8</w:t>
      </w:r>
      <w:r w:rsidRPr="009B2AD4">
        <w:rPr>
          <w:rFonts w:ascii="Times New Roman" w:hAnsi="Times New Roman" w:cs="Times New Roman"/>
          <w:sz w:val="22"/>
          <w:szCs w:val="22"/>
        </w:rPr>
        <w:t xml:space="preserve"> below.</w:t>
      </w:r>
    </w:p>
    <w:p w14:paraId="28810C56" w14:textId="77777777" w:rsidR="00826FDC" w:rsidRPr="009B2AD4" w:rsidRDefault="00826FDC" w:rsidP="009B2AD4">
      <w:pPr>
        <w:spacing w:after="0" w:line="240" w:lineRule="auto"/>
        <w:jc w:val="both"/>
        <w:rPr>
          <w:rFonts w:ascii="Times New Roman" w:hAnsi="Times New Roman" w:cs="Times New Roman"/>
          <w:sz w:val="22"/>
          <w:szCs w:val="22"/>
          <w:lang w:val="fr-FR"/>
        </w:rPr>
      </w:pPr>
    </w:p>
    <w:p w14:paraId="79C3109C" w14:textId="77777777" w:rsidR="009B2AD4" w:rsidRPr="009B2AD4" w:rsidRDefault="009B2AD4" w:rsidP="009B2AD4">
      <w:pPr>
        <w:spacing w:after="0" w:line="240" w:lineRule="auto"/>
        <w:jc w:val="both"/>
        <w:rPr>
          <w:rFonts w:ascii="Times New Roman" w:hAnsi="Times New Roman" w:cs="Times New Roman"/>
          <w:b/>
          <w:bCs/>
          <w:sz w:val="22"/>
          <w:szCs w:val="22"/>
          <w:lang w:val="fr-FR"/>
        </w:rPr>
      </w:pPr>
      <w:r w:rsidRPr="009B2AD4">
        <w:rPr>
          <w:rFonts w:ascii="Times New Roman" w:hAnsi="Times New Roman" w:cs="Times New Roman"/>
          <w:b/>
          <w:bCs/>
          <w:sz w:val="22"/>
          <w:szCs w:val="22"/>
          <w:lang w:val="fr-FR"/>
        </w:rPr>
        <w:t xml:space="preserve">Table </w:t>
      </w:r>
      <w:r w:rsidR="00826FDC">
        <w:rPr>
          <w:rFonts w:ascii="Times New Roman" w:hAnsi="Times New Roman" w:cs="Times New Roman"/>
          <w:b/>
          <w:bCs/>
          <w:sz w:val="22"/>
          <w:szCs w:val="22"/>
          <w:lang w:val="fr-FR"/>
        </w:rPr>
        <w:t>8</w:t>
      </w:r>
      <w:r w:rsidRPr="009B2AD4">
        <w:rPr>
          <w:rFonts w:ascii="Times New Roman" w:hAnsi="Times New Roman" w:cs="Times New Roman"/>
          <w:b/>
          <w:bCs/>
          <w:sz w:val="22"/>
          <w:szCs w:val="22"/>
          <w:lang w:val="fr-FR"/>
        </w:rPr>
        <w:t xml:space="preserve"> : Pearson correlation matrix</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901"/>
        <w:gridCol w:w="2892"/>
        <w:gridCol w:w="1372"/>
        <w:gridCol w:w="1861"/>
      </w:tblGrid>
      <w:tr w:rsidR="009B2AD4" w:rsidRPr="009B2AD4" w14:paraId="2E1A950A" w14:textId="77777777" w:rsidTr="00924C20">
        <w:trPr>
          <w:cantSplit/>
          <w:trHeight w:val="600"/>
          <w:tblHeader/>
        </w:trPr>
        <w:tc>
          <w:tcPr>
            <w:tcW w:w="1607" w:type="pct"/>
            <w:tcBorders>
              <w:top w:val="single" w:sz="4" w:space="0" w:color="auto"/>
              <w:bottom w:val="single" w:sz="4" w:space="0" w:color="auto"/>
            </w:tcBorders>
            <w:shd w:val="clear" w:color="auto" w:fill="FFFFFF"/>
            <w:tcMar>
              <w:top w:w="30" w:type="dxa"/>
              <w:left w:w="30" w:type="dxa"/>
              <w:bottom w:w="30" w:type="dxa"/>
              <w:right w:w="30" w:type="dxa"/>
            </w:tcMar>
          </w:tcPr>
          <w:p w14:paraId="4B613AEA"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c>
          <w:tcPr>
            <w:tcW w:w="160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C1E01CA"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Project’s sustainability model </w:t>
            </w:r>
          </w:p>
        </w:tc>
        <w:tc>
          <w:tcPr>
            <w:tcW w:w="1791" w:type="pct"/>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563799F8"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Alignment with donor priorities</w:t>
            </w:r>
          </w:p>
        </w:tc>
      </w:tr>
      <w:tr w:rsidR="009B2AD4" w:rsidRPr="009B2AD4" w14:paraId="1C4793A2" w14:textId="77777777" w:rsidTr="00924C20">
        <w:trPr>
          <w:cantSplit/>
          <w:trHeight w:val="572"/>
          <w:tblHeader/>
        </w:trPr>
        <w:tc>
          <w:tcPr>
            <w:tcW w:w="1607" w:type="pct"/>
            <w:tcBorders>
              <w:top w:val="single" w:sz="4" w:space="0" w:color="auto"/>
            </w:tcBorders>
            <w:shd w:val="clear" w:color="auto" w:fill="FFFFFF"/>
            <w:tcMar>
              <w:top w:w="30" w:type="dxa"/>
              <w:left w:w="30" w:type="dxa"/>
              <w:bottom w:w="30" w:type="dxa"/>
              <w:right w:w="30" w:type="dxa"/>
            </w:tcMar>
          </w:tcPr>
          <w:p w14:paraId="4CD46138"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Project’s sustainability model</w:t>
            </w:r>
          </w:p>
        </w:tc>
        <w:tc>
          <w:tcPr>
            <w:tcW w:w="2362" w:type="pct"/>
            <w:gridSpan w:val="2"/>
            <w:tcBorders>
              <w:top w:val="single" w:sz="4" w:space="0" w:color="auto"/>
            </w:tcBorders>
            <w:shd w:val="clear" w:color="auto" w:fill="FFFFFF"/>
            <w:tcMar>
              <w:top w:w="30" w:type="dxa"/>
              <w:left w:w="30" w:type="dxa"/>
              <w:bottom w:w="30" w:type="dxa"/>
              <w:right w:w="30" w:type="dxa"/>
            </w:tcMar>
            <w:vAlign w:val="center"/>
          </w:tcPr>
          <w:p w14:paraId="0AA29137"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c>
          <w:tcPr>
            <w:tcW w:w="1031" w:type="pct"/>
            <w:tcBorders>
              <w:top w:val="single" w:sz="4" w:space="0" w:color="auto"/>
            </w:tcBorders>
            <w:shd w:val="clear" w:color="auto" w:fill="FFFFFF"/>
            <w:tcMar>
              <w:top w:w="30" w:type="dxa"/>
              <w:left w:w="30" w:type="dxa"/>
              <w:bottom w:w="30" w:type="dxa"/>
              <w:right w:w="30" w:type="dxa"/>
            </w:tcMar>
            <w:vAlign w:val="center"/>
          </w:tcPr>
          <w:p w14:paraId="19A9A5BA"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r>
      <w:tr w:rsidR="009B2AD4" w:rsidRPr="009B2AD4" w14:paraId="0706F8C0" w14:textId="77777777" w:rsidTr="00924C20">
        <w:trPr>
          <w:cantSplit/>
          <w:trHeight w:val="381"/>
          <w:tblHeader/>
        </w:trPr>
        <w:tc>
          <w:tcPr>
            <w:tcW w:w="1607" w:type="pct"/>
            <w:shd w:val="clear" w:color="auto" w:fill="FFFFFF"/>
            <w:tcMar>
              <w:top w:w="30" w:type="dxa"/>
              <w:left w:w="30" w:type="dxa"/>
              <w:bottom w:w="30" w:type="dxa"/>
              <w:right w:w="30" w:type="dxa"/>
            </w:tcMar>
          </w:tcPr>
          <w:p w14:paraId="00F77723"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Alignment with donor priorities</w:t>
            </w:r>
          </w:p>
        </w:tc>
        <w:tc>
          <w:tcPr>
            <w:tcW w:w="2362" w:type="pct"/>
            <w:gridSpan w:val="2"/>
            <w:shd w:val="clear" w:color="auto" w:fill="FFFFFF"/>
            <w:tcMar>
              <w:top w:w="30" w:type="dxa"/>
              <w:left w:w="30" w:type="dxa"/>
              <w:bottom w:w="30" w:type="dxa"/>
              <w:right w:w="30" w:type="dxa"/>
            </w:tcMar>
            <w:vAlign w:val="center"/>
          </w:tcPr>
          <w:p w14:paraId="30A21F8E"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.200</w:t>
            </w:r>
          </w:p>
        </w:tc>
        <w:tc>
          <w:tcPr>
            <w:tcW w:w="1031" w:type="pct"/>
            <w:shd w:val="clear" w:color="auto" w:fill="FFFFFF"/>
            <w:tcMar>
              <w:top w:w="30" w:type="dxa"/>
              <w:left w:w="30" w:type="dxa"/>
              <w:bottom w:w="30" w:type="dxa"/>
              <w:right w:w="30" w:type="dxa"/>
            </w:tcMar>
            <w:vAlign w:val="center"/>
          </w:tcPr>
          <w:p w14:paraId="56A15A03"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r>
    </w:tbl>
    <w:p w14:paraId="7CFD981F" w14:textId="77777777" w:rsidR="00924C20" w:rsidRDefault="00924C20" w:rsidP="009B2AD4">
      <w:pPr>
        <w:spacing w:after="0" w:line="240" w:lineRule="auto"/>
        <w:jc w:val="both"/>
        <w:rPr>
          <w:rFonts w:ascii="Times New Roman" w:hAnsi="Times New Roman" w:cs="Times New Roman"/>
          <w:sz w:val="22"/>
          <w:szCs w:val="22"/>
          <w:lang w:val="fr-FR"/>
        </w:rPr>
      </w:pPr>
    </w:p>
    <w:p w14:paraId="546ABBB2" w14:textId="06A82E1C" w:rsid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Based on the results from the analysis, there is a positive relationship between the grant award decisions for humanitarian assistance and the assessed project design elements (study variables). The results sho</w:t>
      </w:r>
      <w:r w:rsidR="00C53139">
        <w:rPr>
          <w:rFonts w:ascii="Times New Roman" w:hAnsi="Times New Roman" w:cs="Times New Roman"/>
          <w:sz w:val="22"/>
          <w:szCs w:val="22"/>
        </w:rPr>
        <w:t>wed that there was the strong</w:t>
      </w:r>
      <w:r w:rsidRPr="009B2AD4">
        <w:rPr>
          <w:rFonts w:ascii="Times New Roman" w:hAnsi="Times New Roman" w:cs="Times New Roman"/>
          <w:sz w:val="22"/>
          <w:szCs w:val="22"/>
        </w:rPr>
        <w:t xml:space="preserve"> correlation between alignment with donor priorities (r = 0.421)</w:t>
      </w:r>
      <w:r w:rsidR="00C53139">
        <w:rPr>
          <w:rFonts w:ascii="Times New Roman" w:hAnsi="Times New Roman" w:cs="Times New Roman"/>
          <w:sz w:val="22"/>
          <w:szCs w:val="22"/>
        </w:rPr>
        <w:t xml:space="preserve"> </w:t>
      </w:r>
      <w:r w:rsidR="00C53139" w:rsidRPr="00C53139">
        <w:rPr>
          <w:rFonts w:ascii="Times New Roman" w:hAnsi="Times New Roman" w:cs="Times New Roman"/>
          <w:sz w:val="22"/>
          <w:szCs w:val="22"/>
        </w:rPr>
        <w:t>and positive funding decision by humanitarian donors</w:t>
      </w:r>
      <w:r w:rsidR="00C53139">
        <w:rPr>
          <w:rFonts w:ascii="Times New Roman" w:hAnsi="Times New Roman" w:cs="Times New Roman"/>
          <w:sz w:val="22"/>
          <w:szCs w:val="22"/>
        </w:rPr>
        <w:t xml:space="preserve">. </w:t>
      </w:r>
      <w:r w:rsidRPr="009B2AD4">
        <w:rPr>
          <w:rFonts w:ascii="Times New Roman" w:hAnsi="Times New Roman" w:cs="Times New Roman"/>
          <w:sz w:val="22"/>
          <w:szCs w:val="22"/>
        </w:rPr>
        <w:t>At the 0.05 level of confidence, the study finds that independent variable had some statistically noteworthy correlation with the dependent variable.</w:t>
      </w:r>
    </w:p>
    <w:p w14:paraId="1DAF8278" w14:textId="77777777" w:rsidR="00C53139" w:rsidRPr="009B2AD4" w:rsidRDefault="00C53139" w:rsidP="009B2AD4">
      <w:pPr>
        <w:spacing w:after="0" w:line="240" w:lineRule="auto"/>
        <w:jc w:val="both"/>
        <w:rPr>
          <w:rFonts w:ascii="Times New Roman" w:hAnsi="Times New Roman" w:cs="Times New Roman"/>
          <w:sz w:val="22"/>
          <w:szCs w:val="22"/>
        </w:rPr>
      </w:pPr>
    </w:p>
    <w:p w14:paraId="712CF129" w14:textId="77777777" w:rsidR="009B2AD4" w:rsidRPr="009B2AD4" w:rsidRDefault="009B2AD4" w:rsidP="009B2AD4">
      <w:pPr>
        <w:spacing w:after="0" w:line="240" w:lineRule="auto"/>
        <w:jc w:val="both"/>
        <w:rPr>
          <w:rFonts w:ascii="Times New Roman" w:hAnsi="Times New Roman" w:cs="Times New Roman"/>
          <w:b/>
          <w:bCs/>
          <w:sz w:val="22"/>
          <w:szCs w:val="22"/>
        </w:rPr>
      </w:pPr>
      <w:bookmarkStart w:id="11" w:name="_Toc196068127"/>
      <w:r w:rsidRPr="009B2AD4">
        <w:rPr>
          <w:rFonts w:ascii="Times New Roman" w:hAnsi="Times New Roman" w:cs="Times New Roman"/>
          <w:b/>
          <w:bCs/>
          <w:sz w:val="22"/>
          <w:szCs w:val="22"/>
        </w:rPr>
        <w:t>Determining how best the model fits</w:t>
      </w:r>
      <w:bookmarkEnd w:id="11"/>
    </w:p>
    <w:p w14:paraId="642C9B3E" w14:textId="77777777" w:rsidR="009B2AD4" w:rsidRPr="009B2AD4" w:rsidRDefault="009B2AD4" w:rsidP="009B2AD4">
      <w:pPr>
        <w:spacing w:after="0" w:line="240" w:lineRule="auto"/>
        <w:jc w:val="both"/>
        <w:rPr>
          <w:rFonts w:ascii="Times New Roman" w:hAnsi="Times New Roman" w:cs="Times New Roman"/>
          <w:b/>
          <w:sz w:val="22"/>
          <w:szCs w:val="22"/>
        </w:rPr>
      </w:pPr>
      <w:r w:rsidRPr="009B2AD4">
        <w:rPr>
          <w:rFonts w:ascii="Times New Roman" w:hAnsi="Times New Roman" w:cs="Times New Roman"/>
          <w:b/>
          <w:sz w:val="22"/>
          <w:szCs w:val="22"/>
          <w:lang w:val="en-US"/>
        </w:rPr>
        <w:t xml:space="preserve">Table </w:t>
      </w:r>
      <w:r w:rsidR="00826FDC">
        <w:rPr>
          <w:rFonts w:ascii="Times New Roman" w:hAnsi="Times New Roman" w:cs="Times New Roman"/>
          <w:b/>
          <w:sz w:val="22"/>
          <w:szCs w:val="22"/>
          <w:lang w:val="en-US"/>
        </w:rPr>
        <w:t>9</w:t>
      </w:r>
      <w:r w:rsidRPr="009B2AD4">
        <w:rPr>
          <w:rFonts w:ascii="Times New Roman" w:hAnsi="Times New Roman" w:cs="Times New Roman"/>
          <w:b/>
          <w:sz w:val="22"/>
          <w:szCs w:val="22"/>
          <w:lang w:val="en-US"/>
        </w:rPr>
        <w:t>: Model summary</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143"/>
        <w:gridCol w:w="1592"/>
        <w:gridCol w:w="1699"/>
        <w:gridCol w:w="2296"/>
        <w:gridCol w:w="2296"/>
      </w:tblGrid>
      <w:tr w:rsidR="009B2AD4" w:rsidRPr="009B2AD4" w14:paraId="133BBD49" w14:textId="77777777" w:rsidTr="009B2AD4">
        <w:trPr>
          <w:cantSplit/>
          <w:trHeight w:val="797"/>
          <w:tblHeader/>
        </w:trPr>
        <w:tc>
          <w:tcPr>
            <w:tcW w:w="633"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E4C825A"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Model</w:t>
            </w:r>
          </w:p>
        </w:tc>
        <w:tc>
          <w:tcPr>
            <w:tcW w:w="88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78316E97"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w:t>
            </w:r>
          </w:p>
        </w:tc>
        <w:tc>
          <w:tcPr>
            <w:tcW w:w="941"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B6C8407"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 Square</w:t>
            </w:r>
          </w:p>
        </w:tc>
        <w:tc>
          <w:tcPr>
            <w:tcW w:w="127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2D11CD0C"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Adjusted R Square</w:t>
            </w:r>
          </w:p>
        </w:tc>
        <w:tc>
          <w:tcPr>
            <w:tcW w:w="127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EF40A4C"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Std. Error of the Estimate</w:t>
            </w:r>
          </w:p>
        </w:tc>
      </w:tr>
      <w:tr w:rsidR="009B2AD4" w:rsidRPr="009B2AD4" w14:paraId="334E543F" w14:textId="77777777" w:rsidTr="009B2AD4">
        <w:trPr>
          <w:cantSplit/>
          <w:trHeight w:val="410"/>
          <w:tblHeader/>
        </w:trPr>
        <w:tc>
          <w:tcPr>
            <w:tcW w:w="633" w:type="pct"/>
            <w:tcBorders>
              <w:top w:val="single" w:sz="4" w:space="0" w:color="auto"/>
            </w:tcBorders>
            <w:shd w:val="clear" w:color="auto" w:fill="FFFFFF"/>
            <w:tcMar>
              <w:top w:w="30" w:type="dxa"/>
              <w:left w:w="30" w:type="dxa"/>
              <w:bottom w:w="30" w:type="dxa"/>
              <w:right w:w="30" w:type="dxa"/>
            </w:tcMar>
          </w:tcPr>
          <w:p w14:paraId="75D94B6B"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c>
          <w:tcPr>
            <w:tcW w:w="882" w:type="pct"/>
            <w:tcBorders>
              <w:top w:val="single" w:sz="4" w:space="0" w:color="auto"/>
            </w:tcBorders>
            <w:shd w:val="clear" w:color="auto" w:fill="FFFFFF"/>
            <w:tcMar>
              <w:top w:w="30" w:type="dxa"/>
              <w:left w:w="30" w:type="dxa"/>
              <w:bottom w:w="30" w:type="dxa"/>
              <w:right w:w="30" w:type="dxa"/>
            </w:tcMar>
            <w:vAlign w:val="center"/>
          </w:tcPr>
          <w:p w14:paraId="2C2F4707"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.853</w:t>
            </w:r>
          </w:p>
        </w:tc>
        <w:tc>
          <w:tcPr>
            <w:tcW w:w="941" w:type="pct"/>
            <w:tcBorders>
              <w:top w:val="single" w:sz="4" w:space="0" w:color="auto"/>
            </w:tcBorders>
            <w:shd w:val="clear" w:color="auto" w:fill="FFFFFF"/>
            <w:tcMar>
              <w:top w:w="30" w:type="dxa"/>
              <w:left w:w="30" w:type="dxa"/>
              <w:bottom w:w="30" w:type="dxa"/>
              <w:right w:w="30" w:type="dxa"/>
            </w:tcMar>
            <w:vAlign w:val="center"/>
          </w:tcPr>
          <w:p w14:paraId="2CC49476"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.728</w:t>
            </w:r>
          </w:p>
        </w:tc>
        <w:tc>
          <w:tcPr>
            <w:tcW w:w="1272" w:type="pct"/>
            <w:tcBorders>
              <w:top w:val="single" w:sz="4" w:space="0" w:color="auto"/>
            </w:tcBorders>
            <w:shd w:val="clear" w:color="auto" w:fill="FFFFFF"/>
            <w:tcMar>
              <w:top w:w="30" w:type="dxa"/>
              <w:left w:w="30" w:type="dxa"/>
              <w:bottom w:w="30" w:type="dxa"/>
              <w:right w:w="30" w:type="dxa"/>
            </w:tcMar>
            <w:vAlign w:val="center"/>
          </w:tcPr>
          <w:p w14:paraId="0C804032"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.711</w:t>
            </w:r>
          </w:p>
        </w:tc>
        <w:tc>
          <w:tcPr>
            <w:tcW w:w="1272" w:type="pct"/>
            <w:tcBorders>
              <w:top w:val="single" w:sz="4" w:space="0" w:color="auto"/>
            </w:tcBorders>
            <w:shd w:val="clear" w:color="auto" w:fill="FFFFFF"/>
            <w:tcMar>
              <w:top w:w="30" w:type="dxa"/>
              <w:left w:w="30" w:type="dxa"/>
              <w:bottom w:w="30" w:type="dxa"/>
              <w:right w:w="30" w:type="dxa"/>
            </w:tcMar>
            <w:vAlign w:val="center"/>
          </w:tcPr>
          <w:p w14:paraId="2F2B8306"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1.448</w:t>
            </w:r>
          </w:p>
        </w:tc>
      </w:tr>
    </w:tbl>
    <w:p w14:paraId="0A2342D9" w14:textId="224A4ABE" w:rsidR="009B2AD4" w:rsidRP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 xml:space="preserve">The model summary table is shown in table </w:t>
      </w:r>
      <w:r w:rsidR="00203D11">
        <w:rPr>
          <w:rFonts w:ascii="Times New Roman" w:hAnsi="Times New Roman" w:cs="Times New Roman"/>
          <w:sz w:val="22"/>
          <w:szCs w:val="22"/>
        </w:rPr>
        <w:t>9</w:t>
      </w:r>
      <w:r w:rsidRPr="009B2AD4">
        <w:rPr>
          <w:rFonts w:ascii="Times New Roman" w:hAnsi="Times New Roman" w:cs="Times New Roman"/>
          <w:sz w:val="22"/>
          <w:szCs w:val="22"/>
        </w:rPr>
        <w:t xml:space="preserve"> above. Regression model fit to data can be assessed using the R, R</w:t>
      </w:r>
      <w:r w:rsidRPr="009B2AD4">
        <w:rPr>
          <w:rFonts w:ascii="Times New Roman" w:hAnsi="Times New Roman" w:cs="Times New Roman"/>
          <w:sz w:val="22"/>
          <w:szCs w:val="22"/>
          <w:vertAlign w:val="superscript"/>
        </w:rPr>
        <w:t>2</w:t>
      </w:r>
      <w:r w:rsidRPr="009B2AD4">
        <w:rPr>
          <w:rFonts w:ascii="Times New Roman" w:hAnsi="Times New Roman" w:cs="Times New Roman"/>
          <w:sz w:val="22"/>
          <w:szCs w:val="22"/>
        </w:rPr>
        <w:t>, adjusted R</w:t>
      </w:r>
      <w:r w:rsidRPr="009B2AD4">
        <w:rPr>
          <w:rFonts w:ascii="Times New Roman" w:hAnsi="Times New Roman" w:cs="Times New Roman"/>
          <w:sz w:val="22"/>
          <w:szCs w:val="22"/>
          <w:vertAlign w:val="superscript"/>
        </w:rPr>
        <w:t>2</w:t>
      </w:r>
      <w:r w:rsidRPr="009B2AD4">
        <w:rPr>
          <w:rFonts w:ascii="Times New Roman" w:hAnsi="Times New Roman" w:cs="Times New Roman"/>
          <w:sz w:val="22"/>
          <w:szCs w:val="22"/>
        </w:rPr>
        <w:t>, and standard error of the estimate provided in this table. The results indicate that positive funding decision for humanitarian aid and alignment with donor priorities are positively correlated. The correlation coefficient (R Square) is equivalent to 0.728, according to the study. The significant degree of prediction is indicated by the coefficient of determination, which is 0.711.</w:t>
      </w:r>
    </w:p>
    <w:p w14:paraId="05C83F33" w14:textId="77777777" w:rsidR="009B2AD4" w:rsidRP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 xml:space="preserve">In particular, the 0.711 coefficient of determination shows that variations in alignment with donor priorities can explain 71.0% of the variance in the positive funding decision for humanitarian assistance </w:t>
      </w:r>
      <w:r w:rsidRPr="009B2AD4">
        <w:rPr>
          <w:rFonts w:ascii="Times New Roman" w:hAnsi="Times New Roman" w:cs="Times New Roman"/>
          <w:sz w:val="22"/>
          <w:szCs w:val="22"/>
        </w:rPr>
        <w:lastRenderedPageBreak/>
        <w:t>projects. Given that the R</w:t>
      </w:r>
      <w:r w:rsidRPr="009B2AD4">
        <w:rPr>
          <w:rFonts w:ascii="Times New Roman" w:hAnsi="Times New Roman" w:cs="Times New Roman"/>
          <w:sz w:val="22"/>
          <w:szCs w:val="22"/>
          <w:vertAlign w:val="superscript"/>
        </w:rPr>
        <w:t>2</w:t>
      </w:r>
      <w:r w:rsidRPr="009B2AD4">
        <w:rPr>
          <w:rFonts w:ascii="Times New Roman" w:hAnsi="Times New Roman" w:cs="Times New Roman"/>
          <w:sz w:val="22"/>
          <w:szCs w:val="22"/>
        </w:rPr>
        <w:t xml:space="preserve"> value exceeds 70%, the donor grant award decisions forecasting model is fit for prediction.</w:t>
      </w:r>
    </w:p>
    <w:p w14:paraId="6E2D3C20" w14:textId="77777777" w:rsidR="00C53139" w:rsidRDefault="00C53139" w:rsidP="009B2AD4">
      <w:pPr>
        <w:spacing w:after="0" w:line="240" w:lineRule="auto"/>
        <w:jc w:val="both"/>
        <w:rPr>
          <w:rFonts w:ascii="Times New Roman" w:hAnsi="Times New Roman" w:cs="Times New Roman"/>
          <w:b/>
          <w:bCs/>
          <w:sz w:val="22"/>
          <w:szCs w:val="22"/>
        </w:rPr>
      </w:pPr>
      <w:bookmarkStart w:id="12" w:name="_Toc196068128"/>
      <w:bookmarkStart w:id="13" w:name="_Toc83676173"/>
    </w:p>
    <w:p w14:paraId="58688518" w14:textId="77777777" w:rsidR="009B2AD4" w:rsidRPr="009B2AD4" w:rsidRDefault="009B2AD4" w:rsidP="009B2AD4">
      <w:pPr>
        <w:spacing w:after="0" w:line="240" w:lineRule="auto"/>
        <w:jc w:val="both"/>
        <w:rPr>
          <w:rFonts w:ascii="Times New Roman" w:hAnsi="Times New Roman" w:cs="Times New Roman"/>
          <w:b/>
          <w:bCs/>
          <w:sz w:val="22"/>
          <w:szCs w:val="22"/>
        </w:rPr>
      </w:pPr>
      <w:r w:rsidRPr="009B2AD4">
        <w:rPr>
          <w:rFonts w:ascii="Times New Roman" w:hAnsi="Times New Roman" w:cs="Times New Roman"/>
          <w:b/>
          <w:bCs/>
          <w:sz w:val="22"/>
          <w:szCs w:val="22"/>
        </w:rPr>
        <w:t>Statistical Significance</w:t>
      </w:r>
      <w:bookmarkEnd w:id="12"/>
      <w:bookmarkEnd w:id="13"/>
    </w:p>
    <w:tbl>
      <w:tblPr>
        <w:tblpPr w:leftFromText="180" w:rightFromText="180" w:vertAnchor="text" w:horzAnchor="margin" w:tblpY="149"/>
        <w:tblW w:w="5032" w:type="pct"/>
        <w:tblCellMar>
          <w:left w:w="30" w:type="dxa"/>
          <w:right w:w="30" w:type="dxa"/>
        </w:tblCellMar>
        <w:tblLook w:val="0000" w:firstRow="0" w:lastRow="0" w:firstColumn="0" w:lastColumn="0" w:noHBand="0" w:noVBand="0"/>
      </w:tblPr>
      <w:tblGrid>
        <w:gridCol w:w="885"/>
        <w:gridCol w:w="1459"/>
        <w:gridCol w:w="1670"/>
        <w:gridCol w:w="1157"/>
        <w:gridCol w:w="1599"/>
        <w:gridCol w:w="1157"/>
        <w:gridCol w:w="1157"/>
      </w:tblGrid>
      <w:tr w:rsidR="009B2AD4" w:rsidRPr="009B2AD4" w14:paraId="1051E9F1" w14:textId="77777777" w:rsidTr="009B2AD4">
        <w:trPr>
          <w:cantSplit/>
          <w:trHeight w:val="690"/>
          <w:tblHeader/>
        </w:trPr>
        <w:tc>
          <w:tcPr>
            <w:tcW w:w="5000" w:type="pct"/>
            <w:gridSpan w:val="7"/>
            <w:tcBorders>
              <w:bottom w:val="single" w:sz="4" w:space="0" w:color="auto"/>
            </w:tcBorders>
            <w:shd w:val="clear" w:color="auto" w:fill="FFFFFF"/>
            <w:tcMar>
              <w:top w:w="30" w:type="dxa"/>
              <w:left w:w="30" w:type="dxa"/>
              <w:bottom w:w="30" w:type="dxa"/>
              <w:right w:w="30" w:type="dxa"/>
            </w:tcMar>
            <w:vAlign w:val="center"/>
          </w:tcPr>
          <w:p w14:paraId="3CC6D218" w14:textId="77777777" w:rsidR="009B2AD4" w:rsidRPr="009B2AD4" w:rsidRDefault="00826FDC" w:rsidP="009B2AD4">
            <w:pPr>
              <w:spacing w:after="0" w:line="240" w:lineRule="auto"/>
              <w:jc w:val="both"/>
              <w:rPr>
                <w:rFonts w:ascii="Times New Roman" w:hAnsi="Times New Roman" w:cs="Times New Roman"/>
                <w:b/>
                <w:bCs/>
                <w:sz w:val="22"/>
                <w:szCs w:val="22"/>
                <w:lang w:val="en-US"/>
              </w:rPr>
            </w:pPr>
            <w:bookmarkStart w:id="14" w:name="_Toc172813147"/>
            <w:bookmarkStart w:id="15" w:name="_Toc172813612"/>
            <w:bookmarkStart w:id="16" w:name="_Toc196068129"/>
            <w:r>
              <w:rPr>
                <w:rFonts w:ascii="Times New Roman" w:hAnsi="Times New Roman" w:cs="Times New Roman"/>
                <w:b/>
                <w:bCs/>
                <w:sz w:val="22"/>
                <w:szCs w:val="22"/>
                <w:lang w:val="en-US"/>
              </w:rPr>
              <w:t>Table 10</w:t>
            </w:r>
            <w:r w:rsidR="009B2AD4" w:rsidRPr="009B2AD4">
              <w:rPr>
                <w:rFonts w:ascii="Times New Roman" w:hAnsi="Times New Roman" w:cs="Times New Roman"/>
                <w:b/>
                <w:bCs/>
                <w:sz w:val="22"/>
                <w:szCs w:val="22"/>
                <w:lang w:val="en-US"/>
              </w:rPr>
              <w:t>: ANOVA</w:t>
            </w:r>
          </w:p>
          <w:p w14:paraId="3276BD88" w14:textId="77777777" w:rsidR="009B2AD4" w:rsidRPr="009B2AD4" w:rsidRDefault="009B2AD4" w:rsidP="009B2AD4">
            <w:pPr>
              <w:spacing w:after="0" w:line="240" w:lineRule="auto"/>
              <w:jc w:val="both"/>
              <w:rPr>
                <w:rFonts w:ascii="Times New Roman" w:hAnsi="Times New Roman" w:cs="Times New Roman"/>
                <w:b/>
                <w:bCs/>
                <w:sz w:val="22"/>
                <w:szCs w:val="22"/>
              </w:rPr>
            </w:pPr>
            <w:r w:rsidRPr="009B2AD4">
              <w:rPr>
                <w:rFonts w:ascii="Times New Roman" w:hAnsi="Times New Roman" w:cs="Times New Roman"/>
                <w:sz w:val="22"/>
                <w:szCs w:val="22"/>
              </w:rPr>
              <w:t xml:space="preserve">                                                                               ANOVA</w:t>
            </w:r>
            <w:bookmarkEnd w:id="14"/>
            <w:bookmarkEnd w:id="15"/>
            <w:bookmarkEnd w:id="16"/>
          </w:p>
        </w:tc>
      </w:tr>
      <w:tr w:rsidR="009B2AD4" w:rsidRPr="009B2AD4" w14:paraId="75446D78" w14:textId="77777777" w:rsidTr="009B2AD4">
        <w:trPr>
          <w:cantSplit/>
          <w:tblHeader/>
        </w:trPr>
        <w:tc>
          <w:tcPr>
            <w:tcW w:w="1290" w:type="pct"/>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31888CBB"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Model</w:t>
            </w:r>
          </w:p>
        </w:tc>
        <w:tc>
          <w:tcPr>
            <w:tcW w:w="919"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5E8BB507"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Sum of Squares</w:t>
            </w:r>
          </w:p>
        </w:tc>
        <w:tc>
          <w:tcPr>
            <w:tcW w:w="637"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30ACB83E"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i/>
                <w:iCs/>
                <w:sz w:val="22"/>
                <w:szCs w:val="22"/>
                <w:lang w:val="en-US"/>
              </w:rPr>
              <w:t>df</w:t>
            </w:r>
          </w:p>
        </w:tc>
        <w:tc>
          <w:tcPr>
            <w:tcW w:w="880"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D24EF2C"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Mean Square</w:t>
            </w:r>
          </w:p>
        </w:tc>
        <w:tc>
          <w:tcPr>
            <w:tcW w:w="637"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3CF86438"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F</w:t>
            </w:r>
          </w:p>
        </w:tc>
        <w:tc>
          <w:tcPr>
            <w:tcW w:w="637"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20298E4A"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Sig.</w:t>
            </w:r>
          </w:p>
        </w:tc>
      </w:tr>
      <w:tr w:rsidR="009B2AD4" w:rsidRPr="009B2AD4" w14:paraId="25EAE372" w14:textId="77777777" w:rsidTr="009B2AD4">
        <w:trPr>
          <w:cantSplit/>
          <w:trHeight w:val="290"/>
          <w:tblHeader/>
        </w:trPr>
        <w:tc>
          <w:tcPr>
            <w:tcW w:w="487" w:type="pct"/>
            <w:vMerge w:val="restart"/>
            <w:tcBorders>
              <w:top w:val="single" w:sz="4" w:space="0" w:color="auto"/>
            </w:tcBorders>
            <w:shd w:val="clear" w:color="auto" w:fill="FFFFFF"/>
            <w:tcMar>
              <w:top w:w="30" w:type="dxa"/>
              <w:left w:w="30" w:type="dxa"/>
              <w:bottom w:w="30" w:type="dxa"/>
              <w:right w:w="30" w:type="dxa"/>
            </w:tcMar>
          </w:tcPr>
          <w:p w14:paraId="5D288476"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c>
          <w:tcPr>
            <w:tcW w:w="803" w:type="pct"/>
            <w:tcBorders>
              <w:top w:val="single" w:sz="4" w:space="0" w:color="auto"/>
            </w:tcBorders>
            <w:shd w:val="clear" w:color="auto" w:fill="FFFFFF"/>
            <w:tcMar>
              <w:top w:w="30" w:type="dxa"/>
              <w:left w:w="30" w:type="dxa"/>
              <w:bottom w:w="30" w:type="dxa"/>
              <w:right w:w="30" w:type="dxa"/>
            </w:tcMar>
          </w:tcPr>
          <w:p w14:paraId="766E840C"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Regression</w:t>
            </w:r>
          </w:p>
        </w:tc>
        <w:tc>
          <w:tcPr>
            <w:tcW w:w="919" w:type="pct"/>
            <w:tcBorders>
              <w:top w:val="single" w:sz="4" w:space="0" w:color="auto"/>
            </w:tcBorders>
            <w:shd w:val="clear" w:color="auto" w:fill="FFFFFF"/>
            <w:tcMar>
              <w:top w:w="30" w:type="dxa"/>
              <w:left w:w="30" w:type="dxa"/>
              <w:bottom w:w="30" w:type="dxa"/>
              <w:right w:w="30" w:type="dxa"/>
            </w:tcMar>
            <w:vAlign w:val="center"/>
          </w:tcPr>
          <w:p w14:paraId="08CCB0C1"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4.545</w:t>
            </w:r>
          </w:p>
        </w:tc>
        <w:tc>
          <w:tcPr>
            <w:tcW w:w="637" w:type="pct"/>
            <w:tcBorders>
              <w:top w:val="single" w:sz="4" w:space="0" w:color="auto"/>
            </w:tcBorders>
            <w:shd w:val="clear" w:color="auto" w:fill="FFFFFF"/>
            <w:tcMar>
              <w:top w:w="30" w:type="dxa"/>
              <w:left w:w="30" w:type="dxa"/>
              <w:bottom w:w="30" w:type="dxa"/>
              <w:right w:w="30" w:type="dxa"/>
            </w:tcMar>
            <w:vAlign w:val="center"/>
          </w:tcPr>
          <w:p w14:paraId="2FA5A146"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w:t>
            </w:r>
          </w:p>
        </w:tc>
        <w:tc>
          <w:tcPr>
            <w:tcW w:w="880" w:type="pct"/>
            <w:tcBorders>
              <w:top w:val="single" w:sz="4" w:space="0" w:color="auto"/>
            </w:tcBorders>
            <w:shd w:val="clear" w:color="auto" w:fill="FFFFFF"/>
            <w:tcMar>
              <w:top w:w="30" w:type="dxa"/>
              <w:left w:w="30" w:type="dxa"/>
              <w:bottom w:w="30" w:type="dxa"/>
              <w:right w:w="30" w:type="dxa"/>
            </w:tcMar>
            <w:vAlign w:val="center"/>
          </w:tcPr>
          <w:p w14:paraId="0028C703"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0.909</w:t>
            </w:r>
          </w:p>
        </w:tc>
        <w:tc>
          <w:tcPr>
            <w:tcW w:w="637" w:type="pct"/>
            <w:tcBorders>
              <w:top w:val="single" w:sz="4" w:space="0" w:color="auto"/>
            </w:tcBorders>
            <w:shd w:val="clear" w:color="auto" w:fill="FFFFFF"/>
            <w:tcMar>
              <w:top w:w="30" w:type="dxa"/>
              <w:left w:w="30" w:type="dxa"/>
              <w:bottom w:w="30" w:type="dxa"/>
              <w:right w:w="30" w:type="dxa"/>
            </w:tcMar>
            <w:vAlign w:val="center"/>
          </w:tcPr>
          <w:p w14:paraId="376763A1"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11.45</w:t>
            </w:r>
          </w:p>
        </w:tc>
        <w:tc>
          <w:tcPr>
            <w:tcW w:w="637" w:type="pct"/>
            <w:tcBorders>
              <w:top w:val="single" w:sz="4" w:space="0" w:color="auto"/>
            </w:tcBorders>
            <w:shd w:val="clear" w:color="auto" w:fill="FFFFFF"/>
            <w:tcMar>
              <w:top w:w="30" w:type="dxa"/>
              <w:left w:w="30" w:type="dxa"/>
              <w:bottom w:w="30" w:type="dxa"/>
              <w:right w:w="30" w:type="dxa"/>
            </w:tcMar>
            <w:vAlign w:val="center"/>
          </w:tcPr>
          <w:p w14:paraId="1465F168"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.008801</w:t>
            </w:r>
          </w:p>
        </w:tc>
      </w:tr>
      <w:tr w:rsidR="009B2AD4" w:rsidRPr="009B2AD4" w14:paraId="5735B61F" w14:textId="77777777" w:rsidTr="009B2AD4">
        <w:trPr>
          <w:cantSplit/>
          <w:tblHeader/>
        </w:trPr>
        <w:tc>
          <w:tcPr>
            <w:tcW w:w="487" w:type="pct"/>
            <w:vMerge/>
            <w:shd w:val="clear" w:color="auto" w:fill="FFFFFF"/>
            <w:tcMar>
              <w:top w:w="30" w:type="dxa"/>
              <w:left w:w="30" w:type="dxa"/>
              <w:bottom w:w="30" w:type="dxa"/>
              <w:right w:w="30" w:type="dxa"/>
            </w:tcMar>
          </w:tcPr>
          <w:p w14:paraId="3F245CE3"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c>
          <w:tcPr>
            <w:tcW w:w="803" w:type="pct"/>
            <w:shd w:val="clear" w:color="auto" w:fill="FFFFFF"/>
            <w:tcMar>
              <w:top w:w="30" w:type="dxa"/>
              <w:left w:w="30" w:type="dxa"/>
              <w:bottom w:w="30" w:type="dxa"/>
              <w:right w:w="30" w:type="dxa"/>
            </w:tcMar>
          </w:tcPr>
          <w:p w14:paraId="710C4D73"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Residual</w:t>
            </w:r>
          </w:p>
        </w:tc>
        <w:tc>
          <w:tcPr>
            <w:tcW w:w="919" w:type="pct"/>
            <w:shd w:val="clear" w:color="auto" w:fill="FFFFFF"/>
            <w:tcMar>
              <w:top w:w="30" w:type="dxa"/>
              <w:left w:w="30" w:type="dxa"/>
              <w:bottom w:w="30" w:type="dxa"/>
              <w:right w:w="30" w:type="dxa"/>
            </w:tcMar>
            <w:vAlign w:val="center"/>
          </w:tcPr>
          <w:p w14:paraId="00041E95"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22.502</w:t>
            </w:r>
          </w:p>
        </w:tc>
        <w:tc>
          <w:tcPr>
            <w:tcW w:w="637" w:type="pct"/>
            <w:shd w:val="clear" w:color="auto" w:fill="FFFFFF"/>
            <w:tcMar>
              <w:top w:w="30" w:type="dxa"/>
              <w:left w:w="30" w:type="dxa"/>
              <w:bottom w:w="30" w:type="dxa"/>
              <w:right w:w="30" w:type="dxa"/>
            </w:tcMar>
            <w:vAlign w:val="center"/>
          </w:tcPr>
          <w:p w14:paraId="3915D986"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9</w:t>
            </w:r>
          </w:p>
        </w:tc>
        <w:tc>
          <w:tcPr>
            <w:tcW w:w="880" w:type="pct"/>
            <w:shd w:val="clear" w:color="auto" w:fill="FFFFFF"/>
            <w:tcMar>
              <w:top w:w="30" w:type="dxa"/>
              <w:left w:w="30" w:type="dxa"/>
              <w:bottom w:w="30" w:type="dxa"/>
              <w:right w:w="30" w:type="dxa"/>
            </w:tcMar>
            <w:vAlign w:val="center"/>
          </w:tcPr>
          <w:p w14:paraId="1646C7A5"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0.3766</w:t>
            </w:r>
          </w:p>
        </w:tc>
        <w:tc>
          <w:tcPr>
            <w:tcW w:w="637" w:type="pct"/>
            <w:shd w:val="clear" w:color="auto" w:fill="FFFFFF"/>
            <w:tcMar>
              <w:top w:w="30" w:type="dxa"/>
              <w:left w:w="30" w:type="dxa"/>
              <w:bottom w:w="30" w:type="dxa"/>
              <w:right w:w="30" w:type="dxa"/>
            </w:tcMar>
          </w:tcPr>
          <w:p w14:paraId="3465BDBD"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c>
          <w:tcPr>
            <w:tcW w:w="637" w:type="pct"/>
            <w:shd w:val="clear" w:color="auto" w:fill="FFFFFF"/>
            <w:tcMar>
              <w:top w:w="30" w:type="dxa"/>
              <w:left w:w="30" w:type="dxa"/>
              <w:bottom w:w="30" w:type="dxa"/>
              <w:right w:w="30" w:type="dxa"/>
            </w:tcMar>
          </w:tcPr>
          <w:p w14:paraId="3E2CC95C"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r>
      <w:tr w:rsidR="009B2AD4" w:rsidRPr="009B2AD4" w14:paraId="4AD006AE" w14:textId="77777777" w:rsidTr="009B2AD4">
        <w:trPr>
          <w:cantSplit/>
          <w:tblHeader/>
        </w:trPr>
        <w:tc>
          <w:tcPr>
            <w:tcW w:w="487" w:type="pct"/>
            <w:vMerge/>
            <w:tcBorders>
              <w:bottom w:val="single" w:sz="4" w:space="0" w:color="auto"/>
            </w:tcBorders>
            <w:shd w:val="clear" w:color="auto" w:fill="FFFFFF"/>
            <w:tcMar>
              <w:top w:w="30" w:type="dxa"/>
              <w:left w:w="30" w:type="dxa"/>
              <w:bottom w:w="30" w:type="dxa"/>
              <w:right w:w="30" w:type="dxa"/>
            </w:tcMar>
          </w:tcPr>
          <w:p w14:paraId="4298AC16"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c>
          <w:tcPr>
            <w:tcW w:w="803" w:type="pct"/>
            <w:tcBorders>
              <w:bottom w:val="single" w:sz="4" w:space="0" w:color="auto"/>
            </w:tcBorders>
            <w:shd w:val="clear" w:color="auto" w:fill="FFFFFF"/>
            <w:tcMar>
              <w:top w:w="30" w:type="dxa"/>
              <w:left w:w="30" w:type="dxa"/>
              <w:bottom w:w="30" w:type="dxa"/>
              <w:right w:w="30" w:type="dxa"/>
            </w:tcMar>
          </w:tcPr>
          <w:p w14:paraId="760EA640"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919" w:type="pct"/>
            <w:tcBorders>
              <w:bottom w:val="single" w:sz="4" w:space="0" w:color="auto"/>
            </w:tcBorders>
            <w:shd w:val="clear" w:color="auto" w:fill="FFFFFF"/>
            <w:tcMar>
              <w:top w:w="30" w:type="dxa"/>
              <w:left w:w="30" w:type="dxa"/>
              <w:bottom w:w="30" w:type="dxa"/>
              <w:right w:w="30" w:type="dxa"/>
            </w:tcMar>
            <w:vAlign w:val="center"/>
          </w:tcPr>
          <w:p w14:paraId="2B0CD26C"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27.047</w:t>
            </w:r>
          </w:p>
        </w:tc>
        <w:tc>
          <w:tcPr>
            <w:tcW w:w="637" w:type="pct"/>
            <w:tcBorders>
              <w:bottom w:val="single" w:sz="4" w:space="0" w:color="auto"/>
            </w:tcBorders>
            <w:shd w:val="clear" w:color="auto" w:fill="FFFFFF"/>
            <w:tcMar>
              <w:top w:w="30" w:type="dxa"/>
              <w:left w:w="30" w:type="dxa"/>
              <w:bottom w:w="30" w:type="dxa"/>
              <w:right w:w="30" w:type="dxa"/>
            </w:tcMar>
            <w:vAlign w:val="center"/>
          </w:tcPr>
          <w:p w14:paraId="25F145BD"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14</w:t>
            </w:r>
          </w:p>
        </w:tc>
        <w:tc>
          <w:tcPr>
            <w:tcW w:w="880" w:type="pct"/>
            <w:tcBorders>
              <w:bottom w:val="single" w:sz="4" w:space="0" w:color="auto"/>
            </w:tcBorders>
            <w:shd w:val="clear" w:color="auto" w:fill="FFFFFF"/>
            <w:tcMar>
              <w:top w:w="30" w:type="dxa"/>
              <w:left w:w="30" w:type="dxa"/>
              <w:bottom w:w="30" w:type="dxa"/>
              <w:right w:w="30" w:type="dxa"/>
            </w:tcMar>
          </w:tcPr>
          <w:p w14:paraId="340D2898"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c>
          <w:tcPr>
            <w:tcW w:w="637" w:type="pct"/>
            <w:tcBorders>
              <w:bottom w:val="single" w:sz="4" w:space="0" w:color="auto"/>
            </w:tcBorders>
            <w:shd w:val="clear" w:color="auto" w:fill="FFFFFF"/>
            <w:tcMar>
              <w:top w:w="30" w:type="dxa"/>
              <w:left w:w="30" w:type="dxa"/>
              <w:bottom w:w="30" w:type="dxa"/>
              <w:right w:w="30" w:type="dxa"/>
            </w:tcMar>
          </w:tcPr>
          <w:p w14:paraId="77DB2D40"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c>
          <w:tcPr>
            <w:tcW w:w="637" w:type="pct"/>
            <w:tcBorders>
              <w:bottom w:val="single" w:sz="4" w:space="0" w:color="auto"/>
            </w:tcBorders>
            <w:shd w:val="clear" w:color="auto" w:fill="FFFFFF"/>
            <w:tcMar>
              <w:top w:w="30" w:type="dxa"/>
              <w:left w:w="30" w:type="dxa"/>
              <w:bottom w:w="30" w:type="dxa"/>
              <w:right w:w="30" w:type="dxa"/>
            </w:tcMar>
          </w:tcPr>
          <w:p w14:paraId="2E63EEE1"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r>
    </w:tbl>
    <w:p w14:paraId="299D0BFE" w14:textId="27C1E70F" w:rsidR="009B2AD4" w:rsidRDefault="009B2AD4" w:rsidP="009B2AD4">
      <w:pPr>
        <w:spacing w:after="0" w:line="240" w:lineRule="auto"/>
        <w:jc w:val="both"/>
        <w:rPr>
          <w:rFonts w:ascii="Times New Roman" w:hAnsi="Times New Roman" w:cs="Times New Roman"/>
          <w:bCs/>
          <w:sz w:val="22"/>
          <w:szCs w:val="22"/>
          <w:lang w:val="en-US"/>
        </w:rPr>
      </w:pPr>
      <w:r w:rsidRPr="009B2AD4">
        <w:rPr>
          <w:rFonts w:ascii="Times New Roman" w:hAnsi="Times New Roman" w:cs="Times New Roman"/>
          <w:bCs/>
          <w:sz w:val="22"/>
          <w:szCs w:val="22"/>
          <w:lang w:val="en-US"/>
        </w:rPr>
        <w:t xml:space="preserve"> </w:t>
      </w:r>
    </w:p>
    <w:p w14:paraId="5F8D1C2E" w14:textId="77777777" w:rsidR="00924C20" w:rsidRPr="009B2AD4" w:rsidRDefault="00924C20" w:rsidP="009B2AD4">
      <w:pPr>
        <w:spacing w:after="0" w:line="240" w:lineRule="auto"/>
        <w:jc w:val="both"/>
        <w:rPr>
          <w:rFonts w:ascii="Times New Roman" w:hAnsi="Times New Roman" w:cs="Times New Roman"/>
          <w:bCs/>
          <w:sz w:val="22"/>
          <w:szCs w:val="22"/>
          <w:lang w:val="en-US"/>
        </w:rPr>
      </w:pPr>
    </w:p>
    <w:p w14:paraId="08E1CD65"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The combined significance of the F ratio in the ANOVA as shown in the table above shows how well the regression model fits the data. The F-test results indicate that F = 11.45 &gt; 2.61, p-value = 0.008801&lt;0.05, indicating the presence of a jointly significant linear association between positive grant funding decisions and alignment to donor priorities. This, thus, suggests that a five-independent-variable model could be employed to predict donor grant award decisions for humanitarian assistance in Juba, South Sudan.</w:t>
      </w:r>
    </w:p>
    <w:p w14:paraId="59913F0E" w14:textId="77777777" w:rsidR="00C53139" w:rsidRDefault="00C53139" w:rsidP="009B2AD4">
      <w:pPr>
        <w:spacing w:after="0" w:line="240" w:lineRule="auto"/>
        <w:jc w:val="both"/>
        <w:rPr>
          <w:rFonts w:ascii="Times New Roman" w:hAnsi="Times New Roman" w:cs="Times New Roman"/>
          <w:b/>
          <w:bCs/>
          <w:sz w:val="22"/>
          <w:szCs w:val="22"/>
        </w:rPr>
      </w:pPr>
      <w:bookmarkStart w:id="17" w:name="_Toc83676174"/>
      <w:bookmarkStart w:id="18" w:name="_Toc196068130"/>
    </w:p>
    <w:p w14:paraId="342CF219" w14:textId="77777777" w:rsidR="009B2AD4" w:rsidRPr="009B2AD4" w:rsidRDefault="009B2AD4" w:rsidP="009B2AD4">
      <w:pPr>
        <w:spacing w:after="0" w:line="240" w:lineRule="auto"/>
        <w:jc w:val="both"/>
        <w:rPr>
          <w:rFonts w:ascii="Times New Roman" w:hAnsi="Times New Roman" w:cs="Times New Roman"/>
          <w:b/>
          <w:bCs/>
          <w:sz w:val="22"/>
          <w:szCs w:val="22"/>
        </w:rPr>
      </w:pPr>
      <w:r w:rsidRPr="009B2AD4">
        <w:rPr>
          <w:rFonts w:ascii="Times New Roman" w:hAnsi="Times New Roman" w:cs="Times New Roman"/>
          <w:b/>
          <w:bCs/>
          <w:sz w:val="22"/>
          <w:szCs w:val="22"/>
        </w:rPr>
        <w:t>Estimated Model Coefficients</w:t>
      </w:r>
      <w:bookmarkEnd w:id="17"/>
      <w:bookmarkEnd w:id="18"/>
      <w:r w:rsidRPr="009B2AD4">
        <w:rPr>
          <w:rFonts w:ascii="Times New Roman" w:hAnsi="Times New Roman" w:cs="Times New Roman"/>
          <w:b/>
          <w:bCs/>
          <w:sz w:val="22"/>
          <w:szCs w:val="22"/>
        </w:rPr>
        <w:t xml:space="preserve"> </w:t>
      </w:r>
    </w:p>
    <w:p w14:paraId="3B508625" w14:textId="77777777" w:rsidR="009B2AD4" w:rsidRP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A regression analysis was conducted to determine the degree to which the five project design elements affected the donor grant award decisions for humanitarian assistance projects in South Sudan. The analysis was based on the assumptions that the variables would be generally spread to prevent misrepresentation of suggestions and consequence tests; this was achieved because no extreme outliers were found; and that the independent and dependent variables would have a direct relationship to ensure accuracy of estimation; this was achieved by using standardized coefficients in the interpretation process.</w:t>
      </w:r>
    </w:p>
    <w:p w14:paraId="1B3703D9" w14:textId="77777777" w:rsidR="009B2AD4" w:rsidRPr="009B2AD4" w:rsidRDefault="00826FDC" w:rsidP="009B2AD4">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Table 11</w:t>
      </w:r>
      <w:r w:rsidR="009B2AD4" w:rsidRPr="009B2AD4">
        <w:rPr>
          <w:rFonts w:ascii="Times New Roman" w:hAnsi="Times New Roman" w:cs="Times New Roman"/>
          <w:b/>
          <w:sz w:val="22"/>
          <w:szCs w:val="22"/>
        </w:rPr>
        <w:t xml:space="preserve">: Estimated Model </w:t>
      </w:r>
      <w:r w:rsidR="009B2AD4" w:rsidRPr="009B2AD4">
        <w:rPr>
          <w:rFonts w:ascii="Times New Roman" w:hAnsi="Times New Roman" w:cs="Times New Roman"/>
          <w:b/>
          <w:iCs/>
          <w:sz w:val="22"/>
          <w:szCs w:val="22"/>
        </w:rPr>
        <w:t>Coefficients</w:t>
      </w:r>
    </w:p>
    <w:tbl>
      <w:tblPr>
        <w:tblW w:w="4201" w:type="pct"/>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245"/>
        <w:gridCol w:w="1574"/>
        <w:gridCol w:w="150"/>
        <w:gridCol w:w="1614"/>
        <w:gridCol w:w="1003"/>
        <w:gridCol w:w="998"/>
      </w:tblGrid>
      <w:tr w:rsidR="009B2AD4" w:rsidRPr="009B2AD4" w14:paraId="0F32CF6B" w14:textId="77777777" w:rsidTr="009B2AD4">
        <w:trPr>
          <w:cantSplit/>
          <w:tblHeader/>
        </w:trPr>
        <w:tc>
          <w:tcPr>
            <w:tcW w:w="1480"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289B5D79"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Model</w:t>
            </w:r>
          </w:p>
        </w:tc>
        <w:tc>
          <w:tcPr>
            <w:tcW w:w="1038"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B5DA2ED" w14:textId="7ED376A5" w:rsidR="009B2AD4" w:rsidRPr="009B2AD4" w:rsidRDefault="00DA1689" w:rsidP="009B2AD4">
            <w:pPr>
              <w:spacing w:after="0" w:line="240" w:lineRule="auto"/>
              <w:jc w:val="both"/>
              <w:rPr>
                <w:rFonts w:ascii="Times New Roman" w:hAnsi="Times New Roman" w:cs="Times New Roman"/>
                <w:sz w:val="22"/>
                <w:szCs w:val="22"/>
                <w:lang w:val="en-US"/>
              </w:rPr>
            </w:pPr>
            <w:r>
              <w:rPr>
                <w:rFonts w:ascii="Times New Roman" w:hAnsi="Times New Roman" w:cs="Times New Roman"/>
                <w:sz w:val="22"/>
                <w:szCs w:val="22"/>
                <w:lang w:val="en-US"/>
              </w:rPr>
              <w:t>S</w:t>
            </w:r>
            <w:r w:rsidR="009B2AD4" w:rsidRPr="009B2AD4">
              <w:rPr>
                <w:rFonts w:ascii="Times New Roman" w:hAnsi="Times New Roman" w:cs="Times New Roman"/>
                <w:sz w:val="22"/>
                <w:szCs w:val="22"/>
                <w:lang w:val="en-US"/>
              </w:rPr>
              <w:t>tandardized</w:t>
            </w:r>
          </w:p>
          <w:p w14:paraId="0240523E"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Coefficients</w:t>
            </w:r>
          </w:p>
          <w:p w14:paraId="789FB69D"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rPr>
              <w:t xml:space="preserve"> β</w:t>
            </w:r>
          </w:p>
        </w:tc>
        <w:tc>
          <w:tcPr>
            <w:tcW w:w="1163" w:type="pct"/>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222D97AE"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Std. Error</w:t>
            </w:r>
          </w:p>
        </w:tc>
        <w:tc>
          <w:tcPr>
            <w:tcW w:w="661"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4A20B551"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t-value</w:t>
            </w:r>
          </w:p>
        </w:tc>
        <w:tc>
          <w:tcPr>
            <w:tcW w:w="658"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3D8CCB9"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Pr (|&gt;t|)</w:t>
            </w:r>
          </w:p>
        </w:tc>
      </w:tr>
      <w:tr w:rsidR="009B2AD4" w:rsidRPr="009B2AD4" w14:paraId="0A402326" w14:textId="77777777" w:rsidTr="009B2AD4">
        <w:trPr>
          <w:cantSplit/>
          <w:tblHeader/>
        </w:trPr>
        <w:tc>
          <w:tcPr>
            <w:tcW w:w="1480" w:type="pct"/>
            <w:tcBorders>
              <w:top w:val="single" w:sz="4" w:space="0" w:color="auto"/>
            </w:tcBorders>
            <w:shd w:val="clear" w:color="auto" w:fill="FFFFFF"/>
            <w:tcMar>
              <w:top w:w="30" w:type="dxa"/>
              <w:left w:w="30" w:type="dxa"/>
              <w:bottom w:w="30" w:type="dxa"/>
              <w:right w:w="30" w:type="dxa"/>
            </w:tcMar>
          </w:tcPr>
          <w:p w14:paraId="2B4BF92A"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(Intercept)</w:t>
            </w:r>
          </w:p>
        </w:tc>
        <w:tc>
          <w:tcPr>
            <w:tcW w:w="1137" w:type="pct"/>
            <w:gridSpan w:val="2"/>
            <w:tcBorders>
              <w:top w:val="single" w:sz="4" w:space="0" w:color="auto"/>
            </w:tcBorders>
            <w:shd w:val="clear" w:color="auto" w:fill="FFFFFF"/>
            <w:tcMar>
              <w:top w:w="30" w:type="dxa"/>
              <w:left w:w="30" w:type="dxa"/>
              <w:bottom w:w="30" w:type="dxa"/>
              <w:right w:w="30" w:type="dxa"/>
            </w:tcMar>
            <w:vAlign w:val="center"/>
          </w:tcPr>
          <w:p w14:paraId="1CA28A11"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15.721</w:t>
            </w:r>
          </w:p>
        </w:tc>
        <w:tc>
          <w:tcPr>
            <w:tcW w:w="1064" w:type="pct"/>
            <w:tcBorders>
              <w:top w:val="single" w:sz="4" w:space="0" w:color="auto"/>
            </w:tcBorders>
            <w:shd w:val="clear" w:color="auto" w:fill="FFFFFF"/>
            <w:tcMar>
              <w:top w:w="30" w:type="dxa"/>
              <w:left w:w="30" w:type="dxa"/>
              <w:bottom w:w="30" w:type="dxa"/>
              <w:right w:w="30" w:type="dxa"/>
            </w:tcMar>
            <w:vAlign w:val="center"/>
          </w:tcPr>
          <w:p w14:paraId="22975E6F"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3.700</w:t>
            </w:r>
          </w:p>
        </w:tc>
        <w:tc>
          <w:tcPr>
            <w:tcW w:w="661" w:type="pct"/>
            <w:tcBorders>
              <w:top w:val="single" w:sz="4" w:space="0" w:color="auto"/>
            </w:tcBorders>
            <w:shd w:val="clear" w:color="auto" w:fill="FFFFFF"/>
            <w:tcMar>
              <w:top w:w="30" w:type="dxa"/>
              <w:left w:w="30" w:type="dxa"/>
              <w:bottom w:w="30" w:type="dxa"/>
              <w:right w:w="30" w:type="dxa"/>
            </w:tcMar>
            <w:vAlign w:val="center"/>
          </w:tcPr>
          <w:p w14:paraId="240E7AE7"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.924</w:t>
            </w:r>
          </w:p>
        </w:tc>
        <w:tc>
          <w:tcPr>
            <w:tcW w:w="658" w:type="pct"/>
            <w:tcBorders>
              <w:top w:val="single" w:sz="4" w:space="0" w:color="auto"/>
            </w:tcBorders>
            <w:shd w:val="clear" w:color="auto" w:fill="FFFFFF"/>
            <w:tcMar>
              <w:top w:w="30" w:type="dxa"/>
              <w:left w:w="30" w:type="dxa"/>
              <w:bottom w:w="30" w:type="dxa"/>
              <w:right w:w="30" w:type="dxa"/>
            </w:tcMar>
            <w:vAlign w:val="center"/>
          </w:tcPr>
          <w:p w14:paraId="5A8DBAB2"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0C85D2C8" w14:textId="77777777" w:rsidTr="009B2AD4">
        <w:trPr>
          <w:cantSplit/>
          <w:tblHeader/>
        </w:trPr>
        <w:tc>
          <w:tcPr>
            <w:tcW w:w="1480" w:type="pct"/>
            <w:shd w:val="clear" w:color="auto" w:fill="FFFFFF"/>
            <w:tcMar>
              <w:top w:w="30" w:type="dxa"/>
              <w:left w:w="30" w:type="dxa"/>
              <w:bottom w:w="30" w:type="dxa"/>
              <w:right w:w="30" w:type="dxa"/>
            </w:tcMar>
          </w:tcPr>
          <w:p w14:paraId="59910C2B"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Project’s sustainability model </w:t>
            </w:r>
          </w:p>
        </w:tc>
        <w:tc>
          <w:tcPr>
            <w:tcW w:w="1137" w:type="pct"/>
            <w:gridSpan w:val="2"/>
            <w:shd w:val="clear" w:color="auto" w:fill="FFFFFF"/>
            <w:tcMar>
              <w:top w:w="30" w:type="dxa"/>
              <w:left w:w="30" w:type="dxa"/>
              <w:bottom w:w="30" w:type="dxa"/>
              <w:right w:w="30" w:type="dxa"/>
            </w:tcMar>
            <w:vAlign w:val="center"/>
          </w:tcPr>
          <w:p w14:paraId="2C8CC3A2"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5.551</w:t>
            </w:r>
          </w:p>
        </w:tc>
        <w:tc>
          <w:tcPr>
            <w:tcW w:w="1064" w:type="pct"/>
            <w:shd w:val="clear" w:color="auto" w:fill="FFFFFF"/>
            <w:tcMar>
              <w:top w:w="30" w:type="dxa"/>
              <w:left w:w="30" w:type="dxa"/>
              <w:bottom w:w="30" w:type="dxa"/>
              <w:right w:w="30" w:type="dxa"/>
            </w:tcMar>
            <w:vAlign w:val="center"/>
          </w:tcPr>
          <w:p w14:paraId="2F39FAEA"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3.793</w:t>
            </w:r>
          </w:p>
        </w:tc>
        <w:tc>
          <w:tcPr>
            <w:tcW w:w="661" w:type="pct"/>
            <w:shd w:val="clear" w:color="auto" w:fill="FFFFFF"/>
            <w:tcMar>
              <w:top w:w="30" w:type="dxa"/>
              <w:left w:w="30" w:type="dxa"/>
              <w:bottom w:w="30" w:type="dxa"/>
              <w:right w:w="30" w:type="dxa"/>
            </w:tcMar>
            <w:vAlign w:val="center"/>
          </w:tcPr>
          <w:p w14:paraId="5E5BAD69"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0.822</w:t>
            </w:r>
          </w:p>
        </w:tc>
        <w:tc>
          <w:tcPr>
            <w:tcW w:w="658" w:type="pct"/>
            <w:shd w:val="clear" w:color="auto" w:fill="FFFFFF"/>
            <w:tcMar>
              <w:top w:w="30" w:type="dxa"/>
              <w:left w:w="30" w:type="dxa"/>
              <w:bottom w:w="30" w:type="dxa"/>
              <w:right w:w="30" w:type="dxa"/>
            </w:tcMar>
            <w:vAlign w:val="center"/>
          </w:tcPr>
          <w:p w14:paraId="7E187D24"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.001</w:t>
            </w:r>
          </w:p>
        </w:tc>
      </w:tr>
      <w:tr w:rsidR="009B2AD4" w:rsidRPr="009B2AD4" w14:paraId="4929F986" w14:textId="77777777" w:rsidTr="009B2AD4">
        <w:trPr>
          <w:cantSplit/>
          <w:tblHeader/>
        </w:trPr>
        <w:tc>
          <w:tcPr>
            <w:tcW w:w="1480" w:type="pct"/>
            <w:shd w:val="clear" w:color="auto" w:fill="FFFFFF"/>
            <w:tcMar>
              <w:top w:w="30" w:type="dxa"/>
              <w:left w:w="30" w:type="dxa"/>
              <w:bottom w:w="30" w:type="dxa"/>
              <w:right w:w="30" w:type="dxa"/>
            </w:tcMar>
          </w:tcPr>
          <w:p w14:paraId="04F3EA26"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Alignment with donor priorities</w:t>
            </w:r>
          </w:p>
        </w:tc>
        <w:tc>
          <w:tcPr>
            <w:tcW w:w="1137" w:type="pct"/>
            <w:gridSpan w:val="2"/>
            <w:shd w:val="clear" w:color="auto" w:fill="FFFFFF"/>
            <w:tcMar>
              <w:top w:w="30" w:type="dxa"/>
              <w:left w:w="30" w:type="dxa"/>
              <w:bottom w:w="30" w:type="dxa"/>
              <w:right w:w="30" w:type="dxa"/>
            </w:tcMar>
            <w:vAlign w:val="center"/>
          </w:tcPr>
          <w:p w14:paraId="1C6A5CB8"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11.402</w:t>
            </w:r>
          </w:p>
        </w:tc>
        <w:tc>
          <w:tcPr>
            <w:tcW w:w="1064" w:type="pct"/>
            <w:shd w:val="clear" w:color="auto" w:fill="FFFFFF"/>
            <w:tcMar>
              <w:top w:w="30" w:type="dxa"/>
              <w:left w:w="30" w:type="dxa"/>
              <w:bottom w:w="30" w:type="dxa"/>
              <w:right w:w="30" w:type="dxa"/>
            </w:tcMar>
            <w:vAlign w:val="center"/>
          </w:tcPr>
          <w:p w14:paraId="3773B910"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3.666</w:t>
            </w:r>
          </w:p>
        </w:tc>
        <w:tc>
          <w:tcPr>
            <w:tcW w:w="661" w:type="pct"/>
            <w:shd w:val="clear" w:color="auto" w:fill="FFFFFF"/>
            <w:tcMar>
              <w:top w:w="30" w:type="dxa"/>
              <w:left w:w="30" w:type="dxa"/>
              <w:bottom w:w="30" w:type="dxa"/>
              <w:right w:w="30" w:type="dxa"/>
            </w:tcMar>
            <w:vAlign w:val="center"/>
          </w:tcPr>
          <w:p w14:paraId="6D8F79D2"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2.802</w:t>
            </w:r>
          </w:p>
        </w:tc>
        <w:tc>
          <w:tcPr>
            <w:tcW w:w="658" w:type="pct"/>
            <w:shd w:val="clear" w:color="auto" w:fill="FFFFFF"/>
            <w:tcMar>
              <w:top w:w="30" w:type="dxa"/>
              <w:left w:w="30" w:type="dxa"/>
              <w:bottom w:w="30" w:type="dxa"/>
              <w:right w:w="30" w:type="dxa"/>
            </w:tcMar>
            <w:vAlign w:val="center"/>
          </w:tcPr>
          <w:p w14:paraId="3441536B"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bl>
    <w:p w14:paraId="7BCCFD48" w14:textId="77777777" w:rsidR="00924C20" w:rsidRDefault="00924C20" w:rsidP="009B2AD4">
      <w:pPr>
        <w:spacing w:after="0" w:line="240" w:lineRule="auto"/>
        <w:jc w:val="both"/>
        <w:rPr>
          <w:rFonts w:ascii="Times New Roman" w:hAnsi="Times New Roman" w:cs="Times New Roman"/>
          <w:bCs/>
          <w:sz w:val="22"/>
          <w:szCs w:val="22"/>
          <w:lang w:val="en-US"/>
        </w:rPr>
      </w:pPr>
    </w:p>
    <w:p w14:paraId="12623264" w14:textId="437F0AC5" w:rsidR="009B2AD4" w:rsidRP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 xml:space="preserve">The following was the general multiple linear regression model: </w:t>
      </w:r>
    </w:p>
    <w:p w14:paraId="5C33F05B" w14:textId="77777777" w:rsidR="009B2AD4" w:rsidRP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Y = α + β</w:t>
      </w:r>
      <w:r w:rsidRPr="009B2AD4">
        <w:rPr>
          <w:rFonts w:ascii="Times New Roman" w:hAnsi="Times New Roman" w:cs="Times New Roman"/>
          <w:sz w:val="22"/>
          <w:szCs w:val="22"/>
          <w:vertAlign w:val="subscript"/>
        </w:rPr>
        <w:t>1</w:t>
      </w:r>
      <w:r w:rsidRPr="009B2AD4">
        <w:rPr>
          <w:rFonts w:ascii="Times New Roman" w:hAnsi="Times New Roman" w:cs="Times New Roman"/>
          <w:sz w:val="22"/>
          <w:szCs w:val="22"/>
        </w:rPr>
        <w:t xml:space="preserve"> X</w:t>
      </w:r>
      <w:r w:rsidRPr="009B2AD4">
        <w:rPr>
          <w:rFonts w:ascii="Times New Roman" w:hAnsi="Times New Roman" w:cs="Times New Roman"/>
          <w:sz w:val="22"/>
          <w:szCs w:val="22"/>
          <w:vertAlign w:val="subscript"/>
        </w:rPr>
        <w:t>1</w:t>
      </w:r>
      <w:r w:rsidRPr="009B2AD4">
        <w:rPr>
          <w:rFonts w:ascii="Times New Roman" w:hAnsi="Times New Roman" w:cs="Times New Roman"/>
          <w:sz w:val="22"/>
          <w:szCs w:val="22"/>
        </w:rPr>
        <w:t xml:space="preserve"> + β</w:t>
      </w:r>
      <w:r w:rsidRPr="009B2AD4">
        <w:rPr>
          <w:rFonts w:ascii="Times New Roman" w:hAnsi="Times New Roman" w:cs="Times New Roman"/>
          <w:sz w:val="22"/>
          <w:szCs w:val="22"/>
          <w:vertAlign w:val="subscript"/>
        </w:rPr>
        <w:t xml:space="preserve">2 </w:t>
      </w:r>
      <w:r w:rsidRPr="009B2AD4">
        <w:rPr>
          <w:rFonts w:ascii="Times New Roman" w:hAnsi="Times New Roman" w:cs="Times New Roman"/>
          <w:sz w:val="22"/>
          <w:szCs w:val="22"/>
        </w:rPr>
        <w:t>X</w:t>
      </w:r>
      <w:r w:rsidRPr="009B2AD4">
        <w:rPr>
          <w:rFonts w:ascii="Times New Roman" w:hAnsi="Times New Roman" w:cs="Times New Roman"/>
          <w:sz w:val="22"/>
          <w:szCs w:val="22"/>
          <w:vertAlign w:val="subscript"/>
        </w:rPr>
        <w:t>2</w:t>
      </w:r>
      <w:r w:rsidRPr="009B2AD4">
        <w:rPr>
          <w:rFonts w:ascii="Times New Roman" w:hAnsi="Times New Roman" w:cs="Times New Roman"/>
          <w:sz w:val="22"/>
          <w:szCs w:val="22"/>
        </w:rPr>
        <w:t xml:space="preserve"> + є</w:t>
      </w:r>
    </w:p>
    <w:p w14:paraId="4F98BE94" w14:textId="77777777" w:rsidR="009B2AD4" w:rsidRP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Positive grant award decision = α + β1 (Sustainability model) + β5 (Alignment with donor priorities) + ε.</w:t>
      </w:r>
    </w:p>
    <w:p w14:paraId="31D426B5" w14:textId="77777777" w:rsidR="009B2AD4" w:rsidRPr="009B2AD4" w:rsidRDefault="009B2AD4" w:rsidP="009B2AD4">
      <w:pPr>
        <w:spacing w:after="0" w:line="240" w:lineRule="auto"/>
        <w:jc w:val="both"/>
        <w:rPr>
          <w:rFonts w:ascii="Times New Roman" w:hAnsi="Times New Roman" w:cs="Times New Roman"/>
          <w:sz w:val="22"/>
          <w:szCs w:val="22"/>
          <w:vertAlign w:val="subscript"/>
        </w:rPr>
      </w:pPr>
      <w:r w:rsidRPr="009B2AD4">
        <w:rPr>
          <w:rFonts w:ascii="Times New Roman" w:hAnsi="Times New Roman" w:cs="Times New Roman"/>
          <w:sz w:val="22"/>
          <w:szCs w:val="22"/>
        </w:rPr>
        <w:t>Therefore, the likelihood of positive donor grant award decision = 15.721 + 5.551X</w:t>
      </w:r>
      <w:r w:rsidRPr="009B2AD4">
        <w:rPr>
          <w:rFonts w:ascii="Times New Roman" w:hAnsi="Times New Roman" w:cs="Times New Roman"/>
          <w:sz w:val="22"/>
          <w:szCs w:val="22"/>
          <w:vertAlign w:val="subscript"/>
        </w:rPr>
        <w:t>1</w:t>
      </w:r>
      <w:r w:rsidRPr="009B2AD4">
        <w:rPr>
          <w:rFonts w:ascii="Times New Roman" w:hAnsi="Times New Roman" w:cs="Times New Roman"/>
          <w:sz w:val="22"/>
          <w:szCs w:val="22"/>
        </w:rPr>
        <w:t xml:space="preserve"> + 11.402 X</w:t>
      </w:r>
      <w:r w:rsidR="008B4DB0">
        <w:rPr>
          <w:rFonts w:ascii="Times New Roman" w:hAnsi="Times New Roman" w:cs="Times New Roman"/>
          <w:sz w:val="22"/>
          <w:szCs w:val="22"/>
          <w:vertAlign w:val="subscript"/>
        </w:rPr>
        <w:t>2</w:t>
      </w:r>
    </w:p>
    <w:p w14:paraId="32DDB9A8" w14:textId="77777777" w:rsidR="009B2AD4" w:rsidRDefault="009B2AD4" w:rsidP="00E37EB3">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rPr>
        <w:t>The study finds that there was a positive correlation between the dependent variable and each of the independent variables. The largest determinant of the positive donor grant award decision was observed in the alignment with donor priorities (t = 2.802)</w:t>
      </w:r>
      <w:r w:rsidR="00826FDC">
        <w:rPr>
          <w:rFonts w:ascii="Times New Roman" w:hAnsi="Times New Roman" w:cs="Times New Roman"/>
          <w:sz w:val="22"/>
          <w:szCs w:val="22"/>
        </w:rPr>
        <w:t>.</w:t>
      </w:r>
      <w:r w:rsidRPr="009B2AD4">
        <w:rPr>
          <w:rFonts w:ascii="Times New Roman" w:hAnsi="Times New Roman" w:cs="Times New Roman"/>
          <w:sz w:val="22"/>
          <w:szCs w:val="22"/>
        </w:rPr>
        <w:t xml:space="preserve"> The study used standardized coefficients because a</w:t>
      </w:r>
      <w:r w:rsidRPr="009B2AD4">
        <w:rPr>
          <w:rFonts w:ascii="Times New Roman" w:hAnsi="Times New Roman" w:cs="Times New Roman"/>
          <w:sz w:val="22"/>
          <w:szCs w:val="22"/>
          <w:lang w:val="en-US"/>
        </w:rPr>
        <w:t>t 95% confidence level, there was no need to use unstandardized coefficients.</w:t>
      </w:r>
    </w:p>
    <w:p w14:paraId="7F283BF1" w14:textId="77777777" w:rsidR="009B2AD4" w:rsidRDefault="009B2AD4" w:rsidP="00E37EB3">
      <w:pPr>
        <w:spacing w:after="0" w:line="240" w:lineRule="auto"/>
        <w:jc w:val="both"/>
        <w:rPr>
          <w:rFonts w:ascii="Times New Roman" w:hAnsi="Times New Roman" w:cs="Times New Roman"/>
          <w:sz w:val="22"/>
          <w:szCs w:val="22"/>
          <w:lang w:val="en-US"/>
        </w:rPr>
      </w:pPr>
    </w:p>
    <w:p w14:paraId="45908B8E" w14:textId="77777777" w:rsidR="00E37EB3" w:rsidRPr="00E37EB3" w:rsidRDefault="00E37EB3" w:rsidP="00E37EB3">
      <w:pPr>
        <w:spacing w:line="240" w:lineRule="auto"/>
        <w:rPr>
          <w:rFonts w:ascii="Times New Roman" w:hAnsi="Times New Roman" w:cs="Times New Roman"/>
          <w:b/>
          <w:bCs/>
          <w:lang w:val="en-US"/>
        </w:rPr>
      </w:pPr>
      <w:r w:rsidRPr="00E37EB3">
        <w:rPr>
          <w:rFonts w:ascii="Times New Roman" w:hAnsi="Times New Roman" w:cs="Times New Roman"/>
          <w:b/>
          <w:bCs/>
          <w:lang w:val="en-US"/>
        </w:rPr>
        <w:t>Conclusion</w:t>
      </w:r>
    </w:p>
    <w:p w14:paraId="55469BE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The study finds that a proposal can hardly be funded if it doesn’t align with donor priorities, suggesting a strong positive correlation between alignment to donor priorities and positive grant ward decisions </w:t>
      </w:r>
      <w:r w:rsidRPr="00826FDC">
        <w:rPr>
          <w:rFonts w:ascii="Times New Roman" w:hAnsi="Times New Roman" w:cs="Times New Roman"/>
          <w:sz w:val="22"/>
          <w:szCs w:val="22"/>
          <w:lang w:val="en-US"/>
        </w:rPr>
        <w:lastRenderedPageBreak/>
        <w:t>(co-efficient = 11.402). This underscores the importance of aligning project designs to donor priorities as donors tend to fund projects/programs that best meet their strategic needs. Overall, the study finds that project designs that are well aligned to donor priorities are more likely to result in positive grant award decisions, especially in competitive humanitarian spaces.</w:t>
      </w:r>
    </w:p>
    <w:p w14:paraId="10D8CF08"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The study concludes that alignment to donor priorities is a critical factor to be considered and managed well when designing grant proposals. This is because the most important thing for a donor is that their funding meets their strategic needs; thus, project designs that do not support donor priorities are likely to be rejected in competitive applications. </w:t>
      </w:r>
    </w:p>
    <w:p w14:paraId="688B2A04" w14:textId="77777777" w:rsidR="00E37EB3" w:rsidRDefault="00E37EB3" w:rsidP="004749BC">
      <w:pPr>
        <w:spacing w:after="0" w:line="240" w:lineRule="auto"/>
        <w:jc w:val="both"/>
        <w:rPr>
          <w:rFonts w:ascii="Times New Roman" w:hAnsi="Times New Roman" w:cs="Times New Roman"/>
          <w:b/>
          <w:bCs/>
        </w:rPr>
      </w:pPr>
    </w:p>
    <w:p w14:paraId="3DD7B990" w14:textId="77777777" w:rsidR="004749BC" w:rsidRDefault="00E37EB3" w:rsidP="004749BC">
      <w:pPr>
        <w:spacing w:after="0" w:line="240" w:lineRule="auto"/>
        <w:jc w:val="both"/>
        <w:rPr>
          <w:rFonts w:ascii="Times New Roman" w:hAnsi="Times New Roman" w:cs="Times New Roman"/>
          <w:b/>
          <w:bCs/>
        </w:rPr>
      </w:pPr>
      <w:r w:rsidRPr="00E37EB3">
        <w:rPr>
          <w:rFonts w:ascii="Times New Roman" w:hAnsi="Times New Roman" w:cs="Times New Roman"/>
          <w:b/>
          <w:bCs/>
        </w:rPr>
        <w:t>Recommendation</w:t>
      </w:r>
    </w:p>
    <w:p w14:paraId="17F6A88D" w14:textId="77777777" w:rsidR="00E37EB3" w:rsidRPr="00E37EB3" w:rsidRDefault="00E37EB3" w:rsidP="004749BC">
      <w:pPr>
        <w:spacing w:after="0" w:line="240" w:lineRule="auto"/>
        <w:jc w:val="both"/>
        <w:rPr>
          <w:rFonts w:ascii="Times New Roman" w:hAnsi="Times New Roman" w:cs="Times New Roman"/>
          <w:b/>
          <w:bCs/>
        </w:rPr>
      </w:pPr>
    </w:p>
    <w:p w14:paraId="6CACD78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The study concludes that project alignment with donor priorities is a critical factor to be considered carefully and managed well when designing grant proposals in a competitive landscape. This is because, most times, the most important thing for a donor is that their funding meets their strategic priorities; thus, project designs that do not support donor priorities are likely to be rejected in a competitive bidding. </w:t>
      </w:r>
    </w:p>
    <w:p w14:paraId="3DD539A0" w14:textId="005099D4" w:rsid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The study strictly recommends that project designs should be closely aligned with the donor terms of reference and most importantly, their strategic priorities and objectives. Whiles donors emphasize creative designs, giving room for innovative and creative project designs, strategies or approaches, the study recommends that project designs should be aligned with donor priorities for a positive grant award decision, especially in a competitive funding landscape. The study further recommends that draft project designs should be tested or thoroughly reviewed for alignment with donor priorities. Any major deviations from the donor priority list should be quickly realigned and kept relevant and current to the donor priorities. This can be ensured through multiple reviews, including a third party or peer review of the project design drafts to ensure they are strongly aligned with the donor priorities. In recent times, some project design teams do use artificial intelligence to measure the alignment levels of their designs. This gives an accurate metric of how well a project design is aligned to donor priorities and strategic objectives. Where digital security and responsible use of technology is ensured, artificial intelligence can also be used to measure the level of alignment of project designs with donor priorities, all to ensure the grant proposal receives a positive award decision by the donor.</w:t>
      </w:r>
    </w:p>
    <w:p w14:paraId="2F2A05A0" w14:textId="7A269A06" w:rsidR="005164B6" w:rsidRDefault="005164B6" w:rsidP="00826FDC">
      <w:pPr>
        <w:spacing w:after="0" w:line="240" w:lineRule="auto"/>
        <w:jc w:val="both"/>
        <w:rPr>
          <w:rFonts w:ascii="Times New Roman" w:hAnsi="Times New Roman" w:cs="Times New Roman"/>
          <w:sz w:val="22"/>
          <w:szCs w:val="22"/>
          <w:lang w:val="en-US"/>
        </w:rPr>
      </w:pPr>
    </w:p>
    <w:p w14:paraId="48AE19D4" w14:textId="097EB68A" w:rsidR="005164B6" w:rsidRPr="00270720" w:rsidRDefault="005164B6" w:rsidP="005164B6">
      <w:pPr>
        <w:rPr>
          <w:highlight w:val="yellow"/>
        </w:rPr>
      </w:pPr>
      <w:r w:rsidRPr="00270720">
        <w:rPr>
          <w:highlight w:val="yellow"/>
        </w:rPr>
        <w:t>Disclaimer (Artificial intelligence)</w:t>
      </w:r>
    </w:p>
    <w:p w14:paraId="5979702E" w14:textId="4FD3C022" w:rsidR="005164B6" w:rsidRPr="00270720" w:rsidRDefault="005164B6" w:rsidP="005164B6">
      <w:pPr>
        <w:rPr>
          <w:highlight w:val="yellow"/>
        </w:rPr>
      </w:pPr>
      <w:r w:rsidRPr="00270720">
        <w:rPr>
          <w:highlight w:val="yellow"/>
        </w:rPr>
        <w:t xml:space="preserve">Option 1: </w:t>
      </w:r>
    </w:p>
    <w:p w14:paraId="22D16BDB" w14:textId="6A8A2A51" w:rsidR="005164B6" w:rsidRPr="00270720" w:rsidRDefault="005164B6" w:rsidP="005164B6">
      <w:pPr>
        <w:rPr>
          <w:highlight w:val="yellow"/>
        </w:rPr>
      </w:pPr>
      <w:r w:rsidRPr="00270720">
        <w:rPr>
          <w:highlight w:val="yellow"/>
        </w:rPr>
        <w:t xml:space="preserve">Author(s) hereby </w:t>
      </w:r>
      <w:r w:rsidR="00E149D3" w:rsidRPr="00270720">
        <w:rPr>
          <w:highlight w:val="yellow"/>
        </w:rPr>
        <w:t>declares</w:t>
      </w:r>
      <w:r w:rsidRPr="00270720">
        <w:rPr>
          <w:highlight w:val="yellow"/>
        </w:rPr>
        <w:t xml:space="preserve"> that NO generative AI technologies such as Large Language Models (ChatGPT, COPILOT, etc.) and text-to-image generators have been used during the writing or editing of this manuscript. </w:t>
      </w:r>
    </w:p>
    <w:p w14:paraId="35EFCAAC" w14:textId="77777777" w:rsidR="005164B6" w:rsidRPr="00826FDC" w:rsidRDefault="005164B6" w:rsidP="00826FDC">
      <w:pPr>
        <w:spacing w:after="0" w:line="240" w:lineRule="auto"/>
        <w:jc w:val="both"/>
        <w:rPr>
          <w:rFonts w:ascii="Times New Roman" w:hAnsi="Times New Roman" w:cs="Times New Roman"/>
          <w:sz w:val="22"/>
          <w:szCs w:val="22"/>
          <w:lang w:val="en-US"/>
        </w:rPr>
      </w:pPr>
    </w:p>
    <w:p w14:paraId="38107209" w14:textId="77777777" w:rsidR="00A17103" w:rsidRDefault="00A17103" w:rsidP="004749BC">
      <w:pPr>
        <w:spacing w:after="0" w:line="240" w:lineRule="auto"/>
        <w:jc w:val="both"/>
        <w:rPr>
          <w:rFonts w:ascii="Times New Roman" w:hAnsi="Times New Roman" w:cs="Times New Roman"/>
          <w:sz w:val="22"/>
          <w:szCs w:val="22"/>
        </w:rPr>
      </w:pPr>
    </w:p>
    <w:p w14:paraId="69F3A4F9" w14:textId="77777777" w:rsidR="00A17103" w:rsidRPr="00A17103" w:rsidRDefault="00A17103" w:rsidP="004749BC">
      <w:pPr>
        <w:spacing w:after="0" w:line="240" w:lineRule="auto"/>
        <w:jc w:val="both"/>
        <w:rPr>
          <w:rFonts w:ascii="Times New Roman" w:hAnsi="Times New Roman" w:cs="Times New Roman"/>
          <w:b/>
          <w:bCs/>
        </w:rPr>
      </w:pPr>
      <w:r w:rsidRPr="00A17103">
        <w:rPr>
          <w:rFonts w:ascii="Times New Roman" w:hAnsi="Times New Roman" w:cs="Times New Roman"/>
          <w:b/>
          <w:bCs/>
        </w:rPr>
        <w:t xml:space="preserve">References </w:t>
      </w:r>
    </w:p>
    <w:p w14:paraId="430CDF44" w14:textId="77777777" w:rsidR="00826FDC" w:rsidRPr="00826FDC" w:rsidRDefault="00826FDC" w:rsidP="00826FDC">
      <w:pPr>
        <w:spacing w:after="0" w:line="240" w:lineRule="auto"/>
        <w:jc w:val="both"/>
        <w:rPr>
          <w:rFonts w:ascii="Times New Roman" w:hAnsi="Times New Roman" w:cs="Times New Roman"/>
          <w:sz w:val="22"/>
          <w:szCs w:val="22"/>
          <w:lang w:val="en-US"/>
        </w:rPr>
      </w:pPr>
      <w:bookmarkStart w:id="19" w:name="_Hlk193558678"/>
      <w:r w:rsidRPr="00826FDC">
        <w:rPr>
          <w:rFonts w:ascii="Times New Roman" w:hAnsi="Times New Roman" w:cs="Times New Roman"/>
          <w:sz w:val="22"/>
          <w:szCs w:val="22"/>
          <w:lang w:val="en-US"/>
        </w:rPr>
        <w:t xml:space="preserve">Abby Stoddard (n.d.), Raising the Bar, Humanitarian Firms: Commercial Business Engagement in Emergency Response </w:t>
      </w:r>
    </w:p>
    <w:p w14:paraId="5FDE0260"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Abidin, N. Z. and Pasquire, C. (2007). Revolutionize value management: a mode towards sustainability. International Journal of Project Management, 25(3), 275-282. </w:t>
      </w:r>
      <w:hyperlink r:id="rId7" w:history="1">
        <w:r w:rsidRPr="00826FDC">
          <w:rPr>
            <w:rStyle w:val="Hyperlink"/>
            <w:rFonts w:ascii="Times New Roman" w:hAnsi="Times New Roman" w:cs="Times New Roman"/>
            <w:sz w:val="22"/>
            <w:szCs w:val="22"/>
            <w:lang w:val="en-US"/>
          </w:rPr>
          <w:t>https://doi.org/10.1016/j.ijproman.2006.10.005</w:t>
        </w:r>
      </w:hyperlink>
    </w:p>
    <w:p w14:paraId="630E1270"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Adams, C. A. (2002). Internal organisational factors influencing corporate social and ethical reporting. Accounting, Auditing &amp;Amp; Accountability Journal, 15(2), 223-250. </w:t>
      </w:r>
      <w:hyperlink r:id="rId8" w:history="1">
        <w:r w:rsidRPr="00826FDC">
          <w:rPr>
            <w:rStyle w:val="Hyperlink"/>
            <w:rFonts w:ascii="Times New Roman" w:hAnsi="Times New Roman" w:cs="Times New Roman"/>
            <w:sz w:val="22"/>
            <w:szCs w:val="22"/>
            <w:lang w:val="en-US"/>
          </w:rPr>
          <w:t>https://doi.org/10.1108/09513570210418905</w:t>
        </w:r>
      </w:hyperlink>
    </w:p>
    <w:p w14:paraId="2DE62C4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Ahmad, A., Jamaludin, M., Sapry, H., &amp; Jameel, A. (2023). Designing strategies framework for effective funding formula implementation at malaysian public universities. Malaysian Journal of Social Sciences and Humanities (Mjssh), 8(6), e002359. </w:t>
      </w:r>
      <w:hyperlink r:id="rId9" w:history="1">
        <w:r w:rsidRPr="00826FDC">
          <w:rPr>
            <w:rStyle w:val="Hyperlink"/>
            <w:rFonts w:ascii="Times New Roman" w:hAnsi="Times New Roman" w:cs="Times New Roman"/>
            <w:sz w:val="22"/>
            <w:szCs w:val="22"/>
            <w:lang w:val="en-US"/>
          </w:rPr>
          <w:t>https://doi.org/10.47405/mjssh.v8i6.2359</w:t>
        </w:r>
      </w:hyperlink>
    </w:p>
    <w:p w14:paraId="723E691A"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lastRenderedPageBreak/>
        <w:t xml:space="preserve">Alesina, Alberto, and David Dollar (2000). </w:t>
      </w:r>
      <w:r w:rsidRPr="00826FDC">
        <w:rPr>
          <w:rFonts w:ascii="Times New Roman" w:hAnsi="Times New Roman" w:cs="Times New Roman"/>
          <w:i/>
          <w:iCs/>
          <w:sz w:val="22"/>
          <w:szCs w:val="22"/>
          <w:lang w:val="en-US"/>
        </w:rPr>
        <w:t>Who gives foreign aid to whom and why? Journal of Economic Growth 5(1).</w:t>
      </w:r>
    </w:p>
    <w:p w14:paraId="5F52F032"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Anthony Langat (2022). </w:t>
      </w:r>
      <w:r w:rsidRPr="00826FDC">
        <w:rPr>
          <w:rFonts w:ascii="Times New Roman" w:hAnsi="Times New Roman" w:cs="Times New Roman"/>
          <w:i/>
          <w:iCs/>
          <w:sz w:val="22"/>
          <w:szCs w:val="22"/>
          <w:lang w:val="en-US"/>
        </w:rPr>
        <w:t>'Cooperation rather than aid': How Japan plans to spend $30B in Africa</w:t>
      </w:r>
      <w:r w:rsidRPr="00826FDC">
        <w:rPr>
          <w:rFonts w:ascii="Times New Roman" w:hAnsi="Times New Roman" w:cs="Times New Roman"/>
          <w:sz w:val="22"/>
          <w:szCs w:val="22"/>
          <w:lang w:val="en-US"/>
        </w:rPr>
        <w:t xml:space="preserve">. Devex. Retrieved from </w:t>
      </w:r>
      <w:hyperlink r:id="rId10" w:history="1">
        <w:r w:rsidRPr="00826FDC">
          <w:rPr>
            <w:rStyle w:val="Hyperlink"/>
            <w:rFonts w:ascii="Times New Roman" w:hAnsi="Times New Roman" w:cs="Times New Roman"/>
            <w:sz w:val="22"/>
            <w:szCs w:val="22"/>
            <w:lang w:val="en-US"/>
          </w:rPr>
          <w:t>https://www.devex.com/news/cooperation-rather-than-aid-how-japan-plans-to-spend-30b-in-africa-104215</w:t>
        </w:r>
      </w:hyperlink>
      <w:r w:rsidRPr="00826FDC">
        <w:rPr>
          <w:rFonts w:ascii="Times New Roman" w:hAnsi="Times New Roman" w:cs="Times New Roman"/>
          <w:sz w:val="22"/>
          <w:szCs w:val="22"/>
          <w:lang w:val="en-US"/>
        </w:rPr>
        <w:t xml:space="preserve"> </w:t>
      </w:r>
    </w:p>
    <w:p w14:paraId="0BD5A1C8"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Anuradhi Joshi et al. (2020). </w:t>
      </w:r>
      <w:r w:rsidRPr="00826FDC">
        <w:rPr>
          <w:rFonts w:ascii="Times New Roman" w:hAnsi="Times New Roman" w:cs="Times New Roman"/>
          <w:i/>
          <w:iCs/>
          <w:sz w:val="22"/>
          <w:szCs w:val="22"/>
          <w:lang w:val="en-US"/>
        </w:rPr>
        <w:t>Online Assessment: Concept and Applications, Journal of Research in Medical Education &amp; Ethics Vol. 10, No. 2, July 2020.</w:t>
      </w:r>
    </w:p>
    <w:p w14:paraId="1DAC338D"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Apsari, I. A. K. and Rasmini, N. K. (2019). The pecking order theory testing on company life cycle. International Research Journal of Management, IT and Social Sciences, 6(5), 101-107. </w:t>
      </w:r>
      <w:hyperlink r:id="rId11" w:history="1">
        <w:r w:rsidRPr="00826FDC">
          <w:rPr>
            <w:rStyle w:val="Hyperlink"/>
            <w:rFonts w:ascii="Times New Roman" w:hAnsi="Times New Roman" w:cs="Times New Roman"/>
            <w:sz w:val="22"/>
            <w:szCs w:val="22"/>
            <w:lang w:val="en-US"/>
          </w:rPr>
          <w:t>https://doi.org/10.21744/irjmis.v6n5.704</w:t>
        </w:r>
      </w:hyperlink>
    </w:p>
    <w:p w14:paraId="72425D0B"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Beldad, A., de Jong, M. and Steehouder, M. (2010), </w:t>
      </w:r>
      <w:r w:rsidRPr="00826FDC">
        <w:rPr>
          <w:rFonts w:ascii="Times New Roman" w:hAnsi="Times New Roman" w:cs="Times New Roman"/>
          <w:i/>
          <w:iCs/>
          <w:sz w:val="22"/>
          <w:szCs w:val="22"/>
          <w:lang w:val="en-US"/>
        </w:rPr>
        <w:t>“How shall I trust the faceless and the intangible? A literature review on the antecedents of online trust”, Computers in Human Behavior, Vol. 26 No. 5, pp. 857-869, doi: 10.1016/j.chb.2010.03.013.</w:t>
      </w:r>
    </w:p>
    <w:p w14:paraId="76F8715E"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Bjorn Harald Nordtveit (2010). </w:t>
      </w:r>
      <w:r w:rsidRPr="00826FDC">
        <w:rPr>
          <w:rFonts w:ascii="Times New Roman" w:hAnsi="Times New Roman" w:cs="Times New Roman"/>
          <w:i/>
          <w:iCs/>
          <w:sz w:val="22"/>
          <w:szCs w:val="22"/>
          <w:lang w:val="en-US"/>
        </w:rPr>
        <w:t>Development as a complex process of change: Conception and analysis of projects, programs and policies. International Journal of Educational Development, Volume 30, Issue 1</w:t>
      </w:r>
    </w:p>
    <w:p w14:paraId="34222573"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Borg, W. R., &amp; Gall, M. D. (1989). Educational research. An introduction (5th ed.). White Plains, NY: Longman. </w:t>
      </w:r>
    </w:p>
    <w:p w14:paraId="1D0381D3"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Brown, L. D. and Moore, M. H. (2001). Accountability, strategy, and international non-governmental organizations. SSRN Electronic Journal. </w:t>
      </w:r>
      <w:hyperlink r:id="rId12" w:history="1">
        <w:r w:rsidRPr="00826FDC">
          <w:rPr>
            <w:rStyle w:val="Hyperlink"/>
            <w:rFonts w:ascii="Times New Roman" w:hAnsi="Times New Roman" w:cs="Times New Roman"/>
            <w:sz w:val="22"/>
            <w:szCs w:val="22"/>
            <w:lang w:val="en-US"/>
          </w:rPr>
          <w:t>https://doi.org/10.2139/ssrn.269362</w:t>
        </w:r>
      </w:hyperlink>
    </w:p>
    <w:p w14:paraId="2A983559"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Carthey, J. (2019). User group consultation: design quality and project success. Herd Health Environments Research &amp; design Journal, 13(2), 143-169. </w:t>
      </w:r>
      <w:hyperlink r:id="rId13" w:history="1">
        <w:r w:rsidRPr="00826FDC">
          <w:rPr>
            <w:rStyle w:val="Hyperlink"/>
            <w:rFonts w:ascii="Times New Roman" w:hAnsi="Times New Roman" w:cs="Times New Roman"/>
            <w:sz w:val="22"/>
            <w:szCs w:val="22"/>
            <w:lang w:val="en-US"/>
          </w:rPr>
          <w:t>https://doi.org/10.1177/1937586719873143</w:t>
        </w:r>
      </w:hyperlink>
    </w:p>
    <w:p w14:paraId="2C436BED"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Carvalho, M. M. d. and Rabechini, R. (2017). Can project sustainability management impact project success? an empirical study applying a contingent approach. International Journal of Project Management, 35(6), 1120-1132. </w:t>
      </w:r>
      <w:hyperlink r:id="rId14" w:history="1">
        <w:r w:rsidRPr="00826FDC">
          <w:rPr>
            <w:rStyle w:val="Hyperlink"/>
            <w:rFonts w:ascii="Times New Roman" w:hAnsi="Times New Roman" w:cs="Times New Roman"/>
            <w:sz w:val="22"/>
            <w:szCs w:val="22"/>
            <w:lang w:val="en-US"/>
          </w:rPr>
          <w:t>https://doi.org/10.1016/j.ijproman.2017.02.018</w:t>
        </w:r>
      </w:hyperlink>
    </w:p>
    <w:p w14:paraId="31903FB6"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Chung-Hoon, T., Hite, J., &amp; Hite, S. (2005). Searching for enduring donor relationships: evidence for factors and strategies in a donor/organization integration model for fund raising. International Journal of Educational Advancement, 6(1), 34-53. </w:t>
      </w:r>
      <w:hyperlink r:id="rId15" w:history="1">
        <w:r w:rsidRPr="00826FDC">
          <w:rPr>
            <w:rStyle w:val="Hyperlink"/>
            <w:rFonts w:ascii="Times New Roman" w:hAnsi="Times New Roman" w:cs="Times New Roman"/>
            <w:sz w:val="22"/>
            <w:szCs w:val="22"/>
            <w:lang w:val="en-US"/>
          </w:rPr>
          <w:t>https://doi.org/10.1057/palgrave.ijea.2140232</w:t>
        </w:r>
      </w:hyperlink>
    </w:p>
    <w:p w14:paraId="05E8F014"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Churchill, G. A. (1991). Marketing Research: Methodological Foundations. Thriftbook, London </w:t>
      </w:r>
    </w:p>
    <w:p w14:paraId="544EE344"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Cooper, D. R., &amp; Schindler, P. (2014). </w:t>
      </w:r>
      <w:r w:rsidRPr="00826FDC">
        <w:rPr>
          <w:rFonts w:ascii="Times New Roman" w:hAnsi="Times New Roman" w:cs="Times New Roman"/>
          <w:i/>
          <w:iCs/>
          <w:sz w:val="22"/>
          <w:szCs w:val="22"/>
          <w:lang w:val="en-US"/>
        </w:rPr>
        <w:t>Business research methods</w:t>
      </w:r>
      <w:r w:rsidRPr="00826FDC">
        <w:rPr>
          <w:rFonts w:ascii="Times New Roman" w:hAnsi="Times New Roman" w:cs="Times New Roman"/>
          <w:sz w:val="22"/>
          <w:szCs w:val="22"/>
          <w:lang w:val="en-US"/>
        </w:rPr>
        <w:t>. Mcgraw-hill.</w:t>
      </w:r>
    </w:p>
    <w:p w14:paraId="717183C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Correa, J., Hoff, R. v. d., &amp; Rajão, R. (2019). Amazon fund 10 years later: lessons from the world’s largest redd+ program. Forests, 10(3), 272. </w:t>
      </w:r>
      <w:hyperlink r:id="rId16" w:history="1">
        <w:r w:rsidRPr="00826FDC">
          <w:rPr>
            <w:rStyle w:val="Hyperlink"/>
            <w:rFonts w:ascii="Times New Roman" w:hAnsi="Times New Roman" w:cs="Times New Roman"/>
            <w:sz w:val="22"/>
            <w:szCs w:val="22"/>
            <w:lang w:val="en-US"/>
          </w:rPr>
          <w:t>https://doi.org/10.3390/f10030272</w:t>
        </w:r>
      </w:hyperlink>
    </w:p>
    <w:p w14:paraId="2AD9BF4A"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Crane, B. B., &amp; Dusenberry, J. (2004). </w:t>
      </w:r>
      <w:r w:rsidRPr="00826FDC">
        <w:rPr>
          <w:rFonts w:ascii="Times New Roman" w:hAnsi="Times New Roman" w:cs="Times New Roman"/>
          <w:i/>
          <w:iCs/>
          <w:sz w:val="22"/>
          <w:szCs w:val="22"/>
          <w:lang w:val="en-US"/>
        </w:rPr>
        <w:t>Power and politics in international funding for reproductive health: the US Global Gag Rule. Reproductive health matters</w:t>
      </w:r>
      <w:r w:rsidRPr="00826FDC">
        <w:rPr>
          <w:rFonts w:ascii="Times New Roman" w:hAnsi="Times New Roman" w:cs="Times New Roman"/>
          <w:sz w:val="22"/>
          <w:szCs w:val="22"/>
          <w:lang w:val="en-US"/>
        </w:rPr>
        <w:t>, 12(24), 128–137.</w:t>
      </w:r>
      <w:r w:rsidRPr="00826FDC">
        <w:rPr>
          <w:rFonts w:ascii="Times New Roman" w:hAnsi="Times New Roman" w:cs="Times New Roman"/>
          <w:i/>
          <w:iCs/>
          <w:sz w:val="22"/>
          <w:szCs w:val="22"/>
          <w:lang w:val="en-US"/>
        </w:rPr>
        <w:t xml:space="preserve"> </w:t>
      </w:r>
      <w:hyperlink r:id="rId17" w:history="1">
        <w:r w:rsidRPr="00826FDC">
          <w:rPr>
            <w:rStyle w:val="Hyperlink"/>
            <w:rFonts w:ascii="Times New Roman" w:hAnsi="Times New Roman" w:cs="Times New Roman"/>
            <w:sz w:val="22"/>
            <w:szCs w:val="22"/>
            <w:lang w:val="en-US"/>
          </w:rPr>
          <w:t>https://doi.org/10.1016/s0968-8080(04)24140-4</w:t>
        </w:r>
      </w:hyperlink>
      <w:r w:rsidRPr="00826FDC">
        <w:rPr>
          <w:rFonts w:ascii="Times New Roman" w:hAnsi="Times New Roman" w:cs="Times New Roman"/>
          <w:sz w:val="22"/>
          <w:szCs w:val="22"/>
          <w:lang w:val="en-US"/>
        </w:rPr>
        <w:t xml:space="preserve"> </w:t>
      </w:r>
    </w:p>
    <w:p w14:paraId="7E8C4AB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Cronbach, L. J. (1971). Test Validation </w:t>
      </w:r>
      <w:proofErr w:type="gramStart"/>
      <w:r w:rsidRPr="00826FDC">
        <w:rPr>
          <w:rFonts w:ascii="Times New Roman" w:hAnsi="Times New Roman" w:cs="Times New Roman"/>
          <w:sz w:val="22"/>
          <w:szCs w:val="22"/>
          <w:lang w:val="en-US"/>
        </w:rPr>
        <w:t>In</w:t>
      </w:r>
      <w:proofErr w:type="gramEnd"/>
      <w:r w:rsidRPr="00826FDC">
        <w:rPr>
          <w:rFonts w:ascii="Times New Roman" w:hAnsi="Times New Roman" w:cs="Times New Roman"/>
          <w:sz w:val="22"/>
          <w:szCs w:val="22"/>
          <w:lang w:val="en-US"/>
        </w:rPr>
        <w:t xml:space="preserve"> Educational Measurement, R. Thorndike (Ed.).</w:t>
      </w:r>
    </w:p>
    <w:p w14:paraId="671BC165"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Cyndi MacKenzie (2023), </w:t>
      </w:r>
      <w:r w:rsidRPr="00826FDC">
        <w:rPr>
          <w:rFonts w:ascii="Times New Roman" w:hAnsi="Times New Roman" w:cs="Times New Roman"/>
          <w:i/>
          <w:iCs/>
          <w:sz w:val="22"/>
          <w:szCs w:val="22"/>
          <w:lang w:val="en-US"/>
        </w:rPr>
        <w:t>what is a grant?</w:t>
      </w:r>
      <w:r w:rsidRPr="00826FDC">
        <w:rPr>
          <w:rFonts w:ascii="Times New Roman" w:hAnsi="Times New Roman" w:cs="Times New Roman"/>
          <w:sz w:val="22"/>
          <w:szCs w:val="22"/>
          <w:lang w:val="en-US"/>
        </w:rPr>
        <w:t xml:space="preserve"> Grant Professionals Association.</w:t>
      </w:r>
    </w:p>
    <w:p w14:paraId="2ED73B66"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Daniel E. Esser, Kara Keating Bench (2011), </w:t>
      </w:r>
      <w:r w:rsidRPr="00826FDC">
        <w:rPr>
          <w:rFonts w:ascii="Times New Roman" w:hAnsi="Times New Roman" w:cs="Times New Roman"/>
          <w:i/>
          <w:iCs/>
          <w:sz w:val="22"/>
          <w:szCs w:val="22"/>
          <w:lang w:val="en-US"/>
        </w:rPr>
        <w:t>Does Global Health Funding Respond to Recipients’ Needs? Comparing Public and Private Donors’ Allocations in 2005–2007, World Development, Volume 39, Issue 8, 2011</w:t>
      </w:r>
    </w:p>
    <w:p w14:paraId="120E8DA0"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Daniel L. Stufflebeam et al. (1985). Conducting Educational Needs Assessment, Kluwer-Nijhoff Publishing, Boston.</w:t>
      </w:r>
    </w:p>
    <w:p w14:paraId="535BF73C"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Dugger, C. W. (2009). </w:t>
      </w:r>
      <w:r w:rsidRPr="00826FDC">
        <w:rPr>
          <w:rFonts w:ascii="Times New Roman" w:hAnsi="Times New Roman" w:cs="Times New Roman"/>
          <w:i/>
          <w:iCs/>
          <w:sz w:val="22"/>
          <w:szCs w:val="22"/>
          <w:lang w:val="en-US"/>
        </w:rPr>
        <w:t>As donors focus on AIDS, child illnesses languish. New York Times</w:t>
      </w:r>
    </w:p>
    <w:p w14:paraId="0A2896E9"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Edward Freeeman (2010): Strategic Management: A Stakeholder Approach, Cambridge University Press</w:t>
      </w:r>
    </w:p>
    <w:p w14:paraId="52322184"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Fink, G., &amp; Redaelli, S. (2011). </w:t>
      </w:r>
      <w:r w:rsidRPr="00826FDC">
        <w:rPr>
          <w:rFonts w:ascii="Times New Roman" w:hAnsi="Times New Roman" w:cs="Times New Roman"/>
          <w:i/>
          <w:iCs/>
          <w:sz w:val="22"/>
          <w:szCs w:val="22"/>
          <w:lang w:val="en-US"/>
        </w:rPr>
        <w:t xml:space="preserve">Determinants of International Emergency Aid—Humanitarian Need Only? World Development, 39(5), 741-757. </w:t>
      </w:r>
      <w:hyperlink r:id="rId18" w:history="1">
        <w:r w:rsidRPr="00826FDC">
          <w:rPr>
            <w:rStyle w:val="Hyperlink"/>
            <w:rFonts w:ascii="Times New Roman" w:hAnsi="Times New Roman" w:cs="Times New Roman"/>
            <w:sz w:val="22"/>
            <w:szCs w:val="22"/>
            <w:lang w:val="en-US"/>
          </w:rPr>
          <w:t>https://doi.org/10.1016/j.worlddev.2010.09.004</w:t>
        </w:r>
      </w:hyperlink>
      <w:r w:rsidRPr="00826FDC">
        <w:rPr>
          <w:rFonts w:ascii="Times New Roman" w:hAnsi="Times New Roman" w:cs="Times New Roman"/>
          <w:sz w:val="22"/>
          <w:szCs w:val="22"/>
          <w:lang w:val="en-US"/>
        </w:rPr>
        <w:t xml:space="preserve"> </w:t>
      </w:r>
    </w:p>
    <w:p w14:paraId="683C999F"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Fouka, G., &amp; Mantzorou, M. (2011). </w:t>
      </w:r>
      <w:r w:rsidRPr="00826FDC">
        <w:rPr>
          <w:rFonts w:ascii="Times New Roman" w:hAnsi="Times New Roman" w:cs="Times New Roman"/>
          <w:i/>
          <w:iCs/>
          <w:sz w:val="22"/>
          <w:szCs w:val="22"/>
          <w:lang w:val="en-US"/>
        </w:rPr>
        <w:t xml:space="preserve">What are the major ethical issues in conducting </w:t>
      </w:r>
      <w:proofErr w:type="gramStart"/>
      <w:r w:rsidRPr="00826FDC">
        <w:rPr>
          <w:rFonts w:ascii="Times New Roman" w:hAnsi="Times New Roman" w:cs="Times New Roman"/>
          <w:i/>
          <w:iCs/>
          <w:sz w:val="22"/>
          <w:szCs w:val="22"/>
          <w:lang w:val="en-US"/>
        </w:rPr>
        <w:t>research?Is</w:t>
      </w:r>
      <w:proofErr w:type="gramEnd"/>
      <w:r w:rsidRPr="00826FDC">
        <w:rPr>
          <w:rFonts w:ascii="Times New Roman" w:hAnsi="Times New Roman" w:cs="Times New Roman"/>
          <w:i/>
          <w:iCs/>
          <w:sz w:val="22"/>
          <w:szCs w:val="22"/>
          <w:lang w:val="en-US"/>
        </w:rPr>
        <w:t xml:space="preserve"> there a conflict between the research ethics and the nature of nursing? Health science journal, 5(1), 3.</w:t>
      </w:r>
    </w:p>
    <w:p w14:paraId="77DE4C57"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Funnell, S. C., &amp; Rogers, P. J. (2011). </w:t>
      </w:r>
      <w:r w:rsidRPr="00826FDC">
        <w:rPr>
          <w:rFonts w:ascii="Times New Roman" w:hAnsi="Times New Roman" w:cs="Times New Roman"/>
          <w:i/>
          <w:iCs/>
          <w:sz w:val="22"/>
          <w:szCs w:val="22"/>
          <w:lang w:val="en-US"/>
        </w:rPr>
        <w:t>Purposeful program theory: Effective use of theories of change and logic models</w:t>
      </w:r>
      <w:r w:rsidRPr="00826FDC">
        <w:rPr>
          <w:rFonts w:ascii="Times New Roman" w:hAnsi="Times New Roman" w:cs="Times New Roman"/>
          <w:sz w:val="22"/>
          <w:szCs w:val="22"/>
          <w:lang w:val="en-US"/>
        </w:rPr>
        <w:t> (Vol. 31). John Wiley &amp; Sons.</w:t>
      </w:r>
    </w:p>
    <w:p w14:paraId="26238ECF"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Gerber, E.M. and Hui, J. (2013), </w:t>
      </w:r>
      <w:r w:rsidRPr="00826FDC">
        <w:rPr>
          <w:rFonts w:ascii="Times New Roman" w:hAnsi="Times New Roman" w:cs="Times New Roman"/>
          <w:i/>
          <w:iCs/>
          <w:sz w:val="22"/>
          <w:szCs w:val="22"/>
          <w:lang w:val="en-US"/>
        </w:rPr>
        <w:t>“Crowdfunding: motivations and deterrents for participation”, ACM Transactions on Computer-Human Interaction, Vol. 20 No. 6, pp. 1-32, doi: 10.1145/2530540.</w:t>
      </w:r>
    </w:p>
    <w:p w14:paraId="3D2A4F93"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Golafshani, N. B. (2003). Understanding reliability and validity in qualitative research, University of Toronto.</w:t>
      </w:r>
    </w:p>
    <w:p w14:paraId="1B3B92F8"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fr-FR"/>
        </w:rPr>
        <w:lastRenderedPageBreak/>
        <w:t xml:space="preserve">Guo, S., Lu, P., &amp; Song, Y. (2013). </w:t>
      </w:r>
      <w:r w:rsidRPr="00826FDC">
        <w:rPr>
          <w:rFonts w:ascii="Times New Roman" w:hAnsi="Times New Roman" w:cs="Times New Roman"/>
          <w:sz w:val="22"/>
          <w:szCs w:val="22"/>
          <w:lang w:val="en-US"/>
        </w:rPr>
        <w:t xml:space="preserve">The effects of trust and contractual mechanism on working relationships—an empirical study in engineering construction projects. American Journal of Industrial and Business Management, 03(06), 539-548. </w:t>
      </w:r>
      <w:hyperlink r:id="rId19" w:history="1">
        <w:r w:rsidRPr="00826FDC">
          <w:rPr>
            <w:rStyle w:val="Hyperlink"/>
            <w:rFonts w:ascii="Times New Roman" w:hAnsi="Times New Roman" w:cs="Times New Roman"/>
            <w:sz w:val="22"/>
            <w:szCs w:val="22"/>
            <w:lang w:val="en-US"/>
          </w:rPr>
          <w:t>https://doi.org/10.4236/ajibm.2013.36062</w:t>
        </w:r>
      </w:hyperlink>
    </w:p>
    <w:p w14:paraId="57820265"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Higgins, D. M. (2010). Investment styles and performance in the Australian unlisted wholesale property fund market. SSRN Electronic Journal. </w:t>
      </w:r>
      <w:hyperlink r:id="rId20" w:history="1">
        <w:r w:rsidRPr="00826FDC">
          <w:rPr>
            <w:rStyle w:val="Hyperlink"/>
            <w:rFonts w:ascii="Times New Roman" w:hAnsi="Times New Roman" w:cs="Times New Roman"/>
            <w:sz w:val="22"/>
            <w:szCs w:val="22"/>
            <w:lang w:val="en-US"/>
          </w:rPr>
          <w:t>https://doi.org/10.2139/ssrn.1648641</w:t>
        </w:r>
      </w:hyperlink>
    </w:p>
    <w:p w14:paraId="31A2AF6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Iwunna, O., Kennedy, J., &amp; Harmer, A. (2023). Flexibly funding who? an analysis of its donors’ voluntary contributions. BMJ Global Health, 8(4), e011232. </w:t>
      </w:r>
      <w:hyperlink r:id="rId21" w:history="1">
        <w:r w:rsidRPr="00826FDC">
          <w:rPr>
            <w:rStyle w:val="Hyperlink"/>
            <w:rFonts w:ascii="Times New Roman" w:hAnsi="Times New Roman" w:cs="Times New Roman"/>
            <w:sz w:val="22"/>
            <w:szCs w:val="22"/>
            <w:lang w:val="en-US"/>
          </w:rPr>
          <w:t>https://doi.org/10.1136/bmjgh-2022-011232</w:t>
        </w:r>
      </w:hyperlink>
    </w:p>
    <w:p w14:paraId="49303D5D"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Jääskä, E., Aaltonen, K., &amp; Kujala, J. (2021). Game-based learning in project sustainability management education. sustainability, 13(15), 8204. </w:t>
      </w:r>
      <w:hyperlink r:id="rId22" w:history="1">
        <w:r w:rsidRPr="00826FDC">
          <w:rPr>
            <w:rStyle w:val="Hyperlink"/>
            <w:rFonts w:ascii="Times New Roman" w:hAnsi="Times New Roman" w:cs="Times New Roman"/>
            <w:sz w:val="22"/>
            <w:szCs w:val="22"/>
            <w:lang w:val="en-US"/>
          </w:rPr>
          <w:t>https://doi.org/10.3390/su13158204</w:t>
        </w:r>
      </w:hyperlink>
    </w:p>
    <w:p w14:paraId="5AAEFA0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Jason Gordon (2022). Institutional Theory – Explained. The Business Professor. Available at:  </w:t>
      </w:r>
      <w:hyperlink r:id="rId23" w:history="1">
        <w:r w:rsidRPr="00826FDC">
          <w:rPr>
            <w:rStyle w:val="Hyperlink"/>
            <w:rFonts w:ascii="Times New Roman" w:hAnsi="Times New Roman" w:cs="Times New Roman"/>
            <w:sz w:val="22"/>
            <w:szCs w:val="22"/>
            <w:lang w:val="en-US"/>
          </w:rPr>
          <w:t>https://thebusinessprofessor.com/en_US/management-leadership-organizational-behavior/institutional-theory-explained</w:t>
        </w:r>
      </w:hyperlink>
      <w:r w:rsidRPr="00826FDC">
        <w:rPr>
          <w:rFonts w:ascii="Times New Roman" w:hAnsi="Times New Roman" w:cs="Times New Roman"/>
          <w:sz w:val="22"/>
          <w:szCs w:val="22"/>
          <w:lang w:val="en-US"/>
        </w:rPr>
        <w:t xml:space="preserve"> </w:t>
      </w:r>
    </w:p>
    <w:p w14:paraId="05BB48FF"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John Mayne (2008). </w:t>
      </w:r>
      <w:r w:rsidRPr="00826FDC">
        <w:rPr>
          <w:rFonts w:ascii="Times New Roman" w:hAnsi="Times New Roman" w:cs="Times New Roman"/>
          <w:i/>
          <w:iCs/>
          <w:sz w:val="22"/>
          <w:szCs w:val="22"/>
          <w:lang w:val="en-US"/>
        </w:rPr>
        <w:t>Contribution analysis: An approach to exploring cause and effect. The Institutional Learning and Change (ILAC) Initiative</w:t>
      </w:r>
      <w:r w:rsidRPr="00826FDC">
        <w:rPr>
          <w:rFonts w:ascii="Times New Roman" w:hAnsi="Times New Roman" w:cs="Times New Roman"/>
          <w:sz w:val="22"/>
          <w:szCs w:val="22"/>
          <w:lang w:val="en-US"/>
        </w:rPr>
        <w:t xml:space="preserve"> (www.cgiar-ilac.org)</w:t>
      </w:r>
    </w:p>
    <w:p w14:paraId="7CEC1FAC"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Kalman, H. (2016). Integrating evaluation and needs assessment: a case study of an ergonomics program. Performance Improvement Quarterly, 29(1), 51-69. </w:t>
      </w:r>
      <w:hyperlink r:id="rId24" w:history="1">
        <w:r w:rsidRPr="00826FDC">
          <w:rPr>
            <w:rStyle w:val="Hyperlink"/>
            <w:rFonts w:ascii="Times New Roman" w:hAnsi="Times New Roman" w:cs="Times New Roman"/>
            <w:sz w:val="22"/>
            <w:szCs w:val="22"/>
            <w:lang w:val="en-US"/>
          </w:rPr>
          <w:t>https://doi.org/10.1002/piq.21214</w:t>
        </w:r>
      </w:hyperlink>
    </w:p>
    <w:p w14:paraId="0987FCCD"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Kamau, B. (2024). Monitoring planning and implementation of donor funded agricultural projects in kenya. Journal of Entrepreneurship and Project Management, 9(1), 29-49. </w:t>
      </w:r>
      <w:hyperlink r:id="rId25" w:history="1">
        <w:r w:rsidRPr="00826FDC">
          <w:rPr>
            <w:rStyle w:val="Hyperlink"/>
            <w:rFonts w:ascii="Times New Roman" w:hAnsi="Times New Roman" w:cs="Times New Roman"/>
            <w:sz w:val="22"/>
            <w:szCs w:val="22"/>
            <w:lang w:val="en-US"/>
          </w:rPr>
          <w:t>https://doi.org/10.47941/jepm.1677</w:t>
        </w:r>
      </w:hyperlink>
    </w:p>
    <w:p w14:paraId="40FA0CE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Kavita Gupta (2007). A Practical Guide to Needs Assessment. Pfeiffer, San Francisco</w:t>
      </w:r>
    </w:p>
    <w:p w14:paraId="53CED2BD"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Khieng, S. (2013). Funding mobilization strategies of nongovernmental organizations in Cambodia. VOLUNTAS: International Journal of Voluntary and Nonprofit Organizations, 25(6), 1441-1464. </w:t>
      </w:r>
      <w:hyperlink r:id="rId26" w:history="1">
        <w:r w:rsidRPr="00826FDC">
          <w:rPr>
            <w:rStyle w:val="Hyperlink"/>
            <w:rFonts w:ascii="Times New Roman" w:hAnsi="Times New Roman" w:cs="Times New Roman"/>
            <w:sz w:val="22"/>
            <w:szCs w:val="22"/>
            <w:lang w:val="en-US"/>
          </w:rPr>
          <w:t>https://doi.org/10.1007/s11266-013-9400-7</w:t>
        </w:r>
      </w:hyperlink>
    </w:p>
    <w:p w14:paraId="4077730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fr-FR"/>
        </w:rPr>
        <w:t xml:space="preserve">Kisilu, D. K., &amp; Tromp, D. L. (2006). </w:t>
      </w:r>
      <w:r w:rsidRPr="00826FDC">
        <w:rPr>
          <w:rFonts w:ascii="Times New Roman" w:hAnsi="Times New Roman" w:cs="Times New Roman"/>
          <w:sz w:val="22"/>
          <w:szCs w:val="22"/>
          <w:lang w:val="en-US"/>
        </w:rPr>
        <w:t xml:space="preserve">Proposal and Thesis Writing. Pauline, Nairobi   </w:t>
      </w:r>
    </w:p>
    <w:p w14:paraId="4185A41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Kombo D.K. and Tromp D.L. (2006). Proposal and thesis writing, an introduction. Paulines, Nairobi</w:t>
      </w:r>
    </w:p>
    <w:p w14:paraId="3EF6106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Kothari, C.R. (2004) Research Methodology: Methods and Techniques. 2nd Edition, New Age International Publishers, New Delhi.</w:t>
      </w:r>
    </w:p>
    <w:p w14:paraId="00E022C7"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Kuhn, L. (2008</w:t>
      </w:r>
      <w:r w:rsidRPr="00826FDC">
        <w:rPr>
          <w:rFonts w:ascii="Times New Roman" w:hAnsi="Times New Roman" w:cs="Times New Roman"/>
          <w:i/>
          <w:iCs/>
          <w:sz w:val="22"/>
          <w:szCs w:val="22"/>
          <w:lang w:val="en-US"/>
        </w:rPr>
        <w:t>). Complexity and educational research: A critical reflection. Educational Philosophy and Theory, 40(1), 177-189.</w:t>
      </w:r>
    </w:p>
    <w:p w14:paraId="31A2DA3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Leisher, C., Bugan, R., &amp; Ngo, S. (2024). Improving theories of change in conservation projects. Conservation Science and Practice, 6(11). </w:t>
      </w:r>
      <w:hyperlink r:id="rId27" w:history="1">
        <w:r w:rsidRPr="00826FDC">
          <w:rPr>
            <w:rStyle w:val="Hyperlink"/>
            <w:rFonts w:ascii="Times New Roman" w:hAnsi="Times New Roman" w:cs="Times New Roman"/>
            <w:sz w:val="22"/>
            <w:szCs w:val="22"/>
            <w:lang w:val="en-US"/>
          </w:rPr>
          <w:t>https://doi.org/10.1111/csp2.13248</w:t>
        </w:r>
      </w:hyperlink>
    </w:p>
    <w:p w14:paraId="4F9AA3C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Liao, C. and Lian, J. (2022). Gender inequality in applying research project and funding. Journal of Information Science, 50(2), 546-554. </w:t>
      </w:r>
      <w:hyperlink r:id="rId28" w:history="1">
        <w:r w:rsidRPr="00826FDC">
          <w:rPr>
            <w:rStyle w:val="Hyperlink"/>
            <w:rFonts w:ascii="Times New Roman" w:hAnsi="Times New Roman" w:cs="Times New Roman"/>
            <w:sz w:val="22"/>
            <w:szCs w:val="22"/>
            <w:lang w:val="en-US"/>
          </w:rPr>
          <w:t>https://doi.org/10.1177/01655515221097861</w:t>
        </w:r>
      </w:hyperlink>
    </w:p>
    <w:p w14:paraId="7A8B1F24"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Luk Van Wassenhove (2022). </w:t>
      </w:r>
      <w:r w:rsidRPr="00826FDC">
        <w:rPr>
          <w:rFonts w:ascii="Times New Roman" w:hAnsi="Times New Roman" w:cs="Times New Roman"/>
          <w:i/>
          <w:iCs/>
          <w:sz w:val="22"/>
          <w:szCs w:val="22"/>
          <w:lang w:val="en-US"/>
        </w:rPr>
        <w:t xml:space="preserve">Making Humanitarian Operations More Sustainable, Knowledge INSEAD. </w:t>
      </w:r>
      <w:hyperlink r:id="rId29" w:history="1">
        <w:r w:rsidRPr="00826FDC">
          <w:rPr>
            <w:rStyle w:val="Hyperlink"/>
            <w:rFonts w:ascii="Times New Roman" w:hAnsi="Times New Roman" w:cs="Times New Roman"/>
            <w:i/>
            <w:iCs/>
            <w:sz w:val="22"/>
            <w:szCs w:val="22"/>
            <w:lang w:val="en-US"/>
          </w:rPr>
          <w:t>https://knowledge.insead.edu/operations/making-humanitarian-operations-more-sustainable</w:t>
        </w:r>
      </w:hyperlink>
      <w:r w:rsidRPr="00826FDC">
        <w:rPr>
          <w:rFonts w:ascii="Times New Roman" w:hAnsi="Times New Roman" w:cs="Times New Roman"/>
          <w:i/>
          <w:iCs/>
          <w:sz w:val="22"/>
          <w:szCs w:val="22"/>
          <w:lang w:val="en-US"/>
        </w:rPr>
        <w:t xml:space="preserve"> </w:t>
      </w:r>
    </w:p>
    <w:p w14:paraId="46368FA1"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MacKellar, L. (2005). </w:t>
      </w:r>
      <w:r w:rsidRPr="00826FDC">
        <w:rPr>
          <w:rFonts w:ascii="Times New Roman" w:hAnsi="Times New Roman" w:cs="Times New Roman"/>
          <w:i/>
          <w:iCs/>
          <w:sz w:val="22"/>
          <w:szCs w:val="22"/>
          <w:lang w:val="en-US"/>
        </w:rPr>
        <w:t>Priorities in global assistance for health, AIDS, and population, OECD Development Centre Working Paper No. 244. Paris: OECD.</w:t>
      </w:r>
    </w:p>
    <w:p w14:paraId="3630EE8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Martin, A. and Stein, S. (2020). Female surgical trainees and departmental awards. Jama Surgery. </w:t>
      </w:r>
      <w:hyperlink r:id="rId30" w:history="1">
        <w:r w:rsidRPr="00826FDC">
          <w:rPr>
            <w:rStyle w:val="Hyperlink"/>
            <w:rFonts w:ascii="Times New Roman" w:hAnsi="Times New Roman" w:cs="Times New Roman"/>
            <w:sz w:val="22"/>
            <w:szCs w:val="22"/>
            <w:lang w:val="en-US"/>
          </w:rPr>
          <w:t>https://doi.org/10.1001/jamasurg.2020.3532</w:t>
        </w:r>
      </w:hyperlink>
    </w:p>
    <w:p w14:paraId="0E3B7F1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Maxfield, M. G., &amp; Babbie, E. R. (2014). Research methods for criminal justice and criminology. Cengage Learning. McGraw-Hill.</w:t>
      </w:r>
    </w:p>
    <w:p w14:paraId="1B888615"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Mayer, R.C., Davis, J.H. and Schoorman, F.D. (1995), </w:t>
      </w:r>
      <w:r w:rsidRPr="00826FDC">
        <w:rPr>
          <w:rFonts w:ascii="Times New Roman" w:hAnsi="Times New Roman" w:cs="Times New Roman"/>
          <w:i/>
          <w:iCs/>
          <w:sz w:val="22"/>
          <w:szCs w:val="22"/>
          <w:lang w:val="en-US"/>
        </w:rPr>
        <w:t xml:space="preserve">“An integrative model of organizational trust”, Academy of Management Review, Vol. 20 No. 3, pp. 709-734, doi: 10.5465/amr.1995.9508080335 </w:t>
      </w:r>
    </w:p>
    <w:p w14:paraId="5F8C817C"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Megan Keup (2023) </w:t>
      </w:r>
      <w:r w:rsidRPr="00826FDC">
        <w:rPr>
          <w:rFonts w:ascii="Times New Roman" w:hAnsi="Times New Roman" w:cs="Times New Roman"/>
          <w:i/>
          <w:iCs/>
          <w:sz w:val="22"/>
          <w:szCs w:val="22"/>
          <w:lang w:val="en-US"/>
        </w:rPr>
        <w:t>What Is Stakeholder Theory?</w:t>
      </w:r>
      <w:r w:rsidRPr="00826FDC">
        <w:rPr>
          <w:rFonts w:ascii="Times New Roman" w:hAnsi="Times New Roman" w:cs="Times New Roman"/>
          <w:sz w:val="22"/>
          <w:szCs w:val="22"/>
          <w:lang w:val="en-US"/>
        </w:rPr>
        <w:t xml:space="preserve"> Available on Project Manager, </w:t>
      </w:r>
      <w:hyperlink r:id="rId31" w:history="1">
        <w:r w:rsidRPr="00826FDC">
          <w:rPr>
            <w:rStyle w:val="Hyperlink"/>
            <w:rFonts w:ascii="Times New Roman" w:hAnsi="Times New Roman" w:cs="Times New Roman"/>
            <w:sz w:val="22"/>
            <w:szCs w:val="22"/>
            <w:lang w:val="en-US"/>
          </w:rPr>
          <w:t>https://www.projectmanager.com/blog/what-is-stakeholder-theory</w:t>
        </w:r>
      </w:hyperlink>
      <w:r w:rsidRPr="00826FDC">
        <w:rPr>
          <w:rFonts w:ascii="Times New Roman" w:hAnsi="Times New Roman" w:cs="Times New Roman"/>
          <w:sz w:val="22"/>
          <w:szCs w:val="22"/>
          <w:lang w:val="en-US"/>
        </w:rPr>
        <w:t xml:space="preserve">  </w:t>
      </w:r>
    </w:p>
    <w:p w14:paraId="2C50522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Miguel A. Tamonan (2022). USAID business forecast: Q1 2023 | Devex. Available on </w:t>
      </w:r>
      <w:hyperlink r:id="rId32" w:history="1">
        <w:r w:rsidRPr="00826FDC">
          <w:rPr>
            <w:rStyle w:val="Hyperlink"/>
            <w:rFonts w:ascii="Times New Roman" w:hAnsi="Times New Roman" w:cs="Times New Roman"/>
            <w:sz w:val="22"/>
            <w:szCs w:val="22"/>
            <w:lang w:val="en-US"/>
          </w:rPr>
          <w:t>https://www.devex.com/news/usaid-business-forecast-q1-2023-104545</w:t>
        </w:r>
      </w:hyperlink>
    </w:p>
    <w:p w14:paraId="206D8A4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Mirando, M. A. and Turzillo, A. M. (2018). Funding opportunities at the national institute of food and agriculture: program priorities and tips for successful grant writing. Clinical Theriogenology, 10(4), 469-475. </w:t>
      </w:r>
      <w:hyperlink r:id="rId33" w:history="1">
        <w:r w:rsidRPr="00826FDC">
          <w:rPr>
            <w:rStyle w:val="Hyperlink"/>
            <w:rFonts w:ascii="Times New Roman" w:hAnsi="Times New Roman" w:cs="Times New Roman"/>
            <w:sz w:val="22"/>
            <w:szCs w:val="22"/>
            <w:lang w:val="en-US"/>
          </w:rPr>
          <w:t>https://doi.org/10.58292/ct.v10.9905</w:t>
        </w:r>
      </w:hyperlink>
    </w:p>
    <w:p w14:paraId="255E77EC"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Mugenda, O.M. and Mugenda, A.G. (2003) Research Methods, Quantitative and Qualitative Approaches. ACT, Nairobi.  </w:t>
      </w:r>
    </w:p>
    <w:p w14:paraId="342B6011"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Mugenda, Q.M. and Mugenda, A.G. (2009) Research Methods: Quantitative and Qualitative Approaches. ACTS, Nairobi. </w:t>
      </w:r>
    </w:p>
    <w:p w14:paraId="7F114304"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lastRenderedPageBreak/>
        <w:t xml:space="preserve">Neumayer, E. (2003). The Determinants of Aid Allocation by Regional Multilateral Development Banks and United Nations Agencies. International Studies Quarterly, 47(1), 101–122. </w:t>
      </w:r>
      <w:hyperlink r:id="rId34" w:history="1">
        <w:r w:rsidRPr="00826FDC">
          <w:rPr>
            <w:rStyle w:val="Hyperlink"/>
            <w:rFonts w:ascii="Times New Roman" w:hAnsi="Times New Roman" w:cs="Times New Roman"/>
            <w:sz w:val="22"/>
            <w:szCs w:val="22"/>
            <w:lang w:val="en-US"/>
          </w:rPr>
          <w:t>http://www.jstor.org/stable/3096078</w:t>
        </w:r>
      </w:hyperlink>
      <w:r w:rsidRPr="00826FDC">
        <w:rPr>
          <w:rFonts w:ascii="Times New Roman" w:hAnsi="Times New Roman" w:cs="Times New Roman"/>
          <w:sz w:val="22"/>
          <w:szCs w:val="22"/>
          <w:lang w:val="en-US"/>
        </w:rPr>
        <w:t xml:space="preserve"> </w:t>
      </w:r>
    </w:p>
    <w:p w14:paraId="5444DE4C"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Ngechu, M. (2004). Understanding the Research Process and Methods. An Introduction to Research Methods.</w:t>
      </w:r>
    </w:p>
    <w:p w14:paraId="7110EE89"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Nikaj S, Roychowdhury D, Lund PK, Matthews M, Pearson K. (2018). </w:t>
      </w:r>
      <w:r w:rsidRPr="00826FDC">
        <w:rPr>
          <w:rFonts w:ascii="Times New Roman" w:hAnsi="Times New Roman" w:cs="Times New Roman"/>
          <w:i/>
          <w:iCs/>
          <w:sz w:val="22"/>
          <w:szCs w:val="22"/>
          <w:lang w:val="en-US"/>
        </w:rPr>
        <w:t>Examining trends in the diversity of the U.S. National Institutes of Health participating and funded workforce</w:t>
      </w:r>
      <w:r w:rsidRPr="00826FDC">
        <w:rPr>
          <w:rFonts w:ascii="Times New Roman" w:hAnsi="Times New Roman" w:cs="Times New Roman"/>
          <w:sz w:val="22"/>
          <w:szCs w:val="22"/>
          <w:lang w:val="en-US"/>
        </w:rPr>
        <w:t xml:space="preserve">. FASEB J. </w:t>
      </w:r>
      <w:hyperlink r:id="rId35" w:history="1">
        <w:r w:rsidRPr="00826FDC">
          <w:rPr>
            <w:rStyle w:val="Hyperlink"/>
            <w:rFonts w:ascii="Times New Roman" w:hAnsi="Times New Roman" w:cs="Times New Roman"/>
            <w:sz w:val="22"/>
            <w:szCs w:val="22"/>
            <w:lang w:val="en-US"/>
          </w:rPr>
          <w:t>https://doi.org/10.1096/fj.201800639</w:t>
        </w:r>
      </w:hyperlink>
      <w:r w:rsidRPr="00826FDC">
        <w:rPr>
          <w:rFonts w:ascii="Times New Roman" w:hAnsi="Times New Roman" w:cs="Times New Roman"/>
          <w:sz w:val="22"/>
          <w:szCs w:val="22"/>
          <w:lang w:val="en-US"/>
        </w:rPr>
        <w:t xml:space="preserve"> </w:t>
      </w:r>
    </w:p>
    <w:p w14:paraId="319BF14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Organization for Economic Co-operation and Development (2023). Defining humanitarian assistance. Global Humanitarian Assistance.</w:t>
      </w:r>
    </w:p>
    <w:p w14:paraId="46854122"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Orodho, A. (2011). Essentials of Educational and Social Sciences Research Methods. Mazola Publishers, Nairobi.</w:t>
      </w:r>
    </w:p>
    <w:p w14:paraId="0120A29A"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Pablo Arocena (2008). </w:t>
      </w:r>
      <w:r w:rsidRPr="00826FDC">
        <w:rPr>
          <w:rFonts w:ascii="Times New Roman" w:hAnsi="Times New Roman" w:cs="Times New Roman"/>
          <w:i/>
          <w:iCs/>
          <w:sz w:val="22"/>
          <w:szCs w:val="22"/>
          <w:lang w:val="en-US"/>
        </w:rPr>
        <w:t>Cost and quality gains from diversification and vertical integration in the electricity industry: A DEA approach, Energy Economics, Volume 30, Issue 1, 2008</w:t>
      </w:r>
    </w:p>
    <w:p w14:paraId="5C0A9AF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Paina, L., Tetui, M., Ekirapa-Kiracho, E., Barman, D., Ahmed, T., Mahmood, S. S., … &amp; Bennett, S. (2017). Using theories of change to inform implementation of health systems research and innovation: experiences of future health systems consortium partners in Bangladesh, India and Uganda. Health Research Policy and Systems, 15(S2). </w:t>
      </w:r>
      <w:hyperlink r:id="rId36" w:history="1">
        <w:r w:rsidRPr="00826FDC">
          <w:rPr>
            <w:rStyle w:val="Hyperlink"/>
            <w:rFonts w:ascii="Times New Roman" w:hAnsi="Times New Roman" w:cs="Times New Roman"/>
            <w:sz w:val="22"/>
            <w:szCs w:val="22"/>
            <w:lang w:val="en-US"/>
          </w:rPr>
          <w:t>https://doi.org/10.1186/s12961-017-0272-y</w:t>
        </w:r>
      </w:hyperlink>
    </w:p>
    <w:p w14:paraId="1DE84908"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Parks, T. (2008). The rise and fall of donor funding for advocacy ngos: understanding the impact. Development in Practice, 18(2), 213-222. https://doi.org/10.1080/09614520801899036</w:t>
      </w:r>
    </w:p>
    <w:p w14:paraId="73467F89"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Paul Brest (2008). </w:t>
      </w:r>
      <w:r w:rsidRPr="00826FDC">
        <w:rPr>
          <w:rFonts w:ascii="Times New Roman" w:hAnsi="Times New Roman" w:cs="Times New Roman"/>
          <w:i/>
          <w:iCs/>
          <w:sz w:val="22"/>
          <w:szCs w:val="22"/>
          <w:lang w:val="en-US"/>
        </w:rPr>
        <w:t>Forms of Philanthropic Support: The Centrality of Alignment. The William and Flora Hewlett Foundation, 2008 Annual Report</w:t>
      </w:r>
    </w:p>
    <w:p w14:paraId="72979D7B"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Périn, I., &amp; Attaran, A. (2003). Trading ideology for dialogue: an opportunity to fix international aid for health? Lancet (London, England), 361(9364), 1216–1219. </w:t>
      </w:r>
      <w:hyperlink r:id="rId37" w:history="1">
        <w:r w:rsidRPr="00826FDC">
          <w:rPr>
            <w:rStyle w:val="Hyperlink"/>
            <w:rFonts w:ascii="Times New Roman" w:hAnsi="Times New Roman" w:cs="Times New Roman"/>
            <w:sz w:val="22"/>
            <w:szCs w:val="22"/>
            <w:lang w:val="en-US"/>
          </w:rPr>
          <w:t>https://doi.org/10.1016/S0140-6736(03)12956</w:t>
        </w:r>
      </w:hyperlink>
      <w:r w:rsidRPr="00826FDC">
        <w:rPr>
          <w:rFonts w:ascii="Times New Roman" w:hAnsi="Times New Roman" w:cs="Times New Roman"/>
          <w:sz w:val="22"/>
          <w:szCs w:val="22"/>
          <w:lang w:val="en-US"/>
        </w:rPr>
        <w:t xml:space="preserve">  </w:t>
      </w:r>
    </w:p>
    <w:p w14:paraId="3D817B7C"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Perlman, Daniel, and Ananya Roy (2009), The Practice of International Health: A Case-Based Orientation, New York; online edition, Oxford Academia, </w:t>
      </w:r>
      <w:hyperlink r:id="rId38" w:history="1">
        <w:r w:rsidRPr="00826FDC">
          <w:rPr>
            <w:rStyle w:val="Hyperlink"/>
            <w:rFonts w:ascii="Times New Roman" w:hAnsi="Times New Roman" w:cs="Times New Roman"/>
            <w:sz w:val="22"/>
            <w:szCs w:val="22"/>
            <w:lang w:val="en-US"/>
          </w:rPr>
          <w:t>https://doi.org/10.1093/acprof:oso/9780195310276.001.0001</w:t>
        </w:r>
      </w:hyperlink>
      <w:r w:rsidRPr="00826FDC">
        <w:rPr>
          <w:rFonts w:ascii="Times New Roman" w:hAnsi="Times New Roman" w:cs="Times New Roman"/>
          <w:sz w:val="22"/>
          <w:szCs w:val="22"/>
          <w:lang w:val="en-US"/>
        </w:rPr>
        <w:t xml:space="preserve"> , accessed 6 June 2024.</w:t>
      </w:r>
    </w:p>
    <w:p w14:paraId="2B6B0B01"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Philip Tamminga (2011). Sustainability in Humanitarian Action, Dara Impact Matters</w:t>
      </w:r>
    </w:p>
    <w:p w14:paraId="4491FFB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Prasad, J. M., Shipley, M. T., Rogers, T. B., &amp; Puche, A. C. (2020). National Institutes of Health (NIH) grant awards: Does past performance predict future success? Palgrave Communications, 6(1), 1-7. </w:t>
      </w:r>
      <w:hyperlink r:id="rId39" w:history="1">
        <w:r w:rsidRPr="00826FDC">
          <w:rPr>
            <w:rStyle w:val="Hyperlink"/>
            <w:rFonts w:ascii="Times New Roman" w:hAnsi="Times New Roman" w:cs="Times New Roman"/>
            <w:sz w:val="22"/>
            <w:szCs w:val="22"/>
            <w:lang w:val="en-US"/>
          </w:rPr>
          <w:t>https://doi.org/10.1057/s41599-020-0432-5</w:t>
        </w:r>
      </w:hyperlink>
      <w:r w:rsidRPr="00826FDC">
        <w:rPr>
          <w:rFonts w:ascii="Times New Roman" w:hAnsi="Times New Roman" w:cs="Times New Roman"/>
          <w:sz w:val="22"/>
          <w:szCs w:val="22"/>
          <w:lang w:val="en-US"/>
        </w:rPr>
        <w:t xml:space="preserve"> </w:t>
      </w:r>
    </w:p>
    <w:p w14:paraId="300C5EA9"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Pratt, B. and Hyder, A. (2014). Reinterpreting responsiveness for health systems research in low and middle‐income countries. Bioethics, 29(6), 379-388. </w:t>
      </w:r>
      <w:hyperlink r:id="rId40" w:history="1">
        <w:r w:rsidRPr="00826FDC">
          <w:rPr>
            <w:rStyle w:val="Hyperlink"/>
            <w:rFonts w:ascii="Times New Roman" w:hAnsi="Times New Roman" w:cs="Times New Roman"/>
            <w:sz w:val="22"/>
            <w:szCs w:val="22"/>
            <w:lang w:val="en-US"/>
          </w:rPr>
          <w:t>https://doi.org/10.1111/bioe.12138</w:t>
        </w:r>
      </w:hyperlink>
    </w:p>
    <w:p w14:paraId="659835E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Radford, M. L., Connaway, L. S., Mikitish, S., Alpert, M., Shah, C., &amp; Cooke, N. A. (2017). </w:t>
      </w:r>
      <w:r w:rsidRPr="00826FDC">
        <w:rPr>
          <w:rFonts w:ascii="Times New Roman" w:hAnsi="Times New Roman" w:cs="Times New Roman"/>
          <w:i/>
          <w:iCs/>
          <w:sz w:val="22"/>
          <w:szCs w:val="22"/>
          <w:lang w:val="en-US"/>
        </w:rPr>
        <w:t xml:space="preserve">Shared values, new vision: Collaboration and communities of practice in virtual reference and SQA. Journal of the Association for Information Science and Technology, 68(2), 438-449. </w:t>
      </w:r>
      <w:hyperlink r:id="rId41" w:history="1">
        <w:r w:rsidRPr="00826FDC">
          <w:rPr>
            <w:rStyle w:val="Hyperlink"/>
            <w:rFonts w:ascii="Times New Roman" w:hAnsi="Times New Roman" w:cs="Times New Roman"/>
            <w:sz w:val="22"/>
            <w:szCs w:val="22"/>
            <w:lang w:val="en-US"/>
          </w:rPr>
          <w:t>https://asistdl.onlinelibrary.wiley.com/doi/abs/10.1002/asi.23668</w:t>
        </w:r>
      </w:hyperlink>
      <w:r w:rsidRPr="00826FDC">
        <w:rPr>
          <w:rFonts w:ascii="Times New Roman" w:hAnsi="Times New Roman" w:cs="Times New Roman"/>
          <w:sz w:val="22"/>
          <w:szCs w:val="22"/>
          <w:lang w:val="en-US"/>
        </w:rPr>
        <w:t xml:space="preserve"> </w:t>
      </w:r>
    </w:p>
    <w:p w14:paraId="1B5A090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Rahman, H. U., Raza, M., Afsar, P., &amp; Khan, H. U. (2021). Empirical investigation of influencing factors regarding offshore outsourcing decision of application maintenance. IEEE Access, 9, 58589-58608. </w:t>
      </w:r>
      <w:hyperlink r:id="rId42" w:history="1">
        <w:r w:rsidRPr="00826FDC">
          <w:rPr>
            <w:rStyle w:val="Hyperlink"/>
            <w:rFonts w:ascii="Times New Roman" w:hAnsi="Times New Roman" w:cs="Times New Roman"/>
            <w:sz w:val="22"/>
            <w:szCs w:val="22"/>
            <w:lang w:val="en-US"/>
          </w:rPr>
          <w:t>https://doi.org/10.1109/access.2021.3073315</w:t>
        </w:r>
      </w:hyperlink>
    </w:p>
    <w:p w14:paraId="681977BB"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Ralf Müller, Nathalie Drouin, and Shankar Sankaran (2019). Organizational Project Management: Theory and Implementation, Elgar Introductions to Management and Organization Theory series, Monograph Books, Seiten.</w:t>
      </w:r>
    </w:p>
    <w:p w14:paraId="34133C7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Ravishankar, N., Gubbins, P., Cooley, R. J., Leach-Kemon, K., Michaud, C. M., Jamison, D. T., &amp; Murray, C. J. (2009). Financing of global health: tracking development assistance for health from 1990 to 2007. </w:t>
      </w:r>
      <w:r w:rsidRPr="00826FDC">
        <w:rPr>
          <w:rFonts w:ascii="Times New Roman" w:hAnsi="Times New Roman" w:cs="Times New Roman"/>
          <w:i/>
          <w:iCs/>
          <w:sz w:val="22"/>
          <w:szCs w:val="22"/>
          <w:lang w:val="en-US"/>
        </w:rPr>
        <w:t>Lancet (London, England)</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373</w:t>
      </w:r>
      <w:r w:rsidRPr="00826FDC">
        <w:rPr>
          <w:rFonts w:ascii="Times New Roman" w:hAnsi="Times New Roman" w:cs="Times New Roman"/>
          <w:sz w:val="22"/>
          <w:szCs w:val="22"/>
          <w:lang w:val="en-US"/>
        </w:rPr>
        <w:t xml:space="preserve">(9681), 2113–2124. </w:t>
      </w:r>
      <w:hyperlink r:id="rId43" w:history="1">
        <w:r w:rsidRPr="00826FDC">
          <w:rPr>
            <w:rStyle w:val="Hyperlink"/>
            <w:rFonts w:ascii="Times New Roman" w:hAnsi="Times New Roman" w:cs="Times New Roman"/>
            <w:sz w:val="22"/>
            <w:szCs w:val="22"/>
            <w:lang w:val="en-US"/>
          </w:rPr>
          <w:t>https://doi.org/10.1016/S0140-6736(09)60881-3</w:t>
        </w:r>
      </w:hyperlink>
      <w:r w:rsidRPr="00826FDC">
        <w:rPr>
          <w:rFonts w:ascii="Times New Roman" w:hAnsi="Times New Roman" w:cs="Times New Roman"/>
          <w:sz w:val="22"/>
          <w:szCs w:val="22"/>
          <w:lang w:val="en-US"/>
        </w:rPr>
        <w:t xml:space="preserve">  </w:t>
      </w:r>
    </w:p>
    <w:p w14:paraId="6104756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Reinholz, D. and Andrews, T. (2020). Change theory and theory of change: what’s the difference anyway? International Journal of STEM Education, 7(1). </w:t>
      </w:r>
      <w:hyperlink r:id="rId44" w:history="1">
        <w:r w:rsidRPr="00826FDC">
          <w:rPr>
            <w:rStyle w:val="Hyperlink"/>
            <w:rFonts w:ascii="Times New Roman" w:hAnsi="Times New Roman" w:cs="Times New Roman"/>
            <w:sz w:val="22"/>
            <w:szCs w:val="22"/>
            <w:lang w:val="en-US"/>
          </w:rPr>
          <w:t>https://doi.org/10.1186/s40594-020-0202-3</w:t>
        </w:r>
      </w:hyperlink>
    </w:p>
    <w:p w14:paraId="0318E323"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Ridho, W. and Violita, E. (2020). Do muslim donors consider accountability, trust, and reputation? </w:t>
      </w:r>
      <w:hyperlink r:id="rId45" w:history="1">
        <w:r w:rsidRPr="00826FDC">
          <w:rPr>
            <w:rStyle w:val="Hyperlink"/>
            <w:rFonts w:ascii="Times New Roman" w:hAnsi="Times New Roman" w:cs="Times New Roman"/>
            <w:sz w:val="22"/>
            <w:szCs w:val="22"/>
            <w:lang w:val="en-US"/>
          </w:rPr>
          <w:t>https://doi.org/10.4108/eai.1-11-2019.2294023</w:t>
        </w:r>
      </w:hyperlink>
    </w:p>
    <w:p w14:paraId="6CCE6CB6"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S.R. Benatar et al. (2009). Making progress in global health: The need for new paradigms, International Affairs.</w:t>
      </w:r>
    </w:p>
    <w:p w14:paraId="462D6866"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lastRenderedPageBreak/>
        <w:t>Shiffman, J. (2006). Donor funding priorities for communicable disease control in the developing world. </w:t>
      </w:r>
      <w:r w:rsidRPr="00826FDC">
        <w:rPr>
          <w:rFonts w:ascii="Times New Roman" w:hAnsi="Times New Roman" w:cs="Times New Roman"/>
          <w:i/>
          <w:iCs/>
          <w:sz w:val="22"/>
          <w:szCs w:val="22"/>
          <w:lang w:val="en-US"/>
        </w:rPr>
        <w:t>Health policy and planning</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21</w:t>
      </w:r>
      <w:r w:rsidRPr="00826FDC">
        <w:rPr>
          <w:rFonts w:ascii="Times New Roman" w:hAnsi="Times New Roman" w:cs="Times New Roman"/>
          <w:sz w:val="22"/>
          <w:szCs w:val="22"/>
          <w:lang w:val="en-US"/>
        </w:rPr>
        <w:t xml:space="preserve">(6), 411-420. </w:t>
      </w:r>
    </w:p>
    <w:p w14:paraId="570AD936"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Smekalin, I. (2022). From a to b by a proven route: theory of change as a tool for impact planning and evaluation. Positive Changes, 2(3), 46-55. </w:t>
      </w:r>
      <w:hyperlink r:id="rId46" w:history="1">
        <w:r w:rsidRPr="00826FDC">
          <w:rPr>
            <w:rStyle w:val="Hyperlink"/>
            <w:rFonts w:ascii="Times New Roman" w:hAnsi="Times New Roman" w:cs="Times New Roman"/>
            <w:sz w:val="22"/>
            <w:szCs w:val="22"/>
            <w:lang w:val="en-US"/>
          </w:rPr>
          <w:t>https://doi.org/10.55140/2782-5817-2022-2-3-46-55</w:t>
        </w:r>
      </w:hyperlink>
    </w:p>
    <w:p w14:paraId="563BC362"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South Sudan NGO Forum (2024), Membership NGOs 2024 </w:t>
      </w:r>
    </w:p>
    <w:p w14:paraId="4DC36D7A"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Stringer, P. (2017). Issue of sustainability in global humanitarian programs. </w:t>
      </w:r>
      <w:r w:rsidRPr="00826FDC">
        <w:rPr>
          <w:rFonts w:ascii="Times New Roman" w:hAnsi="Times New Roman" w:cs="Times New Roman"/>
          <w:i/>
          <w:iCs/>
          <w:sz w:val="22"/>
          <w:szCs w:val="22"/>
          <w:lang w:val="en-US"/>
        </w:rPr>
        <w:t>Perspectives of the ASHA Special Interest Groups</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2</w:t>
      </w:r>
      <w:r w:rsidRPr="00826FDC">
        <w:rPr>
          <w:rFonts w:ascii="Times New Roman" w:hAnsi="Times New Roman" w:cs="Times New Roman"/>
          <w:sz w:val="22"/>
          <w:szCs w:val="22"/>
          <w:lang w:val="en-US"/>
        </w:rPr>
        <w:t xml:space="preserve">(17), 3-8. </w:t>
      </w:r>
    </w:p>
    <w:p w14:paraId="5D4BCA38"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Suddaby, R. (Ed.). (2010). Editor's comments: Construct clarity in theories of management and organization. </w:t>
      </w:r>
      <w:r w:rsidRPr="00826FDC">
        <w:rPr>
          <w:rFonts w:ascii="Times New Roman" w:hAnsi="Times New Roman" w:cs="Times New Roman"/>
          <w:i/>
          <w:iCs/>
          <w:sz w:val="22"/>
          <w:szCs w:val="22"/>
          <w:lang w:val="en-US"/>
        </w:rPr>
        <w:t>Academy of management review</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35</w:t>
      </w:r>
      <w:r w:rsidRPr="00826FDC">
        <w:rPr>
          <w:rFonts w:ascii="Times New Roman" w:hAnsi="Times New Roman" w:cs="Times New Roman"/>
          <w:sz w:val="22"/>
          <w:szCs w:val="22"/>
          <w:lang w:val="en-US"/>
        </w:rPr>
        <w:t xml:space="preserve">(3), 346-357. </w:t>
      </w:r>
    </w:p>
    <w:p w14:paraId="3F99AB92"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The Organization for Economic Cooperation and Development (2012), Towards Better Humanitarian Donorship: 12 Lessons from DAC Peer Reviews</w:t>
      </w:r>
    </w:p>
    <w:p w14:paraId="0557E918"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Thomas P. Moran, John M.Carroll (1996): Overview of Design Rationale. Routledge, New Jersey</w:t>
      </w:r>
    </w:p>
    <w:p w14:paraId="1895E429"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Democracy Fund (n.d.), How proposals are assessed and the selection process. Available at </w:t>
      </w:r>
      <w:hyperlink r:id="rId47" w:history="1">
        <w:r w:rsidRPr="00826FDC">
          <w:rPr>
            <w:rStyle w:val="Hyperlink"/>
            <w:rFonts w:ascii="Times New Roman" w:hAnsi="Times New Roman" w:cs="Times New Roman"/>
            <w:sz w:val="22"/>
            <w:szCs w:val="22"/>
            <w:lang w:val="en-US"/>
          </w:rPr>
          <w:t>https://www.un.org/democracyfund/content/how-proposals-are-assessed-and-selection-process</w:t>
        </w:r>
      </w:hyperlink>
      <w:r w:rsidRPr="00826FDC">
        <w:rPr>
          <w:rFonts w:ascii="Times New Roman" w:hAnsi="Times New Roman" w:cs="Times New Roman"/>
          <w:sz w:val="22"/>
          <w:szCs w:val="22"/>
          <w:lang w:val="en-US"/>
        </w:rPr>
        <w:t xml:space="preserve">  </w:t>
      </w:r>
    </w:p>
    <w:p w14:paraId="495EB35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Office for the Coordination of Humanitarian Affairs (2022), Global Humanitarian Overview 2022. Retrieved from </w:t>
      </w:r>
      <w:hyperlink r:id="rId48" w:history="1">
        <w:r w:rsidRPr="00826FDC">
          <w:rPr>
            <w:rStyle w:val="Hyperlink"/>
            <w:rFonts w:ascii="Times New Roman" w:hAnsi="Times New Roman" w:cs="Times New Roman"/>
            <w:sz w:val="22"/>
            <w:szCs w:val="22"/>
            <w:lang w:val="en-US"/>
          </w:rPr>
          <w:t>https://reliefweb.int/topics/global-  humanitarian-overview-</w:t>
        </w:r>
      </w:hyperlink>
      <w:r w:rsidRPr="00826FDC">
        <w:rPr>
          <w:rFonts w:ascii="Times New Roman" w:hAnsi="Times New Roman" w:cs="Times New Roman"/>
          <w:sz w:val="22"/>
          <w:szCs w:val="22"/>
          <w:lang w:val="en-US"/>
        </w:rPr>
        <w:t xml:space="preserve"> 2022 19 Feb 2022</w:t>
      </w:r>
    </w:p>
    <w:p w14:paraId="5112DE28"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Office for the Coordination of Humanitarian Affairs (2021); South Sudan Humanitarian Fund 2021 at a Glance. </w:t>
      </w:r>
    </w:p>
    <w:p w14:paraId="5BE17E4B"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(2022); South Sudan Humanitarian Fund (CHF) Standard Allocation Strategy July 2022</w:t>
      </w:r>
    </w:p>
    <w:p w14:paraId="74B6F44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(2022); South Sudan Humanitarian Needs Overview 2022 (February 2022)</w:t>
      </w:r>
    </w:p>
    <w:p w14:paraId="29C77E93"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(2023), Afghanistan Humanitarian Needs and Response Plan 2024 (December 2023)</w:t>
      </w:r>
    </w:p>
    <w:p w14:paraId="654F9B40"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(2023), Yemen: Humanitarian Response Snapshot (December 2023)</w:t>
      </w:r>
    </w:p>
    <w:p w14:paraId="3A03DBE3"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Office for the Coordination of Humanitarian Affairs (2023); South Sudan Humanitarian Needs Overview 2023 </w:t>
      </w:r>
    </w:p>
    <w:p w14:paraId="4117740C"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(2024), Somalia 2024 Humanitarian Needs and Response Plan (January 2024)</w:t>
      </w:r>
    </w:p>
    <w:p w14:paraId="3BCBCF5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(2024), Yemen Humanitarian Needs Overview (January 2024)</w:t>
      </w:r>
    </w:p>
    <w:p w14:paraId="14DF2F4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Office of the Coordination of Humanitarian Affairs (2022), Global Humanitarian Overview 2022, April Update (Snapshot as of 13 May 2022) </w:t>
      </w:r>
    </w:p>
    <w:p w14:paraId="5125805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Wang, T., Thornhill, S., &amp; Zhao, B. (2018). Pay‐for‐performance, employee participation, and SME performance. </w:t>
      </w:r>
      <w:r w:rsidRPr="00826FDC">
        <w:rPr>
          <w:rFonts w:ascii="Times New Roman" w:hAnsi="Times New Roman" w:cs="Times New Roman"/>
          <w:i/>
          <w:iCs/>
          <w:sz w:val="22"/>
          <w:szCs w:val="22"/>
          <w:lang w:val="en-US"/>
        </w:rPr>
        <w:t>Journal of Small Business Management</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56</w:t>
      </w:r>
      <w:r w:rsidRPr="00826FDC">
        <w:rPr>
          <w:rFonts w:ascii="Times New Roman" w:hAnsi="Times New Roman" w:cs="Times New Roman"/>
          <w:sz w:val="22"/>
          <w:szCs w:val="22"/>
          <w:lang w:val="en-US"/>
        </w:rPr>
        <w:t>(3), 412-434.</w:t>
      </w:r>
    </w:p>
    <w:p w14:paraId="26BAA49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Watkins Allen, M., Coopman, S. J., Hart, J. L., &amp; Walker, K. L. (2007). Workplace surveillance and managing privacy boundaries. </w:t>
      </w:r>
      <w:r w:rsidRPr="00826FDC">
        <w:rPr>
          <w:rFonts w:ascii="Times New Roman" w:hAnsi="Times New Roman" w:cs="Times New Roman"/>
          <w:i/>
          <w:iCs/>
          <w:sz w:val="22"/>
          <w:szCs w:val="22"/>
          <w:lang w:val="en-US"/>
        </w:rPr>
        <w:t>Management Communication Quarterly</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21</w:t>
      </w:r>
      <w:r w:rsidRPr="00826FDC">
        <w:rPr>
          <w:rFonts w:ascii="Times New Roman" w:hAnsi="Times New Roman" w:cs="Times New Roman"/>
          <w:sz w:val="22"/>
          <w:szCs w:val="22"/>
          <w:lang w:val="en-US"/>
        </w:rPr>
        <w:t xml:space="preserve">(2), 172-200. </w:t>
      </w:r>
    </w:p>
    <w:p w14:paraId="6148F3CB"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Yu, M., Zhu, F., Yang, X., Wang, L., &amp; Sun, X. (2018). Integrating sustainability into construction engineering projects: perspective of sustainable project planning. Sustainability, 10(3), 784. </w:t>
      </w:r>
      <w:hyperlink r:id="rId49" w:history="1">
        <w:r w:rsidRPr="00826FDC">
          <w:rPr>
            <w:rStyle w:val="Hyperlink"/>
            <w:rFonts w:ascii="Times New Roman" w:hAnsi="Times New Roman" w:cs="Times New Roman"/>
            <w:sz w:val="22"/>
            <w:szCs w:val="22"/>
            <w:lang w:val="en-US"/>
          </w:rPr>
          <w:t>https://doi.org/10.3390/su10030784</w:t>
        </w:r>
      </w:hyperlink>
      <w:r w:rsidRPr="00826FDC">
        <w:rPr>
          <w:rFonts w:ascii="Times New Roman" w:hAnsi="Times New Roman" w:cs="Times New Roman"/>
          <w:sz w:val="22"/>
          <w:szCs w:val="22"/>
          <w:lang w:val="en-US"/>
        </w:rPr>
        <w:t xml:space="preserve"> </w:t>
      </w:r>
    </w:p>
    <w:bookmarkEnd w:id="19"/>
    <w:p w14:paraId="46BDA2C4" w14:textId="77777777" w:rsidR="00A17103" w:rsidRPr="00616019" w:rsidRDefault="00A17103" w:rsidP="004749BC">
      <w:pPr>
        <w:spacing w:after="0" w:line="240" w:lineRule="auto"/>
        <w:jc w:val="both"/>
        <w:rPr>
          <w:rFonts w:ascii="Times New Roman" w:hAnsi="Times New Roman" w:cs="Times New Roman"/>
          <w:sz w:val="22"/>
          <w:szCs w:val="22"/>
        </w:rPr>
      </w:pPr>
    </w:p>
    <w:sectPr w:rsidR="00A17103" w:rsidRPr="00616019">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713A" w14:textId="77777777" w:rsidR="00A0468E" w:rsidRDefault="00A0468E" w:rsidP="00F40AE3">
      <w:pPr>
        <w:spacing w:after="0" w:line="240" w:lineRule="auto"/>
      </w:pPr>
      <w:r>
        <w:separator/>
      </w:r>
    </w:p>
  </w:endnote>
  <w:endnote w:type="continuationSeparator" w:id="0">
    <w:p w14:paraId="725C9436" w14:textId="77777777" w:rsidR="00A0468E" w:rsidRDefault="00A0468E" w:rsidP="00F4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DC69" w14:textId="77777777" w:rsidR="00F40AE3" w:rsidRDefault="00F40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511E" w14:textId="77777777" w:rsidR="00F40AE3" w:rsidRDefault="00F40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0F91" w14:textId="77777777" w:rsidR="00F40AE3" w:rsidRDefault="00F40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2D7C" w14:textId="77777777" w:rsidR="00A0468E" w:rsidRDefault="00A0468E" w:rsidP="00F40AE3">
      <w:pPr>
        <w:spacing w:after="0" w:line="240" w:lineRule="auto"/>
      </w:pPr>
      <w:r>
        <w:separator/>
      </w:r>
    </w:p>
  </w:footnote>
  <w:footnote w:type="continuationSeparator" w:id="0">
    <w:p w14:paraId="0F64D037" w14:textId="77777777" w:rsidR="00A0468E" w:rsidRDefault="00A0468E" w:rsidP="00F40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1144" w14:textId="5E5FCA03" w:rsidR="00F40AE3" w:rsidRDefault="00000000">
    <w:pPr>
      <w:pStyle w:val="Header"/>
    </w:pPr>
    <w:r>
      <w:rPr>
        <w:noProof/>
      </w:rPr>
      <w:pict w14:anchorId="3BF5C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07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0095" w14:textId="0F1A26B6" w:rsidR="00F40AE3" w:rsidRDefault="00000000">
    <w:pPr>
      <w:pStyle w:val="Header"/>
    </w:pPr>
    <w:r>
      <w:rPr>
        <w:noProof/>
      </w:rPr>
      <w:pict w14:anchorId="1220C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07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D96F" w14:textId="254A24A3" w:rsidR="00F40AE3" w:rsidRDefault="00000000">
    <w:pPr>
      <w:pStyle w:val="Header"/>
    </w:pPr>
    <w:r>
      <w:rPr>
        <w:noProof/>
      </w:rPr>
      <w:pict w14:anchorId="75B7B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07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04A"/>
    <w:multiLevelType w:val="hybridMultilevel"/>
    <w:tmpl w:val="4DF28ED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1D31128"/>
    <w:multiLevelType w:val="hybridMultilevel"/>
    <w:tmpl w:val="B1F0E54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2590390B"/>
    <w:multiLevelType w:val="hybridMultilevel"/>
    <w:tmpl w:val="38EE627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769E6F14"/>
    <w:multiLevelType w:val="hybridMultilevel"/>
    <w:tmpl w:val="B3D687FE"/>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79F0365D"/>
    <w:multiLevelType w:val="hybridMultilevel"/>
    <w:tmpl w:val="2A14A534"/>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2084447047">
    <w:abstractNumId w:val="1"/>
  </w:num>
  <w:num w:numId="2" w16cid:durableId="337856351">
    <w:abstractNumId w:val="2"/>
  </w:num>
  <w:num w:numId="3" w16cid:durableId="786704964">
    <w:abstractNumId w:val="0"/>
  </w:num>
  <w:num w:numId="4" w16cid:durableId="557516505">
    <w:abstractNumId w:val="4"/>
  </w:num>
  <w:num w:numId="5" w16cid:durableId="15711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BA"/>
    <w:rsid w:val="000075E0"/>
    <w:rsid w:val="000160BA"/>
    <w:rsid w:val="00052F98"/>
    <w:rsid w:val="001D7229"/>
    <w:rsid w:val="001E1679"/>
    <w:rsid w:val="001F1D34"/>
    <w:rsid w:val="00203D11"/>
    <w:rsid w:val="00230917"/>
    <w:rsid w:val="00237439"/>
    <w:rsid w:val="00277771"/>
    <w:rsid w:val="00306DEE"/>
    <w:rsid w:val="003360D0"/>
    <w:rsid w:val="004749BC"/>
    <w:rsid w:val="004D4C31"/>
    <w:rsid w:val="005164B6"/>
    <w:rsid w:val="0056409D"/>
    <w:rsid w:val="0060557A"/>
    <w:rsid w:val="00616019"/>
    <w:rsid w:val="0076397C"/>
    <w:rsid w:val="00826FDC"/>
    <w:rsid w:val="00890F11"/>
    <w:rsid w:val="008B4DB0"/>
    <w:rsid w:val="00924993"/>
    <w:rsid w:val="00924C20"/>
    <w:rsid w:val="009B2AD4"/>
    <w:rsid w:val="00A0468E"/>
    <w:rsid w:val="00A17103"/>
    <w:rsid w:val="00A264ED"/>
    <w:rsid w:val="00A47AC7"/>
    <w:rsid w:val="00A47F92"/>
    <w:rsid w:val="00A871B2"/>
    <w:rsid w:val="00AB5530"/>
    <w:rsid w:val="00B24990"/>
    <w:rsid w:val="00B81F7E"/>
    <w:rsid w:val="00B8692B"/>
    <w:rsid w:val="00C53139"/>
    <w:rsid w:val="00C9687E"/>
    <w:rsid w:val="00CB1051"/>
    <w:rsid w:val="00D923E1"/>
    <w:rsid w:val="00DA1689"/>
    <w:rsid w:val="00E149D3"/>
    <w:rsid w:val="00E37EB3"/>
    <w:rsid w:val="00E75932"/>
    <w:rsid w:val="00F338AA"/>
    <w:rsid w:val="00F40AE3"/>
    <w:rsid w:val="00F76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05441"/>
  <w15:chartTrackingRefBased/>
  <w15:docId w15:val="{3CA30D90-7375-4179-BC04-2412EFA4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0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60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160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60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160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0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60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160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0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0160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0BA"/>
    <w:rPr>
      <w:rFonts w:eastAsiaTheme="majorEastAsia" w:cstheme="majorBidi"/>
      <w:color w:val="272727" w:themeColor="text1" w:themeTint="D8"/>
    </w:rPr>
  </w:style>
  <w:style w:type="paragraph" w:styleId="Title">
    <w:name w:val="Title"/>
    <w:basedOn w:val="Normal"/>
    <w:next w:val="Normal"/>
    <w:link w:val="TitleChar"/>
    <w:uiPriority w:val="10"/>
    <w:qFormat/>
    <w:rsid w:val="00016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0BA"/>
    <w:pPr>
      <w:spacing w:before="160"/>
      <w:jc w:val="center"/>
    </w:pPr>
    <w:rPr>
      <w:i/>
      <w:iCs/>
      <w:color w:val="404040" w:themeColor="text1" w:themeTint="BF"/>
    </w:rPr>
  </w:style>
  <w:style w:type="character" w:customStyle="1" w:styleId="QuoteChar">
    <w:name w:val="Quote Char"/>
    <w:basedOn w:val="DefaultParagraphFont"/>
    <w:link w:val="Quote"/>
    <w:uiPriority w:val="29"/>
    <w:rsid w:val="000160BA"/>
    <w:rPr>
      <w:i/>
      <w:iCs/>
      <w:color w:val="404040" w:themeColor="text1" w:themeTint="BF"/>
    </w:rPr>
  </w:style>
  <w:style w:type="paragraph" w:styleId="ListParagraph">
    <w:name w:val="List Paragraph"/>
    <w:basedOn w:val="Normal"/>
    <w:uiPriority w:val="34"/>
    <w:qFormat/>
    <w:rsid w:val="000160BA"/>
    <w:pPr>
      <w:ind w:left="720"/>
      <w:contextualSpacing/>
    </w:pPr>
  </w:style>
  <w:style w:type="character" w:styleId="IntenseEmphasis">
    <w:name w:val="Intense Emphasis"/>
    <w:basedOn w:val="DefaultParagraphFont"/>
    <w:uiPriority w:val="21"/>
    <w:qFormat/>
    <w:rsid w:val="000160BA"/>
    <w:rPr>
      <w:i/>
      <w:iCs/>
      <w:color w:val="2F5496" w:themeColor="accent1" w:themeShade="BF"/>
    </w:rPr>
  </w:style>
  <w:style w:type="paragraph" w:styleId="IntenseQuote">
    <w:name w:val="Intense Quote"/>
    <w:basedOn w:val="Normal"/>
    <w:next w:val="Normal"/>
    <w:link w:val="IntenseQuoteChar"/>
    <w:uiPriority w:val="30"/>
    <w:qFormat/>
    <w:rsid w:val="000160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0BA"/>
    <w:rPr>
      <w:i/>
      <w:iCs/>
      <w:color w:val="2F5496" w:themeColor="accent1" w:themeShade="BF"/>
    </w:rPr>
  </w:style>
  <w:style w:type="character" w:styleId="IntenseReference">
    <w:name w:val="Intense Reference"/>
    <w:basedOn w:val="DefaultParagraphFont"/>
    <w:uiPriority w:val="32"/>
    <w:qFormat/>
    <w:rsid w:val="000160BA"/>
    <w:rPr>
      <w:b/>
      <w:bCs/>
      <w:smallCaps/>
      <w:color w:val="2F5496" w:themeColor="accent1" w:themeShade="BF"/>
      <w:spacing w:val="5"/>
    </w:rPr>
  </w:style>
  <w:style w:type="table" w:styleId="ListTable6Colorful">
    <w:name w:val="List Table 6 Colorful"/>
    <w:basedOn w:val="TableNormal"/>
    <w:uiPriority w:val="51"/>
    <w:rsid w:val="00A871B2"/>
    <w:pPr>
      <w:spacing w:after="0" w:line="240" w:lineRule="auto"/>
    </w:pPr>
    <w:rPr>
      <w:color w:val="000000" w:themeColor="text1"/>
      <w:sz w:val="22"/>
      <w:szCs w:val="22"/>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360D0"/>
    <w:rPr>
      <w:color w:val="0563C1" w:themeColor="hyperlink"/>
      <w:u w:val="single"/>
    </w:rPr>
  </w:style>
  <w:style w:type="character" w:customStyle="1" w:styleId="UnresolvedMention1">
    <w:name w:val="Unresolved Mention1"/>
    <w:basedOn w:val="DefaultParagraphFont"/>
    <w:uiPriority w:val="99"/>
    <w:semiHidden/>
    <w:unhideWhenUsed/>
    <w:rsid w:val="00A47F92"/>
    <w:rPr>
      <w:color w:val="605E5C"/>
      <w:shd w:val="clear" w:color="auto" w:fill="E1DFDD"/>
    </w:rPr>
  </w:style>
  <w:style w:type="paragraph" w:styleId="Header">
    <w:name w:val="header"/>
    <w:basedOn w:val="Normal"/>
    <w:link w:val="HeaderChar"/>
    <w:uiPriority w:val="99"/>
    <w:unhideWhenUsed/>
    <w:rsid w:val="00F40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AE3"/>
  </w:style>
  <w:style w:type="paragraph" w:styleId="Footer">
    <w:name w:val="footer"/>
    <w:basedOn w:val="Normal"/>
    <w:link w:val="FooterChar"/>
    <w:uiPriority w:val="99"/>
    <w:unhideWhenUsed/>
    <w:rsid w:val="00F40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937586719873143" TargetMode="External"/><Relationship Id="rId18" Type="http://schemas.openxmlformats.org/officeDocument/2006/relationships/hyperlink" Target="https://doi.org/10.1016/j.worlddev.2010.09.004" TargetMode="External"/><Relationship Id="rId26" Type="http://schemas.openxmlformats.org/officeDocument/2006/relationships/hyperlink" Target="https://doi.org/10.1007/s11266-013-9400-7" TargetMode="External"/><Relationship Id="rId39" Type="http://schemas.openxmlformats.org/officeDocument/2006/relationships/hyperlink" Target="https://doi.org/10.1057/s41599-020-0432-5" TargetMode="External"/><Relationship Id="rId21" Type="http://schemas.openxmlformats.org/officeDocument/2006/relationships/hyperlink" Target="https://doi.org/10.1136/bmjgh-2022-011232" TargetMode="External"/><Relationship Id="rId34" Type="http://schemas.openxmlformats.org/officeDocument/2006/relationships/hyperlink" Target="http://www.jstor.org/stable/3096078" TargetMode="External"/><Relationship Id="rId42" Type="http://schemas.openxmlformats.org/officeDocument/2006/relationships/hyperlink" Target="https://doi.org/10.1109/access.2021.3073315" TargetMode="External"/><Relationship Id="rId47" Type="http://schemas.openxmlformats.org/officeDocument/2006/relationships/hyperlink" Target="https://www.un.org/democracyfund/content/how-proposals-are-assessed-and-selection-process"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doi.org/10.1016/j.ijproman.2006.10.005" TargetMode="External"/><Relationship Id="rId12" Type="http://schemas.openxmlformats.org/officeDocument/2006/relationships/hyperlink" Target="https://doi.org/10.2139/ssrn.269362" TargetMode="External"/><Relationship Id="rId17" Type="http://schemas.openxmlformats.org/officeDocument/2006/relationships/hyperlink" Target="https://doi.org/10.1016/s0968-8080(04)24140-4" TargetMode="External"/><Relationship Id="rId25" Type="http://schemas.openxmlformats.org/officeDocument/2006/relationships/hyperlink" Target="https://doi.org/10.47941/jepm.1677" TargetMode="External"/><Relationship Id="rId33" Type="http://schemas.openxmlformats.org/officeDocument/2006/relationships/hyperlink" Target="https://doi.org/10.58292/ct.v10.9905" TargetMode="External"/><Relationship Id="rId38" Type="http://schemas.openxmlformats.org/officeDocument/2006/relationships/hyperlink" Target="https://doi.org/10.1093/acprof:oso/9780195310276.001.0001" TargetMode="External"/><Relationship Id="rId46" Type="http://schemas.openxmlformats.org/officeDocument/2006/relationships/hyperlink" Target="https://doi.org/10.55140/2782-5817-2022-2-3-46-55" TargetMode="External"/><Relationship Id="rId2" Type="http://schemas.openxmlformats.org/officeDocument/2006/relationships/styles" Target="styles.xml"/><Relationship Id="rId16" Type="http://schemas.openxmlformats.org/officeDocument/2006/relationships/hyperlink" Target="https://doi.org/10.3390/f10030272" TargetMode="External"/><Relationship Id="rId20" Type="http://schemas.openxmlformats.org/officeDocument/2006/relationships/hyperlink" Target="https://doi.org/10.2139/ssrn.1648641" TargetMode="External"/><Relationship Id="rId29" Type="http://schemas.openxmlformats.org/officeDocument/2006/relationships/hyperlink" Target="https://knowledge.insead.edu/operations/making-humanitarian-operations-more-sustainable" TargetMode="External"/><Relationship Id="rId41" Type="http://schemas.openxmlformats.org/officeDocument/2006/relationships/hyperlink" Target="https://asistdl.onlinelibrary.wiley.com/doi/abs/10.1002/asi.23668"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744/irjmis.v6n5.704" TargetMode="External"/><Relationship Id="rId24" Type="http://schemas.openxmlformats.org/officeDocument/2006/relationships/hyperlink" Target="https://doi.org/10.1002/piq.21214" TargetMode="External"/><Relationship Id="rId32" Type="http://schemas.openxmlformats.org/officeDocument/2006/relationships/hyperlink" Target="https://www.devex.com/news/usaid-business-forecast-q1-2023-104545" TargetMode="External"/><Relationship Id="rId37" Type="http://schemas.openxmlformats.org/officeDocument/2006/relationships/hyperlink" Target="https://doi.org/10.1016/S0140-6736(03)12956" TargetMode="External"/><Relationship Id="rId40" Type="http://schemas.openxmlformats.org/officeDocument/2006/relationships/hyperlink" Target="https://doi.org/10.1111/bioe.12138" TargetMode="External"/><Relationship Id="rId45" Type="http://schemas.openxmlformats.org/officeDocument/2006/relationships/hyperlink" Target="https://doi.org/10.4108/eai.1-11-2019.2294023"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57/palgrave.ijea.2140232" TargetMode="External"/><Relationship Id="rId23" Type="http://schemas.openxmlformats.org/officeDocument/2006/relationships/hyperlink" Target="https://thebusinessprofessor.com/en_US/management-leadership-organizational-behavior/institutional-theory-explained" TargetMode="External"/><Relationship Id="rId28" Type="http://schemas.openxmlformats.org/officeDocument/2006/relationships/hyperlink" Target="https://doi.org/10.1177/01655515221097861" TargetMode="External"/><Relationship Id="rId36" Type="http://schemas.openxmlformats.org/officeDocument/2006/relationships/hyperlink" Target="https://doi.org/10.1186/s12961-017-0272-y" TargetMode="External"/><Relationship Id="rId49" Type="http://schemas.openxmlformats.org/officeDocument/2006/relationships/hyperlink" Target="https://doi.org/10.3390/su10030784" TargetMode="External"/><Relationship Id="rId57" Type="http://schemas.openxmlformats.org/officeDocument/2006/relationships/theme" Target="theme/theme1.xml"/><Relationship Id="rId10" Type="http://schemas.openxmlformats.org/officeDocument/2006/relationships/hyperlink" Target="https://www.devex.com/news/cooperation-rather-than-aid-how-japan-plans-to-spend-30b-in-africa-104215" TargetMode="External"/><Relationship Id="rId19" Type="http://schemas.openxmlformats.org/officeDocument/2006/relationships/hyperlink" Target="https://doi.org/10.4236/ajibm.2013.36062" TargetMode="External"/><Relationship Id="rId31" Type="http://schemas.openxmlformats.org/officeDocument/2006/relationships/hyperlink" Target="https://www.projectmanager.com/blog/what-is-stakeholder-theory" TargetMode="External"/><Relationship Id="rId44" Type="http://schemas.openxmlformats.org/officeDocument/2006/relationships/hyperlink" Target="https://doi.org/10.1186/s40594-020-0202-3"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47405/mjssh.v8i6.2359" TargetMode="External"/><Relationship Id="rId14" Type="http://schemas.openxmlformats.org/officeDocument/2006/relationships/hyperlink" Target="https://doi.org/10.1016/j.ijproman.2017.02.018" TargetMode="External"/><Relationship Id="rId22" Type="http://schemas.openxmlformats.org/officeDocument/2006/relationships/hyperlink" Target="https://doi.org/10.3390/su13158204" TargetMode="External"/><Relationship Id="rId27" Type="http://schemas.openxmlformats.org/officeDocument/2006/relationships/hyperlink" Target="https://doi.org/10.1111/csp2.13248" TargetMode="External"/><Relationship Id="rId30" Type="http://schemas.openxmlformats.org/officeDocument/2006/relationships/hyperlink" Target="https://doi.org/10.1001/jamasurg.2020.3532" TargetMode="External"/><Relationship Id="rId35" Type="http://schemas.openxmlformats.org/officeDocument/2006/relationships/hyperlink" Target="https://doi.org/10.1096/fj.201800639" TargetMode="External"/><Relationship Id="rId43" Type="http://schemas.openxmlformats.org/officeDocument/2006/relationships/hyperlink" Target="https://doi.org/10.1016/S0140-6736(09)60881-3" TargetMode="External"/><Relationship Id="rId48" Type="http://schemas.openxmlformats.org/officeDocument/2006/relationships/hyperlink" Target="https://reliefweb.int/topics/global-%20%20humanitarian-overview-" TargetMode="External"/><Relationship Id="rId56" Type="http://schemas.openxmlformats.org/officeDocument/2006/relationships/fontTable" Target="fontTable.xml"/><Relationship Id="rId8" Type="http://schemas.openxmlformats.org/officeDocument/2006/relationships/hyperlink" Target="https://doi.org/10.1108/09513570210418905" TargetMode="External"/><Relationship Id="rId51"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10968</Words>
  <Characters>62518</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2025-08-18T16:53:00Z</dcterms:created>
  <dcterms:modified xsi:type="dcterms:W3CDTF">2025-08-27T10:35:00Z</dcterms:modified>
</cp:coreProperties>
</file>