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BE9" w:rsidRDefault="00025BE9" w:rsidP="0050764F">
      <w:pPr>
        <w:spacing w:line="360" w:lineRule="auto"/>
        <w:jc w:val="center"/>
        <w:rPr>
          <w:rFonts w:ascii="Times New Roman" w:hAnsi="Times New Roman" w:cs="Times New Roman"/>
          <w:b/>
          <w:bCs/>
          <w:sz w:val="28"/>
          <w:szCs w:val="28"/>
        </w:rPr>
      </w:pPr>
      <w:r w:rsidRPr="00025BE9">
        <w:rPr>
          <w:rFonts w:ascii="Times New Roman" w:hAnsi="Times New Roman" w:cs="Times New Roman"/>
          <w:b/>
          <w:bCs/>
          <w:sz w:val="28"/>
          <w:szCs w:val="28"/>
        </w:rPr>
        <w:t xml:space="preserve">Original Research Article </w:t>
      </w:r>
    </w:p>
    <w:p w:rsidR="00025BE9" w:rsidRDefault="00025BE9" w:rsidP="0050764F">
      <w:pPr>
        <w:spacing w:line="360" w:lineRule="auto"/>
        <w:jc w:val="center"/>
        <w:rPr>
          <w:rFonts w:ascii="Times New Roman" w:hAnsi="Times New Roman" w:cs="Times New Roman"/>
          <w:b/>
          <w:bCs/>
          <w:sz w:val="28"/>
          <w:szCs w:val="28"/>
        </w:rPr>
      </w:pPr>
    </w:p>
    <w:p w:rsidR="0050764F" w:rsidRDefault="0050764F" w:rsidP="0050764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Synergies in Sustainability: </w:t>
      </w:r>
      <w:r w:rsidRPr="0063089C">
        <w:rPr>
          <w:rFonts w:ascii="Times New Roman" w:hAnsi="Times New Roman" w:cs="Times New Roman"/>
          <w:b/>
          <w:bCs/>
          <w:sz w:val="28"/>
          <w:szCs w:val="28"/>
        </w:rPr>
        <w:t>Progress and Prospects</w:t>
      </w:r>
      <w:r>
        <w:rPr>
          <w:rFonts w:ascii="Times New Roman" w:hAnsi="Times New Roman" w:cs="Times New Roman"/>
          <w:b/>
          <w:bCs/>
          <w:sz w:val="28"/>
          <w:szCs w:val="28"/>
        </w:rPr>
        <w:t xml:space="preserve"> for India-Japan Energy Cooperation in 21</w:t>
      </w:r>
      <w:r w:rsidRPr="003A4F5C">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Century</w:t>
      </w:r>
    </w:p>
    <w:p w:rsidR="00F972D8" w:rsidRDefault="00F972D8" w:rsidP="0050764F">
      <w:pPr>
        <w:spacing w:line="240" w:lineRule="auto"/>
        <w:jc w:val="center"/>
        <w:rPr>
          <w:rFonts w:ascii="Times New Roman" w:hAnsi="Times New Roman" w:cs="Times New Roman"/>
          <w:sz w:val="24"/>
          <w:szCs w:val="24"/>
          <w:vertAlign w:val="superscript"/>
        </w:rPr>
      </w:pPr>
      <w:bookmarkStart w:id="0" w:name="_GoBack"/>
      <w:bookmarkEnd w:id="0"/>
    </w:p>
    <w:p w:rsidR="00F972D8" w:rsidRDefault="00F972D8" w:rsidP="0050764F">
      <w:pPr>
        <w:spacing w:line="240" w:lineRule="auto"/>
        <w:jc w:val="center"/>
        <w:rPr>
          <w:rFonts w:ascii="Times New Roman" w:hAnsi="Times New Roman" w:cs="Times New Roman"/>
          <w:sz w:val="24"/>
          <w:szCs w:val="24"/>
          <w:vertAlign w:val="superscript"/>
        </w:rPr>
      </w:pPr>
    </w:p>
    <w:p w:rsidR="00DF00D6" w:rsidRPr="00053FA5" w:rsidRDefault="00C42F61" w:rsidP="00DF00D6">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Abstract</w:t>
      </w:r>
      <w:r w:rsidR="00A01EF5" w:rsidRPr="00053FA5">
        <w:rPr>
          <w:rFonts w:ascii="Times New Roman" w:hAnsi="Times New Roman" w:cs="Times New Roman"/>
          <w:sz w:val="24"/>
          <w:szCs w:val="24"/>
        </w:rPr>
        <w:t xml:space="preserve"> </w:t>
      </w:r>
      <w:proofErr w:type="gramStart"/>
      <w:r w:rsidR="00DF00D6" w:rsidRPr="00053FA5">
        <w:rPr>
          <w:rFonts w:ascii="Times New Roman" w:hAnsi="Times New Roman" w:cs="Times New Roman"/>
          <w:sz w:val="24"/>
          <w:szCs w:val="24"/>
        </w:rPr>
        <w:t>The</w:t>
      </w:r>
      <w:proofErr w:type="gramEnd"/>
      <w:r w:rsidR="00DF00D6" w:rsidRPr="00053FA5">
        <w:rPr>
          <w:rFonts w:ascii="Times New Roman" w:hAnsi="Times New Roman" w:cs="Times New Roman"/>
          <w:sz w:val="24"/>
          <w:szCs w:val="24"/>
        </w:rPr>
        <w:t xml:space="preserve"> India-Japan energy relation rolls back to 2006 when India-Japan Energy Dialogue was set up between the two nations to promote energy sector in a comprehensive manner. India sets the target to achieve net zero by 2070 while Japan by 2050. India- Japan Clean Energy Partnership (CEP) was launched in March 2020. The </w:t>
      </w:r>
      <w:r w:rsidR="00DF00D6" w:rsidRPr="00DF00D6">
        <w:rPr>
          <w:rFonts w:ascii="Times New Roman" w:hAnsi="Times New Roman" w:cs="Times New Roman"/>
          <w:sz w:val="24"/>
          <w:szCs w:val="24"/>
        </w:rPr>
        <w:t>study</w:t>
      </w:r>
      <w:r w:rsidR="00DF00D6">
        <w:rPr>
          <w:rFonts w:ascii="Times New Roman" w:hAnsi="Times New Roman" w:cs="Times New Roman"/>
          <w:color w:val="FF0000"/>
          <w:sz w:val="24"/>
          <w:szCs w:val="24"/>
        </w:rPr>
        <w:t xml:space="preserve"> </w:t>
      </w:r>
      <w:r w:rsidR="00DF00D6" w:rsidRPr="00053FA5">
        <w:rPr>
          <w:rFonts w:ascii="Times New Roman" w:hAnsi="Times New Roman" w:cs="Times New Roman"/>
          <w:sz w:val="24"/>
          <w:szCs w:val="24"/>
        </w:rPr>
        <w:t xml:space="preserve">gives a background to renewable energy sector along with various related initiatives in India and Japan, and sets its objective to observe the GDP growth in two nations and the requirement of renewable energy to maintain the growth with sustainability. This paper digs deeper into the strategic relationship among the two nations and the prospects of greater energy ties between them. </w:t>
      </w:r>
      <w:r w:rsidR="00DF00D6">
        <w:rPr>
          <w:rFonts w:ascii="Times New Roman" w:hAnsi="Times New Roman" w:cs="Times New Roman"/>
          <w:sz w:val="24"/>
          <w:szCs w:val="24"/>
        </w:rPr>
        <w:t xml:space="preserve">The study utilizes graphical descriptive method to analyze the trends and patterns of growth in energy sector employing </w:t>
      </w:r>
      <w:r w:rsidR="00DF00D6" w:rsidRPr="00053FA5">
        <w:rPr>
          <w:rFonts w:ascii="Times New Roman" w:hAnsi="Times New Roman" w:cs="Times New Roman"/>
          <w:sz w:val="24"/>
          <w:szCs w:val="24"/>
        </w:rPr>
        <w:t>time series data sets from 1990 to 2020</w:t>
      </w:r>
      <w:r w:rsidR="00DF00D6">
        <w:rPr>
          <w:rFonts w:ascii="Times New Roman" w:hAnsi="Times New Roman" w:cs="Times New Roman"/>
          <w:sz w:val="24"/>
          <w:szCs w:val="24"/>
        </w:rPr>
        <w:t>.</w:t>
      </w:r>
      <w:r w:rsidR="00DF00D6" w:rsidRPr="00053FA5">
        <w:rPr>
          <w:rFonts w:ascii="Times New Roman" w:hAnsi="Times New Roman" w:cs="Times New Roman"/>
          <w:sz w:val="24"/>
          <w:szCs w:val="24"/>
        </w:rPr>
        <w:t xml:space="preserve"> </w:t>
      </w:r>
      <w:r w:rsidR="00DF00D6">
        <w:rPr>
          <w:rFonts w:ascii="Times New Roman" w:hAnsi="Times New Roman" w:cs="Times New Roman"/>
          <w:sz w:val="24"/>
          <w:szCs w:val="24"/>
        </w:rPr>
        <w:t>T</w:t>
      </w:r>
      <w:r w:rsidR="00DF00D6" w:rsidRPr="00053FA5">
        <w:rPr>
          <w:rFonts w:ascii="Times New Roman" w:hAnsi="Times New Roman" w:cs="Times New Roman"/>
          <w:sz w:val="24"/>
          <w:szCs w:val="24"/>
        </w:rPr>
        <w:t>he percentage of renewable energy consumption</w:t>
      </w:r>
      <w:r w:rsidR="00DF00D6">
        <w:rPr>
          <w:rFonts w:ascii="Times New Roman" w:hAnsi="Times New Roman" w:cs="Times New Roman"/>
          <w:sz w:val="24"/>
          <w:szCs w:val="24"/>
        </w:rPr>
        <w:t xml:space="preserve"> in 2020</w:t>
      </w:r>
      <w:r w:rsidR="00DF00D6" w:rsidRPr="00053FA5">
        <w:rPr>
          <w:rFonts w:ascii="Times New Roman" w:hAnsi="Times New Roman" w:cs="Times New Roman"/>
          <w:sz w:val="24"/>
          <w:szCs w:val="24"/>
        </w:rPr>
        <w:t xml:space="preserve"> in Japan</w:t>
      </w:r>
      <w:r w:rsidR="00DF00D6">
        <w:rPr>
          <w:rFonts w:ascii="Times New Roman" w:hAnsi="Times New Roman" w:cs="Times New Roman"/>
          <w:sz w:val="24"/>
          <w:szCs w:val="24"/>
        </w:rPr>
        <w:t xml:space="preserve"> and India is 37% and 8%, respectively. Over the period of 2000 to 2020, both carbon emissions and energy intensity have accorded a declining trend in both nations. However, there is a huge gap between GDP between India and Japan, underlining their developing and developed nation status, respectively. </w:t>
      </w:r>
      <w:r w:rsidR="00DF00D6" w:rsidRPr="00053FA5">
        <w:rPr>
          <w:rFonts w:ascii="Times New Roman" w:hAnsi="Times New Roman" w:cs="Times New Roman"/>
          <w:sz w:val="24"/>
          <w:szCs w:val="24"/>
        </w:rPr>
        <w:t xml:space="preserve">Finally, the </w:t>
      </w:r>
      <w:r w:rsidR="00DF00D6" w:rsidRPr="00DF00D6">
        <w:rPr>
          <w:rFonts w:ascii="Times New Roman" w:hAnsi="Times New Roman" w:cs="Times New Roman"/>
          <w:sz w:val="24"/>
          <w:szCs w:val="24"/>
        </w:rPr>
        <w:t>study</w:t>
      </w:r>
      <w:r w:rsidR="00DF00D6">
        <w:rPr>
          <w:rFonts w:ascii="Times New Roman" w:hAnsi="Times New Roman" w:cs="Times New Roman"/>
          <w:color w:val="FF0000"/>
          <w:sz w:val="24"/>
          <w:szCs w:val="24"/>
        </w:rPr>
        <w:t xml:space="preserve"> </w:t>
      </w:r>
      <w:r w:rsidR="00DF00D6" w:rsidRPr="00053FA5">
        <w:rPr>
          <w:rFonts w:ascii="Times New Roman" w:hAnsi="Times New Roman" w:cs="Times New Roman"/>
          <w:sz w:val="24"/>
          <w:szCs w:val="24"/>
        </w:rPr>
        <w:t>looks into the future energy partnership to strengthen the relationship among the two nations</w:t>
      </w:r>
      <w:r w:rsidR="00DF00D6">
        <w:rPr>
          <w:rFonts w:ascii="Times New Roman" w:hAnsi="Times New Roman" w:cs="Times New Roman"/>
          <w:sz w:val="24"/>
          <w:szCs w:val="24"/>
        </w:rPr>
        <w:t xml:space="preserve"> and</w:t>
      </w:r>
      <w:r w:rsidR="00DF00D6" w:rsidRPr="00053FA5">
        <w:rPr>
          <w:rFonts w:ascii="Times New Roman" w:hAnsi="Times New Roman" w:cs="Times New Roman"/>
          <w:sz w:val="24"/>
          <w:szCs w:val="24"/>
        </w:rPr>
        <w:t xml:space="preserve"> highlights policy directives to enhance inclusivity and sustainability to fasten the achievement of set goals. </w:t>
      </w:r>
      <w:r w:rsidR="00DF00D6" w:rsidRPr="00DF00D6">
        <w:rPr>
          <w:rFonts w:ascii="Times New Roman" w:hAnsi="Times New Roman" w:cs="Times New Roman"/>
          <w:sz w:val="24"/>
          <w:szCs w:val="24"/>
        </w:rPr>
        <w:t>The study</w:t>
      </w:r>
      <w:r w:rsidR="00DF00D6" w:rsidRPr="00053FA5">
        <w:rPr>
          <w:rFonts w:ascii="Times New Roman" w:hAnsi="Times New Roman" w:cs="Times New Roman"/>
          <w:sz w:val="24"/>
          <w:szCs w:val="24"/>
        </w:rPr>
        <w:t xml:space="preserve"> also brings to notice the limitations based on analysis in its way towards sustainable and inclusive development.</w:t>
      </w:r>
    </w:p>
    <w:p w:rsidR="00C42F61" w:rsidRDefault="00C42F61"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Keywords</w:t>
      </w:r>
      <w:r w:rsidR="00053FA5">
        <w:rPr>
          <w:rFonts w:ascii="Times New Roman" w:hAnsi="Times New Roman" w:cs="Times New Roman"/>
          <w:b/>
          <w:bCs/>
          <w:sz w:val="24"/>
          <w:szCs w:val="24"/>
        </w:rPr>
        <w:t xml:space="preserve">: </w:t>
      </w:r>
      <w:r w:rsidR="00053FA5" w:rsidRPr="00053FA5">
        <w:rPr>
          <w:rFonts w:ascii="Times New Roman" w:hAnsi="Times New Roman" w:cs="Times New Roman"/>
          <w:sz w:val="24"/>
          <w:szCs w:val="24"/>
        </w:rPr>
        <w:t xml:space="preserve">Energy. </w:t>
      </w:r>
      <w:r w:rsidR="008E745D">
        <w:rPr>
          <w:rFonts w:ascii="Times New Roman" w:hAnsi="Times New Roman" w:cs="Times New Roman"/>
          <w:sz w:val="24"/>
          <w:szCs w:val="24"/>
        </w:rPr>
        <w:t>Energy E</w:t>
      </w:r>
      <w:r w:rsidR="00053FA5" w:rsidRPr="00053FA5">
        <w:rPr>
          <w:rFonts w:ascii="Times New Roman" w:hAnsi="Times New Roman" w:cs="Times New Roman"/>
          <w:sz w:val="24"/>
          <w:szCs w:val="24"/>
        </w:rPr>
        <w:t>fficiency. India. Japan. Climate Change.</w:t>
      </w:r>
    </w:p>
    <w:p w:rsidR="00142A72" w:rsidRDefault="00142A72" w:rsidP="00FF3D69">
      <w:pPr>
        <w:spacing w:line="240" w:lineRule="auto"/>
        <w:jc w:val="both"/>
        <w:rPr>
          <w:rFonts w:ascii="Times New Roman" w:hAnsi="Times New Roman" w:cs="Times New Roman"/>
          <w:sz w:val="24"/>
          <w:szCs w:val="24"/>
        </w:rPr>
      </w:pPr>
    </w:p>
    <w:p w:rsidR="00F972D8" w:rsidRPr="00F972D8" w:rsidRDefault="00F972D8" w:rsidP="00F972D8">
      <w:pPr>
        <w:pStyle w:val="ListParagraph"/>
        <w:spacing w:line="240" w:lineRule="auto"/>
        <w:jc w:val="both"/>
        <w:rPr>
          <w:rFonts w:ascii="Times New Roman" w:hAnsi="Times New Roman" w:cs="Times New Roman"/>
          <w:bCs/>
          <w:sz w:val="24"/>
          <w:szCs w:val="24"/>
        </w:rPr>
      </w:pPr>
    </w:p>
    <w:p w:rsidR="00C42F61" w:rsidRPr="00053FA5" w:rsidRDefault="00053FA5"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F00D6">
        <w:rPr>
          <w:rFonts w:ascii="Times New Roman" w:hAnsi="Times New Roman" w:cs="Times New Roman"/>
          <w:b/>
          <w:bCs/>
          <w:sz w:val="24"/>
          <w:szCs w:val="24"/>
        </w:rPr>
        <w:t xml:space="preserve"> </w:t>
      </w:r>
      <w:r w:rsidR="00C42F61" w:rsidRPr="00053FA5">
        <w:rPr>
          <w:rFonts w:ascii="Times New Roman" w:hAnsi="Times New Roman" w:cs="Times New Roman"/>
          <w:b/>
          <w:bCs/>
          <w:sz w:val="24"/>
          <w:szCs w:val="24"/>
        </w:rPr>
        <w:t>Introduction</w:t>
      </w:r>
    </w:p>
    <w:p w:rsidR="00DF00D6" w:rsidRPr="00053FA5" w:rsidRDefault="00DF00D6" w:rsidP="00DF00D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 greatest </w:t>
      </w:r>
      <w:r>
        <w:rPr>
          <w:rFonts w:ascii="Times New Roman" w:hAnsi="Times New Roman" w:cs="Times New Roman"/>
          <w:sz w:val="24"/>
          <w:szCs w:val="24"/>
        </w:rPr>
        <w:t>challenge</w:t>
      </w:r>
      <w:r w:rsidRPr="00053FA5">
        <w:rPr>
          <w:rFonts w:ascii="Times New Roman" w:hAnsi="Times New Roman" w:cs="Times New Roman"/>
          <w:sz w:val="24"/>
          <w:szCs w:val="24"/>
        </w:rPr>
        <w:t xml:space="preserve"> that the humankind </w:t>
      </w:r>
      <w:r>
        <w:rPr>
          <w:rFonts w:ascii="Times New Roman" w:hAnsi="Times New Roman" w:cs="Times New Roman"/>
          <w:sz w:val="24"/>
          <w:szCs w:val="24"/>
        </w:rPr>
        <w:t>is facing</w:t>
      </w:r>
      <w:r w:rsidRPr="00053FA5">
        <w:rPr>
          <w:rFonts w:ascii="Times New Roman" w:hAnsi="Times New Roman" w:cs="Times New Roman"/>
          <w:sz w:val="24"/>
          <w:szCs w:val="24"/>
        </w:rPr>
        <w:t xml:space="preserve"> in the current millennium is the ultimate requirement to mitigate adverse climatic change.</w:t>
      </w:r>
      <w:r>
        <w:rPr>
          <w:rFonts w:ascii="Times New Roman" w:hAnsi="Times New Roman" w:cs="Times New Roman"/>
          <w:sz w:val="24"/>
          <w:szCs w:val="24"/>
        </w:rPr>
        <w:t xml:space="preserve"> </w:t>
      </w:r>
      <w:r w:rsidRPr="00053FA5">
        <w:rPr>
          <w:rFonts w:ascii="Times New Roman" w:hAnsi="Times New Roman" w:cs="Times New Roman"/>
          <w:sz w:val="24"/>
          <w:szCs w:val="24"/>
        </w:rPr>
        <w:t>Upon viewing the emerging threat from global warming and changing climatic conditions, it is hitherto of great importance to discuss the role of national and international initiatives relate</w:t>
      </w:r>
      <w:r>
        <w:rPr>
          <w:rFonts w:ascii="Times New Roman" w:hAnsi="Times New Roman" w:cs="Times New Roman"/>
          <w:sz w:val="24"/>
          <w:szCs w:val="24"/>
        </w:rPr>
        <w:t xml:space="preserve">d to climate change phenomenon. </w:t>
      </w:r>
      <w:r w:rsidRPr="00053FA5">
        <w:rPr>
          <w:rFonts w:ascii="Times New Roman" w:hAnsi="Times New Roman" w:cs="Times New Roman"/>
          <w:sz w:val="24"/>
          <w:szCs w:val="24"/>
        </w:rPr>
        <w:t xml:space="preserve">Amongst them, the Paris Agreement adopted in the Conference of Parties (CoP) 21 held in Paris in 2015 is significant. To stick to the goal of reducing global temperature at 1.5 degrees Celsius, it is imperative and necessary for all nations, especially the developing countries to work upon the reduction process of carbon emissions, to increase the power efficiency, and to prepare nationally determined targets. Further, the Sustainable Development Goals, or more popularly known as </w:t>
      </w:r>
      <w:r w:rsidRPr="00053FA5">
        <w:rPr>
          <w:rFonts w:ascii="Times New Roman" w:hAnsi="Times New Roman" w:cs="Times New Roman"/>
          <w:sz w:val="24"/>
          <w:szCs w:val="24"/>
        </w:rPr>
        <w:lastRenderedPageBreak/>
        <w:t>Agenda 2030, adopted in 2015 under UNFCCC is a major breakthrough</w:t>
      </w:r>
      <w:r>
        <w:rPr>
          <w:rFonts w:ascii="Times New Roman" w:hAnsi="Times New Roman" w:cs="Times New Roman"/>
          <w:sz w:val="24"/>
          <w:szCs w:val="24"/>
        </w:rPr>
        <w:t xml:space="preserve"> (</w:t>
      </w:r>
      <w:r w:rsidR="008E745D">
        <w:rPr>
          <w:rFonts w:ascii="Times New Roman" w:hAnsi="Times New Roman" w:cs="Times New Roman"/>
          <w:sz w:val="24"/>
          <w:szCs w:val="24"/>
        </w:rPr>
        <w:t>Khan &amp;</w:t>
      </w:r>
      <w:r>
        <w:rPr>
          <w:rFonts w:ascii="Times New Roman" w:hAnsi="Times New Roman" w:cs="Times New Roman"/>
          <w:sz w:val="24"/>
          <w:szCs w:val="24"/>
        </w:rPr>
        <w:t xml:space="preserve"> Khan, 2025)</w:t>
      </w:r>
      <w:r w:rsidRPr="00053FA5">
        <w:rPr>
          <w:rFonts w:ascii="Times New Roman" w:hAnsi="Times New Roman" w:cs="Times New Roman"/>
          <w:sz w:val="24"/>
          <w:szCs w:val="24"/>
        </w:rPr>
        <w:t>.</w:t>
      </w:r>
      <w:r>
        <w:rPr>
          <w:rFonts w:ascii="Times New Roman" w:hAnsi="Times New Roman" w:cs="Times New Roman"/>
          <w:sz w:val="24"/>
          <w:szCs w:val="24"/>
        </w:rPr>
        <w:t xml:space="preserve"> </w:t>
      </w:r>
      <w:r w:rsidRPr="00053FA5">
        <w:rPr>
          <w:rFonts w:ascii="Times New Roman" w:hAnsi="Times New Roman" w:cs="Times New Roman"/>
          <w:sz w:val="24"/>
          <w:szCs w:val="24"/>
        </w:rPr>
        <w:t>The SDG-7 (Clean and Affordable Energy for all) mentions about three targets:</w:t>
      </w:r>
    </w:p>
    <w:p w:rsidR="00DF00D6" w:rsidRPr="00053FA5" w:rsidRDefault="00DF00D6" w:rsidP="00DF00D6">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ensure universal access to affordable, reliable, and modern energy services</w:t>
      </w:r>
    </w:p>
    <w:p w:rsidR="00DF00D6" w:rsidRPr="00053FA5" w:rsidRDefault="00DF00D6" w:rsidP="00DF00D6">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increase substantially the share of renewable energy in the global energy mix</w:t>
      </w:r>
    </w:p>
    <w:p w:rsidR="00DF00D6" w:rsidRPr="00053FA5" w:rsidRDefault="00DF00D6" w:rsidP="00DF00D6">
      <w:pPr>
        <w:pStyle w:val="ListParagraph"/>
        <w:numPr>
          <w:ilvl w:val="0"/>
          <w:numId w:val="2"/>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double the global rate of improvement in energy efficiency</w:t>
      </w:r>
    </w:p>
    <w:p w:rsidR="00DF00D6" w:rsidRPr="00053FA5" w:rsidRDefault="00DF00D6" w:rsidP="00DF00D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Further, it provides two means for the achievement of these targets:</w:t>
      </w:r>
    </w:p>
    <w:p w:rsidR="00DF00D6" w:rsidRPr="00053FA5" w:rsidRDefault="00DF00D6" w:rsidP="00DF00D6">
      <w:pPr>
        <w:pStyle w:val="ListParagraph"/>
        <w:numPr>
          <w:ilvl w:val="0"/>
          <w:numId w:val="3"/>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foster global cooperation to facilitate access to clean energy research and technology, including renewable energy, energy efficiency and advanced and cleaner fossil fuel technology, and promote investment in energy infrastructure and clean energy technology.</w:t>
      </w:r>
    </w:p>
    <w:p w:rsidR="00DF00D6" w:rsidRPr="00053FA5" w:rsidRDefault="00DF00D6" w:rsidP="00DF00D6">
      <w:pPr>
        <w:pStyle w:val="ListParagraph"/>
        <w:numPr>
          <w:ilvl w:val="0"/>
          <w:numId w:val="3"/>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By 2030, expand infrastructure and upgrade technology for supplying modern and sustainable energy services for all in developing nations, in particular least developed countries, small island developing states and landlocked developing countries, in accordance with their respective programs of support.</w:t>
      </w:r>
    </w:p>
    <w:p w:rsidR="00DF00D6" w:rsidRPr="00053FA5" w:rsidRDefault="00DF00D6" w:rsidP="00DF00D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However, our study sits in the domain of two </w:t>
      </w:r>
      <w:r w:rsidRPr="00053FA5">
        <w:rPr>
          <w:rFonts w:ascii="Times New Roman" w:hAnsi="Times New Roman" w:cs="Times New Roman"/>
          <w:sz w:val="24"/>
          <w:szCs w:val="24"/>
        </w:rPr>
        <w:t>emerging nations of Asia, sharing huge areas of interests</w:t>
      </w:r>
      <w:r>
        <w:rPr>
          <w:rFonts w:ascii="Times New Roman" w:hAnsi="Times New Roman" w:cs="Times New Roman"/>
          <w:sz w:val="24"/>
          <w:szCs w:val="24"/>
        </w:rPr>
        <w:t xml:space="preserve"> – India and Japan. </w:t>
      </w:r>
      <w:r w:rsidRPr="00053FA5">
        <w:rPr>
          <w:rFonts w:ascii="Times New Roman" w:hAnsi="Times New Roman" w:cs="Times New Roman"/>
          <w:sz w:val="24"/>
          <w:szCs w:val="24"/>
        </w:rPr>
        <w:t>Any economic relation between the nations stands on the pillar of political and diplomatic ties, or we can say that all political and diplomatic ties rest on the pillar of economic interest</w:t>
      </w:r>
      <w:r>
        <w:rPr>
          <w:rFonts w:ascii="Times New Roman" w:hAnsi="Times New Roman" w:cs="Times New Roman"/>
          <w:sz w:val="24"/>
          <w:szCs w:val="24"/>
        </w:rPr>
        <w:t xml:space="preserve">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{"citationID":"d2dDgZmq","properties":{"formattedCitation":"(Gupta &amp; Guha, 2024)","plainCitation":"(Gupta &amp; Guha, 2024)","noteIndex":0},"citationItems":[{"id":704,"uris":["http://zotero.org/users/local/nkivAgnN/items/5IDIEDPJ"],"itemData":{"id":704,"type":"webpage","title":"Renewable Energy and Economic Growth: Evidence from India","URL":"https://journals.sagepub.com/doi/10.1177/00194662231223698?icid=int.sj-abstract.citing-articles.133","author":[{"family":"Gupta","given":"Rajesh"},{"family":"Guha","given":"Atulan"}],"accessed":{"date-parts":[["2024",9,30]]},"issued":{"date-parts":[["2024"]]}}}],"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(Gupta &amp; Guha, 2024)</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rPr>
        <w:t>. Under the political front, the Act East Policy of India is a major diplomatic initiative to promote, economic, strategic and cultural ties with the vast Asia-Pacific region at different levels</w:t>
      </w:r>
      <w:r>
        <w:rPr>
          <w:rFonts w:ascii="Times New Roman" w:hAnsi="Times New Roman" w:cs="Times New Roman"/>
          <w:sz w:val="24"/>
          <w:szCs w:val="24"/>
        </w:rPr>
        <w:t xml:space="preserve"> (</w:t>
      </w:r>
      <w:proofErr w:type="spellStart"/>
      <w:r>
        <w:rPr>
          <w:rFonts w:ascii="Times New Roman" w:hAnsi="Times New Roman" w:cs="Times New Roman"/>
          <w:sz w:val="24"/>
          <w:szCs w:val="24"/>
        </w:rPr>
        <w:t>Kesavan</w:t>
      </w:r>
      <w:proofErr w:type="spellEnd"/>
      <w:r>
        <w:rPr>
          <w:rFonts w:ascii="Times New Roman" w:hAnsi="Times New Roman" w:cs="Times New Roman"/>
          <w:sz w:val="24"/>
          <w:szCs w:val="24"/>
        </w:rPr>
        <w:t>, 2020)</w:t>
      </w:r>
      <w:r w:rsidRPr="00053FA5">
        <w:rPr>
          <w:rFonts w:ascii="Times New Roman" w:hAnsi="Times New Roman" w:cs="Times New Roman"/>
          <w:sz w:val="24"/>
          <w:szCs w:val="24"/>
        </w:rPr>
        <w:t>.</w:t>
      </w:r>
      <w:r>
        <w:rPr>
          <w:rFonts w:ascii="Times New Roman" w:hAnsi="Times New Roman" w:cs="Times New Roman"/>
          <w:sz w:val="24"/>
          <w:szCs w:val="24"/>
        </w:rPr>
        <w:t xml:space="preserve"> </w:t>
      </w:r>
      <w:r w:rsidRPr="00053FA5">
        <w:rPr>
          <w:rFonts w:ascii="Times New Roman" w:hAnsi="Times New Roman" w:cs="Times New Roman"/>
          <w:sz w:val="24"/>
          <w:szCs w:val="24"/>
        </w:rPr>
        <w:t xml:space="preserve">The Prime minister </w:t>
      </w:r>
      <w:r>
        <w:rPr>
          <w:rFonts w:ascii="Times New Roman" w:hAnsi="Times New Roman" w:cs="Times New Roman"/>
          <w:sz w:val="24"/>
          <w:szCs w:val="24"/>
        </w:rPr>
        <w:t>of India</w:t>
      </w:r>
      <w:r w:rsidRPr="00053FA5">
        <w:rPr>
          <w:rFonts w:ascii="Times New Roman" w:hAnsi="Times New Roman" w:cs="Times New Roman"/>
          <w:sz w:val="24"/>
          <w:szCs w:val="24"/>
        </w:rPr>
        <w:t xml:space="preserve"> and his Japanese counterpart has proved to have great potential of bilateral relations between the two nations. With the rise of China and the transition in the bilateral relation of India and USA, the India-Japan ties have improved significantly. New Delhi and Tokyo view each other</w:t>
      </w:r>
      <w:r>
        <w:rPr>
          <w:rFonts w:ascii="Times New Roman" w:hAnsi="Times New Roman" w:cs="Times New Roman"/>
          <w:sz w:val="24"/>
          <w:szCs w:val="24"/>
        </w:rPr>
        <w:t xml:space="preserve"> as important economic partners in general, and energy partners in particular.</w:t>
      </w:r>
    </w:p>
    <w:p w:rsidR="00DF00D6" w:rsidRPr="00053FA5" w:rsidRDefault="00DF00D6" w:rsidP="00DF00D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After the adoption of Sustainable Development Goals (SDGs) in 2015, the Government of Japan established “SDGs Promotion Headquarters” in May 2016 to attain the SDGs effectively. In December 2016, ‘SDGs Implementation Guiding Principles’ was also finalized with various public and private stakeholders. In India, NITI Aayog prepared its own SDG index to measure the progress of India to achieve the set targets under SDG framework by 2030. It utilizes 113 indicators to analyze the performance of states and union territories (UTs) across 16 SDGs</w:t>
      </w:r>
      <w:r>
        <w:rPr>
          <w:rFonts w:ascii="Times New Roman" w:hAnsi="Times New Roman" w:cs="Times New Roman"/>
          <w:sz w:val="24"/>
          <w:szCs w:val="24"/>
        </w:rPr>
        <w:t xml:space="preserve"> (Ahmad, 2025)</w:t>
      </w:r>
      <w:r w:rsidRPr="00053FA5">
        <w:rPr>
          <w:rFonts w:ascii="Times New Roman" w:hAnsi="Times New Roman" w:cs="Times New Roman"/>
          <w:sz w:val="24"/>
          <w:szCs w:val="24"/>
        </w:rPr>
        <w:t>. Under SDG 7, India is continuously working to increase its potential and installation of renewable energy plants. It has also improved its technological base to increase energy efficiency. India has almost proven its target of 100% electrification to all the households and villages. It is also working to enhance on-grid and off-grid supply of electricity.</w:t>
      </w:r>
    </w:p>
    <w:p w:rsidR="00DF00D6" w:rsidRPr="00053FA5" w:rsidRDefault="00DF00D6" w:rsidP="00DF00D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The United Nations Framework Convention on Climate Change (UNFCCC) established in 1994 provides for the Conference of Parties to this convention annually. The 26</w:t>
      </w:r>
      <w:r w:rsidRPr="00053FA5">
        <w:rPr>
          <w:rFonts w:ascii="Times New Roman" w:hAnsi="Times New Roman" w:cs="Times New Roman"/>
          <w:sz w:val="24"/>
          <w:szCs w:val="24"/>
          <w:vertAlign w:val="superscript"/>
        </w:rPr>
        <w:t>th</w:t>
      </w:r>
      <w:r w:rsidR="008E745D">
        <w:rPr>
          <w:rFonts w:ascii="Times New Roman" w:hAnsi="Times New Roman" w:cs="Times New Roman"/>
          <w:sz w:val="24"/>
          <w:szCs w:val="24"/>
        </w:rPr>
        <w:t xml:space="preserve"> CO</w:t>
      </w:r>
      <w:r w:rsidRPr="00053FA5">
        <w:rPr>
          <w:rFonts w:ascii="Times New Roman" w:hAnsi="Times New Roman" w:cs="Times New Roman"/>
          <w:sz w:val="24"/>
          <w:szCs w:val="24"/>
        </w:rPr>
        <w:t>P held in 2021 in Glasgow is amongst the most significant one. Both India and Japan are partie</w:t>
      </w:r>
      <w:r w:rsidR="008E745D">
        <w:rPr>
          <w:rFonts w:ascii="Times New Roman" w:hAnsi="Times New Roman" w:cs="Times New Roman"/>
          <w:sz w:val="24"/>
          <w:szCs w:val="24"/>
        </w:rPr>
        <w:t>s to this Convention. In this CO</w:t>
      </w:r>
      <w:r w:rsidRPr="00053FA5">
        <w:rPr>
          <w:rFonts w:ascii="Times New Roman" w:hAnsi="Times New Roman" w:cs="Times New Roman"/>
          <w:sz w:val="24"/>
          <w:szCs w:val="24"/>
        </w:rPr>
        <w:t xml:space="preserve">P, India announced </w:t>
      </w:r>
      <w:r w:rsidR="008E745D">
        <w:rPr>
          <w:rFonts w:ascii="Times New Roman" w:hAnsi="Times New Roman" w:cs="Times New Roman"/>
          <w:sz w:val="24"/>
          <w:szCs w:val="24"/>
        </w:rPr>
        <w:t>the</w:t>
      </w:r>
      <w:r w:rsidRPr="00053FA5">
        <w:rPr>
          <w:rFonts w:ascii="Times New Roman" w:hAnsi="Times New Roman" w:cs="Times New Roman"/>
          <w:sz w:val="24"/>
          <w:szCs w:val="24"/>
        </w:rPr>
        <w:t xml:space="preserve"> ‘</w:t>
      </w:r>
      <w:proofErr w:type="spellStart"/>
      <w:r w:rsidRPr="00053FA5">
        <w:rPr>
          <w:rFonts w:ascii="Times New Roman" w:hAnsi="Times New Roman" w:cs="Times New Roman"/>
          <w:sz w:val="24"/>
          <w:szCs w:val="24"/>
        </w:rPr>
        <w:t>Panchamrit</w:t>
      </w:r>
      <w:proofErr w:type="spellEnd"/>
      <w:r w:rsidRPr="00053FA5">
        <w:rPr>
          <w:rFonts w:ascii="Times New Roman" w:hAnsi="Times New Roman" w:cs="Times New Roman"/>
          <w:sz w:val="24"/>
          <w:szCs w:val="24"/>
        </w:rPr>
        <w:t xml:space="preserve"> Mission’ or the five nectar elements as a measure to combat climate change. It includes the cut down of carbon emissions by one billion tons by 2030, reduce carbon intensity by less than 45% by 2030, install 500 GW of renewable energy plants by 2030, meet half of India’s energy requirement from renewable energy by 2030, and achieve net zero carbon mission by 2070</w:t>
      </w:r>
      <w:r>
        <w:rPr>
          <w:rFonts w:ascii="Times New Roman" w:hAnsi="Times New Roman" w:cs="Times New Roman"/>
          <w:sz w:val="24"/>
          <w:szCs w:val="24"/>
        </w:rPr>
        <w:t xml:space="preserve"> (Khan &amp; Khan, 2025)</w:t>
      </w:r>
      <w:r w:rsidRPr="00053FA5">
        <w:rPr>
          <w:rFonts w:ascii="Times New Roman" w:hAnsi="Times New Roman" w:cs="Times New Roman"/>
          <w:sz w:val="24"/>
          <w:szCs w:val="24"/>
        </w:rPr>
        <w:t xml:space="preserve">. </w:t>
      </w:r>
    </w:p>
    <w:p w:rsidR="00DF00D6" w:rsidRPr="00053FA5" w:rsidRDefault="00DF00D6" w:rsidP="00DF00D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lastRenderedPageBreak/>
        <w:t>On the other hand, Japan had set up the target of net zero emission by 2050 and extended its support to Asia-Pacific region in its drive towards de</w:t>
      </w:r>
      <w:r>
        <w:rPr>
          <w:rFonts w:ascii="Times New Roman" w:hAnsi="Times New Roman" w:cs="Times New Roman"/>
          <w:sz w:val="24"/>
          <w:szCs w:val="24"/>
        </w:rPr>
        <w:t>-</w:t>
      </w:r>
      <w:r w:rsidRPr="00053FA5">
        <w:rPr>
          <w:rFonts w:ascii="Times New Roman" w:hAnsi="Times New Roman" w:cs="Times New Roman"/>
          <w:sz w:val="24"/>
          <w:szCs w:val="24"/>
        </w:rPr>
        <w:t>carbonization.  Japan also entered into forest and land use pledge where it committed to invest around 240 million US$, also participated in CoP26 Congo Basin Joint Donor Statement and the Forest, Agriculture and Commodity Trade (FACT) Dialogue. Japan has a lead in ‘hydrogen energy’ and has also revised its targets in hydrogen energy production in 2023. It has approximately 24 percent patents in hydrogen-related applications worldwide</w:t>
      </w:r>
      <w:r>
        <w:rPr>
          <w:rFonts w:ascii="Times New Roman" w:hAnsi="Times New Roman" w:cs="Times New Roman"/>
          <w:sz w:val="24"/>
          <w:szCs w:val="24"/>
        </w:rPr>
        <w:t xml:space="preserve"> (</w:t>
      </w:r>
      <w:r w:rsidRPr="006306B3">
        <w:rPr>
          <w:rFonts w:ascii="Times New Roman" w:hAnsi="Times New Roman" w:cs="Times New Roman"/>
          <w:kern w:val="0"/>
          <w:sz w:val="24"/>
          <w:szCs w:val="24"/>
        </w:rPr>
        <w:t>Minist</w:t>
      </w:r>
      <w:r>
        <w:rPr>
          <w:rFonts w:ascii="Times New Roman" w:hAnsi="Times New Roman" w:cs="Times New Roman"/>
          <w:kern w:val="0"/>
          <w:sz w:val="24"/>
          <w:szCs w:val="24"/>
        </w:rPr>
        <w:t xml:space="preserve">ry of Foreign Affairs of Japan, </w:t>
      </w:r>
      <w:r w:rsidRPr="006306B3">
        <w:rPr>
          <w:rFonts w:ascii="Times New Roman" w:hAnsi="Times New Roman" w:cs="Times New Roman"/>
          <w:kern w:val="0"/>
          <w:sz w:val="24"/>
          <w:szCs w:val="24"/>
        </w:rPr>
        <w:t>2021</w:t>
      </w:r>
      <w:r>
        <w:rPr>
          <w:rFonts w:ascii="Times New Roman" w:hAnsi="Times New Roman" w:cs="Times New Roman"/>
          <w:sz w:val="24"/>
          <w:szCs w:val="24"/>
        </w:rPr>
        <w:t>)</w:t>
      </w:r>
      <w:r w:rsidRPr="00053FA5">
        <w:rPr>
          <w:rFonts w:ascii="Times New Roman" w:hAnsi="Times New Roman" w:cs="Times New Roman"/>
          <w:sz w:val="24"/>
          <w:szCs w:val="24"/>
        </w:rPr>
        <w:t>.</w:t>
      </w:r>
    </w:p>
    <w:p w:rsidR="00DF00D6" w:rsidRDefault="00DF00D6" w:rsidP="00DF00D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This reveals an account of prospects of growth in energy sector in India and Japan, along with technological transfers between them. This paper will attempt to bring out the relationship between India and Japan in the realm of energy and environment. The first section dealt with the introduction. The second section will bring out the review of literature and objectives of the study. The third part elucidates the dimensions and background of bilateral relation between India and Japan. The fourth section will delve into the technological transfer between the two nations in general, and energy sector in particular. The fifth section provides a comparative study of India and Japan with respect to certain energy related variables. The last section gives an account of prospects and challenges that accrue in the relation among the two countries</w:t>
      </w:r>
      <w:r>
        <w:rPr>
          <w:rFonts w:ascii="Times New Roman" w:hAnsi="Times New Roman" w:cs="Times New Roman"/>
          <w:sz w:val="24"/>
          <w:szCs w:val="24"/>
        </w:rPr>
        <w:t>.</w:t>
      </w:r>
    </w:p>
    <w:p w:rsidR="00DF00D6" w:rsidRPr="00053FA5" w:rsidRDefault="00DF00D6" w:rsidP="00DF00D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053FA5">
        <w:rPr>
          <w:rFonts w:ascii="Times New Roman" w:hAnsi="Times New Roman" w:cs="Times New Roman"/>
          <w:b/>
          <w:bCs/>
          <w:sz w:val="24"/>
          <w:szCs w:val="24"/>
        </w:rPr>
        <w:t>Literature Review</w:t>
      </w:r>
    </w:p>
    <w:p w:rsidR="00DF00D6" w:rsidRPr="00053FA5" w:rsidRDefault="00DF00D6" w:rsidP="00DF00D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look into the relationship between India and Japan, it is quite reasonable to look into the existing literature for basic understanding of historical evolution of the relationship and possibility of emerging prospects and challenges.</w:t>
      </w:r>
    </w:p>
    <w:p w:rsidR="00DF00D6" w:rsidRPr="00053FA5" w:rsidRDefault="00DF00D6" w:rsidP="00DF00D6">
      <w:pPr>
        <w:spacing w:line="240" w:lineRule="auto"/>
        <w:jc w:val="both"/>
        <w:rPr>
          <w:rFonts w:ascii="Times New Roman" w:hAnsi="Times New Roman" w:cs="Times New Roman"/>
          <w:sz w:val="24"/>
          <w:szCs w:val="24"/>
          <w:lang w:val="en-IN"/>
        </w:rPr>
      </w:pPr>
      <w:r w:rsidRPr="00053FA5">
        <w:rPr>
          <w:rFonts w:ascii="Times New Roman" w:hAnsi="Times New Roman" w:cs="Times New Roman"/>
          <w:sz w:val="24"/>
          <w:szCs w:val="24"/>
        </w:rPr>
        <w:t>Rong (2022) in their study revealed that renewable and non-renewable energy consumption, climate change and economic growth of emerging Asian nations during the period 1975 to 2020 revealed a positive relationship between GDP and climate change. GDP</w:t>
      </w:r>
      <w:r w:rsidRPr="00053FA5">
        <w:rPr>
          <w:rFonts w:ascii="Times New Roman" w:hAnsi="Times New Roman" w:cs="Times New Roman"/>
          <w:sz w:val="24"/>
          <w:szCs w:val="24"/>
          <w:vertAlign w:val="superscript"/>
        </w:rPr>
        <w:t xml:space="preserve">2, </w:t>
      </w:r>
      <w:r w:rsidRPr="00053FA5">
        <w:rPr>
          <w:rFonts w:ascii="Times New Roman" w:hAnsi="Times New Roman" w:cs="Times New Roman"/>
          <w:sz w:val="24"/>
          <w:szCs w:val="24"/>
        </w:rPr>
        <w:t>non-renewable energy consumption, and investment</w:t>
      </w:r>
      <w:r>
        <w:rPr>
          <w:rFonts w:ascii="Times New Roman" w:hAnsi="Times New Roman" w:cs="Times New Roman"/>
          <w:sz w:val="24"/>
          <w:szCs w:val="24"/>
        </w:rPr>
        <w:t xml:space="preserve"> </w:t>
      </w:r>
      <w:r w:rsidR="00E14A46" w:rsidRPr="00053FA5">
        <w:rPr>
          <w:rFonts w:ascii="Times New Roman" w:hAnsi="Times New Roman" w:cs="Times New Roman"/>
          <w:sz w:val="24"/>
          <w:szCs w:val="24"/>
        </w:rPr>
        <w:t>have</w:t>
      </w:r>
      <w:r w:rsidRPr="00053FA5">
        <w:rPr>
          <w:rFonts w:ascii="Times New Roman" w:hAnsi="Times New Roman" w:cs="Times New Roman"/>
          <w:sz w:val="24"/>
          <w:szCs w:val="24"/>
        </w:rPr>
        <w:t xml:space="preserve"> significant progressive impacts on climate change in both India and Japan.  </w:t>
      </w:r>
      <w:r w:rsidRPr="00053FA5">
        <w:rPr>
          <w:rFonts w:ascii="Times New Roman" w:hAnsi="Times New Roman" w:cs="Times New Roman"/>
          <w:sz w:val="24"/>
          <w:szCs w:val="24"/>
          <w:lang w:val="en-IN"/>
        </w:rPr>
        <w:t xml:space="preserve">The relationship between renewable energy, non-renewable energy, carbon emissions, and GDP in India and Japan reveals complex interactions that highlight the need for sustainable energy policies. </w:t>
      </w:r>
      <w:r w:rsidRPr="00563415">
        <w:rPr>
          <w:rFonts w:ascii="Times New Roman" w:hAnsi="Times New Roman" w:cs="Times New Roman"/>
          <w:sz w:val="24"/>
          <w:szCs w:val="24"/>
          <w:lang w:val="en-IN"/>
        </w:rPr>
        <w:t xml:space="preserve">In India, increased renewable energy consumption correlates with reduced CO2 emissions, suggesting its role in achieving sustainable development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{"citationID":"vZ1kLVOX","properties":{"formattedCitation":"(Bekun, 2022)","plainCitation":"(Bekun, 2022)","noteIndex":0},"citationItems":[{"id":669,"uris":["http://zotero.org/users/local/nkivAgnN/items/WZTUKYG5"],"itemData":{"id":669,"type":"article-journal","abstract":"Accomplishing environmental sustainability has become a global initiative whilst addressing climate change and its effects. Thus, there is a necessity for innovation on part of economies as they seek energy for sustainable development. Thus, we explore the case of India a highly industrialized and heavy emitter of carbon emission. To this end, this study explores the effect of renewable energy, non-renewable, economic growth, and investment in the energy sector on CO2 emission in the Indian economy. Canonical cointegration regression (CCR), fully modified least squares (FMOLS) and dynamic least squares (DOLS) were used to access the long-run elasticity of the variables as well as Granger causality analysis to detect the direction of causality relationship among the highlighted variables. Empirical regression shows a negative relation between CO2 emission and renewable energy. Thus, suggesting that renewable energy serves as a panacea for sustainable development in the face of economic growth trajectory. However, there was a positive relationship between CO2 emission and both non-renewable and real GDP growth. On the Granger analysis, we observe a one-way causality among renewable energy consumption and CO2 emission, economic development, and energy investment. These outcomes have far-reaching policy direction of environmental sustainability target in Indian economy.","container-title":"International Journal of Energy Economics and Policy","DOI":"10.32479/ijeep.12652","ISSN":"2146-4553","issue":"1","journalAbbreviation":"IJEEP","language":"en","page":"188-192","source":"DOI.org (Crossref)","title":"Mitigating Emissions in India: Accounting for the Role of Real Income, Renewable Energy Consumption and Investment in Energy","title-short":"Mitigating Emissions in India","volume":"12","author":[{"family":"Bekun","given":"Festus Victor"}],"issued":{"date-parts":[["2022",1,19]]}}}],"schema":"https://github.com/citation-style-language/schema/raw/master/csl-citation.json"}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(Bekun</w:t>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2022)</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Conversely, Japan's reliance on non-renewable energy sources has been linked to higher carbon emissions, emphasizing the need for a transition to renewables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{"citationID":"aO7mxHnf","properties":{"formattedCitation":"(Ben Mbarek et al., 2018)","plainCitation":"(Ben Mbarek et al., 2018)","noteIndex":0},"citationItems":[{"id":670,"uris":["http://zotero.org/users/local/nkivAgnN/items/KHVITC54"],"itemData":{"id":670,"type":"article-journal","abstract":"This document investigates the causal relationship between nuclear energy (NE), pollutant emissions (CO2 emissions), gross domestic product (GDP) and renewable energy (RE) using dynamic panel data models for a global panel consisting of 18 countries (developed and developing) covering the 1990–2013 period. Our results indicate that there is a co-integration between variables. The unit root test suggests that all the variables are stationary in first differences. The paper further examines the link using the Granger causality analysis of vector error correction model, which indicates a unidirectional relationship running from GDP per capita to pollutant emissions for the developed and developing countries. However, there is a unidirectional causality from GDP per capita to RE in the short and long run. This finding confirms the conservation hypothesis. Similarly, there is no causality between NE and GDP per capita.","container-title":"International Journal of Sustainable Energy","DOI":"10.1080/14786451.2017.1332060","ISSN":"1478-6451","issue":"6","note":"publisher: Taylor &amp; Francis\n_eprint: https://doi.org/10.1080/14786451.2017.1332060","page":"597-615","source":"Taylor and Francis+NEJM","title":"The relationship between pollutant emissions, renewable energy, nuclear energy and GDP: empirical evidence from 18 developed and developing countries","title-short":"The relationship between pollutant emissions, renewable energy, nuclear energy and GDP","volume":"37","author":[{"family":"Ben Mbarek","given":"Mounir"},{"family":"Saidi","given":"Kais"},{"family":"Amamri","given":"Mounira"}],"issued":{"date-parts":[["2018",7,3]]}}}],"schema":"https://github.com/citation-style-language/schema/raw/master/csl-citation.json"}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(Ben Mbarek et al., 2018)</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w:t>
      </w:r>
    </w:p>
    <w:p w:rsidR="00DF00D6"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Non-renewable energy consumption positively influences GDP growth in India, indicating its critical role in economic development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{"citationID":"eFMFd4Ld","properties":{"formattedCitation":"(Ohlan, 2016)","plainCitation":"(Ohlan, 2016)","noteIndex":0},"citationItems":[{"id":672,"uris":["http://zotero.org/users/local/nkivAgnN/items/DWSG4X3R"],"itemData":{"id":672,"type":"article-journal","abstract":"The present study investigates the impact of renewable and nonrenewable energy use on economic growth in India within the energy consumption–growth framework over the period 1971–2012 using a multivariate model wherein trade openness and financial development are included as additional variables. Empirical evidence confirms the existence of a long-run equilibrium relationship among the competing variables. The results indicate that nonrenewable energy consumption has a long-run significant positive effect on India’s economic growth. In addition, it is shown that a bidirectional causality exists between nonrenewable energy use and economic growth in both the long run and short run. Based on these findings, it is suggested that a nonrenewable energy conservation policy may retard economic growth in India if initiated without due regard to renewable energy sources.","container-title":"Energy Sources, Part B: Economics, Planning, and Policy","DOI":"10.1080/15567249.2016.1190801","ISSN":"1556-7249","issue":"11","note":"publisher: Taylor &amp; Francis\n_eprint: https://doi.org/10.1080/15567249.2016.1190801","page":"1050-1054","source":"Taylor and Francis+NEJM","title":"Renewable and nonrenewable energy consumption and economic growth in India","volume":"11","author":[{"family":"Ohlan","given":"R."}],"issued":{"date-parts":[["2016",11,1]]}}}],"schema":"https://github.com/citation-style-language/schema/raw/master/csl-citation.json"}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(Ohlan, 2016)</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However, this relationship also leads to increased carbon emissions, presenting a challenge for environmental sustainability</w:t>
      </w:r>
      <w:r>
        <w:rPr>
          <w:rFonts w:ascii="Times New Roman" w:hAnsi="Times New Roman" w:cs="Times New Roman"/>
          <w:sz w:val="24"/>
          <w:szCs w:val="24"/>
          <w:lang w:val="en-IN"/>
        </w:rPr>
        <w:t>.</w:t>
      </w:r>
      <w:r>
        <w:rPr>
          <w:rFonts w:ascii="Times New Roman" w:hAnsi="Times New Roman" w:cs="Times New Roman"/>
          <w:sz w:val="24"/>
          <w:szCs w:val="24"/>
        </w:rPr>
        <w:t xml:space="preserve"> </w:t>
      </w:r>
      <w:r w:rsidRPr="00563415">
        <w:rPr>
          <w:rFonts w:ascii="Times New Roman" w:hAnsi="Times New Roman" w:cs="Times New Roman"/>
          <w:sz w:val="24"/>
          <w:szCs w:val="24"/>
          <w:lang w:val="en-IN"/>
        </w:rPr>
        <w:t xml:space="preserve">Effective policies could facilitate a transition towards a greener economy, balancing energy needs with environmental responsibilities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{"citationID":"lMzT9S25","properties":{"formattedCitation":"(Khan et al., 2018)","plainCitation":"(Khan et al., 2018)","noteIndex":0},"citationItems":[{"id":677,"uris":["http://zotero.org/users/local/nkivAgnN/items/VNTSH48H"],"itemData":{"id":677,"type":"article-journal","abstract":"Renewable energy is energy generated from natural resources and includes wind power, solar radiation as well as energy from other naturally and constantly replenished sources (sunlight, rain, wave, tides, geothermal heat, etc.). Renewable energy sector has one very big advantage over fossil fuels, the fact that it is highly ecologically acceptable compared to fossil fuels, because renewable energy sources release very little CO2 emissions into atmosphere compared to fossil fuels as the convincingly biggest pollutants. The findings of this research work is that the use of renewable energy will be available after finishing the traditional sources of energy like oil, gas and coal. This work may be the guide line for future use of renewable energy instead of nonrenewable energy in the world. This work also shows that the renewable energy is capable to face the energy crisis in the world in near future.","issue":"4","language":"en","source":"Zotero","title":"Studies on Nonconventional Energy Sources for Electricity Generation","volume":"4","author":[{"family":"Khan","given":"K A"},{"family":"Manir","given":"S M Maniruzzaman"},{"family":"Islam","given":"Shafiqul"},{"family":"Jahan","given":"Sifat"},{"family":"Hassan","given":"Lovelu"},{"family":"Ali","given":"M Hazrat"}],"issued":{"date-parts":[["2018"]]}}}],"schema":"https://github.com/citation-style-language/schema/raw/master/csl-citation.json"}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(Khan et al., 2018)</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rPr>
        <w:t xml:space="preserve">. </w:t>
      </w:r>
      <w:r w:rsidRPr="00563415">
        <w:rPr>
          <w:rFonts w:ascii="Times New Roman" w:hAnsi="Times New Roman" w:cs="Times New Roman"/>
          <w:sz w:val="24"/>
          <w:szCs w:val="24"/>
          <w:lang w:val="en-IN"/>
        </w:rPr>
        <w:t>While the findings underscore the benefits of renewable energy, they also highlight the challenges posed by non-renewable energy dependence, particularly in rapidly developing economies like India.</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The level of technological transfer between India and Japan is characterized by a blend of traditional and innovative mechanisms, influenced by historical practices and recent reforms. </w:t>
      </w:r>
    </w:p>
    <w:p w:rsidR="00DF00D6" w:rsidRPr="00563415" w:rsidRDefault="00DF00D6" w:rsidP="00DF00D6">
      <w:pPr>
        <w:spacing w:line="240" w:lineRule="auto"/>
        <w:jc w:val="both"/>
        <w:rPr>
          <w:rFonts w:ascii="Times New Roman" w:hAnsi="Times New Roman" w:cs="Times New Roman"/>
          <w:b/>
          <w:bCs/>
          <w:sz w:val="24"/>
          <w:szCs w:val="24"/>
          <w:lang w:val="en-IN"/>
        </w:rPr>
      </w:pPr>
      <w:r w:rsidRPr="00563415">
        <w:rPr>
          <w:rFonts w:ascii="Times New Roman" w:hAnsi="Times New Roman" w:cs="Times New Roman"/>
          <w:sz w:val="24"/>
          <w:szCs w:val="24"/>
          <w:lang w:val="en-IN"/>
        </w:rPr>
        <w:t xml:space="preserve">India has historically relied on foreign direct investments and licensing agreements, particularly in sectors like green technology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{"citationID":"mPQEvbov","properties":{"formattedCitation":"(Lema &amp; Lema, 2012)","plainCitation":"(Lema &amp; Lema, 2012)","noteIndex":0},"citationItems":[{"id":678,"uris":["http://zotero.org/users/local/nkivAgnN/items/L3SSTCTI"],"itemData":{"id":678,"type":"article-journal","abstract":"International technology transfer is central to the debate about how to curb the carbon emissions from rapid economic growth in China and India. But given China and India's great progress in building innovation capabilities and green industries, how relevant is technology transfer for these countries? This paper seeks insights from three green technology sectors in both countries: wind power, solar energy and electric and hybrid vehicles. We find that, conventional technology transfer mechanisms such as foreign direct investments and licensing, were important for industry formation and take-off. However, as these sectors are catching up, new ‘unconventional technology transfer mechanisms’ such as R&amp;D partnerships and acquisition of foreign firms have become increasingly important. We argue that there is limited practical and analytical mileage left in the conventional approach to technology transfer in these sectors in China and India. We argue that the emphasis should shift from transfer of mitigation te...","container-title":"Innovation for development","DOI":"10.1080/2157930X.2012.667206","issue":"1","language":"en","note":"publisher: Routledge","page":"23-44","source":"typeset.io","title":"Technology transfer? The rise of China and India in green technology sectors","title-short":"Technology transfer?","volume":"2","author":[{"family":"Lema","given":"Rasmus"},{"family":"Lema","given":"Adrian"}],"issued":{"date-parts":[["2012",4,19]]}}}],"schema":"https://github.com/citation-style-language/schema/raw/master/csl-citation.json"}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(Lema &amp; Lema, 2012)</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Japan, on the other hand, has seen a rise in technology licensing offices at universities, aiming to enhance patenting and licensing practices. While both nations are making strides in technology transfer, challenges remain, </w:t>
      </w:r>
      <w:r w:rsidRPr="00563415">
        <w:rPr>
          <w:rFonts w:ascii="Times New Roman" w:hAnsi="Times New Roman" w:cs="Times New Roman"/>
          <w:sz w:val="24"/>
          <w:szCs w:val="24"/>
          <w:lang w:val="en-IN"/>
        </w:rPr>
        <w:lastRenderedPageBreak/>
        <w:t xml:space="preserve">particularly in aligning institutional practices and overcoming historical barriers in Japan's academic landscape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{"citationID":"Orb0iX8l","properties":{"formattedCitation":"(Collins &amp; Wakoh, 2000)","plainCitation":"(Collins &amp; Wakoh, 2000)","noteIndex":0},"citationItems":[{"id":680,"uris":["http://zotero.org/users/local/nkivAgnN/items/DNLIWZ5Z"],"itemData":{"id":680,"type":"article-journal","abstract":"The Japanese government has embarked on a series of reforms aimed at stimulating technology transfer from universities to industry. As a result, technology licensing offices are springing up at many national universities. Advocates hope that these reforms will increase the level of university patenting and licensing, which historically has not been a common mode of technology transfer in Japan. Their model is the technology licensing process in the United States, which acquired its present form after passage of the Bayh-Dole Technology Transfer Act of 1980. Such changes face serious historical and institutional barriers. Academic researchers, especially in engineering and physical science, have a long record of collaborative research with industry. Decisions about patenting, however, were usually left to the corporate partner; universities rarely filed for patents under their own name, nor have they, until recently, encouraged or assisted faculty researchers in doing so. Consequently, we believe that current reforms, by going against the grain of past practices, will take time to achieve the hoped for results.","container-title":"The Journal of Technology Transfer","DOI":"10.1023/A:1007884925676","ISSN":"1573-7047","issue":"2","journalAbbreviation":"The Journal of Technology Transfer","language":"en","page":"213-222","source":"Springer Link","title":"Universities and Technology Transfer in Japan: Recent Reforms in Historical Perspective","title-short":"Universities and Technology Transfer in Japan","volume":"25","author":[{"family":"Collins","given":"Steven"},{"family":"Wakoh","given":"Hikoji"}],"issued":{"date-parts":[["2000",6,1]]}}}],"schema":"https://github.com/citation-style-language/schema/raw/master/csl-citation.json"}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(Collins &amp; Wakoh, 2000)</w:t>
      </w:r>
      <w:r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India sanctioned 562 collaborative agreements with Japanese firms from 1957 to 1981, indicating a strong interest in adopting Japanese managerial practices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{"citationID":"DrTaX8xL","properties":{"formattedCitation":"(Jain, 1987)","plainCitation":"(Jain, 1987)","noteIndex":0},"citationItems":[{"id":682,"uris":["http://zotero.org/users/local/nkivAgnN/items/6EYEJRA6"],"itemData":{"id":682,"type":"article-journal","container-title":"Asian Survey","DOI":"10.2307/2644651","ISSN":"0004-4687","issue":"9","note":"publisher: University of California Press","page":"1023-1035","source":"JSTOR","title":"The Japanese System of Human Resource Management: Transferability to the Indian Industrial Environment","title-short":"The Japanese System of Human Resource Management","volume":"27","author":[{"family":"Jain","given":"Hem C."}],"issued":{"date-parts":[["1987"]]}}}],"schema":"https://github.com/citation-style-language/schema/raw/master/csl-citation.json"}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(Jain, 1987)</w:t>
      </w:r>
      <w:r w:rsidRPr="00563415">
        <w:rPr>
          <w:rFonts w:ascii="Times New Roman" w:hAnsi="Times New Roman" w:cs="Times New Roman"/>
          <w:sz w:val="24"/>
          <w:szCs w:val="24"/>
        </w:rPr>
        <w:fldChar w:fldCharType="end"/>
      </w:r>
      <w:r>
        <w:rPr>
          <w:rFonts w:ascii="Times New Roman" w:hAnsi="Times New Roman" w:cs="Times New Roman"/>
          <w:sz w:val="24"/>
          <w:szCs w:val="24"/>
        </w:rPr>
        <w:t>.</w:t>
      </w:r>
    </w:p>
    <w:p w:rsidR="00DF00D6" w:rsidRPr="00563415"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 Japan, government agencies play a crucial role in facilitating technology transfer, contrasting with the more decentralized approach in the U.S. In India, the focus has shifted towards R&amp;D partnerships as industries mature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{"citationID":"T2PSpNmu","properties":{"formattedCitation":"(Cutler, 1989)","plainCitation":"(Cutler, 1989)","noteIndex":0},"citationItems":[{"id":685,"uris":["http://zotero.org/users/local/nkivAgnN/items/4L2JSRPI"],"itemData":{"id":685,"type":"article-journal","abstract":"The high-technology transfer practices of Japanese and U.S. researchers are described and compared to determine how industrial organizations can make better use of the basic research performed at universities in the United States and abroad.","container-title":"IEEE Transactions on Engineering Management","DOI":"10.1109/17.19978","ISSN":"00189391","issue":"1","journalAbbreviation":"IEEE Trans. Eng. Manage.","language":"en","license":"https://ieeexplore.ieee.org/Xplorehelp/downloads/license-information/IEEE.html","page":"17-24","source":"DOI.org (Crossref)","title":"A comparison of Japanese and US high-technology transfer practices","volume":"36","author":[{"family":"Cutler","given":"R.S."}],"issued":{"date-parts":[["1989",2]]}}}],"schema":"https://github.com/citation-style-language/schema/raw/master/csl-citation.json"}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(Cutler, 1989)</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rPr>
        <w:t>.</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India and Japan's strategic interests are converging, particularly in maritime security, as both nations depend on secure sea routes for energy and resources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{"citationID":"NSEbYyGp","properties":{"formattedCitation":"(Khurana, 2007)","plainCitation":"(Khurana, 2007)","noteIndex":0},"citationItems":[{"id":693,"uris":["http://zotero.org/users/local/nkivAgnN/items/SK44CFQQ"],"itemData":{"id":693,"type":"article-journal","abstract":"Ensuring access to crude oil and natural gas forms a crucial component of India's security calculus. It also critically underlines the significance of sea transportation through which much of these vital resources are traded. With India virtually insular in terms of its land communications, its trade interests are increasingly focused on the maritime domain. Its vital interests in the security of sea routes at the same time are beginning to converge with those of Japan, the economic powerhouse of Asia, which being an island state is critically dependent on Pacific and Indian Ocean ‘maritime lifelines’ not only for its energy imports but also for much of its food and other vital resource supplies. As the Indian economy grows, the strategic congruence between the two states is likely to strengthen because of two factors; first, the growing Asian economic integration, and second, the geographic locations of India and Japan vis-à-vis the global distribution of potential sources of strategic commodities.","container-title":"Strategic Analysis","DOI":"10.1080/09700160701355485","ISSN":"0970-0161","issue":"1","note":"publisher: Routledge\n_eprint: https://doi.org/10.1080/09700160701355485","page":"139-153","source":"Taylor and Francis+NEJM","title":"Security of Sea Lines: Prospects for India–Japan Cooperation","title-short":"Security of Sea Lines","volume":"31","author":[{"family":"Khurana","given":"Gurpreet S."}],"issued":{"date-parts":[["2007",6,8]]}}}],"schema":"https://github.com/citation-style-language/schema/raw/master/csl-citation.json"}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(Khurana, 2007)</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The 2008 joint security declaration marked a pivotal moment, establishing a framework for a robust security partnership, although challenges remain in defining its substance. Despite a joint security declaration in 2008, there remains a lack of consensus on the strategic framework of their partnership. Differing perceptions of security threats, particularly regarding China, complicate collaboration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{"citationID":"PyTLKRvd","properties":{"formattedCitation":"(Brewster, 2010)","plainCitation":"(Brewster, 2010)","noteIndex":0},"citationItems":[{"id":692,"uris":["http://zotero.org/users/local/nkivAgnN/items/MHZ3J7SD"],"itemData":{"id":692,"type":"article-journal","container-title":"Asian Security","DOI":"10.1080/14799851003756550","ISSN":"1479-9855, 1555-2764","issue":"2","journalAbbreviation":"Asian Security","language":"en","page":"95-120","source":"DOI.org (Crossref)","title":"The India-Japan Security Relationship: An Enduring Security Partnership?","title-short":"The India-Japan Security Relationship","volume":"6","author":[{"family":"Brewster","given":"David"}],"issued":{"date-parts":[["2010",5,18]]}}}],"schema":"https://github.com/citation-style-language/schema/raw/master/csl-citation.json"}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(Brewster, 2010)</w:t>
      </w:r>
      <w:r w:rsidRPr="00563415">
        <w:rPr>
          <w:rFonts w:ascii="Times New Roman" w:hAnsi="Times New Roman" w:cs="Times New Roman"/>
          <w:sz w:val="24"/>
          <w:szCs w:val="24"/>
        </w:rPr>
        <w:fldChar w:fldCharType="end"/>
      </w:r>
      <w:r>
        <w:rPr>
          <w:rFonts w:ascii="Times New Roman" w:hAnsi="Times New Roman" w:cs="Times New Roman"/>
          <w:sz w:val="24"/>
          <w:szCs w:val="24"/>
        </w:rPr>
        <w:t>.</w:t>
      </w:r>
    </w:p>
    <w:p w:rsidR="00DF00D6" w:rsidRPr="001E62F1" w:rsidRDefault="00DF00D6" w:rsidP="00DF00D6">
      <w:pPr>
        <w:spacing w:line="240" w:lineRule="auto"/>
        <w:jc w:val="both"/>
        <w:rPr>
          <w:rFonts w:ascii="Times New Roman" w:hAnsi="Times New Roman" w:cs="Times New Roman"/>
          <w:b/>
          <w:bCs/>
          <w:sz w:val="24"/>
          <w:szCs w:val="24"/>
          <w:lang w:val="en-IN"/>
        </w:rPr>
      </w:pPr>
      <w:r w:rsidRPr="00563415">
        <w:rPr>
          <w:rFonts w:ascii="Times New Roman" w:hAnsi="Times New Roman" w:cs="Times New Roman"/>
          <w:sz w:val="24"/>
          <w:szCs w:val="24"/>
          <w:lang w:val="en-IN"/>
        </w:rPr>
        <w:t xml:space="preserve">Japanese Foreign Direct Investment (FDI) in India has been growing, reflecting a flexible approach by Japanese firms to capitalize on India's expanding market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{"citationID":"yULP3zxX","properties":{"formattedCitation":"(Buckley et al., 2012)","plainCitation":"(Buckley et al., 2012)","noteIndex":0},"citationItems":[{"id":690,"uris":["http://zotero.org/users/local/nkivAgnN/items/Z6PQ64UK"],"itemData":{"id":690,"type":"article-journal","container-title":"Business History","DOI":"10.1080/00076791.2012.683417","ISSN":"0007-6791, 1743-7938","issue":"5","journalAbbreviation":"Business History","language":"en","page":"657-688","source":"DOI.org (Crossref)","title":"Japanese foreign direct investment in India: An institutional theory approach","title-short":"Japanese foreign direct investment in India","volume":"54","author":[{"family":"Buckley","given":"Peter J."},{"family":"Cross","given":"Adam R."},{"family":"Horn","given":"Sierk A."}],"issued":{"date-parts":[["2012",8]]}}}],"schema":"https://github.com/citation-style-language/schema/raw/master/csl-citation.json"}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(Buckley et al., 2012)</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The proposed India-Japan Free Trade Agreement (FTA) could enhance bilateral trade, although it may lead to welfare losses for India, necessitating careful policy considerations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{"citationID":"1RNgBDQE","properties":{"formattedCitation":"(Ahmed, 2010)","plainCitation":"(Ahmed, 2010)","noteIndex":0},"citationItems":[{"id":688,"uris":["http://zotero.org/users/local/nkivAgnN/items/48U7JG9L"],"itemData":{"id":688,"type":"article-journal","container-title":"SSRN Electronic Journal","DOI":"10.2139/ssrn.1708030","ISSN":"1556-5068","journalAbbreviation":"SSRN Journal","language":"en","source":"DOI.org (Crossref)","title":"India-Japan FTA in Goods: A Partial and General Equilibrium Analysis","title-short":"India-Japan FTA in Goods","URL":"http://www.ssrn.com/abstract=1708030","author":[{"family":"Ahmed","given":"Shahid"}],"accessed":{"date-parts":[["2024",9,30]]},"issued":{"date-parts":[["2010"]]}}}],"schema":"https://github.com/citation-style-language/schema/raw/master/csl-citation.json"}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(Ahmed, 2010)</w:t>
      </w:r>
      <w:r w:rsidRPr="00563415">
        <w:rPr>
          <w:rFonts w:ascii="Times New Roman" w:hAnsi="Times New Roman" w:cs="Times New Roman"/>
          <w:sz w:val="24"/>
          <w:szCs w:val="24"/>
        </w:rPr>
        <w:fldChar w:fldCharType="end"/>
      </w:r>
      <w:r>
        <w:rPr>
          <w:rFonts w:ascii="Times New Roman" w:hAnsi="Times New Roman" w:cs="Times New Roman"/>
          <w:b/>
          <w:bCs/>
          <w:sz w:val="24"/>
          <w:szCs w:val="24"/>
          <w:lang w:val="en-IN"/>
        </w:rPr>
        <w:t xml:space="preserve">. </w:t>
      </w:r>
      <w:r w:rsidRPr="00563415">
        <w:rPr>
          <w:rFonts w:ascii="Times New Roman" w:hAnsi="Times New Roman" w:cs="Times New Roman"/>
          <w:sz w:val="24"/>
          <w:szCs w:val="24"/>
          <w:lang w:val="en-IN"/>
        </w:rPr>
        <w:t xml:space="preserve">The post-Cold War era has seen a shift towards deeper political and strategic engagement, with both countries aiming for comprehensive cooperation despite existing obstacles. Past conflicts and differing post-war trajectories have created lingering mistrust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{"citationID":"9PlF5OSv","properties":{"formattedCitation":"(Ghosh, 2008)","plainCitation":"(Ghosh, 2008)","noteIndex":0},"citationItems":[{"id":686,"uris":["http://zotero.org/users/local/nkivAgnN/items/DWREL4HT"],"itemData":{"id":686,"type":"article-journal","abstract":"Abstract. In the post-Cold War era, India and Japan have been moving closer. The possibility of a comprehensive engagement appears quite likely. This article analyzes the new phase of improved Indo-Japanese bilateral relations and explores the variables contributing to this emerging trend. It also examines continuing obstacles to fully cementing “strategic” relations between the two countries.","language":"en","source":"online.ucpress.edu","title":"India and Japan's Growing Synergy: From a Political to a Strategic Focus","title-short":"India and Japan's Growing Synergy","URL":"https://online.ucpress.edu/as/article/48/2/282/24206/India-and-Japan-s-Growing-Synergy-From-a-Political","author":[{"family":"Ghosh","given":"Madhuchanda"}],"accessed":{"date-parts":[["2024",9,30]]},"issued":{"date-parts":[["2008"]]}}}],"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(Ghosh, 2008)</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While the prospects for India-Japan relations are promising, the complexities of trade dynamics and security perceptions will require ongoing dialogue and strategic alignment to fully realize their potential.</w:t>
      </w:r>
    </w:p>
    <w:p w:rsidR="00DF00D6" w:rsidRPr="00563415"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Communication barriers and geographical distance further exacerbate these strategic challenges, making it difficult to align their foreign policies effectively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{"citationID":"zuTiDxZq","properties":{"formattedCitation":"(Rajamohan et al., 2008)","plainCitation":"(Rajamohan et al., 2008)","noteIndex":0},"citationItems":[{"id":696,"uris":["http://zotero.org/users/local/nkivAgnN/items/JJBS5PB8"],"itemData":{"id":696,"type":"article-journal","language":"en","source":"Zotero","title":"Changing Paradigm of Indo-Japan Relations: Opportunities and Challenges","author":[{"family":"Rajamohan","given":"P G"},{"family":"Rahut","given":"Dil Bahadur"},{"family":"Jacob","given":"Jabin T"}],"issued":{"date-parts":[["2008"]]}}}],"schema":"https://github.com/citation-style-language/schema/raw/master/csl-citation.json"}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(Rajamohan et al., 2008)</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While there is potential for economic synergy, disparities in economic development and priorities can hinder progress. Japan's aging population contrasts with India's youthful workforce, creating both opportunities and challenges in labo</w:t>
      </w:r>
      <w:r w:rsidR="008E745D">
        <w:rPr>
          <w:rFonts w:ascii="Times New Roman" w:hAnsi="Times New Roman" w:cs="Times New Roman"/>
          <w:sz w:val="24"/>
          <w:szCs w:val="24"/>
          <w:lang w:val="en-IN"/>
        </w:rPr>
        <w:t>u</w:t>
      </w:r>
      <w:r w:rsidRPr="00563415">
        <w:rPr>
          <w:rFonts w:ascii="Times New Roman" w:hAnsi="Times New Roman" w:cs="Times New Roman"/>
          <w:sz w:val="24"/>
          <w:szCs w:val="24"/>
          <w:lang w:val="en-IN"/>
        </w:rPr>
        <w:t xml:space="preserve">r dynamics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{"citationID":"bAHh8mSS","properties":{"formattedCitation":"(Sato, 2012)","plainCitation":"(Sato, 2012)","noteIndex":0},"citationItems":[{"id":694,"uris":["http://zotero.org/users/local/nkivAgnN/items/XGSWFQCZ"],"itemData":{"id":694,"type":"article-journal","abstract":"A specialist on Japan’s economic relations with India analyzes the two countries’ bilateral economic relations. The author begins by tracing the history of Indo-Japanese economic relations, dating from Japan’s opening in the mid-19th century through India’s economic liberalization in 1991. He then proceeds to examine the recent economic ties between the two countries, focusing on bilateral merchandise trade, capital movements, and migration of labor. Emphasized is the potential for economic partnerships and projects that are currently being implemented (e.g., the Delhi Mass Rapid Transport System and Delhi-Mumbai Industrial Corridor) to transform the nature of the economic relationship between India and Japan. The paper concludes by noting the complementarity in population (aging in Japan and young labor in India), technology (hardware of Japan and software of India), and capital (abundant in Japan but scarce in India) that is conducive to strengthening the bilateral economic relationship in the future. Journal of Economic Literature, Classification Numbers: F140, F210, F220, O530. 2 figures, 7 tables, 37 references.","container-title":"Eurasian Geography and Economics","DOI":"10.2747/1539-7216.53.4.457","ISSN":"1538-7216","issue":"4","note":"publisher: Routledge\n_eprint: https://doi.org/10.2747/1539-7216.53.4.457","page":"457-478","source":"Taylor and Francis+NEJM","title":"Economic Relations between India and Japan","volume":"53","author":[{"family":"Sato","given":"Takahiro"}],"issued":{"date-parts":[["2012",7,1]]}}}],"schema":"https://github.com/citation-style-language/schema/raw/master/csl-citation.json"}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(Sato, 2012)</w:t>
      </w:r>
      <w:r w:rsidRPr="0056341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63415">
        <w:rPr>
          <w:rFonts w:ascii="Times New Roman" w:hAnsi="Times New Roman" w:cs="Times New Roman"/>
          <w:sz w:val="24"/>
          <w:szCs w:val="24"/>
          <w:lang w:val="en-IN"/>
        </w:rPr>
        <w:t xml:space="preserve">Culturally, while India and Japan share deep historical connections, particularly through Buddhism, challenges persist in their business interactions. Language barriers significantly hinder India's ability to effectively engage and compete in the Japanese market, further exacerbating economic challenges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{"citationID":"WbUzJVgB","properties":{"formattedCitation":"(Chinoy,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(Chinoy, 2020)</w:t>
      </w:r>
      <w:r w:rsidRPr="00563415">
        <w:rPr>
          <w:rFonts w:ascii="Times New Roman" w:hAnsi="Times New Roman" w:cs="Times New Roman"/>
          <w:sz w:val="24"/>
          <w:szCs w:val="24"/>
        </w:rPr>
        <w:fldChar w:fldCharType="end"/>
      </w:r>
      <w:r>
        <w:rPr>
          <w:rFonts w:ascii="Times New Roman" w:hAnsi="Times New Roman" w:cs="Times New Roman"/>
          <w:sz w:val="24"/>
          <w:szCs w:val="24"/>
        </w:rPr>
        <w:t>.</w:t>
      </w:r>
    </w:p>
    <w:p w:rsidR="00DF00D6" w:rsidRPr="00053FA5"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Both India and Japan view the rise of China as a potential threat to their regional stability and security. As Japan navigates between its largest trading partner, China, and its biggest military ally, the United States, it must carefully consider its</w:t>
      </w:r>
      <w:r>
        <w:rPr>
          <w:rFonts w:ascii="Times New Roman" w:hAnsi="Times New Roman" w:cs="Times New Roman"/>
          <w:sz w:val="24"/>
          <w:szCs w:val="24"/>
          <w:lang w:val="en-IN"/>
        </w:rPr>
        <w:t xml:space="preserve"> strategic interests with India</w:t>
      </w:r>
      <w:r w:rsidRPr="00563415">
        <w:rPr>
          <w:rFonts w:ascii="Times New Roman" w:hAnsi="Times New Roman" w:cs="Times New Roman"/>
          <w:sz w:val="24"/>
          <w:szCs w:val="24"/>
          <w:lang w:val="en-IN"/>
        </w:rPr>
        <w:t>. The recent 2+2 dialogue between the foreign and defen</w:t>
      </w:r>
      <w:r w:rsidR="008E745D">
        <w:rPr>
          <w:rFonts w:ascii="Times New Roman" w:hAnsi="Times New Roman" w:cs="Times New Roman"/>
          <w:sz w:val="24"/>
          <w:szCs w:val="24"/>
          <w:lang w:val="en-IN"/>
        </w:rPr>
        <w:t>c</w:t>
      </w:r>
      <w:r w:rsidRPr="00563415">
        <w:rPr>
          <w:rFonts w:ascii="Times New Roman" w:hAnsi="Times New Roman" w:cs="Times New Roman"/>
          <w:sz w:val="24"/>
          <w:szCs w:val="24"/>
          <w:lang w:val="en-IN"/>
        </w:rPr>
        <w:t>e ministers of both nations in August 2024 exemplifies their commitment to strengthening security ties, highlighting discussions on the transfer of defen</w:t>
      </w:r>
      <w:r w:rsidR="008E745D">
        <w:rPr>
          <w:rFonts w:ascii="Times New Roman" w:hAnsi="Times New Roman" w:cs="Times New Roman"/>
          <w:sz w:val="24"/>
          <w:szCs w:val="24"/>
          <w:lang w:val="en-IN"/>
        </w:rPr>
        <w:t>c</w:t>
      </w:r>
      <w:r w:rsidRPr="00563415">
        <w:rPr>
          <w:rFonts w:ascii="Times New Roman" w:hAnsi="Times New Roman" w:cs="Times New Roman"/>
          <w:sz w:val="24"/>
          <w:szCs w:val="24"/>
          <w:lang w:val="en-IN"/>
        </w:rPr>
        <w:t xml:space="preserve">e technology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{"citationID":"5VVyCiYl","properties":{"formattedCitation":"(Chinoy,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(Chinoy, 2020)</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rPr>
        <w:t xml:space="preserve">. </w:t>
      </w:r>
      <w:r w:rsidRPr="00053FA5">
        <w:rPr>
          <w:rFonts w:ascii="Times New Roman" w:hAnsi="Times New Roman" w:cs="Times New Roman"/>
          <w:sz w:val="24"/>
          <w:szCs w:val="24"/>
          <w:lang w:val="en-IN"/>
        </w:rPr>
        <w:t>Economically, India and Japan are confronted with a significant trade deficit, where India's merchandise exports to Japan remain limited. Additionally, a substantial portion of tariff lines is excluded from the Comprehensive Economic Partnership Agreement (CEPA), furth</w:t>
      </w:r>
      <w:r>
        <w:rPr>
          <w:rFonts w:ascii="Times New Roman" w:hAnsi="Times New Roman" w:cs="Times New Roman"/>
          <w:sz w:val="24"/>
          <w:szCs w:val="24"/>
          <w:lang w:val="en-IN"/>
        </w:rPr>
        <w:t>er complicating trade relations</w:t>
      </w:r>
      <w:r w:rsidRPr="00053FA5">
        <w:rPr>
          <w:rFonts w:ascii="Times New Roman" w:hAnsi="Times New Roman" w:cs="Times New Roman"/>
          <w:sz w:val="24"/>
          <w:szCs w:val="24"/>
          <w:lang w:val="en-IN"/>
        </w:rPr>
        <w:t xml:space="preserve">. Despite efforts to bolster their economic ties, India struggles to penetrate the Japanese market due to various barriers, including high-quality standards and language differences </w:t>
      </w:r>
      <w:r w:rsidRPr="00053FA5">
        <w:rPr>
          <w:rFonts w:ascii="Times New Roman" w:hAnsi="Times New Roman" w:cs="Times New Roman"/>
          <w:sz w:val="24"/>
          <w:szCs w:val="24"/>
          <w:lang w:val="en-IN"/>
        </w:rPr>
        <w:fldChar w:fldCharType="begin"/>
      </w:r>
      <w:r w:rsidRPr="00053FA5">
        <w:rPr>
          <w:rFonts w:ascii="Times New Roman" w:hAnsi="Times New Roman" w:cs="Times New Roman"/>
          <w:sz w:val="24"/>
          <w:szCs w:val="24"/>
          <w:lang w:val="en-IN"/>
        </w:rPr>
        <w:instrText xml:space="preserve"> ADDIN ZOTERO_ITEM CSL_CITATION {"citationID":"OGlOMn91","properties":{"formattedCitation":"(Chinoy, 2020)","plainCitation":"(Chinoy, 2020)","noteIndex":0},"citationItems":[{"id":702,"uris":["http://zotero.org/users/local/nkivAgnN/items/PGRWMGGB"],"itemData":{"id":702,"type":"webpage","title":"Challenges and Opportunities for India-Japan Economic Partnership","URL":"https://www.rieti.go.jp/en/events/bbl/20121601.html","author":[{"family":"Chinoy","given":"Sujan R."}],"accessed":{"date-parts":[["2024",9,30]]},"issued":{"date-parts":[["2020"]]}}}],"schema":"https://github.com/citation-style-language/schema/raw/master/csl-citation.json"} </w:instrText>
      </w:r>
      <w:r w:rsidRPr="00053FA5">
        <w:rPr>
          <w:rFonts w:ascii="Times New Roman" w:hAnsi="Times New Roman" w:cs="Times New Roman"/>
          <w:sz w:val="24"/>
          <w:szCs w:val="24"/>
          <w:lang w:val="en-IN"/>
        </w:rPr>
        <w:fldChar w:fldCharType="separate"/>
      </w:r>
      <w:r w:rsidRPr="00053FA5">
        <w:rPr>
          <w:rFonts w:ascii="Times New Roman" w:hAnsi="Times New Roman" w:cs="Times New Roman"/>
          <w:sz w:val="24"/>
          <w:szCs w:val="24"/>
          <w:lang w:val="en-IN"/>
        </w:rPr>
        <w:t>(Chinoy, 2020)</w:t>
      </w:r>
      <w:r w:rsidRPr="00053FA5">
        <w:rPr>
          <w:rFonts w:ascii="Times New Roman" w:hAnsi="Times New Roman" w:cs="Times New Roman"/>
          <w:sz w:val="24"/>
          <w:szCs w:val="24"/>
        </w:rPr>
        <w:fldChar w:fldCharType="end"/>
      </w:r>
      <w:r w:rsidRPr="00053FA5">
        <w:rPr>
          <w:rFonts w:ascii="Times New Roman" w:hAnsi="Times New Roman" w:cs="Times New Roman"/>
          <w:sz w:val="24"/>
          <w:szCs w:val="24"/>
        </w:rPr>
        <w:t>.</w:t>
      </w:r>
    </w:p>
    <w:p w:rsidR="00DF00D6" w:rsidRPr="00563415"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India is experiencing a substantial shift towards renewable energy, which is projected to positively impact its economic growth. Research indicates a strong relationship between </w:t>
      </w:r>
      <w:r w:rsidRPr="00563415">
        <w:rPr>
          <w:rFonts w:ascii="Times New Roman" w:hAnsi="Times New Roman" w:cs="Times New Roman"/>
          <w:sz w:val="24"/>
          <w:szCs w:val="24"/>
          <w:lang w:val="en-IN"/>
        </w:rPr>
        <w:lastRenderedPageBreak/>
        <w:t>renewable energy consumption and GDP growth, with India aiming to commission 500 GW of renewable energy capacity by 2030, potentially creating millions of j</w:t>
      </w:r>
      <w:r>
        <w:rPr>
          <w:rFonts w:ascii="Times New Roman" w:hAnsi="Times New Roman" w:cs="Times New Roman"/>
          <w:sz w:val="24"/>
          <w:szCs w:val="24"/>
          <w:lang w:val="en-IN"/>
        </w:rPr>
        <w:t>obs and stimulating investments</w:t>
      </w:r>
      <w:r w:rsidRPr="00563415">
        <w:rPr>
          <w:rFonts w:ascii="Times New Roman" w:hAnsi="Times New Roman" w:cs="Times New Roman"/>
          <w:sz w:val="24"/>
          <w:szCs w:val="24"/>
          <w:lang w:val="en-IN"/>
        </w:rPr>
        <w:t xml:space="preserve">. The focus on renewables is expected to enhance India's energy security and trade balances by reducing its dependence on fossil fuel  imports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{"citationID":"if9VDaii","properties":{"formattedCitation":"(Gupta &amp; Guha, 2024)","plainCitation":"(Gupta &amp; Guha, 2024)","noteIndex":0},"citationItems":[{"id":704,"uris":["http://zotero.org/users/local/nkivAgnN/items/5IDIEDPJ"],"itemData":{"id":704,"type":"webpage","title":"Renewable Energy and Economic Growth: Evidence from India","URL":"https://journals.sagepub.com/doi/10.1177/00194662231223698?icid=int.sj-abstract.citing-articles.133","author":[{"family":"Gupta","given":"Rajesh"},{"family":"Guha","given":"Atulan"}],"accessed":{"date-parts":[["2024",9,30]]},"issued":{"date-parts":[["2024"]]}}}],"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(Gupta &amp; Guha, 2024)</w:t>
      </w:r>
      <w:r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 xml:space="preserve">In 2021, non-renewable sources accounted for over 65% of India's total energy consumption, with coal alone contributing 75%. </w:t>
      </w:r>
      <w:r>
        <w:rPr>
          <w:rFonts w:ascii="Times New Roman" w:hAnsi="Times New Roman" w:cs="Times New Roman"/>
          <w:sz w:val="24"/>
          <w:szCs w:val="24"/>
          <w:lang w:val="en-IN"/>
        </w:rPr>
        <w:t>T</w:t>
      </w:r>
      <w:r w:rsidRPr="00563415">
        <w:rPr>
          <w:rFonts w:ascii="Times New Roman" w:hAnsi="Times New Roman" w:cs="Times New Roman"/>
          <w:sz w:val="24"/>
          <w:szCs w:val="24"/>
          <w:lang w:val="en-IN"/>
        </w:rPr>
        <w:t xml:space="preserve">he rising use of non-renewable energy sources exacerbates the environmental impacts, leading to increased CO2 emissions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{"citationID":"Vh7Macmk","properties":{"formattedCitation":"(Rahman et al., 2023)","plainCitation":"(Rahman et al., 2023)","noteIndex":0},"citationItems":[{"id":716,"uris":["http://zotero.org/users/local/nkivAgnN/items/DMU3FE2L"],"itemData":{"id":716,"type":"article-journal","abstract":"Purpose This study aims to investigate the interplay between renewable energy development, unemployment and GDP growth within Bangladesh, India, Pakistan and Sri Lanka. The research underscores the significant role of renewable energy plays in stimulating economic growth and mitigating unemployment, offering crucial policy insights for sustainable growth in South Asia. Design/methodology/approach Utilizing the autoregressive distributive lag (ARDL) framework and Toda Yamamoto causality through the vector autoregressive (VAR) approach, the study analyzes the long-term and short-term impacts of these variables from 1990 to 2019. Findings This study reveals a significant co-integration among renewable energy consumption, unemployment and GDP growth in selected South Asian countries. The long-term estimation shows renewable energy consumption influences negatively economic progression in Bangladesh, with no notable correlation with unemployment. In contrast, Sri Lanka demonstrates an optimal relationship among all the variables. Short-run assessments reveal a significant positive relationship between renewable energy consumption and economic growth in India, while an inverse relationship is evident in Pakistan. Moreover, the relationship between unemployment and economic progression, the result shows a negative and significant relationship in India and Sri Lanka. Research limitations/implications The study emphasizes the need for policy development concerning renewable energy development, unemployment reduction and sustainable economic growth in South Asia. While limitations exist, future research can expand upon this work by incorporating varied data, additional countries or alternative modeling techniques. Originality/value This research offers a unique exploration into the multidimensional impacts of renewable energy consumption, unemployment and economic growth in the South Asian context, an area previously unexplored in such depth.","container-title":"Arab Gulf Journal of Scientific Research","DOI":"10.1108/AGJSR-04-2023-0152","ISSN":"1985-9899, 2536-0051","issue":"ahead-of-print","note":"publisher: Emerald Publishing Limited","source":"Emerald Insight","title":"Renewable energy development, unemployment and GDP growth: South Asian evidence","title-short":"Renewable energy development, unemployment and GDP growth","URL":"https://doi.org/10.1108/AGJSR-04-2023-0152","volume":"ahead-of-print","author":[{"family":"Rahman","given":"Mohammad Rifat"},{"family":"Rahman","given":"Md. Mufidur"},{"family":"Akter","given":"Roksana"}],"accessed":{"date-parts":[["2024",9,30]]},"issued":{"date-parts":[["2023",1,1]]}}}],"schema":"https://github.com/citation-style-language/schema/raw/master/csl-citation.json"}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(Rahman et al., 2023)</w:t>
      </w:r>
      <w:r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rsidR="00DF00D6" w:rsidRPr="00563415"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Japan has made significant strides in expanding its renewable energy sector post-Fukushima disaster, with policies aiming to triple the share of renewables by 2030. The share of renewable generation in Japan grew from 21% in 2018 to 26% in 2022. The government expects a GDP growth of 1.1% per year from 2021 to 2050, which may be supported by increased investments in renewable technologies. Enhancing the renewable energy mix is critical for tackling environmental concerns and achieving long-term economic stability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{"citationID":"t5nQCb1d","properties":{"formattedCitation":"(Garcia-Casals et al., 2019)","plainCitation":"(Garcia-Casals et al., 2019)","noteIndex":0},"citationItems":[{"id":712,"uris":["http://zotero.org/users/local/nkivAgnN/items/Z2PVH92A"],"itemData":{"id":712,"type":"article-journal","abstract":"The energy system is often treated as a self-contained system, disconnected from the broader socio-economic structures it is built upon. Understanding the enabling environment and structural elements will help to maximize the benefits of the transition and increase awareness of potential barriers and necessary adjustments along the way. IRENA has developed a methodology to measure the socio-economic footprint of energy transition roadmaps using the E3ME macro-econometric model, which evaluates the likely impacts in terms of gross domestic product (GDP), employment and human welfare. It is based on well-established historical databases and has a proven track record of policy applications. The presented socio-economic footprint analysis is based on the IRENA REmap energy transition roadmap 2018 that explores a higher deployment of low-carbon technologies, mostly renewable energy and energy efficiency. The results show that, with appropriate policies in place, reducing over 90% of the energy-related carbon dioxide emissions from the reference case via renewables and energy efficiency coupled with deep electrification of end-uses, results in consistently positive global GDP impacts across the period of analysis from 2018 to 2050. Across the world economy, the transition case leads to a relative increase of employment by 0.14% over the reference case throughout the analysed period from 2018 to 2050. In addition to GDP and employment growth, the energy transition can offer broader welfare gains. However, not all countries and regions around the world benefit equally, and just transition policies must be included to ensure all regions and communities are able to take advantage of the energy transition.","container-title":"Energy Transitions","DOI":"10.1007/s41825-019-00018-6","ISSN":"2520-114X","issue":"1","journalAbbreviation":"Energy Transit","language":"en","page":"105-118","source":"Springer Link","title":"Measuring the socio-economic footprint of the energy transition","volume":"3","author":[{"family":"Garcia-Casals","given":"Xavier"},{"family":"Ferroukhi","given":"Rabia"},{"family":"Parajuli","given":"Bishal"}],"issued":{"date-parts":[["2019",12,1]]}}}],"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(Garcia-Casals et al., 2019)</w:t>
      </w:r>
      <w:r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p>
    <w:p w:rsidR="00DF00D6"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Both India and Japan face challenges in aligning their energy consumption patterns with economic growth while addressing carbon emissions. In India, economic growth has sometimes outpaced emissions increases, indicating improving energy efficiency. Conversely, Japan has experienced fluctuations in carbon emissions due to economic events like the 2008 financial crisis and the 2011 earthquake, which impacted energy consumption patterns across various sectors. </w:t>
      </w:r>
    </w:p>
    <w:p w:rsidR="00DF00D6" w:rsidRPr="00053FA5" w:rsidRDefault="00DF00D6" w:rsidP="00DF00D6">
      <w:pPr>
        <w:spacing w:line="240" w:lineRule="auto"/>
        <w:jc w:val="both"/>
        <w:rPr>
          <w:rFonts w:ascii="Times New Roman" w:hAnsi="Times New Roman" w:cs="Times New Roman"/>
          <w:sz w:val="24"/>
          <w:szCs w:val="24"/>
          <w:lang w:val="en-IN"/>
        </w:rPr>
      </w:pPr>
      <w:r w:rsidRPr="00563415">
        <w:rPr>
          <w:rFonts w:ascii="Times New Roman" w:hAnsi="Times New Roman" w:cs="Times New Roman"/>
          <w:sz w:val="24"/>
          <w:szCs w:val="24"/>
          <w:lang w:val="en-IN"/>
        </w:rPr>
        <w:t xml:space="preserve">Understanding these interconnections is essential for both countries to formulate effective energy policies that promote sustainability while sustaining economic development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{"citationID":"mVEKchoU","properties":{"formattedCitation":"(Fadilah et al., 2020)","plainCitation":"(Fadilah et al., 2020)","noteIndex":0},"citationItems":[{"id":721,"uris":["http://zotero.org/users/local/nkivAgnN/items/7XPWUSR4"],"itemData":{"id":721,"type":"article-journal","abstract":"The foremost purpose of the study is to explore the impact of renewable energy consumption (REC) on the economic growth of ASEAN countries. Data were extracted from the World Bank and ASEAN Energy Information Administration (EIA). The “Generalized Method of Moments (GMM)” approach has been used by using the STATA software for the analysis. The results unprotected that the REC and non-renewable energy consumption (NREC), growth in labor force and capital stock has positive nexus with the economy growth of the ASEAN countries. These findings provide the guidelines to the regulators that they should make the policies for the REC and NREC that increase the economy growth of the world.","container-title":"International Journal of Energy Economics and Policy","DOI":"10.32479/ijeep.10589","ISSN":"21464553","issue":"6","journalAbbreviation":"IJEEP","language":"en","page":"602-608","source":"DOI.org (Crossref)","title":"THE IMPACT OF RENEWABLE ENERGY CONSUMPTION ON THE ECONOMIC GROWTH OF THE ASEAN COUNTRIES","volume":"10","author":[{"family":"Fadilah","given":"Sri"},{"family":"Lestari","given":"Rini"},{"family":"Sahdan","given":"Mohd Hadafi"},{"family":"Khalid","given":"Ahmad Zamil Abdul"}],"issued":{"date-parts":[["2020",10,10]]}}}],"schema":"https://github.com/citation-style-language/schema/raw/master/csl-citation.json"}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(Fadilah et al., 2020)</w:t>
      </w:r>
      <w:r w:rsidRPr="00563415">
        <w:rPr>
          <w:rFonts w:ascii="Times New Roman" w:hAnsi="Times New Roman" w:cs="Times New Roman"/>
          <w:sz w:val="24"/>
          <w:szCs w:val="24"/>
        </w:rPr>
        <w:fldChar w:fldCharType="end"/>
      </w:r>
      <w:r w:rsidRPr="00563415">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The findings for both India and Japan suggest that targeted investments in renewable energy can foster economic growth while addressing pressing environmental issues. Both nations must navigate this complex terrain to achieve long-term climate goals and economic prosperity</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{"citationID":"d2dDgZmq","properties":{"formattedCitation":"(Gupta &amp; Guha, 2024)","plainCitation":"(Gupta &amp; Guha, 2024)","noteIndex":0},"citationItems":[{"id":704,"uris":["http://zotero.org/users/local/nkivAgnN/items/5IDIEDPJ"],"itemData":{"id":704,"type":"webpage","title":"Renewable Energy and Economic Growth: Evidence from India","URL":"https://journals.sagepub.com/doi/10.1177/00194662231223698?icid=int.sj-abstract.citing-articles.133","author":[{"family":"Gupta","given":"Rajesh"},{"family":"Guha","given":"Atulan"}],"accessed":{"date-parts":[["2024",9,30]]},"issued":{"date-parts":[["2024"]]}}}],"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(Gupta &amp; Guha, 2024)</w:t>
      </w:r>
      <w:r w:rsidRPr="00563415">
        <w:rPr>
          <w:rFonts w:ascii="Times New Roman" w:hAnsi="Times New Roman" w:cs="Times New Roman"/>
          <w:sz w:val="24"/>
          <w:szCs w:val="24"/>
        </w:rPr>
        <w:fldChar w:fldCharType="end"/>
      </w:r>
      <w:r>
        <w:rPr>
          <w:rFonts w:ascii="Times New Roman" w:hAnsi="Times New Roman" w:cs="Times New Roman"/>
          <w:sz w:val="24"/>
          <w:szCs w:val="24"/>
        </w:rPr>
        <w:t>.</w:t>
      </w:r>
    </w:p>
    <w:p w:rsidR="006C5AF0" w:rsidRPr="00053FA5" w:rsidRDefault="00DF3F09"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Objectives:</w:t>
      </w:r>
    </w:p>
    <w:p w:rsidR="00E14A46" w:rsidRPr="00E14A46" w:rsidRDefault="00E14A46" w:rsidP="00E14A46">
      <w:pPr>
        <w:spacing w:line="240" w:lineRule="auto"/>
        <w:jc w:val="both"/>
        <w:rPr>
          <w:rFonts w:ascii="Times New Roman" w:hAnsi="Times New Roman" w:cs="Times New Roman"/>
          <w:sz w:val="24"/>
          <w:szCs w:val="24"/>
        </w:rPr>
      </w:pPr>
      <w:r w:rsidRPr="00E14A46">
        <w:rPr>
          <w:rFonts w:ascii="Times New Roman" w:hAnsi="Times New Roman" w:cs="Times New Roman"/>
          <w:sz w:val="24"/>
          <w:szCs w:val="24"/>
        </w:rPr>
        <w:t>The study attempts to bring out the progress and prospects in India and Japan energy relationship. It outlines the following sub-objectives for the analysis:</w:t>
      </w:r>
    </w:p>
    <w:p w:rsidR="00DF3F09" w:rsidRPr="00053FA5" w:rsidRDefault="00DF3F09"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elucidate the background of bilateral relation between India and Japan</w:t>
      </w:r>
    </w:p>
    <w:p w:rsidR="00DF3F09" w:rsidRPr="00053FA5" w:rsidRDefault="00F41CE7"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examine the technological transfer in energy sector between the two nations.</w:t>
      </w:r>
    </w:p>
    <w:p w:rsidR="00DF3F09" w:rsidRPr="00053FA5" w:rsidRDefault="00DF3F09"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compare the energy sector and emission level of Indian and Japanese economy.</w:t>
      </w:r>
    </w:p>
    <w:p w:rsidR="00F41CE7" w:rsidRPr="00053FA5" w:rsidRDefault="00F41CE7" w:rsidP="00FF3D69">
      <w:pPr>
        <w:pStyle w:val="ListParagraph"/>
        <w:numPr>
          <w:ilvl w:val="0"/>
          <w:numId w:val="4"/>
        </w:num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To elaborate the prospects and challenges in energy ties between India and Japan.</w:t>
      </w:r>
    </w:p>
    <w:p w:rsidR="00CD2AC2" w:rsidRPr="00053FA5"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3.</w:t>
      </w:r>
      <w:r w:rsidR="00E14A46">
        <w:rPr>
          <w:rFonts w:ascii="Times New Roman" w:hAnsi="Times New Roman" w:cs="Times New Roman"/>
          <w:b/>
          <w:bCs/>
          <w:sz w:val="24"/>
          <w:szCs w:val="24"/>
        </w:rPr>
        <w:t xml:space="preserve"> </w:t>
      </w:r>
      <w:r w:rsidR="00CD2AC2" w:rsidRPr="00053FA5">
        <w:rPr>
          <w:rFonts w:ascii="Times New Roman" w:hAnsi="Times New Roman" w:cs="Times New Roman"/>
          <w:b/>
          <w:bCs/>
          <w:sz w:val="24"/>
          <w:szCs w:val="24"/>
        </w:rPr>
        <w:t>Factors determining bilateral relations between India and Japan</w:t>
      </w:r>
    </w:p>
    <w:p w:rsidR="00A520CB" w:rsidRDefault="00B95628"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Bilateral relation can be defined as the setting up of permanent diplomatic ties between two nations on mutual consent. </w:t>
      </w:r>
      <w:r w:rsidR="00F41CE7" w:rsidRPr="00053FA5">
        <w:rPr>
          <w:rFonts w:ascii="Times New Roman" w:hAnsi="Times New Roman" w:cs="Times New Roman"/>
          <w:sz w:val="24"/>
          <w:szCs w:val="24"/>
        </w:rPr>
        <w:t xml:space="preserve">There are various dimensions that determine the bilateral relation between any two nations. </w:t>
      </w:r>
      <w:r w:rsidRPr="00053FA5">
        <w:rPr>
          <w:rFonts w:ascii="Times New Roman" w:hAnsi="Times New Roman" w:cs="Times New Roman"/>
          <w:sz w:val="24"/>
          <w:szCs w:val="24"/>
        </w:rPr>
        <w:t>Some of them are discussed as follows:</w:t>
      </w:r>
    </w:p>
    <w:p w:rsidR="00E14A46" w:rsidRPr="00397FD2" w:rsidRDefault="00E14A46" w:rsidP="00E14A46">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Political: </w:t>
      </w:r>
      <w:r w:rsidRPr="00397FD2">
        <w:rPr>
          <w:rFonts w:ascii="Times New Roman" w:hAnsi="Times New Roman" w:cs="Times New Roman"/>
          <w:sz w:val="24"/>
          <w:szCs w:val="24"/>
        </w:rPr>
        <w:t xml:space="preserve">This is an important dimension in the establishment of diplomatic ties, which involves the exchange ambassadors between two nations. For example, India’s High Commission in Tokyo and Japan’s High Commission in New Delhi, for smooth functioning of each other’s affair. Political relation is governed by various diplomatic </w:t>
      </w:r>
      <w:r w:rsidRPr="00397FD2">
        <w:rPr>
          <w:rFonts w:ascii="Times New Roman" w:hAnsi="Times New Roman" w:cs="Times New Roman"/>
          <w:sz w:val="24"/>
          <w:szCs w:val="24"/>
        </w:rPr>
        <w:lastRenderedPageBreak/>
        <w:t>agreements which involve the procedures for official representation, protection of interest of both the nations, and diplomatic privileges.</w:t>
      </w:r>
    </w:p>
    <w:p w:rsidR="00E14A46" w:rsidRPr="00E14A46" w:rsidRDefault="00E14A46" w:rsidP="00E14A46">
      <w:pPr>
        <w:pStyle w:val="ListParagraph"/>
        <w:numPr>
          <w:ilvl w:val="0"/>
          <w:numId w:val="6"/>
        </w:numPr>
        <w:spacing w:line="240" w:lineRule="auto"/>
        <w:jc w:val="both"/>
        <w:rPr>
          <w:rFonts w:ascii="Times New Roman" w:hAnsi="Times New Roman" w:cs="Times New Roman"/>
          <w:sz w:val="24"/>
          <w:szCs w:val="24"/>
        </w:rPr>
      </w:pPr>
      <w:r w:rsidRPr="00E14A46">
        <w:rPr>
          <w:rFonts w:ascii="Times New Roman" w:hAnsi="Times New Roman" w:cs="Times New Roman"/>
          <w:b/>
          <w:bCs/>
          <w:sz w:val="24"/>
          <w:szCs w:val="24"/>
        </w:rPr>
        <w:t xml:space="preserve">Economical: </w:t>
      </w:r>
      <w:r w:rsidRPr="00E14A46">
        <w:rPr>
          <w:rFonts w:ascii="Times New Roman" w:hAnsi="Times New Roman" w:cs="Times New Roman"/>
          <w:sz w:val="24"/>
          <w:szCs w:val="24"/>
        </w:rPr>
        <w:t>Economic dimension is one of the major defining faces in an international relation. It includes various types of economic integrations and investment activities. Japan happens to be the largest bilateral donor to India. The Official Development Assistance (ODA) of Japan in India for the latter’s’ economic development in prominent areas like, power, transportation, environmental projects, and others. Japan’s ODA disbursements to India in 2021-22 amounted to around 3.28 billion US$. Japan’s bilateral trade in India amounted to US$ 22.85 billion in FY2023-24. Economic partnerships between them include, the Comprehensive Economic Partnership Agreement (CEPA) in 2011 (</w:t>
      </w:r>
      <w:proofErr w:type="spellStart"/>
      <w:r w:rsidRPr="00E14A46">
        <w:rPr>
          <w:rFonts w:ascii="Times New Roman" w:hAnsi="Times New Roman" w:cs="Times New Roman"/>
          <w:sz w:val="24"/>
          <w:szCs w:val="24"/>
        </w:rPr>
        <w:t>Pardesi</w:t>
      </w:r>
      <w:proofErr w:type="spellEnd"/>
      <w:r w:rsidRPr="00E14A46">
        <w:rPr>
          <w:rFonts w:ascii="Times New Roman" w:hAnsi="Times New Roman" w:cs="Times New Roman"/>
          <w:sz w:val="24"/>
          <w:szCs w:val="24"/>
        </w:rPr>
        <w:t>, 2018).</w:t>
      </w:r>
    </w:p>
    <w:p w:rsidR="005F074F" w:rsidRPr="00053FA5" w:rsidRDefault="005F074F" w:rsidP="00FF3D69">
      <w:pPr>
        <w:spacing w:line="240" w:lineRule="auto"/>
        <w:jc w:val="both"/>
        <w:rPr>
          <w:rFonts w:ascii="Times New Roman" w:hAnsi="Times New Roman" w:cs="Times New Roman"/>
          <w:b/>
          <w:bCs/>
          <w:sz w:val="24"/>
          <w:szCs w:val="24"/>
        </w:rPr>
      </w:pPr>
    </w:p>
    <w:p w:rsidR="00FF3D69" w:rsidRDefault="00E14A46" w:rsidP="00E14A46">
      <w:pPr>
        <w:tabs>
          <w:tab w:val="left" w:pos="5340"/>
        </w:tabs>
        <w:spacing w:line="240" w:lineRule="auto"/>
        <w:jc w:val="center"/>
        <w:rPr>
          <w:rFonts w:ascii="Times New Roman" w:hAnsi="Times New Roman" w:cs="Times New Roman"/>
          <w:b/>
          <w:bCs/>
          <w:sz w:val="24"/>
          <w:szCs w:val="24"/>
        </w:rPr>
      </w:pPr>
      <w:r w:rsidRPr="00E14A46">
        <w:rPr>
          <w:rFonts w:ascii="Times New Roman" w:hAnsi="Times New Roman" w:cs="Times New Roman"/>
          <w:b/>
          <w:bCs/>
          <w:noProof/>
          <w:sz w:val="24"/>
          <w:szCs w:val="24"/>
        </w:rPr>
        <w:drawing>
          <wp:inline distT="0" distB="0" distL="0" distR="0">
            <wp:extent cx="5198533"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D1D08" w:rsidRDefault="000D1D08" w:rsidP="00FF3D69">
      <w:pPr>
        <w:spacing w:line="240" w:lineRule="auto"/>
        <w:jc w:val="center"/>
        <w:rPr>
          <w:rFonts w:ascii="Times New Roman" w:hAnsi="Times New Roman" w:cs="Times New Roman"/>
          <w:bCs/>
          <w:sz w:val="24"/>
          <w:szCs w:val="24"/>
        </w:rPr>
      </w:pPr>
      <w:r w:rsidRPr="000D1D08">
        <w:rPr>
          <w:rFonts w:ascii="Times New Roman" w:hAnsi="Times New Roman" w:cs="Times New Roman"/>
          <w:bCs/>
          <w:sz w:val="24"/>
          <w:szCs w:val="24"/>
        </w:rPr>
        <w:t>Source: Authors’ preparation</w:t>
      </w:r>
    </w:p>
    <w:p w:rsidR="00E14A46" w:rsidRPr="00E14A46" w:rsidRDefault="00E14A46" w:rsidP="00E14A46">
      <w:pPr>
        <w:spacing w:line="240" w:lineRule="auto"/>
        <w:ind w:left="360"/>
        <w:jc w:val="center"/>
        <w:rPr>
          <w:rFonts w:ascii="Times New Roman" w:hAnsi="Times New Roman" w:cs="Times New Roman"/>
          <w:bCs/>
          <w:sz w:val="24"/>
          <w:szCs w:val="24"/>
        </w:rPr>
      </w:pPr>
      <w:r w:rsidRPr="00E14A46">
        <w:rPr>
          <w:rFonts w:ascii="Times New Roman" w:hAnsi="Times New Roman" w:cs="Times New Roman"/>
          <w:bCs/>
          <w:sz w:val="24"/>
          <w:szCs w:val="24"/>
        </w:rPr>
        <w:t>Figure 1-</w:t>
      </w:r>
      <w:r w:rsidRPr="00E14A46">
        <w:rPr>
          <w:rFonts w:ascii="Times New Roman" w:hAnsi="Times New Roman" w:cs="Times New Roman"/>
          <w:sz w:val="24"/>
          <w:szCs w:val="24"/>
        </w:rPr>
        <w:t>Factors determining bilateral relations between India and Japan</w:t>
      </w:r>
    </w:p>
    <w:p w:rsidR="00E14A46" w:rsidRPr="00E14A46" w:rsidRDefault="00E14A46" w:rsidP="00E14A46">
      <w:pPr>
        <w:pStyle w:val="ListParagraph"/>
        <w:spacing w:line="240" w:lineRule="auto"/>
        <w:jc w:val="both"/>
        <w:rPr>
          <w:rFonts w:ascii="Times New Roman" w:hAnsi="Times New Roman" w:cs="Times New Roman"/>
          <w:sz w:val="24"/>
          <w:szCs w:val="24"/>
        </w:rPr>
      </w:pPr>
    </w:p>
    <w:p w:rsidR="00E14A46" w:rsidRPr="00397FD2" w:rsidRDefault="00E14A46" w:rsidP="00E14A46">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Cultural: </w:t>
      </w:r>
      <w:r w:rsidRPr="00397FD2">
        <w:rPr>
          <w:rFonts w:ascii="Times New Roman" w:hAnsi="Times New Roman" w:cs="Times New Roman"/>
          <w:sz w:val="24"/>
          <w:szCs w:val="24"/>
        </w:rPr>
        <w:t xml:space="preserve">Cultural and educational programs also help in building bilateral relation and mutual trust between two nation-states. Both India and Japan have initiated various cultural and educational exchange programs and certain institutions to enhance the partnership between the communities and students of both the countries. It includes student and teacher exchange programs, government scholarships, promotion of Japanese language in India and Indian languages like Sanskrit, in Japan. Some Indian institutions have initiated </w:t>
      </w:r>
      <w:r>
        <w:rPr>
          <w:rFonts w:ascii="Times New Roman" w:hAnsi="Times New Roman" w:cs="Times New Roman"/>
          <w:sz w:val="24"/>
          <w:szCs w:val="24"/>
        </w:rPr>
        <w:t>‘India-Japan Centre’ like IIM-Be</w:t>
      </w:r>
      <w:r w:rsidRPr="00397FD2">
        <w:rPr>
          <w:rFonts w:ascii="Times New Roman" w:hAnsi="Times New Roman" w:cs="Times New Roman"/>
          <w:sz w:val="24"/>
          <w:szCs w:val="24"/>
        </w:rPr>
        <w:t xml:space="preserve">ngaluru India-Japan Centre, etc. Institutions in Japan have also started certain labs in collaboration with India like ‘Indo-Japan Lab’ at Keio University, etc. Further, India-Japan jointly hosted various editions of </w:t>
      </w:r>
      <w:proofErr w:type="spellStart"/>
      <w:r w:rsidRPr="00397FD2">
        <w:rPr>
          <w:rFonts w:ascii="Times New Roman" w:hAnsi="Times New Roman" w:cs="Times New Roman"/>
          <w:sz w:val="24"/>
          <w:szCs w:val="24"/>
        </w:rPr>
        <w:t>Samvad</w:t>
      </w:r>
      <w:proofErr w:type="spellEnd"/>
      <w:r w:rsidRPr="00397FD2">
        <w:rPr>
          <w:rFonts w:ascii="Times New Roman" w:hAnsi="Times New Roman" w:cs="Times New Roman"/>
          <w:sz w:val="24"/>
          <w:szCs w:val="24"/>
        </w:rPr>
        <w:t xml:space="preserve"> Conference to discuss and foster the traditions of democracy in Asia’s future. </w:t>
      </w:r>
      <w:r w:rsidRPr="00397FD2">
        <w:rPr>
          <w:rFonts w:ascii="Times New Roman" w:hAnsi="Times New Roman" w:cs="Times New Roman"/>
          <w:sz w:val="24"/>
          <w:szCs w:val="24"/>
        </w:rPr>
        <w:lastRenderedPageBreak/>
        <w:t>Other recent initiative includes, 2</w:t>
      </w:r>
      <w:r w:rsidRPr="00397FD2">
        <w:rPr>
          <w:rFonts w:ascii="Times New Roman" w:hAnsi="Times New Roman" w:cs="Times New Roman"/>
          <w:sz w:val="24"/>
          <w:szCs w:val="24"/>
          <w:vertAlign w:val="superscript"/>
        </w:rPr>
        <w:t>nd</w:t>
      </w:r>
      <w:r w:rsidRPr="00397FD2">
        <w:rPr>
          <w:rFonts w:ascii="Times New Roman" w:hAnsi="Times New Roman" w:cs="Times New Roman"/>
          <w:sz w:val="24"/>
          <w:szCs w:val="24"/>
        </w:rPr>
        <w:t xml:space="preserve"> India-Japan Universities Forum in 2023, India-Japan Edu Connect in 2023, etc. Further, the </w:t>
      </w:r>
      <w:proofErr w:type="spellStart"/>
      <w:r w:rsidRPr="00397FD2">
        <w:rPr>
          <w:rFonts w:ascii="Times New Roman" w:hAnsi="Times New Roman" w:cs="Times New Roman"/>
          <w:sz w:val="24"/>
          <w:szCs w:val="24"/>
        </w:rPr>
        <w:t>Nishikasai</w:t>
      </w:r>
      <w:proofErr w:type="spellEnd"/>
      <w:r w:rsidRPr="00397FD2">
        <w:rPr>
          <w:rFonts w:ascii="Times New Roman" w:hAnsi="Times New Roman" w:cs="Times New Roman"/>
          <w:sz w:val="24"/>
          <w:szCs w:val="24"/>
        </w:rPr>
        <w:t xml:space="preserve"> area of Japan is called as mini-India due to growing India population there</w:t>
      </w:r>
      <w:r>
        <w:rPr>
          <w:rFonts w:ascii="Times New Roman" w:hAnsi="Times New Roman" w:cs="Times New Roman"/>
          <w:sz w:val="24"/>
          <w:szCs w:val="24"/>
        </w:rPr>
        <w:t xml:space="preserve"> (</w:t>
      </w:r>
      <w:proofErr w:type="spellStart"/>
      <w:r>
        <w:rPr>
          <w:rFonts w:ascii="Times New Roman" w:hAnsi="Times New Roman" w:cs="Times New Roman"/>
          <w:sz w:val="24"/>
          <w:szCs w:val="24"/>
        </w:rPr>
        <w:t>Chinoy</w:t>
      </w:r>
      <w:proofErr w:type="spellEnd"/>
      <w:r>
        <w:rPr>
          <w:rFonts w:ascii="Times New Roman" w:hAnsi="Times New Roman" w:cs="Times New Roman"/>
          <w:sz w:val="24"/>
          <w:szCs w:val="24"/>
        </w:rPr>
        <w:t>, 2020)</w:t>
      </w:r>
      <w:r w:rsidRPr="00397FD2">
        <w:rPr>
          <w:rFonts w:ascii="Times New Roman" w:hAnsi="Times New Roman" w:cs="Times New Roman"/>
          <w:sz w:val="24"/>
          <w:szCs w:val="24"/>
        </w:rPr>
        <w:t xml:space="preserve">. </w:t>
      </w:r>
    </w:p>
    <w:p w:rsidR="00E14A46" w:rsidRPr="00397FD2" w:rsidRDefault="00E14A46" w:rsidP="00E14A46">
      <w:pPr>
        <w:pStyle w:val="ListParagraph"/>
        <w:numPr>
          <w:ilvl w:val="0"/>
          <w:numId w:val="6"/>
        </w:numPr>
        <w:spacing w:line="240" w:lineRule="auto"/>
        <w:jc w:val="both"/>
        <w:rPr>
          <w:rFonts w:ascii="Times New Roman" w:hAnsi="Times New Roman" w:cs="Times New Roman"/>
          <w:b/>
          <w:bCs/>
          <w:sz w:val="24"/>
          <w:szCs w:val="24"/>
        </w:rPr>
      </w:pPr>
      <w:r w:rsidRPr="00397FD2">
        <w:rPr>
          <w:rFonts w:ascii="Times New Roman" w:hAnsi="Times New Roman" w:cs="Times New Roman"/>
          <w:b/>
          <w:bCs/>
          <w:sz w:val="24"/>
          <w:szCs w:val="24"/>
        </w:rPr>
        <w:t xml:space="preserve">Geographical: </w:t>
      </w:r>
      <w:r w:rsidRPr="00397FD2">
        <w:rPr>
          <w:rFonts w:ascii="Times New Roman" w:hAnsi="Times New Roman" w:cs="Times New Roman"/>
          <w:sz w:val="24"/>
          <w:szCs w:val="24"/>
        </w:rPr>
        <w:t>Geographical proximity is one parameter that defines the level of trade between two nations. According to gravity model, the closer the two nations, the greater the amount of trade between them. However, there are other factors that also determine this dimension. Both India and Japan are the part of the largest continent Asia. Japan completely lies in the sub-tropical region with India having a mixture of tropical and sub-tropical features. The geographical positioning of both the nations develops their interest in Indo-Pacific region.</w:t>
      </w:r>
    </w:p>
    <w:p w:rsidR="00E14A46" w:rsidRPr="00397FD2" w:rsidRDefault="00E14A46" w:rsidP="00E14A46">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Technological: </w:t>
      </w:r>
      <w:r w:rsidRPr="00397FD2">
        <w:rPr>
          <w:rFonts w:ascii="Times New Roman" w:hAnsi="Times New Roman" w:cs="Times New Roman"/>
          <w:sz w:val="24"/>
          <w:szCs w:val="24"/>
        </w:rPr>
        <w:t xml:space="preserve">Technological advancement fosters the strength of economic relationship between two nations. Japan being a developed economy with advance capital and technology has the capability of technological investment. While India appears as one of the best destinations of such investments. It includes Japan’s investment in “Make in India” initiative, the Delhi-Mumbai Industrial Corridor, the Chennai-Bangalore Industrial Corridor, the Chennai and Ahmedabad-Metro Projects, </w:t>
      </w:r>
      <w:proofErr w:type="spellStart"/>
      <w:r w:rsidRPr="00397FD2">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Pardesi</w:t>
      </w:r>
      <w:proofErr w:type="spellEnd"/>
      <w:r>
        <w:rPr>
          <w:rFonts w:ascii="Times New Roman" w:hAnsi="Times New Roman" w:cs="Times New Roman"/>
          <w:sz w:val="24"/>
          <w:szCs w:val="24"/>
        </w:rPr>
        <w:t>, 2018)</w:t>
      </w:r>
      <w:r w:rsidRPr="00397FD2">
        <w:rPr>
          <w:rFonts w:ascii="Times New Roman" w:hAnsi="Times New Roman" w:cs="Times New Roman"/>
          <w:sz w:val="24"/>
          <w:szCs w:val="24"/>
        </w:rPr>
        <w:t>. These kinds of investments and concessional loans are based on mutual benefit and interests. In the technological field, India- Japan has launched few collaborative projects in Space technology.</w:t>
      </w:r>
    </w:p>
    <w:p w:rsidR="00E14A46" w:rsidRPr="00397FD2" w:rsidRDefault="00E14A46" w:rsidP="00E14A46">
      <w:pPr>
        <w:pStyle w:val="ListParagraph"/>
        <w:numPr>
          <w:ilvl w:val="0"/>
          <w:numId w:val="6"/>
        </w:numPr>
        <w:spacing w:line="240" w:lineRule="auto"/>
        <w:jc w:val="both"/>
        <w:rPr>
          <w:rFonts w:ascii="Times New Roman" w:hAnsi="Times New Roman" w:cs="Times New Roman"/>
          <w:sz w:val="24"/>
          <w:szCs w:val="24"/>
        </w:rPr>
      </w:pPr>
      <w:r w:rsidRPr="00397FD2">
        <w:rPr>
          <w:rFonts w:ascii="Times New Roman" w:hAnsi="Times New Roman" w:cs="Times New Roman"/>
          <w:b/>
          <w:bCs/>
          <w:sz w:val="24"/>
          <w:szCs w:val="24"/>
        </w:rPr>
        <w:t xml:space="preserve">Defense: </w:t>
      </w:r>
      <w:r w:rsidRPr="00397FD2">
        <w:rPr>
          <w:rFonts w:ascii="Times New Roman" w:hAnsi="Times New Roman" w:cs="Times New Roman"/>
          <w:sz w:val="24"/>
          <w:szCs w:val="24"/>
        </w:rPr>
        <w:t>Border security and defense</w:t>
      </w:r>
      <w:r>
        <w:rPr>
          <w:rFonts w:ascii="Times New Roman" w:hAnsi="Times New Roman" w:cs="Times New Roman"/>
          <w:sz w:val="24"/>
          <w:szCs w:val="24"/>
        </w:rPr>
        <w:t xml:space="preserve"> </w:t>
      </w:r>
      <w:r w:rsidRPr="00397FD2">
        <w:rPr>
          <w:rFonts w:ascii="Times New Roman" w:hAnsi="Times New Roman" w:cs="Times New Roman"/>
          <w:sz w:val="24"/>
          <w:szCs w:val="24"/>
        </w:rPr>
        <w:t>is an important aspect of nation-building. Japan and India entered into two Defense Framework Agreements in 2016, namely the Transfer of Defense Equipment and Technology and Security Measures for the Protection of Classified Military Information. Other bilateral defense dialogues include defense industry cooperation, joint field exercises in counter-terrorism and so on. Japan sees India as an important ally in the of security framework of the region</w:t>
      </w:r>
      <w:r>
        <w:rPr>
          <w:rFonts w:ascii="Times New Roman" w:hAnsi="Times New Roman" w:cs="Times New Roman"/>
          <w:sz w:val="24"/>
          <w:szCs w:val="24"/>
        </w:rPr>
        <w:t xml:space="preserve"> (</w:t>
      </w:r>
      <w:proofErr w:type="spellStart"/>
      <w:r>
        <w:rPr>
          <w:rFonts w:ascii="Times New Roman" w:hAnsi="Times New Roman" w:cs="Times New Roman"/>
          <w:sz w:val="24"/>
          <w:szCs w:val="24"/>
        </w:rPr>
        <w:t>Chinoy</w:t>
      </w:r>
      <w:proofErr w:type="spellEnd"/>
      <w:r>
        <w:rPr>
          <w:rFonts w:ascii="Times New Roman" w:hAnsi="Times New Roman" w:cs="Times New Roman"/>
          <w:sz w:val="24"/>
          <w:szCs w:val="24"/>
        </w:rPr>
        <w:t>, 2020)</w:t>
      </w:r>
      <w:r w:rsidRPr="00397FD2">
        <w:rPr>
          <w:rFonts w:ascii="Times New Roman" w:hAnsi="Times New Roman" w:cs="Times New Roman"/>
          <w:sz w:val="24"/>
          <w:szCs w:val="24"/>
        </w:rPr>
        <w:t>.</w:t>
      </w:r>
    </w:p>
    <w:p w:rsidR="00E14A46" w:rsidRPr="00E14A46" w:rsidRDefault="00E14A46" w:rsidP="00E14A46">
      <w:pPr>
        <w:pStyle w:val="ListParagraph"/>
        <w:numPr>
          <w:ilvl w:val="0"/>
          <w:numId w:val="6"/>
        </w:numPr>
        <w:spacing w:line="240" w:lineRule="auto"/>
        <w:jc w:val="both"/>
        <w:rPr>
          <w:rFonts w:ascii="Times New Roman" w:hAnsi="Times New Roman" w:cs="Times New Roman"/>
          <w:sz w:val="24"/>
          <w:szCs w:val="24"/>
        </w:rPr>
      </w:pPr>
      <w:r w:rsidRPr="00E14A46">
        <w:rPr>
          <w:rFonts w:ascii="Times New Roman" w:hAnsi="Times New Roman" w:cs="Times New Roman"/>
          <w:b/>
          <w:bCs/>
          <w:sz w:val="24"/>
          <w:szCs w:val="24"/>
        </w:rPr>
        <w:t xml:space="preserve">Maritime Security: </w:t>
      </w:r>
      <w:r w:rsidRPr="00E14A46">
        <w:rPr>
          <w:rFonts w:ascii="Times New Roman" w:hAnsi="Times New Roman" w:cs="Times New Roman"/>
          <w:sz w:val="24"/>
          <w:szCs w:val="24"/>
        </w:rPr>
        <w:t>Having already pointed the geographical positioning of India and Japan, and their interest in Indo-Pacific region, maritime security is significant. The maritime cooperation between them initiated no later than 1999 after the Alondra Rainbow incident. Defense cooperation between the countries gained momentum since 2000. Recently, both the nations have launched various maritime exercises. Both the nations entered into an Acquisition and Cross-Servicing Agreement (ACSA) in 2020.  This agreement enables their military forces to exchange supplies and services. In 2021, Japan India Maritime Exercise (JIMEX) was launched, which includes anti-submarine and air warfare drills, cross-deck helicopter operations, and weapon firings (</w:t>
      </w:r>
      <w:proofErr w:type="spellStart"/>
      <w:r w:rsidRPr="00E14A46">
        <w:rPr>
          <w:rFonts w:ascii="Times New Roman" w:hAnsi="Times New Roman" w:cs="Times New Roman"/>
          <w:sz w:val="24"/>
          <w:szCs w:val="24"/>
        </w:rPr>
        <w:t>Kesavan</w:t>
      </w:r>
      <w:proofErr w:type="spellEnd"/>
      <w:r w:rsidRPr="00E14A46">
        <w:rPr>
          <w:rFonts w:ascii="Times New Roman" w:hAnsi="Times New Roman" w:cs="Times New Roman"/>
          <w:sz w:val="24"/>
          <w:szCs w:val="24"/>
        </w:rPr>
        <w:t>, 2020).</w:t>
      </w:r>
    </w:p>
    <w:p w:rsidR="00F41CE7" w:rsidRPr="00053FA5" w:rsidRDefault="009D4936" w:rsidP="00E14A46">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Therefore, these are the major dimensions which define bilateral, trilateral or multilateral relations among the nations worldwide. It involves self-interest and mutual benefit. </w:t>
      </w:r>
    </w:p>
    <w:p w:rsidR="00C42F61" w:rsidRPr="00053FA5" w:rsidRDefault="0017053F"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4</w:t>
      </w:r>
      <w:r w:rsidR="00F036BF" w:rsidRPr="00053FA5">
        <w:rPr>
          <w:rFonts w:ascii="Times New Roman" w:hAnsi="Times New Roman" w:cs="Times New Roman"/>
          <w:b/>
          <w:bCs/>
          <w:sz w:val="24"/>
          <w:szCs w:val="24"/>
        </w:rPr>
        <w:t>. Technological Transfer</w:t>
      </w:r>
    </w:p>
    <w:p w:rsidR="001D4778" w:rsidRPr="00053FA5" w:rsidRDefault="001D4778" w:rsidP="00FF3D69">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Technological advancement and innovations are essential to reduce greenhouse gas emissions (GHG) and to mitigate the effects of climate change, viewing the energy consumption capacity of developing nations.</w:t>
      </w:r>
      <w:r w:rsidR="009F097D" w:rsidRPr="00053FA5">
        <w:rPr>
          <w:rFonts w:ascii="Times New Roman" w:hAnsi="Times New Roman" w:cs="Times New Roman"/>
          <w:sz w:val="24"/>
          <w:szCs w:val="24"/>
        </w:rPr>
        <w:t xml:space="preserve"> Japan appears as a leader in collaboration projects with India which is evident from data.</w:t>
      </w:r>
      <w:r w:rsidR="006C3027">
        <w:rPr>
          <w:rFonts w:ascii="Times New Roman" w:hAnsi="Times New Roman" w:cs="Times New Roman"/>
          <w:sz w:val="24"/>
          <w:szCs w:val="24"/>
        </w:rPr>
        <w:t xml:space="preserve"> </w:t>
      </w:r>
      <w:r w:rsidR="00B8248A" w:rsidRPr="00053FA5">
        <w:rPr>
          <w:rFonts w:ascii="Times New Roman" w:hAnsi="Times New Roman" w:cs="Times New Roman"/>
          <w:sz w:val="24"/>
          <w:szCs w:val="24"/>
        </w:rPr>
        <w:t>The following sub-sections will throw light on the background of energy relationship between India and Japan along with recent initiatives and dialogues.</w:t>
      </w:r>
    </w:p>
    <w:p w:rsidR="00F036BF" w:rsidRPr="00053FA5" w:rsidRDefault="0017053F" w:rsidP="00FF3D69">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lastRenderedPageBreak/>
        <w:t>4</w:t>
      </w:r>
      <w:r w:rsidR="00F036BF" w:rsidRPr="00053FA5">
        <w:rPr>
          <w:rFonts w:ascii="Times New Roman" w:hAnsi="Times New Roman" w:cs="Times New Roman"/>
          <w:b/>
          <w:bCs/>
          <w:sz w:val="24"/>
          <w:szCs w:val="24"/>
        </w:rPr>
        <w:t>.1 Low carbon technology</w:t>
      </w:r>
      <w:r w:rsidR="00873C2E" w:rsidRPr="00053FA5">
        <w:rPr>
          <w:rFonts w:ascii="Times New Roman" w:hAnsi="Times New Roman" w:cs="Times New Roman"/>
          <w:b/>
          <w:bCs/>
          <w:sz w:val="24"/>
          <w:szCs w:val="24"/>
        </w:rPr>
        <w:t xml:space="preserve"> and Co-innovation</w:t>
      </w:r>
      <w:r w:rsidR="00D22C1D" w:rsidRPr="00053FA5">
        <w:rPr>
          <w:rFonts w:ascii="Times New Roman" w:hAnsi="Times New Roman" w:cs="Times New Roman"/>
          <w:b/>
          <w:bCs/>
          <w:sz w:val="24"/>
          <w:szCs w:val="24"/>
        </w:rPr>
        <w:t xml:space="preserve">: </w:t>
      </w:r>
      <w:r w:rsidR="00873C2E" w:rsidRPr="00053FA5">
        <w:rPr>
          <w:rFonts w:ascii="Times New Roman" w:hAnsi="Times New Roman" w:cs="Times New Roman"/>
          <w:sz w:val="24"/>
          <w:szCs w:val="24"/>
        </w:rPr>
        <w:t xml:space="preserve">Japan, a developed nation, is highly equipped with tools and technologies. Transfer of technology is considered as a crucial step in mitigation of climate change in developing nations. The transfer takes place in one-way from suppliers in developed nations to recipients in developing countries (Bell, 1990). In case of India and Japan, former is recipient and the latter </w:t>
      </w:r>
      <w:proofErr w:type="gramStart"/>
      <w:r w:rsidR="00873C2E" w:rsidRPr="00053FA5">
        <w:rPr>
          <w:rFonts w:ascii="Times New Roman" w:hAnsi="Times New Roman" w:cs="Times New Roman"/>
          <w:sz w:val="24"/>
          <w:szCs w:val="24"/>
        </w:rPr>
        <w:t>is</w:t>
      </w:r>
      <w:proofErr w:type="gramEnd"/>
      <w:r w:rsidR="00873C2E" w:rsidRPr="00053FA5">
        <w:rPr>
          <w:rFonts w:ascii="Times New Roman" w:hAnsi="Times New Roman" w:cs="Times New Roman"/>
          <w:sz w:val="24"/>
          <w:szCs w:val="24"/>
        </w:rPr>
        <w:t xml:space="preserve"> supplier. Various experts have highlighted co-innovation which is defined as “shared work of generating innovative and exceptional design conducted by various actors from firms, customers, and collaborating partners” (</w:t>
      </w:r>
      <w:proofErr w:type="spellStart"/>
      <w:r w:rsidR="00873C2E" w:rsidRPr="00053FA5">
        <w:rPr>
          <w:rFonts w:ascii="Times New Roman" w:hAnsi="Times New Roman" w:cs="Times New Roman"/>
          <w:sz w:val="24"/>
          <w:szCs w:val="24"/>
        </w:rPr>
        <w:t>Saragih</w:t>
      </w:r>
      <w:proofErr w:type="spellEnd"/>
      <w:r w:rsidR="00873C2E" w:rsidRPr="00053FA5">
        <w:rPr>
          <w:rFonts w:ascii="Times New Roman" w:hAnsi="Times New Roman" w:cs="Times New Roman"/>
          <w:sz w:val="24"/>
          <w:szCs w:val="24"/>
        </w:rPr>
        <w:t xml:space="preserve">&amp; Tan, 2018). </w:t>
      </w:r>
      <w:r w:rsidR="00D34EEC" w:rsidRPr="00053FA5">
        <w:rPr>
          <w:rFonts w:ascii="Times New Roman" w:hAnsi="Times New Roman" w:cs="Times New Roman"/>
          <w:sz w:val="24"/>
          <w:szCs w:val="24"/>
        </w:rPr>
        <w:t xml:space="preserve">Hence, co-innovation brings greater benefit to stakeholders and participants, than in case of technology transfer. </w:t>
      </w:r>
    </w:p>
    <w:p w:rsidR="006C3027" w:rsidRPr="00053FA5" w:rsidRDefault="006C3027" w:rsidP="006C3027">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 xml:space="preserve">4.2 Joint Crediting Mechanism: </w:t>
      </w:r>
      <w:r w:rsidRPr="00053FA5">
        <w:rPr>
          <w:rFonts w:ascii="Times New Roman" w:hAnsi="Times New Roman" w:cs="Times New Roman"/>
          <w:sz w:val="24"/>
          <w:szCs w:val="24"/>
        </w:rPr>
        <w:t>India</w:t>
      </w:r>
      <w:r>
        <w:rPr>
          <w:rFonts w:ascii="Times New Roman" w:hAnsi="Times New Roman" w:cs="Times New Roman"/>
          <w:sz w:val="24"/>
          <w:szCs w:val="24"/>
        </w:rPr>
        <w:t>’s plan to</w:t>
      </w:r>
      <w:r w:rsidRPr="00053FA5">
        <w:rPr>
          <w:rFonts w:ascii="Times New Roman" w:hAnsi="Times New Roman" w:cs="Times New Roman"/>
          <w:sz w:val="24"/>
          <w:szCs w:val="24"/>
        </w:rPr>
        <w:t xml:space="preserve"> launch its Joint Crediting Mechanism (JCM) with Japan</w:t>
      </w:r>
      <w:r>
        <w:rPr>
          <w:rFonts w:ascii="Times New Roman" w:hAnsi="Times New Roman" w:cs="Times New Roman"/>
          <w:sz w:val="24"/>
          <w:szCs w:val="24"/>
        </w:rPr>
        <w:t xml:space="preserve"> is significant.</w:t>
      </w:r>
      <w:r w:rsidRPr="00053FA5">
        <w:rPr>
          <w:rFonts w:ascii="Times New Roman" w:hAnsi="Times New Roman" w:cs="Times New Roman"/>
          <w:sz w:val="24"/>
          <w:szCs w:val="24"/>
        </w:rPr>
        <w:t xml:space="preserve"> It will facilitate carbon trading and emission reduction credits between the two nations. Article 6.2 of the Paris Agreement will govern the implementation mechanism of this process. It will include a proper structured allocation of carbon credits maintain a register of records to track these credits. It will also require approval of a joint committee. The credits issued under this mechanism will add up to both the nation’s Nationally Determined Contributions (NDCs) finalized under the Paris Agreement. It will help to rule out double counting of credits and may be utilized for international mitigation purposes. Due to the developed nature of Japanese economy and high built-up of technological base in Japan, the nation will assist technological transfer, finance and, and capacity – building to foster the effectiveness of JCM and facilitate the adoption of newer technical know-how.</w:t>
      </w:r>
      <w:r>
        <w:rPr>
          <w:rFonts w:ascii="Times New Roman" w:hAnsi="Times New Roman" w:cs="Times New Roman"/>
          <w:sz w:val="24"/>
          <w:szCs w:val="24"/>
        </w:rPr>
        <w:t xml:space="preserve"> There</w:t>
      </w:r>
      <w:r w:rsidRPr="00053FA5">
        <w:rPr>
          <w:rFonts w:ascii="Times New Roman" w:hAnsi="Times New Roman" w:cs="Times New Roman"/>
          <w:sz w:val="24"/>
          <w:szCs w:val="24"/>
        </w:rPr>
        <w:t xml:space="preserve"> are two major positive consequences of JCM. First</w:t>
      </w:r>
      <w:r>
        <w:rPr>
          <w:rFonts w:ascii="Times New Roman" w:hAnsi="Times New Roman" w:cs="Times New Roman"/>
          <w:sz w:val="24"/>
          <w:szCs w:val="24"/>
        </w:rPr>
        <w:t>,</w:t>
      </w:r>
      <w:r w:rsidRPr="00053FA5">
        <w:rPr>
          <w:rFonts w:ascii="Times New Roman" w:hAnsi="Times New Roman" w:cs="Times New Roman"/>
          <w:sz w:val="24"/>
          <w:szCs w:val="24"/>
        </w:rPr>
        <w:t xml:space="preserve"> it will help in transfer of advanced de</w:t>
      </w:r>
      <w:r>
        <w:rPr>
          <w:rFonts w:ascii="Times New Roman" w:hAnsi="Times New Roman" w:cs="Times New Roman"/>
          <w:sz w:val="24"/>
          <w:szCs w:val="24"/>
        </w:rPr>
        <w:t>-</w:t>
      </w:r>
      <w:r w:rsidRPr="00053FA5">
        <w:rPr>
          <w:rFonts w:ascii="Times New Roman" w:hAnsi="Times New Roman" w:cs="Times New Roman"/>
          <w:sz w:val="24"/>
          <w:szCs w:val="24"/>
        </w:rPr>
        <w:t>carbonizing technologies from Japan to India, like renewable energy system, energy – efficient appliances, and waste management techniques</w:t>
      </w:r>
      <w:r>
        <w:rPr>
          <w:rFonts w:ascii="Times New Roman" w:hAnsi="Times New Roman" w:cs="Times New Roman"/>
          <w:sz w:val="24"/>
          <w:szCs w:val="24"/>
        </w:rPr>
        <w:t xml:space="preserve"> </w:t>
      </w:r>
      <w:r w:rsidRPr="00563415">
        <w:rPr>
          <w:rFonts w:ascii="Times New Roman" w:hAnsi="Times New Roman" w:cs="Times New Roman"/>
          <w:sz w:val="24"/>
          <w:szCs w:val="24"/>
          <w:lang w:val="en-IN"/>
        </w:rPr>
        <w:fldChar w:fldCharType="begin"/>
      </w:r>
      <w:r w:rsidRPr="00563415">
        <w:rPr>
          <w:rFonts w:ascii="Times New Roman" w:hAnsi="Times New Roman" w:cs="Times New Roman"/>
          <w:sz w:val="24"/>
          <w:szCs w:val="24"/>
          <w:lang w:val="en-IN"/>
        </w:rPr>
        <w:instrText xml:space="preserve"> ADDIN ZOTERO_ITEM CSL_CITATION {"citationID":"Orb0iX8l","properties":{"formattedCitation":"(Collins &amp; Wakoh, 2000)","plainCitation":"(Collins &amp; Wakoh, 2000)","noteIndex":0},"citationItems":[{"id":680,"uris":["http://zotero.org/users/local/nkivAgnN/items/DNLIWZ5Z"],"itemData":{"id":680,"type":"article-journal","abstract":"The Japanese government has embarked on a series of reforms aimed at stimulating technology transfer from universities to industry. As a result, technology licensing offices are springing up at many national universities. Advocates hope that these reforms will increase the level of university patenting and licensing, which historically has not been a common mode of technology transfer in Japan. Their model is the technology licensing process in the United States, which acquired its present form after passage of the Bayh-Dole Technology Transfer Act of 1980. Such changes face serious historical and institutional barriers. Academic researchers, especially in engineering and physical science, have a long record of collaborative research with industry. Decisions about patenting, however, were usually left to the corporate partner; universities rarely filed for patents under their own name, nor have they, until recently, encouraged or assisted faculty researchers in doing so. Consequently, we believe that current reforms, by going against the grain of past practices, will take time to achieve the hoped for results.","container-title":"The Journal of Technology Transfer","DOI":"10.1023/A:1007884925676","ISSN":"1573-7047","issue":"2","journalAbbreviation":"The Journal of Technology Transfer","language":"en","page":"213-222","source":"Springer Link","title":"Universities and Technology Transfer in Japan: Recent Reforms in Historical Perspective","title-short":"Universities and Technology Transfer in Japan","volume":"25","author":[{"family":"Collins","given":"Steven"},{"family":"Wakoh","given":"Hikoji"}],"issued":{"date-parts":[["2000",6,1]]}}}],"schema":"https://github.com/citation-style-language/schema/raw/master/csl-citation.json"} </w:instrText>
      </w:r>
      <w:r w:rsidRPr="00563415">
        <w:rPr>
          <w:rFonts w:ascii="Times New Roman" w:hAnsi="Times New Roman" w:cs="Times New Roman"/>
          <w:sz w:val="24"/>
          <w:szCs w:val="24"/>
          <w:lang w:val="en-IN"/>
        </w:rPr>
        <w:fldChar w:fldCharType="separate"/>
      </w:r>
      <w:r w:rsidRPr="00563415">
        <w:rPr>
          <w:rFonts w:ascii="Times New Roman" w:hAnsi="Times New Roman" w:cs="Times New Roman"/>
          <w:sz w:val="24"/>
          <w:szCs w:val="24"/>
          <w:lang w:val="en-IN"/>
        </w:rPr>
        <w:t>(Collins &amp; Wakoh, 2000)</w:t>
      </w:r>
      <w:r w:rsidRPr="00563415">
        <w:rPr>
          <w:rFonts w:ascii="Times New Roman" w:hAnsi="Times New Roman" w:cs="Times New Roman"/>
          <w:sz w:val="24"/>
          <w:szCs w:val="24"/>
        </w:rPr>
        <w:fldChar w:fldCharType="end"/>
      </w:r>
      <w:r w:rsidRPr="00053FA5">
        <w:rPr>
          <w:rFonts w:ascii="Times New Roman" w:hAnsi="Times New Roman" w:cs="Times New Roman"/>
          <w:sz w:val="24"/>
          <w:szCs w:val="24"/>
        </w:rPr>
        <w:t>. Second</w:t>
      </w:r>
      <w:r>
        <w:rPr>
          <w:rFonts w:ascii="Times New Roman" w:hAnsi="Times New Roman" w:cs="Times New Roman"/>
          <w:sz w:val="24"/>
          <w:szCs w:val="24"/>
        </w:rPr>
        <w:t>, it will boost</w:t>
      </w:r>
      <w:r w:rsidRPr="00053FA5">
        <w:rPr>
          <w:rFonts w:ascii="Times New Roman" w:hAnsi="Times New Roman" w:cs="Times New Roman"/>
          <w:sz w:val="24"/>
          <w:szCs w:val="24"/>
        </w:rPr>
        <w:t xml:space="preserve"> employment opportunities and skill development in sectors, such as renewable energy, energy efficiency, and waste management</w:t>
      </w:r>
      <w:r>
        <w:rPr>
          <w:rFonts w:ascii="Times New Roman" w:hAnsi="Times New Roman" w:cs="Times New Roman"/>
          <w:sz w:val="24"/>
          <w:szCs w:val="24"/>
        </w:rPr>
        <w:t xml:space="preserve"> (Janardhan et al., 2020)</w:t>
      </w:r>
      <w:r w:rsidRPr="00053FA5">
        <w:rPr>
          <w:rFonts w:ascii="Times New Roman" w:hAnsi="Times New Roman" w:cs="Times New Roman"/>
          <w:sz w:val="24"/>
          <w:szCs w:val="24"/>
        </w:rPr>
        <w:t>.</w:t>
      </w:r>
    </w:p>
    <w:p w:rsidR="006C3027" w:rsidRPr="00053FA5" w:rsidRDefault="006C3027" w:rsidP="006C3027">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4.3</w:t>
      </w:r>
      <w:r>
        <w:rPr>
          <w:rFonts w:ascii="Times New Roman" w:hAnsi="Times New Roman" w:cs="Times New Roman"/>
          <w:b/>
          <w:bCs/>
          <w:sz w:val="24"/>
          <w:szCs w:val="24"/>
        </w:rPr>
        <w:t xml:space="preserve"> </w:t>
      </w:r>
      <w:r w:rsidRPr="00053FA5">
        <w:rPr>
          <w:rFonts w:ascii="Times New Roman" w:hAnsi="Times New Roman" w:cs="Times New Roman"/>
          <w:b/>
          <w:bCs/>
          <w:sz w:val="24"/>
          <w:szCs w:val="24"/>
        </w:rPr>
        <w:t xml:space="preserve">Bilateral Energy dialogues: </w:t>
      </w:r>
      <w:r w:rsidRPr="00053FA5">
        <w:rPr>
          <w:rFonts w:ascii="Times New Roman" w:hAnsi="Times New Roman" w:cs="Times New Roman"/>
          <w:sz w:val="24"/>
          <w:szCs w:val="24"/>
        </w:rPr>
        <w:t>The beginning of energy ties between India and Japan was set up in 2006 to promote the energy sector in a comprehensive manner. Several rounds of meeting have been concluded since its inception. In 2022,</w:t>
      </w:r>
      <w:r>
        <w:rPr>
          <w:rFonts w:ascii="Times New Roman" w:hAnsi="Times New Roman" w:cs="Times New Roman"/>
          <w:sz w:val="24"/>
          <w:szCs w:val="24"/>
        </w:rPr>
        <w:t xml:space="preserve"> </w:t>
      </w:r>
      <w:r w:rsidRPr="00053FA5">
        <w:rPr>
          <w:rFonts w:ascii="Times New Roman" w:hAnsi="Times New Roman" w:cs="Times New Roman"/>
          <w:sz w:val="24"/>
          <w:szCs w:val="24"/>
        </w:rPr>
        <w:t>India and Japan together launched the India-Japan Clean Energy Partnership (CEP) to work for sustainable energy transition. Further, various India-Japan environmental dialogues have been concluded in recent years to foster the relationship between the two nations. In order to implement the Japan-India Clean Energy and Energy Efficiency Cooperation Plan, the second India-Japan Government-Private workshop was held in 2018. In the same year, a Memorandum of Cooperation was signed between them as a part of Environmental Cooperation to focus on key areas like pollution control, waste management, environmental technologies, and Climate change. The first high-level dialogue on Environment was held between Ministries of Environment of India and Japan in 2021. It addressed the issues related to air pollution, sustainable technologies and transports, climate change, marine litter, fluorocarbons, etc. In 2023, “India-Japan Environment Week” was hosted in India between MOE, Japan and MOEFCC, India. These bilateral meeting, summits and dialogues boosts up the involvement of respective national initiatives for bilateral cooperation and strengthen the relationship</w:t>
      </w:r>
      <w:r>
        <w:rPr>
          <w:rFonts w:ascii="Times New Roman" w:hAnsi="Times New Roman" w:cs="Times New Roman"/>
          <w:sz w:val="24"/>
          <w:szCs w:val="24"/>
        </w:rPr>
        <w:t xml:space="preserve"> (PIB, 2022)</w:t>
      </w:r>
      <w:r w:rsidRPr="00053FA5">
        <w:rPr>
          <w:rFonts w:ascii="Times New Roman" w:hAnsi="Times New Roman" w:cs="Times New Roman"/>
          <w:sz w:val="24"/>
          <w:szCs w:val="24"/>
        </w:rPr>
        <w:t xml:space="preserve">. </w:t>
      </w:r>
    </w:p>
    <w:p w:rsidR="006C3027" w:rsidRDefault="006C3027" w:rsidP="006C3027">
      <w:pPr>
        <w:spacing w:line="240" w:lineRule="auto"/>
        <w:jc w:val="both"/>
        <w:rPr>
          <w:rFonts w:ascii="Times New Roman" w:hAnsi="Times New Roman" w:cs="Times New Roman"/>
          <w:sz w:val="24"/>
          <w:szCs w:val="24"/>
        </w:rPr>
      </w:pPr>
      <w:r w:rsidRPr="00053FA5">
        <w:rPr>
          <w:rFonts w:ascii="Times New Roman" w:hAnsi="Times New Roman" w:cs="Times New Roman"/>
          <w:b/>
          <w:bCs/>
          <w:sz w:val="24"/>
          <w:szCs w:val="24"/>
        </w:rPr>
        <w:t xml:space="preserve">4.4 Investments in Energy sector: </w:t>
      </w:r>
      <w:r w:rsidRPr="00053FA5">
        <w:rPr>
          <w:rFonts w:ascii="Times New Roman" w:hAnsi="Times New Roman" w:cs="Times New Roman"/>
          <w:sz w:val="24"/>
          <w:szCs w:val="24"/>
        </w:rPr>
        <w:t xml:space="preserve">As for </w:t>
      </w:r>
      <w:r w:rsidRPr="006C3027">
        <w:rPr>
          <w:rFonts w:ascii="Times New Roman" w:hAnsi="Times New Roman" w:cs="Times New Roman"/>
          <w:sz w:val="24"/>
          <w:szCs w:val="24"/>
        </w:rPr>
        <w:t>the investments in the</w:t>
      </w:r>
      <w:r>
        <w:rPr>
          <w:rFonts w:ascii="Times New Roman" w:hAnsi="Times New Roman" w:cs="Times New Roman"/>
          <w:color w:val="FF0000"/>
          <w:sz w:val="24"/>
          <w:szCs w:val="24"/>
        </w:rPr>
        <w:t xml:space="preserve"> </w:t>
      </w:r>
      <w:r w:rsidRPr="00053FA5">
        <w:rPr>
          <w:rFonts w:ascii="Times New Roman" w:hAnsi="Times New Roman" w:cs="Times New Roman"/>
          <w:sz w:val="24"/>
          <w:szCs w:val="24"/>
        </w:rPr>
        <w:t xml:space="preserve">energy </w:t>
      </w:r>
      <w:r w:rsidRPr="006C3027">
        <w:rPr>
          <w:rFonts w:ascii="Times New Roman" w:hAnsi="Times New Roman" w:cs="Times New Roman"/>
          <w:sz w:val="24"/>
          <w:szCs w:val="24"/>
        </w:rPr>
        <w:t>sector, Japan</w:t>
      </w:r>
      <w:r w:rsidRPr="00027B25">
        <w:rPr>
          <w:rFonts w:ascii="Times New Roman" w:hAnsi="Times New Roman" w:cs="Times New Roman"/>
          <w:sz w:val="24"/>
          <w:szCs w:val="24"/>
        </w:rPr>
        <w:t xml:space="preserve"> is a leading investor in India’s energy </w:t>
      </w:r>
      <w:r w:rsidRPr="006C3027">
        <w:rPr>
          <w:rFonts w:ascii="Times New Roman" w:hAnsi="Times New Roman" w:cs="Times New Roman"/>
          <w:sz w:val="24"/>
          <w:szCs w:val="24"/>
        </w:rPr>
        <w:t>sector</w:t>
      </w:r>
      <w:r>
        <w:rPr>
          <w:rFonts w:ascii="Times New Roman" w:hAnsi="Times New Roman" w:cs="Times New Roman"/>
          <w:color w:val="FF0000"/>
          <w:sz w:val="24"/>
          <w:szCs w:val="24"/>
        </w:rPr>
        <w:t xml:space="preserve"> </w:t>
      </w:r>
      <w:r w:rsidRPr="006C3027">
        <w:rPr>
          <w:rFonts w:ascii="Times New Roman" w:hAnsi="Times New Roman" w:cs="Times New Roman"/>
          <w:sz w:val="24"/>
          <w:szCs w:val="24"/>
          <w:lang w:val="en-IN"/>
        </w:rPr>
        <w:fldChar w:fldCharType="begin"/>
      </w:r>
      <w:r w:rsidRPr="006C3027">
        <w:rPr>
          <w:rFonts w:ascii="Times New Roman" w:hAnsi="Times New Roman" w:cs="Times New Roman"/>
          <w:sz w:val="24"/>
          <w:szCs w:val="24"/>
          <w:lang w:val="en-IN"/>
        </w:rPr>
        <w:instrText xml:space="preserve"> ADDIN ZOTERO_ITEM CSL_CITATION {"citationID":"yULP3zxX","properties":{"formattedCitation":"(Buckley et al., 2012)","plainCitation":"(Buckley et al., 2012)","noteIndex":0},"citationItems":[{"id":690,"uris":["http://zotero.org/users/local/nkivAgnN/items/Z6PQ64UK"],"itemData":{"id":690,"type":"article-journal","container-title":"Business History","DOI":"10.1080/00076791.2012.683417","ISSN":"0007-6791, 1743-7938","issue":"5","journalAbbreviation":"Business History","language":"en","page":"657-688","source":"DOI.org (Crossref)","title":"Japanese foreign direct investment in India: An institutional theory approach","title-short":"Japanese foreign direct investment in India","volume":"54","author":[{"family":"Buckley","given":"Peter J."},{"family":"Cross","given":"Adam R."},{"family":"Horn","given":"Sierk A."}],"issued":{"date-parts":[["2012",8]]}}}],"schema":"https://github.com/citation-style-language/schema/raw/master/csl-citation.json"} </w:instrText>
      </w:r>
      <w:r w:rsidRPr="006C3027">
        <w:rPr>
          <w:rFonts w:ascii="Times New Roman" w:hAnsi="Times New Roman" w:cs="Times New Roman"/>
          <w:sz w:val="24"/>
          <w:szCs w:val="24"/>
          <w:lang w:val="en-IN"/>
        </w:rPr>
        <w:fldChar w:fldCharType="separate"/>
      </w:r>
      <w:r w:rsidRPr="006C3027">
        <w:rPr>
          <w:rFonts w:ascii="Times New Roman" w:hAnsi="Times New Roman" w:cs="Times New Roman"/>
          <w:sz w:val="24"/>
          <w:szCs w:val="24"/>
          <w:lang w:val="en-IN"/>
        </w:rPr>
        <w:t>(Buckley et al., 2012)</w:t>
      </w:r>
      <w:r w:rsidRPr="006C3027">
        <w:rPr>
          <w:rFonts w:ascii="Times New Roman" w:hAnsi="Times New Roman" w:cs="Times New Roman"/>
          <w:sz w:val="24"/>
          <w:szCs w:val="24"/>
        </w:rPr>
        <w:fldChar w:fldCharType="end"/>
      </w:r>
      <w:r w:rsidRPr="006C3027">
        <w:rPr>
          <w:rFonts w:ascii="Times New Roman" w:hAnsi="Times New Roman" w:cs="Times New Roman"/>
          <w:sz w:val="24"/>
          <w:szCs w:val="24"/>
        </w:rPr>
        <w:t>.</w:t>
      </w:r>
      <w:r>
        <w:rPr>
          <w:rFonts w:ascii="Times New Roman" w:hAnsi="Times New Roman" w:cs="Times New Roman"/>
          <w:color w:val="FF0000"/>
          <w:sz w:val="24"/>
          <w:szCs w:val="24"/>
        </w:rPr>
        <w:t xml:space="preserve"> </w:t>
      </w:r>
      <w:r w:rsidRPr="006C3027">
        <w:rPr>
          <w:rFonts w:ascii="Times New Roman" w:hAnsi="Times New Roman" w:cs="Times New Roman"/>
          <w:sz w:val="24"/>
          <w:szCs w:val="24"/>
        </w:rPr>
        <w:t>A</w:t>
      </w:r>
      <w:r>
        <w:rPr>
          <w:rFonts w:ascii="Times New Roman" w:hAnsi="Times New Roman" w:cs="Times New Roman"/>
          <w:color w:val="FF0000"/>
          <w:sz w:val="24"/>
          <w:szCs w:val="24"/>
        </w:rPr>
        <w:t xml:space="preserve"> </w:t>
      </w:r>
      <w:r w:rsidRPr="00053FA5">
        <w:rPr>
          <w:rFonts w:ascii="Times New Roman" w:hAnsi="Times New Roman" w:cs="Times New Roman"/>
          <w:sz w:val="24"/>
          <w:szCs w:val="24"/>
        </w:rPr>
        <w:t xml:space="preserve">fund of $600 is created to focus on low carbon emission strategies and environmental sustainability. This initiative is an investment under the broader issue of climate change as a part of effort of Japanese transfer of </w:t>
      </w:r>
      <w:r w:rsidRPr="00053FA5">
        <w:rPr>
          <w:rFonts w:ascii="Times New Roman" w:hAnsi="Times New Roman" w:cs="Times New Roman"/>
          <w:sz w:val="24"/>
          <w:szCs w:val="24"/>
        </w:rPr>
        <w:lastRenderedPageBreak/>
        <w:t xml:space="preserve">capital to India. </w:t>
      </w:r>
      <w:r>
        <w:rPr>
          <w:rFonts w:ascii="Times New Roman" w:hAnsi="Times New Roman" w:cs="Times New Roman"/>
          <w:sz w:val="24"/>
          <w:szCs w:val="24"/>
        </w:rPr>
        <w:t xml:space="preserve">Another initiative between Tokyo-based Sumitomo Corporation in collaboration with New Delhi – based AMPIN Energy Transition as a joint venture. The former will invest around 710 million US$ to install renewable energy projects in India </w:t>
      </w:r>
    </w:p>
    <w:p w:rsidR="00027B25" w:rsidRPr="00053FA5" w:rsidRDefault="00027B25" w:rsidP="006C3027">
      <w:pPr>
        <w:spacing w:line="240" w:lineRule="auto"/>
        <w:jc w:val="both"/>
        <w:rPr>
          <w:rFonts w:ascii="Times New Roman" w:hAnsi="Times New Roman" w:cs="Times New Roman"/>
          <w:sz w:val="24"/>
          <w:szCs w:val="24"/>
        </w:rPr>
      </w:pPr>
      <w:r>
        <w:rPr>
          <w:rFonts w:ascii="Times New Roman" w:hAnsi="Times New Roman" w:cs="Times New Roman"/>
          <w:sz w:val="24"/>
          <w:szCs w:val="24"/>
        </w:rPr>
        <w:t>The above section has discussed the trends of relationships between India and Japan in the energy sector. It also highlighted various dialogues and summits in the environmental area between the nations. The following section will enumerate the data trends of few selected variables to analyze the level, status and differences in both the nations.</w:t>
      </w:r>
    </w:p>
    <w:p w:rsidR="00E20298" w:rsidRDefault="002C5163"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5</w:t>
      </w:r>
      <w:r w:rsidR="00F036BF" w:rsidRPr="00053FA5">
        <w:rPr>
          <w:rFonts w:ascii="Times New Roman" w:hAnsi="Times New Roman" w:cs="Times New Roman"/>
          <w:b/>
          <w:bCs/>
          <w:sz w:val="24"/>
          <w:szCs w:val="24"/>
        </w:rPr>
        <w:t xml:space="preserve">. Comparative Study </w:t>
      </w:r>
      <w:r w:rsidR="00053FA5">
        <w:rPr>
          <w:rFonts w:ascii="Times New Roman" w:hAnsi="Times New Roman" w:cs="Times New Roman"/>
          <w:b/>
          <w:bCs/>
          <w:sz w:val="24"/>
          <w:szCs w:val="24"/>
        </w:rPr>
        <w:t>of India and Japan</w:t>
      </w:r>
    </w:p>
    <w:p w:rsidR="006C3027" w:rsidRPr="00053FA5" w:rsidRDefault="006C3027" w:rsidP="006C30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Data, </w:t>
      </w:r>
      <w:r w:rsidRPr="00053FA5">
        <w:rPr>
          <w:rFonts w:ascii="Times New Roman" w:hAnsi="Times New Roman" w:cs="Times New Roman"/>
          <w:b/>
          <w:bCs/>
          <w:sz w:val="24"/>
          <w:szCs w:val="24"/>
        </w:rPr>
        <w:t>Variables</w:t>
      </w:r>
      <w:r>
        <w:rPr>
          <w:rFonts w:ascii="Times New Roman" w:hAnsi="Times New Roman" w:cs="Times New Roman"/>
          <w:b/>
          <w:bCs/>
          <w:sz w:val="24"/>
          <w:szCs w:val="24"/>
        </w:rPr>
        <w:t xml:space="preserve"> and Methodology</w:t>
      </w:r>
    </w:p>
    <w:p w:rsidR="006C3027" w:rsidRPr="00053FA5" w:rsidRDefault="006C3027" w:rsidP="006C302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incorporates graphical and descriptive data methods to overview the trends and patterns in India-Japan relationship. It utilizes </w:t>
      </w:r>
      <w:r w:rsidRPr="00053FA5">
        <w:rPr>
          <w:rFonts w:ascii="Times New Roman" w:hAnsi="Times New Roman" w:cs="Times New Roman"/>
          <w:sz w:val="24"/>
          <w:szCs w:val="24"/>
        </w:rPr>
        <w:t>time series data from the year 1990-2021</w:t>
      </w:r>
      <w:r>
        <w:rPr>
          <w:rFonts w:ascii="Times New Roman" w:hAnsi="Times New Roman" w:cs="Times New Roman"/>
          <w:sz w:val="24"/>
          <w:szCs w:val="24"/>
        </w:rPr>
        <w:t>, extracted</w:t>
      </w:r>
      <w:r w:rsidRPr="00053FA5">
        <w:rPr>
          <w:rFonts w:ascii="Times New Roman" w:hAnsi="Times New Roman" w:cs="Times New Roman"/>
          <w:sz w:val="24"/>
          <w:szCs w:val="24"/>
        </w:rPr>
        <w:t xml:space="preserve"> from World Development Indicator (WDI). The variables are renewable energy consumption (% of total energy consumption), energy intensity, carbon emissions </w:t>
      </w:r>
      <w:r>
        <w:rPr>
          <w:rFonts w:ascii="Times New Roman" w:hAnsi="Times New Roman" w:cs="Times New Roman"/>
          <w:sz w:val="24"/>
          <w:szCs w:val="24"/>
        </w:rPr>
        <w:t xml:space="preserve">in metric tons per capita </w:t>
      </w:r>
      <w:r w:rsidRPr="00053FA5">
        <w:rPr>
          <w:rFonts w:ascii="Times New Roman" w:hAnsi="Times New Roman" w:cs="Times New Roman"/>
          <w:sz w:val="24"/>
          <w:szCs w:val="24"/>
        </w:rPr>
        <w:t>and GDP per capita.</w:t>
      </w:r>
      <w:r>
        <w:rPr>
          <w:rFonts w:ascii="Times New Roman" w:hAnsi="Times New Roman" w:cs="Times New Roman"/>
          <w:sz w:val="24"/>
          <w:szCs w:val="24"/>
        </w:rPr>
        <w:t xml:space="preserve"> </w:t>
      </w:r>
      <w:r w:rsidRPr="00053FA5">
        <w:rPr>
          <w:rFonts w:ascii="Times New Roman" w:hAnsi="Times New Roman" w:cs="Times New Roman"/>
          <w:sz w:val="24"/>
          <w:szCs w:val="24"/>
        </w:rPr>
        <w:t xml:space="preserve">The following sub-sections will focus on </w:t>
      </w:r>
      <w:r>
        <w:rPr>
          <w:rFonts w:ascii="Times New Roman" w:hAnsi="Times New Roman" w:cs="Times New Roman"/>
          <w:sz w:val="24"/>
          <w:szCs w:val="24"/>
        </w:rPr>
        <w:t>analysis of trends o</w:t>
      </w:r>
      <w:r w:rsidRPr="00053FA5">
        <w:rPr>
          <w:rFonts w:ascii="Times New Roman" w:hAnsi="Times New Roman" w:cs="Times New Roman"/>
          <w:sz w:val="24"/>
          <w:szCs w:val="24"/>
        </w:rPr>
        <w:t xml:space="preserve">n various selected variables </w:t>
      </w:r>
      <w:r>
        <w:rPr>
          <w:rFonts w:ascii="Times New Roman" w:hAnsi="Times New Roman" w:cs="Times New Roman"/>
          <w:sz w:val="24"/>
          <w:szCs w:val="24"/>
        </w:rPr>
        <w:t>between the two nations.</w:t>
      </w:r>
    </w:p>
    <w:p w:rsidR="006C3027" w:rsidRPr="00053FA5" w:rsidRDefault="006C3027" w:rsidP="006C3027">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t>5.2 Results and Discussions</w:t>
      </w:r>
    </w:p>
    <w:p w:rsidR="006C3027" w:rsidRDefault="006C3027" w:rsidP="006C3027">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The following graphs </w:t>
      </w:r>
      <w:r>
        <w:rPr>
          <w:rFonts w:ascii="Times New Roman" w:hAnsi="Times New Roman" w:cs="Times New Roman"/>
          <w:sz w:val="24"/>
          <w:szCs w:val="24"/>
        </w:rPr>
        <w:t>demonstrate</w:t>
      </w:r>
      <w:r w:rsidRPr="00053FA5">
        <w:rPr>
          <w:rFonts w:ascii="Times New Roman" w:hAnsi="Times New Roman" w:cs="Times New Roman"/>
          <w:sz w:val="24"/>
          <w:szCs w:val="24"/>
        </w:rPr>
        <w:t xml:space="preserve"> the comparison of certain variables between India and Japan. </w:t>
      </w:r>
      <w:r>
        <w:rPr>
          <w:rFonts w:ascii="Times New Roman" w:hAnsi="Times New Roman" w:cs="Times New Roman"/>
          <w:sz w:val="24"/>
          <w:szCs w:val="24"/>
        </w:rPr>
        <w:t>These graphical illustrations will give a detailed understanding of growth of renewable energy consumption in India and Japan as a percentage of total energy consumption. It further measures the level of energy efficiency and carbon emissions in the two countries. It also shows the trend of GDP per capita and provides the reason for such a huge difference between them</w:t>
      </w:r>
    </w:p>
    <w:p w:rsidR="006C3027" w:rsidRDefault="006C3027" w:rsidP="006C3027">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drawing>
          <wp:inline distT="0" distB="0" distL="0" distR="0">
            <wp:extent cx="4572000" cy="2407920"/>
            <wp:effectExtent l="0" t="0" r="0" b="11430"/>
            <wp:docPr id="2" name="Chart 1">
              <a:extLst xmlns:a="http://schemas.openxmlformats.org/drawingml/2006/main">
                <a:ext uri="{FF2B5EF4-FFF2-40B4-BE49-F238E27FC236}">
                  <a16:creationId xmlns:a16="http://schemas.microsoft.com/office/drawing/2014/main" id="{354AE776-BB99-696A-0423-606FE4CB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3027" w:rsidRPr="00F35B05" w:rsidRDefault="006C3027" w:rsidP="006C3027">
      <w:pPr>
        <w:spacing w:line="240" w:lineRule="auto"/>
        <w:jc w:val="center"/>
        <w:rPr>
          <w:rFonts w:ascii="Times New Roman" w:hAnsi="Times New Roman" w:cs="Times New Roman"/>
          <w:b/>
          <w:bCs/>
          <w:i/>
          <w:iCs/>
          <w:sz w:val="24"/>
          <w:szCs w:val="24"/>
        </w:rPr>
      </w:pPr>
      <w:r>
        <w:rPr>
          <w:rFonts w:ascii="Times New Roman" w:hAnsi="Times New Roman" w:cs="Times New Roman"/>
          <w:i/>
          <w:iCs/>
          <w:sz w:val="24"/>
          <w:szCs w:val="24"/>
        </w:rPr>
        <w:t>Fig 2</w:t>
      </w:r>
      <w:r w:rsidRPr="00397FD2">
        <w:rPr>
          <w:rFonts w:ascii="Times New Roman" w:hAnsi="Times New Roman" w:cs="Times New Roman"/>
          <w:i/>
          <w:iCs/>
          <w:sz w:val="24"/>
          <w:szCs w:val="24"/>
        </w:rPr>
        <w:t xml:space="preserve"> REC (% of TEC)</w:t>
      </w:r>
    </w:p>
    <w:p w:rsidR="006C3027" w:rsidRDefault="006C3027" w:rsidP="006C3027">
      <w:pPr>
        <w:spacing w:line="240" w:lineRule="auto"/>
        <w:jc w:val="both"/>
        <w:rPr>
          <w:rFonts w:ascii="Times New Roman" w:hAnsi="Times New Roman" w:cs="Times New Roman"/>
          <w:sz w:val="24"/>
          <w:szCs w:val="24"/>
        </w:rPr>
      </w:pPr>
      <w:r>
        <w:rPr>
          <w:rFonts w:ascii="Times New Roman" w:hAnsi="Times New Roman" w:cs="Times New Roman"/>
          <w:sz w:val="24"/>
          <w:szCs w:val="24"/>
        </w:rPr>
        <w:t>The figure 2</w:t>
      </w:r>
      <w:r w:rsidRPr="00053FA5">
        <w:rPr>
          <w:rFonts w:ascii="Times New Roman" w:hAnsi="Times New Roman" w:cs="Times New Roman"/>
          <w:sz w:val="24"/>
          <w:szCs w:val="24"/>
        </w:rPr>
        <w:t xml:space="preserve"> shows the trend of REC in India and Japan over the years. It reveals that the percentage of renewable energy consumption in Japan has been continuously declining since 2000, whereas it is on a continuous rise in India. Still, there is around 25 % of difference exists between the two nations in 2021, with Japan at 35 % and India at 10 %. </w:t>
      </w:r>
    </w:p>
    <w:p w:rsidR="006C3027" w:rsidRDefault="006C3027" w:rsidP="006C3027">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lastRenderedPageBreak/>
        <w:drawing>
          <wp:inline distT="0" distB="0" distL="0" distR="0">
            <wp:extent cx="4572000" cy="2430780"/>
            <wp:effectExtent l="0" t="0" r="0" b="7620"/>
            <wp:docPr id="3" name="Chart 1">
              <a:extLst xmlns:a="http://schemas.openxmlformats.org/drawingml/2006/main">
                <a:ext uri="{FF2B5EF4-FFF2-40B4-BE49-F238E27FC236}">
                  <a16:creationId xmlns:a16="http://schemas.microsoft.com/office/drawing/2014/main" id="{414A9F4F-3F25-4F2F-23F0-F41685711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3027" w:rsidRPr="00F35B05" w:rsidRDefault="006C3027" w:rsidP="006C3027">
      <w:pPr>
        <w:spacing w:line="240" w:lineRule="auto"/>
        <w:jc w:val="center"/>
        <w:rPr>
          <w:rFonts w:ascii="Times New Roman" w:hAnsi="Times New Roman" w:cs="Times New Roman"/>
          <w:i/>
          <w:iCs/>
          <w:sz w:val="24"/>
          <w:szCs w:val="24"/>
        </w:rPr>
      </w:pPr>
      <w:r w:rsidRPr="00397FD2">
        <w:rPr>
          <w:rFonts w:ascii="Times New Roman" w:hAnsi="Times New Roman" w:cs="Times New Roman"/>
          <w:i/>
          <w:iCs/>
          <w:sz w:val="24"/>
          <w:szCs w:val="24"/>
        </w:rPr>
        <w:t xml:space="preserve">Fig </w:t>
      </w:r>
      <w:r w:rsidR="00312967">
        <w:rPr>
          <w:rFonts w:ascii="Times New Roman" w:hAnsi="Times New Roman" w:cs="Times New Roman"/>
          <w:i/>
          <w:iCs/>
          <w:sz w:val="24"/>
          <w:szCs w:val="24"/>
        </w:rPr>
        <w:t>3</w:t>
      </w:r>
      <w:r w:rsidRPr="00397FD2">
        <w:rPr>
          <w:rFonts w:ascii="Times New Roman" w:hAnsi="Times New Roman" w:cs="Times New Roman"/>
          <w:i/>
          <w:iCs/>
          <w:sz w:val="24"/>
          <w:szCs w:val="24"/>
        </w:rPr>
        <w:t xml:space="preserve"> Energy Intensity</w:t>
      </w:r>
    </w:p>
    <w:p w:rsidR="006C3027" w:rsidRDefault="006C3027" w:rsidP="006C3027">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Energy intensity shows the level of energy use per unit of output. It is a measure of energy efficiency. Both the nations demonstrate a clear declining trend in energy intensity over the period of 20 years, signifying an increase in energy efficiency</w:t>
      </w:r>
      <w:r>
        <w:rPr>
          <w:rFonts w:ascii="Times New Roman" w:hAnsi="Times New Roman" w:cs="Times New Roman"/>
          <w:sz w:val="24"/>
          <w:szCs w:val="24"/>
        </w:rPr>
        <w:t xml:space="preserve"> (Fig 3).</w:t>
      </w:r>
    </w:p>
    <w:p w:rsidR="006C3027" w:rsidRDefault="006C3027" w:rsidP="006C3027">
      <w:pPr>
        <w:spacing w:line="240" w:lineRule="auto"/>
        <w:rPr>
          <w:rFonts w:ascii="Times New Roman" w:hAnsi="Times New Roman" w:cs="Times New Roman"/>
          <w:i/>
          <w:iCs/>
          <w:sz w:val="24"/>
          <w:szCs w:val="24"/>
        </w:rPr>
      </w:pPr>
    </w:p>
    <w:p w:rsidR="006C3027" w:rsidRDefault="006C3027" w:rsidP="006C3027">
      <w:pPr>
        <w:spacing w:line="240" w:lineRule="auto"/>
        <w:jc w:val="center"/>
        <w:rPr>
          <w:rFonts w:ascii="Times New Roman" w:hAnsi="Times New Roman" w:cs="Times New Roman"/>
          <w:sz w:val="24"/>
          <w:szCs w:val="24"/>
        </w:rPr>
      </w:pPr>
      <w:r w:rsidRPr="00053FA5">
        <w:rPr>
          <w:rFonts w:ascii="Times New Roman" w:hAnsi="Times New Roman" w:cs="Times New Roman"/>
          <w:noProof/>
          <w:sz w:val="24"/>
          <w:szCs w:val="24"/>
        </w:rPr>
        <w:drawing>
          <wp:inline distT="0" distB="0" distL="0" distR="0">
            <wp:extent cx="4572000" cy="2235200"/>
            <wp:effectExtent l="0" t="0" r="0" b="12700"/>
            <wp:docPr id="4" name="Chart 1">
              <a:extLst xmlns:a="http://schemas.openxmlformats.org/drawingml/2006/main">
                <a:ext uri="{FF2B5EF4-FFF2-40B4-BE49-F238E27FC236}">
                  <a16:creationId xmlns:a16="http://schemas.microsoft.com/office/drawing/2014/main" id="{24439614-B37D-66B9-F540-DEE5BEEE4B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3027" w:rsidRPr="00397FD2" w:rsidRDefault="006C3027" w:rsidP="006C3027">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Fig 4</w:t>
      </w:r>
      <w:r w:rsidRPr="00397FD2">
        <w:rPr>
          <w:rFonts w:ascii="Times New Roman" w:hAnsi="Times New Roman" w:cs="Times New Roman"/>
          <w:i/>
          <w:iCs/>
          <w:sz w:val="24"/>
          <w:szCs w:val="24"/>
        </w:rPr>
        <w:t xml:space="preserve"> CO2 emissions (metric tons per capita)</w:t>
      </w:r>
    </w:p>
    <w:p w:rsidR="006C3027" w:rsidRPr="00053FA5" w:rsidRDefault="006C3027" w:rsidP="006C3027">
      <w:pPr>
        <w:spacing w:line="240" w:lineRule="auto"/>
        <w:jc w:val="center"/>
        <w:rPr>
          <w:rFonts w:ascii="Times New Roman" w:hAnsi="Times New Roman" w:cs="Times New Roman"/>
          <w:sz w:val="24"/>
          <w:szCs w:val="24"/>
        </w:rPr>
      </w:pPr>
    </w:p>
    <w:p w:rsidR="006C3027" w:rsidRDefault="006C3027" w:rsidP="006C302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figure 4 </w:t>
      </w:r>
      <w:r w:rsidRPr="00053FA5">
        <w:rPr>
          <w:rFonts w:ascii="Times New Roman" w:hAnsi="Times New Roman" w:cs="Times New Roman"/>
          <w:sz w:val="24"/>
          <w:szCs w:val="24"/>
        </w:rPr>
        <w:t>demonstrates the carbon emissions in metric tons per capita over the period of 2000 to 2020 in India and Japan. It picturizes a large difference between emission level of the countries, signifying the developed status of Japan, and India still in a developing stage. The gap is highest in 2013, and lowest in 2020 as per the data. However, the emission started declining in both the nations resembling the carbon cut strategy.</w:t>
      </w:r>
    </w:p>
    <w:p w:rsidR="006C3027" w:rsidRDefault="006C3027" w:rsidP="006C3027">
      <w:pPr>
        <w:spacing w:line="240" w:lineRule="auto"/>
        <w:jc w:val="center"/>
        <w:rPr>
          <w:rFonts w:ascii="Times New Roman" w:hAnsi="Times New Roman" w:cs="Times New Roman"/>
          <w:i/>
          <w:iCs/>
          <w:sz w:val="24"/>
          <w:szCs w:val="24"/>
        </w:rPr>
      </w:pPr>
    </w:p>
    <w:p w:rsidR="006C3027" w:rsidRDefault="006C3027" w:rsidP="006C3027">
      <w:pPr>
        <w:spacing w:line="240" w:lineRule="auto"/>
        <w:jc w:val="center"/>
        <w:rPr>
          <w:rFonts w:ascii="Times New Roman" w:hAnsi="Times New Roman" w:cs="Times New Roman"/>
          <w:i/>
          <w:iCs/>
          <w:sz w:val="24"/>
          <w:szCs w:val="24"/>
        </w:rPr>
      </w:pPr>
    </w:p>
    <w:p w:rsidR="006C3027" w:rsidRDefault="006C3027" w:rsidP="006C3027">
      <w:pPr>
        <w:spacing w:line="240" w:lineRule="auto"/>
        <w:jc w:val="center"/>
        <w:rPr>
          <w:rFonts w:ascii="Times New Roman" w:hAnsi="Times New Roman" w:cs="Times New Roman"/>
          <w:b/>
          <w:bCs/>
          <w:sz w:val="24"/>
          <w:szCs w:val="24"/>
        </w:rPr>
      </w:pPr>
      <w:r w:rsidRPr="00053FA5">
        <w:rPr>
          <w:rFonts w:ascii="Times New Roman" w:hAnsi="Times New Roman" w:cs="Times New Roman"/>
          <w:noProof/>
          <w:sz w:val="24"/>
          <w:szCs w:val="24"/>
        </w:rPr>
        <w:lastRenderedPageBreak/>
        <w:drawing>
          <wp:inline distT="0" distB="0" distL="0" distR="0">
            <wp:extent cx="4572000" cy="2065020"/>
            <wp:effectExtent l="0" t="0" r="0" b="11430"/>
            <wp:docPr id="5" name="Chart 1">
              <a:extLst xmlns:a="http://schemas.openxmlformats.org/drawingml/2006/main">
                <a:ext uri="{FF2B5EF4-FFF2-40B4-BE49-F238E27FC236}">
                  <a16:creationId xmlns:a16="http://schemas.microsoft.com/office/drawing/2014/main" id="{595D17DD-E2A4-E34B-B1BD-4371D005E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3027" w:rsidRPr="00F35B05" w:rsidRDefault="006C3027" w:rsidP="006C3027">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Fig 5</w:t>
      </w:r>
      <w:r w:rsidRPr="00397FD2">
        <w:rPr>
          <w:rFonts w:ascii="Times New Roman" w:hAnsi="Times New Roman" w:cs="Times New Roman"/>
          <w:i/>
          <w:iCs/>
          <w:sz w:val="24"/>
          <w:szCs w:val="24"/>
        </w:rPr>
        <w:t xml:space="preserve"> GDP per capita</w:t>
      </w:r>
    </w:p>
    <w:p w:rsidR="006C3027" w:rsidRPr="00053FA5" w:rsidRDefault="006C3027" w:rsidP="006C3027">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 xml:space="preserve">GDP per is a better measure of economic growth. Since Japan is a developed nation and India, a developing nation, which is why the data depicts a huge difference between the two countries. However, there is an increasing trend over the years in both of them. The data of India shows smooth trend with only a V-shaped recovery </w:t>
      </w:r>
      <w:r>
        <w:rPr>
          <w:rFonts w:ascii="Times New Roman" w:hAnsi="Times New Roman" w:cs="Times New Roman"/>
          <w:sz w:val="24"/>
          <w:szCs w:val="24"/>
        </w:rPr>
        <w:t>during</w:t>
      </w:r>
      <w:r w:rsidRPr="00053FA5">
        <w:rPr>
          <w:rFonts w:ascii="Times New Roman" w:hAnsi="Times New Roman" w:cs="Times New Roman"/>
          <w:sz w:val="24"/>
          <w:szCs w:val="24"/>
        </w:rPr>
        <w:t xml:space="preserve"> 2019 to 2021 due to Covid-19. Whereas</w:t>
      </w:r>
      <w:r>
        <w:rPr>
          <w:rFonts w:ascii="Times New Roman" w:hAnsi="Times New Roman" w:cs="Times New Roman"/>
          <w:sz w:val="24"/>
          <w:szCs w:val="24"/>
        </w:rPr>
        <w:t>,</w:t>
      </w:r>
      <w:r w:rsidRPr="00053FA5">
        <w:rPr>
          <w:rFonts w:ascii="Times New Roman" w:hAnsi="Times New Roman" w:cs="Times New Roman"/>
          <w:sz w:val="24"/>
          <w:szCs w:val="24"/>
        </w:rPr>
        <w:t xml:space="preserve"> in Japan there are two points of V-shaped recovery </w:t>
      </w:r>
      <w:r>
        <w:rPr>
          <w:rFonts w:ascii="Times New Roman" w:hAnsi="Times New Roman" w:cs="Times New Roman"/>
          <w:sz w:val="24"/>
          <w:szCs w:val="24"/>
        </w:rPr>
        <w:t>between the year 2008-</w:t>
      </w:r>
      <w:r w:rsidRPr="00053FA5">
        <w:rPr>
          <w:rFonts w:ascii="Times New Roman" w:hAnsi="Times New Roman" w:cs="Times New Roman"/>
          <w:sz w:val="24"/>
          <w:szCs w:val="24"/>
        </w:rPr>
        <w:t>2010 and 2019-2021</w:t>
      </w:r>
      <w:r>
        <w:rPr>
          <w:rFonts w:ascii="Times New Roman" w:hAnsi="Times New Roman" w:cs="Times New Roman"/>
          <w:sz w:val="24"/>
          <w:szCs w:val="24"/>
        </w:rPr>
        <w:t xml:space="preserve"> (Fig 5)</w:t>
      </w:r>
      <w:r w:rsidRPr="00053FA5">
        <w:rPr>
          <w:rFonts w:ascii="Times New Roman" w:hAnsi="Times New Roman" w:cs="Times New Roman"/>
          <w:sz w:val="24"/>
          <w:szCs w:val="24"/>
        </w:rPr>
        <w:t>. The former one was most probably due to the effect to financial crisis 2008 that entrapped almost all the nations.</w:t>
      </w:r>
    </w:p>
    <w:p w:rsidR="00563415" w:rsidRPr="00053FA5" w:rsidRDefault="007C37CE" w:rsidP="00FF3D6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6C3027">
        <w:rPr>
          <w:rFonts w:ascii="Times New Roman" w:hAnsi="Times New Roman" w:cs="Times New Roman"/>
          <w:b/>
          <w:bCs/>
          <w:sz w:val="24"/>
          <w:szCs w:val="24"/>
        </w:rPr>
        <w:t xml:space="preserve"> </w:t>
      </w:r>
      <w:r w:rsidR="00D53E9D" w:rsidRPr="00053FA5">
        <w:rPr>
          <w:rFonts w:ascii="Times New Roman" w:hAnsi="Times New Roman" w:cs="Times New Roman"/>
          <w:b/>
          <w:bCs/>
          <w:sz w:val="24"/>
          <w:szCs w:val="24"/>
        </w:rPr>
        <w:t>Prospects</w:t>
      </w:r>
      <w:r w:rsidR="00D34EEC" w:rsidRPr="00053FA5">
        <w:rPr>
          <w:rFonts w:ascii="Times New Roman" w:hAnsi="Times New Roman" w:cs="Times New Roman"/>
          <w:b/>
          <w:bCs/>
          <w:sz w:val="24"/>
          <w:szCs w:val="24"/>
        </w:rPr>
        <w:t xml:space="preserve"> and </w:t>
      </w:r>
      <w:r w:rsidR="00563415" w:rsidRPr="00053FA5">
        <w:rPr>
          <w:rFonts w:ascii="Times New Roman" w:hAnsi="Times New Roman" w:cs="Times New Roman"/>
          <w:b/>
          <w:bCs/>
          <w:sz w:val="24"/>
          <w:szCs w:val="24"/>
        </w:rPr>
        <w:t>Challenges</w:t>
      </w:r>
    </w:p>
    <w:p w:rsidR="006C3027" w:rsidRDefault="006C3027" w:rsidP="006C3027">
      <w:pPr>
        <w:spacing w:line="240" w:lineRule="auto"/>
        <w:jc w:val="both"/>
        <w:rPr>
          <w:rFonts w:ascii="Times New Roman" w:hAnsi="Times New Roman" w:cs="Times New Roman"/>
          <w:sz w:val="24"/>
          <w:szCs w:val="24"/>
          <w:lang w:val="en-IN"/>
        </w:rPr>
      </w:pPr>
      <w:r w:rsidRPr="00053FA5">
        <w:rPr>
          <w:rFonts w:ascii="Times New Roman" w:hAnsi="Times New Roman" w:cs="Times New Roman"/>
          <w:sz w:val="24"/>
          <w:szCs w:val="24"/>
          <w:lang w:val="en-IN"/>
        </w:rPr>
        <w:t>One of the prospects lies in co-innovation, co-creation, or co-development. As Japan is a developed economy, it can work in collaboration with India in technological domain. It will benefit both the stakeholders. However, there are challenges in such initiatives. It includes, patent licensing over technologies, competitive nature of economies, etc. At time</w:t>
      </w:r>
      <w:r>
        <w:rPr>
          <w:rFonts w:ascii="Times New Roman" w:hAnsi="Times New Roman" w:cs="Times New Roman"/>
          <w:sz w:val="24"/>
          <w:szCs w:val="24"/>
          <w:lang w:val="en-IN"/>
        </w:rPr>
        <w:t>s</w:t>
      </w:r>
      <w:r w:rsidRPr="00053FA5">
        <w:rPr>
          <w:rFonts w:ascii="Times New Roman" w:hAnsi="Times New Roman" w:cs="Times New Roman"/>
          <w:sz w:val="24"/>
          <w:szCs w:val="24"/>
          <w:lang w:val="en-IN"/>
        </w:rPr>
        <w:t xml:space="preserve"> companies refrain from sharing their products due to lack of protection on intellectual </w:t>
      </w:r>
      <w:r w:rsidRPr="006C3027">
        <w:rPr>
          <w:rFonts w:ascii="Times New Roman" w:hAnsi="Times New Roman" w:cs="Times New Roman"/>
          <w:sz w:val="24"/>
          <w:szCs w:val="24"/>
          <w:lang w:val="en-IN"/>
        </w:rPr>
        <w:t>property. Another</w:t>
      </w:r>
      <w:r>
        <w:rPr>
          <w:rFonts w:ascii="Times New Roman" w:hAnsi="Times New Roman" w:cs="Times New Roman"/>
          <w:color w:val="FF0000"/>
          <w:sz w:val="24"/>
          <w:szCs w:val="24"/>
          <w:lang w:val="en-IN"/>
        </w:rPr>
        <w:t xml:space="preserve"> </w:t>
      </w:r>
      <w:r>
        <w:rPr>
          <w:rFonts w:ascii="Times New Roman" w:hAnsi="Times New Roman" w:cs="Times New Roman"/>
          <w:sz w:val="24"/>
          <w:szCs w:val="24"/>
          <w:lang w:val="en-IN"/>
        </w:rPr>
        <w:t xml:space="preserve">important prospect in reduction of carbon emission and carbon trading is JCM, which is all set to be launched. </w:t>
      </w:r>
      <w:r w:rsidRPr="00053FA5">
        <w:rPr>
          <w:rFonts w:ascii="Times New Roman" w:hAnsi="Times New Roman" w:cs="Times New Roman"/>
          <w:sz w:val="24"/>
          <w:szCs w:val="24"/>
          <w:lang w:val="en-IN"/>
        </w:rPr>
        <w:t xml:space="preserve">Further, as it </w:t>
      </w:r>
      <w:r>
        <w:rPr>
          <w:rFonts w:ascii="Times New Roman" w:hAnsi="Times New Roman" w:cs="Times New Roman"/>
          <w:sz w:val="24"/>
          <w:szCs w:val="24"/>
          <w:lang w:val="en-IN"/>
        </w:rPr>
        <w:t xml:space="preserve">is </w:t>
      </w:r>
      <w:r w:rsidRPr="00053FA5">
        <w:rPr>
          <w:rFonts w:ascii="Times New Roman" w:hAnsi="Times New Roman" w:cs="Times New Roman"/>
          <w:sz w:val="24"/>
          <w:szCs w:val="24"/>
          <w:lang w:val="en-IN"/>
        </w:rPr>
        <w:t>mentioned in the study that Japan is one of the top leaders in hydrogen energy sector and India is also working on its Hydrogen policy project, the prospect to collaborate in this domain can be beneficial for both the nations.</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The relationship between India and Japan has evolved significantly, yet it faces several challenges</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that hinder deeper cooperation.</w:t>
      </w:r>
      <w:r>
        <w:rPr>
          <w:rFonts w:ascii="Times New Roman" w:hAnsi="Times New Roman" w:cs="Times New Roman"/>
          <w:sz w:val="24"/>
          <w:szCs w:val="24"/>
          <w:lang w:val="en-IN"/>
        </w:rPr>
        <w:t xml:space="preserve"> </w:t>
      </w:r>
      <w:r w:rsidRPr="00563415">
        <w:rPr>
          <w:rFonts w:ascii="Times New Roman" w:hAnsi="Times New Roman" w:cs="Times New Roman"/>
          <w:sz w:val="24"/>
          <w:szCs w:val="24"/>
          <w:lang w:val="en-IN"/>
        </w:rPr>
        <w:t>These challenges stem from historical, strategic, and economic dimensions.</w:t>
      </w:r>
      <w:r>
        <w:rPr>
          <w:rFonts w:ascii="Times New Roman" w:hAnsi="Times New Roman" w:cs="Times New Roman"/>
          <w:sz w:val="24"/>
          <w:szCs w:val="24"/>
          <w:lang w:val="en-IN"/>
        </w:rPr>
        <w:t xml:space="preserve"> Further, the growing Chinese aggressiveness and dominance in the Indo-Pacific region may create a challenge for India’s and Japan’s policies in Indo-Pacific. To maintain their relationship, both India and Japan have to balance their individual ties with nations like China and Russia. Overall, the past trends and current collaborations highlight a bright future of bilateral ties between them.</w:t>
      </w:r>
    </w:p>
    <w:p w:rsidR="006C3027" w:rsidRPr="00053FA5" w:rsidRDefault="006C3027" w:rsidP="006C3027">
      <w:pPr>
        <w:spacing w:line="240" w:lineRule="auto"/>
        <w:jc w:val="both"/>
        <w:rPr>
          <w:rFonts w:ascii="Times New Roman" w:hAnsi="Times New Roman" w:cs="Times New Roman"/>
          <w:sz w:val="24"/>
          <w:szCs w:val="24"/>
          <w:lang w:val="en-IN"/>
        </w:rPr>
      </w:pPr>
    </w:p>
    <w:p w:rsidR="006C3027" w:rsidRPr="00053FA5" w:rsidRDefault="006C3027" w:rsidP="006C302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Pr="00053FA5">
        <w:rPr>
          <w:rFonts w:ascii="Times New Roman" w:hAnsi="Times New Roman" w:cs="Times New Roman"/>
          <w:b/>
          <w:bCs/>
          <w:sz w:val="24"/>
          <w:szCs w:val="24"/>
        </w:rPr>
        <w:t>Conclusion</w:t>
      </w:r>
    </w:p>
    <w:p w:rsidR="006C3027" w:rsidRDefault="006C3027" w:rsidP="006C3027">
      <w:pPr>
        <w:spacing w:line="240" w:lineRule="auto"/>
        <w:jc w:val="both"/>
        <w:rPr>
          <w:rFonts w:ascii="Times New Roman" w:hAnsi="Times New Roman" w:cs="Times New Roman"/>
          <w:sz w:val="24"/>
          <w:szCs w:val="24"/>
        </w:rPr>
      </w:pPr>
      <w:r w:rsidRPr="00053FA5">
        <w:rPr>
          <w:rFonts w:ascii="Times New Roman" w:hAnsi="Times New Roman" w:cs="Times New Roman"/>
          <w:sz w:val="24"/>
          <w:szCs w:val="24"/>
        </w:rPr>
        <w:t>In conclusion, the India-Japan relationship can be viewed as a symbol for other bilateral relations. The paper highlighted</w:t>
      </w:r>
      <w:r>
        <w:rPr>
          <w:rFonts w:ascii="Times New Roman" w:hAnsi="Times New Roman" w:cs="Times New Roman"/>
          <w:sz w:val="24"/>
          <w:szCs w:val="24"/>
        </w:rPr>
        <w:t xml:space="preserve"> </w:t>
      </w:r>
      <w:r w:rsidRPr="00053FA5">
        <w:rPr>
          <w:rFonts w:ascii="Times New Roman" w:hAnsi="Times New Roman" w:cs="Times New Roman"/>
          <w:sz w:val="24"/>
          <w:szCs w:val="24"/>
        </w:rPr>
        <w:t xml:space="preserve">the nature of both the economies and their current developments. It also brought to notice the historical background and evolution of bilateral and energy relations between the two nations. The scope of the study underlines the important international agreements and summits in the energy domain. The study elucidated the steps taken nationally in </w:t>
      </w:r>
      <w:r w:rsidRPr="00053FA5">
        <w:rPr>
          <w:rFonts w:ascii="Times New Roman" w:hAnsi="Times New Roman" w:cs="Times New Roman"/>
          <w:sz w:val="24"/>
          <w:szCs w:val="24"/>
        </w:rPr>
        <w:lastRenderedPageBreak/>
        <w:t>the achievement of their respective set targets and the initiatives taken bilaterally between India and Japan. The significant dimensions are also highlighted that determines the bilateral and diplomatic ties between nations. In the realm of energy relation, technological transfer as an important aspect is also discussed.  The comparison of certain selected variables has demonstrated the status of energy sector, carbon emission and GDP of both nations. Finally, it underlines the prospects and challenges that may come across in the bilateral relationship.</w:t>
      </w:r>
      <w:r>
        <w:rPr>
          <w:rFonts w:ascii="Times New Roman" w:hAnsi="Times New Roman" w:cs="Times New Roman"/>
          <w:sz w:val="24"/>
          <w:szCs w:val="24"/>
        </w:rPr>
        <w:t xml:space="preserve"> </w:t>
      </w:r>
    </w:p>
    <w:p w:rsidR="007C3CBB" w:rsidRDefault="007C3CBB" w:rsidP="007C3CBB">
      <w:pPr>
        <w:spacing w:line="240" w:lineRule="auto"/>
        <w:jc w:val="both"/>
        <w:rPr>
          <w:rFonts w:ascii="Times New Roman" w:hAnsi="Times New Roman" w:cs="Times New Roman"/>
          <w:b/>
          <w:sz w:val="24"/>
          <w:szCs w:val="24"/>
        </w:rPr>
      </w:pPr>
      <w:r w:rsidRPr="003A4F5C">
        <w:rPr>
          <w:rFonts w:ascii="Times New Roman" w:hAnsi="Times New Roman" w:cs="Times New Roman"/>
          <w:b/>
          <w:sz w:val="24"/>
          <w:szCs w:val="24"/>
        </w:rPr>
        <w:t>Highlights</w:t>
      </w:r>
      <w:r>
        <w:rPr>
          <w:rFonts w:ascii="Times New Roman" w:hAnsi="Times New Roman" w:cs="Times New Roman"/>
          <w:b/>
          <w:sz w:val="24"/>
          <w:szCs w:val="24"/>
        </w:rPr>
        <w:t>:</w:t>
      </w:r>
    </w:p>
    <w:p w:rsidR="007C3CBB" w:rsidRPr="000D1D08"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Shifting of India-Japan strategic relationship from dialogue to action.</w:t>
      </w:r>
    </w:p>
    <w:p w:rsidR="007C3CBB" w:rsidRPr="000D1D08"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Demonstration of comparative study between India and Japan with respect to energy sector.</w:t>
      </w:r>
    </w:p>
    <w:p w:rsidR="007C3CBB" w:rsidRDefault="007C3CBB" w:rsidP="007C3CBB">
      <w:pPr>
        <w:pStyle w:val="ListParagraph"/>
        <w:numPr>
          <w:ilvl w:val="0"/>
          <w:numId w:val="7"/>
        </w:numPr>
        <w:spacing w:line="240" w:lineRule="auto"/>
        <w:jc w:val="both"/>
        <w:rPr>
          <w:rFonts w:ascii="Times New Roman" w:hAnsi="Times New Roman" w:cs="Times New Roman"/>
          <w:bCs/>
          <w:sz w:val="24"/>
          <w:szCs w:val="24"/>
        </w:rPr>
      </w:pPr>
      <w:r w:rsidRPr="000D1D08">
        <w:rPr>
          <w:rFonts w:ascii="Times New Roman" w:hAnsi="Times New Roman" w:cs="Times New Roman"/>
          <w:bCs/>
          <w:sz w:val="24"/>
          <w:szCs w:val="24"/>
        </w:rPr>
        <w:t>Prospects to achieve inclusive and sustainable energy targets via strengthening partnership.</w:t>
      </w:r>
    </w:p>
    <w:p w:rsidR="00C77CBE" w:rsidRDefault="00C77CBE" w:rsidP="00C77CBE">
      <w:pPr>
        <w:spacing w:line="240" w:lineRule="auto"/>
        <w:jc w:val="both"/>
        <w:rPr>
          <w:rFonts w:ascii="Times New Roman" w:hAnsi="Times New Roman" w:cs="Times New Roman"/>
          <w:bCs/>
          <w:sz w:val="24"/>
          <w:szCs w:val="24"/>
        </w:rPr>
      </w:pPr>
    </w:p>
    <w:p w:rsidR="00C77CBE" w:rsidRPr="00270720" w:rsidRDefault="00C77CBE" w:rsidP="00C77CBE">
      <w:pPr>
        <w:rPr>
          <w:highlight w:val="yellow"/>
        </w:rPr>
      </w:pPr>
      <w:r w:rsidRPr="00270720">
        <w:rPr>
          <w:highlight w:val="yellow"/>
        </w:rPr>
        <w:t>Disclaimer (Artificial intelligence)</w:t>
      </w:r>
    </w:p>
    <w:p w:rsidR="00C77CBE" w:rsidRPr="00270720" w:rsidRDefault="00C77CBE" w:rsidP="00C77CBE">
      <w:pPr>
        <w:rPr>
          <w:highlight w:val="yellow"/>
        </w:rPr>
      </w:pPr>
    </w:p>
    <w:p w:rsidR="00C77CBE" w:rsidRPr="00270720" w:rsidRDefault="00C77CBE" w:rsidP="00C77CBE">
      <w:pPr>
        <w:rPr>
          <w:highlight w:val="yellow"/>
        </w:rPr>
      </w:pPr>
      <w:r w:rsidRPr="00270720">
        <w:rPr>
          <w:highlight w:val="yellow"/>
        </w:rPr>
        <w:t xml:space="preserve">Option 1: </w:t>
      </w:r>
    </w:p>
    <w:p w:rsidR="00C77CBE" w:rsidRPr="00270720" w:rsidRDefault="00C77CBE" w:rsidP="00C77CBE">
      <w:pPr>
        <w:rPr>
          <w:highlight w:val="yellow"/>
        </w:rPr>
      </w:pPr>
    </w:p>
    <w:p w:rsidR="00C77CBE" w:rsidRPr="00270720" w:rsidRDefault="00C77CBE" w:rsidP="00C77CBE">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C77CBE" w:rsidRPr="00270720" w:rsidRDefault="00F66C16" w:rsidP="00C77CBE">
      <w:pPr>
        <w:rPr>
          <w:highlight w:val="yellow"/>
        </w:rPr>
      </w:pPr>
      <w:r>
        <w:rPr>
          <w:highlight w:val="yellow"/>
        </w:rPr>
        <w:t>No generative AI technologies have been utilized during the preparation of the study.</w:t>
      </w:r>
    </w:p>
    <w:p w:rsidR="00C77CBE" w:rsidRPr="00270720" w:rsidRDefault="00C77CBE" w:rsidP="00C77CBE">
      <w:pPr>
        <w:rPr>
          <w:highlight w:val="yellow"/>
        </w:rPr>
      </w:pPr>
      <w:r w:rsidRPr="00270720">
        <w:rPr>
          <w:highlight w:val="yellow"/>
        </w:rPr>
        <w:t xml:space="preserve">Option 2: </w:t>
      </w:r>
    </w:p>
    <w:p w:rsidR="00C77CBE" w:rsidRPr="00270720" w:rsidRDefault="00C77CBE" w:rsidP="00C77CBE">
      <w:pPr>
        <w:rPr>
          <w:highlight w:val="yellow"/>
        </w:rPr>
      </w:pPr>
    </w:p>
    <w:p w:rsidR="00C77CBE" w:rsidRPr="00270720" w:rsidRDefault="00C77CBE" w:rsidP="00C77CB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77CBE" w:rsidRPr="00270720" w:rsidRDefault="00C77CBE" w:rsidP="00C77CBE">
      <w:pPr>
        <w:rPr>
          <w:highlight w:val="yellow"/>
        </w:rPr>
      </w:pPr>
    </w:p>
    <w:p w:rsidR="00C77CBE" w:rsidRPr="00270720" w:rsidRDefault="00C77CBE" w:rsidP="00C77CBE">
      <w:pPr>
        <w:rPr>
          <w:highlight w:val="yellow"/>
        </w:rPr>
      </w:pPr>
      <w:r w:rsidRPr="00270720">
        <w:rPr>
          <w:highlight w:val="yellow"/>
        </w:rPr>
        <w:t>Details of the AI usage are given below:</w:t>
      </w:r>
    </w:p>
    <w:p w:rsidR="00C77CBE" w:rsidRPr="00270720" w:rsidRDefault="00C77CBE" w:rsidP="00C77CBE">
      <w:pPr>
        <w:rPr>
          <w:highlight w:val="yellow"/>
        </w:rPr>
      </w:pPr>
      <w:r w:rsidRPr="00270720">
        <w:rPr>
          <w:highlight w:val="yellow"/>
        </w:rPr>
        <w:t>1.</w:t>
      </w:r>
    </w:p>
    <w:p w:rsidR="00C77CBE" w:rsidRPr="00270720" w:rsidRDefault="00C77CBE" w:rsidP="00C77CBE">
      <w:pPr>
        <w:rPr>
          <w:highlight w:val="yellow"/>
        </w:rPr>
      </w:pPr>
      <w:r w:rsidRPr="00270720">
        <w:rPr>
          <w:highlight w:val="yellow"/>
        </w:rPr>
        <w:t>2.</w:t>
      </w:r>
    </w:p>
    <w:p w:rsidR="00C77CBE" w:rsidRPr="00270720" w:rsidRDefault="00C77CBE" w:rsidP="00C77CBE">
      <w:r w:rsidRPr="00270720">
        <w:rPr>
          <w:highlight w:val="yellow"/>
        </w:rPr>
        <w:t>3.</w:t>
      </w:r>
    </w:p>
    <w:p w:rsidR="00C77CBE" w:rsidRPr="00C77CBE" w:rsidRDefault="00C77CBE" w:rsidP="00C77CBE">
      <w:pPr>
        <w:spacing w:line="240" w:lineRule="auto"/>
        <w:jc w:val="both"/>
        <w:rPr>
          <w:rFonts w:ascii="Times New Roman" w:hAnsi="Times New Roman" w:cs="Times New Roman"/>
          <w:bCs/>
          <w:sz w:val="24"/>
          <w:szCs w:val="24"/>
        </w:rPr>
      </w:pPr>
    </w:p>
    <w:p w:rsidR="007C3CBB" w:rsidRPr="00027B25" w:rsidRDefault="007C3CBB" w:rsidP="00FF3D69">
      <w:pPr>
        <w:spacing w:line="240" w:lineRule="auto"/>
        <w:jc w:val="both"/>
        <w:rPr>
          <w:rFonts w:ascii="Times New Roman" w:hAnsi="Times New Roman" w:cs="Times New Roman"/>
          <w:sz w:val="24"/>
          <w:szCs w:val="24"/>
        </w:rPr>
      </w:pPr>
    </w:p>
    <w:p w:rsidR="002D263A" w:rsidRDefault="00C42F61" w:rsidP="00FF3D69">
      <w:pPr>
        <w:spacing w:line="240" w:lineRule="auto"/>
        <w:jc w:val="both"/>
        <w:rPr>
          <w:rFonts w:ascii="Times New Roman" w:hAnsi="Times New Roman" w:cs="Times New Roman"/>
          <w:b/>
          <w:bCs/>
          <w:sz w:val="24"/>
          <w:szCs w:val="24"/>
        </w:rPr>
      </w:pPr>
      <w:r w:rsidRPr="00053FA5">
        <w:rPr>
          <w:rFonts w:ascii="Times New Roman" w:hAnsi="Times New Roman" w:cs="Times New Roman"/>
          <w:b/>
          <w:bCs/>
          <w:sz w:val="24"/>
          <w:szCs w:val="24"/>
        </w:rPr>
        <w:lastRenderedPageBreak/>
        <w:t>Reference</w:t>
      </w:r>
    </w:p>
    <w:p w:rsidR="006C3027" w:rsidRPr="006C3027" w:rsidRDefault="006C3027" w:rsidP="008E745D">
      <w:pPr>
        <w:pStyle w:val="ListParagraph"/>
        <w:numPr>
          <w:ilvl w:val="0"/>
          <w:numId w:val="13"/>
        </w:numPr>
        <w:spacing w:after="0" w:line="276" w:lineRule="auto"/>
        <w:jc w:val="both"/>
        <w:rPr>
          <w:rFonts w:ascii="Times New Roman" w:hAnsi="Times New Roman" w:cs="Times New Roman"/>
          <w:b/>
          <w:bCs/>
          <w:sz w:val="24"/>
          <w:szCs w:val="24"/>
        </w:rPr>
      </w:pPr>
      <w:r w:rsidRPr="006C3027">
        <w:rPr>
          <w:rFonts w:ascii="Times New Roman" w:hAnsi="Times New Roman" w:cs="Times New Roman"/>
          <w:sz w:val="24"/>
          <w:szCs w:val="24"/>
        </w:rPr>
        <w:t xml:space="preserve">Ahmad, W. (2025). India Towards Sustainable Development: Concept and Approach. </w:t>
      </w:r>
      <w:r w:rsidRPr="006C3027">
        <w:rPr>
          <w:rFonts w:ascii="Times New Roman" w:hAnsi="Times New Roman" w:cs="Times New Roman"/>
          <w:i/>
          <w:sz w:val="24"/>
          <w:szCs w:val="24"/>
        </w:rPr>
        <w:t>Brainwave: A Multidisciplinary Journal, 6</w:t>
      </w:r>
      <w:r w:rsidRPr="006C3027">
        <w:rPr>
          <w:rFonts w:ascii="Times New Roman" w:hAnsi="Times New Roman" w:cs="Times New Roman"/>
          <w:sz w:val="24"/>
          <w:szCs w:val="24"/>
        </w:rPr>
        <w:t>(2), 1085–1093.</w:t>
      </w:r>
    </w:p>
    <w:p w:rsidR="0089318B" w:rsidRPr="00FF3D69" w:rsidRDefault="00D14DED" w:rsidP="008E745D">
      <w:pPr>
        <w:pStyle w:val="ListParagraph"/>
        <w:numPr>
          <w:ilvl w:val="0"/>
          <w:numId w:val="13"/>
        </w:numPr>
        <w:spacing w:after="0" w:line="276" w:lineRule="auto"/>
        <w:jc w:val="both"/>
        <w:rPr>
          <w:rFonts w:ascii="Times New Roman" w:hAnsi="Times New Roman" w:cs="Times New Roman"/>
          <w:sz w:val="24"/>
          <w:szCs w:val="24"/>
          <w:lang w:val="en-IN"/>
        </w:rPr>
      </w:pPr>
      <w:r w:rsidRPr="00053FA5">
        <w:rPr>
          <w:rFonts w:ascii="Times New Roman" w:hAnsi="Times New Roman" w:cs="Times New Roman"/>
          <w:sz w:val="24"/>
          <w:szCs w:val="24"/>
          <w:lang w:val="en-IN"/>
        </w:rPr>
        <w:fldChar w:fldCharType="begin"/>
      </w:r>
      <w:r w:rsidR="0089318B" w:rsidRPr="00FF3D69">
        <w:rPr>
          <w:rFonts w:ascii="Times New Roman" w:hAnsi="Times New Roman" w:cs="Times New Roman"/>
          <w:sz w:val="24"/>
          <w:szCs w:val="24"/>
          <w:lang w:val="en-IN"/>
        </w:rPr>
        <w:instrText xml:space="preserve"> ADDIN ZOTERO_BIBL {"uncited":[],"omitted":[],"custom":[]} CSL_BIBLIOGRAPHY </w:instrText>
      </w:r>
      <w:r w:rsidRPr="00053FA5">
        <w:rPr>
          <w:rFonts w:ascii="Times New Roman" w:hAnsi="Times New Roman" w:cs="Times New Roman"/>
          <w:sz w:val="24"/>
          <w:szCs w:val="24"/>
          <w:lang w:val="en-IN"/>
        </w:rPr>
        <w:fldChar w:fldCharType="separate"/>
      </w:r>
      <w:r w:rsidR="0089318B" w:rsidRPr="00FF3D69">
        <w:rPr>
          <w:rFonts w:ascii="Times New Roman" w:hAnsi="Times New Roman" w:cs="Times New Roman"/>
          <w:sz w:val="24"/>
          <w:szCs w:val="24"/>
          <w:lang w:val="en-IN"/>
        </w:rPr>
        <w:t xml:space="preserve">Ahmed, S. (2010). India-Japan FTA in Goods: A Partial and General Equilibrium Analysis. </w:t>
      </w:r>
      <w:r w:rsidR="0089318B" w:rsidRPr="00FF3D69">
        <w:rPr>
          <w:rFonts w:ascii="Times New Roman" w:hAnsi="Times New Roman" w:cs="Times New Roman"/>
          <w:i/>
          <w:iCs/>
          <w:sz w:val="24"/>
          <w:szCs w:val="24"/>
          <w:lang w:val="en-IN"/>
        </w:rPr>
        <w:t>SSRN Electronic Journal</w:t>
      </w:r>
      <w:r w:rsidR="0089318B" w:rsidRPr="00FF3D69">
        <w:rPr>
          <w:rFonts w:ascii="Times New Roman" w:hAnsi="Times New Roman" w:cs="Times New Roman"/>
          <w:sz w:val="24"/>
          <w:szCs w:val="24"/>
          <w:lang w:val="en-IN"/>
        </w:rPr>
        <w:t>. https://doi.org/10.2139/ssrn.1708030</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Bekun, F. V. (2022). Mitigating Emissions in India: Accounting for the Role of Real Income, Renewable Energy Consumption and Investment in Energy. </w:t>
      </w:r>
      <w:r w:rsidRPr="00FF3D69">
        <w:rPr>
          <w:rFonts w:ascii="Times New Roman" w:hAnsi="Times New Roman" w:cs="Times New Roman"/>
          <w:i/>
          <w:iCs/>
          <w:sz w:val="24"/>
          <w:szCs w:val="24"/>
          <w:lang w:val="en-IN"/>
        </w:rPr>
        <w:t>International Journal of Energy Economics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12</w:t>
      </w:r>
      <w:r w:rsidRPr="00FF3D69">
        <w:rPr>
          <w:rFonts w:ascii="Times New Roman" w:hAnsi="Times New Roman" w:cs="Times New Roman"/>
          <w:sz w:val="24"/>
          <w:szCs w:val="24"/>
          <w:lang w:val="en-IN"/>
        </w:rPr>
        <w:t>(1), 188–192. https://doi.org/10.32479/ijeep.12652</w:t>
      </w:r>
    </w:p>
    <w:p w:rsidR="00D9698F" w:rsidRPr="00FF3D69" w:rsidRDefault="00D9698F" w:rsidP="008E745D">
      <w:pPr>
        <w:pStyle w:val="ListParagraph"/>
        <w:numPr>
          <w:ilvl w:val="0"/>
          <w:numId w:val="13"/>
        </w:numPr>
        <w:spacing w:after="0" w:line="276" w:lineRule="auto"/>
        <w:jc w:val="both"/>
        <w:rPr>
          <w:rFonts w:ascii="Times New Roman" w:hAnsi="Times New Roman" w:cs="Times New Roman"/>
          <w:sz w:val="24"/>
          <w:szCs w:val="24"/>
        </w:rPr>
      </w:pPr>
      <w:r w:rsidRPr="00FF3D69">
        <w:rPr>
          <w:rFonts w:ascii="Times New Roman" w:hAnsi="Times New Roman" w:cs="Times New Roman"/>
          <w:sz w:val="24"/>
          <w:szCs w:val="24"/>
        </w:rPr>
        <w:t>Bell, M. (1990). Continuing industrialisation, climate change and international technology transfer. Brighton: Resource policy group, Oslo &amp; Science policy research unit, University of Sussex.</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Ben Mbarek, M., Saidi, K., &amp; Amamri, M. (2018). The relationship between pollutant emissions, renewable energy, nuclear energy and GDP: Empirical evidence from 18 developed and developing countries. </w:t>
      </w:r>
      <w:r w:rsidRPr="00FF3D69">
        <w:rPr>
          <w:rFonts w:ascii="Times New Roman" w:hAnsi="Times New Roman" w:cs="Times New Roman"/>
          <w:i/>
          <w:iCs/>
          <w:sz w:val="24"/>
          <w:szCs w:val="24"/>
          <w:lang w:val="en-IN"/>
        </w:rPr>
        <w:t>International Journal of Sustainable Energy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37</w:t>
      </w:r>
      <w:r w:rsidRPr="00FF3D69">
        <w:rPr>
          <w:rFonts w:ascii="Times New Roman" w:hAnsi="Times New Roman" w:cs="Times New Roman"/>
          <w:sz w:val="24"/>
          <w:szCs w:val="24"/>
          <w:lang w:val="en-IN"/>
        </w:rPr>
        <w:t>(6), 597–615. https://doi.org/10.1080/14786451.2017.1332060</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Brewster, D. (2010). The India-Japan Security Relationship: An Enduring Security Partnership? </w:t>
      </w:r>
      <w:r w:rsidRPr="00FF3D69">
        <w:rPr>
          <w:rFonts w:ascii="Times New Roman" w:hAnsi="Times New Roman" w:cs="Times New Roman"/>
          <w:i/>
          <w:iCs/>
          <w:sz w:val="24"/>
          <w:szCs w:val="24"/>
          <w:lang w:val="en-IN"/>
        </w:rPr>
        <w:t>Asian Security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6</w:t>
      </w:r>
      <w:r w:rsidRPr="00FF3D69">
        <w:rPr>
          <w:rFonts w:ascii="Times New Roman" w:hAnsi="Times New Roman" w:cs="Times New Roman"/>
          <w:sz w:val="24"/>
          <w:szCs w:val="24"/>
          <w:lang w:val="en-IN"/>
        </w:rPr>
        <w:t>(2), 95–120. https://doi.org/10.1080/14799851003756550</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Buckley, P. J., Cross, A. R., &amp; Horn, S. A. (2012). Japanese foreign direct investment in India: An institutional theory approach. </w:t>
      </w:r>
      <w:r w:rsidRPr="00FF3D69">
        <w:rPr>
          <w:rFonts w:ascii="Times New Roman" w:hAnsi="Times New Roman" w:cs="Times New Roman"/>
          <w:i/>
          <w:iCs/>
          <w:sz w:val="24"/>
          <w:szCs w:val="24"/>
          <w:lang w:val="en-IN"/>
        </w:rPr>
        <w:t>Business History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54</w:t>
      </w:r>
      <w:r w:rsidRPr="00FF3D69">
        <w:rPr>
          <w:rFonts w:ascii="Times New Roman" w:hAnsi="Times New Roman" w:cs="Times New Roman"/>
          <w:sz w:val="24"/>
          <w:szCs w:val="24"/>
          <w:lang w:val="en-IN"/>
        </w:rPr>
        <w:t>(5), 657–688. https://doi.org/10.1080/00076791.2012.683417</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Chinoy, S. R. (2020). </w:t>
      </w:r>
      <w:r w:rsidRPr="00FF3D69">
        <w:rPr>
          <w:rFonts w:ascii="Times New Roman" w:hAnsi="Times New Roman" w:cs="Times New Roman"/>
          <w:i/>
          <w:iCs/>
          <w:sz w:val="24"/>
          <w:szCs w:val="24"/>
          <w:lang w:val="en-IN"/>
        </w:rPr>
        <w:t>Challenges and Opportunities for India-Japan Economic Partnership</w:t>
      </w:r>
      <w:r w:rsidRPr="00FF3D69">
        <w:rPr>
          <w:rFonts w:ascii="Times New Roman" w:hAnsi="Times New Roman" w:cs="Times New Roman"/>
          <w:sz w:val="24"/>
          <w:szCs w:val="24"/>
          <w:lang w:val="en-IN"/>
        </w:rPr>
        <w:t>. https://www.rieti.go.jp/en/events/bbl/20121601.html</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Collins, S., &amp; Wakoh, H. (2000). Universities and Technology Transfer in Japan: Recent Reforms in Historical Perspective. </w:t>
      </w:r>
      <w:r w:rsidRPr="00FF3D69">
        <w:rPr>
          <w:rFonts w:ascii="Times New Roman" w:hAnsi="Times New Roman" w:cs="Times New Roman"/>
          <w:i/>
          <w:iCs/>
          <w:sz w:val="24"/>
          <w:szCs w:val="24"/>
          <w:lang w:val="en-IN"/>
        </w:rPr>
        <w:t>The Journal of Technology Transfer</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25</w:t>
      </w:r>
      <w:r w:rsidRPr="00FF3D69">
        <w:rPr>
          <w:rFonts w:ascii="Times New Roman" w:hAnsi="Times New Roman" w:cs="Times New Roman"/>
          <w:sz w:val="24"/>
          <w:szCs w:val="24"/>
          <w:lang w:val="en-IN"/>
        </w:rPr>
        <w:t>(2), 213–222. https://doi.org/10.1023/A:1007884925676</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Cutler, R. S. (1989). A comparison of Japanese and US high-technology transfer practices. </w:t>
      </w:r>
      <w:r w:rsidRPr="00FF3D69">
        <w:rPr>
          <w:rFonts w:ascii="Times New Roman" w:hAnsi="Times New Roman" w:cs="Times New Roman"/>
          <w:i/>
          <w:iCs/>
          <w:sz w:val="24"/>
          <w:szCs w:val="24"/>
          <w:lang w:val="en-IN"/>
        </w:rPr>
        <w:t>IEEE Transactions on Engineering Management</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36</w:t>
      </w:r>
      <w:r w:rsidRPr="00FF3D69">
        <w:rPr>
          <w:rFonts w:ascii="Times New Roman" w:hAnsi="Times New Roman" w:cs="Times New Roman"/>
          <w:sz w:val="24"/>
          <w:szCs w:val="24"/>
          <w:lang w:val="en-IN"/>
        </w:rPr>
        <w:t>(1), 17–24. https://doi.org/10.1109/17.19978</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Fadilah, S., Lestari, R., Sahdan, M. H., &amp; Khalid, A. Z. A. (2020). THE IMPACT OF RENEWABLE ENERGY CONSUMPTION ON THE ECONOMIC GROWTH OF THE ASEAN COUNTRIES. </w:t>
      </w:r>
      <w:r w:rsidRPr="00FF3D69">
        <w:rPr>
          <w:rFonts w:ascii="Times New Roman" w:hAnsi="Times New Roman" w:cs="Times New Roman"/>
          <w:i/>
          <w:iCs/>
          <w:sz w:val="24"/>
          <w:szCs w:val="24"/>
          <w:lang w:val="en-IN"/>
        </w:rPr>
        <w:t>International Journal of Energy Economics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10</w:t>
      </w:r>
      <w:r w:rsidRPr="00FF3D69">
        <w:rPr>
          <w:rFonts w:ascii="Times New Roman" w:hAnsi="Times New Roman" w:cs="Times New Roman"/>
          <w:sz w:val="24"/>
          <w:szCs w:val="24"/>
          <w:lang w:val="en-IN"/>
        </w:rPr>
        <w:t>(6), 602–608. https://doi.org/10.32479/ijeep.10589</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Garcia-Casals, X., Ferroukhi, R., &amp; Parajuli, B. (2019). Measuring the socio-economic footprint of the energy transition. </w:t>
      </w:r>
      <w:r w:rsidRPr="00FF3D69">
        <w:rPr>
          <w:rFonts w:ascii="Times New Roman" w:hAnsi="Times New Roman" w:cs="Times New Roman"/>
          <w:i/>
          <w:iCs/>
          <w:sz w:val="24"/>
          <w:szCs w:val="24"/>
          <w:lang w:val="en-IN"/>
        </w:rPr>
        <w:t>Energy Transitions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w:t>
      </w:r>
      <w:r w:rsidRPr="00FF3D69">
        <w:rPr>
          <w:rFonts w:ascii="Times New Roman" w:hAnsi="Times New Roman" w:cs="Times New Roman"/>
          <w:sz w:val="24"/>
          <w:szCs w:val="24"/>
          <w:lang w:val="en-IN"/>
        </w:rPr>
        <w:t>(1), 105–118. https://doi.org/10.1007/s41825-019-00018-6</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Ghosh, M. (2008). </w:t>
      </w:r>
      <w:r w:rsidRPr="00FF3D69">
        <w:rPr>
          <w:rFonts w:ascii="Times New Roman" w:hAnsi="Times New Roman" w:cs="Times New Roman"/>
          <w:i/>
          <w:iCs/>
          <w:sz w:val="24"/>
          <w:szCs w:val="24"/>
          <w:lang w:val="en-IN"/>
        </w:rPr>
        <w:t>India and Japan’s Growing Synergy: From a Political to a Strategic Focus</w:t>
      </w:r>
      <w:r w:rsidRPr="00FF3D69">
        <w:rPr>
          <w:rFonts w:ascii="Times New Roman" w:hAnsi="Times New Roman" w:cs="Times New Roman"/>
          <w:sz w:val="24"/>
          <w:szCs w:val="24"/>
          <w:lang w:val="en-IN"/>
        </w:rPr>
        <w:t>. https://online.ucpress.edu/as/article/48/2/282/24206/India-and-Japan-s-Growing-Synergy-From-a-Political</w:t>
      </w:r>
    </w:p>
    <w:p w:rsidR="0089318B"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lastRenderedPageBreak/>
        <w:t xml:space="preserve">Gupta, R., &amp; Guha, A. (2024). </w:t>
      </w:r>
      <w:r w:rsidRPr="00FF3D69">
        <w:rPr>
          <w:rFonts w:ascii="Times New Roman" w:hAnsi="Times New Roman" w:cs="Times New Roman"/>
          <w:i/>
          <w:iCs/>
          <w:sz w:val="24"/>
          <w:szCs w:val="24"/>
          <w:lang w:val="en-IN"/>
        </w:rPr>
        <w:t>Renewable Energy and Economic Growth: Evidence from India</w:t>
      </w:r>
      <w:r w:rsidRPr="00FF3D69">
        <w:rPr>
          <w:rFonts w:ascii="Times New Roman" w:hAnsi="Times New Roman" w:cs="Times New Roman"/>
          <w:sz w:val="24"/>
          <w:szCs w:val="24"/>
          <w:lang w:val="en-IN"/>
        </w:rPr>
        <w:t>. https://journals.sagepub.com/doi/10.1177/00194662231223698?icid=int.sj-abstract.citing-articles.133</w:t>
      </w:r>
    </w:p>
    <w:p w:rsidR="006C3027" w:rsidRPr="006C3027" w:rsidRDefault="006C3027" w:rsidP="008E745D">
      <w:pPr>
        <w:numPr>
          <w:ilvl w:val="0"/>
          <w:numId w:val="13"/>
        </w:numPr>
        <w:shd w:val="clear" w:color="auto" w:fill="FFFFFF"/>
        <w:spacing w:before="100" w:beforeAutospacing="1" w:after="0" w:line="276" w:lineRule="auto"/>
        <w:jc w:val="both"/>
        <w:rPr>
          <w:rFonts w:ascii="Times New Roman" w:eastAsia="Times New Roman" w:hAnsi="Times New Roman" w:cs="Times New Roman"/>
          <w:color w:val="000000"/>
          <w:kern w:val="0"/>
          <w:sz w:val="24"/>
          <w:szCs w:val="24"/>
        </w:rPr>
      </w:pPr>
      <w:r w:rsidRPr="00E13DEA">
        <w:rPr>
          <w:rFonts w:ascii="Times New Roman" w:hAnsi="Times New Roman" w:cs="Times New Roman"/>
          <w:i/>
          <w:iCs/>
          <w:sz w:val="24"/>
          <w:szCs w:val="24"/>
        </w:rPr>
        <w:t>India-Japan Summit Joint Statement Partnership for a Peaceful, Stable and Prosperous Post-COVID World</w:t>
      </w:r>
      <w:r w:rsidRPr="00E13DEA">
        <w:rPr>
          <w:rFonts w:ascii="Times New Roman" w:hAnsi="Times New Roman" w:cs="Times New Roman"/>
          <w:sz w:val="24"/>
          <w:szCs w:val="24"/>
        </w:rPr>
        <w:t xml:space="preserve">. (2022). PIB. </w:t>
      </w:r>
      <w:hyperlink r:id="rId17" w:history="1">
        <w:r w:rsidRPr="00E13DEA">
          <w:rPr>
            <w:rStyle w:val="Hyperlink"/>
            <w:rFonts w:ascii="Times New Roman" w:hAnsi="Times New Roman" w:cs="Times New Roman"/>
            <w:sz w:val="24"/>
            <w:szCs w:val="24"/>
          </w:rPr>
          <w:t>https://www.pib.gov.in/www.pib.gov.in/Pressreleaseshare.aspx?PRID=1807373</w:t>
        </w:r>
      </w:hyperlink>
    </w:p>
    <w:p w:rsidR="0089318B"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Jain, H. C. (1987). The Japanese System of Human Resource Management: Transferability to the Indian Industrial Environment. </w:t>
      </w:r>
      <w:r w:rsidRPr="00FF3D69">
        <w:rPr>
          <w:rFonts w:ascii="Times New Roman" w:hAnsi="Times New Roman" w:cs="Times New Roman"/>
          <w:i/>
          <w:iCs/>
          <w:sz w:val="24"/>
          <w:szCs w:val="24"/>
          <w:lang w:val="en-IN"/>
        </w:rPr>
        <w:t>Asian Survey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27</w:t>
      </w:r>
      <w:r w:rsidRPr="00FF3D69">
        <w:rPr>
          <w:rFonts w:ascii="Times New Roman" w:hAnsi="Times New Roman" w:cs="Times New Roman"/>
          <w:sz w:val="24"/>
          <w:szCs w:val="24"/>
          <w:lang w:val="en-IN"/>
        </w:rPr>
        <w:t>(9), 1023–1035. https://doi.org/10.2307/2644651</w:t>
      </w:r>
    </w:p>
    <w:p w:rsidR="006C3027" w:rsidRPr="008E745D" w:rsidRDefault="006C3027" w:rsidP="008E745D">
      <w:pPr>
        <w:numPr>
          <w:ilvl w:val="0"/>
          <w:numId w:val="13"/>
        </w:numPr>
        <w:shd w:val="clear" w:color="auto" w:fill="FFFFFF"/>
        <w:spacing w:before="100" w:beforeAutospacing="1" w:after="0" w:line="276" w:lineRule="auto"/>
        <w:jc w:val="both"/>
        <w:rPr>
          <w:rFonts w:ascii="Times New Roman" w:eastAsia="Times New Roman" w:hAnsi="Times New Roman" w:cs="Times New Roman"/>
          <w:color w:val="000000"/>
          <w:kern w:val="0"/>
          <w:sz w:val="24"/>
          <w:szCs w:val="24"/>
        </w:rPr>
      </w:pPr>
      <w:r w:rsidRPr="002F0979">
        <w:rPr>
          <w:rFonts w:ascii="Times New Roman" w:hAnsi="Times New Roman" w:cs="Times New Roman"/>
          <w:sz w:val="24"/>
          <w:szCs w:val="24"/>
        </w:rPr>
        <w:t xml:space="preserve">Janardhanan, N., Ikeda, E., Zusman, E., &amp; Tamura, K. (2020). Co-innovation for Low Carbon Technologies: The Case of Japan-India Collaboration. </w:t>
      </w:r>
      <w:r w:rsidRPr="002F0979">
        <w:rPr>
          <w:rFonts w:ascii="Times New Roman" w:hAnsi="Times New Roman" w:cs="Times New Roman"/>
          <w:i/>
          <w:iCs/>
          <w:sz w:val="24"/>
          <w:szCs w:val="24"/>
        </w:rPr>
        <w:t>Institute for Global Environmental Strategies</w:t>
      </w:r>
      <w:r w:rsidRPr="002F0979">
        <w:rPr>
          <w:rFonts w:ascii="Times New Roman" w:hAnsi="Times New Roman" w:cs="Times New Roman"/>
          <w:sz w:val="24"/>
          <w:szCs w:val="24"/>
        </w:rPr>
        <w:t xml:space="preserve">. </w:t>
      </w:r>
      <w:hyperlink r:id="rId18" w:history="1">
        <w:r w:rsidRPr="002F0979">
          <w:rPr>
            <w:rStyle w:val="Hyperlink"/>
            <w:rFonts w:ascii="Times New Roman" w:hAnsi="Times New Roman" w:cs="Times New Roman"/>
            <w:sz w:val="24"/>
            <w:szCs w:val="24"/>
          </w:rPr>
          <w:t>https://www.jstor.org/stable/resrep25697</w:t>
        </w:r>
      </w:hyperlink>
    </w:p>
    <w:p w:rsidR="008E745D" w:rsidRPr="0018307B" w:rsidRDefault="008E745D" w:rsidP="008E745D">
      <w:pPr>
        <w:numPr>
          <w:ilvl w:val="0"/>
          <w:numId w:val="13"/>
        </w:numPr>
        <w:shd w:val="clear" w:color="auto" w:fill="FFFFFF"/>
        <w:spacing w:before="100" w:beforeAutospacing="1" w:after="0" w:line="276" w:lineRule="auto"/>
        <w:jc w:val="both"/>
        <w:rPr>
          <w:rFonts w:ascii="Times New Roman" w:eastAsia="Times New Roman" w:hAnsi="Times New Roman" w:cs="Times New Roman"/>
          <w:color w:val="000000"/>
          <w:kern w:val="0"/>
          <w:sz w:val="24"/>
          <w:szCs w:val="24"/>
        </w:rPr>
      </w:pPr>
      <w:r w:rsidRPr="005E695E">
        <w:rPr>
          <w:rFonts w:ascii="Times New Roman" w:eastAsia="Times New Roman" w:hAnsi="Times New Roman" w:cs="Times New Roman"/>
          <w:color w:val="000000"/>
          <w:kern w:val="0"/>
          <w:sz w:val="24"/>
          <w:szCs w:val="24"/>
        </w:rPr>
        <w:t>Kesavan. K.V, Singh. A Powell. L, Joshi.M, Mukhopadhyay</w:t>
      </w:r>
      <w:r w:rsidRPr="002F0979">
        <w:rPr>
          <w:rFonts w:ascii="Times New Roman" w:eastAsia="Times New Roman" w:hAnsi="Times New Roman" w:cs="Times New Roman"/>
          <w:color w:val="000000"/>
          <w:kern w:val="0"/>
          <w:sz w:val="24"/>
          <w:szCs w:val="24"/>
        </w:rPr>
        <w:t>. A Sahoo.N. (2020). India and South K</w:t>
      </w:r>
      <w:r w:rsidRPr="005E695E">
        <w:rPr>
          <w:rFonts w:ascii="Times New Roman" w:eastAsia="Times New Roman" w:hAnsi="Times New Roman" w:cs="Times New Roman"/>
          <w:color w:val="000000"/>
          <w:kern w:val="0"/>
          <w:sz w:val="24"/>
          <w:szCs w:val="24"/>
        </w:rPr>
        <w:t xml:space="preserve">orea: exploring new avenues, outlining goals. </w:t>
      </w:r>
      <w:r w:rsidRPr="005E695E">
        <w:rPr>
          <w:rFonts w:ascii="Times New Roman" w:eastAsia="Times New Roman" w:hAnsi="Times New Roman" w:cs="Times New Roman"/>
          <w:i/>
          <w:color w:val="000000"/>
          <w:kern w:val="0"/>
          <w:sz w:val="24"/>
          <w:szCs w:val="24"/>
        </w:rPr>
        <w:t>ORF Special Report No. 101</w:t>
      </w:r>
      <w:r w:rsidRPr="005E695E">
        <w:rPr>
          <w:rFonts w:ascii="Times New Roman" w:eastAsia="Times New Roman" w:hAnsi="Times New Roman" w:cs="Times New Roman"/>
          <w:color w:val="000000"/>
          <w:kern w:val="0"/>
          <w:sz w:val="24"/>
          <w:szCs w:val="24"/>
        </w:rPr>
        <w:t>, February 2020, Observer Research Foundation.</w:t>
      </w:r>
    </w:p>
    <w:p w:rsidR="008E745D" w:rsidRPr="008E745D" w:rsidRDefault="008E745D" w:rsidP="008E745D">
      <w:pPr>
        <w:numPr>
          <w:ilvl w:val="0"/>
          <w:numId w:val="13"/>
        </w:numPr>
        <w:shd w:val="clear" w:color="auto" w:fill="FFFFFF"/>
        <w:spacing w:before="100" w:beforeAutospacing="1" w:after="0" w:line="276" w:lineRule="auto"/>
        <w:jc w:val="both"/>
        <w:rPr>
          <w:rFonts w:ascii="Times New Roman" w:eastAsia="Times New Roman" w:hAnsi="Times New Roman" w:cs="Times New Roman"/>
          <w:color w:val="000000"/>
          <w:kern w:val="0"/>
          <w:sz w:val="24"/>
          <w:szCs w:val="24"/>
        </w:rPr>
      </w:pPr>
      <w:r w:rsidRPr="00C70E03">
        <w:rPr>
          <w:rFonts w:ascii="Times New Roman" w:hAnsi="Times New Roman" w:cs="Times New Roman"/>
          <w:sz w:val="24"/>
          <w:szCs w:val="24"/>
        </w:rPr>
        <w:t xml:space="preserve">Khan, A., &amp; Khan, M A. (2025). A Parametric Investigation of Factors Influencing India’s Renewable Energy Transition. </w:t>
      </w:r>
      <w:r w:rsidRPr="00C70E03">
        <w:rPr>
          <w:rFonts w:ascii="Times New Roman" w:hAnsi="Times New Roman" w:cs="Times New Roman"/>
          <w:i/>
          <w:sz w:val="24"/>
          <w:szCs w:val="24"/>
        </w:rPr>
        <w:t>Brainwave: A Multidisciplinary Journal, 6</w:t>
      </w:r>
      <w:r w:rsidRPr="00C70E03">
        <w:rPr>
          <w:rFonts w:ascii="Times New Roman" w:hAnsi="Times New Roman" w:cs="Times New Roman"/>
          <w:sz w:val="24"/>
          <w:szCs w:val="24"/>
        </w:rPr>
        <w:t>(1), 964–975.</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Khan, K. A., Manir, S. M. M., Islam, S., Jahan, S., Hassan, L., &amp; Ali, M. H. (2018). </w:t>
      </w:r>
      <w:r w:rsidRPr="00FF3D69">
        <w:rPr>
          <w:rFonts w:ascii="Times New Roman" w:hAnsi="Times New Roman" w:cs="Times New Roman"/>
          <w:i/>
          <w:iCs/>
          <w:sz w:val="24"/>
          <w:szCs w:val="24"/>
          <w:lang w:val="en-IN"/>
        </w:rPr>
        <w:t>Studies on Nonconventional Energy Sources for Electricity Generation</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4</w:t>
      </w:r>
      <w:r w:rsidRPr="00FF3D69">
        <w:rPr>
          <w:rFonts w:ascii="Times New Roman" w:hAnsi="Times New Roman" w:cs="Times New Roman"/>
          <w:sz w:val="24"/>
          <w:szCs w:val="24"/>
          <w:lang w:val="en-IN"/>
        </w:rPr>
        <w:t>(4).</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Khurana, G. S. (2007). Security of Sea Lines: Prospects for India–Japan Cooperation. </w:t>
      </w:r>
      <w:r w:rsidRPr="00FF3D69">
        <w:rPr>
          <w:rFonts w:ascii="Times New Roman" w:hAnsi="Times New Roman" w:cs="Times New Roman"/>
          <w:i/>
          <w:iCs/>
          <w:sz w:val="24"/>
          <w:szCs w:val="24"/>
          <w:lang w:val="en-IN"/>
        </w:rPr>
        <w:t>Strategic Analysis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31</w:t>
      </w:r>
      <w:r w:rsidRPr="00FF3D69">
        <w:rPr>
          <w:rFonts w:ascii="Times New Roman" w:hAnsi="Times New Roman" w:cs="Times New Roman"/>
          <w:sz w:val="24"/>
          <w:szCs w:val="24"/>
          <w:lang w:val="en-IN"/>
        </w:rPr>
        <w:t>(1), 139–153. https://doi.org/10.1080/09700160701355485</w:t>
      </w:r>
    </w:p>
    <w:p w:rsidR="008E745D" w:rsidRPr="008E745D"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Lema, R., &amp; Lema, A. (2012). Technology transfer? The rise of China and India in green technology sectors. </w:t>
      </w:r>
      <w:r w:rsidRPr="00FF3D69">
        <w:rPr>
          <w:rFonts w:ascii="Times New Roman" w:hAnsi="Times New Roman" w:cs="Times New Roman"/>
          <w:i/>
          <w:iCs/>
          <w:sz w:val="24"/>
          <w:szCs w:val="24"/>
          <w:lang w:val="en-IN"/>
        </w:rPr>
        <w:t>Innovation for Development</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2</w:t>
      </w:r>
      <w:r w:rsidRPr="00FF3D69">
        <w:rPr>
          <w:rFonts w:ascii="Times New Roman" w:hAnsi="Times New Roman" w:cs="Times New Roman"/>
          <w:sz w:val="24"/>
          <w:szCs w:val="24"/>
          <w:lang w:val="en-IN"/>
        </w:rPr>
        <w:t>(1), 23–44. https://doi.org/10.1080/2157930X.2012.667206</w:t>
      </w:r>
    </w:p>
    <w:p w:rsidR="008E745D" w:rsidRPr="008E745D" w:rsidRDefault="008E745D" w:rsidP="008E745D">
      <w:pPr>
        <w:numPr>
          <w:ilvl w:val="0"/>
          <w:numId w:val="13"/>
        </w:numPr>
        <w:shd w:val="clear" w:color="auto" w:fill="FFFFFF"/>
        <w:spacing w:before="100" w:beforeAutospacing="1" w:after="0" w:line="276" w:lineRule="auto"/>
        <w:jc w:val="both"/>
        <w:rPr>
          <w:rFonts w:ascii="Times New Roman" w:eastAsia="Times New Roman" w:hAnsi="Times New Roman" w:cs="Times New Roman"/>
          <w:color w:val="000000"/>
          <w:kern w:val="0"/>
          <w:sz w:val="24"/>
          <w:szCs w:val="24"/>
        </w:rPr>
      </w:pPr>
      <w:r w:rsidRPr="006306B3">
        <w:rPr>
          <w:rFonts w:ascii="Times New Roman" w:hAnsi="Times New Roman" w:cs="Times New Roman"/>
          <w:kern w:val="0"/>
          <w:sz w:val="24"/>
          <w:szCs w:val="24"/>
        </w:rPr>
        <w:t>Ministry of Foreign Affairs of Japan (2021). https://www.mofa.go.jp/policy/oda/white/2021/html/topics/topics04</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Ohlan, R. (2016). Renewable and nonrenewable energy consumption and economic growth in India. </w:t>
      </w:r>
      <w:r w:rsidRPr="00FF3D69">
        <w:rPr>
          <w:rFonts w:ascii="Times New Roman" w:hAnsi="Times New Roman" w:cs="Times New Roman"/>
          <w:i/>
          <w:iCs/>
          <w:sz w:val="24"/>
          <w:szCs w:val="24"/>
          <w:lang w:val="en-IN"/>
        </w:rPr>
        <w:t>Energy Sources, Part B: Economics, Planning, and Policy</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11</w:t>
      </w:r>
      <w:r w:rsidRPr="00FF3D69">
        <w:rPr>
          <w:rFonts w:ascii="Times New Roman" w:hAnsi="Times New Roman" w:cs="Times New Roman"/>
          <w:sz w:val="24"/>
          <w:szCs w:val="24"/>
          <w:lang w:val="en-IN"/>
        </w:rPr>
        <w:t>(11), 1050–1054. https://doi.org/10.1080/15567249.2016.1190801</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Rahman, M. R., Rahman, Md. M., &amp; Akter, R. (2023). Renewable energy development, unemployment and GDP growth: South Asian evidence. </w:t>
      </w:r>
      <w:r w:rsidRPr="00FF3D69">
        <w:rPr>
          <w:rFonts w:ascii="Times New Roman" w:hAnsi="Times New Roman" w:cs="Times New Roman"/>
          <w:i/>
          <w:iCs/>
          <w:sz w:val="24"/>
          <w:szCs w:val="24"/>
          <w:lang w:val="en-IN"/>
        </w:rPr>
        <w:t>Arab Gulf Journal of Scientific Research</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ahead-of-print</w:t>
      </w:r>
      <w:r w:rsidR="00DC3C26">
        <w:rPr>
          <w:rFonts w:ascii="Times New Roman" w:hAnsi="Times New Roman" w:cs="Times New Roman"/>
          <w:i/>
          <w:iCs/>
          <w:sz w:val="24"/>
          <w:szCs w:val="24"/>
          <w:lang w:val="en-IN"/>
        </w:rPr>
        <w:t xml:space="preserve"> </w:t>
      </w:r>
      <w:r w:rsidRPr="00FF3D69">
        <w:rPr>
          <w:rFonts w:ascii="Times New Roman" w:hAnsi="Times New Roman" w:cs="Times New Roman"/>
          <w:sz w:val="24"/>
          <w:szCs w:val="24"/>
          <w:lang w:val="en-IN"/>
        </w:rPr>
        <w:t>(ahead-of-print). https://doi.org/10.1108/AGJSR-04-2023-0152</w:t>
      </w:r>
    </w:p>
    <w:p w:rsidR="0089318B" w:rsidRPr="00FF3D69"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Rajamohan, P. G., Rahut, D. B., &amp; Jacob, J. T. (2008). </w:t>
      </w:r>
      <w:r w:rsidRPr="00FF3D69">
        <w:rPr>
          <w:rFonts w:ascii="Times New Roman" w:hAnsi="Times New Roman" w:cs="Times New Roman"/>
          <w:i/>
          <w:iCs/>
          <w:sz w:val="24"/>
          <w:szCs w:val="24"/>
          <w:lang w:val="en-IN"/>
        </w:rPr>
        <w:t>Changing Paradigm of Indo-Japan Relations: Opportunities and Challenges</w:t>
      </w:r>
      <w:r w:rsidRPr="00FF3D69">
        <w:rPr>
          <w:rFonts w:ascii="Times New Roman" w:hAnsi="Times New Roman" w:cs="Times New Roman"/>
          <w:sz w:val="24"/>
          <w:szCs w:val="24"/>
          <w:lang w:val="en-IN"/>
        </w:rPr>
        <w:t>.</w:t>
      </w:r>
    </w:p>
    <w:p w:rsidR="00D9698F" w:rsidRPr="00FF3D69" w:rsidRDefault="00D9698F" w:rsidP="008E745D">
      <w:pPr>
        <w:pStyle w:val="ListParagraph"/>
        <w:numPr>
          <w:ilvl w:val="0"/>
          <w:numId w:val="13"/>
        </w:numPr>
        <w:spacing w:after="0" w:line="276" w:lineRule="auto"/>
        <w:jc w:val="both"/>
        <w:rPr>
          <w:rFonts w:ascii="Times New Roman" w:hAnsi="Times New Roman" w:cs="Times New Roman"/>
          <w:sz w:val="24"/>
          <w:szCs w:val="24"/>
        </w:rPr>
      </w:pPr>
      <w:r w:rsidRPr="00FF3D69">
        <w:rPr>
          <w:rFonts w:ascii="Times New Roman" w:hAnsi="Times New Roman" w:cs="Times New Roman"/>
          <w:sz w:val="24"/>
          <w:szCs w:val="24"/>
        </w:rPr>
        <w:t>Rong G and Qamruzzaman M (2022)</w:t>
      </w:r>
      <w:r w:rsidR="004A2C11" w:rsidRPr="00FF3D69">
        <w:rPr>
          <w:rFonts w:ascii="Times New Roman" w:hAnsi="Times New Roman" w:cs="Times New Roman"/>
          <w:sz w:val="24"/>
          <w:szCs w:val="24"/>
        </w:rPr>
        <w:t xml:space="preserve">. </w:t>
      </w:r>
      <w:r w:rsidRPr="00FF3D69">
        <w:rPr>
          <w:rFonts w:ascii="Times New Roman" w:hAnsi="Times New Roman" w:cs="Times New Roman"/>
          <w:sz w:val="24"/>
          <w:szCs w:val="24"/>
        </w:rPr>
        <w:t xml:space="preserve">Symmetric and asymmetric nexus between economic policy uncertainty, oil price, and renewable energy consumption in the United States, China, India, Japan, and South Korea: Does technological innovation influence? </w:t>
      </w:r>
      <w:r w:rsidRPr="00FF3D69">
        <w:rPr>
          <w:rFonts w:ascii="Times New Roman" w:hAnsi="Times New Roman" w:cs="Times New Roman"/>
          <w:i/>
          <w:iCs/>
          <w:sz w:val="24"/>
          <w:szCs w:val="24"/>
        </w:rPr>
        <w:t>Front. Energy Res</w:t>
      </w:r>
      <w:r w:rsidRPr="00FF3D69">
        <w:rPr>
          <w:rFonts w:ascii="Times New Roman" w:hAnsi="Times New Roman" w:cs="Times New Roman"/>
          <w:sz w:val="24"/>
          <w:szCs w:val="24"/>
        </w:rPr>
        <w:t>. 10:973557. doi: 10.3389/fenrg.2022.97355</w:t>
      </w:r>
    </w:p>
    <w:p w:rsidR="00D9698F" w:rsidRPr="00FF3D69" w:rsidRDefault="00D9698F" w:rsidP="008E745D">
      <w:pPr>
        <w:pStyle w:val="ListParagraph"/>
        <w:numPr>
          <w:ilvl w:val="0"/>
          <w:numId w:val="13"/>
        </w:numPr>
        <w:spacing w:after="0" w:line="276" w:lineRule="auto"/>
        <w:jc w:val="both"/>
        <w:rPr>
          <w:rFonts w:ascii="Times New Roman" w:hAnsi="Times New Roman" w:cs="Times New Roman"/>
          <w:sz w:val="24"/>
          <w:szCs w:val="24"/>
        </w:rPr>
      </w:pPr>
      <w:r w:rsidRPr="00FF3D69">
        <w:rPr>
          <w:rFonts w:ascii="Times New Roman" w:hAnsi="Times New Roman" w:cs="Times New Roman"/>
          <w:sz w:val="24"/>
          <w:szCs w:val="24"/>
        </w:rPr>
        <w:lastRenderedPageBreak/>
        <w:t>Saragih, H. S., &amp; Tan, J. D. (2018). Co-innovation: a review and conceptual framework. International Journal of Business Innovation and Research, 17(3), 361-377.</w:t>
      </w:r>
    </w:p>
    <w:p w:rsidR="0089318B" w:rsidRDefault="0089318B" w:rsidP="008E745D">
      <w:pPr>
        <w:pStyle w:val="ListParagraph"/>
        <w:numPr>
          <w:ilvl w:val="0"/>
          <w:numId w:val="13"/>
        </w:numPr>
        <w:spacing w:after="0" w:line="276" w:lineRule="auto"/>
        <w:jc w:val="both"/>
        <w:rPr>
          <w:rFonts w:ascii="Times New Roman" w:hAnsi="Times New Roman" w:cs="Times New Roman"/>
          <w:sz w:val="24"/>
          <w:szCs w:val="24"/>
          <w:lang w:val="en-IN"/>
        </w:rPr>
      </w:pPr>
      <w:r w:rsidRPr="00FF3D69">
        <w:rPr>
          <w:rFonts w:ascii="Times New Roman" w:hAnsi="Times New Roman" w:cs="Times New Roman"/>
          <w:sz w:val="24"/>
          <w:szCs w:val="24"/>
          <w:lang w:val="en-IN"/>
        </w:rPr>
        <w:t xml:space="preserve">Sato, T. (2012). Economic Relations between India and Japan. </w:t>
      </w:r>
      <w:r w:rsidRPr="00FF3D69">
        <w:rPr>
          <w:rFonts w:ascii="Times New Roman" w:hAnsi="Times New Roman" w:cs="Times New Roman"/>
          <w:i/>
          <w:iCs/>
          <w:sz w:val="24"/>
          <w:szCs w:val="24"/>
          <w:lang w:val="en-IN"/>
        </w:rPr>
        <w:t>Eurasian Geography and Economics</w:t>
      </w:r>
      <w:r w:rsidRPr="00FF3D69">
        <w:rPr>
          <w:rFonts w:ascii="Times New Roman" w:hAnsi="Times New Roman" w:cs="Times New Roman"/>
          <w:sz w:val="24"/>
          <w:szCs w:val="24"/>
          <w:lang w:val="en-IN"/>
        </w:rPr>
        <w:t xml:space="preserve">, </w:t>
      </w:r>
      <w:r w:rsidRPr="00FF3D69">
        <w:rPr>
          <w:rFonts w:ascii="Times New Roman" w:hAnsi="Times New Roman" w:cs="Times New Roman"/>
          <w:i/>
          <w:iCs/>
          <w:sz w:val="24"/>
          <w:szCs w:val="24"/>
          <w:lang w:val="en-IN"/>
        </w:rPr>
        <w:t>53</w:t>
      </w:r>
      <w:r w:rsidRPr="00FF3D69">
        <w:rPr>
          <w:rFonts w:ascii="Times New Roman" w:hAnsi="Times New Roman" w:cs="Times New Roman"/>
          <w:sz w:val="24"/>
          <w:szCs w:val="24"/>
          <w:lang w:val="en-IN"/>
        </w:rPr>
        <w:t>(4), 457–478. https://doi.org/10.2747/1539-7216.53.4.457</w:t>
      </w:r>
    </w:p>
    <w:p w:rsidR="006C3027" w:rsidRDefault="006C3027" w:rsidP="008E745D">
      <w:pPr>
        <w:pStyle w:val="ListParagraph"/>
        <w:spacing w:after="0" w:line="276" w:lineRule="auto"/>
        <w:jc w:val="both"/>
        <w:rPr>
          <w:rFonts w:ascii="Times New Roman" w:hAnsi="Times New Roman" w:cs="Times New Roman"/>
          <w:sz w:val="24"/>
          <w:szCs w:val="24"/>
          <w:lang w:val="en-IN"/>
        </w:rPr>
      </w:pPr>
    </w:p>
    <w:p w:rsidR="00FF3D69" w:rsidRPr="00FF3D69" w:rsidRDefault="00FF3D69" w:rsidP="008E745D">
      <w:pPr>
        <w:pStyle w:val="ListParagraph"/>
        <w:spacing w:after="0" w:line="276" w:lineRule="auto"/>
        <w:jc w:val="both"/>
        <w:rPr>
          <w:rFonts w:ascii="Times New Roman" w:hAnsi="Times New Roman" w:cs="Times New Roman"/>
          <w:sz w:val="24"/>
          <w:szCs w:val="24"/>
          <w:lang w:val="en-IN"/>
        </w:rPr>
      </w:pPr>
    </w:p>
    <w:p w:rsidR="0089318B" w:rsidRDefault="00D14DED" w:rsidP="008E745D">
      <w:pPr>
        <w:spacing w:after="0" w:line="276" w:lineRule="auto"/>
        <w:jc w:val="both"/>
        <w:rPr>
          <w:rFonts w:ascii="Times New Roman" w:hAnsi="Times New Roman" w:cs="Times New Roman"/>
          <w:sz w:val="24"/>
          <w:szCs w:val="24"/>
        </w:rPr>
      </w:pPr>
      <w:r w:rsidRPr="00053FA5">
        <w:rPr>
          <w:rFonts w:ascii="Times New Roman" w:hAnsi="Times New Roman" w:cs="Times New Roman"/>
          <w:sz w:val="24"/>
          <w:szCs w:val="24"/>
        </w:rPr>
        <w:fldChar w:fldCharType="end"/>
      </w:r>
    </w:p>
    <w:p w:rsidR="004A2C11" w:rsidRPr="004A2C11" w:rsidRDefault="004A2C11" w:rsidP="00FF3D69">
      <w:pPr>
        <w:spacing w:line="240" w:lineRule="auto"/>
        <w:rPr>
          <w:rFonts w:ascii="Times New Roman" w:hAnsi="Times New Roman" w:cs="Times New Roman"/>
          <w:sz w:val="24"/>
          <w:szCs w:val="24"/>
        </w:rPr>
      </w:pPr>
    </w:p>
    <w:p w:rsidR="004A2C11" w:rsidRDefault="004A2C11" w:rsidP="00FF3D69">
      <w:pPr>
        <w:spacing w:line="240" w:lineRule="auto"/>
        <w:rPr>
          <w:rFonts w:ascii="Times New Roman" w:hAnsi="Times New Roman" w:cs="Times New Roman"/>
          <w:sz w:val="24"/>
          <w:szCs w:val="24"/>
        </w:rPr>
      </w:pPr>
    </w:p>
    <w:sectPr w:rsidR="004A2C11" w:rsidSect="00F02875">
      <w:headerReference w:type="even" r:id="rId19"/>
      <w:headerReference w:type="default" r:id="rId20"/>
      <w:footerReference w:type="even" r:id="rId21"/>
      <w:footerReference w:type="default" r:id="rId22"/>
      <w:headerReference w:type="first" r:id="rId23"/>
      <w:footerReference w:type="first" r:id="rId24"/>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D90" w:rsidRDefault="00097D90" w:rsidP="00C96414">
      <w:pPr>
        <w:spacing w:after="0" w:line="240" w:lineRule="auto"/>
      </w:pPr>
      <w:r>
        <w:separator/>
      </w:r>
    </w:p>
  </w:endnote>
  <w:endnote w:type="continuationSeparator" w:id="0">
    <w:p w:rsidR="00097D90" w:rsidRDefault="00097D90" w:rsidP="00C9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913" w:rsidRDefault="00CD6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913" w:rsidRDefault="00CD6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913" w:rsidRDefault="00CD6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D90" w:rsidRDefault="00097D90" w:rsidP="00C96414">
      <w:pPr>
        <w:spacing w:after="0" w:line="240" w:lineRule="auto"/>
      </w:pPr>
      <w:r>
        <w:separator/>
      </w:r>
    </w:p>
  </w:footnote>
  <w:footnote w:type="continuationSeparator" w:id="0">
    <w:p w:rsidR="00097D90" w:rsidRDefault="00097D90" w:rsidP="00C9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913" w:rsidRDefault="00097D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913" w:rsidRDefault="00097D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913" w:rsidRDefault="00097D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6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B16"/>
    <w:multiLevelType w:val="hybridMultilevel"/>
    <w:tmpl w:val="905ED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53BB7"/>
    <w:multiLevelType w:val="hybridMultilevel"/>
    <w:tmpl w:val="7F60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5500"/>
    <w:multiLevelType w:val="hybridMultilevel"/>
    <w:tmpl w:val="D0E0C4AE"/>
    <w:lvl w:ilvl="0" w:tplc="894EE1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E678A"/>
    <w:multiLevelType w:val="hybridMultilevel"/>
    <w:tmpl w:val="3C142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08E9"/>
    <w:multiLevelType w:val="hybridMultilevel"/>
    <w:tmpl w:val="24089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53222"/>
    <w:multiLevelType w:val="hybridMultilevel"/>
    <w:tmpl w:val="D4BCB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1237B"/>
    <w:multiLevelType w:val="hybridMultilevel"/>
    <w:tmpl w:val="53A8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3415A"/>
    <w:multiLevelType w:val="hybridMultilevel"/>
    <w:tmpl w:val="B076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624C2"/>
    <w:multiLevelType w:val="hybridMultilevel"/>
    <w:tmpl w:val="8D4E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71604"/>
    <w:multiLevelType w:val="hybridMultilevel"/>
    <w:tmpl w:val="60AC1978"/>
    <w:lvl w:ilvl="0" w:tplc="A7201E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D61E3"/>
    <w:multiLevelType w:val="hybridMultilevel"/>
    <w:tmpl w:val="237EE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B52A3"/>
    <w:multiLevelType w:val="multilevel"/>
    <w:tmpl w:val="17BAB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B03CAC"/>
    <w:multiLevelType w:val="hybridMultilevel"/>
    <w:tmpl w:val="A36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6"/>
  </w:num>
  <w:num w:numId="6">
    <w:abstractNumId w:val="1"/>
  </w:num>
  <w:num w:numId="7">
    <w:abstractNumId w:val="7"/>
  </w:num>
  <w:num w:numId="8">
    <w:abstractNumId w:val="10"/>
  </w:num>
  <w:num w:numId="9">
    <w:abstractNumId w:val="9"/>
  </w:num>
  <w:num w:numId="10">
    <w:abstractNumId w:val="2"/>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S3tLQwN7EwMTEytrBU0lEKTi0uzszPAykwrAUAJf/EtiwAAAA="/>
  </w:docVars>
  <w:rsids>
    <w:rsidRoot w:val="00931607"/>
    <w:rsid w:val="000132B9"/>
    <w:rsid w:val="00025BE9"/>
    <w:rsid w:val="00027B25"/>
    <w:rsid w:val="00053FA5"/>
    <w:rsid w:val="00056460"/>
    <w:rsid w:val="00077D46"/>
    <w:rsid w:val="00091C72"/>
    <w:rsid w:val="00097D90"/>
    <w:rsid w:val="000A71DA"/>
    <w:rsid w:val="000D1D08"/>
    <w:rsid w:val="000D4169"/>
    <w:rsid w:val="000E18DC"/>
    <w:rsid w:val="000E69C1"/>
    <w:rsid w:val="000E7AD2"/>
    <w:rsid w:val="000F665B"/>
    <w:rsid w:val="00105395"/>
    <w:rsid w:val="0012730F"/>
    <w:rsid w:val="0013514C"/>
    <w:rsid w:val="00137F63"/>
    <w:rsid w:val="00140067"/>
    <w:rsid w:val="00142A72"/>
    <w:rsid w:val="0015279B"/>
    <w:rsid w:val="00160E94"/>
    <w:rsid w:val="00167F8F"/>
    <w:rsid w:val="0017053F"/>
    <w:rsid w:val="00197DA8"/>
    <w:rsid w:val="001B7B36"/>
    <w:rsid w:val="001B7C16"/>
    <w:rsid w:val="001D4778"/>
    <w:rsid w:val="001D7252"/>
    <w:rsid w:val="00207718"/>
    <w:rsid w:val="002216EF"/>
    <w:rsid w:val="00246AA5"/>
    <w:rsid w:val="002744AE"/>
    <w:rsid w:val="00297DEC"/>
    <w:rsid w:val="002B5D45"/>
    <w:rsid w:val="002B73CE"/>
    <w:rsid w:val="002C5163"/>
    <w:rsid w:val="002D263A"/>
    <w:rsid w:val="002F5FEA"/>
    <w:rsid w:val="00312967"/>
    <w:rsid w:val="003230C7"/>
    <w:rsid w:val="00345453"/>
    <w:rsid w:val="00356C30"/>
    <w:rsid w:val="003570FB"/>
    <w:rsid w:val="003776F9"/>
    <w:rsid w:val="00386BEC"/>
    <w:rsid w:val="00397FD2"/>
    <w:rsid w:val="003A0B9C"/>
    <w:rsid w:val="003A4F5C"/>
    <w:rsid w:val="003C70F3"/>
    <w:rsid w:val="003D3431"/>
    <w:rsid w:val="003F4B1F"/>
    <w:rsid w:val="00402D32"/>
    <w:rsid w:val="00414467"/>
    <w:rsid w:val="00415423"/>
    <w:rsid w:val="004237FF"/>
    <w:rsid w:val="004536AE"/>
    <w:rsid w:val="00455A7C"/>
    <w:rsid w:val="00475722"/>
    <w:rsid w:val="004A2C11"/>
    <w:rsid w:val="004A5ECA"/>
    <w:rsid w:val="004B707F"/>
    <w:rsid w:val="004E61AE"/>
    <w:rsid w:val="0050764F"/>
    <w:rsid w:val="00513758"/>
    <w:rsid w:val="00546D20"/>
    <w:rsid w:val="00563415"/>
    <w:rsid w:val="005662B3"/>
    <w:rsid w:val="00587D33"/>
    <w:rsid w:val="00597CBD"/>
    <w:rsid w:val="005E426C"/>
    <w:rsid w:val="005F074F"/>
    <w:rsid w:val="005F3177"/>
    <w:rsid w:val="00620CA9"/>
    <w:rsid w:val="00684C14"/>
    <w:rsid w:val="00694AEB"/>
    <w:rsid w:val="006C3027"/>
    <w:rsid w:val="006C5AF0"/>
    <w:rsid w:val="006D03C3"/>
    <w:rsid w:val="006E4362"/>
    <w:rsid w:val="007034B7"/>
    <w:rsid w:val="007160C0"/>
    <w:rsid w:val="00726118"/>
    <w:rsid w:val="00741399"/>
    <w:rsid w:val="0076741B"/>
    <w:rsid w:val="007735C3"/>
    <w:rsid w:val="00783DF0"/>
    <w:rsid w:val="007C37CE"/>
    <w:rsid w:val="007C3CBB"/>
    <w:rsid w:val="007D2595"/>
    <w:rsid w:val="0082067D"/>
    <w:rsid w:val="00832780"/>
    <w:rsid w:val="00873C2E"/>
    <w:rsid w:val="0089318B"/>
    <w:rsid w:val="008C5AB6"/>
    <w:rsid w:val="008E745D"/>
    <w:rsid w:val="008F4B55"/>
    <w:rsid w:val="009133CF"/>
    <w:rsid w:val="00931607"/>
    <w:rsid w:val="009D4936"/>
    <w:rsid w:val="009E0A90"/>
    <w:rsid w:val="009E523D"/>
    <w:rsid w:val="009F097D"/>
    <w:rsid w:val="00A01EF5"/>
    <w:rsid w:val="00A37B69"/>
    <w:rsid w:val="00A520CB"/>
    <w:rsid w:val="00A5286C"/>
    <w:rsid w:val="00A565C0"/>
    <w:rsid w:val="00A77BD1"/>
    <w:rsid w:val="00AB6C39"/>
    <w:rsid w:val="00AE03AA"/>
    <w:rsid w:val="00B272E2"/>
    <w:rsid w:val="00B42D9C"/>
    <w:rsid w:val="00B62113"/>
    <w:rsid w:val="00B8248A"/>
    <w:rsid w:val="00B85C99"/>
    <w:rsid w:val="00B95628"/>
    <w:rsid w:val="00BB5411"/>
    <w:rsid w:val="00C31F13"/>
    <w:rsid w:val="00C42F61"/>
    <w:rsid w:val="00C77CBE"/>
    <w:rsid w:val="00C80BB5"/>
    <w:rsid w:val="00C96414"/>
    <w:rsid w:val="00CD2AC2"/>
    <w:rsid w:val="00CD6913"/>
    <w:rsid w:val="00CE414C"/>
    <w:rsid w:val="00CF1537"/>
    <w:rsid w:val="00CF3F99"/>
    <w:rsid w:val="00CF6DA4"/>
    <w:rsid w:val="00D14DED"/>
    <w:rsid w:val="00D22C1D"/>
    <w:rsid w:val="00D23087"/>
    <w:rsid w:val="00D257ED"/>
    <w:rsid w:val="00D34EEC"/>
    <w:rsid w:val="00D53E9D"/>
    <w:rsid w:val="00D715A5"/>
    <w:rsid w:val="00D9698F"/>
    <w:rsid w:val="00D97A62"/>
    <w:rsid w:val="00DB4BC6"/>
    <w:rsid w:val="00DC3C26"/>
    <w:rsid w:val="00DF00D6"/>
    <w:rsid w:val="00DF3F09"/>
    <w:rsid w:val="00E028AB"/>
    <w:rsid w:val="00E14A46"/>
    <w:rsid w:val="00E20298"/>
    <w:rsid w:val="00E4475C"/>
    <w:rsid w:val="00E7081D"/>
    <w:rsid w:val="00E877C4"/>
    <w:rsid w:val="00EF2CAD"/>
    <w:rsid w:val="00EF7407"/>
    <w:rsid w:val="00F02875"/>
    <w:rsid w:val="00F036BF"/>
    <w:rsid w:val="00F20860"/>
    <w:rsid w:val="00F220EA"/>
    <w:rsid w:val="00F41CE7"/>
    <w:rsid w:val="00F44824"/>
    <w:rsid w:val="00F520DE"/>
    <w:rsid w:val="00F66C16"/>
    <w:rsid w:val="00F972D8"/>
    <w:rsid w:val="00FA0D8B"/>
    <w:rsid w:val="00FA2688"/>
    <w:rsid w:val="00FB1726"/>
    <w:rsid w:val="00FC1393"/>
    <w:rsid w:val="00FC29D0"/>
    <w:rsid w:val="00FD798C"/>
    <w:rsid w:val="00FE1C98"/>
    <w:rsid w:val="00FE5D76"/>
    <w:rsid w:val="00FE662D"/>
    <w:rsid w:val="00FF3D69"/>
    <w:rsid w:val="00FF40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F06977"/>
  <w15:docId w15:val="{3F675989-9D4E-49C4-BC8D-51E0E372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875"/>
  </w:style>
  <w:style w:type="paragraph" w:styleId="Heading2">
    <w:name w:val="heading 2"/>
    <w:basedOn w:val="Normal"/>
    <w:link w:val="Heading2Char"/>
    <w:uiPriority w:val="9"/>
    <w:qFormat/>
    <w:rsid w:val="00513758"/>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67"/>
    <w:pPr>
      <w:ind w:left="720"/>
      <w:contextualSpacing/>
    </w:pPr>
  </w:style>
  <w:style w:type="paragraph" w:styleId="NoSpacing">
    <w:name w:val="No Spacing"/>
    <w:uiPriority w:val="1"/>
    <w:qFormat/>
    <w:rsid w:val="00563415"/>
    <w:pPr>
      <w:spacing w:after="0" w:line="240" w:lineRule="auto"/>
    </w:pPr>
  </w:style>
  <w:style w:type="paragraph" w:styleId="NormalWeb">
    <w:name w:val="Normal (Web)"/>
    <w:basedOn w:val="Normal"/>
    <w:uiPriority w:val="99"/>
    <w:semiHidden/>
    <w:unhideWhenUsed/>
    <w:rsid w:val="00597CB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053FA5"/>
    <w:rPr>
      <w:color w:val="0563C1" w:themeColor="hyperlink"/>
      <w:u w:val="single"/>
    </w:rPr>
  </w:style>
  <w:style w:type="character" w:customStyle="1" w:styleId="UnresolvedMention1">
    <w:name w:val="Unresolved Mention1"/>
    <w:basedOn w:val="DefaultParagraphFont"/>
    <w:uiPriority w:val="99"/>
    <w:semiHidden/>
    <w:unhideWhenUsed/>
    <w:rsid w:val="00053FA5"/>
    <w:rPr>
      <w:color w:val="605E5C"/>
      <w:shd w:val="clear" w:color="auto" w:fill="E1DFDD"/>
    </w:rPr>
  </w:style>
  <w:style w:type="paragraph" w:styleId="BalloonText">
    <w:name w:val="Balloon Text"/>
    <w:basedOn w:val="Normal"/>
    <w:link w:val="BalloonTextChar"/>
    <w:uiPriority w:val="99"/>
    <w:semiHidden/>
    <w:unhideWhenUsed/>
    <w:rsid w:val="00A77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BD1"/>
    <w:rPr>
      <w:rFonts w:ascii="Tahoma" w:hAnsi="Tahoma" w:cs="Tahoma"/>
      <w:sz w:val="16"/>
      <w:szCs w:val="16"/>
    </w:rPr>
  </w:style>
  <w:style w:type="paragraph" w:styleId="Header">
    <w:name w:val="header"/>
    <w:basedOn w:val="Normal"/>
    <w:link w:val="HeaderChar"/>
    <w:uiPriority w:val="99"/>
    <w:unhideWhenUsed/>
    <w:rsid w:val="00C96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14"/>
  </w:style>
  <w:style w:type="paragraph" w:styleId="Footer">
    <w:name w:val="footer"/>
    <w:basedOn w:val="Normal"/>
    <w:link w:val="FooterChar"/>
    <w:uiPriority w:val="99"/>
    <w:unhideWhenUsed/>
    <w:rsid w:val="00C9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14"/>
  </w:style>
  <w:style w:type="paragraph" w:styleId="FootnoteText">
    <w:name w:val="footnote text"/>
    <w:basedOn w:val="Normal"/>
    <w:link w:val="FootnoteTextChar"/>
    <w:uiPriority w:val="99"/>
    <w:semiHidden/>
    <w:unhideWhenUsed/>
    <w:rsid w:val="00AB6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C39"/>
    <w:rPr>
      <w:sz w:val="20"/>
      <w:szCs w:val="20"/>
    </w:rPr>
  </w:style>
  <w:style w:type="character" w:styleId="FootnoteReference">
    <w:name w:val="footnote reference"/>
    <w:basedOn w:val="DefaultParagraphFont"/>
    <w:uiPriority w:val="99"/>
    <w:semiHidden/>
    <w:unhideWhenUsed/>
    <w:rsid w:val="00AB6C39"/>
    <w:rPr>
      <w:vertAlign w:val="superscript"/>
    </w:rPr>
  </w:style>
  <w:style w:type="character" w:customStyle="1" w:styleId="Heading2Char">
    <w:name w:val="Heading 2 Char"/>
    <w:basedOn w:val="DefaultParagraphFont"/>
    <w:link w:val="Heading2"/>
    <w:uiPriority w:val="9"/>
    <w:rsid w:val="00513758"/>
    <w:rPr>
      <w:rFonts w:ascii="Times New Roman" w:eastAsia="Times New Roman" w:hAnsi="Times New Roman" w:cs="Times New Roman"/>
      <w:b/>
      <w:bCs/>
      <w:kern w:val="0"/>
      <w:sz w:val="36"/>
      <w:szCs w:val="36"/>
    </w:rPr>
  </w:style>
  <w:style w:type="character" w:styleId="Strong">
    <w:name w:val="Strong"/>
    <w:basedOn w:val="DefaultParagraphFont"/>
    <w:uiPriority w:val="22"/>
    <w:qFormat/>
    <w:rsid w:val="00513758"/>
    <w:rPr>
      <w:b/>
      <w:bCs/>
    </w:rPr>
  </w:style>
  <w:style w:type="character" w:customStyle="1" w:styleId="UnresolvedMention2">
    <w:name w:val="Unresolved Mention2"/>
    <w:basedOn w:val="DefaultParagraphFont"/>
    <w:uiPriority w:val="99"/>
    <w:semiHidden/>
    <w:unhideWhenUsed/>
    <w:rsid w:val="009133CF"/>
    <w:rPr>
      <w:color w:val="605E5C"/>
      <w:shd w:val="clear" w:color="auto" w:fill="E1DFDD"/>
    </w:rPr>
  </w:style>
  <w:style w:type="character" w:styleId="CommentReference">
    <w:name w:val="annotation reference"/>
    <w:basedOn w:val="DefaultParagraphFont"/>
    <w:uiPriority w:val="99"/>
    <w:semiHidden/>
    <w:unhideWhenUsed/>
    <w:rsid w:val="00DF00D6"/>
    <w:rPr>
      <w:sz w:val="16"/>
      <w:szCs w:val="16"/>
    </w:rPr>
  </w:style>
  <w:style w:type="paragraph" w:styleId="CommentText">
    <w:name w:val="annotation text"/>
    <w:basedOn w:val="Normal"/>
    <w:link w:val="CommentTextChar"/>
    <w:uiPriority w:val="99"/>
    <w:semiHidden/>
    <w:unhideWhenUsed/>
    <w:rsid w:val="00DF00D6"/>
    <w:pPr>
      <w:spacing w:line="240" w:lineRule="auto"/>
    </w:pPr>
    <w:rPr>
      <w:sz w:val="20"/>
      <w:szCs w:val="20"/>
    </w:rPr>
  </w:style>
  <w:style w:type="character" w:customStyle="1" w:styleId="CommentTextChar">
    <w:name w:val="Comment Text Char"/>
    <w:basedOn w:val="DefaultParagraphFont"/>
    <w:link w:val="CommentText"/>
    <w:uiPriority w:val="99"/>
    <w:semiHidden/>
    <w:rsid w:val="00DF00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769332">
      <w:bodyDiv w:val="1"/>
      <w:marLeft w:val="0"/>
      <w:marRight w:val="0"/>
      <w:marTop w:val="0"/>
      <w:marBottom w:val="0"/>
      <w:divBdr>
        <w:top w:val="none" w:sz="0" w:space="0" w:color="auto"/>
        <w:left w:val="none" w:sz="0" w:space="0" w:color="auto"/>
        <w:bottom w:val="none" w:sz="0" w:space="0" w:color="auto"/>
        <w:right w:val="none" w:sz="0" w:space="0" w:color="auto"/>
      </w:divBdr>
    </w:div>
    <w:div w:id="636493849">
      <w:bodyDiv w:val="1"/>
      <w:marLeft w:val="0"/>
      <w:marRight w:val="0"/>
      <w:marTop w:val="0"/>
      <w:marBottom w:val="0"/>
      <w:divBdr>
        <w:top w:val="none" w:sz="0" w:space="0" w:color="auto"/>
        <w:left w:val="none" w:sz="0" w:space="0" w:color="auto"/>
        <w:bottom w:val="none" w:sz="0" w:space="0" w:color="auto"/>
        <w:right w:val="none" w:sz="0" w:space="0" w:color="auto"/>
      </w:divBdr>
      <w:divsChild>
        <w:div w:id="99760913">
          <w:marLeft w:val="0"/>
          <w:marRight w:val="0"/>
          <w:marTop w:val="0"/>
          <w:marBottom w:val="0"/>
          <w:divBdr>
            <w:top w:val="none" w:sz="0" w:space="0" w:color="auto"/>
            <w:left w:val="none" w:sz="0" w:space="0" w:color="auto"/>
            <w:bottom w:val="none" w:sz="0" w:space="0" w:color="auto"/>
            <w:right w:val="none" w:sz="0" w:space="0" w:color="auto"/>
          </w:divBdr>
          <w:divsChild>
            <w:div w:id="21111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9974">
      <w:bodyDiv w:val="1"/>
      <w:marLeft w:val="0"/>
      <w:marRight w:val="0"/>
      <w:marTop w:val="0"/>
      <w:marBottom w:val="0"/>
      <w:divBdr>
        <w:top w:val="none" w:sz="0" w:space="0" w:color="auto"/>
        <w:left w:val="none" w:sz="0" w:space="0" w:color="auto"/>
        <w:bottom w:val="none" w:sz="0" w:space="0" w:color="auto"/>
        <w:right w:val="none" w:sz="0" w:space="0" w:color="auto"/>
      </w:divBdr>
    </w:div>
    <w:div w:id="1121388230">
      <w:bodyDiv w:val="1"/>
      <w:marLeft w:val="0"/>
      <w:marRight w:val="0"/>
      <w:marTop w:val="0"/>
      <w:marBottom w:val="0"/>
      <w:divBdr>
        <w:top w:val="none" w:sz="0" w:space="0" w:color="auto"/>
        <w:left w:val="none" w:sz="0" w:space="0" w:color="auto"/>
        <w:bottom w:val="none" w:sz="0" w:space="0" w:color="auto"/>
        <w:right w:val="none" w:sz="0" w:space="0" w:color="auto"/>
      </w:divBdr>
    </w:div>
    <w:div w:id="1176457300">
      <w:bodyDiv w:val="1"/>
      <w:marLeft w:val="0"/>
      <w:marRight w:val="0"/>
      <w:marTop w:val="0"/>
      <w:marBottom w:val="0"/>
      <w:divBdr>
        <w:top w:val="none" w:sz="0" w:space="0" w:color="auto"/>
        <w:left w:val="none" w:sz="0" w:space="0" w:color="auto"/>
        <w:bottom w:val="none" w:sz="0" w:space="0" w:color="auto"/>
        <w:right w:val="none" w:sz="0" w:space="0" w:color="auto"/>
      </w:divBdr>
    </w:div>
    <w:div w:id="16297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s://www.jstor.org/stable/resrep256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pib.gov.in/www.pib.gov.in/Pressreleaseshare.aspx?PRID=18073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hana\Downloads\P_Data_Extract_From_World_Development_Indicato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zam%20Sir\Japan%20Conf\P_Data_Extract_From_World_Development_Indicato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REC</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 of TEC</a:t>
            </a:r>
            <a:r>
              <a:rPr lang="en-US" b="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t>
            </a:r>
            <a:endParaRPr lang="en-US"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rich>
      </c:tx>
      <c:layout>
        <c:manualLayout>
          <c:xMode val="edge"/>
          <c:yMode val="edge"/>
          <c:x val="0.35756233595800724"/>
          <c:y val="2.7777777777778099E-2"/>
        </c:manualLayout>
      </c:layout>
      <c:overlay val="0"/>
      <c:spPr>
        <a:noFill/>
        <a:ln>
          <a:noFill/>
        </a:ln>
        <a:effectLst/>
      </c:spPr>
    </c:title>
    <c:autoTitleDeleted val="0"/>
    <c:plotArea>
      <c:layout/>
      <c:scatterChart>
        <c:scatterStyle val="lineMarker"/>
        <c:varyColors val="0"/>
        <c:ser>
          <c:idx val="0"/>
          <c:order val="0"/>
          <c:tx>
            <c:strRef>
              <c:f>Sheet1!$B$1</c:f>
              <c:strCache>
                <c:ptCount val="1"/>
                <c:pt idx="0">
                  <c:v>RECI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Sheet1!$B$2:$B$23</c:f>
              <c:numCache>
                <c:formatCode>General</c:formatCode>
                <c:ptCount val="22"/>
                <c:pt idx="0">
                  <c:v>46.9</c:v>
                </c:pt>
                <c:pt idx="1">
                  <c:v>47.1</c:v>
                </c:pt>
                <c:pt idx="2">
                  <c:v>45.8</c:v>
                </c:pt>
                <c:pt idx="3">
                  <c:v>45.6</c:v>
                </c:pt>
                <c:pt idx="4">
                  <c:v>44.9</c:v>
                </c:pt>
                <c:pt idx="5">
                  <c:v>44.2</c:v>
                </c:pt>
                <c:pt idx="6">
                  <c:v>43.2</c:v>
                </c:pt>
                <c:pt idx="7">
                  <c:v>41.5</c:v>
                </c:pt>
                <c:pt idx="8">
                  <c:v>39.4</c:v>
                </c:pt>
                <c:pt idx="9">
                  <c:v>37.4</c:v>
                </c:pt>
                <c:pt idx="10">
                  <c:v>36.200000000000003</c:v>
                </c:pt>
                <c:pt idx="11">
                  <c:v>35</c:v>
                </c:pt>
                <c:pt idx="12">
                  <c:v>34.800000000000004</c:v>
                </c:pt>
                <c:pt idx="13">
                  <c:v>34.9</c:v>
                </c:pt>
                <c:pt idx="14">
                  <c:v>33.9</c:v>
                </c:pt>
                <c:pt idx="15">
                  <c:v>33.4</c:v>
                </c:pt>
                <c:pt idx="16">
                  <c:v>33</c:v>
                </c:pt>
                <c:pt idx="17">
                  <c:v>32.5</c:v>
                </c:pt>
                <c:pt idx="18">
                  <c:v>32.9</c:v>
                </c:pt>
                <c:pt idx="19">
                  <c:v>33.5</c:v>
                </c:pt>
                <c:pt idx="20">
                  <c:v>36.1</c:v>
                </c:pt>
                <c:pt idx="21">
                  <c:v>34.9</c:v>
                </c:pt>
              </c:numCache>
            </c:numRef>
          </c:yVal>
          <c:smooth val="0"/>
          <c:extLst>
            <c:ext xmlns:c16="http://schemas.microsoft.com/office/drawing/2014/chart" uri="{C3380CC4-5D6E-409C-BE32-E72D297353CC}">
              <c16:uniqueId val="{00000000-F5B5-4253-A5D0-E95A990396E1}"/>
            </c:ext>
          </c:extLst>
        </c:ser>
        <c:ser>
          <c:idx val="1"/>
          <c:order val="1"/>
          <c:tx>
            <c:strRef>
              <c:f>Sheet1!$C$1</c:f>
              <c:strCache>
                <c:ptCount val="1"/>
                <c:pt idx="0">
                  <c:v>RECJ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Sheet1!$C$2:$C$23</c:f>
              <c:numCache>
                <c:formatCode>General</c:formatCode>
                <c:ptCount val="22"/>
                <c:pt idx="0">
                  <c:v>3.7</c:v>
                </c:pt>
                <c:pt idx="1">
                  <c:v>3.5</c:v>
                </c:pt>
                <c:pt idx="2">
                  <c:v>3.7</c:v>
                </c:pt>
                <c:pt idx="3">
                  <c:v>4.2</c:v>
                </c:pt>
                <c:pt idx="4">
                  <c:v>4.3</c:v>
                </c:pt>
                <c:pt idx="5">
                  <c:v>4</c:v>
                </c:pt>
                <c:pt idx="6">
                  <c:v>4.4000000000000004</c:v>
                </c:pt>
                <c:pt idx="7">
                  <c:v>4.3</c:v>
                </c:pt>
                <c:pt idx="8">
                  <c:v>4.4000000000000004</c:v>
                </c:pt>
                <c:pt idx="9">
                  <c:v>4.5</c:v>
                </c:pt>
                <c:pt idx="10">
                  <c:v>4.7</c:v>
                </c:pt>
                <c:pt idx="11">
                  <c:v>4.8</c:v>
                </c:pt>
                <c:pt idx="12">
                  <c:v>4.7</c:v>
                </c:pt>
                <c:pt idx="13">
                  <c:v>5</c:v>
                </c:pt>
                <c:pt idx="14">
                  <c:v>5.6</c:v>
                </c:pt>
                <c:pt idx="15">
                  <c:v>6.2</c:v>
                </c:pt>
                <c:pt idx="16">
                  <c:v>6.4</c:v>
                </c:pt>
                <c:pt idx="17">
                  <c:v>6.9</c:v>
                </c:pt>
                <c:pt idx="18">
                  <c:v>7.3</c:v>
                </c:pt>
                <c:pt idx="19">
                  <c:v>7.8</c:v>
                </c:pt>
                <c:pt idx="20">
                  <c:v>8.5</c:v>
                </c:pt>
                <c:pt idx="21">
                  <c:v>8.8000000000000007</c:v>
                </c:pt>
              </c:numCache>
            </c:numRef>
          </c:yVal>
          <c:smooth val="0"/>
          <c:extLst>
            <c:ext xmlns:c16="http://schemas.microsoft.com/office/drawing/2014/chart" uri="{C3380CC4-5D6E-409C-BE32-E72D297353CC}">
              <c16:uniqueId val="{00000001-F5B5-4253-A5D0-E95A990396E1}"/>
            </c:ext>
          </c:extLst>
        </c:ser>
        <c:dLbls>
          <c:showLegendKey val="0"/>
          <c:showVal val="0"/>
          <c:showCatName val="0"/>
          <c:showSerName val="0"/>
          <c:showPercent val="0"/>
          <c:showBubbleSize val="0"/>
        </c:dLbls>
        <c:axId val="75392512"/>
        <c:axId val="75394432"/>
      </c:scatterChart>
      <c:valAx>
        <c:axId val="7539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94432"/>
        <c:crosses val="autoZero"/>
        <c:crossBetween val="midCat"/>
      </c:valAx>
      <c:valAx>
        <c:axId val="7539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925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Energy</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Intensity</a:t>
            </a:r>
            <a:endPar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Sheet1!$G$1</c:f>
              <c:strCache>
                <c:ptCount val="1"/>
                <c:pt idx="0">
                  <c:v>EII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Sheet1!$F$2:$F$23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Sheet1!$G$2:$G$23</c:f>
              <c:numCache>
                <c:formatCode>General</c:formatCode>
                <c:ptCount val="22"/>
                <c:pt idx="0">
                  <c:v>7.01</c:v>
                </c:pt>
                <c:pt idx="1">
                  <c:v>6.78</c:v>
                </c:pt>
                <c:pt idx="2">
                  <c:v>6.71</c:v>
                </c:pt>
                <c:pt idx="3">
                  <c:v>6.37</c:v>
                </c:pt>
                <c:pt idx="4">
                  <c:v>6.24</c:v>
                </c:pt>
                <c:pt idx="5">
                  <c:v>5.94</c:v>
                </c:pt>
                <c:pt idx="6">
                  <c:v>5.74</c:v>
                </c:pt>
                <c:pt idx="7">
                  <c:v>5.54</c:v>
                </c:pt>
                <c:pt idx="8">
                  <c:v>5.63</c:v>
                </c:pt>
                <c:pt idx="9">
                  <c:v>5.67</c:v>
                </c:pt>
                <c:pt idx="10">
                  <c:v>5.41</c:v>
                </c:pt>
                <c:pt idx="11">
                  <c:v>5.28</c:v>
                </c:pt>
                <c:pt idx="12">
                  <c:v>5.28</c:v>
                </c:pt>
                <c:pt idx="13">
                  <c:v>5.1099999999999985</c:v>
                </c:pt>
                <c:pt idx="14">
                  <c:v>5.08</c:v>
                </c:pt>
                <c:pt idx="15">
                  <c:v>4.8199999999999985</c:v>
                </c:pt>
                <c:pt idx="16">
                  <c:v>4.54</c:v>
                </c:pt>
                <c:pt idx="17">
                  <c:v>4.46</c:v>
                </c:pt>
                <c:pt idx="18">
                  <c:v>4.41</c:v>
                </c:pt>
                <c:pt idx="19">
                  <c:v>4.25</c:v>
                </c:pt>
                <c:pt idx="20">
                  <c:v>4.25</c:v>
                </c:pt>
                <c:pt idx="21">
                  <c:v>4.21</c:v>
                </c:pt>
              </c:numCache>
            </c:numRef>
          </c:yVal>
          <c:smooth val="0"/>
          <c:extLst>
            <c:ext xmlns:c16="http://schemas.microsoft.com/office/drawing/2014/chart" uri="{C3380CC4-5D6E-409C-BE32-E72D297353CC}">
              <c16:uniqueId val="{00000000-1858-41ED-B8DD-30E5E8AD59B0}"/>
            </c:ext>
          </c:extLst>
        </c:ser>
        <c:ser>
          <c:idx val="1"/>
          <c:order val="1"/>
          <c:tx>
            <c:strRef>
              <c:f>Sheet1!$H$1</c:f>
              <c:strCache>
                <c:ptCount val="1"/>
                <c:pt idx="0">
                  <c:v>EIJ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Sheet1!$F$2:$F$23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Sheet1!$H$2:$H$23</c:f>
              <c:numCache>
                <c:formatCode>General</c:formatCode>
                <c:ptCount val="22"/>
                <c:pt idx="0">
                  <c:v>4.7</c:v>
                </c:pt>
                <c:pt idx="1">
                  <c:v>4.5999999999999996</c:v>
                </c:pt>
                <c:pt idx="2">
                  <c:v>4.6199999999999966</c:v>
                </c:pt>
                <c:pt idx="3">
                  <c:v>4.5199999999999996</c:v>
                </c:pt>
                <c:pt idx="4">
                  <c:v>4.5599999999999996</c:v>
                </c:pt>
                <c:pt idx="5">
                  <c:v>4.46</c:v>
                </c:pt>
                <c:pt idx="6">
                  <c:v>4.4000000000000004</c:v>
                </c:pt>
                <c:pt idx="7">
                  <c:v>4.3</c:v>
                </c:pt>
                <c:pt idx="8">
                  <c:v>4.1899999999999995</c:v>
                </c:pt>
                <c:pt idx="9">
                  <c:v>4.26</c:v>
                </c:pt>
                <c:pt idx="10">
                  <c:v>4.3</c:v>
                </c:pt>
                <c:pt idx="11">
                  <c:v>3.98</c:v>
                </c:pt>
                <c:pt idx="12">
                  <c:v>3.8299999999999987</c:v>
                </c:pt>
                <c:pt idx="13">
                  <c:v>3.7800000000000002</c:v>
                </c:pt>
                <c:pt idx="14">
                  <c:v>3.64</c:v>
                </c:pt>
                <c:pt idx="15">
                  <c:v>3.53</c:v>
                </c:pt>
                <c:pt idx="16">
                  <c:v>3.48</c:v>
                </c:pt>
                <c:pt idx="17">
                  <c:v>3.44</c:v>
                </c:pt>
                <c:pt idx="18">
                  <c:v>3.36</c:v>
                </c:pt>
                <c:pt idx="19">
                  <c:v>3.29</c:v>
                </c:pt>
                <c:pt idx="20">
                  <c:v>3.2</c:v>
                </c:pt>
                <c:pt idx="21">
                  <c:v>3.25</c:v>
                </c:pt>
              </c:numCache>
            </c:numRef>
          </c:yVal>
          <c:smooth val="0"/>
          <c:extLst>
            <c:ext xmlns:c16="http://schemas.microsoft.com/office/drawing/2014/chart" uri="{C3380CC4-5D6E-409C-BE32-E72D297353CC}">
              <c16:uniqueId val="{00000001-1858-41ED-B8DD-30E5E8AD59B0}"/>
            </c:ext>
          </c:extLst>
        </c:ser>
        <c:dLbls>
          <c:showLegendKey val="0"/>
          <c:showVal val="0"/>
          <c:showCatName val="0"/>
          <c:showSerName val="0"/>
          <c:showPercent val="0"/>
          <c:showBubbleSize val="0"/>
        </c:dLbls>
        <c:axId val="75900416"/>
        <c:axId val="75956224"/>
      </c:scatterChart>
      <c:valAx>
        <c:axId val="75900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56224"/>
        <c:crosses val="autoZero"/>
        <c:crossBetween val="midCat"/>
      </c:valAx>
      <c:valAx>
        <c:axId val="7595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004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CO2 emissions (metric tons per capita</a:t>
            </a:r>
            <a:r>
              <a:rPr lang="en-US"/>
              <a:t>) </a:t>
            </a:r>
          </a:p>
        </c:rich>
      </c:tx>
      <c:overlay val="0"/>
      <c:spPr>
        <a:noFill/>
        <a:ln>
          <a:noFill/>
        </a:ln>
        <a:effectLst/>
      </c:spPr>
    </c:title>
    <c:autoTitleDeleted val="0"/>
    <c:plotArea>
      <c:layout/>
      <c:scatterChart>
        <c:scatterStyle val="lineMarker"/>
        <c:varyColors val="0"/>
        <c:ser>
          <c:idx val="0"/>
          <c:order val="0"/>
          <c:tx>
            <c:strRef>
              <c:f>Sheet1!$B$1</c:f>
              <c:strCache>
                <c:ptCount val="1"/>
                <c:pt idx="0">
                  <c:v>CO2J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Sheet1!$B$2:$B$22</c:f>
              <c:numCache>
                <c:formatCode>General</c:formatCode>
                <c:ptCount val="21"/>
                <c:pt idx="0">
                  <c:v>9.3377238002885452</c:v>
                </c:pt>
                <c:pt idx="1">
                  <c:v>9.2202022823616403</c:v>
                </c:pt>
                <c:pt idx="2">
                  <c:v>9.4688704931538989</c:v>
                </c:pt>
                <c:pt idx="3">
                  <c:v>9.5047644028249731</c:v>
                </c:pt>
                <c:pt idx="4">
                  <c:v>9.4495636383560004</c:v>
                </c:pt>
                <c:pt idx="5">
                  <c:v>9.5127640424815869</c:v>
                </c:pt>
                <c:pt idx="6">
                  <c:v>9.3312942887981603</c:v>
                </c:pt>
                <c:pt idx="7">
                  <c:v>9.5936031749751969</c:v>
                </c:pt>
                <c:pt idx="8">
                  <c:v>9.0489532495724081</c:v>
                </c:pt>
                <c:pt idx="9">
                  <c:v>8.6092309854975131</c:v>
                </c:pt>
                <c:pt idx="10">
                  <c:v>9.0360099945342398</c:v>
                </c:pt>
                <c:pt idx="11">
                  <c:v>9.4950098957234115</c:v>
                </c:pt>
                <c:pt idx="12">
                  <c:v>9.8278557381159448</c:v>
                </c:pt>
                <c:pt idx="13">
                  <c:v>9.944495272470478</c:v>
                </c:pt>
                <c:pt idx="14">
                  <c:v>9.5643059178478271</c:v>
                </c:pt>
                <c:pt idx="15">
                  <c:v>9.2680496456689827</c:v>
                </c:pt>
                <c:pt idx="16">
                  <c:v>9.1667144071264506</c:v>
                </c:pt>
                <c:pt idx="17">
                  <c:v>9.0636912075103204</c:v>
                </c:pt>
                <c:pt idx="18">
                  <c:v>8.7619788504151419</c:v>
                </c:pt>
                <c:pt idx="19">
                  <c:v>8.4784005748897258</c:v>
                </c:pt>
                <c:pt idx="20">
                  <c:v>8.0314958696668022</c:v>
                </c:pt>
              </c:numCache>
            </c:numRef>
          </c:yVal>
          <c:smooth val="0"/>
          <c:extLst>
            <c:ext xmlns:c16="http://schemas.microsoft.com/office/drawing/2014/chart" uri="{C3380CC4-5D6E-409C-BE32-E72D297353CC}">
              <c16:uniqueId val="{00000000-39C4-4AEA-A7A0-274FB1DA7EBC}"/>
            </c:ext>
          </c:extLst>
        </c:ser>
        <c:ser>
          <c:idx val="1"/>
          <c:order val="1"/>
          <c:tx>
            <c:strRef>
              <c:f>Sheet1!$C$1</c:f>
              <c:strCache>
                <c:ptCount val="1"/>
                <c:pt idx="0">
                  <c:v>CO2I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Sheet1!$A$2:$A$22</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xVal>
          <c:yVal>
            <c:numRef>
              <c:f>Sheet1!$C$2:$C$22</c:f>
              <c:numCache>
                <c:formatCode>General</c:formatCode>
                <c:ptCount val="21"/>
                <c:pt idx="0">
                  <c:v>0.88507794922617944</c:v>
                </c:pt>
                <c:pt idx="1">
                  <c:v>0.88374699800872392</c:v>
                </c:pt>
                <c:pt idx="2">
                  <c:v>0.89724264850505897</c:v>
                </c:pt>
                <c:pt idx="3">
                  <c:v>0.90545660173600095</c:v>
                </c:pt>
                <c:pt idx="4">
                  <c:v>0.95547015742899677</c:v>
                </c:pt>
                <c:pt idx="5">
                  <c:v>0.98426147261875163</c:v>
                </c:pt>
                <c:pt idx="6">
                  <c:v>1.0365339215516554</c:v>
                </c:pt>
                <c:pt idx="7">
                  <c:v>1.1235994817208999</c:v>
                </c:pt>
                <c:pt idx="8">
                  <c:v>1.1803612466615141</c:v>
                </c:pt>
                <c:pt idx="9">
                  <c:v>1.2788736028408876</c:v>
                </c:pt>
                <c:pt idx="10">
                  <c:v>1.338033835224218</c:v>
                </c:pt>
                <c:pt idx="11">
                  <c:v>1.396878497731993</c:v>
                </c:pt>
                <c:pt idx="12">
                  <c:v>1.4982041228244098</c:v>
                </c:pt>
                <c:pt idx="13">
                  <c:v>1.5276744002600138</c:v>
                </c:pt>
                <c:pt idx="14">
                  <c:v>1.6424652773733279</c:v>
                </c:pt>
                <c:pt idx="15">
                  <c:v>1.631323487172269</c:v>
                </c:pt>
                <c:pt idx="16">
                  <c:v>1.6399140187692798</c:v>
                </c:pt>
                <c:pt idx="17">
                  <c:v>1.7049267207823318</c:v>
                </c:pt>
                <c:pt idx="18">
                  <c:v>1.7955952985843151</c:v>
                </c:pt>
                <c:pt idx="19">
                  <c:v>1.7525343662503698</c:v>
                </c:pt>
                <c:pt idx="20">
                  <c:v>1.5760932319164813</c:v>
                </c:pt>
              </c:numCache>
            </c:numRef>
          </c:yVal>
          <c:smooth val="0"/>
          <c:extLst>
            <c:ext xmlns:c16="http://schemas.microsoft.com/office/drawing/2014/chart" uri="{C3380CC4-5D6E-409C-BE32-E72D297353CC}">
              <c16:uniqueId val="{00000001-39C4-4AEA-A7A0-274FB1DA7EBC}"/>
            </c:ext>
          </c:extLst>
        </c:ser>
        <c:dLbls>
          <c:showLegendKey val="0"/>
          <c:showVal val="0"/>
          <c:showCatName val="0"/>
          <c:showSerName val="0"/>
          <c:showPercent val="0"/>
          <c:showBubbleSize val="0"/>
        </c:dLbls>
        <c:axId val="76812288"/>
        <c:axId val="76814592"/>
      </c:scatterChart>
      <c:valAx>
        <c:axId val="76812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814592"/>
        <c:crosses val="autoZero"/>
        <c:crossBetween val="midCat"/>
      </c:valAx>
      <c:valAx>
        <c:axId val="7681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8122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GDP</a:t>
            </a:r>
            <a:r>
              <a:rPr lang="en-US" sz="1200" b="0" cap="none" spc="0" baseline="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per capita</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Sheet1!$M$1</c:f>
              <c:strCache>
                <c:ptCount val="1"/>
                <c:pt idx="0">
                  <c:v>GDPI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Sheet1!$L$2:$L$23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Sheet1!$M$2:$M$23</c:f>
              <c:numCache>
                <c:formatCode>General</c:formatCode>
                <c:ptCount val="22"/>
                <c:pt idx="0">
                  <c:v>3094.4981962227262</c:v>
                </c:pt>
                <c:pt idx="1">
                  <c:v>3185.6410507134392</c:v>
                </c:pt>
                <c:pt idx="2">
                  <c:v>3248.5863865686697</c:v>
                </c:pt>
                <c:pt idx="3">
                  <c:v>3444.0382545689299</c:v>
                </c:pt>
                <c:pt idx="4">
                  <c:v>3655.2475569554622</c:v>
                </c:pt>
                <c:pt idx="5">
                  <c:v>3882.0926235932552</c:v>
                </c:pt>
                <c:pt idx="6">
                  <c:v>4131.5576313969914</c:v>
                </c:pt>
                <c:pt idx="7">
                  <c:v>4383.3192923984443</c:v>
                </c:pt>
                <c:pt idx="8">
                  <c:v>4454.8016125805634</c:v>
                </c:pt>
                <c:pt idx="9">
                  <c:v>4738.6486251647284</c:v>
                </c:pt>
                <c:pt idx="10">
                  <c:v>5070.9783260277445</c:v>
                </c:pt>
                <c:pt idx="11">
                  <c:v>5264.5920468651584</c:v>
                </c:pt>
                <c:pt idx="12">
                  <c:v>5478.377779149766</c:v>
                </c:pt>
                <c:pt idx="13">
                  <c:v>5753.0971612387984</c:v>
                </c:pt>
                <c:pt idx="14">
                  <c:v>6103.2410231178783</c:v>
                </c:pt>
                <c:pt idx="15">
                  <c:v>6513.4439799414695</c:v>
                </c:pt>
                <c:pt idx="16">
                  <c:v>6968.1468333825023</c:v>
                </c:pt>
                <c:pt idx="17">
                  <c:v>7356.1564887811473</c:v>
                </c:pt>
                <c:pt idx="18">
                  <c:v>7746.2099688516873</c:v>
                </c:pt>
                <c:pt idx="19">
                  <c:v>7964.0235634101446</c:v>
                </c:pt>
                <c:pt idx="20">
                  <c:v>7432.546796583134</c:v>
                </c:pt>
                <c:pt idx="21">
                  <c:v>8087.9938026768987</c:v>
                </c:pt>
              </c:numCache>
            </c:numRef>
          </c:yVal>
          <c:smooth val="0"/>
          <c:extLst>
            <c:ext xmlns:c16="http://schemas.microsoft.com/office/drawing/2014/chart" uri="{C3380CC4-5D6E-409C-BE32-E72D297353CC}">
              <c16:uniqueId val="{00000000-0E49-4196-8999-80AF971733E0}"/>
            </c:ext>
          </c:extLst>
        </c:ser>
        <c:ser>
          <c:idx val="1"/>
          <c:order val="1"/>
          <c:tx>
            <c:strRef>
              <c:f>Sheet1!$N$1</c:f>
              <c:strCache>
                <c:ptCount val="1"/>
                <c:pt idx="0">
                  <c:v>GDPJ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Sheet1!$L$2:$L$23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xVal>
          <c:yVal>
            <c:numRef>
              <c:f>Sheet1!$N$2:$N$23</c:f>
              <c:numCache>
                <c:formatCode>General</c:formatCode>
                <c:ptCount val="22"/>
                <c:pt idx="0">
                  <c:v>39220.077979119058</c:v>
                </c:pt>
                <c:pt idx="1">
                  <c:v>39276.7555766593</c:v>
                </c:pt>
                <c:pt idx="2">
                  <c:v>39201.975770834986</c:v>
                </c:pt>
                <c:pt idx="3">
                  <c:v>39718.693862578191</c:v>
                </c:pt>
                <c:pt idx="4">
                  <c:v>40573.330264467499</c:v>
                </c:pt>
                <c:pt idx="5">
                  <c:v>41301.3536778333</c:v>
                </c:pt>
                <c:pt idx="6">
                  <c:v>41841.627912243734</c:v>
                </c:pt>
                <c:pt idx="7">
                  <c:v>42413.779673893434</c:v>
                </c:pt>
                <c:pt idx="8">
                  <c:v>41874.229762969357</c:v>
                </c:pt>
                <c:pt idx="9">
                  <c:v>39495.165356113976</c:v>
                </c:pt>
                <c:pt idx="10">
                  <c:v>41106.261244337184</c:v>
                </c:pt>
                <c:pt idx="11">
                  <c:v>41192.276837062738</c:v>
                </c:pt>
                <c:pt idx="12">
                  <c:v>41825.314251969612</c:v>
                </c:pt>
                <c:pt idx="13">
                  <c:v>42725.550214045055</c:v>
                </c:pt>
                <c:pt idx="14">
                  <c:v>42909.005661156778</c:v>
                </c:pt>
                <c:pt idx="15">
                  <c:v>43624.927452714976</c:v>
                </c:pt>
                <c:pt idx="16">
                  <c:v>43976.266400684974</c:v>
                </c:pt>
                <c:pt idx="17">
                  <c:v>44749.638211516896</c:v>
                </c:pt>
                <c:pt idx="18">
                  <c:v>45094.733312484161</c:v>
                </c:pt>
                <c:pt idx="19">
                  <c:v>44976.508076508799</c:v>
                </c:pt>
                <c:pt idx="20">
                  <c:v>43238.296619812936</c:v>
                </c:pt>
                <c:pt idx="21">
                  <c:v>44549.338341143361</c:v>
                </c:pt>
              </c:numCache>
            </c:numRef>
          </c:yVal>
          <c:smooth val="0"/>
          <c:extLst>
            <c:ext xmlns:c16="http://schemas.microsoft.com/office/drawing/2014/chart" uri="{C3380CC4-5D6E-409C-BE32-E72D297353CC}">
              <c16:uniqueId val="{00000001-0E49-4196-8999-80AF971733E0}"/>
            </c:ext>
          </c:extLst>
        </c:ser>
        <c:dLbls>
          <c:showLegendKey val="0"/>
          <c:showVal val="0"/>
          <c:showCatName val="0"/>
          <c:showSerName val="0"/>
          <c:showPercent val="0"/>
          <c:showBubbleSize val="0"/>
        </c:dLbls>
        <c:axId val="93263360"/>
        <c:axId val="93265280"/>
      </c:scatterChart>
      <c:valAx>
        <c:axId val="93263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65280"/>
        <c:crosses val="autoZero"/>
        <c:crossBetween val="midCat"/>
      </c:valAx>
      <c:valAx>
        <c:axId val="9326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633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B6E628-6193-4A6F-9C57-A8BCCDE3C8E5}" type="doc">
      <dgm:prSet loTypeId="urn:microsoft.com/office/officeart/2005/8/layout/cycle6" loCatId="cycle" qsTypeId="urn:microsoft.com/office/officeart/2005/8/quickstyle/simple1" qsCatId="simple" csTypeId="urn:microsoft.com/office/officeart/2005/8/colors/colorful1#1" csCatId="colorful" phldr="1"/>
      <dgm:spPr/>
      <dgm:t>
        <a:bodyPr/>
        <a:lstStyle/>
        <a:p>
          <a:endParaRPr lang="en-US"/>
        </a:p>
      </dgm:t>
    </dgm:pt>
    <dgm:pt modelId="{63C5CE72-D1A8-47B3-A537-A3B7C3B14121}">
      <dgm:prSet phldrT="[Text]"/>
      <dgm:spPr/>
      <dgm:t>
        <a:bodyPr/>
        <a:lstStyle/>
        <a:p>
          <a:r>
            <a:rPr lang="en-US">
              <a:solidFill>
                <a:sysClr val="windowText" lastClr="000000"/>
              </a:solidFill>
            </a:rPr>
            <a:t>Economical</a:t>
          </a:r>
        </a:p>
      </dgm:t>
    </dgm:pt>
    <dgm:pt modelId="{BAEA0024-7B3D-4489-8AD9-95CE0EFAA17C}" type="parTrans" cxnId="{744F8DE5-518F-4E05-B78E-A831D41E6428}">
      <dgm:prSet/>
      <dgm:spPr/>
      <dgm:t>
        <a:bodyPr/>
        <a:lstStyle/>
        <a:p>
          <a:endParaRPr lang="en-US">
            <a:solidFill>
              <a:sysClr val="windowText" lastClr="000000"/>
            </a:solidFill>
          </a:endParaRPr>
        </a:p>
      </dgm:t>
    </dgm:pt>
    <dgm:pt modelId="{4769D2EF-CDE9-4453-B10D-15B1E56FB962}" type="sibTrans" cxnId="{744F8DE5-518F-4E05-B78E-A831D41E6428}">
      <dgm:prSet/>
      <dgm:spPr/>
      <dgm:t>
        <a:bodyPr/>
        <a:lstStyle/>
        <a:p>
          <a:endParaRPr lang="en-US">
            <a:solidFill>
              <a:sysClr val="windowText" lastClr="000000"/>
            </a:solidFill>
          </a:endParaRPr>
        </a:p>
      </dgm:t>
    </dgm:pt>
    <dgm:pt modelId="{8E863673-FDC9-4EE8-86E9-9DED4962E127}">
      <dgm:prSet phldrT="[Text]"/>
      <dgm:spPr>
        <a:solidFill>
          <a:schemeClr val="accent6">
            <a:lumMod val="60000"/>
            <a:lumOff val="40000"/>
          </a:schemeClr>
        </a:solidFill>
      </dgm:spPr>
      <dgm:t>
        <a:bodyPr/>
        <a:lstStyle/>
        <a:p>
          <a:r>
            <a:rPr lang="en-US">
              <a:solidFill>
                <a:sysClr val="windowText" lastClr="000000"/>
              </a:solidFill>
            </a:rPr>
            <a:t>Cultural</a:t>
          </a:r>
        </a:p>
      </dgm:t>
    </dgm:pt>
    <dgm:pt modelId="{6897225C-910A-4DBC-8EE3-145797C04044}" type="parTrans" cxnId="{184D7069-D198-4212-BF7E-671F21300E39}">
      <dgm:prSet/>
      <dgm:spPr/>
      <dgm:t>
        <a:bodyPr/>
        <a:lstStyle/>
        <a:p>
          <a:endParaRPr lang="en-US">
            <a:solidFill>
              <a:sysClr val="windowText" lastClr="000000"/>
            </a:solidFill>
          </a:endParaRPr>
        </a:p>
      </dgm:t>
    </dgm:pt>
    <dgm:pt modelId="{7E856B04-827D-4360-9EAE-11A7204606F2}" type="sibTrans" cxnId="{184D7069-D198-4212-BF7E-671F21300E39}">
      <dgm:prSet/>
      <dgm:spPr/>
      <dgm:t>
        <a:bodyPr/>
        <a:lstStyle/>
        <a:p>
          <a:endParaRPr lang="en-US">
            <a:solidFill>
              <a:sysClr val="windowText" lastClr="000000"/>
            </a:solidFill>
          </a:endParaRPr>
        </a:p>
      </dgm:t>
    </dgm:pt>
    <dgm:pt modelId="{77D06AFD-2F8E-4DA4-8CE1-28B3311A6BAF}">
      <dgm:prSet phldrT="[Text]"/>
      <dgm:spPr/>
      <dgm:t>
        <a:bodyPr/>
        <a:lstStyle/>
        <a:p>
          <a:r>
            <a:rPr lang="en-US">
              <a:solidFill>
                <a:sysClr val="windowText" lastClr="000000"/>
              </a:solidFill>
            </a:rPr>
            <a:t>Geographical</a:t>
          </a:r>
        </a:p>
      </dgm:t>
    </dgm:pt>
    <dgm:pt modelId="{1AB0FF4D-9464-4EDD-93C3-F6E57FAD1612}" type="parTrans" cxnId="{59AA969F-D81F-4ABC-B57A-5FD8D3C7CCC2}">
      <dgm:prSet/>
      <dgm:spPr/>
      <dgm:t>
        <a:bodyPr/>
        <a:lstStyle/>
        <a:p>
          <a:endParaRPr lang="en-US">
            <a:solidFill>
              <a:sysClr val="windowText" lastClr="000000"/>
            </a:solidFill>
          </a:endParaRPr>
        </a:p>
      </dgm:t>
    </dgm:pt>
    <dgm:pt modelId="{2BCAA5E6-7B36-4C0F-A243-C0B5404443D4}" type="sibTrans" cxnId="{59AA969F-D81F-4ABC-B57A-5FD8D3C7CCC2}">
      <dgm:prSet/>
      <dgm:spPr/>
      <dgm:t>
        <a:bodyPr/>
        <a:lstStyle/>
        <a:p>
          <a:endParaRPr lang="en-US">
            <a:solidFill>
              <a:sysClr val="windowText" lastClr="000000"/>
            </a:solidFill>
          </a:endParaRPr>
        </a:p>
      </dgm:t>
    </dgm:pt>
    <dgm:pt modelId="{7B686478-8CF4-4569-B6BC-4F0E8C04DAC4}">
      <dgm:prSet phldrT="[Text]"/>
      <dgm:spPr/>
      <dgm:t>
        <a:bodyPr/>
        <a:lstStyle/>
        <a:p>
          <a:r>
            <a:rPr lang="en-US">
              <a:solidFill>
                <a:sysClr val="windowText" lastClr="000000"/>
              </a:solidFill>
            </a:rPr>
            <a:t>Maritime</a:t>
          </a:r>
        </a:p>
      </dgm:t>
    </dgm:pt>
    <dgm:pt modelId="{FA87090C-87F9-44ED-A7EC-BEFEC6ABA8AC}" type="parTrans" cxnId="{F82F2BDB-3D27-48C0-99AC-ACF758D6DAD6}">
      <dgm:prSet/>
      <dgm:spPr/>
      <dgm:t>
        <a:bodyPr/>
        <a:lstStyle/>
        <a:p>
          <a:endParaRPr lang="en-US">
            <a:solidFill>
              <a:sysClr val="windowText" lastClr="000000"/>
            </a:solidFill>
          </a:endParaRPr>
        </a:p>
      </dgm:t>
    </dgm:pt>
    <dgm:pt modelId="{8AB2B4BE-1F71-4ABA-B096-D9C270C9FB98}" type="sibTrans" cxnId="{F82F2BDB-3D27-48C0-99AC-ACF758D6DAD6}">
      <dgm:prSet/>
      <dgm:spPr/>
      <dgm:t>
        <a:bodyPr/>
        <a:lstStyle/>
        <a:p>
          <a:endParaRPr lang="en-US">
            <a:solidFill>
              <a:sysClr val="windowText" lastClr="000000"/>
            </a:solidFill>
          </a:endParaRPr>
        </a:p>
      </dgm:t>
    </dgm:pt>
    <dgm:pt modelId="{A94E8EBE-9A6C-4685-A18F-A895B25C7C4E}">
      <dgm:prSet phldrT="[Text]"/>
      <dgm:spPr/>
      <dgm:t>
        <a:bodyPr/>
        <a:lstStyle/>
        <a:p>
          <a:r>
            <a:rPr lang="en-US">
              <a:solidFill>
                <a:sysClr val="windowText" lastClr="000000"/>
              </a:solidFill>
            </a:rPr>
            <a:t>Defense</a:t>
          </a:r>
        </a:p>
      </dgm:t>
    </dgm:pt>
    <dgm:pt modelId="{BBDA7977-7B3D-4D78-8A30-D583A2356923}" type="parTrans" cxnId="{845BE7E9-3CF8-4E6C-85EA-D7AB99F6E43A}">
      <dgm:prSet/>
      <dgm:spPr/>
      <dgm:t>
        <a:bodyPr/>
        <a:lstStyle/>
        <a:p>
          <a:endParaRPr lang="en-US">
            <a:solidFill>
              <a:sysClr val="windowText" lastClr="000000"/>
            </a:solidFill>
          </a:endParaRPr>
        </a:p>
      </dgm:t>
    </dgm:pt>
    <dgm:pt modelId="{5B656B58-C28E-4E0E-B8AB-913B33FCBC11}" type="sibTrans" cxnId="{845BE7E9-3CF8-4E6C-85EA-D7AB99F6E43A}">
      <dgm:prSet/>
      <dgm:spPr/>
      <dgm:t>
        <a:bodyPr/>
        <a:lstStyle/>
        <a:p>
          <a:endParaRPr lang="en-US">
            <a:solidFill>
              <a:sysClr val="windowText" lastClr="000000"/>
            </a:solidFill>
          </a:endParaRPr>
        </a:p>
      </dgm:t>
    </dgm:pt>
    <dgm:pt modelId="{FC7BAA95-AA4F-4EBB-8310-1D98438C109C}">
      <dgm:prSet phldrT="[Text]"/>
      <dgm:spPr/>
      <dgm:t>
        <a:bodyPr/>
        <a:lstStyle/>
        <a:p>
          <a:r>
            <a:rPr lang="en-US">
              <a:solidFill>
                <a:sysClr val="windowText" lastClr="000000"/>
              </a:solidFill>
            </a:rPr>
            <a:t>Technological</a:t>
          </a:r>
        </a:p>
      </dgm:t>
    </dgm:pt>
    <dgm:pt modelId="{370F76DE-9D5D-472B-8EAA-CCEC73E46057}" type="parTrans" cxnId="{07ECA4B6-B011-442F-826E-44DE5DD77DD2}">
      <dgm:prSet/>
      <dgm:spPr/>
      <dgm:t>
        <a:bodyPr/>
        <a:lstStyle/>
        <a:p>
          <a:endParaRPr lang="en-US">
            <a:solidFill>
              <a:sysClr val="windowText" lastClr="000000"/>
            </a:solidFill>
          </a:endParaRPr>
        </a:p>
      </dgm:t>
    </dgm:pt>
    <dgm:pt modelId="{735CB79F-BA73-493B-B862-0EA9B3DFB55B}" type="sibTrans" cxnId="{07ECA4B6-B011-442F-826E-44DE5DD77DD2}">
      <dgm:prSet/>
      <dgm:spPr/>
      <dgm:t>
        <a:bodyPr/>
        <a:lstStyle/>
        <a:p>
          <a:endParaRPr lang="en-US">
            <a:solidFill>
              <a:sysClr val="windowText" lastClr="000000"/>
            </a:solidFill>
          </a:endParaRPr>
        </a:p>
      </dgm:t>
    </dgm:pt>
    <dgm:pt modelId="{9CC97F0B-FB2F-4B90-93F2-7AAA163F1283}">
      <dgm:prSet phldrT="[Text]"/>
      <dgm:spPr>
        <a:solidFill>
          <a:srgbClr val="E9A5DA"/>
        </a:solidFill>
      </dgm:spPr>
      <dgm:t>
        <a:bodyPr/>
        <a:lstStyle/>
        <a:p>
          <a:r>
            <a:rPr lang="en-US">
              <a:solidFill>
                <a:sysClr val="windowText" lastClr="000000"/>
              </a:solidFill>
            </a:rPr>
            <a:t>Political</a:t>
          </a:r>
        </a:p>
      </dgm:t>
    </dgm:pt>
    <dgm:pt modelId="{10391EDB-9149-4489-BA37-E27841607F4A}" type="parTrans" cxnId="{2968E1FA-3FCC-4420-A840-EFEF56EF223E}">
      <dgm:prSet/>
      <dgm:spPr/>
      <dgm:t>
        <a:bodyPr/>
        <a:lstStyle/>
        <a:p>
          <a:endParaRPr lang="en-US">
            <a:solidFill>
              <a:sysClr val="windowText" lastClr="000000"/>
            </a:solidFill>
          </a:endParaRPr>
        </a:p>
      </dgm:t>
    </dgm:pt>
    <dgm:pt modelId="{DB8EB9A2-BF3B-4345-9F23-90C1A7E819E0}" type="sibTrans" cxnId="{2968E1FA-3FCC-4420-A840-EFEF56EF223E}">
      <dgm:prSet/>
      <dgm:spPr/>
      <dgm:t>
        <a:bodyPr/>
        <a:lstStyle/>
        <a:p>
          <a:endParaRPr lang="en-US">
            <a:solidFill>
              <a:sysClr val="windowText" lastClr="000000"/>
            </a:solidFill>
          </a:endParaRPr>
        </a:p>
      </dgm:t>
    </dgm:pt>
    <dgm:pt modelId="{8EA46AAF-DC8B-4DF9-9CEE-B586A7FD072A}" type="pres">
      <dgm:prSet presAssocID="{57B6E628-6193-4A6F-9C57-A8BCCDE3C8E5}" presName="cycle" presStyleCnt="0">
        <dgm:presLayoutVars>
          <dgm:dir/>
          <dgm:resizeHandles val="exact"/>
        </dgm:presLayoutVars>
      </dgm:prSet>
      <dgm:spPr/>
    </dgm:pt>
    <dgm:pt modelId="{ACF067BC-21D1-4C94-9D68-6C601C01DFE2}" type="pres">
      <dgm:prSet presAssocID="{63C5CE72-D1A8-47B3-A537-A3B7C3B14121}" presName="node" presStyleLbl="node1" presStyleIdx="0" presStyleCnt="7">
        <dgm:presLayoutVars>
          <dgm:bulletEnabled val="1"/>
        </dgm:presLayoutVars>
      </dgm:prSet>
      <dgm:spPr/>
    </dgm:pt>
    <dgm:pt modelId="{0AC28203-5561-4E10-BBD6-33E987ACE2B1}" type="pres">
      <dgm:prSet presAssocID="{63C5CE72-D1A8-47B3-A537-A3B7C3B14121}" presName="spNode" presStyleCnt="0"/>
      <dgm:spPr/>
    </dgm:pt>
    <dgm:pt modelId="{C120DC18-2335-49E8-9353-24CE6F2AB60D}" type="pres">
      <dgm:prSet presAssocID="{4769D2EF-CDE9-4453-B10D-15B1E56FB962}" presName="sibTrans" presStyleLbl="sibTrans1D1" presStyleIdx="0" presStyleCnt="7"/>
      <dgm:spPr/>
    </dgm:pt>
    <dgm:pt modelId="{A5CEA6B2-E3AD-46FC-B311-D5AACD04E903}" type="pres">
      <dgm:prSet presAssocID="{8E863673-FDC9-4EE8-86E9-9DED4962E127}" presName="node" presStyleLbl="node1" presStyleIdx="1" presStyleCnt="7">
        <dgm:presLayoutVars>
          <dgm:bulletEnabled val="1"/>
        </dgm:presLayoutVars>
      </dgm:prSet>
      <dgm:spPr/>
    </dgm:pt>
    <dgm:pt modelId="{EBA3C745-C09D-410F-BBF4-6308547D72FB}" type="pres">
      <dgm:prSet presAssocID="{8E863673-FDC9-4EE8-86E9-9DED4962E127}" presName="spNode" presStyleCnt="0"/>
      <dgm:spPr/>
    </dgm:pt>
    <dgm:pt modelId="{81341FF2-5835-4FBB-8ED0-B4B36A7B78C0}" type="pres">
      <dgm:prSet presAssocID="{7E856B04-827D-4360-9EAE-11A7204606F2}" presName="sibTrans" presStyleLbl="sibTrans1D1" presStyleIdx="1" presStyleCnt="7"/>
      <dgm:spPr/>
    </dgm:pt>
    <dgm:pt modelId="{A331E665-7961-4B85-96A7-4C99C53A9745}" type="pres">
      <dgm:prSet presAssocID="{77D06AFD-2F8E-4DA4-8CE1-28B3311A6BAF}" presName="node" presStyleLbl="node1" presStyleIdx="2" presStyleCnt="7">
        <dgm:presLayoutVars>
          <dgm:bulletEnabled val="1"/>
        </dgm:presLayoutVars>
      </dgm:prSet>
      <dgm:spPr/>
    </dgm:pt>
    <dgm:pt modelId="{F2AE26F2-E67E-427C-B7E8-E53F8BF2AA60}" type="pres">
      <dgm:prSet presAssocID="{77D06AFD-2F8E-4DA4-8CE1-28B3311A6BAF}" presName="spNode" presStyleCnt="0"/>
      <dgm:spPr/>
    </dgm:pt>
    <dgm:pt modelId="{BA24EFD7-E73C-43BE-8829-381AFCB5DC27}" type="pres">
      <dgm:prSet presAssocID="{2BCAA5E6-7B36-4C0F-A243-C0B5404443D4}" presName="sibTrans" presStyleLbl="sibTrans1D1" presStyleIdx="2" presStyleCnt="7"/>
      <dgm:spPr/>
    </dgm:pt>
    <dgm:pt modelId="{B89EA6E1-9B95-4F63-876A-90AE645489FD}" type="pres">
      <dgm:prSet presAssocID="{7B686478-8CF4-4569-B6BC-4F0E8C04DAC4}" presName="node" presStyleLbl="node1" presStyleIdx="3" presStyleCnt="7">
        <dgm:presLayoutVars>
          <dgm:bulletEnabled val="1"/>
        </dgm:presLayoutVars>
      </dgm:prSet>
      <dgm:spPr/>
    </dgm:pt>
    <dgm:pt modelId="{6A4D0403-E2B1-49B2-B8B2-8972AC796A0B}" type="pres">
      <dgm:prSet presAssocID="{7B686478-8CF4-4569-B6BC-4F0E8C04DAC4}" presName="spNode" presStyleCnt="0"/>
      <dgm:spPr/>
    </dgm:pt>
    <dgm:pt modelId="{8DD4F4DF-8E75-4EC1-BF61-3C8C078DDB31}" type="pres">
      <dgm:prSet presAssocID="{8AB2B4BE-1F71-4ABA-B096-D9C270C9FB98}" presName="sibTrans" presStyleLbl="sibTrans1D1" presStyleIdx="3" presStyleCnt="7"/>
      <dgm:spPr/>
    </dgm:pt>
    <dgm:pt modelId="{ED1B4D83-C072-4C06-AA26-16B89A8079E8}" type="pres">
      <dgm:prSet presAssocID="{A94E8EBE-9A6C-4685-A18F-A895B25C7C4E}" presName="node" presStyleLbl="node1" presStyleIdx="4" presStyleCnt="7">
        <dgm:presLayoutVars>
          <dgm:bulletEnabled val="1"/>
        </dgm:presLayoutVars>
      </dgm:prSet>
      <dgm:spPr/>
    </dgm:pt>
    <dgm:pt modelId="{2E876D11-D280-4889-8760-2410E6434B77}" type="pres">
      <dgm:prSet presAssocID="{A94E8EBE-9A6C-4685-A18F-A895B25C7C4E}" presName="spNode" presStyleCnt="0"/>
      <dgm:spPr/>
    </dgm:pt>
    <dgm:pt modelId="{CA0A8B21-7DC2-4629-80F7-C0F5971A8E05}" type="pres">
      <dgm:prSet presAssocID="{5B656B58-C28E-4E0E-B8AB-913B33FCBC11}" presName="sibTrans" presStyleLbl="sibTrans1D1" presStyleIdx="4" presStyleCnt="7"/>
      <dgm:spPr/>
    </dgm:pt>
    <dgm:pt modelId="{48903DCE-EE33-40BF-B7F2-025B85B0552A}" type="pres">
      <dgm:prSet presAssocID="{FC7BAA95-AA4F-4EBB-8310-1D98438C109C}" presName="node" presStyleLbl="node1" presStyleIdx="5" presStyleCnt="7">
        <dgm:presLayoutVars>
          <dgm:bulletEnabled val="1"/>
        </dgm:presLayoutVars>
      </dgm:prSet>
      <dgm:spPr/>
    </dgm:pt>
    <dgm:pt modelId="{1B090EA3-B1AD-449A-B7C8-4F81875EFEB3}" type="pres">
      <dgm:prSet presAssocID="{FC7BAA95-AA4F-4EBB-8310-1D98438C109C}" presName="spNode" presStyleCnt="0"/>
      <dgm:spPr/>
    </dgm:pt>
    <dgm:pt modelId="{221DCEB5-AD01-4844-8A3F-8E516FE7A7ED}" type="pres">
      <dgm:prSet presAssocID="{735CB79F-BA73-493B-B862-0EA9B3DFB55B}" presName="sibTrans" presStyleLbl="sibTrans1D1" presStyleIdx="5" presStyleCnt="7"/>
      <dgm:spPr/>
    </dgm:pt>
    <dgm:pt modelId="{1E98A3EB-933C-4FC9-AB5C-99FB12110FF8}" type="pres">
      <dgm:prSet presAssocID="{9CC97F0B-FB2F-4B90-93F2-7AAA163F1283}" presName="node" presStyleLbl="node1" presStyleIdx="6" presStyleCnt="7">
        <dgm:presLayoutVars>
          <dgm:bulletEnabled val="1"/>
        </dgm:presLayoutVars>
      </dgm:prSet>
      <dgm:spPr/>
    </dgm:pt>
    <dgm:pt modelId="{6A16354A-0E7A-40EB-9DF7-59ED966FBD33}" type="pres">
      <dgm:prSet presAssocID="{9CC97F0B-FB2F-4B90-93F2-7AAA163F1283}" presName="spNode" presStyleCnt="0"/>
      <dgm:spPr/>
    </dgm:pt>
    <dgm:pt modelId="{27126CF0-1FAF-404B-8A70-D88B5BC8E7D2}" type="pres">
      <dgm:prSet presAssocID="{DB8EB9A2-BF3B-4345-9F23-90C1A7E819E0}" presName="sibTrans" presStyleLbl="sibTrans1D1" presStyleIdx="6" presStyleCnt="7"/>
      <dgm:spPr/>
    </dgm:pt>
  </dgm:ptLst>
  <dgm:cxnLst>
    <dgm:cxn modelId="{795AD304-5BB0-4C68-A484-800B2635ECA9}" type="presOf" srcId="{8AB2B4BE-1F71-4ABA-B096-D9C270C9FB98}" destId="{8DD4F4DF-8E75-4EC1-BF61-3C8C078DDB31}" srcOrd="0" destOrd="0" presId="urn:microsoft.com/office/officeart/2005/8/layout/cycle6"/>
    <dgm:cxn modelId="{F54F660C-A1DA-400C-A382-6B8BBE242503}" type="presOf" srcId="{77D06AFD-2F8E-4DA4-8CE1-28B3311A6BAF}" destId="{A331E665-7961-4B85-96A7-4C99C53A9745}" srcOrd="0" destOrd="0" presId="urn:microsoft.com/office/officeart/2005/8/layout/cycle6"/>
    <dgm:cxn modelId="{A1D31E1E-4687-48CA-A6A1-CFF689944E35}" type="presOf" srcId="{2BCAA5E6-7B36-4C0F-A243-C0B5404443D4}" destId="{BA24EFD7-E73C-43BE-8829-381AFCB5DC27}" srcOrd="0" destOrd="0" presId="urn:microsoft.com/office/officeart/2005/8/layout/cycle6"/>
    <dgm:cxn modelId="{FC23562B-D5D8-4EDF-BC56-6805E7CBB8E4}" type="presOf" srcId="{A94E8EBE-9A6C-4685-A18F-A895B25C7C4E}" destId="{ED1B4D83-C072-4C06-AA26-16B89A8079E8}" srcOrd="0" destOrd="0" presId="urn:microsoft.com/office/officeart/2005/8/layout/cycle6"/>
    <dgm:cxn modelId="{64AD8E3D-B7E1-435C-AFFF-25E731E36340}" type="presOf" srcId="{4769D2EF-CDE9-4453-B10D-15B1E56FB962}" destId="{C120DC18-2335-49E8-9353-24CE6F2AB60D}" srcOrd="0" destOrd="0" presId="urn:microsoft.com/office/officeart/2005/8/layout/cycle6"/>
    <dgm:cxn modelId="{C54D7967-3086-4A52-BDAD-E950AF990B77}" type="presOf" srcId="{7E856B04-827D-4360-9EAE-11A7204606F2}" destId="{81341FF2-5835-4FBB-8ED0-B4B36A7B78C0}" srcOrd="0" destOrd="0" presId="urn:microsoft.com/office/officeart/2005/8/layout/cycle6"/>
    <dgm:cxn modelId="{184D7069-D198-4212-BF7E-671F21300E39}" srcId="{57B6E628-6193-4A6F-9C57-A8BCCDE3C8E5}" destId="{8E863673-FDC9-4EE8-86E9-9DED4962E127}" srcOrd="1" destOrd="0" parTransId="{6897225C-910A-4DBC-8EE3-145797C04044}" sibTransId="{7E856B04-827D-4360-9EAE-11A7204606F2}"/>
    <dgm:cxn modelId="{22533C86-C6EE-43DC-91F2-1E688401A0EE}" type="presOf" srcId="{DB8EB9A2-BF3B-4345-9F23-90C1A7E819E0}" destId="{27126CF0-1FAF-404B-8A70-D88B5BC8E7D2}" srcOrd="0" destOrd="0" presId="urn:microsoft.com/office/officeart/2005/8/layout/cycle6"/>
    <dgm:cxn modelId="{F957CE93-2A3F-41EE-A37B-9614E0D7D32E}" type="presOf" srcId="{735CB79F-BA73-493B-B862-0EA9B3DFB55B}" destId="{221DCEB5-AD01-4844-8A3F-8E516FE7A7ED}" srcOrd="0" destOrd="0" presId="urn:microsoft.com/office/officeart/2005/8/layout/cycle6"/>
    <dgm:cxn modelId="{59AA969F-D81F-4ABC-B57A-5FD8D3C7CCC2}" srcId="{57B6E628-6193-4A6F-9C57-A8BCCDE3C8E5}" destId="{77D06AFD-2F8E-4DA4-8CE1-28B3311A6BAF}" srcOrd="2" destOrd="0" parTransId="{1AB0FF4D-9464-4EDD-93C3-F6E57FAD1612}" sibTransId="{2BCAA5E6-7B36-4C0F-A243-C0B5404443D4}"/>
    <dgm:cxn modelId="{7DE7E1A5-0739-49AE-BD51-45C4E7A01F3C}" type="presOf" srcId="{5B656B58-C28E-4E0E-B8AB-913B33FCBC11}" destId="{CA0A8B21-7DC2-4629-80F7-C0F5971A8E05}" srcOrd="0" destOrd="0" presId="urn:microsoft.com/office/officeart/2005/8/layout/cycle6"/>
    <dgm:cxn modelId="{07ECA4B6-B011-442F-826E-44DE5DD77DD2}" srcId="{57B6E628-6193-4A6F-9C57-A8BCCDE3C8E5}" destId="{FC7BAA95-AA4F-4EBB-8310-1D98438C109C}" srcOrd="5" destOrd="0" parTransId="{370F76DE-9D5D-472B-8EAA-CCEC73E46057}" sibTransId="{735CB79F-BA73-493B-B862-0EA9B3DFB55B}"/>
    <dgm:cxn modelId="{0D9709B9-8CCC-4E24-A14E-2B51DC9592EC}" type="presOf" srcId="{9CC97F0B-FB2F-4B90-93F2-7AAA163F1283}" destId="{1E98A3EB-933C-4FC9-AB5C-99FB12110FF8}" srcOrd="0" destOrd="0" presId="urn:microsoft.com/office/officeart/2005/8/layout/cycle6"/>
    <dgm:cxn modelId="{CB27C3BE-B722-4D51-BAF9-846F7A1B53B7}" type="presOf" srcId="{57B6E628-6193-4A6F-9C57-A8BCCDE3C8E5}" destId="{8EA46AAF-DC8B-4DF9-9CEE-B586A7FD072A}" srcOrd="0" destOrd="0" presId="urn:microsoft.com/office/officeart/2005/8/layout/cycle6"/>
    <dgm:cxn modelId="{78620EC1-218B-40C3-830A-D217815C4EC7}" type="presOf" srcId="{FC7BAA95-AA4F-4EBB-8310-1D98438C109C}" destId="{48903DCE-EE33-40BF-B7F2-025B85B0552A}" srcOrd="0" destOrd="0" presId="urn:microsoft.com/office/officeart/2005/8/layout/cycle6"/>
    <dgm:cxn modelId="{D4D215D5-06D9-4BAC-87ED-C6802FCB4D66}" type="presOf" srcId="{8E863673-FDC9-4EE8-86E9-9DED4962E127}" destId="{A5CEA6B2-E3AD-46FC-B311-D5AACD04E903}" srcOrd="0" destOrd="0" presId="urn:microsoft.com/office/officeart/2005/8/layout/cycle6"/>
    <dgm:cxn modelId="{F82F2BDB-3D27-48C0-99AC-ACF758D6DAD6}" srcId="{57B6E628-6193-4A6F-9C57-A8BCCDE3C8E5}" destId="{7B686478-8CF4-4569-B6BC-4F0E8C04DAC4}" srcOrd="3" destOrd="0" parTransId="{FA87090C-87F9-44ED-A7EC-BEFEC6ABA8AC}" sibTransId="{8AB2B4BE-1F71-4ABA-B096-D9C270C9FB98}"/>
    <dgm:cxn modelId="{744F8DE5-518F-4E05-B78E-A831D41E6428}" srcId="{57B6E628-6193-4A6F-9C57-A8BCCDE3C8E5}" destId="{63C5CE72-D1A8-47B3-A537-A3B7C3B14121}" srcOrd="0" destOrd="0" parTransId="{BAEA0024-7B3D-4489-8AD9-95CE0EFAA17C}" sibTransId="{4769D2EF-CDE9-4453-B10D-15B1E56FB962}"/>
    <dgm:cxn modelId="{845BE7E9-3CF8-4E6C-85EA-D7AB99F6E43A}" srcId="{57B6E628-6193-4A6F-9C57-A8BCCDE3C8E5}" destId="{A94E8EBE-9A6C-4685-A18F-A895B25C7C4E}" srcOrd="4" destOrd="0" parTransId="{BBDA7977-7B3D-4D78-8A30-D583A2356923}" sibTransId="{5B656B58-C28E-4E0E-B8AB-913B33FCBC11}"/>
    <dgm:cxn modelId="{572854F8-BBF3-4277-9904-3F0DDA0CB1CF}" type="presOf" srcId="{7B686478-8CF4-4569-B6BC-4F0E8C04DAC4}" destId="{B89EA6E1-9B95-4F63-876A-90AE645489FD}" srcOrd="0" destOrd="0" presId="urn:microsoft.com/office/officeart/2005/8/layout/cycle6"/>
    <dgm:cxn modelId="{2968E1FA-3FCC-4420-A840-EFEF56EF223E}" srcId="{57B6E628-6193-4A6F-9C57-A8BCCDE3C8E5}" destId="{9CC97F0B-FB2F-4B90-93F2-7AAA163F1283}" srcOrd="6" destOrd="0" parTransId="{10391EDB-9149-4489-BA37-E27841607F4A}" sibTransId="{DB8EB9A2-BF3B-4345-9F23-90C1A7E819E0}"/>
    <dgm:cxn modelId="{E9ACD3FC-1C49-437B-9790-B5CB94F02602}" type="presOf" srcId="{63C5CE72-D1A8-47B3-A537-A3B7C3B14121}" destId="{ACF067BC-21D1-4C94-9D68-6C601C01DFE2}" srcOrd="0" destOrd="0" presId="urn:microsoft.com/office/officeart/2005/8/layout/cycle6"/>
    <dgm:cxn modelId="{A91ACEE3-3A27-4EFC-845F-40C835CEE106}" type="presParOf" srcId="{8EA46AAF-DC8B-4DF9-9CEE-B586A7FD072A}" destId="{ACF067BC-21D1-4C94-9D68-6C601C01DFE2}" srcOrd="0" destOrd="0" presId="urn:microsoft.com/office/officeart/2005/8/layout/cycle6"/>
    <dgm:cxn modelId="{58D671BD-205D-46CC-91E3-3D06D288DB56}" type="presParOf" srcId="{8EA46AAF-DC8B-4DF9-9CEE-B586A7FD072A}" destId="{0AC28203-5561-4E10-BBD6-33E987ACE2B1}" srcOrd="1" destOrd="0" presId="urn:microsoft.com/office/officeart/2005/8/layout/cycle6"/>
    <dgm:cxn modelId="{90AC94A9-3941-42AA-B249-610F9D12E329}" type="presParOf" srcId="{8EA46AAF-DC8B-4DF9-9CEE-B586A7FD072A}" destId="{C120DC18-2335-49E8-9353-24CE6F2AB60D}" srcOrd="2" destOrd="0" presId="urn:microsoft.com/office/officeart/2005/8/layout/cycle6"/>
    <dgm:cxn modelId="{6308AC01-2E9A-408A-9F2D-6688CE8F7A45}" type="presParOf" srcId="{8EA46AAF-DC8B-4DF9-9CEE-B586A7FD072A}" destId="{A5CEA6B2-E3AD-46FC-B311-D5AACD04E903}" srcOrd="3" destOrd="0" presId="urn:microsoft.com/office/officeart/2005/8/layout/cycle6"/>
    <dgm:cxn modelId="{6E205FCF-EB41-4954-B110-9353FCA345FF}" type="presParOf" srcId="{8EA46AAF-DC8B-4DF9-9CEE-B586A7FD072A}" destId="{EBA3C745-C09D-410F-BBF4-6308547D72FB}" srcOrd="4" destOrd="0" presId="urn:microsoft.com/office/officeart/2005/8/layout/cycle6"/>
    <dgm:cxn modelId="{7846956D-2C1F-4CDF-9070-02FED6819F3F}" type="presParOf" srcId="{8EA46AAF-DC8B-4DF9-9CEE-B586A7FD072A}" destId="{81341FF2-5835-4FBB-8ED0-B4B36A7B78C0}" srcOrd="5" destOrd="0" presId="urn:microsoft.com/office/officeart/2005/8/layout/cycle6"/>
    <dgm:cxn modelId="{E11B5233-9109-44F9-AD50-A0AE0160CC5E}" type="presParOf" srcId="{8EA46AAF-DC8B-4DF9-9CEE-B586A7FD072A}" destId="{A331E665-7961-4B85-96A7-4C99C53A9745}" srcOrd="6" destOrd="0" presId="urn:microsoft.com/office/officeart/2005/8/layout/cycle6"/>
    <dgm:cxn modelId="{C090E974-5034-45CB-AD58-A1686EF9E422}" type="presParOf" srcId="{8EA46AAF-DC8B-4DF9-9CEE-B586A7FD072A}" destId="{F2AE26F2-E67E-427C-B7E8-E53F8BF2AA60}" srcOrd="7" destOrd="0" presId="urn:microsoft.com/office/officeart/2005/8/layout/cycle6"/>
    <dgm:cxn modelId="{4127BA49-4EA2-4218-B5F6-55B7857BD87A}" type="presParOf" srcId="{8EA46AAF-DC8B-4DF9-9CEE-B586A7FD072A}" destId="{BA24EFD7-E73C-43BE-8829-381AFCB5DC27}" srcOrd="8" destOrd="0" presId="urn:microsoft.com/office/officeart/2005/8/layout/cycle6"/>
    <dgm:cxn modelId="{24E9A408-535F-4CEE-B757-A2B29AA0A7DE}" type="presParOf" srcId="{8EA46AAF-DC8B-4DF9-9CEE-B586A7FD072A}" destId="{B89EA6E1-9B95-4F63-876A-90AE645489FD}" srcOrd="9" destOrd="0" presId="urn:microsoft.com/office/officeart/2005/8/layout/cycle6"/>
    <dgm:cxn modelId="{D7101DFD-8069-4D2E-92CC-017628448AF5}" type="presParOf" srcId="{8EA46AAF-DC8B-4DF9-9CEE-B586A7FD072A}" destId="{6A4D0403-E2B1-49B2-B8B2-8972AC796A0B}" srcOrd="10" destOrd="0" presId="urn:microsoft.com/office/officeart/2005/8/layout/cycle6"/>
    <dgm:cxn modelId="{E767A8AC-B119-4E62-8BF5-549CDC608F0E}" type="presParOf" srcId="{8EA46AAF-DC8B-4DF9-9CEE-B586A7FD072A}" destId="{8DD4F4DF-8E75-4EC1-BF61-3C8C078DDB31}" srcOrd="11" destOrd="0" presId="urn:microsoft.com/office/officeart/2005/8/layout/cycle6"/>
    <dgm:cxn modelId="{707A2B2A-7921-4A27-A725-D322640E9AD9}" type="presParOf" srcId="{8EA46AAF-DC8B-4DF9-9CEE-B586A7FD072A}" destId="{ED1B4D83-C072-4C06-AA26-16B89A8079E8}" srcOrd="12" destOrd="0" presId="urn:microsoft.com/office/officeart/2005/8/layout/cycle6"/>
    <dgm:cxn modelId="{E5D03D48-F95F-4050-870F-71FFE91DDBFE}" type="presParOf" srcId="{8EA46AAF-DC8B-4DF9-9CEE-B586A7FD072A}" destId="{2E876D11-D280-4889-8760-2410E6434B77}" srcOrd="13" destOrd="0" presId="urn:microsoft.com/office/officeart/2005/8/layout/cycle6"/>
    <dgm:cxn modelId="{4D4A7D9F-FCF5-4AD2-9ABF-560DA16435A6}" type="presParOf" srcId="{8EA46AAF-DC8B-4DF9-9CEE-B586A7FD072A}" destId="{CA0A8B21-7DC2-4629-80F7-C0F5971A8E05}" srcOrd="14" destOrd="0" presId="urn:microsoft.com/office/officeart/2005/8/layout/cycle6"/>
    <dgm:cxn modelId="{6C69B5A4-58C1-479D-905B-5616EB271786}" type="presParOf" srcId="{8EA46AAF-DC8B-4DF9-9CEE-B586A7FD072A}" destId="{48903DCE-EE33-40BF-B7F2-025B85B0552A}" srcOrd="15" destOrd="0" presId="urn:microsoft.com/office/officeart/2005/8/layout/cycle6"/>
    <dgm:cxn modelId="{2376C3BF-489D-4F8B-83B7-08FC3E658197}" type="presParOf" srcId="{8EA46AAF-DC8B-4DF9-9CEE-B586A7FD072A}" destId="{1B090EA3-B1AD-449A-B7C8-4F81875EFEB3}" srcOrd="16" destOrd="0" presId="urn:microsoft.com/office/officeart/2005/8/layout/cycle6"/>
    <dgm:cxn modelId="{42325C79-1CF2-43F8-9B05-90ADC411A59F}" type="presParOf" srcId="{8EA46AAF-DC8B-4DF9-9CEE-B586A7FD072A}" destId="{221DCEB5-AD01-4844-8A3F-8E516FE7A7ED}" srcOrd="17" destOrd="0" presId="urn:microsoft.com/office/officeart/2005/8/layout/cycle6"/>
    <dgm:cxn modelId="{A3574AAF-B6D3-45D8-A06A-219B22C8BA51}" type="presParOf" srcId="{8EA46AAF-DC8B-4DF9-9CEE-B586A7FD072A}" destId="{1E98A3EB-933C-4FC9-AB5C-99FB12110FF8}" srcOrd="18" destOrd="0" presId="urn:microsoft.com/office/officeart/2005/8/layout/cycle6"/>
    <dgm:cxn modelId="{703CDC9B-DF2C-4D36-8BDE-85A542875E10}" type="presParOf" srcId="{8EA46AAF-DC8B-4DF9-9CEE-B586A7FD072A}" destId="{6A16354A-0E7A-40EB-9DF7-59ED966FBD33}" srcOrd="19" destOrd="0" presId="urn:microsoft.com/office/officeart/2005/8/layout/cycle6"/>
    <dgm:cxn modelId="{CD742260-C9DE-4FEB-8E6A-12C9D9903C7E}" type="presParOf" srcId="{8EA46AAF-DC8B-4DF9-9CEE-B586A7FD072A}" destId="{27126CF0-1FAF-404B-8A70-D88B5BC8E7D2}" srcOrd="20" destOrd="0" presId="urn:microsoft.com/office/officeart/2005/8/layout/cycle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067BC-21D1-4C94-9D68-6C601C01DFE2}">
      <dsp:nvSpPr>
        <dsp:cNvPr id="0" name=""/>
        <dsp:cNvSpPr/>
      </dsp:nvSpPr>
      <dsp:spPr>
        <a:xfrm>
          <a:off x="2215976" y="432"/>
          <a:ext cx="766580" cy="498277"/>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Economical</a:t>
          </a:r>
        </a:p>
      </dsp:txBody>
      <dsp:txXfrm>
        <a:off x="2240300" y="24756"/>
        <a:ext cx="717932" cy="449629"/>
      </dsp:txXfrm>
    </dsp:sp>
    <dsp:sp modelId="{C120DC18-2335-49E8-9353-24CE6F2AB60D}">
      <dsp:nvSpPr>
        <dsp:cNvPr id="0" name=""/>
        <dsp:cNvSpPr/>
      </dsp:nvSpPr>
      <dsp:spPr>
        <a:xfrm>
          <a:off x="1178276" y="249571"/>
          <a:ext cx="2841979" cy="2841979"/>
        </a:xfrm>
        <a:custGeom>
          <a:avLst/>
          <a:gdLst/>
          <a:ahLst/>
          <a:cxnLst/>
          <a:rect l="0" t="0" r="0" b="0"/>
          <a:pathLst>
            <a:path>
              <a:moveTo>
                <a:pt x="1809342" y="54097"/>
              </a:moveTo>
              <a:arcTo wR="1420989" hR="1420989" stAng="17151636" swAng="1254598"/>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5CEA6B2-E3AD-46FC-B311-D5AACD04E903}">
      <dsp:nvSpPr>
        <dsp:cNvPr id="0" name=""/>
        <dsp:cNvSpPr/>
      </dsp:nvSpPr>
      <dsp:spPr>
        <a:xfrm>
          <a:off x="3326950" y="535449"/>
          <a:ext cx="766580" cy="498277"/>
        </a:xfrm>
        <a:prstGeom prst="round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Cultural</a:t>
          </a:r>
        </a:p>
      </dsp:txBody>
      <dsp:txXfrm>
        <a:off x="3351274" y="559773"/>
        <a:ext cx="717932" cy="449629"/>
      </dsp:txXfrm>
    </dsp:sp>
    <dsp:sp modelId="{81341FF2-5835-4FBB-8ED0-B4B36A7B78C0}">
      <dsp:nvSpPr>
        <dsp:cNvPr id="0" name=""/>
        <dsp:cNvSpPr/>
      </dsp:nvSpPr>
      <dsp:spPr>
        <a:xfrm>
          <a:off x="1178276" y="249571"/>
          <a:ext cx="2841979" cy="2841979"/>
        </a:xfrm>
        <a:custGeom>
          <a:avLst/>
          <a:gdLst/>
          <a:ahLst/>
          <a:cxnLst/>
          <a:rect l="0" t="0" r="0" b="0"/>
          <a:pathLst>
            <a:path>
              <a:moveTo>
                <a:pt x="2694494" y="790596"/>
              </a:moveTo>
              <a:arcTo wR="1420989" hR="1420989" stAng="20019857" swAng="1725035"/>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31E665-7961-4B85-96A7-4C99C53A9745}">
      <dsp:nvSpPr>
        <dsp:cNvPr id="0" name=""/>
        <dsp:cNvSpPr/>
      </dsp:nvSpPr>
      <dsp:spPr>
        <a:xfrm>
          <a:off x="3601338" y="1737622"/>
          <a:ext cx="766580" cy="498277"/>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Geographical</a:t>
          </a:r>
        </a:p>
      </dsp:txBody>
      <dsp:txXfrm>
        <a:off x="3625662" y="1761946"/>
        <a:ext cx="717932" cy="449629"/>
      </dsp:txXfrm>
    </dsp:sp>
    <dsp:sp modelId="{BA24EFD7-E73C-43BE-8829-381AFCB5DC27}">
      <dsp:nvSpPr>
        <dsp:cNvPr id="0" name=""/>
        <dsp:cNvSpPr/>
      </dsp:nvSpPr>
      <dsp:spPr>
        <a:xfrm>
          <a:off x="1178276" y="249571"/>
          <a:ext cx="2841979" cy="2841979"/>
        </a:xfrm>
        <a:custGeom>
          <a:avLst/>
          <a:gdLst/>
          <a:ahLst/>
          <a:cxnLst/>
          <a:rect l="0" t="0" r="0" b="0"/>
          <a:pathLst>
            <a:path>
              <a:moveTo>
                <a:pt x="2722405" y="1991539"/>
              </a:moveTo>
              <a:arcTo wR="1420989" hR="1420989" stAng="1420379" swAng="1357201"/>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89EA6E1-9B95-4F63-876A-90AE645489FD}">
      <dsp:nvSpPr>
        <dsp:cNvPr id="0" name=""/>
        <dsp:cNvSpPr/>
      </dsp:nvSpPr>
      <dsp:spPr>
        <a:xfrm>
          <a:off x="2832520" y="2701689"/>
          <a:ext cx="766580" cy="49827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Maritime</a:t>
          </a:r>
        </a:p>
      </dsp:txBody>
      <dsp:txXfrm>
        <a:off x="2856844" y="2726013"/>
        <a:ext cx="717932" cy="449629"/>
      </dsp:txXfrm>
    </dsp:sp>
    <dsp:sp modelId="{8DD4F4DF-8E75-4EC1-BF61-3C8C078DDB31}">
      <dsp:nvSpPr>
        <dsp:cNvPr id="0" name=""/>
        <dsp:cNvSpPr/>
      </dsp:nvSpPr>
      <dsp:spPr>
        <a:xfrm>
          <a:off x="1178276" y="249571"/>
          <a:ext cx="2841979" cy="2841979"/>
        </a:xfrm>
        <a:custGeom>
          <a:avLst/>
          <a:gdLst/>
          <a:ahLst/>
          <a:cxnLst/>
          <a:rect l="0" t="0" r="0" b="0"/>
          <a:pathLst>
            <a:path>
              <a:moveTo>
                <a:pt x="1649640" y="2823462"/>
              </a:moveTo>
              <a:arcTo wR="1420989" hR="1420989" stAng="4844418" swAng="1111164"/>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D1B4D83-C072-4C06-AA26-16B89A8079E8}">
      <dsp:nvSpPr>
        <dsp:cNvPr id="0" name=""/>
        <dsp:cNvSpPr/>
      </dsp:nvSpPr>
      <dsp:spPr>
        <a:xfrm>
          <a:off x="1599431" y="2701689"/>
          <a:ext cx="766580" cy="498277"/>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Defense</a:t>
          </a:r>
        </a:p>
      </dsp:txBody>
      <dsp:txXfrm>
        <a:off x="1623755" y="2726013"/>
        <a:ext cx="717932" cy="449629"/>
      </dsp:txXfrm>
    </dsp:sp>
    <dsp:sp modelId="{CA0A8B21-7DC2-4629-80F7-C0F5971A8E05}">
      <dsp:nvSpPr>
        <dsp:cNvPr id="0" name=""/>
        <dsp:cNvSpPr/>
      </dsp:nvSpPr>
      <dsp:spPr>
        <a:xfrm>
          <a:off x="1178276" y="249571"/>
          <a:ext cx="2841979" cy="2841979"/>
        </a:xfrm>
        <a:custGeom>
          <a:avLst/>
          <a:gdLst/>
          <a:ahLst/>
          <a:cxnLst/>
          <a:rect l="0" t="0" r="0" b="0"/>
          <a:pathLst>
            <a:path>
              <a:moveTo>
                <a:pt x="439127" y="2448198"/>
              </a:moveTo>
              <a:arcTo wR="1420989" hR="1420989" stAng="8022420" swAng="1357201"/>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8903DCE-EE33-40BF-B7F2-025B85B0552A}">
      <dsp:nvSpPr>
        <dsp:cNvPr id="0" name=""/>
        <dsp:cNvSpPr/>
      </dsp:nvSpPr>
      <dsp:spPr>
        <a:xfrm>
          <a:off x="830613" y="1737622"/>
          <a:ext cx="766580" cy="498277"/>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Technological</a:t>
          </a:r>
        </a:p>
      </dsp:txBody>
      <dsp:txXfrm>
        <a:off x="854937" y="1761946"/>
        <a:ext cx="717932" cy="449629"/>
      </dsp:txXfrm>
    </dsp:sp>
    <dsp:sp modelId="{221DCEB5-AD01-4844-8A3F-8E516FE7A7ED}">
      <dsp:nvSpPr>
        <dsp:cNvPr id="0" name=""/>
        <dsp:cNvSpPr/>
      </dsp:nvSpPr>
      <dsp:spPr>
        <a:xfrm>
          <a:off x="1178276" y="249571"/>
          <a:ext cx="2841979" cy="2841979"/>
        </a:xfrm>
        <a:custGeom>
          <a:avLst/>
          <a:gdLst/>
          <a:ahLst/>
          <a:cxnLst/>
          <a:rect l="0" t="0" r="0" b="0"/>
          <a:pathLst>
            <a:path>
              <a:moveTo>
                <a:pt x="1261" y="1480862"/>
              </a:moveTo>
              <a:arcTo wR="1420989" hR="1420989" stAng="10655108" swAng="1725035"/>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E98A3EB-933C-4FC9-AB5C-99FB12110FF8}">
      <dsp:nvSpPr>
        <dsp:cNvPr id="0" name=""/>
        <dsp:cNvSpPr/>
      </dsp:nvSpPr>
      <dsp:spPr>
        <a:xfrm>
          <a:off x="1105001" y="535449"/>
          <a:ext cx="766580" cy="498277"/>
        </a:xfrm>
        <a:prstGeom prst="roundRect">
          <a:avLst/>
        </a:prstGeom>
        <a:solidFill>
          <a:srgbClr val="E9A5D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Political</a:t>
          </a:r>
        </a:p>
      </dsp:txBody>
      <dsp:txXfrm>
        <a:off x="1129325" y="559773"/>
        <a:ext cx="717932" cy="449629"/>
      </dsp:txXfrm>
    </dsp:sp>
    <dsp:sp modelId="{27126CF0-1FAF-404B-8A70-D88B5BC8E7D2}">
      <dsp:nvSpPr>
        <dsp:cNvPr id="0" name=""/>
        <dsp:cNvSpPr/>
      </dsp:nvSpPr>
      <dsp:spPr>
        <a:xfrm>
          <a:off x="1178276" y="249571"/>
          <a:ext cx="2841979" cy="2841979"/>
        </a:xfrm>
        <a:custGeom>
          <a:avLst/>
          <a:gdLst/>
          <a:ahLst/>
          <a:cxnLst/>
          <a:rect l="0" t="0" r="0" b="0"/>
          <a:pathLst>
            <a:path>
              <a:moveTo>
                <a:pt x="570367" y="282721"/>
              </a:moveTo>
              <a:arcTo wR="1420989" hR="1420989" stAng="13993766" swAng="1254598"/>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32FF4-3FDC-4213-803C-F01E7937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5722</TotalTime>
  <Pages>15</Pages>
  <Words>11361</Words>
  <Characters>64760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Khan</dc:creator>
  <cp:keywords/>
  <dc:description/>
  <cp:lastModifiedBy>Editor-11</cp:lastModifiedBy>
  <cp:revision>64</cp:revision>
  <dcterms:created xsi:type="dcterms:W3CDTF">2024-09-17T20:59:00Z</dcterms:created>
  <dcterms:modified xsi:type="dcterms:W3CDTF">2025-08-22T09:04:00Z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02c8e192-3eeb-4154-bd79-15279324822d</vt:lpwstr>
  </property>
</Properties>
</file>