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5B490" w14:textId="6945EF75" w:rsidR="004C61E5" w:rsidRPr="0080732C" w:rsidRDefault="004C61E5" w:rsidP="00A731B3">
      <w:pPr>
        <w:spacing w:after="0" w:line="360" w:lineRule="auto"/>
        <w:jc w:val="center"/>
        <w:rPr>
          <w:b/>
          <w:color w:val="000000" w:themeColor="text1"/>
          <w:szCs w:val="24"/>
          <w:lang w:val="en-US"/>
        </w:rPr>
      </w:pPr>
      <w:r w:rsidRPr="0080732C">
        <w:rPr>
          <w:b/>
          <w:color w:val="000000" w:themeColor="text1"/>
          <w:szCs w:val="24"/>
          <w:lang w:val="en-US"/>
        </w:rPr>
        <w:t>Digitalization and agricultural structural transf</w:t>
      </w:r>
      <w:r w:rsidR="00103D57">
        <w:rPr>
          <w:b/>
          <w:color w:val="000000" w:themeColor="text1"/>
          <w:szCs w:val="24"/>
          <w:lang w:val="en-US"/>
        </w:rPr>
        <w:t>ormation in Sub-Saharan Africa</w:t>
      </w:r>
    </w:p>
    <w:p w14:paraId="58FCCC15" w14:textId="77777777" w:rsidR="002E5914" w:rsidRPr="0080732C" w:rsidRDefault="002E5914" w:rsidP="00A731B3">
      <w:pPr>
        <w:spacing w:after="0" w:line="360" w:lineRule="auto"/>
        <w:jc w:val="center"/>
        <w:rPr>
          <w:b/>
          <w:color w:val="000000" w:themeColor="text1"/>
          <w:szCs w:val="24"/>
          <w:lang w:val="en-US"/>
        </w:rPr>
      </w:pPr>
    </w:p>
    <w:p w14:paraId="295415F7" w14:textId="77777777" w:rsidR="00F61513" w:rsidRPr="002B5BA6" w:rsidRDefault="00F61513" w:rsidP="002B5BA6">
      <w:pPr>
        <w:spacing w:after="0" w:line="360" w:lineRule="auto"/>
        <w:rPr>
          <w:b/>
          <w:color w:val="000000" w:themeColor="text1"/>
          <w:szCs w:val="24"/>
          <w:lang w:val="en-US"/>
        </w:rPr>
      </w:pPr>
    </w:p>
    <w:p w14:paraId="164B6DF1" w14:textId="2517D3BF" w:rsidR="00954320" w:rsidRPr="00A73D50" w:rsidRDefault="00A731B3" w:rsidP="00A731B3">
      <w:pPr>
        <w:spacing w:after="0" w:line="360" w:lineRule="auto"/>
        <w:rPr>
          <w:b/>
          <w:bCs/>
          <w:color w:val="000000" w:themeColor="text1"/>
          <w:szCs w:val="24"/>
          <w:lang w:val="en-US"/>
        </w:rPr>
      </w:pPr>
      <w:r w:rsidRPr="00A73D50">
        <w:rPr>
          <w:b/>
          <w:bCs/>
          <w:color w:val="000000" w:themeColor="text1"/>
          <w:szCs w:val="24"/>
          <w:lang w:val="en-US"/>
        </w:rPr>
        <w:t>Abstract</w:t>
      </w:r>
    </w:p>
    <w:p w14:paraId="1E231FEE" w14:textId="774DDFE0" w:rsidR="00A731B3" w:rsidRDefault="00A731B3" w:rsidP="00A73D50">
      <w:pPr>
        <w:spacing w:after="0" w:line="360" w:lineRule="auto"/>
        <w:jc w:val="both"/>
        <w:rPr>
          <w:color w:val="000000" w:themeColor="text1"/>
          <w:szCs w:val="24"/>
          <w:lang w:val="en-US"/>
        </w:rPr>
      </w:pPr>
      <w:r w:rsidRPr="00A731B3">
        <w:rPr>
          <w:color w:val="000000" w:themeColor="text1"/>
          <w:szCs w:val="24"/>
          <w:lang w:val="en-US"/>
        </w:rPr>
        <w:t>The objecti</w:t>
      </w:r>
      <w:r w:rsidR="004C5C25">
        <w:rPr>
          <w:color w:val="000000" w:themeColor="text1"/>
          <w:szCs w:val="24"/>
          <w:lang w:val="en-US"/>
        </w:rPr>
        <w:t>ve of this article is to assess</w:t>
      </w:r>
      <w:r w:rsidRPr="00A731B3">
        <w:rPr>
          <w:color w:val="000000" w:themeColor="text1"/>
          <w:szCs w:val="24"/>
          <w:lang w:val="en-US"/>
        </w:rPr>
        <w:t xml:space="preserve"> the effect of </w:t>
      </w:r>
      <w:r w:rsidR="00413FC5">
        <w:rPr>
          <w:color w:val="000000" w:themeColor="text1"/>
          <w:szCs w:val="24"/>
          <w:lang w:val="en-US"/>
        </w:rPr>
        <w:t>digitalization</w:t>
      </w:r>
      <w:r w:rsidRPr="00A731B3">
        <w:rPr>
          <w:color w:val="000000" w:themeColor="text1"/>
          <w:szCs w:val="24"/>
          <w:lang w:val="en-US"/>
        </w:rPr>
        <w:t xml:space="preserve"> on agricultural structural transformation</w:t>
      </w:r>
      <w:r w:rsidR="004C5C25">
        <w:rPr>
          <w:color w:val="000000" w:themeColor="text1"/>
          <w:szCs w:val="24"/>
          <w:lang w:val="en-US"/>
        </w:rPr>
        <w:t xml:space="preserve"> in Sub-Saharan Africa</w:t>
      </w:r>
      <w:r w:rsidRPr="00A731B3">
        <w:rPr>
          <w:color w:val="000000" w:themeColor="text1"/>
          <w:szCs w:val="24"/>
          <w:lang w:val="en-US"/>
        </w:rPr>
        <w:t>. To</w:t>
      </w:r>
      <w:r w:rsidR="000C5D1E">
        <w:rPr>
          <w:color w:val="000000" w:themeColor="text1"/>
          <w:szCs w:val="24"/>
          <w:lang w:val="en-US"/>
        </w:rPr>
        <w:t xml:space="preserve"> achieve this</w:t>
      </w:r>
      <w:r w:rsidRPr="00A731B3">
        <w:rPr>
          <w:color w:val="000000" w:themeColor="text1"/>
          <w:szCs w:val="24"/>
          <w:lang w:val="en-US"/>
        </w:rPr>
        <w:t xml:space="preserve">, agricultural structural transformation is measured by the reallocation of agricultural </w:t>
      </w:r>
      <w:r w:rsidR="000C5D1E" w:rsidRPr="00A731B3">
        <w:rPr>
          <w:color w:val="000000" w:themeColor="text1"/>
          <w:szCs w:val="24"/>
          <w:lang w:val="en-US"/>
        </w:rPr>
        <w:t>labor</w:t>
      </w:r>
      <w:r w:rsidRPr="00A731B3">
        <w:rPr>
          <w:color w:val="000000" w:themeColor="text1"/>
          <w:szCs w:val="24"/>
          <w:lang w:val="en-US"/>
        </w:rPr>
        <w:t>, the share of agricultural employment and the share of agricultural value added. The World Bank (2020) and Po</w:t>
      </w:r>
      <w:r w:rsidRPr="00B660B8">
        <w:rPr>
          <w:color w:val="000000" w:themeColor="text1"/>
          <w:szCs w:val="24"/>
          <w:lang w:val="en-US"/>
        </w:rPr>
        <w:t xml:space="preserve">lity5 </w:t>
      </w:r>
      <w:r w:rsidR="00DE4B1A" w:rsidRPr="00B660B8">
        <w:rPr>
          <w:color w:val="000000" w:themeColor="text1"/>
          <w:szCs w:val="24"/>
          <w:lang w:val="en-US"/>
        </w:rPr>
        <w:t>(</w:t>
      </w:r>
      <w:r w:rsidR="00B660B8" w:rsidRPr="00B660B8">
        <w:rPr>
          <w:color w:val="000000" w:themeColor="text1"/>
          <w:szCs w:val="24"/>
          <w:lang w:val="en-US"/>
        </w:rPr>
        <w:t>Marshall, M. G. &amp; Ted Robert G</w:t>
      </w:r>
      <w:r w:rsidR="00DE4B1A" w:rsidRPr="00B660B8">
        <w:rPr>
          <w:color w:val="000000" w:themeColor="text1"/>
          <w:szCs w:val="24"/>
          <w:lang w:val="en-US"/>
        </w:rPr>
        <w:t>. 2020)</w:t>
      </w:r>
      <w:r w:rsidR="00DE4B1A">
        <w:rPr>
          <w:color w:val="000000" w:themeColor="text1"/>
          <w:szCs w:val="24"/>
          <w:lang w:val="en-US"/>
        </w:rPr>
        <w:t xml:space="preserve"> </w:t>
      </w:r>
      <w:r w:rsidRPr="00A731B3">
        <w:rPr>
          <w:color w:val="000000" w:themeColor="text1"/>
          <w:szCs w:val="24"/>
          <w:lang w:val="en-US"/>
        </w:rPr>
        <w:t>database</w:t>
      </w:r>
      <w:r w:rsidR="000C5D1E">
        <w:rPr>
          <w:color w:val="000000" w:themeColor="text1"/>
          <w:szCs w:val="24"/>
          <w:lang w:val="en-US"/>
        </w:rPr>
        <w:t>s</w:t>
      </w:r>
      <w:r w:rsidRPr="00A731B3">
        <w:rPr>
          <w:color w:val="000000" w:themeColor="text1"/>
          <w:szCs w:val="24"/>
          <w:lang w:val="en-US"/>
        </w:rPr>
        <w:t xml:space="preserve"> </w:t>
      </w:r>
      <w:r w:rsidR="000C5D1E">
        <w:rPr>
          <w:color w:val="000000" w:themeColor="text1"/>
          <w:szCs w:val="24"/>
          <w:lang w:val="en-US"/>
        </w:rPr>
        <w:t>are</w:t>
      </w:r>
      <w:r w:rsidRPr="00A731B3">
        <w:rPr>
          <w:color w:val="000000" w:themeColor="text1"/>
          <w:szCs w:val="24"/>
          <w:lang w:val="en-US"/>
        </w:rPr>
        <w:t xml:space="preserve"> used to mobilize all </w:t>
      </w:r>
      <w:r w:rsidR="000C5D1E">
        <w:rPr>
          <w:color w:val="000000" w:themeColor="text1"/>
          <w:szCs w:val="24"/>
          <w:lang w:val="en-US"/>
        </w:rPr>
        <w:t xml:space="preserve">necessary </w:t>
      </w:r>
      <w:r w:rsidR="004C5C25">
        <w:rPr>
          <w:color w:val="000000" w:themeColor="text1"/>
          <w:szCs w:val="24"/>
          <w:lang w:val="en-US"/>
        </w:rPr>
        <w:t>data over the</w:t>
      </w:r>
      <w:r w:rsidRPr="00A731B3">
        <w:rPr>
          <w:color w:val="000000" w:themeColor="text1"/>
          <w:szCs w:val="24"/>
          <w:lang w:val="en-US"/>
        </w:rPr>
        <w:t xml:space="preserve"> period from 1990 to 2018. In order to control for the endogeneity </w:t>
      </w:r>
      <w:r w:rsidR="000C5D1E">
        <w:rPr>
          <w:color w:val="000000" w:themeColor="text1"/>
          <w:szCs w:val="24"/>
          <w:lang w:val="en-US"/>
        </w:rPr>
        <w:t>of</w:t>
      </w:r>
      <w:r w:rsidR="004C5C25">
        <w:rPr>
          <w:color w:val="000000" w:themeColor="text1"/>
          <w:szCs w:val="24"/>
          <w:lang w:val="en-US"/>
        </w:rPr>
        <w:t xml:space="preserve"> digitalization</w:t>
      </w:r>
      <w:r w:rsidRPr="00A731B3">
        <w:rPr>
          <w:color w:val="000000" w:themeColor="text1"/>
          <w:szCs w:val="24"/>
          <w:lang w:val="en-US"/>
        </w:rPr>
        <w:t>, instrumental variable</w:t>
      </w:r>
      <w:r w:rsidR="000C5D1E">
        <w:rPr>
          <w:color w:val="000000" w:themeColor="text1"/>
          <w:szCs w:val="24"/>
          <w:lang w:val="en-US"/>
        </w:rPr>
        <w:t>s</w:t>
      </w:r>
      <w:r w:rsidRPr="00A731B3">
        <w:rPr>
          <w:color w:val="000000" w:themeColor="text1"/>
          <w:szCs w:val="24"/>
          <w:lang w:val="en-US"/>
        </w:rPr>
        <w:t xml:space="preserve"> estimation technique is used. The results revealed that internet access promotes the transfer of labor from the agricul</w:t>
      </w:r>
      <w:r w:rsidR="002F70CD">
        <w:rPr>
          <w:color w:val="000000" w:themeColor="text1"/>
          <w:szCs w:val="24"/>
          <w:lang w:val="en-US"/>
        </w:rPr>
        <w:t>tural sector to the industrial</w:t>
      </w:r>
      <w:r w:rsidRPr="00A731B3">
        <w:rPr>
          <w:color w:val="000000" w:themeColor="text1"/>
          <w:szCs w:val="24"/>
          <w:lang w:val="en-US"/>
        </w:rPr>
        <w:t xml:space="preserve"> and the service sector</w:t>
      </w:r>
      <w:r w:rsidR="002F70CD">
        <w:rPr>
          <w:color w:val="000000" w:themeColor="text1"/>
          <w:szCs w:val="24"/>
          <w:lang w:val="en-US"/>
        </w:rPr>
        <w:t>s</w:t>
      </w:r>
      <w:r w:rsidR="004C5C25">
        <w:rPr>
          <w:color w:val="000000" w:themeColor="text1"/>
          <w:szCs w:val="24"/>
          <w:lang w:val="en-US"/>
        </w:rPr>
        <w:t xml:space="preserve"> in Sub-Saharan Africa</w:t>
      </w:r>
      <w:r w:rsidRPr="00A731B3">
        <w:rPr>
          <w:color w:val="000000" w:themeColor="text1"/>
          <w:szCs w:val="24"/>
          <w:lang w:val="en-US"/>
        </w:rPr>
        <w:t xml:space="preserve">. In addition, an increase in the number of internet and telephone subscribers translates into an increase in the share of agricultural jobs created in </w:t>
      </w:r>
      <w:r w:rsidR="009A4E3C">
        <w:rPr>
          <w:color w:val="000000" w:themeColor="text1"/>
          <w:szCs w:val="24"/>
          <w:lang w:val="en-US"/>
        </w:rPr>
        <w:t>Sub-Saharan Africa</w:t>
      </w:r>
      <w:r w:rsidRPr="00A731B3">
        <w:rPr>
          <w:color w:val="000000" w:themeColor="text1"/>
          <w:szCs w:val="24"/>
          <w:lang w:val="en-US"/>
        </w:rPr>
        <w:t xml:space="preserve">. </w:t>
      </w:r>
      <w:r w:rsidR="009A4E3C">
        <w:rPr>
          <w:color w:val="000000" w:themeColor="text1"/>
          <w:szCs w:val="24"/>
          <w:lang w:val="en-US"/>
        </w:rPr>
        <w:t>In</w:t>
      </w:r>
      <w:r w:rsidR="00407076">
        <w:rPr>
          <w:color w:val="000000" w:themeColor="text1"/>
          <w:szCs w:val="24"/>
          <w:lang w:val="en-US"/>
        </w:rPr>
        <w:t xml:space="preserve"> terms of policy implications</w:t>
      </w:r>
      <w:r w:rsidR="009A4E3C">
        <w:rPr>
          <w:color w:val="000000" w:themeColor="text1"/>
          <w:szCs w:val="24"/>
          <w:lang w:val="en-US"/>
        </w:rPr>
        <w:t xml:space="preserve">, </w:t>
      </w:r>
      <w:r w:rsidRPr="00A731B3">
        <w:rPr>
          <w:color w:val="000000" w:themeColor="text1"/>
          <w:szCs w:val="24"/>
          <w:lang w:val="en-US"/>
        </w:rPr>
        <w:t>digitalization</w:t>
      </w:r>
      <w:r w:rsidR="000C4806">
        <w:rPr>
          <w:color w:val="000000" w:themeColor="text1"/>
          <w:szCs w:val="24"/>
          <w:lang w:val="en-US"/>
        </w:rPr>
        <w:t xml:space="preserve"> is an appropriate strategy to</w:t>
      </w:r>
      <w:r w:rsidRPr="00A731B3">
        <w:rPr>
          <w:color w:val="000000" w:themeColor="text1"/>
          <w:szCs w:val="24"/>
          <w:lang w:val="en-US"/>
        </w:rPr>
        <w:t xml:space="preserve"> promote</w:t>
      </w:r>
      <w:r w:rsidR="000C4806">
        <w:rPr>
          <w:color w:val="000000" w:themeColor="text1"/>
          <w:szCs w:val="24"/>
          <w:lang w:val="en-US"/>
        </w:rPr>
        <w:t xml:space="preserve"> agriculture structural transformation</w:t>
      </w:r>
      <w:r w:rsidR="009A4E3C">
        <w:rPr>
          <w:color w:val="000000" w:themeColor="text1"/>
          <w:szCs w:val="24"/>
          <w:lang w:val="en-US"/>
        </w:rPr>
        <w:t xml:space="preserve"> in the region</w:t>
      </w:r>
      <w:r w:rsidR="000C4806">
        <w:rPr>
          <w:color w:val="000000" w:themeColor="text1"/>
          <w:szCs w:val="24"/>
          <w:lang w:val="en-US"/>
        </w:rPr>
        <w:t xml:space="preserve">. </w:t>
      </w:r>
    </w:p>
    <w:p w14:paraId="5A05EA75" w14:textId="0E1A3F83" w:rsidR="00A731B3" w:rsidRPr="00A73D50" w:rsidRDefault="00A731B3" w:rsidP="00A73D50">
      <w:pPr>
        <w:spacing w:after="0" w:line="360" w:lineRule="auto"/>
        <w:jc w:val="both"/>
        <w:rPr>
          <w:b/>
          <w:bCs/>
          <w:color w:val="000000" w:themeColor="text1"/>
          <w:szCs w:val="24"/>
          <w:lang w:val="en-US"/>
        </w:rPr>
      </w:pPr>
      <w:r w:rsidRPr="00A73D50">
        <w:rPr>
          <w:b/>
          <w:bCs/>
          <w:color w:val="000000" w:themeColor="text1"/>
          <w:szCs w:val="24"/>
          <w:lang w:val="en-US"/>
        </w:rPr>
        <w:t>Keywords:</w:t>
      </w:r>
      <w:r w:rsidR="000C5D1E" w:rsidRPr="00DD0FD1">
        <w:rPr>
          <w:lang w:val="en-US"/>
        </w:rPr>
        <w:t xml:space="preserve"> </w:t>
      </w:r>
      <w:r w:rsidR="000C5D1E" w:rsidRPr="000C5D1E">
        <w:rPr>
          <w:color w:val="000000" w:themeColor="text1"/>
          <w:szCs w:val="24"/>
          <w:lang w:val="en-US"/>
        </w:rPr>
        <w:t>Digitalization</w:t>
      </w:r>
      <w:r w:rsidR="000C5D1E" w:rsidRPr="00A73D50">
        <w:rPr>
          <w:color w:val="000000" w:themeColor="text1"/>
          <w:szCs w:val="24"/>
          <w:lang w:val="en-US"/>
        </w:rPr>
        <w:t>, agricultural structural transformation, Sub-</w:t>
      </w:r>
      <w:proofErr w:type="gramStart"/>
      <w:r w:rsidR="000C5D1E" w:rsidRPr="00A73D50">
        <w:rPr>
          <w:color w:val="000000" w:themeColor="text1"/>
          <w:szCs w:val="24"/>
          <w:lang w:val="en-US"/>
        </w:rPr>
        <w:t xml:space="preserve">Saharan </w:t>
      </w:r>
      <w:r w:rsidR="008C7D85">
        <w:rPr>
          <w:color w:val="000000" w:themeColor="text1"/>
          <w:szCs w:val="24"/>
          <w:lang w:val="en-US"/>
        </w:rPr>
        <w:t>,</w:t>
      </w:r>
      <w:r w:rsidR="00E6615B">
        <w:rPr>
          <w:color w:val="000000" w:themeColor="text1"/>
          <w:szCs w:val="24"/>
          <w:lang w:val="en-US"/>
        </w:rPr>
        <w:t>I</w:t>
      </w:r>
      <w:r w:rsidR="000C5D1E" w:rsidRPr="00A73D50">
        <w:rPr>
          <w:color w:val="000000" w:themeColor="text1"/>
          <w:szCs w:val="24"/>
          <w:lang w:val="en-US"/>
        </w:rPr>
        <w:t>nstrumental</w:t>
      </w:r>
      <w:proofErr w:type="gramEnd"/>
      <w:r w:rsidR="000C5D1E" w:rsidRPr="00A73D50">
        <w:rPr>
          <w:color w:val="000000" w:themeColor="text1"/>
          <w:szCs w:val="24"/>
          <w:lang w:val="en-US"/>
        </w:rPr>
        <w:t xml:space="preserve"> variables</w:t>
      </w:r>
    </w:p>
    <w:p w14:paraId="49862154" w14:textId="090E7301" w:rsidR="00542CE7" w:rsidRPr="0080732C" w:rsidRDefault="00A73D50" w:rsidP="00A731B3">
      <w:pPr>
        <w:spacing w:line="360" w:lineRule="auto"/>
        <w:jc w:val="both"/>
        <w:rPr>
          <w:bCs/>
          <w:color w:val="000000" w:themeColor="text1"/>
          <w:szCs w:val="24"/>
          <w:lang w:val="en-US"/>
        </w:rPr>
      </w:pPr>
      <w:r>
        <w:rPr>
          <w:b/>
          <w:bCs/>
          <w:color w:val="000000" w:themeColor="text1"/>
          <w:szCs w:val="24"/>
          <w:lang w:val="en-US"/>
        </w:rPr>
        <w:t>GEL Classification</w:t>
      </w:r>
      <w:r w:rsidR="00954320" w:rsidRPr="0080732C">
        <w:rPr>
          <w:bCs/>
          <w:color w:val="000000" w:themeColor="text1"/>
          <w:szCs w:val="24"/>
          <w:lang w:val="en-US"/>
        </w:rPr>
        <w:t xml:space="preserve">: </w:t>
      </w:r>
      <w:r w:rsidR="00742CE7" w:rsidRPr="0080732C">
        <w:rPr>
          <w:bCs/>
          <w:color w:val="000000" w:themeColor="text1"/>
          <w:szCs w:val="24"/>
          <w:lang w:val="en-US"/>
        </w:rPr>
        <w:t>O13, O30, O33.</w:t>
      </w:r>
    </w:p>
    <w:p w14:paraId="39B96736" w14:textId="77777777" w:rsidR="004C61E5" w:rsidRPr="0080732C" w:rsidRDefault="004C61E5" w:rsidP="00A731B3">
      <w:pPr>
        <w:spacing w:after="0" w:line="360" w:lineRule="auto"/>
        <w:rPr>
          <w:b/>
          <w:color w:val="000000" w:themeColor="text1"/>
          <w:lang w:val="en-US"/>
        </w:rPr>
      </w:pPr>
    </w:p>
    <w:p w14:paraId="18B95856" w14:textId="77777777" w:rsidR="004C61E5" w:rsidRPr="0080732C" w:rsidRDefault="004C61E5" w:rsidP="00A731B3">
      <w:pPr>
        <w:spacing w:after="0" w:line="360" w:lineRule="auto"/>
        <w:rPr>
          <w:b/>
          <w:color w:val="000000" w:themeColor="text1"/>
          <w:szCs w:val="24"/>
          <w:lang w:val="en-US"/>
        </w:rPr>
      </w:pPr>
    </w:p>
    <w:p w14:paraId="197EAD4B" w14:textId="77777777" w:rsidR="004C61E5" w:rsidRPr="0080732C" w:rsidRDefault="004C61E5" w:rsidP="00A731B3">
      <w:pPr>
        <w:spacing w:after="0" w:line="360" w:lineRule="auto"/>
        <w:rPr>
          <w:b/>
          <w:color w:val="000000" w:themeColor="text1"/>
          <w:szCs w:val="24"/>
          <w:lang w:val="en-US"/>
        </w:rPr>
      </w:pPr>
    </w:p>
    <w:p w14:paraId="2BCAC5C1" w14:textId="77777777" w:rsidR="004C61E5" w:rsidRPr="0080732C" w:rsidRDefault="004C61E5" w:rsidP="00A731B3">
      <w:pPr>
        <w:spacing w:after="0" w:line="360" w:lineRule="auto"/>
        <w:rPr>
          <w:b/>
          <w:color w:val="000000" w:themeColor="text1"/>
          <w:szCs w:val="24"/>
          <w:lang w:val="en-US"/>
        </w:rPr>
      </w:pPr>
    </w:p>
    <w:p w14:paraId="1D1136BC" w14:textId="77777777" w:rsidR="004C61E5" w:rsidRPr="0080732C" w:rsidRDefault="004C61E5" w:rsidP="00A731B3">
      <w:pPr>
        <w:spacing w:after="0" w:line="360" w:lineRule="auto"/>
        <w:rPr>
          <w:b/>
          <w:color w:val="000000" w:themeColor="text1"/>
          <w:szCs w:val="24"/>
          <w:lang w:val="en-US"/>
        </w:rPr>
      </w:pPr>
    </w:p>
    <w:p w14:paraId="386D97EC" w14:textId="77777777" w:rsidR="004C61E5" w:rsidRPr="0080732C" w:rsidRDefault="004C61E5" w:rsidP="00A731B3">
      <w:pPr>
        <w:spacing w:after="0" w:line="360" w:lineRule="auto"/>
        <w:rPr>
          <w:b/>
          <w:color w:val="000000" w:themeColor="text1"/>
          <w:szCs w:val="24"/>
          <w:lang w:val="en-US"/>
        </w:rPr>
      </w:pPr>
    </w:p>
    <w:p w14:paraId="5F6A1977" w14:textId="4DAAACF0" w:rsidR="004C61E5" w:rsidRDefault="004C61E5" w:rsidP="00A731B3">
      <w:pPr>
        <w:spacing w:after="0" w:line="360" w:lineRule="auto"/>
        <w:rPr>
          <w:b/>
          <w:bCs/>
          <w:color w:val="000000" w:themeColor="text1"/>
          <w:szCs w:val="24"/>
          <w:lang w:val="en-US"/>
        </w:rPr>
      </w:pPr>
    </w:p>
    <w:p w14:paraId="27B9551F" w14:textId="20E54E9D" w:rsidR="008E394A" w:rsidRDefault="008E394A" w:rsidP="00A731B3">
      <w:pPr>
        <w:spacing w:after="0" w:line="360" w:lineRule="auto"/>
        <w:rPr>
          <w:b/>
          <w:bCs/>
          <w:color w:val="000000" w:themeColor="text1"/>
          <w:szCs w:val="24"/>
          <w:lang w:val="en-US"/>
        </w:rPr>
      </w:pPr>
    </w:p>
    <w:p w14:paraId="18059BAE" w14:textId="769FFA90" w:rsidR="008E394A" w:rsidRDefault="008E394A" w:rsidP="00A731B3">
      <w:pPr>
        <w:spacing w:after="0" w:line="360" w:lineRule="auto"/>
        <w:rPr>
          <w:b/>
          <w:bCs/>
          <w:color w:val="000000" w:themeColor="text1"/>
          <w:szCs w:val="24"/>
          <w:lang w:val="en-US"/>
        </w:rPr>
      </w:pPr>
    </w:p>
    <w:p w14:paraId="725C5893" w14:textId="067C6454" w:rsidR="008E394A" w:rsidRDefault="008E394A" w:rsidP="00A731B3">
      <w:pPr>
        <w:spacing w:after="0" w:line="360" w:lineRule="auto"/>
        <w:rPr>
          <w:b/>
          <w:bCs/>
          <w:color w:val="000000" w:themeColor="text1"/>
          <w:szCs w:val="24"/>
          <w:lang w:val="en-US"/>
        </w:rPr>
      </w:pPr>
    </w:p>
    <w:p w14:paraId="6D219CCA" w14:textId="0A6D25B4" w:rsidR="008E394A" w:rsidRDefault="008E394A" w:rsidP="00A731B3">
      <w:pPr>
        <w:spacing w:after="0" w:line="360" w:lineRule="auto"/>
        <w:rPr>
          <w:b/>
          <w:bCs/>
          <w:color w:val="000000" w:themeColor="text1"/>
          <w:szCs w:val="24"/>
          <w:lang w:val="en-US"/>
        </w:rPr>
      </w:pPr>
    </w:p>
    <w:p w14:paraId="53D128CD" w14:textId="7E6FBD6D" w:rsidR="005B2534" w:rsidRDefault="005B2534" w:rsidP="00A731B3">
      <w:pPr>
        <w:spacing w:after="0" w:line="360" w:lineRule="auto"/>
        <w:jc w:val="both"/>
        <w:rPr>
          <w:b/>
          <w:bCs/>
          <w:color w:val="000000" w:themeColor="text1"/>
          <w:szCs w:val="24"/>
          <w:lang w:val="en-US"/>
        </w:rPr>
      </w:pPr>
    </w:p>
    <w:p w14:paraId="3C543BE4" w14:textId="77777777" w:rsidR="002F02A1" w:rsidRDefault="002F02A1" w:rsidP="00A731B3">
      <w:pPr>
        <w:spacing w:after="0" w:line="360" w:lineRule="auto"/>
        <w:jc w:val="both"/>
        <w:rPr>
          <w:b/>
          <w:bCs/>
          <w:color w:val="000000" w:themeColor="text1"/>
          <w:szCs w:val="24"/>
          <w:lang w:val="en-US"/>
        </w:rPr>
      </w:pPr>
    </w:p>
    <w:p w14:paraId="045FD72E" w14:textId="0F01F20C" w:rsidR="004C61E5" w:rsidRPr="002F02A1" w:rsidRDefault="004C61E5" w:rsidP="002F02A1">
      <w:pPr>
        <w:pStyle w:val="ListParagraph"/>
        <w:numPr>
          <w:ilvl w:val="0"/>
          <w:numId w:val="6"/>
        </w:numPr>
        <w:spacing w:after="0" w:line="360" w:lineRule="auto"/>
        <w:jc w:val="both"/>
        <w:rPr>
          <w:b/>
          <w:bCs/>
          <w:color w:val="000000" w:themeColor="text1"/>
          <w:szCs w:val="24"/>
          <w:lang w:val="en-US"/>
        </w:rPr>
      </w:pPr>
      <w:r w:rsidRPr="002F02A1">
        <w:rPr>
          <w:b/>
          <w:bCs/>
          <w:color w:val="000000" w:themeColor="text1"/>
          <w:szCs w:val="24"/>
          <w:lang w:val="en-US"/>
        </w:rPr>
        <w:t>Introduction</w:t>
      </w:r>
    </w:p>
    <w:p w14:paraId="47FC8270" w14:textId="40C19A92" w:rsidR="002C0624" w:rsidRPr="006931FA" w:rsidRDefault="00465AD3" w:rsidP="00AB727B">
      <w:pPr>
        <w:spacing w:after="0" w:line="360" w:lineRule="auto"/>
        <w:jc w:val="both"/>
        <w:rPr>
          <w:lang w:val="en-US"/>
        </w:rPr>
      </w:pPr>
      <w:r w:rsidRPr="00465AD3">
        <w:rPr>
          <w:lang w:val="en-US"/>
        </w:rPr>
        <w:lastRenderedPageBreak/>
        <w:t>Rural households in sub-Saharan Africa rely more on on-farm and less on off-farm income than rural households in countries with similar GDP per capita</w:t>
      </w:r>
      <w:r>
        <w:rPr>
          <w:lang w:val="en-US"/>
        </w:rPr>
        <w:t xml:space="preserve"> (</w:t>
      </w:r>
      <w:r w:rsidRPr="00465AD3">
        <w:rPr>
          <w:lang w:val="en-US"/>
        </w:rPr>
        <w:t>Ana Paula</w:t>
      </w:r>
      <w:r>
        <w:rPr>
          <w:lang w:val="en-US"/>
        </w:rPr>
        <w:t xml:space="preserve"> D.O</w:t>
      </w:r>
      <w:r w:rsidR="00B4587F">
        <w:rPr>
          <w:lang w:val="en-US"/>
        </w:rPr>
        <w:t xml:space="preserve"> C</w:t>
      </w:r>
      <w:r>
        <w:rPr>
          <w:lang w:val="en-US"/>
        </w:rPr>
        <w:t xml:space="preserve">. </w:t>
      </w:r>
      <w:r w:rsidRPr="00B4587F">
        <w:rPr>
          <w:i/>
          <w:lang w:val="en-US"/>
        </w:rPr>
        <w:t xml:space="preserve">et </w:t>
      </w:r>
      <w:r w:rsidR="00B4587F" w:rsidRPr="00B4587F">
        <w:rPr>
          <w:i/>
          <w:lang w:val="en-US"/>
        </w:rPr>
        <w:t>a</w:t>
      </w:r>
      <w:r w:rsidRPr="00B4587F">
        <w:rPr>
          <w:i/>
          <w:lang w:val="en-US"/>
        </w:rPr>
        <w:t>l</w:t>
      </w:r>
      <w:r>
        <w:rPr>
          <w:lang w:val="en-US"/>
        </w:rPr>
        <w:t>.</w:t>
      </w:r>
      <w:r w:rsidR="00B4587F">
        <w:rPr>
          <w:lang w:val="en-US"/>
        </w:rPr>
        <w:t>,</w:t>
      </w:r>
      <w:r>
        <w:rPr>
          <w:lang w:val="en-US"/>
        </w:rPr>
        <w:t xml:space="preserve"> 2025)</w:t>
      </w:r>
      <w:r w:rsidRPr="00465AD3">
        <w:rPr>
          <w:lang w:val="en-US"/>
        </w:rPr>
        <w:t>.</w:t>
      </w:r>
      <w:r>
        <w:rPr>
          <w:lang w:val="en-US"/>
        </w:rPr>
        <w:t xml:space="preserve"> </w:t>
      </w:r>
      <w:r w:rsidR="002C0624" w:rsidRPr="006931FA">
        <w:rPr>
          <w:lang w:val="en-US"/>
        </w:rPr>
        <w:t>Even though Sub-Saharan Africa (SSA) economies recorded encouraging economic performance the</w:t>
      </w:r>
      <w:r w:rsidR="00734EC4">
        <w:rPr>
          <w:lang w:val="en-US"/>
        </w:rPr>
        <w:t>se</w:t>
      </w:r>
      <w:r w:rsidR="002C0624" w:rsidRPr="006931FA">
        <w:rPr>
          <w:lang w:val="en-US"/>
        </w:rPr>
        <w:t xml:space="preserve"> last twenty years, their agricultural performance in terms of productivity growth stills lacking behind, when compared to other regions (</w:t>
      </w:r>
      <w:proofErr w:type="spellStart"/>
      <w:r w:rsidR="002C0624" w:rsidRPr="006931FA">
        <w:rPr>
          <w:lang w:val="en-US"/>
        </w:rPr>
        <w:t>Bachewe</w:t>
      </w:r>
      <w:proofErr w:type="spellEnd"/>
      <w:r w:rsidR="002C0624" w:rsidRPr="006931FA">
        <w:rPr>
          <w:lang w:val="en-US"/>
        </w:rPr>
        <w:t xml:space="preserve"> </w:t>
      </w:r>
      <w:r w:rsidR="002C0624" w:rsidRPr="00B4587F">
        <w:rPr>
          <w:i/>
          <w:lang w:val="en-US"/>
        </w:rPr>
        <w:t>et al</w:t>
      </w:r>
      <w:r w:rsidR="002C0624" w:rsidRPr="006931FA">
        <w:rPr>
          <w:lang w:val="en-US"/>
        </w:rPr>
        <w:t xml:space="preserve">., 2018; NEPAD, 2013). Some agricultural scientists found that the region is falling apart and even falling away from agricultural production frontier, thus, questioning the defended convergence hypothesis (Pilo et al, 2021; </w:t>
      </w:r>
      <w:proofErr w:type="spellStart"/>
      <w:r w:rsidR="002C0624" w:rsidRPr="006931FA">
        <w:rPr>
          <w:lang w:val="en-US"/>
        </w:rPr>
        <w:t>Wurlod</w:t>
      </w:r>
      <w:proofErr w:type="spellEnd"/>
      <w:r w:rsidR="002C0624" w:rsidRPr="006931FA">
        <w:rPr>
          <w:lang w:val="en-US"/>
        </w:rPr>
        <w:t xml:space="preserve"> and Eaton, 2015). </w:t>
      </w:r>
      <w:r w:rsidR="00AB727B">
        <w:rPr>
          <w:lang w:val="en-US"/>
        </w:rPr>
        <w:t xml:space="preserve">This situation renders challenging the transformation dynamics of the region.  </w:t>
      </w:r>
      <w:r w:rsidR="00AB727B" w:rsidRPr="00AB727B">
        <w:rPr>
          <w:lang w:val="en-US"/>
        </w:rPr>
        <w:t xml:space="preserve">In the </w:t>
      </w:r>
      <w:r w:rsidR="00AB727B">
        <w:rPr>
          <w:lang w:val="en-US"/>
        </w:rPr>
        <w:t xml:space="preserve">African context, the process of </w:t>
      </w:r>
      <w:r w:rsidR="00AB727B" w:rsidRPr="00AB727B">
        <w:rPr>
          <w:lang w:val="en-US"/>
        </w:rPr>
        <w:t>achieving a complete agricultural transformation has been truncate</w:t>
      </w:r>
      <w:r w:rsidR="00AB727B">
        <w:rPr>
          <w:lang w:val="en-US"/>
        </w:rPr>
        <w:t xml:space="preserve">d (Martin et al., 2024). Gollin (2023), for instance, </w:t>
      </w:r>
      <w:r w:rsidR="00AB727B" w:rsidRPr="00AB727B">
        <w:rPr>
          <w:lang w:val="en-US"/>
        </w:rPr>
        <w:t>warns that rural and urban economies in Africa often are sepa</w:t>
      </w:r>
      <w:r w:rsidR="00AB727B">
        <w:rPr>
          <w:lang w:val="en-US"/>
        </w:rPr>
        <w:t xml:space="preserve">rated, with potentially adverse </w:t>
      </w:r>
      <w:r w:rsidR="00AB727B" w:rsidRPr="00AB727B">
        <w:rPr>
          <w:lang w:val="en-US"/>
        </w:rPr>
        <w:t xml:space="preserve">implications for overall development prospects. </w:t>
      </w:r>
      <w:r w:rsidR="002C0624" w:rsidRPr="006931FA">
        <w:rPr>
          <w:lang w:val="en-US"/>
        </w:rPr>
        <w:t>Several references made it clear that SSA countries need to double (and perhaps triple) agricultural productivity to overcome food security is</w:t>
      </w:r>
      <w:r w:rsidR="002C0624">
        <w:rPr>
          <w:lang w:val="en-US"/>
        </w:rPr>
        <w:t>sue in a changing climate</w:t>
      </w:r>
      <w:r w:rsidR="002C0624" w:rsidRPr="006931FA">
        <w:rPr>
          <w:lang w:val="en-US"/>
        </w:rPr>
        <w:t xml:space="preserve"> context (</w:t>
      </w:r>
      <w:proofErr w:type="spellStart"/>
      <w:r w:rsidR="002C0624" w:rsidRPr="006931FA">
        <w:rPr>
          <w:lang w:val="en-US"/>
        </w:rPr>
        <w:t>Lokonon</w:t>
      </w:r>
      <w:proofErr w:type="spellEnd"/>
      <w:r w:rsidR="002C0624" w:rsidRPr="006931FA">
        <w:rPr>
          <w:lang w:val="en-US"/>
        </w:rPr>
        <w:t xml:space="preserve"> </w:t>
      </w:r>
      <w:r w:rsidR="002C0624" w:rsidRPr="005243F7">
        <w:rPr>
          <w:i/>
          <w:lang w:val="en-US"/>
        </w:rPr>
        <w:t>et al</w:t>
      </w:r>
      <w:r w:rsidR="002C0624" w:rsidRPr="006931FA">
        <w:rPr>
          <w:lang w:val="en-US"/>
        </w:rPr>
        <w:t>. 201</w:t>
      </w:r>
      <w:r w:rsidR="002C0624">
        <w:rPr>
          <w:lang w:val="en-US"/>
        </w:rPr>
        <w:t>9</w:t>
      </w:r>
      <w:r w:rsidR="002C0624" w:rsidRPr="006931FA">
        <w:rPr>
          <w:lang w:val="en-US"/>
        </w:rPr>
        <w:t xml:space="preserve">). This trend depicts </w:t>
      </w:r>
      <w:r w:rsidR="008C5615">
        <w:rPr>
          <w:lang w:val="en-US"/>
        </w:rPr>
        <w:t xml:space="preserve">the </w:t>
      </w:r>
      <w:r w:rsidR="002C0624" w:rsidRPr="006931FA">
        <w:rPr>
          <w:lang w:val="en-US"/>
        </w:rPr>
        <w:t xml:space="preserve">challenges agricultural development stakeholders face actually in their effort to sustain the walk of SSA region towards a region without hunger. In line to this “Feed Africa” is retained as the first goal of the “Highs 5s” by the African Development Bank (AfDB). Agricultural produce constitutes an important source of food and nutrition security (Pandey </w:t>
      </w:r>
      <w:r w:rsidR="002C0624" w:rsidRPr="00C129D7">
        <w:rPr>
          <w:i/>
          <w:lang w:val="en-US"/>
        </w:rPr>
        <w:t>et al</w:t>
      </w:r>
      <w:r w:rsidR="002C0624" w:rsidRPr="006931FA">
        <w:rPr>
          <w:lang w:val="en-US"/>
        </w:rPr>
        <w:t>., 2016). Famers in developing countries devotes considerable share of their production to household consumption. In addition, a dynamic agricultural sector is vital to poverty reduction and overall economic growth improvement (</w:t>
      </w:r>
      <w:proofErr w:type="spellStart"/>
      <w:r w:rsidR="002C0624" w:rsidRPr="006931FA">
        <w:rPr>
          <w:lang w:val="en-US"/>
        </w:rPr>
        <w:t>Bachewe</w:t>
      </w:r>
      <w:proofErr w:type="spellEnd"/>
      <w:r w:rsidR="002C0624" w:rsidRPr="006931FA">
        <w:rPr>
          <w:lang w:val="en-US"/>
        </w:rPr>
        <w:t xml:space="preserve"> </w:t>
      </w:r>
      <w:r w:rsidR="002C0624" w:rsidRPr="00C129D7">
        <w:rPr>
          <w:i/>
          <w:lang w:val="en-US"/>
        </w:rPr>
        <w:t>et al</w:t>
      </w:r>
      <w:r w:rsidR="002C0624" w:rsidRPr="006931FA">
        <w:rPr>
          <w:lang w:val="en-US"/>
        </w:rPr>
        <w:t>.,</w:t>
      </w:r>
      <w:r w:rsidR="007D59F4">
        <w:rPr>
          <w:lang w:val="en-US"/>
        </w:rPr>
        <w:t xml:space="preserve"> 2018; Badiane</w:t>
      </w:r>
      <w:r w:rsidR="002C0624">
        <w:rPr>
          <w:lang w:val="en-US"/>
        </w:rPr>
        <w:t xml:space="preserve"> </w:t>
      </w:r>
      <w:r w:rsidR="002C0624" w:rsidRPr="00C129D7">
        <w:rPr>
          <w:i/>
          <w:lang w:val="en-US"/>
        </w:rPr>
        <w:t>et al</w:t>
      </w:r>
      <w:r w:rsidR="002C0624">
        <w:rPr>
          <w:lang w:val="en-US"/>
        </w:rPr>
        <w:t xml:space="preserve">., 2015). </w:t>
      </w:r>
    </w:p>
    <w:p w14:paraId="3D24D76F" w14:textId="5DBABCD7" w:rsidR="002C0624" w:rsidRPr="006931FA" w:rsidRDefault="002C0624" w:rsidP="002C0624">
      <w:pPr>
        <w:spacing w:after="0" w:line="360" w:lineRule="auto"/>
        <w:jc w:val="both"/>
        <w:rPr>
          <w:lang w:val="en-US"/>
        </w:rPr>
      </w:pPr>
      <w:r w:rsidRPr="006931FA">
        <w:rPr>
          <w:lang w:val="en-US"/>
        </w:rPr>
        <w:t xml:space="preserve">In this context, FAO (2017) affirms that “digitalization for agriculture can be a game changer in supporting and accelerating agricultural transformation across African continent”. </w:t>
      </w:r>
      <w:r w:rsidR="004B7D58">
        <w:rPr>
          <w:lang w:val="en-US"/>
        </w:rPr>
        <w:t xml:space="preserve">Structural change is important driver of productivity (Kuosmanen and </w:t>
      </w:r>
      <w:r w:rsidR="004B7D58" w:rsidRPr="004B7D58">
        <w:rPr>
          <w:lang w:val="en-US"/>
        </w:rPr>
        <w:t>Kuosmanen</w:t>
      </w:r>
      <w:r w:rsidR="004B7D58">
        <w:rPr>
          <w:lang w:val="en-US"/>
        </w:rPr>
        <w:t>, 2021).</w:t>
      </w:r>
      <w:r w:rsidR="004B7D58" w:rsidRPr="004B7D58">
        <w:rPr>
          <w:lang w:val="en-US"/>
        </w:rPr>
        <w:t xml:space="preserve"> </w:t>
      </w:r>
      <w:r w:rsidRPr="006931FA">
        <w:rPr>
          <w:lang w:val="en-US"/>
        </w:rPr>
        <w:t xml:space="preserve">Agricultural transformation is crucial to successfully deal with a variety of persistent challenges in Africa and boost economic development. According to the 1979 Nobel Prize Lewis’s two sectors model, transforming agriculture will lead to the modern sector (industrial sector) development (Lewis, 1954). </w:t>
      </w:r>
      <w:r w:rsidR="0013690A">
        <w:rPr>
          <w:lang w:val="en-US"/>
        </w:rPr>
        <w:t xml:space="preserve">This idea is supported by the </w:t>
      </w:r>
      <w:r w:rsidR="007A14BD">
        <w:rPr>
          <w:lang w:val="en-US"/>
        </w:rPr>
        <w:t>work</w:t>
      </w:r>
      <w:r w:rsidR="0013690A">
        <w:rPr>
          <w:lang w:val="en-US"/>
        </w:rPr>
        <w:t xml:space="preserve"> of </w:t>
      </w:r>
      <w:proofErr w:type="spellStart"/>
      <w:r w:rsidR="0013690A" w:rsidRPr="0013690A">
        <w:rPr>
          <w:lang w:val="en-US"/>
        </w:rPr>
        <w:t>Irandoust</w:t>
      </w:r>
      <w:proofErr w:type="spellEnd"/>
      <w:r w:rsidR="007A14BD">
        <w:rPr>
          <w:lang w:val="en-US"/>
        </w:rPr>
        <w:t xml:space="preserve"> (2022) whose findings support the hypothesis of positive impact of agricultural growth on industrial sector. </w:t>
      </w:r>
      <w:r w:rsidRPr="006931FA">
        <w:rPr>
          <w:lang w:val="en-US"/>
        </w:rPr>
        <w:t>Traditionally, agricultural transformation is influenced by labor and capital. These factors are potentially affected by agricultural digitalization. Indeed, digitalizing agriculture impacts upon agricultural yield and the development of agribusiness (</w:t>
      </w:r>
      <w:r w:rsidR="005A7A12" w:rsidRPr="00465AD3">
        <w:rPr>
          <w:lang w:val="en-US"/>
        </w:rPr>
        <w:t>Ana Paula</w:t>
      </w:r>
      <w:r w:rsidR="005A7A12">
        <w:rPr>
          <w:lang w:val="en-US"/>
        </w:rPr>
        <w:t xml:space="preserve"> D.O C. </w:t>
      </w:r>
      <w:r w:rsidR="005A7A12" w:rsidRPr="00B4587F">
        <w:rPr>
          <w:i/>
          <w:lang w:val="en-US"/>
        </w:rPr>
        <w:t>et al</w:t>
      </w:r>
      <w:r w:rsidR="005A7A12">
        <w:rPr>
          <w:lang w:val="en-US"/>
        </w:rPr>
        <w:t>., 2025</w:t>
      </w:r>
      <w:r w:rsidRPr="006931FA">
        <w:rPr>
          <w:lang w:val="en-US"/>
        </w:rPr>
        <w:t xml:space="preserve">). It leads to declines in transaction costs, communication cost, search costs and replication costs. </w:t>
      </w:r>
      <w:r w:rsidR="002E4ABE" w:rsidRPr="002E4ABE">
        <w:rPr>
          <w:lang w:val="en-US"/>
        </w:rPr>
        <w:t xml:space="preserve">Off-farm income, </w:t>
      </w:r>
      <w:r w:rsidR="002E4ABE" w:rsidRPr="002E4ABE">
        <w:rPr>
          <w:lang w:val="en-US"/>
        </w:rPr>
        <w:lastRenderedPageBreak/>
        <w:t>like wages and self-employment, benefit both poorer and wealthier households across regions and hold significant poverty-reducing potential</w:t>
      </w:r>
      <w:r w:rsidR="002E4ABE">
        <w:rPr>
          <w:lang w:val="en-US"/>
        </w:rPr>
        <w:t xml:space="preserve"> (</w:t>
      </w:r>
      <w:r w:rsidR="002E4ABE" w:rsidRPr="00465AD3">
        <w:rPr>
          <w:lang w:val="en-US"/>
        </w:rPr>
        <w:t>Ana Paula</w:t>
      </w:r>
      <w:r w:rsidR="002E4ABE">
        <w:rPr>
          <w:lang w:val="en-US"/>
        </w:rPr>
        <w:t xml:space="preserve"> D.O C. </w:t>
      </w:r>
      <w:r w:rsidR="002E4ABE" w:rsidRPr="00B4587F">
        <w:rPr>
          <w:i/>
          <w:lang w:val="en-US"/>
        </w:rPr>
        <w:t>et al</w:t>
      </w:r>
      <w:r w:rsidR="002E4ABE">
        <w:rPr>
          <w:lang w:val="en-US"/>
        </w:rPr>
        <w:t>., 2025)</w:t>
      </w:r>
      <w:r w:rsidR="002E4ABE" w:rsidRPr="00465AD3">
        <w:rPr>
          <w:lang w:val="en-US"/>
        </w:rPr>
        <w:t>.</w:t>
      </w:r>
    </w:p>
    <w:p w14:paraId="6F9A3D4D" w14:textId="40E1215C" w:rsidR="002C0624" w:rsidRDefault="002C0624" w:rsidP="002C0624">
      <w:pPr>
        <w:spacing w:after="0" w:line="360" w:lineRule="auto"/>
        <w:jc w:val="both"/>
        <w:rPr>
          <w:lang w:val="en-US"/>
        </w:rPr>
      </w:pPr>
      <w:r w:rsidRPr="006931FA">
        <w:rPr>
          <w:lang w:val="en-US"/>
        </w:rPr>
        <w:t>SSA farmers and pastoralists are already experiencing digitalization at a rate of about 44% per annum (CTA, 2019). The digitalization of African agriculture report 2018-2019 concluded that 33 million of smallholder farmers and pastoralists are using information technology in their agricultural activities (CTA, 2019). This represents 13 to 45 % of</w:t>
      </w:r>
      <w:r w:rsidR="005750DA">
        <w:rPr>
          <w:lang w:val="en-US"/>
        </w:rPr>
        <w:t xml:space="preserve"> SSA farmers and pastoralists. </w:t>
      </w:r>
    </w:p>
    <w:p w14:paraId="17C9A9DB" w14:textId="77777777" w:rsidR="005750DA" w:rsidRPr="006931FA" w:rsidRDefault="005750DA" w:rsidP="002C0624">
      <w:pPr>
        <w:spacing w:after="0" w:line="360" w:lineRule="auto"/>
        <w:jc w:val="both"/>
        <w:rPr>
          <w:lang w:val="en-US"/>
        </w:rPr>
      </w:pPr>
    </w:p>
    <w:p w14:paraId="0B2EB474" w14:textId="3941616F" w:rsidR="002C0624" w:rsidRPr="002C0624" w:rsidRDefault="002C0624" w:rsidP="002C0624">
      <w:pPr>
        <w:spacing w:after="0" w:line="360" w:lineRule="auto"/>
        <w:jc w:val="both"/>
        <w:rPr>
          <w:lang w:val="en-US"/>
        </w:rPr>
      </w:pPr>
      <w:r w:rsidRPr="006931FA">
        <w:rPr>
          <w:lang w:val="en-US"/>
        </w:rPr>
        <w:t>From theoretical point of view, the positive impact of digitalization is defended by s</w:t>
      </w:r>
      <w:r w:rsidR="00B26DB5">
        <w:rPr>
          <w:lang w:val="en-US"/>
        </w:rPr>
        <w:t xml:space="preserve">ome authors who consider </w:t>
      </w:r>
      <w:r w:rsidR="00D45CBB">
        <w:rPr>
          <w:lang w:val="en-US"/>
        </w:rPr>
        <w:t>that information technology</w:t>
      </w:r>
      <w:r w:rsidRPr="006931FA">
        <w:rPr>
          <w:lang w:val="en-US"/>
        </w:rPr>
        <w:t xml:space="preserve"> play</w:t>
      </w:r>
      <w:r>
        <w:rPr>
          <w:lang w:val="en-US"/>
        </w:rPr>
        <w:t>s</w:t>
      </w:r>
      <w:r w:rsidRPr="006931FA">
        <w:rPr>
          <w:lang w:val="en-US"/>
        </w:rPr>
        <w:t xml:space="preserve"> crucial role in the accumulation of capital an</w:t>
      </w:r>
      <w:r w:rsidR="005D0CBF">
        <w:rPr>
          <w:lang w:val="en-US"/>
        </w:rPr>
        <w:t xml:space="preserve">d the increase of productivity. </w:t>
      </w:r>
      <w:r w:rsidRPr="00B303ED">
        <w:rPr>
          <w:lang w:val="en-US"/>
        </w:rPr>
        <w:t xml:space="preserve">According to Ehlers </w:t>
      </w:r>
      <w:r w:rsidRPr="00C129D7">
        <w:rPr>
          <w:i/>
          <w:lang w:val="en-US"/>
        </w:rPr>
        <w:t>et al</w:t>
      </w:r>
      <w:r w:rsidRPr="00B303ED">
        <w:rPr>
          <w:lang w:val="en-US"/>
        </w:rPr>
        <w:t xml:space="preserve">. (2021), digitalization is a driver of agricultural development in Europe. Similarly, Fleming </w:t>
      </w:r>
      <w:r w:rsidRPr="00C129D7">
        <w:rPr>
          <w:i/>
          <w:lang w:val="en-US"/>
        </w:rPr>
        <w:t>et al</w:t>
      </w:r>
      <w:r w:rsidRPr="00B303ED">
        <w:rPr>
          <w:lang w:val="en-US"/>
        </w:rPr>
        <w:t xml:space="preserve">. (2021) show that digitalization is essential for the development of the Australian agricultural sector. </w:t>
      </w:r>
      <w:r w:rsidRPr="006931FA">
        <w:rPr>
          <w:lang w:val="en-US"/>
        </w:rPr>
        <w:t xml:space="preserve">However, other authors pointed that digitalization has no productivity impact </w:t>
      </w:r>
      <w:r w:rsidRPr="000E4CE6">
        <w:rPr>
          <w:color w:val="000000" w:themeColor="text1"/>
          <w:lang w:val="en-US"/>
        </w:rPr>
        <w:t xml:space="preserve">(Solow, 1987; Drew, 2003). </w:t>
      </w:r>
      <w:r w:rsidRPr="006931FA">
        <w:rPr>
          <w:lang w:val="en-US"/>
        </w:rPr>
        <w:t>This opposed view is known as Solow paradox or productivity paradox. The Solow paradox emerged in reference to the slowdown in productivity growth in the USA between 1970 and 1980 despite significant improvement of information technology (IT). With no consensus at theoretical level, economists refer to empirical studies to answer to the question: shall agricultural policies target digitalization? The response to such a question provides clear evidence to policymakers. Thus, against the two contradictory theoretical views, this paper contributes to the literature by providing rigorous evidence of the effect of digitalization on agricultural transformation in SSA. To the best of our knowledge, no empirical study has dealt with such a topic at SSA region level. Of course, some country specific studies can be cited while discussing about the role of inf</w:t>
      </w:r>
      <w:r>
        <w:rPr>
          <w:lang w:val="en-US"/>
        </w:rPr>
        <w:t xml:space="preserve">ormation technology related to </w:t>
      </w:r>
      <w:r w:rsidRPr="006931FA">
        <w:rPr>
          <w:lang w:val="en-US"/>
        </w:rPr>
        <w:t xml:space="preserve">agricultural transformation dynamics. </w:t>
      </w:r>
      <w:r w:rsidR="005B2534">
        <w:rPr>
          <w:lang w:val="en-US"/>
        </w:rPr>
        <w:t xml:space="preserve">These includes </w:t>
      </w:r>
      <w:proofErr w:type="spellStart"/>
      <w:r w:rsidRPr="002C0624">
        <w:rPr>
          <w:lang w:val="en-US"/>
        </w:rPr>
        <w:t>Bachewe</w:t>
      </w:r>
      <w:proofErr w:type="spellEnd"/>
      <w:r w:rsidRPr="002C0624">
        <w:rPr>
          <w:lang w:val="en-US"/>
        </w:rPr>
        <w:t xml:space="preserve"> </w:t>
      </w:r>
      <w:r w:rsidRPr="00C129D7">
        <w:rPr>
          <w:i/>
          <w:lang w:val="en-US"/>
        </w:rPr>
        <w:t>et al</w:t>
      </w:r>
      <w:r w:rsidR="00067AE8">
        <w:rPr>
          <w:lang w:val="en-US"/>
        </w:rPr>
        <w:t>. (2018)</w:t>
      </w:r>
      <w:r w:rsidRPr="002C0624">
        <w:rPr>
          <w:lang w:val="en-US"/>
        </w:rPr>
        <w:t>.</w:t>
      </w:r>
    </w:p>
    <w:p w14:paraId="3F73F22D" w14:textId="77777777" w:rsidR="007C5E55" w:rsidRDefault="007C5E55" w:rsidP="001F58F2">
      <w:pPr>
        <w:spacing w:line="360" w:lineRule="auto"/>
        <w:jc w:val="both"/>
        <w:rPr>
          <w:szCs w:val="24"/>
          <w:lang w:val="en-US"/>
        </w:rPr>
      </w:pPr>
    </w:p>
    <w:p w14:paraId="1D760952" w14:textId="77777777" w:rsidR="005B7159" w:rsidRDefault="005B7159" w:rsidP="001F58F2">
      <w:pPr>
        <w:spacing w:line="360" w:lineRule="auto"/>
        <w:jc w:val="both"/>
        <w:rPr>
          <w:szCs w:val="24"/>
          <w:lang w:val="en-US"/>
        </w:rPr>
      </w:pPr>
    </w:p>
    <w:p w14:paraId="545061CF" w14:textId="77777777" w:rsidR="005B7159" w:rsidRDefault="005B7159" w:rsidP="001F58F2">
      <w:pPr>
        <w:spacing w:line="360" w:lineRule="auto"/>
        <w:jc w:val="both"/>
        <w:rPr>
          <w:szCs w:val="24"/>
          <w:lang w:val="en-US"/>
        </w:rPr>
      </w:pPr>
    </w:p>
    <w:p w14:paraId="5E1E7C57" w14:textId="77777777" w:rsidR="007C5E55" w:rsidRDefault="007C5E55" w:rsidP="001F58F2">
      <w:pPr>
        <w:spacing w:line="360" w:lineRule="auto"/>
        <w:jc w:val="both"/>
        <w:rPr>
          <w:szCs w:val="24"/>
          <w:lang w:val="en-US"/>
        </w:rPr>
      </w:pPr>
    </w:p>
    <w:p w14:paraId="52950732" w14:textId="77777777" w:rsidR="007C5E55" w:rsidRDefault="007C5E55" w:rsidP="001F58F2">
      <w:pPr>
        <w:spacing w:line="360" w:lineRule="auto"/>
        <w:jc w:val="both"/>
        <w:rPr>
          <w:szCs w:val="24"/>
          <w:lang w:val="en-US"/>
        </w:rPr>
      </w:pPr>
    </w:p>
    <w:p w14:paraId="3A41F117" w14:textId="77777777" w:rsidR="007C5E55" w:rsidRPr="001F58F2" w:rsidRDefault="007C5E55" w:rsidP="001F58F2">
      <w:pPr>
        <w:spacing w:line="360" w:lineRule="auto"/>
        <w:jc w:val="both"/>
        <w:rPr>
          <w:szCs w:val="24"/>
          <w:lang w:val="en-US"/>
        </w:rPr>
      </w:pPr>
    </w:p>
    <w:p w14:paraId="308F8CE2" w14:textId="4A6CF5A8" w:rsidR="00986AA0" w:rsidRPr="00A731B3" w:rsidRDefault="00796AEF" w:rsidP="00A731B3">
      <w:pPr>
        <w:spacing w:line="360" w:lineRule="auto"/>
        <w:rPr>
          <w:b/>
          <w:bCs/>
          <w:color w:val="000000" w:themeColor="text1"/>
          <w:lang w:val="en-US"/>
        </w:rPr>
      </w:pPr>
      <w:r w:rsidRPr="00A731B3">
        <w:rPr>
          <w:b/>
          <w:bCs/>
          <w:color w:val="000000" w:themeColor="text1"/>
          <w:lang w:val="en-US"/>
        </w:rPr>
        <w:t xml:space="preserve">2. </w:t>
      </w:r>
      <w:r w:rsidR="00986AA0" w:rsidRPr="00A731B3">
        <w:rPr>
          <w:b/>
          <w:bCs/>
          <w:color w:val="000000" w:themeColor="text1"/>
          <w:lang w:val="en-US"/>
        </w:rPr>
        <w:t>Some stylized facts</w:t>
      </w:r>
    </w:p>
    <w:p w14:paraId="07FA8CF0" w14:textId="31B59085" w:rsidR="004C61E5" w:rsidRPr="005B7159" w:rsidRDefault="00986AA0" w:rsidP="005B7159">
      <w:pPr>
        <w:spacing w:line="360" w:lineRule="auto"/>
        <w:jc w:val="both"/>
        <w:rPr>
          <w:color w:val="000000" w:themeColor="text1"/>
          <w:lang w:val="en-US"/>
        </w:rPr>
      </w:pPr>
      <w:r w:rsidRPr="00A731B3">
        <w:rPr>
          <w:color w:val="000000" w:themeColor="text1"/>
          <w:lang w:val="en-US"/>
        </w:rPr>
        <w:lastRenderedPageBreak/>
        <w:t xml:space="preserve">This section presents stylized facts on structural transformation in Sub-Saharan Africa based on output indicators. It </w:t>
      </w:r>
      <w:r w:rsidR="00FA466A" w:rsidRPr="0080732C">
        <w:rPr>
          <w:color w:val="000000" w:themeColor="text1"/>
          <w:lang w:val="en-US"/>
        </w:rPr>
        <w:t>presents also</w:t>
      </w:r>
      <w:r w:rsidR="002F5747">
        <w:rPr>
          <w:color w:val="000000" w:themeColor="text1"/>
          <w:lang w:val="en-US"/>
        </w:rPr>
        <w:t xml:space="preserve"> the dynamics of Information Communication Technology</w:t>
      </w:r>
      <w:r w:rsidRPr="00A731B3">
        <w:rPr>
          <w:color w:val="000000" w:themeColor="text1"/>
          <w:lang w:val="en-US"/>
        </w:rPr>
        <w:t xml:space="preserve"> </w:t>
      </w:r>
      <w:r w:rsidR="002F5747">
        <w:rPr>
          <w:color w:val="000000" w:themeColor="text1"/>
          <w:lang w:val="en-US"/>
        </w:rPr>
        <w:t xml:space="preserve">(ICT) </w:t>
      </w:r>
      <w:r w:rsidRPr="00A731B3">
        <w:rPr>
          <w:color w:val="000000" w:themeColor="text1"/>
          <w:lang w:val="en-US"/>
        </w:rPr>
        <w:t>measures as well as the link between ICT and the reallocation of agricultural labor in SSA. The stylized facts show that the services sector contributes the most to GDP in SSA, followed respectively by the industrial sector, the agricultural sector and finally the manufacturing sector from 1990 to 2018 (Figure 1). In terms of contribution to total employment, the agricultural sector comes first, followed respectively by the service sector and the industrial sector (figure 2). These results suggest that the agricultural sector which employs the most is not in first position when it comes to the contribution to the overall GDP</w:t>
      </w:r>
      <w:r w:rsidR="00FE66F6" w:rsidRPr="0080732C">
        <w:rPr>
          <w:color w:val="000000" w:themeColor="text1"/>
          <w:lang w:val="en-US"/>
        </w:rPr>
        <w:t>. This points</w:t>
      </w:r>
      <w:r w:rsidRPr="00A731B3">
        <w:rPr>
          <w:color w:val="000000" w:themeColor="text1"/>
          <w:lang w:val="en-US"/>
        </w:rPr>
        <w:t xml:space="preserve"> </w:t>
      </w:r>
      <w:r w:rsidR="00FE66F6" w:rsidRPr="0080732C">
        <w:rPr>
          <w:color w:val="000000" w:themeColor="text1"/>
          <w:lang w:val="en-US"/>
        </w:rPr>
        <w:t xml:space="preserve">inadequate </w:t>
      </w:r>
      <w:r w:rsidRPr="00A731B3">
        <w:rPr>
          <w:color w:val="000000" w:themeColor="text1"/>
          <w:lang w:val="en-US"/>
        </w:rPr>
        <w:t>reallocation of production</w:t>
      </w:r>
      <w:r w:rsidR="00FE66F6" w:rsidRPr="0080732C">
        <w:rPr>
          <w:color w:val="000000" w:themeColor="text1"/>
          <w:lang w:val="en-US"/>
        </w:rPr>
        <w:t xml:space="preserve"> factors</w:t>
      </w:r>
      <w:r w:rsidRPr="00A731B3">
        <w:rPr>
          <w:color w:val="000000" w:themeColor="text1"/>
          <w:lang w:val="en-US"/>
        </w:rPr>
        <w:t xml:space="preserve"> in SSA. From 1990 to 2018, internet subscription experienced a significant increase </w:t>
      </w:r>
      <w:r w:rsidR="00746813">
        <w:rPr>
          <w:color w:val="000000" w:themeColor="text1"/>
          <w:lang w:val="en-US"/>
        </w:rPr>
        <w:t>in SSA as f</w:t>
      </w:r>
      <w:r w:rsidR="00A023F4" w:rsidRPr="0080732C">
        <w:rPr>
          <w:color w:val="000000" w:themeColor="text1"/>
          <w:lang w:val="en-US"/>
        </w:rPr>
        <w:t xml:space="preserve">igure 3 shows. </w:t>
      </w:r>
    </w:p>
    <w:p w14:paraId="31FD8325" w14:textId="77777777" w:rsidR="004C61E5" w:rsidRPr="00A731B3" w:rsidRDefault="004C61E5" w:rsidP="00A731B3">
      <w:pPr>
        <w:spacing w:after="0" w:line="360" w:lineRule="auto"/>
        <w:jc w:val="both"/>
        <w:rPr>
          <w:b/>
          <w:bCs/>
          <w:color w:val="000000" w:themeColor="text1"/>
          <w:szCs w:val="24"/>
          <w:lang w:val="en-US"/>
        </w:rPr>
      </w:pPr>
    </w:p>
    <w:p w14:paraId="659CDF82"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eastAsia="fr-FR"/>
        </w:rPr>
        <w:drawing>
          <wp:inline distT="0" distB="0" distL="0" distR="0" wp14:anchorId="72DA79AE" wp14:editId="427AFC6D">
            <wp:extent cx="5524500" cy="3514725"/>
            <wp:effectExtent l="0" t="0" r="0"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37597D" w14:textId="53141B6B" w:rsidR="004C61E5" w:rsidRPr="00A731B3" w:rsidRDefault="004C61E5"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1: </w:t>
      </w:r>
      <w:r w:rsidRPr="00746813">
        <w:rPr>
          <w:bCs/>
          <w:color w:val="000000" w:themeColor="text1"/>
          <w:szCs w:val="24"/>
          <w:lang w:val="en-US"/>
        </w:rPr>
        <w:t>Dynami</w:t>
      </w:r>
      <w:r w:rsidR="005A58A1" w:rsidRPr="00746813">
        <w:rPr>
          <w:bCs/>
          <w:color w:val="000000" w:themeColor="text1"/>
          <w:szCs w:val="24"/>
          <w:lang w:val="en-US"/>
        </w:rPr>
        <w:t>cs of sectoral value added in SSA from 1990 to 2018</w:t>
      </w:r>
      <w:r w:rsidRPr="00A731B3">
        <w:rPr>
          <w:b/>
          <w:bCs/>
          <w:color w:val="000000" w:themeColor="text1"/>
          <w:szCs w:val="24"/>
          <w:lang w:val="en-US"/>
        </w:rPr>
        <w:t xml:space="preserve"> </w:t>
      </w:r>
    </w:p>
    <w:p w14:paraId="3C70F364" w14:textId="77777777" w:rsidR="004C61E5" w:rsidRPr="00A731B3" w:rsidRDefault="004C61E5" w:rsidP="00A731B3">
      <w:pPr>
        <w:spacing w:after="0" w:line="360" w:lineRule="auto"/>
        <w:jc w:val="both"/>
        <w:rPr>
          <w:b/>
          <w:bCs/>
          <w:color w:val="000000" w:themeColor="text1"/>
          <w:szCs w:val="24"/>
          <w:lang w:val="en-US"/>
        </w:rPr>
      </w:pPr>
    </w:p>
    <w:p w14:paraId="54361B25" w14:textId="77777777" w:rsidR="004C61E5" w:rsidRPr="0080732C" w:rsidRDefault="004C61E5" w:rsidP="00A731B3">
      <w:pPr>
        <w:spacing w:after="0" w:line="360" w:lineRule="auto"/>
        <w:jc w:val="both"/>
        <w:rPr>
          <w:b/>
          <w:bCs/>
          <w:color w:val="000000" w:themeColor="text1"/>
          <w:szCs w:val="24"/>
          <w:lang w:val="en-US"/>
        </w:rPr>
      </w:pPr>
      <w:r w:rsidRPr="00A731B3">
        <w:rPr>
          <w:noProof/>
          <w:color w:val="000000" w:themeColor="text1"/>
          <w:lang w:eastAsia="fr-FR"/>
        </w:rPr>
        <w:lastRenderedPageBreak/>
        <w:drawing>
          <wp:inline distT="0" distB="0" distL="0" distR="0" wp14:anchorId="0332B0F3" wp14:editId="4ABB1B77">
            <wp:extent cx="5457825" cy="3438525"/>
            <wp:effectExtent l="0" t="0" r="9525"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20796" w14:textId="45C0C8DD" w:rsidR="00145ED4" w:rsidRPr="00746813" w:rsidRDefault="004C61E5" w:rsidP="00A731B3">
      <w:pPr>
        <w:spacing w:after="0" w:line="360" w:lineRule="auto"/>
        <w:jc w:val="both"/>
        <w:rPr>
          <w:bCs/>
          <w:color w:val="000000" w:themeColor="text1"/>
          <w:szCs w:val="24"/>
          <w:lang w:val="en-US"/>
        </w:rPr>
      </w:pPr>
      <w:r w:rsidRPr="00A731B3">
        <w:rPr>
          <w:b/>
          <w:color w:val="000000" w:themeColor="text1"/>
          <w:szCs w:val="24"/>
          <w:lang w:val="en-US"/>
        </w:rPr>
        <w:t xml:space="preserve">Figure 2: </w:t>
      </w:r>
      <w:r w:rsidR="005A58A1" w:rsidRPr="00746813">
        <w:rPr>
          <w:bCs/>
          <w:color w:val="000000" w:themeColor="text1"/>
          <w:szCs w:val="24"/>
          <w:lang w:val="en-US"/>
        </w:rPr>
        <w:t xml:space="preserve">Dynamics of sectoral employment in Sub-Saharan Africa from 1990 to 2018 </w:t>
      </w:r>
    </w:p>
    <w:p w14:paraId="7769EFF6" w14:textId="77777777" w:rsidR="00822E97" w:rsidRPr="0080732C" w:rsidRDefault="00822E97" w:rsidP="00A731B3">
      <w:pPr>
        <w:spacing w:after="0" w:line="360" w:lineRule="auto"/>
        <w:jc w:val="both"/>
        <w:rPr>
          <w:b/>
          <w:bCs/>
          <w:color w:val="000000" w:themeColor="text1"/>
          <w:szCs w:val="24"/>
          <w:lang w:val="en-US"/>
        </w:rPr>
      </w:pPr>
      <w:r w:rsidRPr="00A731B3">
        <w:rPr>
          <w:noProof/>
          <w:color w:val="000000" w:themeColor="text1"/>
          <w:lang w:eastAsia="fr-FR"/>
        </w:rPr>
        <w:drawing>
          <wp:inline distT="0" distB="0" distL="0" distR="0" wp14:anchorId="07197F20" wp14:editId="3676BC26">
            <wp:extent cx="5461000" cy="2743200"/>
            <wp:effectExtent l="0" t="0" r="635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27B4D7" w14:textId="79A1A620" w:rsidR="00822E97" w:rsidRPr="0080732C" w:rsidRDefault="00822E97" w:rsidP="00A731B3">
      <w:pPr>
        <w:spacing w:after="0" w:line="360" w:lineRule="auto"/>
        <w:jc w:val="both"/>
        <w:rPr>
          <w:b/>
          <w:bCs/>
          <w:color w:val="000000" w:themeColor="text1"/>
          <w:szCs w:val="24"/>
          <w:lang w:val="en-US"/>
        </w:rPr>
      </w:pPr>
      <w:r w:rsidRPr="00A731B3">
        <w:rPr>
          <w:b/>
          <w:color w:val="000000" w:themeColor="text1"/>
          <w:szCs w:val="24"/>
          <w:lang w:val="en-US"/>
        </w:rPr>
        <w:t xml:space="preserve">Figure 3: </w:t>
      </w:r>
      <w:r w:rsidR="000D43C0" w:rsidRPr="00A731B3">
        <w:rPr>
          <w:rStyle w:val="jlqj4b"/>
          <w:lang w:val="en-US"/>
        </w:rPr>
        <w:t>Evolution of internet access and telephone access in Sub-Saharan Africa from 1990 to 2018</w:t>
      </w:r>
      <w:r w:rsidR="000D43C0" w:rsidRPr="00A731B3">
        <w:rPr>
          <w:lang w:val="en-US"/>
        </w:rPr>
        <w:t xml:space="preserve"> </w:t>
      </w:r>
    </w:p>
    <w:p w14:paraId="7DEA6961" w14:textId="0BFABA1F" w:rsidR="000D43C0" w:rsidRPr="00A731B3" w:rsidRDefault="00746813" w:rsidP="00A731B3">
      <w:pPr>
        <w:spacing w:after="0" w:line="360" w:lineRule="auto"/>
        <w:jc w:val="both"/>
        <w:rPr>
          <w:color w:val="000000" w:themeColor="text1"/>
          <w:szCs w:val="24"/>
          <w:lang w:val="en-US"/>
        </w:rPr>
      </w:pPr>
      <w:r>
        <w:rPr>
          <w:color w:val="000000" w:themeColor="text1"/>
          <w:szCs w:val="24"/>
          <w:lang w:val="en-US"/>
        </w:rPr>
        <w:t>Analysis of figure 4 and f</w:t>
      </w:r>
      <w:r w:rsidR="000D43C0" w:rsidRPr="00A731B3">
        <w:rPr>
          <w:color w:val="000000" w:themeColor="text1"/>
          <w:szCs w:val="24"/>
          <w:lang w:val="en-US"/>
        </w:rPr>
        <w:t xml:space="preserve">igure 5 shows a positive relationship between telephone access and agricultural structural transformation, on the one hand, and between internet access and agricultural structural transformation, on the other. This result assumes that ICTs can contribute to agricultural structural transformation in African countries and that the effect of telephone access would be greater than that of internet access. There is a weak relationship between ICTs and agricultural structural transformation in countries such as Ghana, Nigeria and Rwanda. This </w:t>
      </w:r>
      <w:r w:rsidR="000D43C0" w:rsidRPr="005B2534">
        <w:rPr>
          <w:color w:val="000000" w:themeColor="text1"/>
          <w:szCs w:val="24"/>
          <w:lang w:val="en-US"/>
        </w:rPr>
        <w:lastRenderedPageBreak/>
        <w:t>situation is</w:t>
      </w:r>
      <w:r w:rsidR="00FA18C2" w:rsidRPr="005B2534">
        <w:rPr>
          <w:color w:val="000000" w:themeColor="text1"/>
          <w:szCs w:val="24"/>
          <w:lang w:val="en-US"/>
        </w:rPr>
        <w:t xml:space="preserve"> possibly</w:t>
      </w:r>
      <w:r w:rsidR="000D43C0" w:rsidRPr="005B2534">
        <w:rPr>
          <w:color w:val="000000" w:themeColor="text1"/>
          <w:szCs w:val="24"/>
          <w:lang w:val="en-US"/>
        </w:rPr>
        <w:t xml:space="preserve"> explained by the fact that these countries have already passed agricultural structural transformation and that the bulk of the workforce would migrate to the industrial and service sectors.</w:t>
      </w:r>
      <w:r w:rsidR="000D43C0" w:rsidRPr="00A731B3">
        <w:rPr>
          <w:color w:val="000000" w:themeColor="text1"/>
          <w:szCs w:val="24"/>
          <w:lang w:val="en-US"/>
        </w:rPr>
        <w:t xml:space="preserve"> On the other hand, in Mali and Madagascar for example, a small increase in ICTs positively affects agricultural structural transformation. These latter countries would then be </w:t>
      </w:r>
      <w:r w:rsidR="00DC0E13" w:rsidRPr="0080732C">
        <w:rPr>
          <w:color w:val="000000" w:themeColor="text1"/>
          <w:szCs w:val="24"/>
          <w:lang w:val="en-US"/>
        </w:rPr>
        <w:t>at</w:t>
      </w:r>
      <w:r w:rsidR="000D43C0" w:rsidRPr="00A731B3">
        <w:rPr>
          <w:color w:val="000000" w:themeColor="text1"/>
          <w:szCs w:val="24"/>
          <w:lang w:val="en-US"/>
        </w:rPr>
        <w:t xml:space="preserve"> the first </w:t>
      </w:r>
      <w:r w:rsidR="00DC0E13" w:rsidRPr="0080732C">
        <w:rPr>
          <w:color w:val="000000" w:themeColor="text1"/>
          <w:szCs w:val="24"/>
          <w:lang w:val="en-US"/>
        </w:rPr>
        <w:t>step</w:t>
      </w:r>
      <w:r w:rsidR="000D43C0" w:rsidRPr="00A731B3">
        <w:rPr>
          <w:color w:val="000000" w:themeColor="text1"/>
          <w:szCs w:val="24"/>
          <w:lang w:val="en-US"/>
        </w:rPr>
        <w:t xml:space="preserve"> of their </w:t>
      </w:r>
      <w:r w:rsidR="00D95F9C">
        <w:rPr>
          <w:color w:val="000000" w:themeColor="text1"/>
          <w:szCs w:val="24"/>
          <w:lang w:val="en-US"/>
        </w:rPr>
        <w:t xml:space="preserve">agricultural </w:t>
      </w:r>
      <w:r w:rsidR="000D43C0" w:rsidRPr="00A731B3">
        <w:rPr>
          <w:color w:val="000000" w:themeColor="text1"/>
          <w:szCs w:val="24"/>
          <w:lang w:val="en-US"/>
        </w:rPr>
        <w:t>structural transformation.</w:t>
      </w:r>
    </w:p>
    <w:tbl>
      <w:tblPr>
        <w:tblStyle w:val="TableGrid"/>
        <w:tblW w:w="10364" w:type="dxa"/>
        <w:tblInd w:w="-652" w:type="dxa"/>
        <w:tblLayout w:type="fixed"/>
        <w:tblLook w:val="04A0" w:firstRow="1" w:lastRow="0" w:firstColumn="1" w:lastColumn="0" w:noHBand="0" w:noVBand="1"/>
      </w:tblPr>
      <w:tblGrid>
        <w:gridCol w:w="5460"/>
        <w:gridCol w:w="4904"/>
      </w:tblGrid>
      <w:tr w:rsidR="00BB4835" w14:paraId="003B1BD2" w14:textId="77777777" w:rsidTr="009D1D94">
        <w:trPr>
          <w:trHeight w:val="5041"/>
        </w:trPr>
        <w:tc>
          <w:tcPr>
            <w:tcW w:w="5460" w:type="dxa"/>
          </w:tcPr>
          <w:p w14:paraId="1B485F40" w14:textId="77777777" w:rsidR="00BB4835" w:rsidRDefault="00BB4835" w:rsidP="009D1D94">
            <w:r w:rsidRPr="0019553D">
              <w:rPr>
                <w:noProof/>
                <w:lang w:eastAsia="fr-FR"/>
              </w:rPr>
              <w:drawing>
                <wp:inline distT="0" distB="0" distL="0" distR="0" wp14:anchorId="76A6E4A8" wp14:editId="7B9F0906">
                  <wp:extent cx="3314700" cy="3028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316567" cy="3030656"/>
                          </a:xfrm>
                          <a:prstGeom prst="rect">
                            <a:avLst/>
                          </a:prstGeom>
                          <a:noFill/>
                          <a:ln>
                            <a:noFill/>
                          </a:ln>
                        </pic:spPr>
                      </pic:pic>
                    </a:graphicData>
                  </a:graphic>
                </wp:inline>
              </w:drawing>
            </w:r>
          </w:p>
        </w:tc>
        <w:tc>
          <w:tcPr>
            <w:tcW w:w="4904" w:type="dxa"/>
          </w:tcPr>
          <w:p w14:paraId="427AE8A0" w14:textId="77777777" w:rsidR="00BB4835" w:rsidRDefault="00BB4835" w:rsidP="009D1D94">
            <w:r w:rsidRPr="008E6AA2">
              <w:rPr>
                <w:noProof/>
                <w:lang w:eastAsia="fr-FR"/>
              </w:rPr>
              <w:drawing>
                <wp:inline distT="0" distB="0" distL="0" distR="0" wp14:anchorId="1F2A2D7B" wp14:editId="301F9CBA">
                  <wp:extent cx="3018155" cy="31146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EAF2F3"/>
                              </a:clrFrom>
                              <a:clrTo>
                                <a:srgbClr val="EAF2F3">
                                  <a:alpha val="0"/>
                                </a:srgbClr>
                              </a:clrTo>
                            </a:clrChange>
                            <a:extLst>
                              <a:ext uri="{28A0092B-C50C-407E-A947-70E740481C1C}">
                                <a14:useLocalDpi xmlns:a14="http://schemas.microsoft.com/office/drawing/2010/main" val="0"/>
                              </a:ext>
                            </a:extLst>
                          </a:blip>
                          <a:srcRect/>
                          <a:stretch>
                            <a:fillRect/>
                          </a:stretch>
                        </pic:blipFill>
                        <pic:spPr bwMode="auto">
                          <a:xfrm>
                            <a:off x="0" y="0"/>
                            <a:ext cx="3029174" cy="3126046"/>
                          </a:xfrm>
                          <a:prstGeom prst="rect">
                            <a:avLst/>
                          </a:prstGeom>
                          <a:noFill/>
                          <a:ln>
                            <a:noFill/>
                          </a:ln>
                        </pic:spPr>
                      </pic:pic>
                    </a:graphicData>
                  </a:graphic>
                </wp:inline>
              </w:drawing>
            </w:r>
          </w:p>
        </w:tc>
      </w:tr>
    </w:tbl>
    <w:tbl>
      <w:tblPr>
        <w:tblStyle w:val="TableGrid"/>
        <w:tblpPr w:leftFromText="180" w:rightFromText="180" w:vertAnchor="text" w:horzAnchor="margin" w:tblpXSpec="center" w:tblpY="9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B4835" w:rsidRPr="00465AD3" w14:paraId="0921CA92" w14:textId="77777777" w:rsidTr="009D1D94">
        <w:tc>
          <w:tcPr>
            <w:tcW w:w="5387" w:type="dxa"/>
          </w:tcPr>
          <w:p w14:paraId="5AC62C0C" w14:textId="77777777" w:rsidR="00BB4835" w:rsidRPr="00A77044" w:rsidRDefault="00BB4835" w:rsidP="009D1D94">
            <w:pPr>
              <w:spacing w:line="360" w:lineRule="auto"/>
              <w:jc w:val="both"/>
              <w:rPr>
                <w:szCs w:val="24"/>
                <w:lang w:val="en-US"/>
              </w:rPr>
            </w:pPr>
            <w:r w:rsidRPr="00A77044">
              <w:rPr>
                <w:b/>
                <w:szCs w:val="24"/>
                <w:lang w:val="en-US"/>
              </w:rPr>
              <w:t xml:space="preserve">Figure 4: </w:t>
            </w:r>
            <w:r w:rsidRPr="00A77044">
              <w:rPr>
                <w:szCs w:val="24"/>
                <w:lang w:val="en-US"/>
              </w:rPr>
              <w:t>Scatter plot linking agricultural structural transformation and telephone access in Sub-Saharan Africa</w:t>
            </w:r>
          </w:p>
          <w:p w14:paraId="7F94A498" w14:textId="77777777" w:rsidR="00BB4835" w:rsidRPr="006A17A6" w:rsidRDefault="00BB4835" w:rsidP="009D1D94">
            <w:pPr>
              <w:spacing w:line="360" w:lineRule="auto"/>
              <w:jc w:val="both"/>
              <w:rPr>
                <w:b/>
                <w:szCs w:val="24"/>
                <w:lang w:val="en-US"/>
              </w:rPr>
            </w:pPr>
          </w:p>
        </w:tc>
        <w:tc>
          <w:tcPr>
            <w:tcW w:w="4678" w:type="dxa"/>
          </w:tcPr>
          <w:p w14:paraId="047B4C11" w14:textId="77777777" w:rsidR="00BB4835" w:rsidRPr="006A17A6" w:rsidRDefault="00BB4835" w:rsidP="009D1D94">
            <w:pPr>
              <w:spacing w:line="360" w:lineRule="auto"/>
              <w:jc w:val="both"/>
              <w:rPr>
                <w:b/>
                <w:szCs w:val="24"/>
                <w:lang w:val="en-US"/>
              </w:rPr>
            </w:pPr>
            <w:r w:rsidRPr="006A17A6">
              <w:rPr>
                <w:rStyle w:val="q4iawc"/>
                <w:b/>
                <w:lang w:val="en"/>
              </w:rPr>
              <w:t>Figure 5:</w:t>
            </w:r>
            <w:r>
              <w:rPr>
                <w:rStyle w:val="q4iawc"/>
                <w:lang w:val="en"/>
              </w:rPr>
              <w:t xml:space="preserve"> Scatter plot linking agricultural structural transformation and internet access in Sub-Saharan Africa</w:t>
            </w:r>
          </w:p>
        </w:tc>
      </w:tr>
    </w:tbl>
    <w:p w14:paraId="6F9EB04B" w14:textId="76EFBC9D" w:rsidR="00AF6AA5" w:rsidRPr="00A731B3" w:rsidRDefault="00763B98" w:rsidP="00A731B3">
      <w:pPr>
        <w:spacing w:line="360" w:lineRule="auto"/>
        <w:jc w:val="both"/>
        <w:rPr>
          <w:b/>
          <w:color w:val="000000" w:themeColor="text1"/>
          <w:szCs w:val="24"/>
          <w:lang w:val="en-US"/>
        </w:rPr>
      </w:pPr>
      <w:r w:rsidRPr="00A731B3">
        <w:rPr>
          <w:b/>
          <w:color w:val="000000" w:themeColor="text1"/>
          <w:szCs w:val="24"/>
          <w:lang w:val="en-US"/>
        </w:rPr>
        <w:t xml:space="preserve">3. </w:t>
      </w:r>
      <w:r w:rsidR="002F02A1">
        <w:rPr>
          <w:b/>
          <w:color w:val="000000" w:themeColor="text1"/>
          <w:szCs w:val="24"/>
          <w:lang w:val="en-US"/>
        </w:rPr>
        <w:t>Material and method</w:t>
      </w:r>
    </w:p>
    <w:p w14:paraId="7717EA4A" w14:textId="77777777" w:rsidR="00CC0608" w:rsidRPr="00CC0608" w:rsidRDefault="004C61E5" w:rsidP="00A731B3">
      <w:pPr>
        <w:spacing w:before="240" w:line="360" w:lineRule="auto"/>
        <w:jc w:val="both"/>
        <w:rPr>
          <w:i/>
          <w:color w:val="000000" w:themeColor="text1"/>
          <w:sz w:val="28"/>
          <w:szCs w:val="28"/>
          <w:lang w:val="en-US"/>
        </w:rPr>
      </w:pPr>
      <w:r w:rsidRPr="00CC0608">
        <w:rPr>
          <w:i/>
          <w:color w:val="000000" w:themeColor="text1"/>
          <w:sz w:val="28"/>
          <w:szCs w:val="28"/>
          <w:lang w:val="en-US"/>
        </w:rPr>
        <w:t>3</w:t>
      </w:r>
      <w:r w:rsidR="00C91BE4" w:rsidRPr="00CC0608">
        <w:rPr>
          <w:i/>
          <w:color w:val="000000" w:themeColor="text1"/>
          <w:sz w:val="28"/>
          <w:szCs w:val="28"/>
          <w:lang w:val="en-US"/>
        </w:rPr>
        <w:t xml:space="preserve">.1. </w:t>
      </w:r>
      <w:r w:rsidR="003661B7" w:rsidRPr="00CC0608">
        <w:rPr>
          <w:i/>
          <w:color w:val="000000" w:themeColor="text1"/>
          <w:sz w:val="28"/>
          <w:szCs w:val="28"/>
          <w:lang w:val="en-US"/>
        </w:rPr>
        <w:t xml:space="preserve">Model </w:t>
      </w:r>
    </w:p>
    <w:p w14:paraId="4ED86B75" w14:textId="43D24ABF" w:rsidR="003F17AF" w:rsidRPr="006A7D0E" w:rsidRDefault="003F17AF" w:rsidP="006A7D0E">
      <w:pPr>
        <w:spacing w:before="240" w:line="360" w:lineRule="auto"/>
        <w:jc w:val="both"/>
        <w:rPr>
          <w:b/>
          <w:color w:val="000000" w:themeColor="text1"/>
          <w:sz w:val="28"/>
          <w:szCs w:val="28"/>
          <w:lang w:val="en-US"/>
        </w:rPr>
      </w:pPr>
      <w:r w:rsidRPr="00A731B3">
        <w:rPr>
          <w:color w:val="000000" w:themeColor="text1"/>
          <w:szCs w:val="24"/>
          <w:lang w:val="en-US"/>
        </w:rPr>
        <w:t xml:space="preserve">To examine the effect of ICTs on agricultural structural transformation, an indicator that measures the reallocation of labor from the agricultural sector is constructed and is taken from the decomposition of aggregate productivity presented by De Vries </w:t>
      </w:r>
      <w:r w:rsidRPr="00F535CE">
        <w:rPr>
          <w:i/>
          <w:color w:val="000000" w:themeColor="text1"/>
          <w:szCs w:val="24"/>
          <w:lang w:val="en-US"/>
        </w:rPr>
        <w:t>et al</w:t>
      </w:r>
      <w:r w:rsidRPr="00A731B3">
        <w:rPr>
          <w:color w:val="000000" w:themeColor="text1"/>
          <w:szCs w:val="24"/>
          <w:lang w:val="en-US"/>
        </w:rPr>
        <w:t xml:space="preserve">. (2015) as </w:t>
      </w:r>
      <w:r w:rsidR="003661B7" w:rsidRPr="00A731B3">
        <w:rPr>
          <w:color w:val="000000" w:themeColor="text1"/>
          <w:szCs w:val="24"/>
          <w:lang w:val="en-US"/>
        </w:rPr>
        <w:t>follow</w:t>
      </w:r>
      <w:r w:rsidRPr="00A731B3">
        <w:rPr>
          <w:color w:val="000000" w:themeColor="text1"/>
          <w:szCs w:val="24"/>
          <w:lang w:val="en-US"/>
        </w:rPr>
        <w:t>:</w:t>
      </w:r>
      <w:bookmarkStart w:id="0" w:name="_MON_1666425089"/>
      <w:bookmarkEnd w:id="0"/>
      <w:r w:rsidR="00C91BE4" w:rsidRPr="00A731B3">
        <w:rPr>
          <w:color w:val="000000" w:themeColor="text1"/>
          <w:szCs w:val="24"/>
          <w:lang w:val="en-US"/>
        </w:rPr>
        <w:object w:dxaOrig="9072" w:dyaOrig="1153" w14:anchorId="7F765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6.95pt" o:ole="">
            <v:imagedata r:id="rId13" o:title=""/>
          </v:shape>
          <o:OLEObject Type="Embed" ProgID="Word.Document.12" ShapeID="_x0000_i1025" DrawAspect="Content" ObjectID="_1816851635" r:id="rId14">
            <o:FieldCodes>\s</o:FieldCodes>
          </o:OLEObject>
        </w:object>
      </w:r>
      <w:r w:rsidR="003661B7" w:rsidRPr="00A731B3">
        <w:rPr>
          <w:color w:val="000000" w:themeColor="text1"/>
          <w:szCs w:val="24"/>
          <w:lang w:val="en-US"/>
        </w:rPr>
        <w:t>W</w:t>
      </w:r>
      <w:r w:rsidR="003661B7" w:rsidRPr="0080732C">
        <w:rPr>
          <w:color w:val="000000" w:themeColor="text1"/>
          <w:szCs w:val="24"/>
          <w:lang w:val="en-US"/>
        </w:rPr>
        <w:t xml:space="preserve">here </w:t>
      </w:r>
      <m:oMath>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ITS</m:t>
            </m:r>
          </m:e>
          <m:sub>
            <m:r>
              <m:rPr>
                <m:sty m:val="bi"/>
              </m:rPr>
              <w:rPr>
                <w:rFonts w:ascii="Cambria Math" w:eastAsia="Times New Roman" w:hAnsi="Cambria Math"/>
                <w:color w:val="000000" w:themeColor="text1"/>
                <w:szCs w:val="24"/>
                <w:lang w:val="en-US" w:eastAsia="fr-FR"/>
              </w:rPr>
              <m:t>i</m:t>
            </m:r>
          </m:sub>
        </m:sSub>
      </m:oMath>
      <w:r w:rsidR="00C91BE4" w:rsidRPr="00A731B3">
        <w:rPr>
          <w:color w:val="000000" w:themeColor="text1"/>
          <w:szCs w:val="24"/>
          <w:lang w:val="en-US"/>
        </w:rPr>
        <w:t xml:space="preserve"> </w:t>
      </w:r>
      <w:r w:rsidRPr="00A731B3">
        <w:rPr>
          <w:color w:val="000000" w:themeColor="text1"/>
          <w:szCs w:val="24"/>
          <w:lang w:val="en-US"/>
        </w:rPr>
        <w:t xml:space="preserve">is the labor reallocation of a sector </w:t>
      </w:r>
      <w:proofErr w:type="spellStart"/>
      <w:r w:rsidRPr="00A731B3">
        <w:rPr>
          <w:color w:val="000000" w:themeColor="text1"/>
          <w:szCs w:val="24"/>
          <w:lang w:val="en-US"/>
        </w:rPr>
        <w:t>i</w:t>
      </w:r>
      <w:proofErr w:type="spellEnd"/>
      <w:r w:rsidRPr="00A731B3">
        <w:rPr>
          <w:color w:val="000000" w:themeColor="text1"/>
          <w:szCs w:val="24"/>
          <w:lang w:val="en-US"/>
        </w:rPr>
        <w:t xml:space="preserve"> (agricultural sector, industrial sector and services sector), P</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productivity of </w:t>
      </w:r>
      <w:r w:rsidR="003661B7" w:rsidRPr="0080732C">
        <w:rPr>
          <w:color w:val="000000" w:themeColor="text1"/>
          <w:szCs w:val="24"/>
          <w:lang w:val="en-US"/>
        </w:rPr>
        <w:t xml:space="preserve">the </w:t>
      </w:r>
      <w:r w:rsidRPr="00A731B3">
        <w:rPr>
          <w:color w:val="000000" w:themeColor="text1"/>
          <w:szCs w:val="24"/>
          <w:lang w:val="en-US"/>
        </w:rPr>
        <w:t xml:space="preserve">sector </w:t>
      </w:r>
      <w:proofErr w:type="spellStart"/>
      <w:r w:rsidRPr="00A731B3">
        <w:rPr>
          <w:color w:val="000000" w:themeColor="text1"/>
          <w:szCs w:val="24"/>
          <w:lang w:val="en-US"/>
        </w:rPr>
        <w:t>i</w:t>
      </w:r>
      <w:proofErr w:type="spellEnd"/>
      <w:r w:rsidRPr="00A731B3">
        <w:rPr>
          <w:color w:val="000000" w:themeColor="text1"/>
          <w:szCs w:val="24"/>
          <w:lang w:val="en-US"/>
        </w:rPr>
        <w:t xml:space="preserve"> at </w:t>
      </w:r>
      <w:r w:rsidR="003661B7" w:rsidRPr="0080732C">
        <w:rPr>
          <w:color w:val="000000" w:themeColor="text1"/>
          <w:szCs w:val="24"/>
          <w:lang w:val="en-US"/>
        </w:rPr>
        <w:t xml:space="preserve">the </w:t>
      </w:r>
      <w:r w:rsidRPr="00A731B3">
        <w:rPr>
          <w:color w:val="000000" w:themeColor="text1"/>
          <w:szCs w:val="24"/>
          <w:lang w:val="en-US"/>
        </w:rPr>
        <w:t xml:space="preserve">date 0, </w:t>
      </w:r>
      <w:r w:rsidR="003661B7" w:rsidRPr="0080732C">
        <w:rPr>
          <w:color w:val="000000" w:themeColor="text1"/>
          <w:szCs w:val="24"/>
          <w:lang w:val="en-US"/>
        </w:rPr>
        <w:t>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1</w:t>
      </w:r>
      <w:r w:rsidRPr="00A731B3">
        <w:rPr>
          <w:color w:val="000000" w:themeColor="text1"/>
          <w:szCs w:val="24"/>
          <w:lang w:val="en-US"/>
        </w:rPr>
        <w:t xml:space="preserve"> is the employment of the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employed active population on date 1, S</w:t>
      </w:r>
      <w:r w:rsidR="003661B7" w:rsidRPr="0080732C">
        <w:rPr>
          <w:color w:val="000000" w:themeColor="text1"/>
          <w:szCs w:val="24"/>
          <w:vertAlign w:val="subscript"/>
          <w:lang w:val="en-US"/>
        </w:rPr>
        <w:t>i</w:t>
      </w:r>
      <w:r w:rsidR="003661B7" w:rsidRPr="0080732C">
        <w:rPr>
          <w:color w:val="000000" w:themeColor="text1"/>
          <w:szCs w:val="24"/>
          <w:vertAlign w:val="superscript"/>
          <w:lang w:val="en-US"/>
        </w:rPr>
        <w:t>0</w:t>
      </w:r>
      <w:r w:rsidRPr="00A731B3">
        <w:rPr>
          <w:color w:val="000000" w:themeColor="text1"/>
          <w:szCs w:val="24"/>
          <w:lang w:val="en-US"/>
        </w:rPr>
        <w:t xml:space="preserve"> is the employment of sector </w:t>
      </w:r>
      <w:proofErr w:type="spellStart"/>
      <w:r w:rsidRPr="00A731B3">
        <w:rPr>
          <w:color w:val="000000" w:themeColor="text1"/>
          <w:szCs w:val="24"/>
          <w:lang w:val="en-US"/>
        </w:rPr>
        <w:t>i</w:t>
      </w:r>
      <w:proofErr w:type="spellEnd"/>
      <w:r w:rsidRPr="00A731B3">
        <w:rPr>
          <w:color w:val="000000" w:themeColor="text1"/>
          <w:szCs w:val="24"/>
          <w:lang w:val="en-US"/>
        </w:rPr>
        <w:t xml:space="preserve"> in the </w:t>
      </w:r>
      <w:r w:rsidRPr="00A731B3">
        <w:rPr>
          <w:color w:val="000000" w:themeColor="text1"/>
          <w:szCs w:val="24"/>
          <w:lang w:val="en-US"/>
        </w:rPr>
        <w:lastRenderedPageBreak/>
        <w:t xml:space="preserve">employed active population on date 0 and n represents the number of sectors. Following </w:t>
      </w:r>
      <w:proofErr w:type="spellStart"/>
      <w:r w:rsidRPr="00A731B3">
        <w:rPr>
          <w:color w:val="000000" w:themeColor="text1"/>
          <w:szCs w:val="24"/>
          <w:lang w:val="en-US"/>
        </w:rPr>
        <w:t>Mühlen</w:t>
      </w:r>
      <w:proofErr w:type="spellEnd"/>
      <w:r w:rsidRPr="00A731B3">
        <w:rPr>
          <w:color w:val="000000" w:themeColor="text1"/>
          <w:szCs w:val="24"/>
          <w:lang w:val="en-US"/>
        </w:rPr>
        <w:t xml:space="preserve"> and Escobar (2020) and </w:t>
      </w:r>
      <w:proofErr w:type="spellStart"/>
      <w:r w:rsidRPr="00A731B3">
        <w:rPr>
          <w:color w:val="000000" w:themeColor="text1"/>
          <w:szCs w:val="24"/>
          <w:lang w:val="en-US"/>
        </w:rPr>
        <w:t>Gniniguè</w:t>
      </w:r>
      <w:proofErr w:type="spellEnd"/>
      <w:r w:rsidRPr="00A731B3">
        <w:rPr>
          <w:color w:val="000000" w:themeColor="text1"/>
          <w:szCs w:val="24"/>
          <w:lang w:val="en-US"/>
        </w:rPr>
        <w:t xml:space="preserve"> and </w:t>
      </w:r>
      <w:proofErr w:type="spellStart"/>
      <w:r w:rsidRPr="00A731B3">
        <w:rPr>
          <w:color w:val="000000" w:themeColor="text1"/>
          <w:szCs w:val="24"/>
          <w:lang w:val="en-US"/>
        </w:rPr>
        <w:t>Tchalim</w:t>
      </w:r>
      <w:proofErr w:type="spellEnd"/>
      <w:r w:rsidRPr="00A731B3">
        <w:rPr>
          <w:color w:val="000000" w:themeColor="text1"/>
          <w:szCs w:val="24"/>
          <w:lang w:val="en-US"/>
        </w:rPr>
        <w:t xml:space="preserve"> (2021) who analyzed the determinants of labor reallocation between </w:t>
      </w:r>
      <w:r w:rsidR="001439FF" w:rsidRPr="0080732C">
        <w:rPr>
          <w:color w:val="000000" w:themeColor="text1"/>
          <w:szCs w:val="24"/>
          <w:lang w:val="en-US"/>
        </w:rPr>
        <w:t>main</w:t>
      </w:r>
      <w:r w:rsidRPr="00A731B3">
        <w:rPr>
          <w:color w:val="000000" w:themeColor="text1"/>
          <w:szCs w:val="24"/>
          <w:lang w:val="en-US"/>
        </w:rPr>
        <w:t xml:space="preserve"> </w:t>
      </w:r>
      <w:r w:rsidR="001439FF" w:rsidRPr="0080732C">
        <w:rPr>
          <w:color w:val="000000" w:themeColor="text1"/>
          <w:szCs w:val="24"/>
          <w:lang w:val="en-US"/>
        </w:rPr>
        <w:t xml:space="preserve">economic </w:t>
      </w:r>
      <w:r w:rsidRPr="00A731B3">
        <w:rPr>
          <w:color w:val="000000" w:themeColor="text1"/>
          <w:szCs w:val="24"/>
          <w:lang w:val="en-US"/>
        </w:rPr>
        <w:t>sectors, our empirical model can be presented as follow:</w:t>
      </w:r>
    </w:p>
    <w:bookmarkStart w:id="1" w:name="_MON_1657789635"/>
    <w:bookmarkEnd w:id="1"/>
    <w:p w14:paraId="700440D2" w14:textId="6DD40563" w:rsidR="00BB4835" w:rsidRPr="005D2043" w:rsidRDefault="004E214D" w:rsidP="00A731B3">
      <w:pPr>
        <w:spacing w:line="360" w:lineRule="auto"/>
        <w:jc w:val="both"/>
        <w:rPr>
          <w:rFonts w:eastAsiaTheme="minorEastAsia"/>
          <w:color w:val="000000" w:themeColor="text1"/>
          <w:szCs w:val="24"/>
          <w:lang w:val="en-US"/>
        </w:rPr>
      </w:pPr>
      <w:r w:rsidRPr="00A731B3">
        <w:rPr>
          <w:color w:val="000000" w:themeColor="text1"/>
          <w:szCs w:val="24"/>
          <w:lang w:val="en-US"/>
        </w:rPr>
        <w:object w:dxaOrig="9072" w:dyaOrig="721" w14:anchorId="79F185D4">
          <v:shape id="_x0000_i1026" type="#_x0000_t75" style="width:453.75pt;height:36.85pt" o:ole="">
            <v:imagedata r:id="rId15" o:title=""/>
          </v:shape>
          <o:OLEObject Type="Embed" ProgID="Word.Document.12" ShapeID="_x0000_i1026" DrawAspect="Content" ObjectID="_1816851636" r:id="rId16">
            <o:FieldCodes>\s</o:FieldCodes>
          </o:OLEObject>
        </w:object>
      </w:r>
      <w:r w:rsidR="003B3C40" w:rsidRPr="0080732C">
        <w:rPr>
          <w:rFonts w:eastAsiaTheme="minorEastAsia"/>
          <w:color w:val="000000" w:themeColor="text1"/>
          <w:szCs w:val="24"/>
          <w:lang w:val="en-US"/>
        </w:rPr>
        <w:t>Where</w:t>
      </w:r>
      <w:r w:rsidR="00C91BE4" w:rsidRPr="00A731B3">
        <w:rPr>
          <w:rFonts w:eastAsiaTheme="minorEastAsia"/>
          <w:color w:val="000000" w:themeColor="text1"/>
          <w:szCs w:val="24"/>
          <w:lang w:val="en-US"/>
        </w:rPr>
        <w:t xml:space="preserve"> </w:t>
      </w:r>
      <m:oMath>
        <m:sSub>
          <m:sSubPr>
            <m:ctrlPr>
              <w:rPr>
                <w:rFonts w:ascii="Cambria Math" w:hAnsi="Cambria Math"/>
                <w:i/>
                <w:color w:val="000000" w:themeColor="text1"/>
                <w:szCs w:val="24"/>
                <w:lang w:val="en-US"/>
              </w:rPr>
            </m:ctrlPr>
          </m:sSubPr>
          <m:e>
            <m:sSub>
              <m:sSubPr>
                <m:ctrlPr>
                  <w:rPr>
                    <w:rFonts w:ascii="Cambria Math" w:eastAsia="Times New Roman" w:hAnsi="Cambria Math"/>
                    <w:b/>
                    <w:color w:val="000000" w:themeColor="text1"/>
                    <w:szCs w:val="24"/>
                    <w:lang w:val="en-US" w:eastAsia="fr-FR"/>
                  </w:rPr>
                </m:ctrlPr>
              </m:sSubPr>
              <m:e>
                <m:r>
                  <m:rPr>
                    <m:sty m:val="bi"/>
                  </m:rPr>
                  <w:rPr>
                    <w:rFonts w:ascii="Cambria Math" w:eastAsia="Times New Roman" w:hAnsi="Cambria Math"/>
                    <w:color w:val="000000" w:themeColor="text1"/>
                    <w:szCs w:val="24"/>
                    <w:lang w:val="en-US" w:eastAsia="fr-FR"/>
                  </w:rPr>
                  <m:t>STA</m:t>
                </m:r>
              </m:e>
              <m:sub>
                <m:r>
                  <m:rPr>
                    <m:sty m:val="bi"/>
                  </m:rPr>
                  <w:rPr>
                    <w:rFonts w:ascii="Cambria Math" w:eastAsia="Times New Roman" w:hAnsi="Cambria Math"/>
                    <w:color w:val="000000" w:themeColor="text1"/>
                    <w:szCs w:val="24"/>
                    <w:lang w:val="en-US" w:eastAsia="fr-FR"/>
                  </w:rPr>
                  <m:t>i</m:t>
                </m:r>
              </m:sub>
            </m:sSub>
            <m:r>
              <m:rPr>
                <m:sty m:val="p"/>
              </m:rPr>
              <w:rPr>
                <w:rFonts w:ascii="Cambria Math" w:hAnsi="Cambria Math"/>
                <w:color w:val="000000" w:themeColor="text1"/>
                <w:szCs w:val="24"/>
                <w:lang w:val="en-US"/>
              </w:rPr>
              <m:t xml:space="preserve"> </m:t>
            </m:r>
          </m:e>
          <m:sub>
            <m:r>
              <w:rPr>
                <w:rFonts w:ascii="Cambria Math" w:hAnsi="Cambria Math"/>
                <w:color w:val="000000" w:themeColor="text1"/>
                <w:szCs w:val="24"/>
                <w:lang w:val="en-US"/>
              </w:rPr>
              <m:t>it</m:t>
            </m:r>
          </m:sub>
        </m:sSub>
      </m:oMath>
      <w:r w:rsidR="00C91BE4" w:rsidRPr="00A731B3">
        <w:rPr>
          <w:rFonts w:eastAsiaTheme="minorEastAsia"/>
          <w:color w:val="000000" w:themeColor="text1"/>
          <w:szCs w:val="24"/>
          <w:lang w:val="en-US"/>
        </w:rPr>
        <w:t xml:space="preserve"> </w:t>
      </w:r>
      <w:r w:rsidR="003F17AF" w:rsidRPr="00A731B3">
        <w:rPr>
          <w:rFonts w:eastAsiaTheme="minorEastAsia"/>
          <w:color w:val="000000" w:themeColor="text1"/>
          <w:szCs w:val="24"/>
          <w:lang w:val="en-US"/>
        </w:rPr>
        <w:t>represents agricultural structural transformation measured by labor reallocation (RAGR) (</w:t>
      </w:r>
      <w:proofErr w:type="spellStart"/>
      <w:r w:rsidR="003F17AF" w:rsidRPr="00A731B3">
        <w:rPr>
          <w:rFonts w:eastAsiaTheme="minorEastAsia"/>
          <w:color w:val="000000" w:themeColor="text1"/>
          <w:szCs w:val="24"/>
          <w:lang w:val="en-US"/>
        </w:rPr>
        <w:t>Gniniguè</w:t>
      </w:r>
      <w:proofErr w:type="spellEnd"/>
      <w:r w:rsidR="003F17AF" w:rsidRPr="00A731B3">
        <w:rPr>
          <w:rFonts w:eastAsiaTheme="minorEastAsia"/>
          <w:color w:val="000000" w:themeColor="text1"/>
          <w:szCs w:val="24"/>
          <w:lang w:val="en-US"/>
        </w:rPr>
        <w:t xml:space="preserve"> and </w:t>
      </w:r>
      <w:proofErr w:type="spellStart"/>
      <w:r w:rsidR="003F17AF" w:rsidRPr="00A731B3">
        <w:rPr>
          <w:rFonts w:eastAsiaTheme="minorEastAsia"/>
          <w:color w:val="000000" w:themeColor="text1"/>
          <w:szCs w:val="24"/>
          <w:lang w:val="en-US"/>
        </w:rPr>
        <w:t>Tchalim</w:t>
      </w:r>
      <w:proofErr w:type="spellEnd"/>
      <w:r w:rsidR="003F17AF" w:rsidRPr="00A731B3">
        <w:rPr>
          <w:rFonts w:eastAsiaTheme="minorEastAsia"/>
          <w:color w:val="000000" w:themeColor="text1"/>
          <w:szCs w:val="24"/>
          <w:lang w:val="en-US"/>
        </w:rPr>
        <w:t xml:space="preserve">, 2021; </w:t>
      </w:r>
      <w:proofErr w:type="spellStart"/>
      <w:r w:rsidR="003F17AF" w:rsidRPr="00A731B3">
        <w:rPr>
          <w:rFonts w:eastAsiaTheme="minorEastAsia"/>
          <w:color w:val="000000" w:themeColor="text1"/>
          <w:szCs w:val="24"/>
          <w:lang w:val="en-US"/>
        </w:rPr>
        <w:t>Mühlen</w:t>
      </w:r>
      <w:proofErr w:type="spellEnd"/>
      <w:r w:rsidR="003F17AF" w:rsidRPr="00A731B3">
        <w:rPr>
          <w:rFonts w:eastAsiaTheme="minorEastAsia"/>
          <w:color w:val="000000" w:themeColor="text1"/>
          <w:szCs w:val="24"/>
          <w:lang w:val="en-US"/>
        </w:rPr>
        <w:t xml:space="preserve"> and Escobar, 2020, De Vries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2015. </w:t>
      </w:r>
      <w:proofErr w:type="spellStart"/>
      <w:r w:rsidR="003F17AF" w:rsidRPr="00A731B3">
        <w:rPr>
          <w:rFonts w:eastAsiaTheme="minorEastAsia"/>
          <w:color w:val="000000" w:themeColor="text1"/>
          <w:szCs w:val="24"/>
          <w:lang w:val="en-US"/>
        </w:rPr>
        <w:t>Mcmillan</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2014), </w:t>
      </w:r>
      <w:r w:rsidR="00C17207" w:rsidRPr="0080732C">
        <w:rPr>
          <w:rFonts w:eastAsiaTheme="minorEastAsia"/>
          <w:color w:val="000000" w:themeColor="text1"/>
          <w:szCs w:val="24"/>
          <w:lang w:val="en-US"/>
        </w:rPr>
        <w:t xml:space="preserve">agricultural employment </w:t>
      </w:r>
      <w:r w:rsidR="003F17AF" w:rsidRPr="00A731B3">
        <w:rPr>
          <w:rFonts w:eastAsiaTheme="minorEastAsia"/>
          <w:color w:val="000000" w:themeColor="text1"/>
          <w:szCs w:val="24"/>
          <w:lang w:val="en-US"/>
        </w:rPr>
        <w:t>(EMP) and agricultural value added (VA), as an output indicator of structural transformation (</w:t>
      </w:r>
      <w:proofErr w:type="spellStart"/>
      <w:r w:rsidR="003F17AF" w:rsidRPr="00A731B3">
        <w:rPr>
          <w:rFonts w:eastAsiaTheme="minorEastAsia"/>
          <w:color w:val="000000" w:themeColor="text1"/>
          <w:szCs w:val="24"/>
          <w:lang w:val="en-US"/>
        </w:rPr>
        <w:t>Herrendorf</w:t>
      </w:r>
      <w:proofErr w:type="spellEnd"/>
      <w:r w:rsidR="003F17AF" w:rsidRPr="00A731B3">
        <w:rPr>
          <w:rFonts w:eastAsiaTheme="minorEastAsia"/>
          <w:color w:val="000000" w:themeColor="text1"/>
          <w:szCs w:val="24"/>
          <w:lang w:val="en-US"/>
        </w:rPr>
        <w:t>, 2014). ICT constitutes information and communication technologies. In this research, ICTs are measured by internet access (INTER) and mobile phone access (TELE) (</w:t>
      </w:r>
      <w:proofErr w:type="spellStart"/>
      <w:r w:rsidR="003F17AF" w:rsidRPr="00A731B3">
        <w:rPr>
          <w:rFonts w:eastAsiaTheme="minorEastAsia"/>
          <w:color w:val="000000" w:themeColor="text1"/>
          <w:szCs w:val="24"/>
          <w:lang w:val="en-US"/>
        </w:rPr>
        <w:t>Myovella</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2020; Habibi and Zabardast, 2020). Information and communication technologies are a driving force for the development of the agricultural sector (Fleming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2021; Ehlers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2021; </w:t>
      </w:r>
      <w:proofErr w:type="spellStart"/>
      <w:r w:rsidR="003F17AF" w:rsidRPr="00A731B3">
        <w:rPr>
          <w:rFonts w:eastAsiaTheme="minorEastAsia"/>
          <w:color w:val="000000" w:themeColor="text1"/>
          <w:szCs w:val="24"/>
          <w:lang w:val="en-US"/>
        </w:rPr>
        <w:t>Fielke</w:t>
      </w:r>
      <w:proofErr w:type="spellEnd"/>
      <w:r w:rsidR="003F17AF" w:rsidRPr="00A731B3">
        <w:rPr>
          <w:rFonts w:eastAsiaTheme="minorEastAsia"/>
          <w:color w:val="000000" w:themeColor="text1"/>
          <w:szCs w:val="24"/>
          <w:lang w:val="en-US"/>
        </w:rPr>
        <w:t xml:space="preserve"> et al., 2020). Z</w:t>
      </w:r>
      <w:r w:rsidR="00C17207" w:rsidRPr="0080732C">
        <w:rPr>
          <w:rFonts w:eastAsiaTheme="minorEastAsia"/>
          <w:color w:val="000000" w:themeColor="text1"/>
          <w:szCs w:val="24"/>
          <w:vertAlign w:val="subscript"/>
          <w:lang w:val="en-US"/>
        </w:rPr>
        <w:t>it</w:t>
      </w:r>
      <w:r w:rsidR="003F17AF" w:rsidRPr="00A731B3">
        <w:rPr>
          <w:rFonts w:eastAsiaTheme="minorEastAsia"/>
          <w:color w:val="000000" w:themeColor="text1"/>
          <w:szCs w:val="24"/>
          <w:lang w:val="en-US"/>
        </w:rPr>
        <w:t xml:space="preserve">, vector of control variables and </w:t>
      </w:r>
      <w:proofErr w:type="spellStart"/>
      <w:r w:rsidR="003F17AF" w:rsidRPr="00A731B3">
        <w:rPr>
          <w:rFonts w:eastAsiaTheme="minorEastAsia"/>
          <w:color w:val="000000" w:themeColor="text1"/>
          <w:szCs w:val="24"/>
          <w:lang w:val="en-US"/>
        </w:rPr>
        <w:t>λ</w:t>
      </w:r>
      <w:r w:rsidR="00C17207" w:rsidRPr="0080732C">
        <w:rPr>
          <w:rFonts w:eastAsiaTheme="minorEastAsia"/>
          <w:color w:val="000000" w:themeColor="text1"/>
          <w:szCs w:val="24"/>
          <w:vertAlign w:val="subscript"/>
          <w:lang w:val="en-US"/>
        </w:rPr>
        <w:t>it</w:t>
      </w:r>
      <w:proofErr w:type="spellEnd"/>
      <w:r w:rsidR="003F17AF" w:rsidRPr="00A731B3">
        <w:rPr>
          <w:rFonts w:eastAsiaTheme="minorEastAsia"/>
          <w:color w:val="000000" w:themeColor="text1"/>
          <w:szCs w:val="24"/>
          <w:lang w:val="en-US"/>
        </w:rPr>
        <w:t xml:space="preserve">, the error term. Finally, α; β and Ѳ' represent </w:t>
      </w:r>
      <w:r w:rsidR="00CC0608">
        <w:rPr>
          <w:rFonts w:eastAsiaTheme="minorEastAsia"/>
          <w:color w:val="000000" w:themeColor="text1"/>
          <w:szCs w:val="24"/>
          <w:lang w:val="en-US"/>
        </w:rPr>
        <w:t>the coefficients to be estimates</w:t>
      </w:r>
      <w:r w:rsidR="003F17AF" w:rsidRPr="00A731B3">
        <w:rPr>
          <w:rFonts w:eastAsiaTheme="minorEastAsia"/>
          <w:color w:val="000000" w:themeColor="text1"/>
          <w:szCs w:val="24"/>
          <w:lang w:val="en-US"/>
        </w:rPr>
        <w:t>. Human capital (KH), investment (GFCF), access to credit granted to the private sector (CRED), trade openness (OUV), reallocation of industrial labor (RIND), reallocation of service labor (RSER), foreign direct investment (FDI) and institutional quality measured by Polity2 are the control variables mobilized on the basis of the literature. Human capital is a vector of structural transformation (Rodrick, 2013) and economic development (Lucas, 1988; Romer, 1986). Solow (1956) shows the importance of investment measured by gross fixed capital formation in economic development. The reallocation of industrial labor and the reallocation of service labor are expected to negatively affect agricultural structural transformation as the reallocation of labor between different sectors leads to decrease the weight of the agricultural sector to the benefit of the industrial sector and the service sector. The contribution of access to credit granted to the private sector to structural transformation finds its importance with Lo and Ramde (2019). Trade openness is a driver of structural transformation (</w:t>
      </w:r>
      <w:proofErr w:type="spellStart"/>
      <w:r w:rsidR="003F17AF" w:rsidRPr="00A731B3">
        <w:rPr>
          <w:rFonts w:eastAsiaTheme="minorEastAsia"/>
          <w:color w:val="000000" w:themeColor="text1"/>
          <w:szCs w:val="24"/>
          <w:lang w:val="en-US"/>
        </w:rPr>
        <w:t>Alagidede</w:t>
      </w:r>
      <w:proofErr w:type="spellEnd"/>
      <w:r w:rsidR="003F17AF" w:rsidRPr="00A731B3">
        <w:rPr>
          <w:rFonts w:eastAsiaTheme="minorEastAsia"/>
          <w:color w:val="000000" w:themeColor="text1"/>
          <w:szCs w:val="24"/>
          <w:lang w:val="en-US"/>
        </w:rPr>
        <w:t xml:space="preserve">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2020; Ibrahim and Vo, 2020). The Polity2 is a composite indicator of democracy that ranges from -10 to +10 measuring the level of autocracy and democracy. According to Acemoglu </w:t>
      </w:r>
      <w:r w:rsidR="003F17AF" w:rsidRPr="00F535CE">
        <w:rPr>
          <w:rFonts w:eastAsiaTheme="minorEastAsia"/>
          <w:i/>
          <w:color w:val="000000" w:themeColor="text1"/>
          <w:szCs w:val="24"/>
          <w:lang w:val="en-US"/>
        </w:rPr>
        <w:t>et al</w:t>
      </w:r>
      <w:r w:rsidR="003F17AF" w:rsidRPr="00A731B3">
        <w:rPr>
          <w:rFonts w:eastAsiaTheme="minorEastAsia"/>
          <w:color w:val="000000" w:themeColor="text1"/>
          <w:szCs w:val="24"/>
          <w:lang w:val="en-US"/>
        </w:rPr>
        <w:t xml:space="preserve">. (2017), good institutions positively affect long-term economic growth and according to </w:t>
      </w:r>
      <w:proofErr w:type="spellStart"/>
      <w:r w:rsidR="003F17AF" w:rsidRPr="00A731B3">
        <w:rPr>
          <w:rFonts w:eastAsiaTheme="minorEastAsia"/>
          <w:color w:val="000000" w:themeColor="text1"/>
          <w:szCs w:val="24"/>
          <w:lang w:val="en-US"/>
        </w:rPr>
        <w:t>Carraro</w:t>
      </w:r>
      <w:proofErr w:type="spellEnd"/>
      <w:r w:rsidR="003F17AF" w:rsidRPr="00A731B3">
        <w:rPr>
          <w:rFonts w:eastAsiaTheme="minorEastAsia"/>
          <w:color w:val="000000" w:themeColor="text1"/>
          <w:szCs w:val="24"/>
          <w:lang w:val="en-US"/>
        </w:rPr>
        <w:t xml:space="preserve"> and </w:t>
      </w:r>
      <w:proofErr w:type="spellStart"/>
      <w:r w:rsidR="003F17AF" w:rsidRPr="00A731B3">
        <w:rPr>
          <w:rFonts w:eastAsiaTheme="minorEastAsia"/>
          <w:color w:val="000000" w:themeColor="text1"/>
          <w:szCs w:val="24"/>
          <w:lang w:val="en-US"/>
        </w:rPr>
        <w:t>Karfakis</w:t>
      </w:r>
      <w:proofErr w:type="spellEnd"/>
      <w:r w:rsidR="003F17AF" w:rsidRPr="00A731B3">
        <w:rPr>
          <w:rFonts w:eastAsiaTheme="minorEastAsia"/>
          <w:color w:val="000000" w:themeColor="text1"/>
          <w:szCs w:val="24"/>
          <w:lang w:val="en-US"/>
        </w:rPr>
        <w:t xml:space="preserve"> (2018), good institutions have a positive and statistically significant effect on the reallocation of resources between sectors of the economy of countries of the SSA. Aron (2000) shows that weak institutions contribute to locking up resources in low productivity sectors. Foreign direct investment could finance the </w:t>
      </w:r>
      <w:r w:rsidR="003F17AF" w:rsidRPr="00A731B3">
        <w:rPr>
          <w:rFonts w:eastAsiaTheme="minorEastAsia"/>
          <w:color w:val="000000" w:themeColor="text1"/>
          <w:szCs w:val="24"/>
          <w:lang w:val="en-US"/>
        </w:rPr>
        <w:lastRenderedPageBreak/>
        <w:t>modern agricultural sector and contribute to the reallocation of labor from less productive to more productive sectors.</w:t>
      </w:r>
    </w:p>
    <w:p w14:paraId="7F38DD93" w14:textId="4EF6E035" w:rsidR="003F17AF" w:rsidRPr="002F02A1" w:rsidRDefault="004C61E5" w:rsidP="00A731B3">
      <w:pPr>
        <w:spacing w:line="360" w:lineRule="auto"/>
        <w:jc w:val="both"/>
        <w:rPr>
          <w:i/>
          <w:color w:val="000000" w:themeColor="text1"/>
          <w:szCs w:val="24"/>
          <w:lang w:val="en-US"/>
        </w:rPr>
      </w:pPr>
      <w:r w:rsidRPr="002F02A1">
        <w:rPr>
          <w:i/>
          <w:color w:val="000000" w:themeColor="text1"/>
          <w:szCs w:val="24"/>
          <w:lang w:val="en-US"/>
        </w:rPr>
        <w:t>3</w:t>
      </w:r>
      <w:r w:rsidR="0086148C" w:rsidRPr="002F02A1">
        <w:rPr>
          <w:i/>
          <w:color w:val="000000" w:themeColor="text1"/>
          <w:szCs w:val="24"/>
          <w:lang w:val="en-US"/>
        </w:rPr>
        <w:t xml:space="preserve">.2 </w:t>
      </w:r>
      <w:r w:rsidR="003F17AF" w:rsidRPr="002F02A1">
        <w:rPr>
          <w:i/>
          <w:color w:val="000000" w:themeColor="text1"/>
          <w:szCs w:val="24"/>
          <w:lang w:val="en-US"/>
        </w:rPr>
        <w:t xml:space="preserve">Data </w:t>
      </w:r>
    </w:p>
    <w:p w14:paraId="5232AFF7" w14:textId="756FA099" w:rsidR="00566CB4" w:rsidRPr="00CB2C6D" w:rsidRDefault="003F17AF" w:rsidP="00CB2C6D">
      <w:pPr>
        <w:spacing w:line="360" w:lineRule="auto"/>
        <w:jc w:val="both"/>
        <w:rPr>
          <w:bCs/>
          <w:color w:val="000000" w:themeColor="text1"/>
          <w:szCs w:val="24"/>
          <w:lang w:val="en-US"/>
        </w:rPr>
      </w:pPr>
      <w:r w:rsidRPr="00A731B3">
        <w:rPr>
          <w:bCs/>
          <w:color w:val="000000" w:themeColor="text1"/>
          <w:szCs w:val="24"/>
          <w:lang w:val="en-US"/>
        </w:rPr>
        <w:t xml:space="preserve">The data used in this research come from the World Bank and Polity 5 </w:t>
      </w:r>
      <w:r w:rsidR="004C7635">
        <w:rPr>
          <w:bCs/>
          <w:color w:val="000000" w:themeColor="text1"/>
          <w:szCs w:val="24"/>
          <w:lang w:val="en-US"/>
        </w:rPr>
        <w:t>(Marshall, M. G. &amp; Ted Robert G</w:t>
      </w:r>
      <w:r w:rsidR="0075344D" w:rsidRPr="0075344D">
        <w:rPr>
          <w:bCs/>
          <w:color w:val="000000" w:themeColor="text1"/>
          <w:szCs w:val="24"/>
          <w:lang w:val="en-US"/>
        </w:rPr>
        <w:t xml:space="preserve">. 2020) </w:t>
      </w:r>
      <w:r w:rsidRPr="00A731B3">
        <w:rPr>
          <w:bCs/>
          <w:color w:val="000000" w:themeColor="text1"/>
          <w:szCs w:val="24"/>
          <w:lang w:val="en-US"/>
        </w:rPr>
        <w:t>database</w:t>
      </w:r>
      <w:r w:rsidR="00BF4DD5" w:rsidRPr="0080732C">
        <w:rPr>
          <w:bCs/>
          <w:color w:val="000000" w:themeColor="text1"/>
          <w:szCs w:val="24"/>
          <w:lang w:val="en-US"/>
        </w:rPr>
        <w:t>s</w:t>
      </w:r>
      <w:r w:rsidRPr="00A731B3">
        <w:rPr>
          <w:bCs/>
          <w:color w:val="000000" w:themeColor="text1"/>
          <w:szCs w:val="24"/>
          <w:lang w:val="en-US"/>
        </w:rPr>
        <w:t xml:space="preserve"> over </w:t>
      </w:r>
      <w:r w:rsidR="00A779B1">
        <w:rPr>
          <w:bCs/>
          <w:color w:val="000000" w:themeColor="text1"/>
          <w:szCs w:val="24"/>
          <w:lang w:val="en-US"/>
        </w:rPr>
        <w:t>the</w:t>
      </w:r>
      <w:r w:rsidRPr="00A731B3">
        <w:rPr>
          <w:bCs/>
          <w:color w:val="000000" w:themeColor="text1"/>
          <w:szCs w:val="24"/>
          <w:lang w:val="en-US"/>
        </w:rPr>
        <w:t xml:space="preserve"> period from 1990 to 2018 and on a sample of 33 SSA countries. Table 1 presents the descriptive statistics of the variables used in the model. The reallocation of skilled agricultural sector</w:t>
      </w:r>
      <w:r w:rsidR="00503219">
        <w:rPr>
          <w:bCs/>
          <w:color w:val="000000" w:themeColor="text1"/>
          <w:szCs w:val="24"/>
          <w:lang w:val="en-US"/>
        </w:rPr>
        <w:t>’s</w:t>
      </w:r>
      <w:r w:rsidRPr="00A731B3">
        <w:rPr>
          <w:bCs/>
          <w:color w:val="000000" w:themeColor="text1"/>
          <w:szCs w:val="24"/>
          <w:lang w:val="en-US"/>
        </w:rPr>
        <w:t xml:space="preserve"> labor is estimated at -0.059%. This statistic indicates that labor has moved from the agricultural sector to other sectors of activity in SSA countries. Internet access and telephone access are very volatile. This volatility is measured by their standard deviation estimated at 10.103 and 5.029 respectively. The correlation matrix is ​​shown </w:t>
      </w:r>
      <w:r w:rsidR="00BB4835">
        <w:rPr>
          <w:rStyle w:val="q4iawc"/>
          <w:lang w:val="en"/>
        </w:rPr>
        <w:t>in appendix 1</w:t>
      </w:r>
      <w:r w:rsidRPr="00A731B3">
        <w:rPr>
          <w:bCs/>
          <w:color w:val="000000" w:themeColor="text1"/>
          <w:szCs w:val="24"/>
          <w:lang w:val="en-US"/>
        </w:rPr>
        <w:t xml:space="preserve">. The multicollinearity test revealed that the mean of the variance inflation factors and individual VIF statistics are less than 10 </w:t>
      </w:r>
      <w:r w:rsidR="00F2615B">
        <w:rPr>
          <w:rStyle w:val="q4iawc"/>
          <w:lang w:val="en"/>
        </w:rPr>
        <w:t>(</w:t>
      </w:r>
      <w:r w:rsidR="00BB4835">
        <w:rPr>
          <w:rStyle w:val="q4iawc"/>
          <w:lang w:val="en"/>
        </w:rPr>
        <w:t>appendix 1</w:t>
      </w:r>
      <w:r w:rsidR="00F2615B">
        <w:rPr>
          <w:rStyle w:val="q4iawc"/>
          <w:lang w:val="en"/>
        </w:rPr>
        <w:t xml:space="preserve">). </w:t>
      </w:r>
      <w:r w:rsidR="00BF4DD5" w:rsidRPr="0080732C">
        <w:rPr>
          <w:bCs/>
          <w:color w:val="000000" w:themeColor="text1"/>
          <w:szCs w:val="24"/>
          <w:lang w:val="en-US"/>
        </w:rPr>
        <w:t>Thus,</w:t>
      </w:r>
      <w:r w:rsidRPr="00A731B3">
        <w:rPr>
          <w:bCs/>
          <w:color w:val="000000" w:themeColor="text1"/>
          <w:szCs w:val="24"/>
          <w:lang w:val="en-US"/>
        </w:rPr>
        <w:t xml:space="preserve"> all variables</w:t>
      </w:r>
      <w:r w:rsidR="00BF4DD5" w:rsidRPr="0080732C">
        <w:rPr>
          <w:bCs/>
          <w:color w:val="000000" w:themeColor="text1"/>
          <w:szCs w:val="24"/>
          <w:lang w:val="en-US"/>
        </w:rPr>
        <w:t xml:space="preserve"> in the </w:t>
      </w:r>
      <w:r w:rsidRPr="00A731B3">
        <w:rPr>
          <w:bCs/>
          <w:color w:val="000000" w:themeColor="text1"/>
          <w:szCs w:val="24"/>
          <w:lang w:val="en-US"/>
        </w:rPr>
        <w:t xml:space="preserve">data can </w:t>
      </w:r>
      <w:proofErr w:type="gramStart"/>
      <w:r w:rsidRPr="00A731B3">
        <w:rPr>
          <w:bCs/>
          <w:color w:val="000000" w:themeColor="text1"/>
          <w:szCs w:val="24"/>
          <w:lang w:val="en-US"/>
        </w:rPr>
        <w:t>be  in</w:t>
      </w:r>
      <w:r w:rsidR="00BF4DD5" w:rsidRPr="0080732C">
        <w:rPr>
          <w:bCs/>
          <w:color w:val="000000" w:themeColor="text1"/>
          <w:szCs w:val="24"/>
          <w:lang w:val="en-US"/>
        </w:rPr>
        <w:t>cluded</w:t>
      </w:r>
      <w:proofErr w:type="gramEnd"/>
      <w:r w:rsidR="00BF4DD5" w:rsidRPr="0080732C">
        <w:rPr>
          <w:bCs/>
          <w:color w:val="000000" w:themeColor="text1"/>
          <w:szCs w:val="24"/>
          <w:lang w:val="en-US"/>
        </w:rPr>
        <w:t xml:space="preserve"> in</w:t>
      </w:r>
      <w:r w:rsidRPr="00A731B3">
        <w:rPr>
          <w:bCs/>
          <w:color w:val="000000" w:themeColor="text1"/>
          <w:szCs w:val="24"/>
          <w:lang w:val="en-US"/>
        </w:rPr>
        <w:t xml:space="preserve"> the model </w:t>
      </w:r>
      <w:r w:rsidR="00BF4DD5" w:rsidRPr="0080732C">
        <w:rPr>
          <w:bCs/>
          <w:color w:val="000000" w:themeColor="text1"/>
          <w:szCs w:val="24"/>
          <w:lang w:val="en-US"/>
        </w:rPr>
        <w:t>for estimations</w:t>
      </w:r>
      <w:r w:rsidRPr="00A731B3">
        <w:rPr>
          <w:bCs/>
          <w:color w:val="000000" w:themeColor="text1"/>
          <w:szCs w:val="24"/>
          <w:lang w:val="en-US"/>
        </w:rPr>
        <w:t xml:space="preserve"> (Sinan and </w:t>
      </w:r>
      <w:proofErr w:type="spellStart"/>
      <w:r w:rsidRPr="00A731B3">
        <w:rPr>
          <w:bCs/>
          <w:color w:val="000000" w:themeColor="text1"/>
          <w:szCs w:val="24"/>
          <w:lang w:val="en-US"/>
        </w:rPr>
        <w:t>Alkan</w:t>
      </w:r>
      <w:proofErr w:type="spellEnd"/>
      <w:r w:rsidRPr="00A731B3">
        <w:rPr>
          <w:bCs/>
          <w:color w:val="000000" w:themeColor="text1"/>
          <w:szCs w:val="24"/>
          <w:lang w:val="en-US"/>
        </w:rPr>
        <w:t xml:space="preserve">, 2015; </w:t>
      </w:r>
      <w:proofErr w:type="spellStart"/>
      <w:r w:rsidRPr="00A731B3">
        <w:rPr>
          <w:bCs/>
          <w:color w:val="000000" w:themeColor="text1"/>
          <w:szCs w:val="24"/>
          <w:lang w:val="en-US"/>
        </w:rPr>
        <w:t>Salmerón</w:t>
      </w:r>
      <w:proofErr w:type="spellEnd"/>
      <w:r w:rsidRPr="00A731B3">
        <w:rPr>
          <w:bCs/>
          <w:color w:val="000000" w:themeColor="text1"/>
          <w:szCs w:val="24"/>
          <w:lang w:val="en-US"/>
        </w:rPr>
        <w:t xml:space="preserve"> Gómez </w:t>
      </w:r>
      <w:r w:rsidRPr="00F535CE">
        <w:rPr>
          <w:bCs/>
          <w:i/>
          <w:color w:val="000000" w:themeColor="text1"/>
          <w:szCs w:val="24"/>
          <w:lang w:val="en-US"/>
        </w:rPr>
        <w:t>et al.,</w:t>
      </w:r>
      <w:r w:rsidRPr="00A731B3">
        <w:rPr>
          <w:bCs/>
          <w:color w:val="000000" w:themeColor="text1"/>
          <w:szCs w:val="24"/>
          <w:lang w:val="en-US"/>
        </w:rPr>
        <w:t xml:space="preserve"> 2016). As the ICTs are measured by two alternative indic</w:t>
      </w:r>
      <w:r w:rsidR="00F2615B">
        <w:rPr>
          <w:bCs/>
          <w:color w:val="000000" w:themeColor="text1"/>
          <w:szCs w:val="24"/>
          <w:lang w:val="en-US"/>
        </w:rPr>
        <w:t>ators, the estimates are made</w:t>
      </w:r>
      <w:r w:rsidRPr="00A731B3">
        <w:rPr>
          <w:bCs/>
          <w:color w:val="000000" w:themeColor="text1"/>
          <w:szCs w:val="24"/>
          <w:lang w:val="en-US"/>
        </w:rPr>
        <w:t xml:space="preserve"> gradually considering each of these two variables</w:t>
      </w:r>
      <w:r w:rsidR="00F2615B">
        <w:rPr>
          <w:bCs/>
          <w:color w:val="000000" w:themeColor="text1"/>
          <w:szCs w:val="24"/>
          <w:lang w:val="en-US"/>
        </w:rPr>
        <w:t xml:space="preserve"> separately</w:t>
      </w:r>
      <w:r w:rsidRPr="00A731B3">
        <w:rPr>
          <w:bCs/>
          <w:color w:val="000000" w:themeColor="text1"/>
          <w:szCs w:val="24"/>
          <w:lang w:val="en-US"/>
        </w:rPr>
        <w:t>. The Wooldridge error autocorrelation test (2002) showed that first-order errors are dependent over time at the 5% threshold (</w:t>
      </w:r>
      <w:r w:rsidR="00BB4835">
        <w:rPr>
          <w:rStyle w:val="q4iawc"/>
          <w:lang w:val="en"/>
        </w:rPr>
        <w:t>in appendix 1</w:t>
      </w:r>
      <w:r w:rsidRPr="00A731B3">
        <w:rPr>
          <w:bCs/>
          <w:color w:val="000000" w:themeColor="text1"/>
          <w:szCs w:val="24"/>
          <w:lang w:val="en-US"/>
        </w:rPr>
        <w:t>).</w:t>
      </w:r>
    </w:p>
    <w:p w14:paraId="7D956853" w14:textId="0E063D61" w:rsidR="0086148C" w:rsidRPr="00A731B3" w:rsidRDefault="00A27190" w:rsidP="00A731B3">
      <w:pPr>
        <w:spacing w:after="0" w:line="360" w:lineRule="auto"/>
        <w:jc w:val="both"/>
        <w:rPr>
          <w:b/>
          <w:color w:val="000000" w:themeColor="text1"/>
          <w:szCs w:val="24"/>
          <w:lang w:val="en-US"/>
        </w:rPr>
      </w:pPr>
      <w:r w:rsidRPr="00A731B3">
        <w:rPr>
          <w:b/>
          <w:color w:val="000000" w:themeColor="text1"/>
          <w:szCs w:val="24"/>
          <w:lang w:val="en-US"/>
        </w:rPr>
        <w:t>Table</w:t>
      </w:r>
      <w:r w:rsidR="00EB6E88">
        <w:rPr>
          <w:b/>
          <w:color w:val="000000" w:themeColor="text1"/>
          <w:szCs w:val="24"/>
          <w:lang w:val="en-US"/>
        </w:rPr>
        <w:t xml:space="preserve"> </w:t>
      </w:r>
      <w:proofErr w:type="gramStart"/>
      <w:r w:rsidR="00857A06" w:rsidRPr="00A731B3">
        <w:rPr>
          <w:b/>
          <w:color w:val="000000" w:themeColor="text1"/>
          <w:szCs w:val="24"/>
          <w:lang w:val="en-US"/>
        </w:rPr>
        <w:t>1 </w:t>
      </w:r>
      <w:r w:rsidR="0086148C" w:rsidRPr="00A731B3">
        <w:rPr>
          <w:b/>
          <w:color w:val="000000" w:themeColor="text1"/>
          <w:szCs w:val="24"/>
          <w:lang w:val="en-US"/>
        </w:rPr>
        <w:t>:</w:t>
      </w:r>
      <w:proofErr w:type="gramEnd"/>
      <w:r w:rsidR="0086148C" w:rsidRPr="00A731B3">
        <w:rPr>
          <w:b/>
          <w:color w:val="000000" w:themeColor="text1"/>
          <w:szCs w:val="24"/>
          <w:lang w:val="en-US"/>
        </w:rPr>
        <w:t xml:space="preserve"> </w:t>
      </w:r>
      <w:r w:rsidRPr="00A731B3">
        <w:rPr>
          <w:b/>
          <w:color w:val="000000" w:themeColor="text1"/>
          <w:szCs w:val="24"/>
          <w:lang w:val="en-US"/>
        </w:rPr>
        <w:t>Descriptive statistics</w:t>
      </w:r>
    </w:p>
    <w:tbl>
      <w:tblPr>
        <w:tblStyle w:val="TableGrid"/>
        <w:tblW w:w="8931"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091"/>
        <w:gridCol w:w="952"/>
        <w:gridCol w:w="1273"/>
        <w:gridCol w:w="1273"/>
        <w:gridCol w:w="1342"/>
      </w:tblGrid>
      <w:tr w:rsidR="00F336E9" w:rsidRPr="00A731B3" w14:paraId="4BD11583" w14:textId="77777777" w:rsidTr="00394CAA">
        <w:trPr>
          <w:trHeight w:val="313"/>
        </w:trPr>
        <w:tc>
          <w:tcPr>
            <w:tcW w:w="4091" w:type="dxa"/>
            <w:tcBorders>
              <w:top w:val="single" w:sz="18" w:space="0" w:color="auto"/>
              <w:bottom w:val="single" w:sz="18" w:space="0" w:color="auto"/>
            </w:tcBorders>
          </w:tcPr>
          <w:p w14:paraId="67D030EF"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Variables</w:t>
            </w:r>
          </w:p>
        </w:tc>
        <w:tc>
          <w:tcPr>
            <w:tcW w:w="952" w:type="dxa"/>
            <w:tcBorders>
              <w:top w:val="single" w:sz="18" w:space="0" w:color="auto"/>
              <w:bottom w:val="single" w:sz="18" w:space="0" w:color="auto"/>
            </w:tcBorders>
          </w:tcPr>
          <w:p w14:paraId="38F23989"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Obs.</w:t>
            </w:r>
          </w:p>
        </w:tc>
        <w:tc>
          <w:tcPr>
            <w:tcW w:w="1273" w:type="dxa"/>
            <w:tcBorders>
              <w:top w:val="single" w:sz="18" w:space="0" w:color="auto"/>
              <w:bottom w:val="single" w:sz="18" w:space="0" w:color="auto"/>
            </w:tcBorders>
          </w:tcPr>
          <w:p w14:paraId="3F96082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Mean</w:t>
            </w:r>
          </w:p>
        </w:tc>
        <w:tc>
          <w:tcPr>
            <w:tcW w:w="1273" w:type="dxa"/>
            <w:tcBorders>
              <w:top w:val="single" w:sz="18" w:space="0" w:color="auto"/>
              <w:bottom w:val="single" w:sz="18" w:space="0" w:color="auto"/>
            </w:tcBorders>
          </w:tcPr>
          <w:p w14:paraId="79C3694D" w14:textId="77777777" w:rsidR="00394CAA" w:rsidRPr="00A731B3" w:rsidRDefault="00394CAA" w:rsidP="00A731B3">
            <w:pPr>
              <w:spacing w:line="360" w:lineRule="auto"/>
              <w:jc w:val="both"/>
              <w:rPr>
                <w:color w:val="000000" w:themeColor="text1"/>
                <w:szCs w:val="24"/>
                <w:lang w:val="en-US"/>
              </w:rPr>
            </w:pPr>
            <w:proofErr w:type="spellStart"/>
            <w:r w:rsidRPr="00A731B3">
              <w:rPr>
                <w:color w:val="000000" w:themeColor="text1"/>
                <w:szCs w:val="24"/>
                <w:lang w:val="en-US"/>
              </w:rPr>
              <w:t>Std.Dev</w:t>
            </w:r>
            <w:proofErr w:type="spellEnd"/>
            <w:r w:rsidRPr="00A731B3">
              <w:rPr>
                <w:color w:val="000000" w:themeColor="text1"/>
                <w:szCs w:val="24"/>
                <w:lang w:val="en-US"/>
              </w:rPr>
              <w:t>.</w:t>
            </w:r>
          </w:p>
        </w:tc>
        <w:tc>
          <w:tcPr>
            <w:tcW w:w="1342" w:type="dxa"/>
            <w:tcBorders>
              <w:top w:val="single" w:sz="18" w:space="0" w:color="auto"/>
              <w:bottom w:val="single" w:sz="18" w:space="0" w:color="auto"/>
            </w:tcBorders>
          </w:tcPr>
          <w:p w14:paraId="58ABA476" w14:textId="77777777" w:rsidR="00394CAA" w:rsidRPr="00A731B3" w:rsidRDefault="00394CAA" w:rsidP="00A731B3">
            <w:pPr>
              <w:spacing w:line="360" w:lineRule="auto"/>
              <w:jc w:val="both"/>
              <w:rPr>
                <w:color w:val="000000" w:themeColor="text1"/>
                <w:szCs w:val="24"/>
                <w:lang w:val="en-US"/>
              </w:rPr>
            </w:pPr>
            <w:r w:rsidRPr="00A731B3">
              <w:rPr>
                <w:color w:val="000000" w:themeColor="text1"/>
                <w:szCs w:val="24"/>
                <w:lang w:val="en-US"/>
              </w:rPr>
              <w:t>Sources</w:t>
            </w:r>
          </w:p>
        </w:tc>
      </w:tr>
      <w:tr w:rsidR="00F336E9" w:rsidRPr="00A731B3" w14:paraId="78D2D717" w14:textId="77777777" w:rsidTr="00BD500D">
        <w:trPr>
          <w:trHeight w:val="313"/>
        </w:trPr>
        <w:tc>
          <w:tcPr>
            <w:tcW w:w="4091" w:type="dxa"/>
            <w:tcBorders>
              <w:top w:val="single" w:sz="18" w:space="0" w:color="auto"/>
              <w:bottom w:val="nil"/>
            </w:tcBorders>
          </w:tcPr>
          <w:p w14:paraId="2F3329D8" w14:textId="4C72BF4F" w:rsidR="00394CAA"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agricultural labor </w:t>
            </w:r>
            <w:r w:rsidR="00E96006" w:rsidRPr="00A731B3">
              <w:rPr>
                <w:color w:val="000000" w:themeColor="text1"/>
                <w:szCs w:val="24"/>
                <w:lang w:val="en-US"/>
              </w:rPr>
              <w:t>(%)</w:t>
            </w:r>
          </w:p>
        </w:tc>
        <w:tc>
          <w:tcPr>
            <w:tcW w:w="952" w:type="dxa"/>
            <w:tcBorders>
              <w:top w:val="single" w:sz="18" w:space="0" w:color="auto"/>
              <w:bottom w:val="nil"/>
            </w:tcBorders>
          </w:tcPr>
          <w:p w14:paraId="58D9027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890</w:t>
            </w:r>
          </w:p>
        </w:tc>
        <w:tc>
          <w:tcPr>
            <w:tcW w:w="1273" w:type="dxa"/>
            <w:tcBorders>
              <w:top w:val="single" w:sz="18" w:space="0" w:color="auto"/>
              <w:bottom w:val="nil"/>
            </w:tcBorders>
          </w:tcPr>
          <w:p w14:paraId="18411FA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w:t>
            </w:r>
            <w:r w:rsidR="00E96006" w:rsidRPr="00A731B3">
              <w:rPr>
                <w:color w:val="000000" w:themeColor="text1"/>
                <w:szCs w:val="24"/>
                <w:lang w:val="en-US"/>
              </w:rPr>
              <w:t>0,0</w:t>
            </w:r>
            <w:r w:rsidRPr="00A731B3">
              <w:rPr>
                <w:color w:val="000000" w:themeColor="text1"/>
                <w:szCs w:val="24"/>
                <w:lang w:val="en-US"/>
              </w:rPr>
              <w:t>59</w:t>
            </w:r>
          </w:p>
        </w:tc>
        <w:tc>
          <w:tcPr>
            <w:tcW w:w="1273" w:type="dxa"/>
            <w:tcBorders>
              <w:top w:val="single" w:sz="18" w:space="0" w:color="auto"/>
              <w:bottom w:val="nil"/>
            </w:tcBorders>
          </w:tcPr>
          <w:p w14:paraId="1568CE0C" w14:textId="77777777" w:rsidR="00394CAA" w:rsidRPr="00A731B3" w:rsidRDefault="00E96006" w:rsidP="00A731B3">
            <w:pPr>
              <w:spacing w:line="360" w:lineRule="auto"/>
              <w:rPr>
                <w:color w:val="000000" w:themeColor="text1"/>
                <w:szCs w:val="24"/>
                <w:lang w:val="en-US"/>
              </w:rPr>
            </w:pPr>
            <w:r w:rsidRPr="00A731B3">
              <w:rPr>
                <w:color w:val="000000" w:themeColor="text1"/>
                <w:szCs w:val="24"/>
                <w:lang w:val="en-US"/>
              </w:rPr>
              <w:t>0,</w:t>
            </w:r>
            <w:r w:rsidR="009F4E83" w:rsidRPr="00A731B3">
              <w:rPr>
                <w:color w:val="000000" w:themeColor="text1"/>
                <w:szCs w:val="24"/>
                <w:lang w:val="en-US"/>
              </w:rPr>
              <w:t>3</w:t>
            </w:r>
            <w:r w:rsidRPr="00A731B3">
              <w:rPr>
                <w:color w:val="000000" w:themeColor="text1"/>
                <w:szCs w:val="24"/>
                <w:lang w:val="en-US"/>
              </w:rPr>
              <w:t>8</w:t>
            </w:r>
            <w:r w:rsidR="009F4E83" w:rsidRPr="00A731B3">
              <w:rPr>
                <w:color w:val="000000" w:themeColor="text1"/>
                <w:szCs w:val="24"/>
                <w:lang w:val="en-US"/>
              </w:rPr>
              <w:t>6</w:t>
            </w:r>
          </w:p>
        </w:tc>
        <w:tc>
          <w:tcPr>
            <w:tcW w:w="1342" w:type="dxa"/>
            <w:tcBorders>
              <w:top w:val="single" w:sz="18" w:space="0" w:color="auto"/>
              <w:bottom w:val="nil"/>
            </w:tcBorders>
          </w:tcPr>
          <w:p w14:paraId="70B55D8D" w14:textId="77777777" w:rsidR="00394CAA" w:rsidRPr="00A731B3" w:rsidRDefault="00394CAA" w:rsidP="00A731B3">
            <w:pPr>
              <w:spacing w:line="360" w:lineRule="auto"/>
              <w:jc w:val="right"/>
              <w:rPr>
                <w:color w:val="000000" w:themeColor="text1"/>
                <w:szCs w:val="24"/>
                <w:lang w:val="en-US"/>
              </w:rPr>
            </w:pPr>
            <w:r w:rsidRPr="00A731B3">
              <w:rPr>
                <w:color w:val="000000" w:themeColor="text1"/>
                <w:szCs w:val="24"/>
                <w:lang w:val="en-US"/>
              </w:rPr>
              <w:t>WDI</w:t>
            </w:r>
          </w:p>
        </w:tc>
      </w:tr>
      <w:tr w:rsidR="00F336E9" w:rsidRPr="00A731B3" w14:paraId="41A2EF51" w14:textId="77777777" w:rsidTr="00BD500D">
        <w:trPr>
          <w:trHeight w:val="313"/>
        </w:trPr>
        <w:tc>
          <w:tcPr>
            <w:tcW w:w="4091" w:type="dxa"/>
            <w:tcBorders>
              <w:top w:val="nil"/>
              <w:bottom w:val="nil"/>
            </w:tcBorders>
          </w:tcPr>
          <w:p w14:paraId="4B928AB6" w14:textId="59A25A55"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industrial labor </w:t>
            </w:r>
            <w:r w:rsidR="00972551" w:rsidRPr="00A731B3">
              <w:rPr>
                <w:color w:val="000000" w:themeColor="text1"/>
                <w:szCs w:val="24"/>
                <w:lang w:val="en-US"/>
              </w:rPr>
              <w:t>(%)</w:t>
            </w:r>
          </w:p>
        </w:tc>
        <w:tc>
          <w:tcPr>
            <w:tcW w:w="952" w:type="dxa"/>
            <w:tcBorders>
              <w:top w:val="nil"/>
              <w:bottom w:val="nil"/>
            </w:tcBorders>
          </w:tcPr>
          <w:p w14:paraId="4FE03D9C"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68A86D2D"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-0,005</w:t>
            </w:r>
          </w:p>
        </w:tc>
        <w:tc>
          <w:tcPr>
            <w:tcW w:w="1273" w:type="dxa"/>
            <w:tcBorders>
              <w:top w:val="nil"/>
              <w:bottom w:val="nil"/>
            </w:tcBorders>
          </w:tcPr>
          <w:p w14:paraId="20713995"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0,198</w:t>
            </w:r>
          </w:p>
        </w:tc>
        <w:tc>
          <w:tcPr>
            <w:tcW w:w="1342" w:type="dxa"/>
            <w:tcBorders>
              <w:top w:val="nil"/>
              <w:bottom w:val="nil"/>
            </w:tcBorders>
          </w:tcPr>
          <w:p w14:paraId="32BAC1A0"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90FBCF7" w14:textId="77777777" w:rsidTr="00BD500D">
        <w:trPr>
          <w:trHeight w:val="313"/>
        </w:trPr>
        <w:tc>
          <w:tcPr>
            <w:tcW w:w="4091" w:type="dxa"/>
            <w:tcBorders>
              <w:top w:val="nil"/>
              <w:bottom w:val="nil"/>
            </w:tcBorders>
          </w:tcPr>
          <w:p w14:paraId="22C3C840" w14:textId="23D61EAE" w:rsidR="00BD500D" w:rsidRPr="00A731B3" w:rsidRDefault="00A27190" w:rsidP="00A731B3">
            <w:pPr>
              <w:spacing w:line="360" w:lineRule="auto"/>
              <w:jc w:val="both"/>
              <w:rPr>
                <w:color w:val="000000" w:themeColor="text1"/>
                <w:szCs w:val="24"/>
                <w:lang w:val="en-US"/>
              </w:rPr>
            </w:pPr>
            <w:r w:rsidRPr="00A731B3">
              <w:rPr>
                <w:color w:val="000000" w:themeColor="text1"/>
                <w:szCs w:val="24"/>
                <w:lang w:val="en-US"/>
              </w:rPr>
              <w:t xml:space="preserve">Reallocation of service labor </w:t>
            </w:r>
            <w:r w:rsidR="00972551" w:rsidRPr="00A731B3">
              <w:rPr>
                <w:color w:val="000000" w:themeColor="text1"/>
                <w:szCs w:val="24"/>
                <w:lang w:val="en-US"/>
              </w:rPr>
              <w:t>(%)</w:t>
            </w:r>
          </w:p>
        </w:tc>
        <w:tc>
          <w:tcPr>
            <w:tcW w:w="952" w:type="dxa"/>
            <w:tcBorders>
              <w:top w:val="nil"/>
              <w:bottom w:val="nil"/>
            </w:tcBorders>
          </w:tcPr>
          <w:p w14:paraId="4BE6003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873</w:t>
            </w:r>
          </w:p>
        </w:tc>
        <w:tc>
          <w:tcPr>
            <w:tcW w:w="1273" w:type="dxa"/>
            <w:tcBorders>
              <w:top w:val="nil"/>
              <w:bottom w:val="nil"/>
            </w:tcBorders>
          </w:tcPr>
          <w:p w14:paraId="51A303F6"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0,120</w:t>
            </w:r>
          </w:p>
        </w:tc>
        <w:tc>
          <w:tcPr>
            <w:tcW w:w="1273" w:type="dxa"/>
            <w:tcBorders>
              <w:top w:val="nil"/>
              <w:bottom w:val="nil"/>
            </w:tcBorders>
          </w:tcPr>
          <w:p w14:paraId="75DBE73B" w14:textId="77777777" w:rsidR="00BD500D" w:rsidRPr="00A731B3" w:rsidRDefault="00972551" w:rsidP="00A731B3">
            <w:pPr>
              <w:spacing w:line="360" w:lineRule="auto"/>
              <w:rPr>
                <w:color w:val="000000" w:themeColor="text1"/>
                <w:szCs w:val="24"/>
                <w:lang w:val="en-US"/>
              </w:rPr>
            </w:pPr>
            <w:r w:rsidRPr="00A731B3">
              <w:rPr>
                <w:color w:val="000000" w:themeColor="text1"/>
                <w:szCs w:val="24"/>
                <w:lang w:val="en-US"/>
              </w:rPr>
              <w:t>0,570</w:t>
            </w:r>
          </w:p>
        </w:tc>
        <w:tc>
          <w:tcPr>
            <w:tcW w:w="1342" w:type="dxa"/>
            <w:tcBorders>
              <w:top w:val="nil"/>
              <w:bottom w:val="nil"/>
            </w:tcBorders>
          </w:tcPr>
          <w:p w14:paraId="1042ADBC" w14:textId="77777777" w:rsidR="00BD500D" w:rsidRPr="00A731B3" w:rsidRDefault="00BD500D"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7E7DC1A" w14:textId="77777777" w:rsidTr="00394CAA">
        <w:trPr>
          <w:trHeight w:val="332"/>
        </w:trPr>
        <w:tc>
          <w:tcPr>
            <w:tcW w:w="4091" w:type="dxa"/>
            <w:tcBorders>
              <w:top w:val="nil"/>
              <w:bottom w:val="nil"/>
            </w:tcBorders>
          </w:tcPr>
          <w:p w14:paraId="1BD14E5D" w14:textId="55BBECE4"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Telephone access</w:t>
            </w:r>
            <w:r w:rsidR="00972551" w:rsidRPr="0080732C">
              <w:rPr>
                <w:color w:val="000000" w:themeColor="text1"/>
                <w:szCs w:val="24"/>
                <w:lang w:val="en-US"/>
              </w:rPr>
              <w:t xml:space="preserve"> (%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Borders>
              <w:top w:val="nil"/>
              <w:bottom w:val="nil"/>
            </w:tcBorders>
          </w:tcPr>
          <w:p w14:paraId="47B7F836"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911</w:t>
            </w:r>
          </w:p>
        </w:tc>
        <w:tc>
          <w:tcPr>
            <w:tcW w:w="1273" w:type="dxa"/>
            <w:tcBorders>
              <w:top w:val="nil"/>
              <w:bottom w:val="nil"/>
            </w:tcBorders>
          </w:tcPr>
          <w:p w14:paraId="77BA12D2"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2.597</w:t>
            </w:r>
          </w:p>
        </w:tc>
        <w:tc>
          <w:tcPr>
            <w:tcW w:w="1273" w:type="dxa"/>
            <w:tcBorders>
              <w:top w:val="nil"/>
              <w:bottom w:val="nil"/>
            </w:tcBorders>
          </w:tcPr>
          <w:p w14:paraId="3870EF03"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5.029</w:t>
            </w:r>
          </w:p>
        </w:tc>
        <w:tc>
          <w:tcPr>
            <w:tcW w:w="1342" w:type="dxa"/>
            <w:tcBorders>
              <w:top w:val="nil"/>
              <w:bottom w:val="nil"/>
            </w:tcBorders>
          </w:tcPr>
          <w:p w14:paraId="5F8E0F2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73BBEF3A" w14:textId="77777777" w:rsidTr="00394CAA">
        <w:trPr>
          <w:trHeight w:val="332"/>
        </w:trPr>
        <w:tc>
          <w:tcPr>
            <w:tcW w:w="4091" w:type="dxa"/>
          </w:tcPr>
          <w:p w14:paraId="44F3AD3C" w14:textId="51243345" w:rsidR="00394CAA" w:rsidRPr="0080732C" w:rsidRDefault="00A27190"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 xml:space="preserve">Internet access </w:t>
            </w:r>
            <w:r w:rsidR="00972551" w:rsidRPr="0080732C">
              <w:rPr>
                <w:color w:val="000000" w:themeColor="text1"/>
                <w:szCs w:val="24"/>
                <w:lang w:val="en-US"/>
              </w:rPr>
              <w:t xml:space="preserve">(% </w:t>
            </w:r>
            <w:r w:rsidRPr="0080732C">
              <w:rPr>
                <w:color w:val="000000" w:themeColor="text1"/>
                <w:szCs w:val="24"/>
                <w:lang w:val="en-US"/>
              </w:rPr>
              <w:t>of total population</w:t>
            </w:r>
            <w:r w:rsidR="00972551" w:rsidRPr="0080732C">
              <w:rPr>
                <w:color w:val="000000" w:themeColor="text1"/>
                <w:szCs w:val="24"/>
                <w:lang w:val="en-US"/>
              </w:rPr>
              <w:t>)</w:t>
            </w:r>
          </w:p>
        </w:tc>
        <w:tc>
          <w:tcPr>
            <w:tcW w:w="952" w:type="dxa"/>
          </w:tcPr>
          <w:p w14:paraId="53499DD4"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 xml:space="preserve">755  </w:t>
            </w:r>
          </w:p>
        </w:tc>
        <w:tc>
          <w:tcPr>
            <w:tcW w:w="1273" w:type="dxa"/>
          </w:tcPr>
          <w:p w14:paraId="4A38AF59"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5.9189</w:t>
            </w:r>
          </w:p>
        </w:tc>
        <w:tc>
          <w:tcPr>
            <w:tcW w:w="1273" w:type="dxa"/>
          </w:tcPr>
          <w:p w14:paraId="7BABC14B"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10.103</w:t>
            </w:r>
          </w:p>
        </w:tc>
        <w:tc>
          <w:tcPr>
            <w:tcW w:w="1342" w:type="dxa"/>
          </w:tcPr>
          <w:p w14:paraId="072363E5"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6A0BF24D" w14:textId="77777777" w:rsidTr="00394CAA">
        <w:trPr>
          <w:trHeight w:val="313"/>
        </w:trPr>
        <w:tc>
          <w:tcPr>
            <w:tcW w:w="4091" w:type="dxa"/>
          </w:tcPr>
          <w:p w14:paraId="0BD57644" w14:textId="09B46402"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Human capital</w:t>
            </w:r>
            <w:r w:rsidR="009A2333" w:rsidRPr="0080732C">
              <w:rPr>
                <w:color w:val="000000" w:themeColor="text1"/>
                <w:szCs w:val="24"/>
                <w:lang w:val="en-US"/>
              </w:rPr>
              <w:t xml:space="preserve"> (</w:t>
            </w:r>
            <w:r w:rsidR="009A2333" w:rsidRPr="0080732C">
              <w:rPr>
                <w:color w:val="000000" w:themeColor="text1"/>
                <w:lang w:val="en-US"/>
              </w:rPr>
              <w:t>%</w:t>
            </w:r>
            <w:r w:rsidRPr="0080732C">
              <w:rPr>
                <w:color w:val="000000" w:themeColor="text1"/>
                <w:lang w:val="en-US"/>
              </w:rPr>
              <w:t xml:space="preserve"> of </w:t>
            </w:r>
            <w:r w:rsidRPr="0080732C">
              <w:rPr>
                <w:color w:val="000000" w:themeColor="text1"/>
                <w:szCs w:val="24"/>
                <w:lang w:val="en-US"/>
              </w:rPr>
              <w:t>population of age for formal secondary education</w:t>
            </w:r>
            <w:r w:rsidR="009A2333" w:rsidRPr="0080732C">
              <w:rPr>
                <w:color w:val="000000" w:themeColor="text1"/>
                <w:szCs w:val="24"/>
                <w:lang w:val="en-US"/>
              </w:rPr>
              <w:t>)</w:t>
            </w:r>
          </w:p>
        </w:tc>
        <w:tc>
          <w:tcPr>
            <w:tcW w:w="952" w:type="dxa"/>
          </w:tcPr>
          <w:p w14:paraId="1726BB4A"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549</w:t>
            </w:r>
          </w:p>
        </w:tc>
        <w:tc>
          <w:tcPr>
            <w:tcW w:w="1273" w:type="dxa"/>
          </w:tcPr>
          <w:p w14:paraId="43EBBC48"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38.031</w:t>
            </w:r>
          </w:p>
        </w:tc>
        <w:tc>
          <w:tcPr>
            <w:tcW w:w="1273" w:type="dxa"/>
          </w:tcPr>
          <w:p w14:paraId="45A2EB0D"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24.930</w:t>
            </w:r>
          </w:p>
        </w:tc>
        <w:tc>
          <w:tcPr>
            <w:tcW w:w="1342" w:type="dxa"/>
          </w:tcPr>
          <w:p w14:paraId="162023D9"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CB69D24" w14:textId="77777777" w:rsidTr="00394CAA">
        <w:trPr>
          <w:trHeight w:val="297"/>
        </w:trPr>
        <w:tc>
          <w:tcPr>
            <w:tcW w:w="4091" w:type="dxa"/>
          </w:tcPr>
          <w:p w14:paraId="675B7632" w14:textId="43DCD0BA"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Investment</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3AD25087"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858</w:t>
            </w:r>
          </w:p>
        </w:tc>
        <w:tc>
          <w:tcPr>
            <w:tcW w:w="1273" w:type="dxa"/>
          </w:tcPr>
          <w:p w14:paraId="31682841"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20.990</w:t>
            </w:r>
          </w:p>
        </w:tc>
        <w:tc>
          <w:tcPr>
            <w:tcW w:w="1273" w:type="dxa"/>
          </w:tcPr>
          <w:p w14:paraId="03DD1DF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9.193</w:t>
            </w:r>
          </w:p>
        </w:tc>
        <w:tc>
          <w:tcPr>
            <w:tcW w:w="1342" w:type="dxa"/>
          </w:tcPr>
          <w:p w14:paraId="54D2F96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02B783E4" w14:textId="77777777" w:rsidTr="00394CAA">
        <w:trPr>
          <w:trHeight w:val="313"/>
        </w:trPr>
        <w:tc>
          <w:tcPr>
            <w:tcW w:w="4091" w:type="dxa"/>
          </w:tcPr>
          <w:p w14:paraId="44B734CF" w14:textId="04B15746" w:rsidR="00394CAA" w:rsidRPr="0080732C" w:rsidRDefault="0080732C" w:rsidP="00A731B3">
            <w:pPr>
              <w:widowControl w:val="0"/>
              <w:autoSpaceDE w:val="0"/>
              <w:adjustRightInd w:val="0"/>
              <w:spacing w:line="360" w:lineRule="auto"/>
              <w:rPr>
                <w:color w:val="000000" w:themeColor="text1"/>
                <w:szCs w:val="24"/>
                <w:lang w:val="en-US"/>
              </w:rPr>
            </w:pPr>
            <w:r w:rsidRPr="0080732C">
              <w:rPr>
                <w:color w:val="000000" w:themeColor="text1"/>
                <w:szCs w:val="24"/>
                <w:lang w:val="en-US"/>
              </w:rPr>
              <w:t>Credit to private sector</w:t>
            </w:r>
            <w:r w:rsidR="00972551" w:rsidRPr="0080732C">
              <w:rPr>
                <w:color w:val="000000" w:themeColor="text1"/>
                <w:szCs w:val="24"/>
                <w:lang w:val="en-US"/>
              </w:rPr>
              <w:t xml:space="preserve"> (% </w:t>
            </w:r>
            <w:r w:rsidRPr="0080732C">
              <w:rPr>
                <w:color w:val="000000" w:themeColor="text1"/>
                <w:szCs w:val="24"/>
                <w:lang w:val="en-US"/>
              </w:rPr>
              <w:t>GDP</w:t>
            </w:r>
            <w:r w:rsidR="00972551" w:rsidRPr="0080732C">
              <w:rPr>
                <w:color w:val="000000" w:themeColor="text1"/>
                <w:szCs w:val="24"/>
                <w:lang w:val="en-US"/>
              </w:rPr>
              <w:t>)</w:t>
            </w:r>
          </w:p>
        </w:tc>
        <w:tc>
          <w:tcPr>
            <w:tcW w:w="952" w:type="dxa"/>
          </w:tcPr>
          <w:p w14:paraId="4371D50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883</w:t>
            </w:r>
          </w:p>
        </w:tc>
        <w:tc>
          <w:tcPr>
            <w:tcW w:w="1273" w:type="dxa"/>
          </w:tcPr>
          <w:p w14:paraId="01060945"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20.718</w:t>
            </w:r>
          </w:p>
        </w:tc>
        <w:tc>
          <w:tcPr>
            <w:tcW w:w="1273" w:type="dxa"/>
          </w:tcPr>
          <w:p w14:paraId="5F9E577C" w14:textId="77777777" w:rsidR="00394CAA" w:rsidRPr="00A731B3" w:rsidRDefault="009F4E83" w:rsidP="00A731B3">
            <w:pPr>
              <w:spacing w:line="360" w:lineRule="auto"/>
              <w:rPr>
                <w:color w:val="000000" w:themeColor="text1"/>
                <w:szCs w:val="24"/>
                <w:lang w:val="en-US"/>
              </w:rPr>
            </w:pPr>
            <w:r w:rsidRPr="00A731B3">
              <w:rPr>
                <w:color w:val="000000" w:themeColor="text1"/>
                <w:szCs w:val="24"/>
                <w:lang w:val="en-US"/>
              </w:rPr>
              <w:t>25.292</w:t>
            </w:r>
          </w:p>
        </w:tc>
        <w:tc>
          <w:tcPr>
            <w:tcW w:w="1342" w:type="dxa"/>
          </w:tcPr>
          <w:p w14:paraId="588F0B76"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3A701F2A" w14:textId="77777777" w:rsidTr="00394CAA">
        <w:trPr>
          <w:trHeight w:val="313"/>
        </w:trPr>
        <w:tc>
          <w:tcPr>
            <w:tcW w:w="4091" w:type="dxa"/>
          </w:tcPr>
          <w:p w14:paraId="554B6305" w14:textId="57A6160B"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 xml:space="preserve">Trade </w:t>
            </w:r>
            <w:r w:rsidR="00AD01D8" w:rsidRPr="00A731B3">
              <w:rPr>
                <w:color w:val="000000" w:themeColor="text1"/>
                <w:szCs w:val="24"/>
                <w:lang w:val="en-US"/>
              </w:rPr>
              <w:t>openness</w:t>
            </w:r>
            <w:r w:rsidR="00972551" w:rsidRPr="00A731B3">
              <w:rPr>
                <w:color w:val="000000" w:themeColor="text1"/>
                <w:szCs w:val="24"/>
                <w:lang w:val="en-US"/>
              </w:rPr>
              <w:t xml:space="preserve"> (% </w:t>
            </w:r>
            <w:r w:rsidRPr="00A731B3">
              <w:rPr>
                <w:color w:val="000000" w:themeColor="text1"/>
                <w:szCs w:val="24"/>
                <w:lang w:val="en-US"/>
              </w:rPr>
              <w:t>GDP</w:t>
            </w:r>
            <w:r w:rsidR="00972551" w:rsidRPr="00A731B3">
              <w:rPr>
                <w:color w:val="000000" w:themeColor="text1"/>
                <w:szCs w:val="24"/>
                <w:lang w:val="en-US"/>
              </w:rPr>
              <w:t>)</w:t>
            </w:r>
          </w:p>
        </w:tc>
        <w:tc>
          <w:tcPr>
            <w:tcW w:w="952" w:type="dxa"/>
          </w:tcPr>
          <w:p w14:paraId="4822A291"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895</w:t>
            </w:r>
          </w:p>
        </w:tc>
        <w:tc>
          <w:tcPr>
            <w:tcW w:w="1273" w:type="dxa"/>
          </w:tcPr>
          <w:p w14:paraId="73C366CB"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65.860</w:t>
            </w:r>
          </w:p>
        </w:tc>
        <w:tc>
          <w:tcPr>
            <w:tcW w:w="1273" w:type="dxa"/>
          </w:tcPr>
          <w:p w14:paraId="2A4B7CF2" w14:textId="77777777" w:rsidR="00394CAA" w:rsidRPr="0080732C" w:rsidRDefault="009F4E83" w:rsidP="00A731B3">
            <w:pPr>
              <w:spacing w:line="360" w:lineRule="auto"/>
              <w:rPr>
                <w:color w:val="000000" w:themeColor="text1"/>
                <w:szCs w:val="24"/>
                <w:lang w:val="en-US"/>
              </w:rPr>
            </w:pPr>
            <w:r w:rsidRPr="0080732C">
              <w:rPr>
                <w:color w:val="000000" w:themeColor="text1"/>
                <w:szCs w:val="24"/>
                <w:lang w:val="en-US"/>
              </w:rPr>
              <w:t>30.283</w:t>
            </w:r>
          </w:p>
        </w:tc>
        <w:tc>
          <w:tcPr>
            <w:tcW w:w="1342" w:type="dxa"/>
          </w:tcPr>
          <w:p w14:paraId="2D052BDA" w14:textId="77777777" w:rsidR="00394CAA" w:rsidRPr="00A731B3" w:rsidRDefault="00394CAA" w:rsidP="00A731B3">
            <w:pPr>
              <w:spacing w:line="360" w:lineRule="auto"/>
              <w:jc w:val="right"/>
              <w:rPr>
                <w:color w:val="000000" w:themeColor="text1"/>
                <w:lang w:val="en-US"/>
              </w:rPr>
            </w:pPr>
            <w:r w:rsidRPr="00A731B3">
              <w:rPr>
                <w:color w:val="000000" w:themeColor="text1"/>
                <w:szCs w:val="24"/>
                <w:lang w:val="en-US"/>
              </w:rPr>
              <w:t>WDI</w:t>
            </w:r>
          </w:p>
        </w:tc>
      </w:tr>
      <w:tr w:rsidR="00F336E9" w:rsidRPr="00A731B3" w14:paraId="22761316" w14:textId="77777777" w:rsidTr="00394CAA">
        <w:trPr>
          <w:trHeight w:val="313"/>
        </w:trPr>
        <w:tc>
          <w:tcPr>
            <w:tcW w:w="4091" w:type="dxa"/>
          </w:tcPr>
          <w:p w14:paraId="7A686758" w14:textId="48CCAE04" w:rsidR="00394CAA" w:rsidRPr="00A731B3" w:rsidRDefault="003348D4"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Polity2</w:t>
            </w:r>
            <w:r w:rsidR="00972551" w:rsidRPr="00A731B3">
              <w:rPr>
                <w:color w:val="000000" w:themeColor="text1"/>
                <w:szCs w:val="24"/>
                <w:lang w:val="en-US"/>
              </w:rPr>
              <w:t xml:space="preserve"> (-10 </w:t>
            </w:r>
            <w:r w:rsidR="0080732C" w:rsidRPr="00A731B3">
              <w:rPr>
                <w:color w:val="000000" w:themeColor="text1"/>
                <w:szCs w:val="24"/>
                <w:lang w:val="en-US"/>
              </w:rPr>
              <w:t>to</w:t>
            </w:r>
            <w:r w:rsidR="00972551" w:rsidRPr="00A731B3">
              <w:rPr>
                <w:color w:val="000000" w:themeColor="text1"/>
                <w:szCs w:val="24"/>
                <w:lang w:val="en-US"/>
              </w:rPr>
              <w:t xml:space="preserve"> + 10)</w:t>
            </w:r>
          </w:p>
        </w:tc>
        <w:tc>
          <w:tcPr>
            <w:tcW w:w="952" w:type="dxa"/>
          </w:tcPr>
          <w:p w14:paraId="12519A0D" w14:textId="77777777" w:rsidR="00394CAA" w:rsidRPr="0080732C" w:rsidRDefault="00394CAA" w:rsidP="00A731B3">
            <w:pPr>
              <w:spacing w:line="360" w:lineRule="auto"/>
              <w:rPr>
                <w:color w:val="000000" w:themeColor="text1"/>
                <w:szCs w:val="24"/>
                <w:lang w:val="en-US"/>
              </w:rPr>
            </w:pPr>
          </w:p>
        </w:tc>
        <w:tc>
          <w:tcPr>
            <w:tcW w:w="1273" w:type="dxa"/>
          </w:tcPr>
          <w:p w14:paraId="5F8F9A98" w14:textId="77777777" w:rsidR="00394CAA" w:rsidRPr="0080732C" w:rsidRDefault="00394CAA" w:rsidP="00A731B3">
            <w:pPr>
              <w:spacing w:line="360" w:lineRule="auto"/>
              <w:rPr>
                <w:color w:val="000000" w:themeColor="text1"/>
                <w:szCs w:val="24"/>
                <w:lang w:val="en-US"/>
              </w:rPr>
            </w:pPr>
          </w:p>
        </w:tc>
        <w:tc>
          <w:tcPr>
            <w:tcW w:w="1273" w:type="dxa"/>
          </w:tcPr>
          <w:p w14:paraId="232AAA10" w14:textId="77777777" w:rsidR="00394CAA" w:rsidRPr="0080732C" w:rsidRDefault="00394CAA" w:rsidP="00A731B3">
            <w:pPr>
              <w:spacing w:line="360" w:lineRule="auto"/>
              <w:rPr>
                <w:color w:val="000000" w:themeColor="text1"/>
                <w:szCs w:val="24"/>
                <w:lang w:val="en-US"/>
              </w:rPr>
            </w:pPr>
          </w:p>
        </w:tc>
        <w:tc>
          <w:tcPr>
            <w:tcW w:w="1342" w:type="dxa"/>
          </w:tcPr>
          <w:p w14:paraId="36CAF06B" w14:textId="77777777" w:rsidR="00394CAA" w:rsidRPr="0080732C" w:rsidRDefault="003348D4" w:rsidP="00A731B3">
            <w:pPr>
              <w:spacing w:line="360" w:lineRule="auto"/>
              <w:jc w:val="right"/>
              <w:rPr>
                <w:color w:val="000000" w:themeColor="text1"/>
                <w:szCs w:val="24"/>
                <w:lang w:val="en-US"/>
              </w:rPr>
            </w:pPr>
            <w:r w:rsidRPr="0080732C">
              <w:rPr>
                <w:color w:val="000000" w:themeColor="text1"/>
                <w:szCs w:val="24"/>
                <w:lang w:val="en-US"/>
              </w:rPr>
              <w:t>Polity5</w:t>
            </w:r>
          </w:p>
        </w:tc>
      </w:tr>
      <w:tr w:rsidR="00F336E9" w:rsidRPr="00A731B3" w14:paraId="20847CCB" w14:textId="77777777" w:rsidTr="00394CAA">
        <w:trPr>
          <w:trHeight w:val="313"/>
        </w:trPr>
        <w:tc>
          <w:tcPr>
            <w:tcW w:w="4091" w:type="dxa"/>
          </w:tcPr>
          <w:p w14:paraId="26C70125" w14:textId="6F3CB248" w:rsidR="00394CAA" w:rsidRPr="00A731B3" w:rsidRDefault="0080732C" w:rsidP="00A731B3">
            <w:pPr>
              <w:widowControl w:val="0"/>
              <w:autoSpaceDE w:val="0"/>
              <w:adjustRightInd w:val="0"/>
              <w:spacing w:line="360" w:lineRule="auto"/>
              <w:rPr>
                <w:color w:val="000000" w:themeColor="text1"/>
                <w:szCs w:val="24"/>
                <w:lang w:val="en-US"/>
              </w:rPr>
            </w:pPr>
            <w:r w:rsidRPr="00A731B3">
              <w:rPr>
                <w:color w:val="000000" w:themeColor="text1"/>
                <w:szCs w:val="24"/>
                <w:lang w:val="en-US"/>
              </w:rPr>
              <w:t>Foreign direct investments</w:t>
            </w:r>
          </w:p>
        </w:tc>
        <w:tc>
          <w:tcPr>
            <w:tcW w:w="952" w:type="dxa"/>
          </w:tcPr>
          <w:p w14:paraId="3B83AD3A"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910</w:t>
            </w:r>
          </w:p>
        </w:tc>
        <w:tc>
          <w:tcPr>
            <w:tcW w:w="1273" w:type="dxa"/>
          </w:tcPr>
          <w:p w14:paraId="45995A2B"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3.712</w:t>
            </w:r>
          </w:p>
        </w:tc>
        <w:tc>
          <w:tcPr>
            <w:tcW w:w="1273" w:type="dxa"/>
          </w:tcPr>
          <w:p w14:paraId="27250421" w14:textId="77777777" w:rsidR="00394CAA" w:rsidRPr="0080732C" w:rsidRDefault="00BB786F" w:rsidP="00A731B3">
            <w:pPr>
              <w:spacing w:line="360" w:lineRule="auto"/>
              <w:rPr>
                <w:color w:val="000000" w:themeColor="text1"/>
                <w:szCs w:val="24"/>
                <w:lang w:val="en-US"/>
              </w:rPr>
            </w:pPr>
            <w:r w:rsidRPr="0080732C">
              <w:rPr>
                <w:color w:val="000000" w:themeColor="text1"/>
                <w:szCs w:val="24"/>
                <w:lang w:val="en-US"/>
              </w:rPr>
              <w:t>7.622</w:t>
            </w:r>
          </w:p>
        </w:tc>
        <w:tc>
          <w:tcPr>
            <w:tcW w:w="1342" w:type="dxa"/>
          </w:tcPr>
          <w:p w14:paraId="521C3E07" w14:textId="77777777" w:rsidR="00394CAA" w:rsidRPr="00A731B3" w:rsidRDefault="00BB786F" w:rsidP="00A731B3">
            <w:pPr>
              <w:spacing w:line="360" w:lineRule="auto"/>
              <w:jc w:val="right"/>
              <w:rPr>
                <w:color w:val="000000" w:themeColor="text1"/>
                <w:lang w:val="en-US"/>
              </w:rPr>
            </w:pPr>
            <w:r w:rsidRPr="00A731B3">
              <w:rPr>
                <w:color w:val="000000" w:themeColor="text1"/>
                <w:lang w:val="en-US"/>
              </w:rPr>
              <w:t>WDI</w:t>
            </w:r>
          </w:p>
        </w:tc>
      </w:tr>
    </w:tbl>
    <w:p w14:paraId="7812DCAF" w14:textId="755292A5" w:rsidR="00B45039" w:rsidRPr="00545391" w:rsidRDefault="00625C24" w:rsidP="00545391">
      <w:pPr>
        <w:suppressAutoHyphens w:val="0"/>
        <w:autoSpaceDE w:val="0"/>
        <w:adjustRightInd w:val="0"/>
        <w:spacing w:after="0" w:line="360" w:lineRule="auto"/>
        <w:jc w:val="both"/>
        <w:textAlignment w:val="auto"/>
        <w:rPr>
          <w:rFonts w:eastAsia="Times New Roman"/>
          <w:color w:val="000000" w:themeColor="text1"/>
          <w:szCs w:val="24"/>
          <w:lang w:val="en-US"/>
        </w:rPr>
      </w:pPr>
      <w:proofErr w:type="gramStart"/>
      <w:r w:rsidRPr="00A731B3">
        <w:rPr>
          <w:rFonts w:eastAsia="Times New Roman"/>
          <w:i/>
          <w:color w:val="000000" w:themeColor="text1"/>
          <w:szCs w:val="24"/>
          <w:lang w:val="en-US"/>
        </w:rPr>
        <w:lastRenderedPageBreak/>
        <w:t>Source </w:t>
      </w:r>
      <w:r w:rsidRPr="00A731B3">
        <w:rPr>
          <w:rFonts w:eastAsia="Times New Roman"/>
          <w:color w:val="000000" w:themeColor="text1"/>
          <w:szCs w:val="24"/>
          <w:lang w:val="en-US"/>
        </w:rPr>
        <w:t>:</w:t>
      </w:r>
      <w:proofErr w:type="gramEnd"/>
      <w:r w:rsidRPr="00A731B3">
        <w:rPr>
          <w:rFonts w:eastAsia="Times New Roman"/>
          <w:color w:val="000000" w:themeColor="text1"/>
          <w:szCs w:val="24"/>
          <w:lang w:val="en-US"/>
        </w:rPr>
        <w:t xml:space="preserve"> </w:t>
      </w:r>
      <w:r w:rsidR="003622F9" w:rsidRPr="00A731B3">
        <w:rPr>
          <w:rFonts w:eastAsia="Times New Roman"/>
          <w:color w:val="000000" w:themeColor="text1"/>
          <w:szCs w:val="24"/>
          <w:lang w:val="en-US"/>
        </w:rPr>
        <w:t>Aut</w:t>
      </w:r>
      <w:r w:rsidR="00AB0B6B">
        <w:rPr>
          <w:rFonts w:eastAsia="Times New Roman"/>
          <w:color w:val="000000" w:themeColor="text1"/>
          <w:szCs w:val="24"/>
          <w:lang w:val="en-US"/>
        </w:rPr>
        <w:t>hor</w:t>
      </w:r>
      <w:r w:rsidR="002F02A1">
        <w:rPr>
          <w:rFonts w:eastAsia="Times New Roman"/>
          <w:color w:val="000000" w:themeColor="text1"/>
          <w:szCs w:val="24"/>
          <w:lang w:val="en-US"/>
        </w:rPr>
        <w:t xml:space="preserve"> 2022</w:t>
      </w:r>
    </w:p>
    <w:p w14:paraId="112522DF" w14:textId="77777777" w:rsidR="00B45039" w:rsidRPr="00B45039" w:rsidRDefault="00B45039" w:rsidP="00B45039">
      <w:pPr>
        <w:rPr>
          <w:szCs w:val="24"/>
          <w:lang w:val="en-US"/>
        </w:rPr>
      </w:pPr>
    </w:p>
    <w:p w14:paraId="29B89E7A" w14:textId="15BB6CCF" w:rsidR="00A9140E" w:rsidRPr="00B45039" w:rsidRDefault="00B45039" w:rsidP="00B45039">
      <w:pPr>
        <w:tabs>
          <w:tab w:val="left" w:pos="8020"/>
        </w:tabs>
        <w:rPr>
          <w:szCs w:val="24"/>
          <w:lang w:val="en-US"/>
        </w:rPr>
        <w:sectPr w:rsidR="00A9140E" w:rsidRPr="00B45039" w:rsidSect="00B45039">
          <w:footerReference w:type="default" r:id="rId17"/>
          <w:pgSz w:w="11906" w:h="16838"/>
          <w:pgMar w:top="1417" w:right="1417" w:bottom="1417" w:left="1417" w:header="708" w:footer="708" w:gutter="0"/>
          <w:cols w:space="708"/>
          <w:docGrid w:linePitch="360"/>
        </w:sectPr>
      </w:pPr>
      <w:r>
        <w:rPr>
          <w:szCs w:val="24"/>
          <w:lang w:val="en-US"/>
        </w:rPr>
        <w:tab/>
      </w:r>
    </w:p>
    <w:p w14:paraId="4D3D2ABE" w14:textId="1E242401" w:rsidR="00E00187" w:rsidRPr="002F02A1" w:rsidRDefault="000E3D01" w:rsidP="00A731B3">
      <w:pPr>
        <w:spacing w:after="0" w:line="360" w:lineRule="auto"/>
        <w:jc w:val="both"/>
        <w:rPr>
          <w:i/>
          <w:color w:val="000000" w:themeColor="text1"/>
          <w:szCs w:val="24"/>
          <w:lang w:val="en-US"/>
        </w:rPr>
      </w:pPr>
      <w:r w:rsidRPr="002F02A1">
        <w:rPr>
          <w:i/>
          <w:color w:val="000000" w:themeColor="text1"/>
          <w:szCs w:val="24"/>
          <w:lang w:val="en-US"/>
        </w:rPr>
        <w:lastRenderedPageBreak/>
        <w:t xml:space="preserve">3.3 </w:t>
      </w:r>
      <w:r w:rsidR="00545391" w:rsidRPr="002F02A1">
        <w:rPr>
          <w:i/>
          <w:color w:val="000000" w:themeColor="text1"/>
          <w:szCs w:val="24"/>
          <w:lang w:val="en-US"/>
        </w:rPr>
        <w:t>Diagnostic tests</w:t>
      </w:r>
      <w:r w:rsidR="00147E7A" w:rsidRPr="002F02A1">
        <w:rPr>
          <w:i/>
          <w:color w:val="000000" w:themeColor="text1"/>
          <w:szCs w:val="24"/>
          <w:lang w:val="en-US"/>
        </w:rPr>
        <w:t xml:space="preserve"> </w:t>
      </w:r>
      <w:r w:rsidR="00545391" w:rsidRPr="002F02A1">
        <w:rPr>
          <w:i/>
          <w:color w:val="000000" w:themeColor="text1"/>
          <w:szCs w:val="24"/>
          <w:lang w:val="en-US"/>
        </w:rPr>
        <w:t xml:space="preserve">  </w:t>
      </w:r>
    </w:p>
    <w:p w14:paraId="3FAD0D48" w14:textId="383C4BF3" w:rsidR="003F17AF" w:rsidRDefault="00545391" w:rsidP="00545391">
      <w:pPr>
        <w:spacing w:after="0" w:line="360" w:lineRule="auto"/>
        <w:jc w:val="both"/>
        <w:rPr>
          <w:rFonts w:eastAsia="TimesNewRomanPSMT"/>
          <w:color w:val="000000" w:themeColor="text1"/>
          <w:szCs w:val="24"/>
          <w:lang w:val="en-US"/>
        </w:rPr>
      </w:pPr>
      <w:r>
        <w:rPr>
          <w:bCs/>
          <w:color w:val="000000" w:themeColor="text1"/>
          <w:szCs w:val="24"/>
          <w:lang w:val="en-US"/>
        </w:rPr>
        <w:t xml:space="preserve">To avoid spurious estimations, series of tests are done in order to </w:t>
      </w:r>
      <w:proofErr w:type="spellStart"/>
      <w:r>
        <w:rPr>
          <w:bCs/>
          <w:color w:val="000000" w:themeColor="text1"/>
          <w:szCs w:val="24"/>
          <w:lang w:val="en-US"/>
        </w:rPr>
        <w:t>chose</w:t>
      </w:r>
      <w:proofErr w:type="spellEnd"/>
      <w:r>
        <w:rPr>
          <w:bCs/>
          <w:color w:val="000000" w:themeColor="text1"/>
          <w:szCs w:val="24"/>
          <w:lang w:val="en-US"/>
        </w:rPr>
        <w:t xml:space="preserve"> the appropriate method of estimation. Thus,</w:t>
      </w:r>
      <w:r w:rsidR="003F17AF" w:rsidRPr="00A731B3">
        <w:rPr>
          <w:bCs/>
          <w:color w:val="000000" w:themeColor="text1"/>
          <w:szCs w:val="24"/>
          <w:lang w:val="en-US"/>
        </w:rPr>
        <w:t xml:space="preserve"> the cross-sectional dependence test of </w:t>
      </w:r>
      <w:proofErr w:type="spellStart"/>
      <w:r w:rsidR="003F17AF" w:rsidRPr="00A731B3">
        <w:rPr>
          <w:bCs/>
          <w:color w:val="000000" w:themeColor="text1"/>
          <w:szCs w:val="24"/>
          <w:lang w:val="en-US"/>
        </w:rPr>
        <w:t>Pesaran</w:t>
      </w:r>
      <w:proofErr w:type="spellEnd"/>
      <w:r w:rsidR="003F17AF" w:rsidRPr="00A731B3">
        <w:rPr>
          <w:bCs/>
          <w:color w:val="000000" w:themeColor="text1"/>
          <w:szCs w:val="24"/>
          <w:lang w:val="en-US"/>
        </w:rPr>
        <w:t xml:space="preserve"> </w:t>
      </w:r>
      <w:r>
        <w:rPr>
          <w:bCs/>
          <w:color w:val="000000" w:themeColor="text1"/>
          <w:szCs w:val="24"/>
          <w:lang w:val="en-US"/>
        </w:rPr>
        <w:t xml:space="preserve">is the first test done and </w:t>
      </w:r>
      <w:r w:rsidR="003F17AF" w:rsidRPr="00A731B3">
        <w:rPr>
          <w:bCs/>
          <w:color w:val="000000" w:themeColor="text1"/>
          <w:szCs w:val="24"/>
          <w:lang w:val="en-US"/>
        </w:rPr>
        <w:t xml:space="preserve">showed the existence of a spatial dependence between the SSA countries and the autocorrelation test of Wooldridge revealed that the first order errors are dependent over time, the Ordinary least squares estimation </w:t>
      </w:r>
      <w:r w:rsidR="00147E7A">
        <w:rPr>
          <w:bCs/>
          <w:color w:val="000000" w:themeColor="text1"/>
          <w:szCs w:val="24"/>
          <w:lang w:val="en-US"/>
        </w:rPr>
        <w:t>is</w:t>
      </w:r>
      <w:r w:rsidR="003F17AF" w:rsidRPr="00A731B3">
        <w:rPr>
          <w:bCs/>
          <w:color w:val="000000" w:themeColor="text1"/>
          <w:szCs w:val="24"/>
          <w:lang w:val="en-US"/>
        </w:rPr>
        <w:t xml:space="preserve"> not efficient. Moreover, ICTs are potentially </w:t>
      </w:r>
      <w:r w:rsidR="003F17AF" w:rsidRPr="00CB2C6D">
        <w:rPr>
          <w:bCs/>
          <w:szCs w:val="24"/>
          <w:lang w:val="en-US"/>
        </w:rPr>
        <w:t>endogenous</w:t>
      </w:r>
      <w:r w:rsidR="00CB2C6D" w:rsidRPr="00CB2C6D">
        <w:rPr>
          <w:bCs/>
          <w:szCs w:val="24"/>
          <w:lang w:val="en-US"/>
        </w:rPr>
        <w:t xml:space="preserve"> </w:t>
      </w:r>
      <w:r w:rsidR="00CB2C6D" w:rsidRPr="00CB2C6D">
        <w:rPr>
          <w:szCs w:val="24"/>
          <w:lang w:val="en-US"/>
        </w:rPr>
        <w:t>(</w:t>
      </w:r>
      <w:r w:rsidR="00CB2C6D" w:rsidRPr="00CB2C6D">
        <w:rPr>
          <w:lang w:val="en-US"/>
        </w:rPr>
        <w:t xml:space="preserve">Kretschmer, 2012; Farhadi </w:t>
      </w:r>
      <w:r w:rsidR="00CB2C6D" w:rsidRPr="00F535CE">
        <w:rPr>
          <w:i/>
          <w:lang w:val="en-US"/>
        </w:rPr>
        <w:t>et al.,</w:t>
      </w:r>
      <w:r w:rsidR="00CB2C6D" w:rsidRPr="00CB2C6D">
        <w:rPr>
          <w:lang w:val="en-US"/>
        </w:rPr>
        <w:t xml:space="preserve"> 2012)</w:t>
      </w:r>
      <w:r w:rsidR="00CB2C6D" w:rsidRPr="00CB2C6D">
        <w:rPr>
          <w:bCs/>
          <w:szCs w:val="24"/>
          <w:lang w:val="en-US"/>
        </w:rPr>
        <w:t>.</w:t>
      </w:r>
      <w:r w:rsidR="003F17AF" w:rsidRPr="00CB2C6D">
        <w:rPr>
          <w:bCs/>
          <w:szCs w:val="24"/>
          <w:lang w:val="en-US"/>
        </w:rPr>
        <w:t xml:space="preserve"> </w:t>
      </w:r>
      <w:r w:rsidR="003F17AF" w:rsidRPr="00A731B3">
        <w:rPr>
          <w:bCs/>
          <w:color w:val="000000" w:themeColor="text1"/>
          <w:szCs w:val="24"/>
          <w:lang w:val="en-US"/>
        </w:rPr>
        <w:t xml:space="preserve">Under these conditions, </w:t>
      </w:r>
      <w:r>
        <w:rPr>
          <w:bCs/>
          <w:color w:val="000000" w:themeColor="text1"/>
          <w:szCs w:val="24"/>
          <w:lang w:val="en-US"/>
        </w:rPr>
        <w:t>i</w:t>
      </w:r>
      <w:r w:rsidR="00147E7A">
        <w:rPr>
          <w:bCs/>
          <w:color w:val="000000" w:themeColor="text1"/>
          <w:szCs w:val="24"/>
          <w:lang w:val="en-US"/>
        </w:rPr>
        <w:t xml:space="preserve">nstrumental variables technique is </w:t>
      </w:r>
      <w:r w:rsidR="003F17AF" w:rsidRPr="00A731B3">
        <w:rPr>
          <w:bCs/>
          <w:color w:val="000000" w:themeColor="text1"/>
          <w:szCs w:val="24"/>
          <w:lang w:val="en-US"/>
        </w:rPr>
        <w:t xml:space="preserve">the appropriate </w:t>
      </w:r>
      <w:r w:rsidR="00147E7A">
        <w:rPr>
          <w:bCs/>
          <w:color w:val="000000" w:themeColor="text1"/>
          <w:szCs w:val="24"/>
          <w:lang w:val="en-US"/>
        </w:rPr>
        <w:t xml:space="preserve">one </w:t>
      </w:r>
      <w:r w:rsidR="003F17AF" w:rsidRPr="00A731B3">
        <w:rPr>
          <w:bCs/>
          <w:color w:val="000000" w:themeColor="text1"/>
          <w:szCs w:val="24"/>
          <w:lang w:val="en-US"/>
        </w:rPr>
        <w:t>since it corrects the endogeneity bias linked to ICT. It also solves the problem of spatial dependence, autocorrelation of errors and also takes into account the problem of heteroscedasticity.</w:t>
      </w:r>
      <w:r w:rsidR="00D4115B" w:rsidRPr="00D4115B">
        <w:rPr>
          <w:lang w:val="en-US"/>
        </w:rPr>
        <w:t xml:space="preserve"> </w:t>
      </w:r>
      <w:r w:rsidR="00D4115B" w:rsidRPr="00D4115B">
        <w:rPr>
          <w:bCs/>
          <w:color w:val="000000" w:themeColor="text1"/>
          <w:szCs w:val="24"/>
          <w:lang w:val="en-US"/>
        </w:rPr>
        <w:t xml:space="preserve">For the validation of the instruments, the Hansen test is used and considers the lags of the variables on the ICTs as instruments (Kretschmer, 2012; Farhadi </w:t>
      </w:r>
      <w:r w:rsidR="00D4115B" w:rsidRPr="00F535CE">
        <w:rPr>
          <w:bCs/>
          <w:i/>
          <w:color w:val="000000" w:themeColor="text1"/>
          <w:szCs w:val="24"/>
          <w:lang w:val="en-US"/>
        </w:rPr>
        <w:t>et al</w:t>
      </w:r>
      <w:r w:rsidR="00D4115B" w:rsidRPr="00D4115B">
        <w:rPr>
          <w:bCs/>
          <w:color w:val="000000" w:themeColor="text1"/>
          <w:szCs w:val="24"/>
          <w:lang w:val="en-US"/>
        </w:rPr>
        <w:t>., 2012).</w:t>
      </w:r>
      <w:r>
        <w:rPr>
          <w:bCs/>
          <w:color w:val="000000" w:themeColor="text1"/>
          <w:szCs w:val="24"/>
          <w:lang w:val="en-US"/>
        </w:rPr>
        <w:t xml:space="preserve"> </w:t>
      </w:r>
      <w:r w:rsidRPr="00A731B3">
        <w:rPr>
          <w:rFonts w:eastAsia="TimesNewRomanPSMT"/>
          <w:color w:val="000000" w:themeColor="text1"/>
          <w:szCs w:val="24"/>
          <w:lang w:val="en-US"/>
        </w:rPr>
        <w:t xml:space="preserve">The stationarity tests revealed that all the variables of the model </w:t>
      </w:r>
      <w:r>
        <w:rPr>
          <w:rFonts w:eastAsia="TimesNewRomanPSMT"/>
          <w:color w:val="000000" w:themeColor="text1"/>
          <w:szCs w:val="24"/>
          <w:lang w:val="en-US"/>
        </w:rPr>
        <w:t>are stationary in level (Table 3</w:t>
      </w:r>
      <w:r w:rsidRPr="00A731B3">
        <w:rPr>
          <w:rFonts w:eastAsia="TimesNewRomanPSMT"/>
          <w:color w:val="000000" w:themeColor="text1"/>
          <w:szCs w:val="24"/>
          <w:lang w:val="en-US"/>
        </w:rPr>
        <w:t>).</w:t>
      </w:r>
    </w:p>
    <w:p w14:paraId="2957A198" w14:textId="77777777" w:rsidR="00545391" w:rsidRPr="00813BE7" w:rsidRDefault="00545391" w:rsidP="00545391">
      <w:pPr>
        <w:spacing w:before="240" w:line="360" w:lineRule="auto"/>
        <w:jc w:val="both"/>
        <w:rPr>
          <w:rFonts w:eastAsia="TimesNewRomanPSMT"/>
          <w:b/>
          <w:color w:val="000000" w:themeColor="text1"/>
          <w:szCs w:val="24"/>
          <w:lang w:val="en-US"/>
        </w:rPr>
      </w:pPr>
      <w:r w:rsidRPr="00813BE7">
        <w:rPr>
          <w:rFonts w:eastAsia="TimesNewRomanPSMT"/>
          <w:b/>
          <w:color w:val="000000" w:themeColor="text1"/>
          <w:szCs w:val="24"/>
          <w:lang w:val="en-US"/>
        </w:rPr>
        <w:t xml:space="preserve">Table </w:t>
      </w:r>
      <w:proofErr w:type="gramStart"/>
      <w:r>
        <w:rPr>
          <w:rFonts w:eastAsia="TimesNewRomanPSMT"/>
          <w:b/>
          <w:color w:val="000000" w:themeColor="text1"/>
          <w:szCs w:val="24"/>
          <w:lang w:val="en-US"/>
        </w:rPr>
        <w:t>2</w:t>
      </w:r>
      <w:r w:rsidRPr="00813BE7">
        <w:rPr>
          <w:rFonts w:eastAsia="TimesNewRomanPSMT"/>
          <w:b/>
          <w:color w:val="000000" w:themeColor="text1"/>
          <w:szCs w:val="24"/>
          <w:lang w:val="en-US"/>
        </w:rPr>
        <w:t> :</w:t>
      </w:r>
      <w:proofErr w:type="gramEnd"/>
      <w:r w:rsidRPr="00813BE7">
        <w:rPr>
          <w:rFonts w:eastAsia="TimesNewRomanPSMT"/>
          <w:b/>
          <w:color w:val="000000" w:themeColor="text1"/>
          <w:szCs w:val="24"/>
          <w:lang w:val="en-US"/>
        </w:rPr>
        <w:t xml:space="preserve"> </w:t>
      </w:r>
      <w:r w:rsidRPr="00813BE7">
        <w:rPr>
          <w:rFonts w:eastAsia="TimesNewRomanPSMT"/>
          <w:color w:val="000000" w:themeColor="text1"/>
          <w:szCs w:val="24"/>
          <w:lang w:val="en-US"/>
        </w:rPr>
        <w:t>Interindividual dependency test (CD-test) o</w:t>
      </w:r>
      <w:r>
        <w:rPr>
          <w:rFonts w:eastAsia="TimesNewRomanPSMT"/>
          <w:color w:val="000000" w:themeColor="text1"/>
          <w:szCs w:val="24"/>
          <w:lang w:val="en-US"/>
        </w:rPr>
        <w:t>f</w:t>
      </w:r>
      <w:r w:rsidRPr="00813BE7">
        <w:rPr>
          <w:rFonts w:eastAsia="TimesNewRomanPSMT"/>
          <w:color w:val="000000" w:themeColor="text1"/>
          <w:szCs w:val="24"/>
          <w:lang w:val="en-US"/>
        </w:rPr>
        <w:t xml:space="preserve"> </w:t>
      </w:r>
      <w:proofErr w:type="spellStart"/>
      <w:r w:rsidRPr="00813BE7">
        <w:rPr>
          <w:rFonts w:eastAsia="TimesNewRomanPSMT"/>
          <w:color w:val="000000" w:themeColor="text1"/>
          <w:szCs w:val="24"/>
          <w:lang w:val="en-US"/>
        </w:rPr>
        <w:t>Pesaran</w:t>
      </w:r>
      <w:proofErr w:type="spellEnd"/>
      <w:r w:rsidRPr="00813BE7">
        <w:rPr>
          <w:rFonts w:eastAsia="TimesNewRomanPSMT"/>
          <w:color w:val="000000" w:themeColor="text1"/>
          <w:szCs w:val="24"/>
          <w:lang w:val="en-US"/>
        </w:rPr>
        <w:t xml:space="preserve"> (2004)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76"/>
        <w:gridCol w:w="1276"/>
        <w:gridCol w:w="1134"/>
        <w:gridCol w:w="1275"/>
      </w:tblGrid>
      <w:tr w:rsidR="00545391" w:rsidRPr="00813BE7" w14:paraId="518F0DA0" w14:textId="77777777" w:rsidTr="009D1D94">
        <w:trPr>
          <w:trHeight w:val="368"/>
        </w:trPr>
        <w:tc>
          <w:tcPr>
            <w:tcW w:w="4111" w:type="dxa"/>
            <w:tcBorders>
              <w:top w:val="single" w:sz="18" w:space="0" w:color="auto"/>
              <w:bottom w:val="single" w:sz="18" w:space="0" w:color="auto"/>
            </w:tcBorders>
          </w:tcPr>
          <w:p w14:paraId="21DF07CE"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1276" w:type="dxa"/>
            <w:tcBorders>
              <w:top w:val="single" w:sz="18" w:space="0" w:color="auto"/>
              <w:bottom w:val="single" w:sz="18" w:space="0" w:color="auto"/>
            </w:tcBorders>
          </w:tcPr>
          <w:p w14:paraId="043B3D8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CD-test</w:t>
            </w:r>
          </w:p>
        </w:tc>
        <w:tc>
          <w:tcPr>
            <w:tcW w:w="1276" w:type="dxa"/>
            <w:tcBorders>
              <w:top w:val="single" w:sz="18" w:space="0" w:color="auto"/>
              <w:bottom w:val="single" w:sz="18" w:space="0" w:color="auto"/>
            </w:tcBorders>
          </w:tcPr>
          <w:p w14:paraId="6FB4601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p-value</w:t>
            </w:r>
          </w:p>
        </w:tc>
        <w:tc>
          <w:tcPr>
            <w:tcW w:w="1134" w:type="dxa"/>
            <w:tcBorders>
              <w:top w:val="single" w:sz="18" w:space="0" w:color="auto"/>
              <w:bottom w:val="single" w:sz="18" w:space="0" w:color="auto"/>
            </w:tcBorders>
          </w:tcPr>
          <w:p w14:paraId="75D87DAB" w14:textId="77777777" w:rsidR="00545391" w:rsidRPr="00813BE7" w:rsidRDefault="00545391" w:rsidP="009D1D94">
            <w:pPr>
              <w:spacing w:line="360" w:lineRule="auto"/>
              <w:jc w:val="right"/>
              <w:rPr>
                <w:color w:val="000000" w:themeColor="text1"/>
                <w:szCs w:val="24"/>
                <w:lang w:val="en-US"/>
              </w:rPr>
            </w:pPr>
            <w:proofErr w:type="spellStart"/>
            <w:r w:rsidRPr="00813BE7">
              <w:rPr>
                <w:color w:val="000000" w:themeColor="text1"/>
                <w:szCs w:val="24"/>
                <w:lang w:val="en-US"/>
              </w:rPr>
              <w:t>corr</w:t>
            </w:r>
            <w:proofErr w:type="spellEnd"/>
          </w:p>
        </w:tc>
        <w:tc>
          <w:tcPr>
            <w:tcW w:w="1275" w:type="dxa"/>
            <w:tcBorders>
              <w:top w:val="single" w:sz="18" w:space="0" w:color="auto"/>
              <w:bottom w:val="single" w:sz="18" w:space="0" w:color="auto"/>
            </w:tcBorders>
          </w:tcPr>
          <w:p w14:paraId="0D5A056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abs(</w:t>
            </w:r>
            <w:proofErr w:type="spellStart"/>
            <w:r w:rsidRPr="00813BE7">
              <w:rPr>
                <w:color w:val="000000" w:themeColor="text1"/>
                <w:szCs w:val="24"/>
                <w:lang w:val="en-US"/>
              </w:rPr>
              <w:t>corr</w:t>
            </w:r>
            <w:proofErr w:type="spellEnd"/>
            <w:r w:rsidRPr="00813BE7">
              <w:rPr>
                <w:color w:val="000000" w:themeColor="text1"/>
                <w:szCs w:val="24"/>
                <w:lang w:val="en-US"/>
              </w:rPr>
              <w:t>)</w:t>
            </w:r>
          </w:p>
        </w:tc>
      </w:tr>
      <w:tr w:rsidR="00545391" w:rsidRPr="00813BE7" w14:paraId="6EE57E91" w14:textId="77777777" w:rsidTr="009D1D94">
        <w:trPr>
          <w:trHeight w:val="340"/>
        </w:trPr>
        <w:tc>
          <w:tcPr>
            <w:tcW w:w="4111" w:type="dxa"/>
            <w:tcBorders>
              <w:top w:val="single" w:sz="18" w:space="0" w:color="auto"/>
              <w:bottom w:val="nil"/>
            </w:tcBorders>
          </w:tcPr>
          <w:p w14:paraId="780A8398"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Reallocation of agricultural labor</w:t>
            </w:r>
          </w:p>
        </w:tc>
        <w:tc>
          <w:tcPr>
            <w:tcW w:w="1276" w:type="dxa"/>
            <w:tcBorders>
              <w:top w:val="single" w:sz="18" w:space="0" w:color="auto"/>
              <w:bottom w:val="nil"/>
            </w:tcBorders>
          </w:tcPr>
          <w:p w14:paraId="4667619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0.63</w:t>
            </w:r>
          </w:p>
        </w:tc>
        <w:tc>
          <w:tcPr>
            <w:tcW w:w="1276" w:type="dxa"/>
            <w:tcBorders>
              <w:top w:val="single" w:sz="18" w:space="0" w:color="auto"/>
              <w:bottom w:val="nil"/>
            </w:tcBorders>
          </w:tcPr>
          <w:p w14:paraId="0716E18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0.531</w:t>
            </w:r>
          </w:p>
        </w:tc>
        <w:tc>
          <w:tcPr>
            <w:tcW w:w="1134" w:type="dxa"/>
            <w:tcBorders>
              <w:top w:val="single" w:sz="18" w:space="0" w:color="auto"/>
              <w:bottom w:val="nil"/>
            </w:tcBorders>
          </w:tcPr>
          <w:p w14:paraId="13D7AAF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0.005</w:t>
            </w:r>
          </w:p>
        </w:tc>
        <w:tc>
          <w:tcPr>
            <w:tcW w:w="1275" w:type="dxa"/>
            <w:tcBorders>
              <w:top w:val="single" w:sz="18" w:space="0" w:color="auto"/>
              <w:bottom w:val="nil"/>
            </w:tcBorders>
          </w:tcPr>
          <w:p w14:paraId="53C6061E"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0.166</w:t>
            </w:r>
          </w:p>
        </w:tc>
      </w:tr>
      <w:tr w:rsidR="00545391" w:rsidRPr="00813BE7" w14:paraId="3BFF1770" w14:textId="77777777" w:rsidTr="009D1D94">
        <w:trPr>
          <w:trHeight w:val="340"/>
        </w:trPr>
        <w:tc>
          <w:tcPr>
            <w:tcW w:w="4111" w:type="dxa"/>
            <w:tcBorders>
              <w:top w:val="nil"/>
              <w:bottom w:val="nil"/>
            </w:tcBorders>
          </w:tcPr>
          <w:p w14:paraId="7535806D" w14:textId="77777777" w:rsidR="00545391" w:rsidRPr="00813BE7" w:rsidRDefault="00545391" w:rsidP="009D1D94">
            <w:pPr>
              <w:spacing w:line="360" w:lineRule="auto"/>
              <w:jc w:val="both"/>
              <w:rPr>
                <w:color w:val="000000" w:themeColor="text1"/>
                <w:szCs w:val="24"/>
                <w:lang w:val="en-US"/>
              </w:rPr>
            </w:pPr>
            <w:r w:rsidRPr="00A731B3">
              <w:rPr>
                <w:lang w:val="en-US"/>
              </w:rPr>
              <w:t>Reallocation of industrial labor</w:t>
            </w:r>
          </w:p>
        </w:tc>
        <w:tc>
          <w:tcPr>
            <w:tcW w:w="1276" w:type="dxa"/>
            <w:tcBorders>
              <w:top w:val="nil"/>
              <w:bottom w:val="nil"/>
            </w:tcBorders>
          </w:tcPr>
          <w:p w14:paraId="208CCA4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24.63</w:t>
            </w:r>
          </w:p>
        </w:tc>
        <w:tc>
          <w:tcPr>
            <w:tcW w:w="1276" w:type="dxa"/>
            <w:tcBorders>
              <w:top w:val="nil"/>
              <w:bottom w:val="nil"/>
            </w:tcBorders>
          </w:tcPr>
          <w:p w14:paraId="54383F2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Borders>
              <w:top w:val="nil"/>
              <w:bottom w:val="nil"/>
            </w:tcBorders>
          </w:tcPr>
          <w:p w14:paraId="0CDAF0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0.203</w:t>
            </w:r>
          </w:p>
        </w:tc>
        <w:tc>
          <w:tcPr>
            <w:tcW w:w="1275" w:type="dxa"/>
            <w:tcBorders>
              <w:top w:val="nil"/>
              <w:bottom w:val="nil"/>
            </w:tcBorders>
          </w:tcPr>
          <w:p w14:paraId="464ABB4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0.558</w:t>
            </w:r>
          </w:p>
        </w:tc>
      </w:tr>
      <w:tr w:rsidR="00545391" w:rsidRPr="00813BE7" w14:paraId="5F4F3E56" w14:textId="77777777" w:rsidTr="009D1D94">
        <w:trPr>
          <w:trHeight w:val="340"/>
        </w:trPr>
        <w:tc>
          <w:tcPr>
            <w:tcW w:w="4111" w:type="dxa"/>
          </w:tcPr>
          <w:p w14:paraId="44330791" w14:textId="77777777" w:rsidR="00545391" w:rsidRPr="00813BE7" w:rsidRDefault="00545391" w:rsidP="009D1D94">
            <w:pPr>
              <w:spacing w:line="360" w:lineRule="auto"/>
              <w:jc w:val="both"/>
              <w:rPr>
                <w:color w:val="000000" w:themeColor="text1"/>
                <w:szCs w:val="24"/>
                <w:lang w:val="en-US"/>
              </w:rPr>
            </w:pPr>
            <w:r w:rsidRPr="00A731B3">
              <w:rPr>
                <w:lang w:val="en-US"/>
              </w:rPr>
              <w:t>Reallocation of services labor</w:t>
            </w:r>
          </w:p>
        </w:tc>
        <w:tc>
          <w:tcPr>
            <w:tcW w:w="1276" w:type="dxa"/>
          </w:tcPr>
          <w:p w14:paraId="74B6246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118.26</w:t>
            </w:r>
          </w:p>
        </w:tc>
        <w:tc>
          <w:tcPr>
            <w:tcW w:w="1276" w:type="dxa"/>
          </w:tcPr>
          <w:p w14:paraId="0A9EB439"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574A27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c>
          <w:tcPr>
            <w:tcW w:w="1275" w:type="dxa"/>
          </w:tcPr>
          <w:p w14:paraId="668A363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0.957</w:t>
            </w:r>
          </w:p>
        </w:tc>
      </w:tr>
      <w:tr w:rsidR="00545391" w:rsidRPr="00813BE7" w14:paraId="3D535361" w14:textId="77777777" w:rsidTr="009D1D94">
        <w:trPr>
          <w:trHeight w:val="340"/>
        </w:trPr>
        <w:tc>
          <w:tcPr>
            <w:tcW w:w="4111" w:type="dxa"/>
          </w:tcPr>
          <w:p w14:paraId="7E175F53"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Telephone access</w:t>
            </w:r>
          </w:p>
        </w:tc>
        <w:tc>
          <w:tcPr>
            <w:tcW w:w="1276" w:type="dxa"/>
          </w:tcPr>
          <w:p w14:paraId="61B0FD8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17.06</w:t>
            </w:r>
          </w:p>
        </w:tc>
        <w:tc>
          <w:tcPr>
            <w:tcW w:w="1276" w:type="dxa"/>
          </w:tcPr>
          <w:p w14:paraId="5DFBAA3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1134" w:type="dxa"/>
          </w:tcPr>
          <w:p w14:paraId="1ABDEF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0.162</w:t>
            </w:r>
          </w:p>
        </w:tc>
        <w:tc>
          <w:tcPr>
            <w:tcW w:w="1275" w:type="dxa"/>
          </w:tcPr>
          <w:p w14:paraId="039319D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0.450</w:t>
            </w:r>
          </w:p>
        </w:tc>
      </w:tr>
      <w:tr w:rsidR="00545391" w:rsidRPr="00813BE7" w14:paraId="67619178" w14:textId="77777777" w:rsidTr="009D1D94">
        <w:trPr>
          <w:trHeight w:val="340"/>
        </w:trPr>
        <w:tc>
          <w:tcPr>
            <w:tcW w:w="4111" w:type="dxa"/>
          </w:tcPr>
          <w:p w14:paraId="40B276E5"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Internet access</w:t>
            </w:r>
          </w:p>
        </w:tc>
        <w:tc>
          <w:tcPr>
            <w:tcW w:w="1276" w:type="dxa"/>
          </w:tcPr>
          <w:p w14:paraId="1988140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98.70</w:t>
            </w:r>
          </w:p>
        </w:tc>
        <w:tc>
          <w:tcPr>
            <w:tcW w:w="1276" w:type="dxa"/>
          </w:tcPr>
          <w:p w14:paraId="1475D69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07B55A1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c>
          <w:tcPr>
            <w:tcW w:w="1275" w:type="dxa"/>
          </w:tcPr>
          <w:p w14:paraId="534DB69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0.966</w:t>
            </w:r>
          </w:p>
        </w:tc>
      </w:tr>
      <w:tr w:rsidR="00545391" w:rsidRPr="00813BE7" w14:paraId="7B841CE8" w14:textId="77777777" w:rsidTr="009D1D94">
        <w:trPr>
          <w:trHeight w:val="340"/>
        </w:trPr>
        <w:tc>
          <w:tcPr>
            <w:tcW w:w="4111" w:type="dxa"/>
          </w:tcPr>
          <w:p w14:paraId="25169CA9"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Human capital</w:t>
            </w:r>
          </w:p>
        </w:tc>
        <w:tc>
          <w:tcPr>
            <w:tcW w:w="1276" w:type="dxa"/>
          </w:tcPr>
          <w:p w14:paraId="6F84C0B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105.44</w:t>
            </w:r>
          </w:p>
        </w:tc>
        <w:tc>
          <w:tcPr>
            <w:tcW w:w="1276" w:type="dxa"/>
          </w:tcPr>
          <w:p w14:paraId="52E2AEC2"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5D5726C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c>
          <w:tcPr>
            <w:tcW w:w="1275" w:type="dxa"/>
          </w:tcPr>
          <w:p w14:paraId="7378C75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0.827</w:t>
            </w:r>
          </w:p>
        </w:tc>
      </w:tr>
      <w:tr w:rsidR="00545391" w:rsidRPr="00813BE7" w14:paraId="68C1A782" w14:textId="77777777" w:rsidTr="009D1D94">
        <w:trPr>
          <w:trHeight w:val="340"/>
        </w:trPr>
        <w:tc>
          <w:tcPr>
            <w:tcW w:w="4111" w:type="dxa"/>
          </w:tcPr>
          <w:p w14:paraId="1655FB6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Gross fixed capital formation</w:t>
            </w:r>
          </w:p>
        </w:tc>
        <w:tc>
          <w:tcPr>
            <w:tcW w:w="1276" w:type="dxa"/>
          </w:tcPr>
          <w:p w14:paraId="7B9B43E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12.97</w:t>
            </w:r>
          </w:p>
        </w:tc>
        <w:tc>
          <w:tcPr>
            <w:tcW w:w="1276" w:type="dxa"/>
          </w:tcPr>
          <w:p w14:paraId="0E892E25"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3FBBF58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0.103</w:t>
            </w:r>
          </w:p>
        </w:tc>
        <w:tc>
          <w:tcPr>
            <w:tcW w:w="1275" w:type="dxa"/>
          </w:tcPr>
          <w:p w14:paraId="28C6AC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0.358</w:t>
            </w:r>
          </w:p>
        </w:tc>
      </w:tr>
      <w:tr w:rsidR="00545391" w:rsidRPr="00813BE7" w14:paraId="77804299" w14:textId="77777777" w:rsidTr="009D1D94">
        <w:trPr>
          <w:trHeight w:val="340"/>
        </w:trPr>
        <w:tc>
          <w:tcPr>
            <w:tcW w:w="4111" w:type="dxa"/>
          </w:tcPr>
          <w:p w14:paraId="68441DCF"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Credit to private sector</w:t>
            </w:r>
          </w:p>
        </w:tc>
        <w:tc>
          <w:tcPr>
            <w:tcW w:w="1276" w:type="dxa"/>
          </w:tcPr>
          <w:p w14:paraId="18388A8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49.48  </w:t>
            </w:r>
          </w:p>
        </w:tc>
        <w:tc>
          <w:tcPr>
            <w:tcW w:w="1276" w:type="dxa"/>
          </w:tcPr>
          <w:p w14:paraId="4C265DD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76E9E4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0.428</w:t>
            </w:r>
          </w:p>
        </w:tc>
        <w:tc>
          <w:tcPr>
            <w:tcW w:w="1275" w:type="dxa"/>
          </w:tcPr>
          <w:p w14:paraId="05ED311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0.564</w:t>
            </w:r>
          </w:p>
        </w:tc>
      </w:tr>
      <w:tr w:rsidR="00545391" w:rsidRPr="00813BE7" w14:paraId="3FFD1280" w14:textId="77777777" w:rsidTr="009D1D94">
        <w:trPr>
          <w:trHeight w:val="340"/>
        </w:trPr>
        <w:tc>
          <w:tcPr>
            <w:tcW w:w="4111" w:type="dxa"/>
          </w:tcPr>
          <w:p w14:paraId="0E87D73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 xml:space="preserve">Trade </w:t>
            </w:r>
            <w:r w:rsidRPr="00813BE7">
              <w:rPr>
                <w:lang w:val="en-US"/>
              </w:rPr>
              <w:t>openness</w:t>
            </w:r>
          </w:p>
        </w:tc>
        <w:tc>
          <w:tcPr>
            <w:tcW w:w="1276" w:type="dxa"/>
          </w:tcPr>
          <w:p w14:paraId="0C58986D"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15.07</w:t>
            </w:r>
          </w:p>
        </w:tc>
        <w:tc>
          <w:tcPr>
            <w:tcW w:w="1276" w:type="dxa"/>
          </w:tcPr>
          <w:p w14:paraId="3DDC4498"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1134" w:type="dxa"/>
          </w:tcPr>
          <w:p w14:paraId="4640617F"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0.134</w:t>
            </w:r>
          </w:p>
        </w:tc>
        <w:tc>
          <w:tcPr>
            <w:tcW w:w="1275" w:type="dxa"/>
          </w:tcPr>
          <w:p w14:paraId="2EE91CA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0.331</w:t>
            </w:r>
          </w:p>
        </w:tc>
      </w:tr>
      <w:tr w:rsidR="00545391" w:rsidRPr="00813BE7" w14:paraId="13B8ED4D" w14:textId="77777777" w:rsidTr="009D1D94">
        <w:trPr>
          <w:trHeight w:val="340"/>
        </w:trPr>
        <w:tc>
          <w:tcPr>
            <w:tcW w:w="4111" w:type="dxa"/>
          </w:tcPr>
          <w:p w14:paraId="6ABB9E8D"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Polity2</w:t>
            </w:r>
          </w:p>
        </w:tc>
        <w:tc>
          <w:tcPr>
            <w:tcW w:w="1276" w:type="dxa"/>
          </w:tcPr>
          <w:p w14:paraId="3ABE703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0.21</w:t>
            </w:r>
          </w:p>
        </w:tc>
        <w:tc>
          <w:tcPr>
            <w:tcW w:w="1276" w:type="dxa"/>
          </w:tcPr>
          <w:p w14:paraId="36E31A5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 xml:space="preserve">0.837  </w:t>
            </w:r>
          </w:p>
        </w:tc>
        <w:tc>
          <w:tcPr>
            <w:tcW w:w="1134" w:type="dxa"/>
          </w:tcPr>
          <w:p w14:paraId="4177205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0.002</w:t>
            </w:r>
          </w:p>
        </w:tc>
        <w:tc>
          <w:tcPr>
            <w:tcW w:w="1275" w:type="dxa"/>
          </w:tcPr>
          <w:p w14:paraId="1220E9E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0.393</w:t>
            </w:r>
          </w:p>
        </w:tc>
      </w:tr>
      <w:tr w:rsidR="00545391" w:rsidRPr="00813BE7" w14:paraId="2ADF85A4" w14:textId="77777777" w:rsidTr="009D1D94">
        <w:trPr>
          <w:trHeight w:val="340"/>
        </w:trPr>
        <w:tc>
          <w:tcPr>
            <w:tcW w:w="4111" w:type="dxa"/>
          </w:tcPr>
          <w:p w14:paraId="38745BEB" w14:textId="77777777" w:rsidR="00545391" w:rsidRPr="00813BE7" w:rsidRDefault="00545391" w:rsidP="009D1D94">
            <w:pPr>
              <w:widowControl w:val="0"/>
              <w:autoSpaceDE w:val="0"/>
              <w:adjustRightInd w:val="0"/>
              <w:spacing w:line="360" w:lineRule="auto"/>
              <w:rPr>
                <w:color w:val="000000" w:themeColor="text1"/>
                <w:szCs w:val="24"/>
                <w:lang w:val="en-US"/>
              </w:rPr>
            </w:pPr>
            <w:r w:rsidRPr="00A731B3">
              <w:rPr>
                <w:lang w:val="en-US"/>
              </w:rPr>
              <w:t>Foreign direct investment</w:t>
            </w:r>
          </w:p>
        </w:tc>
        <w:tc>
          <w:tcPr>
            <w:tcW w:w="1276" w:type="dxa"/>
          </w:tcPr>
          <w:p w14:paraId="62F72202"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1.33</w:t>
            </w:r>
          </w:p>
        </w:tc>
        <w:tc>
          <w:tcPr>
            <w:tcW w:w="1276" w:type="dxa"/>
          </w:tcPr>
          <w:p w14:paraId="3DE08630"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0.183</w:t>
            </w:r>
          </w:p>
        </w:tc>
        <w:tc>
          <w:tcPr>
            <w:tcW w:w="1134" w:type="dxa"/>
          </w:tcPr>
          <w:p w14:paraId="6988A2A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 xml:space="preserve">0.013  </w:t>
            </w:r>
          </w:p>
        </w:tc>
        <w:tc>
          <w:tcPr>
            <w:tcW w:w="1275" w:type="dxa"/>
          </w:tcPr>
          <w:p w14:paraId="39D49186"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0.396</w:t>
            </w:r>
          </w:p>
        </w:tc>
      </w:tr>
    </w:tbl>
    <w:p w14:paraId="5C16B4C0" w14:textId="20B58A60" w:rsidR="00545391" w:rsidRPr="00A731B3" w:rsidRDefault="00AB0B6B" w:rsidP="00545391">
      <w:pPr>
        <w:spacing w:after="0" w:line="360" w:lineRule="auto"/>
        <w:jc w:val="both"/>
        <w:rPr>
          <w:b/>
          <w:color w:val="000000" w:themeColor="text1"/>
          <w:szCs w:val="24"/>
          <w:lang w:val="en-US"/>
        </w:rPr>
      </w:pPr>
      <w:r>
        <w:rPr>
          <w:b/>
          <w:color w:val="000000" w:themeColor="text1"/>
          <w:szCs w:val="24"/>
          <w:lang w:val="en-US"/>
        </w:rPr>
        <w:t xml:space="preserve">Source: </w:t>
      </w:r>
      <w:r w:rsidRPr="00AB0B6B">
        <w:rPr>
          <w:color w:val="000000" w:themeColor="text1"/>
          <w:szCs w:val="24"/>
          <w:lang w:val="en-US"/>
        </w:rPr>
        <w:t>Author</w:t>
      </w:r>
      <w:r w:rsidR="00545391" w:rsidRPr="00AB0B6B">
        <w:rPr>
          <w:color w:val="000000" w:themeColor="text1"/>
          <w:szCs w:val="24"/>
          <w:lang w:val="en-US"/>
        </w:rPr>
        <w:t xml:space="preserve"> 2022</w:t>
      </w:r>
    </w:p>
    <w:p w14:paraId="6E211139" w14:textId="62F0564A" w:rsidR="00545391" w:rsidRDefault="00545391" w:rsidP="00545391">
      <w:pPr>
        <w:spacing w:after="0" w:line="360" w:lineRule="auto"/>
        <w:jc w:val="both"/>
        <w:rPr>
          <w:b/>
          <w:color w:val="000000" w:themeColor="text1"/>
          <w:szCs w:val="24"/>
          <w:lang w:val="en-US"/>
        </w:rPr>
      </w:pPr>
    </w:p>
    <w:p w14:paraId="392B3B03" w14:textId="17C781C8" w:rsidR="002F02A1" w:rsidRDefault="002F02A1" w:rsidP="00545391">
      <w:pPr>
        <w:spacing w:after="0" w:line="360" w:lineRule="auto"/>
        <w:jc w:val="both"/>
        <w:rPr>
          <w:b/>
          <w:color w:val="000000" w:themeColor="text1"/>
          <w:szCs w:val="24"/>
          <w:lang w:val="en-US"/>
        </w:rPr>
      </w:pPr>
    </w:p>
    <w:p w14:paraId="5BCA8BC1" w14:textId="3B73B333" w:rsidR="002F02A1" w:rsidRDefault="002F02A1" w:rsidP="00545391">
      <w:pPr>
        <w:spacing w:after="0" w:line="360" w:lineRule="auto"/>
        <w:jc w:val="both"/>
        <w:rPr>
          <w:b/>
          <w:color w:val="000000" w:themeColor="text1"/>
          <w:szCs w:val="24"/>
          <w:lang w:val="en-US"/>
        </w:rPr>
      </w:pPr>
    </w:p>
    <w:p w14:paraId="60AE7A46" w14:textId="77777777" w:rsidR="002F02A1" w:rsidRDefault="002F02A1" w:rsidP="00545391">
      <w:pPr>
        <w:spacing w:after="0" w:line="360" w:lineRule="auto"/>
        <w:jc w:val="both"/>
        <w:rPr>
          <w:b/>
          <w:color w:val="000000" w:themeColor="text1"/>
          <w:szCs w:val="24"/>
          <w:lang w:val="en-US"/>
        </w:rPr>
      </w:pPr>
    </w:p>
    <w:p w14:paraId="059EB1FE" w14:textId="77777777" w:rsidR="00545391" w:rsidRDefault="00545391" w:rsidP="00545391">
      <w:pPr>
        <w:spacing w:after="0" w:line="360" w:lineRule="auto"/>
        <w:jc w:val="both"/>
        <w:rPr>
          <w:b/>
          <w:color w:val="000000" w:themeColor="text1"/>
          <w:szCs w:val="24"/>
          <w:lang w:val="en-US"/>
        </w:rPr>
      </w:pPr>
    </w:p>
    <w:p w14:paraId="341F2189" w14:textId="77777777" w:rsidR="00545391" w:rsidRPr="00813BE7" w:rsidRDefault="00545391" w:rsidP="00545391">
      <w:pPr>
        <w:spacing w:after="0" w:line="360" w:lineRule="auto"/>
        <w:jc w:val="both"/>
        <w:rPr>
          <w:bCs/>
          <w:color w:val="000000" w:themeColor="text1"/>
          <w:szCs w:val="24"/>
          <w:lang w:val="en-US"/>
        </w:rPr>
      </w:pPr>
      <w:bookmarkStart w:id="2" w:name="_GoBack"/>
      <w:r>
        <w:rPr>
          <w:b/>
          <w:color w:val="000000" w:themeColor="text1"/>
          <w:szCs w:val="24"/>
          <w:lang w:val="en-US"/>
        </w:rPr>
        <w:lastRenderedPageBreak/>
        <w:t>Table</w:t>
      </w:r>
      <w:bookmarkEnd w:id="2"/>
      <w:r>
        <w:rPr>
          <w:bCs/>
          <w:color w:val="000000" w:themeColor="text1"/>
          <w:szCs w:val="24"/>
          <w:lang w:val="en-US"/>
        </w:rPr>
        <w:t xml:space="preserve"> </w:t>
      </w:r>
      <w:proofErr w:type="gramStart"/>
      <w:r>
        <w:rPr>
          <w:bCs/>
          <w:color w:val="000000" w:themeColor="text1"/>
          <w:szCs w:val="24"/>
          <w:lang w:val="en-US"/>
        </w:rPr>
        <w:t xml:space="preserve">3 </w:t>
      </w:r>
      <w:r w:rsidRPr="00813BE7">
        <w:rPr>
          <w:bCs/>
          <w:color w:val="000000" w:themeColor="text1"/>
          <w:szCs w:val="24"/>
          <w:lang w:val="en-US"/>
        </w:rPr>
        <w:t>:</w:t>
      </w:r>
      <w:proofErr w:type="gramEnd"/>
      <w:r w:rsidRPr="00813BE7">
        <w:rPr>
          <w:bCs/>
          <w:color w:val="000000" w:themeColor="text1"/>
          <w:szCs w:val="24"/>
          <w:lang w:val="en-US"/>
        </w:rPr>
        <w:t xml:space="preserve"> </w:t>
      </w:r>
      <w:r w:rsidRPr="00AF24D4">
        <w:rPr>
          <w:bCs/>
          <w:color w:val="000000" w:themeColor="text1"/>
          <w:szCs w:val="24"/>
          <w:lang w:val="en-US"/>
        </w:rPr>
        <w:t>Maddala and Wu stationarity test</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06"/>
        <w:gridCol w:w="2069"/>
        <w:gridCol w:w="2111"/>
      </w:tblGrid>
      <w:tr w:rsidR="00545391" w:rsidRPr="00813BE7" w14:paraId="50E4BCC5" w14:textId="77777777" w:rsidTr="009D1D94">
        <w:trPr>
          <w:trHeight w:val="127"/>
        </w:trPr>
        <w:tc>
          <w:tcPr>
            <w:tcW w:w="3686" w:type="dxa"/>
            <w:vMerge w:val="restart"/>
            <w:tcBorders>
              <w:top w:val="single" w:sz="18" w:space="0" w:color="auto"/>
              <w:bottom w:val="single" w:sz="18" w:space="0" w:color="auto"/>
            </w:tcBorders>
          </w:tcPr>
          <w:p w14:paraId="29564A74" w14:textId="77777777" w:rsidR="00545391" w:rsidRPr="00813BE7" w:rsidRDefault="00545391" w:rsidP="009D1D94">
            <w:pPr>
              <w:spacing w:line="360" w:lineRule="auto"/>
              <w:jc w:val="both"/>
              <w:rPr>
                <w:color w:val="000000" w:themeColor="text1"/>
                <w:szCs w:val="24"/>
                <w:lang w:val="en-US"/>
              </w:rPr>
            </w:pPr>
            <w:r w:rsidRPr="00813BE7">
              <w:rPr>
                <w:color w:val="000000" w:themeColor="text1"/>
                <w:szCs w:val="24"/>
                <w:lang w:val="en-US"/>
              </w:rPr>
              <w:t>Variables</w:t>
            </w:r>
          </w:p>
        </w:tc>
        <w:tc>
          <w:tcPr>
            <w:tcW w:w="5386" w:type="dxa"/>
            <w:gridSpan w:val="3"/>
            <w:tcBorders>
              <w:top w:val="single" w:sz="18" w:space="0" w:color="auto"/>
              <w:bottom w:val="single" w:sz="18" w:space="0" w:color="auto"/>
            </w:tcBorders>
          </w:tcPr>
          <w:p w14:paraId="6E731B21" w14:textId="77777777" w:rsidR="00545391" w:rsidRPr="00813BE7" w:rsidRDefault="00545391" w:rsidP="009D1D94">
            <w:pPr>
              <w:spacing w:line="360" w:lineRule="auto"/>
              <w:jc w:val="both"/>
              <w:rPr>
                <w:color w:val="000000" w:themeColor="text1"/>
                <w:szCs w:val="24"/>
                <w:lang w:val="en-US"/>
              </w:rPr>
            </w:pPr>
            <w:r>
              <w:rPr>
                <w:color w:val="000000" w:themeColor="text1"/>
                <w:szCs w:val="24"/>
                <w:lang w:val="en-US"/>
              </w:rPr>
              <w:t>Level test</w:t>
            </w:r>
          </w:p>
        </w:tc>
      </w:tr>
      <w:tr w:rsidR="00545391" w:rsidRPr="00813BE7" w14:paraId="2C4C33AC" w14:textId="77777777" w:rsidTr="009D1D94">
        <w:trPr>
          <w:trHeight w:val="127"/>
        </w:trPr>
        <w:tc>
          <w:tcPr>
            <w:tcW w:w="3686" w:type="dxa"/>
            <w:vMerge/>
            <w:tcBorders>
              <w:top w:val="single" w:sz="18" w:space="0" w:color="auto"/>
              <w:bottom w:val="single" w:sz="18" w:space="0" w:color="auto"/>
            </w:tcBorders>
          </w:tcPr>
          <w:p w14:paraId="722AAE1A" w14:textId="77777777" w:rsidR="00545391" w:rsidRPr="00813BE7" w:rsidRDefault="00545391" w:rsidP="009D1D94">
            <w:pPr>
              <w:spacing w:line="360" w:lineRule="auto"/>
              <w:jc w:val="both"/>
              <w:rPr>
                <w:color w:val="000000" w:themeColor="text1"/>
                <w:szCs w:val="24"/>
                <w:lang w:val="en-US"/>
              </w:rPr>
            </w:pPr>
          </w:p>
        </w:tc>
        <w:tc>
          <w:tcPr>
            <w:tcW w:w="1206" w:type="dxa"/>
            <w:tcBorders>
              <w:top w:val="single" w:sz="18" w:space="0" w:color="auto"/>
              <w:bottom w:val="single" w:sz="18" w:space="0" w:color="auto"/>
            </w:tcBorders>
          </w:tcPr>
          <w:p w14:paraId="6A6601CC"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Chi2</w:t>
            </w:r>
          </w:p>
        </w:tc>
        <w:tc>
          <w:tcPr>
            <w:tcW w:w="2069" w:type="dxa"/>
            <w:tcBorders>
              <w:top w:val="single" w:sz="18" w:space="0" w:color="auto"/>
              <w:bottom w:val="single" w:sz="18" w:space="0" w:color="auto"/>
            </w:tcBorders>
          </w:tcPr>
          <w:p w14:paraId="665FCDBE"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P-value</w:t>
            </w:r>
          </w:p>
        </w:tc>
        <w:tc>
          <w:tcPr>
            <w:tcW w:w="2111" w:type="dxa"/>
            <w:tcBorders>
              <w:top w:val="single" w:sz="18" w:space="0" w:color="auto"/>
              <w:bottom w:val="single" w:sz="18" w:space="0" w:color="auto"/>
            </w:tcBorders>
          </w:tcPr>
          <w:p w14:paraId="0464DBAD" w14:textId="77777777" w:rsidR="00545391" w:rsidRPr="0080732C" w:rsidRDefault="00545391" w:rsidP="009D1D94">
            <w:pPr>
              <w:spacing w:line="360" w:lineRule="auto"/>
              <w:jc w:val="right"/>
              <w:rPr>
                <w:color w:val="000000" w:themeColor="text1"/>
                <w:szCs w:val="24"/>
                <w:lang w:val="en-US"/>
              </w:rPr>
            </w:pPr>
            <w:r w:rsidRPr="0080732C">
              <w:rPr>
                <w:color w:val="000000" w:themeColor="text1"/>
                <w:szCs w:val="24"/>
                <w:lang w:val="en-US"/>
              </w:rPr>
              <w:t>D</w:t>
            </w:r>
            <w:r>
              <w:rPr>
                <w:color w:val="000000" w:themeColor="text1"/>
                <w:szCs w:val="24"/>
                <w:lang w:val="en-US"/>
              </w:rPr>
              <w:t>e</w:t>
            </w:r>
            <w:r w:rsidRPr="0080732C">
              <w:rPr>
                <w:color w:val="000000" w:themeColor="text1"/>
                <w:szCs w:val="24"/>
                <w:lang w:val="en-US"/>
              </w:rPr>
              <w:t>cision</w:t>
            </w:r>
          </w:p>
        </w:tc>
      </w:tr>
      <w:tr w:rsidR="00545391" w:rsidRPr="00813BE7" w14:paraId="7AAC59B6" w14:textId="77777777" w:rsidTr="009D1D94">
        <w:trPr>
          <w:trHeight w:val="127"/>
        </w:trPr>
        <w:tc>
          <w:tcPr>
            <w:tcW w:w="3686" w:type="dxa"/>
            <w:tcBorders>
              <w:top w:val="single" w:sz="18" w:space="0" w:color="auto"/>
              <w:bottom w:val="nil"/>
            </w:tcBorders>
          </w:tcPr>
          <w:p w14:paraId="02670D54"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Reallocation of agricultural labor</w:t>
            </w:r>
          </w:p>
        </w:tc>
        <w:tc>
          <w:tcPr>
            <w:tcW w:w="1206" w:type="dxa"/>
            <w:tcBorders>
              <w:top w:val="single" w:sz="18" w:space="0" w:color="auto"/>
              <w:bottom w:val="nil"/>
            </w:tcBorders>
          </w:tcPr>
          <w:p w14:paraId="4676F9B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699.440</w:t>
            </w:r>
          </w:p>
        </w:tc>
        <w:tc>
          <w:tcPr>
            <w:tcW w:w="2069" w:type="dxa"/>
            <w:tcBorders>
              <w:top w:val="single" w:sz="18" w:space="0" w:color="auto"/>
              <w:bottom w:val="nil"/>
            </w:tcBorders>
          </w:tcPr>
          <w:p w14:paraId="5D562B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single" w:sz="18" w:space="0" w:color="auto"/>
              <w:bottom w:val="nil"/>
            </w:tcBorders>
          </w:tcPr>
          <w:p w14:paraId="4DE238DD" w14:textId="77777777" w:rsidR="00545391" w:rsidRPr="0080732C"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933B70F" w14:textId="77777777" w:rsidTr="009D1D94">
        <w:trPr>
          <w:trHeight w:val="127"/>
        </w:trPr>
        <w:tc>
          <w:tcPr>
            <w:tcW w:w="3686" w:type="dxa"/>
            <w:tcBorders>
              <w:top w:val="nil"/>
              <w:bottom w:val="nil"/>
            </w:tcBorders>
          </w:tcPr>
          <w:p w14:paraId="40FA9CBE"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industrial</w:t>
            </w:r>
            <w:r w:rsidRPr="00AF24D4">
              <w:rPr>
                <w:color w:val="000000" w:themeColor="text1"/>
                <w:szCs w:val="24"/>
                <w:lang w:val="en-US"/>
              </w:rPr>
              <w:t xml:space="preserve"> labor</w:t>
            </w:r>
          </w:p>
        </w:tc>
        <w:tc>
          <w:tcPr>
            <w:tcW w:w="1206" w:type="dxa"/>
            <w:tcBorders>
              <w:top w:val="nil"/>
              <w:bottom w:val="nil"/>
            </w:tcBorders>
          </w:tcPr>
          <w:p w14:paraId="695C08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137.047</w:t>
            </w:r>
          </w:p>
        </w:tc>
        <w:tc>
          <w:tcPr>
            <w:tcW w:w="2069" w:type="dxa"/>
            <w:tcBorders>
              <w:top w:val="nil"/>
              <w:bottom w:val="nil"/>
            </w:tcBorders>
          </w:tcPr>
          <w:p w14:paraId="0AB1A5ED"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5C371BD6"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7AC4D457" w14:textId="77777777" w:rsidTr="009D1D94">
        <w:trPr>
          <w:trHeight w:val="127"/>
        </w:trPr>
        <w:tc>
          <w:tcPr>
            <w:tcW w:w="3686" w:type="dxa"/>
            <w:tcBorders>
              <w:top w:val="nil"/>
              <w:bottom w:val="nil"/>
            </w:tcBorders>
          </w:tcPr>
          <w:p w14:paraId="60029DE1" w14:textId="77777777" w:rsidR="00545391" w:rsidRPr="00813BE7" w:rsidRDefault="00545391" w:rsidP="009D1D94">
            <w:pPr>
              <w:spacing w:line="360" w:lineRule="auto"/>
              <w:jc w:val="both"/>
              <w:rPr>
                <w:color w:val="000000" w:themeColor="text1"/>
                <w:szCs w:val="24"/>
                <w:lang w:val="en-US"/>
              </w:rPr>
            </w:pPr>
            <w:r w:rsidRPr="00AF24D4">
              <w:rPr>
                <w:color w:val="000000" w:themeColor="text1"/>
                <w:szCs w:val="24"/>
                <w:lang w:val="en-US"/>
              </w:rPr>
              <w:t xml:space="preserve">Reallocation of </w:t>
            </w:r>
            <w:r>
              <w:rPr>
                <w:color w:val="000000" w:themeColor="text1"/>
                <w:szCs w:val="24"/>
                <w:lang w:val="en-US"/>
              </w:rPr>
              <w:t>services</w:t>
            </w:r>
            <w:r w:rsidRPr="00AF24D4">
              <w:rPr>
                <w:color w:val="000000" w:themeColor="text1"/>
                <w:szCs w:val="24"/>
                <w:lang w:val="en-US"/>
              </w:rPr>
              <w:t xml:space="preserve"> labor</w:t>
            </w:r>
          </w:p>
        </w:tc>
        <w:tc>
          <w:tcPr>
            <w:tcW w:w="1206" w:type="dxa"/>
            <w:tcBorders>
              <w:top w:val="nil"/>
              <w:bottom w:val="nil"/>
            </w:tcBorders>
          </w:tcPr>
          <w:p w14:paraId="5F6F9C00"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200.204</w:t>
            </w:r>
          </w:p>
        </w:tc>
        <w:tc>
          <w:tcPr>
            <w:tcW w:w="2069" w:type="dxa"/>
            <w:tcBorders>
              <w:top w:val="nil"/>
              <w:bottom w:val="nil"/>
            </w:tcBorders>
          </w:tcPr>
          <w:p w14:paraId="57C08EFB" w14:textId="77777777" w:rsidR="00545391" w:rsidRPr="00813BE7" w:rsidRDefault="00545391" w:rsidP="009D1D94">
            <w:pPr>
              <w:spacing w:line="360" w:lineRule="auto"/>
              <w:jc w:val="right"/>
              <w:rPr>
                <w:color w:val="000000" w:themeColor="text1"/>
                <w:lang w:val="en-US"/>
              </w:rPr>
            </w:pPr>
            <w:r w:rsidRPr="00813BE7">
              <w:rPr>
                <w:color w:val="000000" w:themeColor="text1"/>
                <w:szCs w:val="24"/>
                <w:lang w:val="en-US"/>
              </w:rPr>
              <w:t>0,000</w:t>
            </w:r>
          </w:p>
        </w:tc>
        <w:tc>
          <w:tcPr>
            <w:tcW w:w="2111" w:type="dxa"/>
            <w:tcBorders>
              <w:top w:val="nil"/>
              <w:bottom w:val="nil"/>
            </w:tcBorders>
          </w:tcPr>
          <w:p w14:paraId="113A0B01" w14:textId="77777777" w:rsidR="00545391" w:rsidRPr="00813BE7" w:rsidRDefault="00545391" w:rsidP="009D1D94">
            <w:pPr>
              <w:spacing w:line="360" w:lineRule="auto"/>
              <w:jc w:val="right"/>
              <w:rPr>
                <w:color w:val="000000" w:themeColor="text1"/>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ADFF3F6" w14:textId="77777777" w:rsidTr="009D1D94">
        <w:trPr>
          <w:trHeight w:val="127"/>
        </w:trPr>
        <w:tc>
          <w:tcPr>
            <w:tcW w:w="3686" w:type="dxa"/>
            <w:tcBorders>
              <w:top w:val="nil"/>
              <w:bottom w:val="nil"/>
            </w:tcBorders>
          </w:tcPr>
          <w:p w14:paraId="6C130989"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Telephone access</w:t>
            </w:r>
          </w:p>
        </w:tc>
        <w:tc>
          <w:tcPr>
            <w:tcW w:w="1206" w:type="dxa"/>
            <w:tcBorders>
              <w:top w:val="nil"/>
              <w:bottom w:val="nil"/>
            </w:tcBorders>
          </w:tcPr>
          <w:p w14:paraId="3161B765"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251.516</w:t>
            </w:r>
          </w:p>
        </w:tc>
        <w:tc>
          <w:tcPr>
            <w:tcW w:w="2069" w:type="dxa"/>
            <w:tcBorders>
              <w:top w:val="nil"/>
              <w:bottom w:val="nil"/>
            </w:tcBorders>
          </w:tcPr>
          <w:p w14:paraId="0CC5637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bottom w:val="nil"/>
            </w:tcBorders>
          </w:tcPr>
          <w:p w14:paraId="0B8510BE"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9CEC2B" w14:textId="77777777" w:rsidTr="009D1D94">
        <w:trPr>
          <w:trHeight w:val="127"/>
        </w:trPr>
        <w:tc>
          <w:tcPr>
            <w:tcW w:w="3686" w:type="dxa"/>
            <w:tcBorders>
              <w:top w:val="nil"/>
            </w:tcBorders>
          </w:tcPr>
          <w:p w14:paraId="4C9EDAEA"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Internet access</w:t>
            </w:r>
          </w:p>
        </w:tc>
        <w:tc>
          <w:tcPr>
            <w:tcW w:w="1206" w:type="dxa"/>
            <w:tcBorders>
              <w:top w:val="nil"/>
            </w:tcBorders>
          </w:tcPr>
          <w:p w14:paraId="054125D8"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593.520</w:t>
            </w:r>
          </w:p>
        </w:tc>
        <w:tc>
          <w:tcPr>
            <w:tcW w:w="2069" w:type="dxa"/>
            <w:tcBorders>
              <w:top w:val="nil"/>
            </w:tcBorders>
          </w:tcPr>
          <w:p w14:paraId="2F5572F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Borders>
              <w:top w:val="nil"/>
            </w:tcBorders>
          </w:tcPr>
          <w:p w14:paraId="7C290B2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6651B8A2" w14:textId="77777777" w:rsidTr="009D1D94">
        <w:trPr>
          <w:trHeight w:val="332"/>
        </w:trPr>
        <w:tc>
          <w:tcPr>
            <w:tcW w:w="3686" w:type="dxa"/>
          </w:tcPr>
          <w:p w14:paraId="181D1F24"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Human capital</w:t>
            </w:r>
          </w:p>
        </w:tc>
        <w:tc>
          <w:tcPr>
            <w:tcW w:w="1206" w:type="dxa"/>
          </w:tcPr>
          <w:p w14:paraId="304062A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176.151</w:t>
            </w:r>
          </w:p>
        </w:tc>
        <w:tc>
          <w:tcPr>
            <w:tcW w:w="2069" w:type="dxa"/>
          </w:tcPr>
          <w:p w14:paraId="31163BF9"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0790F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249B6F86" w14:textId="77777777" w:rsidTr="009D1D94">
        <w:trPr>
          <w:trHeight w:val="332"/>
        </w:trPr>
        <w:tc>
          <w:tcPr>
            <w:tcW w:w="3686" w:type="dxa"/>
          </w:tcPr>
          <w:p w14:paraId="68251BAE" w14:textId="77777777" w:rsidR="00545391" w:rsidRPr="00813BE7" w:rsidRDefault="00545391" w:rsidP="009D1D94">
            <w:pPr>
              <w:widowControl w:val="0"/>
              <w:autoSpaceDE w:val="0"/>
              <w:adjustRightInd w:val="0"/>
              <w:spacing w:line="360" w:lineRule="auto"/>
              <w:rPr>
                <w:color w:val="000000" w:themeColor="text1"/>
                <w:szCs w:val="24"/>
                <w:lang w:val="en-US"/>
              </w:rPr>
            </w:pPr>
            <w:r w:rsidRPr="00AF24D4">
              <w:rPr>
                <w:color w:val="000000" w:themeColor="text1"/>
                <w:szCs w:val="24"/>
                <w:lang w:val="en-US"/>
              </w:rPr>
              <w:t>Gross fixed capital formation</w:t>
            </w:r>
          </w:p>
        </w:tc>
        <w:tc>
          <w:tcPr>
            <w:tcW w:w="1206" w:type="dxa"/>
          </w:tcPr>
          <w:p w14:paraId="72A3D39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292.904</w:t>
            </w:r>
          </w:p>
        </w:tc>
        <w:tc>
          <w:tcPr>
            <w:tcW w:w="2069" w:type="dxa"/>
          </w:tcPr>
          <w:p w14:paraId="11F8A7C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0B49ADC1"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0325DD46" w14:textId="77777777" w:rsidTr="009D1D94">
        <w:trPr>
          <w:trHeight w:val="332"/>
        </w:trPr>
        <w:tc>
          <w:tcPr>
            <w:tcW w:w="3686" w:type="dxa"/>
          </w:tcPr>
          <w:p w14:paraId="7A123A2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Credit to private sector</w:t>
            </w:r>
          </w:p>
        </w:tc>
        <w:tc>
          <w:tcPr>
            <w:tcW w:w="1206" w:type="dxa"/>
          </w:tcPr>
          <w:p w14:paraId="284EA9AA"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164.381</w:t>
            </w:r>
          </w:p>
        </w:tc>
        <w:tc>
          <w:tcPr>
            <w:tcW w:w="2069" w:type="dxa"/>
          </w:tcPr>
          <w:p w14:paraId="6CCFA60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520B753"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D205DA4" w14:textId="77777777" w:rsidTr="009D1D94">
        <w:trPr>
          <w:trHeight w:val="332"/>
        </w:trPr>
        <w:tc>
          <w:tcPr>
            <w:tcW w:w="3686" w:type="dxa"/>
          </w:tcPr>
          <w:p w14:paraId="5EA66C1E"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Trade openness</w:t>
            </w:r>
          </w:p>
        </w:tc>
        <w:tc>
          <w:tcPr>
            <w:tcW w:w="1206" w:type="dxa"/>
          </w:tcPr>
          <w:p w14:paraId="318EA2C1"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247.467</w:t>
            </w:r>
          </w:p>
        </w:tc>
        <w:tc>
          <w:tcPr>
            <w:tcW w:w="2069" w:type="dxa"/>
          </w:tcPr>
          <w:p w14:paraId="48068727"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3D7BB01F"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4E930306" w14:textId="77777777" w:rsidTr="009D1D94">
        <w:trPr>
          <w:trHeight w:val="346"/>
        </w:trPr>
        <w:tc>
          <w:tcPr>
            <w:tcW w:w="3686" w:type="dxa"/>
          </w:tcPr>
          <w:p w14:paraId="6DB5483F" w14:textId="77777777" w:rsidR="00545391" w:rsidRPr="00813BE7" w:rsidRDefault="00545391" w:rsidP="009D1D94">
            <w:pPr>
              <w:widowControl w:val="0"/>
              <w:autoSpaceDE w:val="0"/>
              <w:adjustRightInd w:val="0"/>
              <w:spacing w:line="360" w:lineRule="auto"/>
              <w:rPr>
                <w:color w:val="000000" w:themeColor="text1"/>
                <w:szCs w:val="24"/>
                <w:lang w:val="en-US"/>
              </w:rPr>
            </w:pPr>
            <w:r w:rsidRPr="00813BE7">
              <w:rPr>
                <w:color w:val="000000" w:themeColor="text1"/>
                <w:szCs w:val="24"/>
                <w:lang w:val="en-US"/>
              </w:rPr>
              <w:t>Polity2</w:t>
            </w:r>
          </w:p>
        </w:tc>
        <w:tc>
          <w:tcPr>
            <w:tcW w:w="1206" w:type="dxa"/>
          </w:tcPr>
          <w:p w14:paraId="5EA199C3"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244.010</w:t>
            </w:r>
          </w:p>
        </w:tc>
        <w:tc>
          <w:tcPr>
            <w:tcW w:w="2069" w:type="dxa"/>
          </w:tcPr>
          <w:p w14:paraId="7894B7DC"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7C5E73F2"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r w:rsidR="00545391" w:rsidRPr="00813BE7" w14:paraId="1C1798E8" w14:textId="77777777" w:rsidTr="009D1D94">
        <w:trPr>
          <w:trHeight w:val="346"/>
        </w:trPr>
        <w:tc>
          <w:tcPr>
            <w:tcW w:w="3686" w:type="dxa"/>
          </w:tcPr>
          <w:p w14:paraId="78E7DD9C" w14:textId="77777777" w:rsidR="00545391" w:rsidRPr="00813BE7" w:rsidRDefault="00545391" w:rsidP="009D1D94">
            <w:pPr>
              <w:widowControl w:val="0"/>
              <w:autoSpaceDE w:val="0"/>
              <w:adjustRightInd w:val="0"/>
              <w:spacing w:line="360" w:lineRule="auto"/>
              <w:rPr>
                <w:color w:val="000000" w:themeColor="text1"/>
                <w:szCs w:val="24"/>
                <w:lang w:val="en-US"/>
              </w:rPr>
            </w:pPr>
            <w:r>
              <w:rPr>
                <w:color w:val="000000" w:themeColor="text1"/>
                <w:szCs w:val="24"/>
                <w:lang w:val="en-US"/>
              </w:rPr>
              <w:t>Foreign direct investment</w:t>
            </w:r>
          </w:p>
        </w:tc>
        <w:tc>
          <w:tcPr>
            <w:tcW w:w="1206" w:type="dxa"/>
          </w:tcPr>
          <w:p w14:paraId="722DA11B"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295.504</w:t>
            </w:r>
          </w:p>
        </w:tc>
        <w:tc>
          <w:tcPr>
            <w:tcW w:w="2069" w:type="dxa"/>
          </w:tcPr>
          <w:p w14:paraId="5B8A7754" w14:textId="77777777" w:rsidR="00545391" w:rsidRPr="00813BE7" w:rsidRDefault="00545391" w:rsidP="009D1D94">
            <w:pPr>
              <w:spacing w:line="360" w:lineRule="auto"/>
              <w:jc w:val="right"/>
              <w:rPr>
                <w:color w:val="000000" w:themeColor="text1"/>
                <w:szCs w:val="24"/>
                <w:lang w:val="en-US"/>
              </w:rPr>
            </w:pPr>
            <w:r w:rsidRPr="00813BE7">
              <w:rPr>
                <w:color w:val="000000" w:themeColor="text1"/>
                <w:szCs w:val="24"/>
                <w:lang w:val="en-US"/>
              </w:rPr>
              <w:t>0,000</w:t>
            </w:r>
          </w:p>
        </w:tc>
        <w:tc>
          <w:tcPr>
            <w:tcW w:w="2111" w:type="dxa"/>
          </w:tcPr>
          <w:p w14:paraId="6A10A85B" w14:textId="77777777" w:rsidR="00545391" w:rsidRPr="00813BE7" w:rsidRDefault="00545391" w:rsidP="009D1D94">
            <w:pPr>
              <w:spacing w:line="360" w:lineRule="auto"/>
              <w:jc w:val="right"/>
              <w:rPr>
                <w:color w:val="000000" w:themeColor="text1"/>
                <w:szCs w:val="24"/>
                <w:lang w:val="en-US"/>
              </w:rPr>
            </w:pPr>
            <w:proofErr w:type="gramStart"/>
            <w:r w:rsidRPr="0080732C">
              <w:rPr>
                <w:color w:val="000000" w:themeColor="text1"/>
                <w:szCs w:val="24"/>
                <w:lang w:val="en-US"/>
              </w:rPr>
              <w:t>I(</w:t>
            </w:r>
            <w:proofErr w:type="gramEnd"/>
            <w:r w:rsidRPr="0080732C">
              <w:rPr>
                <w:color w:val="000000" w:themeColor="text1"/>
                <w:szCs w:val="24"/>
                <w:lang w:val="en-US"/>
              </w:rPr>
              <w:t>0)</w:t>
            </w:r>
          </w:p>
        </w:tc>
      </w:tr>
    </w:tbl>
    <w:p w14:paraId="3001F078" w14:textId="6A572165" w:rsidR="00AB0B6B" w:rsidRPr="00AB0B6B" w:rsidRDefault="00AB0B6B" w:rsidP="00AB0B6B">
      <w:pPr>
        <w:spacing w:after="0" w:line="240" w:lineRule="auto"/>
        <w:jc w:val="both"/>
        <w:rPr>
          <w:rFonts w:eastAsia="TimesNewRomanPSMT"/>
          <w:color w:val="000000" w:themeColor="text1"/>
          <w:szCs w:val="24"/>
          <w:lang w:val="en-US"/>
        </w:rPr>
      </w:pPr>
      <w:r w:rsidRPr="00AB0B6B">
        <w:rPr>
          <w:rFonts w:eastAsia="TimesNewRomanPSMT"/>
          <w:color w:val="000000" w:themeColor="text1"/>
          <w:szCs w:val="24"/>
          <w:lang w:val="en-US"/>
        </w:rPr>
        <w:t>Source: Author 2022</w:t>
      </w:r>
    </w:p>
    <w:p w14:paraId="5051BAB2" w14:textId="3DA9A3E9" w:rsidR="00545391" w:rsidRPr="00A731B3" w:rsidRDefault="00545391" w:rsidP="00AB0B6B">
      <w:pPr>
        <w:spacing w:after="0" w:line="240" w:lineRule="auto"/>
        <w:jc w:val="both"/>
        <w:rPr>
          <w:rFonts w:eastAsia="TimesNewRomanPSMT"/>
          <w:color w:val="000000" w:themeColor="text1"/>
          <w:sz w:val="20"/>
          <w:szCs w:val="20"/>
          <w:lang w:val="en-US"/>
        </w:rPr>
      </w:pPr>
      <w:proofErr w:type="gramStart"/>
      <w:r w:rsidRPr="00A731B3">
        <w:rPr>
          <w:rFonts w:eastAsia="TimesNewRomanPSMT"/>
          <w:i/>
          <w:color w:val="000000" w:themeColor="text1"/>
          <w:sz w:val="20"/>
          <w:szCs w:val="20"/>
          <w:lang w:val="en-US"/>
        </w:rPr>
        <w:t>Note</w:t>
      </w:r>
      <w:r w:rsidRPr="00A731B3">
        <w:rPr>
          <w:rFonts w:eastAsia="TimesNewRomanPSMT"/>
          <w:color w:val="000000" w:themeColor="text1"/>
          <w:sz w:val="20"/>
          <w:szCs w:val="20"/>
          <w:lang w:val="en-US"/>
        </w:rPr>
        <w:t> :</w:t>
      </w:r>
      <w:proofErr w:type="gramEnd"/>
      <w:r w:rsidRPr="00A731B3">
        <w:rPr>
          <w:rFonts w:eastAsia="TimesNewRomanPSMT"/>
          <w:color w:val="000000" w:themeColor="text1"/>
          <w:sz w:val="20"/>
          <w:szCs w:val="20"/>
          <w:lang w:val="en-US"/>
        </w:rPr>
        <w:t xml:space="preserve"> I(0) represent the order on integration </w:t>
      </w:r>
    </w:p>
    <w:p w14:paraId="0CD6D936" w14:textId="77777777" w:rsidR="00545391" w:rsidRPr="00A731B3" w:rsidRDefault="00545391" w:rsidP="00545391">
      <w:pPr>
        <w:spacing w:after="0" w:line="360" w:lineRule="auto"/>
        <w:jc w:val="both"/>
        <w:rPr>
          <w:bCs/>
          <w:color w:val="000000" w:themeColor="text1"/>
          <w:szCs w:val="24"/>
          <w:highlight w:val="yellow"/>
          <w:lang w:val="en-US"/>
        </w:rPr>
      </w:pPr>
    </w:p>
    <w:p w14:paraId="3E47F540" w14:textId="520587DD" w:rsidR="000B5C6B" w:rsidRDefault="00542CE7" w:rsidP="00A731B3">
      <w:pPr>
        <w:spacing w:line="360" w:lineRule="auto"/>
        <w:jc w:val="both"/>
        <w:rPr>
          <w:b/>
          <w:bCs/>
          <w:color w:val="000000" w:themeColor="text1"/>
          <w:szCs w:val="24"/>
          <w:lang w:val="en-US"/>
        </w:rPr>
      </w:pPr>
      <w:r w:rsidRPr="00A731B3">
        <w:rPr>
          <w:b/>
          <w:bCs/>
          <w:color w:val="000000" w:themeColor="text1"/>
          <w:szCs w:val="24"/>
          <w:lang w:val="en-US"/>
        </w:rPr>
        <w:t xml:space="preserve">4. </w:t>
      </w:r>
      <w:r w:rsidR="004B3B2B">
        <w:rPr>
          <w:b/>
          <w:bCs/>
          <w:color w:val="000000" w:themeColor="text1"/>
          <w:szCs w:val="24"/>
          <w:lang w:val="en-US"/>
        </w:rPr>
        <w:t>R</w:t>
      </w:r>
      <w:r w:rsidR="000E2071">
        <w:rPr>
          <w:b/>
          <w:bCs/>
          <w:color w:val="000000" w:themeColor="text1"/>
          <w:szCs w:val="24"/>
          <w:lang w:val="en-US"/>
        </w:rPr>
        <w:t>esults and discussion</w:t>
      </w:r>
      <w:r w:rsidR="000612A3">
        <w:rPr>
          <w:b/>
          <w:bCs/>
          <w:color w:val="000000" w:themeColor="text1"/>
          <w:szCs w:val="24"/>
          <w:lang w:val="en-US"/>
        </w:rPr>
        <w:t>s</w:t>
      </w:r>
    </w:p>
    <w:p w14:paraId="2C3F0196" w14:textId="553020EC" w:rsidR="00171F77" w:rsidRDefault="00EE6283" w:rsidP="00A731B3">
      <w:pPr>
        <w:spacing w:line="360" w:lineRule="auto"/>
        <w:jc w:val="both"/>
        <w:rPr>
          <w:bCs/>
          <w:color w:val="000000" w:themeColor="text1"/>
          <w:szCs w:val="24"/>
          <w:lang w:val="en-US"/>
        </w:rPr>
      </w:pPr>
      <w:r>
        <w:rPr>
          <w:rStyle w:val="q4iawc"/>
          <w:lang w:val="en"/>
        </w:rPr>
        <w:t>Preliminary tests have shown that ICTs are endogenous.</w:t>
      </w:r>
      <w:r>
        <w:rPr>
          <w:rStyle w:val="viiyi"/>
          <w:lang w:val="en"/>
        </w:rPr>
        <w:t xml:space="preserve"> </w:t>
      </w:r>
      <w:r>
        <w:rPr>
          <w:rStyle w:val="q4iawc"/>
          <w:lang w:val="en"/>
        </w:rPr>
        <w:t>This is confirmed by the probabilities associated with the Chi2(2) of the endogeneity test, which are less than 1% (Table 4 and Table 5).</w:t>
      </w:r>
      <w:r>
        <w:rPr>
          <w:rStyle w:val="viiyi"/>
          <w:lang w:val="en"/>
        </w:rPr>
        <w:t xml:space="preserve"> </w:t>
      </w:r>
      <w:r>
        <w:rPr>
          <w:rStyle w:val="q4iawc"/>
          <w:lang w:val="en"/>
        </w:rPr>
        <w:t xml:space="preserve"> </w:t>
      </w:r>
      <w:r w:rsidR="00AD01D8">
        <w:rPr>
          <w:rStyle w:val="q4iawc"/>
          <w:lang w:val="en"/>
        </w:rPr>
        <w:t>The</w:t>
      </w:r>
      <w:r>
        <w:rPr>
          <w:rStyle w:val="q4iawc"/>
          <w:lang w:val="en"/>
        </w:rPr>
        <w:t xml:space="preserve"> Hansen test shows that the </w:t>
      </w:r>
      <w:r w:rsidR="00986EFE">
        <w:rPr>
          <w:rStyle w:val="q4iawc"/>
          <w:lang w:val="en"/>
        </w:rPr>
        <w:t>instruments are valid because</w:t>
      </w:r>
      <w:r>
        <w:rPr>
          <w:rStyle w:val="q4iawc"/>
          <w:lang w:val="en"/>
        </w:rPr>
        <w:t xml:space="preserve"> the value of the probabilities as</w:t>
      </w:r>
      <w:r w:rsidR="00986EFE">
        <w:rPr>
          <w:rStyle w:val="q4iawc"/>
          <w:lang w:val="en"/>
        </w:rPr>
        <w:t>sociated with the Chi2 (1)</w:t>
      </w:r>
      <w:r>
        <w:rPr>
          <w:rStyle w:val="q4iawc"/>
          <w:lang w:val="en"/>
        </w:rPr>
        <w:t xml:space="preserve"> are gr</w:t>
      </w:r>
      <w:r w:rsidR="008D6207">
        <w:rPr>
          <w:rStyle w:val="q4iawc"/>
          <w:lang w:val="en"/>
        </w:rPr>
        <w:t>eater than 10% (table 3</w:t>
      </w:r>
      <w:r>
        <w:rPr>
          <w:rStyle w:val="q4iawc"/>
          <w:lang w:val="en"/>
        </w:rPr>
        <w:t>).</w:t>
      </w:r>
      <w:r>
        <w:rPr>
          <w:b/>
          <w:bCs/>
          <w:color w:val="000000" w:themeColor="text1"/>
          <w:szCs w:val="24"/>
          <w:lang w:val="en-US"/>
        </w:rPr>
        <w:t xml:space="preserve"> </w:t>
      </w:r>
      <w:r w:rsidR="00171F77" w:rsidRPr="00A731B3">
        <w:rPr>
          <w:bCs/>
          <w:color w:val="000000" w:themeColor="text1"/>
          <w:szCs w:val="24"/>
          <w:lang w:val="en-US"/>
        </w:rPr>
        <w:t>Col</w:t>
      </w:r>
      <w:r>
        <w:rPr>
          <w:bCs/>
          <w:color w:val="000000" w:themeColor="text1"/>
          <w:szCs w:val="24"/>
          <w:lang w:val="en-US"/>
        </w:rPr>
        <w:t>umns (1), (2) and (3) of Table 4</w:t>
      </w:r>
      <w:r w:rsidR="00171F77" w:rsidRPr="00A731B3">
        <w:rPr>
          <w:bCs/>
          <w:color w:val="000000" w:themeColor="text1"/>
          <w:szCs w:val="24"/>
          <w:lang w:val="en-US"/>
        </w:rPr>
        <w:t xml:space="preserve"> a</w:t>
      </w:r>
      <w:r>
        <w:rPr>
          <w:bCs/>
          <w:color w:val="000000" w:themeColor="text1"/>
          <w:szCs w:val="24"/>
          <w:lang w:val="en-US"/>
        </w:rPr>
        <w:t>nd Table 5</w:t>
      </w:r>
      <w:r w:rsidR="00171F77" w:rsidRPr="00A731B3">
        <w:rPr>
          <w:bCs/>
          <w:color w:val="000000" w:themeColor="text1"/>
          <w:szCs w:val="24"/>
          <w:lang w:val="en-US"/>
        </w:rPr>
        <w:t xml:space="preserve"> respectively present the results of the effect of internet and telephone access on agricultural structural transformation measured by reallocation of agricultural </w:t>
      </w:r>
      <w:r w:rsidR="00C74B91" w:rsidRPr="00C74B91">
        <w:rPr>
          <w:bCs/>
          <w:color w:val="000000" w:themeColor="text1"/>
          <w:szCs w:val="24"/>
          <w:lang w:val="en-US"/>
        </w:rPr>
        <w:t>labor</w:t>
      </w:r>
      <w:r w:rsidR="00171F77" w:rsidRPr="00A731B3">
        <w:rPr>
          <w:bCs/>
          <w:color w:val="000000" w:themeColor="text1"/>
          <w:szCs w:val="24"/>
          <w:lang w:val="en-US"/>
        </w:rPr>
        <w:t>, agricultural employment and agricultural value added.</w:t>
      </w:r>
    </w:p>
    <w:p w14:paraId="7453EE60" w14:textId="0F3D7E0F" w:rsidR="002F02A1" w:rsidRDefault="002F02A1" w:rsidP="00A731B3">
      <w:pPr>
        <w:spacing w:line="360" w:lineRule="auto"/>
        <w:jc w:val="both"/>
        <w:rPr>
          <w:bCs/>
          <w:color w:val="000000" w:themeColor="text1"/>
          <w:szCs w:val="24"/>
          <w:lang w:val="en-US"/>
        </w:rPr>
      </w:pPr>
    </w:p>
    <w:p w14:paraId="4519C969" w14:textId="6B56A271" w:rsidR="002F02A1" w:rsidRDefault="002F02A1" w:rsidP="00A731B3">
      <w:pPr>
        <w:spacing w:line="360" w:lineRule="auto"/>
        <w:jc w:val="both"/>
        <w:rPr>
          <w:bCs/>
          <w:color w:val="000000" w:themeColor="text1"/>
          <w:szCs w:val="24"/>
          <w:lang w:val="en-US"/>
        </w:rPr>
      </w:pPr>
    </w:p>
    <w:p w14:paraId="75A2BB17" w14:textId="2A2B7F71" w:rsidR="002F02A1" w:rsidRDefault="002F02A1" w:rsidP="00A731B3">
      <w:pPr>
        <w:spacing w:line="360" w:lineRule="auto"/>
        <w:jc w:val="both"/>
        <w:rPr>
          <w:bCs/>
          <w:color w:val="000000" w:themeColor="text1"/>
          <w:szCs w:val="24"/>
          <w:lang w:val="en-US"/>
        </w:rPr>
      </w:pPr>
    </w:p>
    <w:p w14:paraId="61C4EDE9" w14:textId="0ECBA62F" w:rsidR="002F02A1" w:rsidRDefault="002F02A1" w:rsidP="00A731B3">
      <w:pPr>
        <w:spacing w:line="360" w:lineRule="auto"/>
        <w:jc w:val="both"/>
        <w:rPr>
          <w:bCs/>
          <w:color w:val="000000" w:themeColor="text1"/>
          <w:szCs w:val="24"/>
          <w:lang w:val="en-US"/>
        </w:rPr>
      </w:pPr>
    </w:p>
    <w:p w14:paraId="35B30475" w14:textId="77777777" w:rsidR="002F02A1" w:rsidRPr="00EE6283" w:rsidRDefault="002F02A1" w:rsidP="00A731B3">
      <w:pPr>
        <w:spacing w:line="360" w:lineRule="auto"/>
        <w:jc w:val="both"/>
        <w:rPr>
          <w:b/>
          <w:bCs/>
          <w:color w:val="000000" w:themeColor="text1"/>
          <w:szCs w:val="24"/>
          <w:lang w:val="en-US"/>
        </w:rPr>
      </w:pPr>
    </w:p>
    <w:p w14:paraId="18B9A9E4" w14:textId="4525E2A4" w:rsidR="00007171" w:rsidRPr="00A731B3" w:rsidRDefault="00007171" w:rsidP="00A731B3">
      <w:pPr>
        <w:spacing w:line="360" w:lineRule="auto"/>
        <w:jc w:val="both"/>
        <w:rPr>
          <w:b/>
          <w:bCs/>
          <w:color w:val="000000" w:themeColor="text1"/>
          <w:szCs w:val="24"/>
          <w:lang w:val="en-US"/>
        </w:rPr>
      </w:pPr>
      <w:r w:rsidRPr="00A731B3">
        <w:rPr>
          <w:b/>
          <w:bCs/>
          <w:color w:val="000000" w:themeColor="text1"/>
          <w:szCs w:val="24"/>
          <w:lang w:val="en-US"/>
        </w:rPr>
        <w:lastRenderedPageBreak/>
        <w:t>Table </w:t>
      </w:r>
      <w:proofErr w:type="gramStart"/>
      <w:r w:rsidR="00EE6283">
        <w:rPr>
          <w:b/>
          <w:bCs/>
          <w:color w:val="000000" w:themeColor="text1"/>
          <w:szCs w:val="24"/>
          <w:lang w:val="en-US"/>
        </w:rPr>
        <w:t xml:space="preserve">4 </w:t>
      </w:r>
      <w:r w:rsidRPr="00A731B3">
        <w:rPr>
          <w:b/>
          <w:bCs/>
          <w:color w:val="000000" w:themeColor="text1"/>
          <w:szCs w:val="24"/>
          <w:lang w:val="en-US"/>
        </w:rPr>
        <w:t>:</w:t>
      </w:r>
      <w:proofErr w:type="gramEnd"/>
      <w:r w:rsidRPr="00A731B3">
        <w:rPr>
          <w:b/>
          <w:bCs/>
          <w:color w:val="000000" w:themeColor="text1"/>
          <w:szCs w:val="24"/>
          <w:lang w:val="en-US"/>
        </w:rPr>
        <w:t xml:space="preserve"> </w:t>
      </w:r>
      <w:r w:rsidR="00C74B91" w:rsidRPr="00C74B91">
        <w:rPr>
          <w:b/>
          <w:bCs/>
          <w:color w:val="000000" w:themeColor="text1"/>
          <w:szCs w:val="24"/>
          <w:lang w:val="en-US"/>
        </w:rPr>
        <w:t>Results of the effect of ICTs on structural transformation using internet access in SSA</w:t>
      </w:r>
    </w:p>
    <w:tbl>
      <w:tblPr>
        <w:tblW w:w="9435" w:type="dxa"/>
        <w:jc w:val="center"/>
        <w:tblLayout w:type="fixed"/>
        <w:tblCellMar>
          <w:left w:w="75" w:type="dxa"/>
          <w:right w:w="75" w:type="dxa"/>
        </w:tblCellMar>
        <w:tblLook w:val="0000" w:firstRow="0" w:lastRow="0" w:firstColumn="0" w:lastColumn="0" w:noHBand="0" w:noVBand="0"/>
      </w:tblPr>
      <w:tblGrid>
        <w:gridCol w:w="2931"/>
        <w:gridCol w:w="2168"/>
        <w:gridCol w:w="2168"/>
        <w:gridCol w:w="2168"/>
      </w:tblGrid>
      <w:tr w:rsidR="00F336E9" w:rsidRPr="00A731B3" w14:paraId="54F3E195" w14:textId="77777777" w:rsidTr="009D355F">
        <w:trPr>
          <w:trHeight w:val="264"/>
          <w:jc w:val="center"/>
        </w:trPr>
        <w:tc>
          <w:tcPr>
            <w:tcW w:w="2931" w:type="dxa"/>
            <w:tcBorders>
              <w:top w:val="single" w:sz="6" w:space="0" w:color="auto"/>
              <w:left w:val="nil"/>
              <w:bottom w:val="nil"/>
              <w:right w:val="nil"/>
            </w:tcBorders>
          </w:tcPr>
          <w:p w14:paraId="25B7587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single" w:sz="6" w:space="0" w:color="auto"/>
              <w:left w:val="nil"/>
              <w:bottom w:val="nil"/>
              <w:right w:val="nil"/>
            </w:tcBorders>
          </w:tcPr>
          <w:p w14:paraId="05C8748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168" w:type="dxa"/>
            <w:tcBorders>
              <w:top w:val="single" w:sz="6" w:space="0" w:color="auto"/>
              <w:left w:val="nil"/>
              <w:bottom w:val="nil"/>
              <w:right w:val="nil"/>
            </w:tcBorders>
          </w:tcPr>
          <w:p w14:paraId="762BA04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168" w:type="dxa"/>
            <w:tcBorders>
              <w:top w:val="single" w:sz="6" w:space="0" w:color="auto"/>
              <w:left w:val="nil"/>
              <w:bottom w:val="nil"/>
              <w:right w:val="nil"/>
            </w:tcBorders>
          </w:tcPr>
          <w:p w14:paraId="02B0D5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2ADA73E4" w14:textId="77777777" w:rsidTr="009D355F">
        <w:trPr>
          <w:trHeight w:val="543"/>
          <w:jc w:val="center"/>
        </w:trPr>
        <w:tc>
          <w:tcPr>
            <w:tcW w:w="2931" w:type="dxa"/>
            <w:tcBorders>
              <w:top w:val="nil"/>
              <w:left w:val="nil"/>
              <w:bottom w:val="single" w:sz="6" w:space="0" w:color="auto"/>
              <w:right w:val="nil"/>
            </w:tcBorders>
          </w:tcPr>
          <w:p w14:paraId="2B21FF94" w14:textId="77777777" w:rsidR="009D355F"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168" w:type="dxa"/>
            <w:tcBorders>
              <w:top w:val="nil"/>
              <w:left w:val="nil"/>
              <w:bottom w:val="single" w:sz="6" w:space="0" w:color="auto"/>
              <w:right w:val="nil"/>
            </w:tcBorders>
          </w:tcPr>
          <w:p w14:paraId="52569134"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168" w:type="dxa"/>
            <w:tcBorders>
              <w:top w:val="nil"/>
              <w:left w:val="nil"/>
              <w:bottom w:val="single" w:sz="6" w:space="0" w:color="auto"/>
              <w:right w:val="nil"/>
            </w:tcBorders>
          </w:tcPr>
          <w:p w14:paraId="5E0D59D2"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168" w:type="dxa"/>
            <w:tcBorders>
              <w:top w:val="nil"/>
              <w:left w:val="nil"/>
              <w:bottom w:val="single" w:sz="6" w:space="0" w:color="auto"/>
              <w:right w:val="nil"/>
            </w:tcBorders>
          </w:tcPr>
          <w:p w14:paraId="413BB6A3" w14:textId="77777777" w:rsidR="009D355F" w:rsidRPr="00A731B3" w:rsidRDefault="009D355F"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285D8A71" w14:textId="77777777" w:rsidTr="009D355F">
        <w:trPr>
          <w:trHeight w:val="278"/>
          <w:jc w:val="center"/>
        </w:trPr>
        <w:tc>
          <w:tcPr>
            <w:tcW w:w="2931" w:type="dxa"/>
            <w:tcBorders>
              <w:top w:val="nil"/>
              <w:left w:val="nil"/>
              <w:bottom w:val="nil"/>
              <w:right w:val="nil"/>
            </w:tcBorders>
          </w:tcPr>
          <w:p w14:paraId="199CC22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D1213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4AF42D0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nil"/>
              <w:right w:val="nil"/>
            </w:tcBorders>
          </w:tcPr>
          <w:p w14:paraId="1470043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p>
        </w:tc>
      </w:tr>
      <w:tr w:rsidR="00F336E9" w:rsidRPr="00A731B3" w14:paraId="1229DECC" w14:textId="77777777" w:rsidTr="009D355F">
        <w:trPr>
          <w:trHeight w:val="264"/>
          <w:jc w:val="center"/>
        </w:trPr>
        <w:tc>
          <w:tcPr>
            <w:tcW w:w="2931" w:type="dxa"/>
            <w:tcBorders>
              <w:top w:val="nil"/>
              <w:left w:val="nil"/>
              <w:bottom w:val="nil"/>
              <w:right w:val="nil"/>
            </w:tcBorders>
          </w:tcPr>
          <w:p w14:paraId="2794E532"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Internet access</w:t>
            </w:r>
          </w:p>
        </w:tc>
        <w:tc>
          <w:tcPr>
            <w:tcW w:w="2168" w:type="dxa"/>
            <w:tcBorders>
              <w:top w:val="nil"/>
              <w:left w:val="nil"/>
              <w:bottom w:val="nil"/>
              <w:right w:val="nil"/>
            </w:tcBorders>
          </w:tcPr>
          <w:p w14:paraId="1629885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-0.249*</w:t>
            </w:r>
          </w:p>
        </w:tc>
        <w:tc>
          <w:tcPr>
            <w:tcW w:w="2168" w:type="dxa"/>
            <w:tcBorders>
              <w:top w:val="nil"/>
              <w:left w:val="nil"/>
              <w:bottom w:val="nil"/>
              <w:right w:val="nil"/>
            </w:tcBorders>
          </w:tcPr>
          <w:p w14:paraId="525FDE3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0.452***</w:t>
            </w:r>
          </w:p>
        </w:tc>
        <w:tc>
          <w:tcPr>
            <w:tcW w:w="2168" w:type="dxa"/>
            <w:tcBorders>
              <w:top w:val="nil"/>
              <w:left w:val="nil"/>
              <w:bottom w:val="nil"/>
              <w:right w:val="nil"/>
            </w:tcBorders>
          </w:tcPr>
          <w:p w14:paraId="42DC22A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0.054</w:t>
            </w:r>
          </w:p>
        </w:tc>
      </w:tr>
      <w:tr w:rsidR="00F336E9" w:rsidRPr="00A731B3" w14:paraId="3D1E1BC4" w14:textId="77777777" w:rsidTr="009D355F">
        <w:trPr>
          <w:trHeight w:val="264"/>
          <w:jc w:val="center"/>
        </w:trPr>
        <w:tc>
          <w:tcPr>
            <w:tcW w:w="2931" w:type="dxa"/>
            <w:tcBorders>
              <w:top w:val="nil"/>
              <w:left w:val="nil"/>
              <w:bottom w:val="nil"/>
              <w:right w:val="nil"/>
            </w:tcBorders>
          </w:tcPr>
          <w:p w14:paraId="6B54FD31"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6822C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(0.145)</w:t>
            </w:r>
          </w:p>
        </w:tc>
        <w:tc>
          <w:tcPr>
            <w:tcW w:w="2168" w:type="dxa"/>
            <w:tcBorders>
              <w:top w:val="nil"/>
              <w:left w:val="nil"/>
              <w:bottom w:val="nil"/>
              <w:right w:val="nil"/>
            </w:tcBorders>
          </w:tcPr>
          <w:p w14:paraId="3AFC780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(0.160)</w:t>
            </w:r>
          </w:p>
        </w:tc>
        <w:tc>
          <w:tcPr>
            <w:tcW w:w="2168" w:type="dxa"/>
            <w:tcBorders>
              <w:top w:val="nil"/>
              <w:left w:val="nil"/>
              <w:bottom w:val="nil"/>
              <w:right w:val="nil"/>
            </w:tcBorders>
          </w:tcPr>
          <w:p w14:paraId="0295850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62C0FBCF" w14:textId="77777777" w:rsidTr="009D355F">
        <w:trPr>
          <w:trHeight w:val="822"/>
          <w:jc w:val="center"/>
        </w:trPr>
        <w:tc>
          <w:tcPr>
            <w:tcW w:w="2931" w:type="dxa"/>
            <w:tcBorders>
              <w:top w:val="nil"/>
              <w:left w:val="nil"/>
              <w:bottom w:val="nil"/>
              <w:right w:val="nil"/>
            </w:tcBorders>
          </w:tcPr>
          <w:p w14:paraId="471BF217"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168" w:type="dxa"/>
            <w:tcBorders>
              <w:top w:val="nil"/>
              <w:left w:val="nil"/>
              <w:bottom w:val="nil"/>
              <w:right w:val="nil"/>
            </w:tcBorders>
          </w:tcPr>
          <w:p w14:paraId="16233C9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60D742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-0.022</w:t>
            </w:r>
          </w:p>
        </w:tc>
        <w:tc>
          <w:tcPr>
            <w:tcW w:w="2168" w:type="dxa"/>
            <w:tcBorders>
              <w:top w:val="nil"/>
              <w:left w:val="nil"/>
              <w:bottom w:val="nil"/>
              <w:right w:val="nil"/>
            </w:tcBorders>
          </w:tcPr>
          <w:p w14:paraId="3D2C2C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0C2456B0" w14:textId="77777777" w:rsidTr="009D355F">
        <w:trPr>
          <w:trHeight w:val="264"/>
          <w:jc w:val="center"/>
        </w:trPr>
        <w:tc>
          <w:tcPr>
            <w:tcW w:w="2931" w:type="dxa"/>
            <w:tcBorders>
              <w:top w:val="nil"/>
              <w:left w:val="nil"/>
              <w:bottom w:val="nil"/>
              <w:right w:val="nil"/>
            </w:tcBorders>
          </w:tcPr>
          <w:p w14:paraId="20892DE3"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49B2105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(0.167)</w:t>
            </w:r>
          </w:p>
        </w:tc>
        <w:tc>
          <w:tcPr>
            <w:tcW w:w="2168" w:type="dxa"/>
            <w:tcBorders>
              <w:top w:val="nil"/>
              <w:left w:val="nil"/>
              <w:bottom w:val="nil"/>
              <w:right w:val="nil"/>
            </w:tcBorders>
          </w:tcPr>
          <w:p w14:paraId="4F29C04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c>
          <w:tcPr>
            <w:tcW w:w="2168" w:type="dxa"/>
            <w:tcBorders>
              <w:top w:val="nil"/>
              <w:left w:val="nil"/>
              <w:bottom w:val="nil"/>
              <w:right w:val="nil"/>
            </w:tcBorders>
          </w:tcPr>
          <w:p w14:paraId="0FC177F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5534959B" w14:textId="77777777" w:rsidTr="009D355F">
        <w:trPr>
          <w:trHeight w:val="543"/>
          <w:jc w:val="center"/>
        </w:trPr>
        <w:tc>
          <w:tcPr>
            <w:tcW w:w="2931" w:type="dxa"/>
            <w:tcBorders>
              <w:top w:val="nil"/>
              <w:left w:val="nil"/>
              <w:bottom w:val="nil"/>
              <w:right w:val="nil"/>
            </w:tcBorders>
          </w:tcPr>
          <w:p w14:paraId="691E5F7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168" w:type="dxa"/>
            <w:tcBorders>
              <w:top w:val="nil"/>
              <w:left w:val="nil"/>
              <w:bottom w:val="nil"/>
              <w:right w:val="nil"/>
            </w:tcBorders>
          </w:tcPr>
          <w:p w14:paraId="4D4288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-0.375***</w:t>
            </w:r>
          </w:p>
        </w:tc>
        <w:tc>
          <w:tcPr>
            <w:tcW w:w="2168" w:type="dxa"/>
            <w:tcBorders>
              <w:top w:val="nil"/>
              <w:left w:val="nil"/>
              <w:bottom w:val="nil"/>
              <w:right w:val="nil"/>
            </w:tcBorders>
          </w:tcPr>
          <w:p w14:paraId="0C897E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c>
          <w:tcPr>
            <w:tcW w:w="2168" w:type="dxa"/>
            <w:tcBorders>
              <w:top w:val="nil"/>
              <w:left w:val="nil"/>
              <w:bottom w:val="nil"/>
              <w:right w:val="nil"/>
            </w:tcBorders>
          </w:tcPr>
          <w:p w14:paraId="11C888C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0.015</w:t>
            </w:r>
          </w:p>
        </w:tc>
      </w:tr>
      <w:tr w:rsidR="00F336E9" w:rsidRPr="00A731B3" w14:paraId="00BB2ED1" w14:textId="77777777" w:rsidTr="009D355F">
        <w:trPr>
          <w:trHeight w:val="264"/>
          <w:jc w:val="center"/>
        </w:trPr>
        <w:tc>
          <w:tcPr>
            <w:tcW w:w="2931" w:type="dxa"/>
            <w:tcBorders>
              <w:top w:val="nil"/>
              <w:left w:val="nil"/>
              <w:bottom w:val="nil"/>
              <w:right w:val="nil"/>
            </w:tcBorders>
          </w:tcPr>
          <w:p w14:paraId="5D5C4E8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393E38A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(0.060)</w:t>
            </w:r>
          </w:p>
        </w:tc>
        <w:tc>
          <w:tcPr>
            <w:tcW w:w="2168" w:type="dxa"/>
            <w:tcBorders>
              <w:top w:val="nil"/>
              <w:left w:val="nil"/>
              <w:bottom w:val="nil"/>
              <w:right w:val="nil"/>
            </w:tcBorders>
          </w:tcPr>
          <w:p w14:paraId="230F8EA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tc>
        <w:tc>
          <w:tcPr>
            <w:tcW w:w="2168" w:type="dxa"/>
            <w:tcBorders>
              <w:top w:val="nil"/>
              <w:left w:val="nil"/>
              <w:bottom w:val="nil"/>
              <w:right w:val="nil"/>
            </w:tcBorders>
          </w:tcPr>
          <w:p w14:paraId="26E02A1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3A1D1B9D" w14:textId="77777777" w:rsidTr="009D355F">
        <w:trPr>
          <w:trHeight w:val="278"/>
          <w:jc w:val="center"/>
        </w:trPr>
        <w:tc>
          <w:tcPr>
            <w:tcW w:w="2931" w:type="dxa"/>
            <w:tcBorders>
              <w:top w:val="nil"/>
              <w:left w:val="nil"/>
              <w:bottom w:val="nil"/>
              <w:right w:val="nil"/>
            </w:tcBorders>
          </w:tcPr>
          <w:p w14:paraId="27FFAA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168" w:type="dxa"/>
            <w:tcBorders>
              <w:top w:val="nil"/>
              <w:left w:val="nil"/>
              <w:bottom w:val="nil"/>
              <w:right w:val="nil"/>
            </w:tcBorders>
          </w:tcPr>
          <w:p w14:paraId="163B8D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0.037</w:t>
            </w:r>
          </w:p>
        </w:tc>
        <w:tc>
          <w:tcPr>
            <w:tcW w:w="2168" w:type="dxa"/>
            <w:tcBorders>
              <w:top w:val="nil"/>
              <w:left w:val="nil"/>
              <w:bottom w:val="nil"/>
              <w:right w:val="nil"/>
            </w:tcBorders>
          </w:tcPr>
          <w:p w14:paraId="05A94BF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-0.643***</w:t>
            </w:r>
          </w:p>
        </w:tc>
        <w:tc>
          <w:tcPr>
            <w:tcW w:w="2168" w:type="dxa"/>
            <w:tcBorders>
              <w:top w:val="nil"/>
              <w:left w:val="nil"/>
              <w:bottom w:val="nil"/>
              <w:right w:val="nil"/>
            </w:tcBorders>
          </w:tcPr>
          <w:p w14:paraId="4AD3CA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-0.314***</w:t>
            </w:r>
          </w:p>
        </w:tc>
      </w:tr>
      <w:tr w:rsidR="00F336E9" w:rsidRPr="00A731B3" w14:paraId="341B15E8" w14:textId="77777777" w:rsidTr="009D355F">
        <w:trPr>
          <w:trHeight w:val="264"/>
          <w:jc w:val="center"/>
        </w:trPr>
        <w:tc>
          <w:tcPr>
            <w:tcW w:w="2931" w:type="dxa"/>
            <w:tcBorders>
              <w:top w:val="nil"/>
              <w:left w:val="nil"/>
              <w:bottom w:val="nil"/>
              <w:right w:val="nil"/>
            </w:tcBorders>
          </w:tcPr>
          <w:p w14:paraId="09B91D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1DB3F5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(0.115)</w:t>
            </w:r>
          </w:p>
        </w:tc>
        <w:tc>
          <w:tcPr>
            <w:tcW w:w="2168" w:type="dxa"/>
            <w:tcBorders>
              <w:top w:val="nil"/>
              <w:left w:val="nil"/>
              <w:bottom w:val="nil"/>
              <w:right w:val="nil"/>
            </w:tcBorders>
          </w:tcPr>
          <w:p w14:paraId="1BDD005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(0.081)</w:t>
            </w:r>
          </w:p>
        </w:tc>
        <w:tc>
          <w:tcPr>
            <w:tcW w:w="2168" w:type="dxa"/>
            <w:tcBorders>
              <w:top w:val="nil"/>
              <w:left w:val="nil"/>
              <w:bottom w:val="nil"/>
              <w:right w:val="nil"/>
            </w:tcBorders>
          </w:tcPr>
          <w:p w14:paraId="086209B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(0.045)</w:t>
            </w:r>
          </w:p>
        </w:tc>
      </w:tr>
      <w:tr w:rsidR="00F336E9" w:rsidRPr="00A731B3" w14:paraId="2EF49D87" w14:textId="77777777" w:rsidTr="009D355F">
        <w:trPr>
          <w:trHeight w:val="543"/>
          <w:jc w:val="center"/>
        </w:trPr>
        <w:tc>
          <w:tcPr>
            <w:tcW w:w="2931" w:type="dxa"/>
            <w:tcBorders>
              <w:top w:val="nil"/>
              <w:left w:val="nil"/>
              <w:bottom w:val="nil"/>
              <w:right w:val="nil"/>
            </w:tcBorders>
          </w:tcPr>
          <w:p w14:paraId="0E24451E"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Gross fixed capital formation</w:t>
            </w:r>
          </w:p>
        </w:tc>
        <w:tc>
          <w:tcPr>
            <w:tcW w:w="2168" w:type="dxa"/>
            <w:tcBorders>
              <w:top w:val="nil"/>
              <w:left w:val="nil"/>
              <w:bottom w:val="nil"/>
              <w:right w:val="nil"/>
            </w:tcBorders>
          </w:tcPr>
          <w:p w14:paraId="207C4F9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-0.164</w:t>
            </w:r>
          </w:p>
        </w:tc>
        <w:tc>
          <w:tcPr>
            <w:tcW w:w="2168" w:type="dxa"/>
            <w:tcBorders>
              <w:top w:val="nil"/>
              <w:left w:val="nil"/>
              <w:bottom w:val="nil"/>
              <w:right w:val="nil"/>
            </w:tcBorders>
          </w:tcPr>
          <w:p w14:paraId="5C06167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0.545***</w:t>
            </w:r>
          </w:p>
        </w:tc>
        <w:tc>
          <w:tcPr>
            <w:tcW w:w="2168" w:type="dxa"/>
            <w:tcBorders>
              <w:top w:val="nil"/>
              <w:left w:val="nil"/>
              <w:bottom w:val="nil"/>
              <w:right w:val="nil"/>
            </w:tcBorders>
          </w:tcPr>
          <w:p w14:paraId="7098BF6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-0.285***</w:t>
            </w:r>
          </w:p>
        </w:tc>
      </w:tr>
      <w:tr w:rsidR="00F336E9" w:rsidRPr="00A731B3" w14:paraId="27C0FFDE" w14:textId="77777777" w:rsidTr="009D355F">
        <w:trPr>
          <w:trHeight w:val="264"/>
          <w:jc w:val="center"/>
        </w:trPr>
        <w:tc>
          <w:tcPr>
            <w:tcW w:w="2931" w:type="dxa"/>
            <w:tcBorders>
              <w:top w:val="nil"/>
              <w:left w:val="nil"/>
              <w:bottom w:val="nil"/>
              <w:right w:val="nil"/>
            </w:tcBorders>
          </w:tcPr>
          <w:p w14:paraId="794C114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6404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1C105FD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(0.211)</w:t>
            </w:r>
          </w:p>
        </w:tc>
        <w:tc>
          <w:tcPr>
            <w:tcW w:w="2168" w:type="dxa"/>
            <w:tcBorders>
              <w:top w:val="nil"/>
              <w:left w:val="nil"/>
              <w:bottom w:val="nil"/>
              <w:right w:val="nil"/>
            </w:tcBorders>
          </w:tcPr>
          <w:p w14:paraId="3B397EC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(0.084)</w:t>
            </w:r>
          </w:p>
        </w:tc>
      </w:tr>
      <w:tr w:rsidR="00F336E9" w:rsidRPr="00A731B3" w14:paraId="27330629" w14:textId="77777777" w:rsidTr="009D355F">
        <w:trPr>
          <w:trHeight w:val="278"/>
          <w:jc w:val="center"/>
        </w:trPr>
        <w:tc>
          <w:tcPr>
            <w:tcW w:w="2931" w:type="dxa"/>
            <w:tcBorders>
              <w:top w:val="nil"/>
              <w:left w:val="nil"/>
              <w:bottom w:val="nil"/>
              <w:right w:val="nil"/>
            </w:tcBorders>
          </w:tcPr>
          <w:p w14:paraId="3224B93F"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168" w:type="dxa"/>
            <w:tcBorders>
              <w:top w:val="nil"/>
              <w:left w:val="nil"/>
              <w:bottom w:val="nil"/>
              <w:right w:val="nil"/>
            </w:tcBorders>
          </w:tcPr>
          <w:p w14:paraId="45E378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0.132**</w:t>
            </w:r>
          </w:p>
        </w:tc>
        <w:tc>
          <w:tcPr>
            <w:tcW w:w="2168" w:type="dxa"/>
            <w:tcBorders>
              <w:top w:val="nil"/>
              <w:left w:val="nil"/>
              <w:bottom w:val="nil"/>
              <w:right w:val="nil"/>
            </w:tcBorders>
          </w:tcPr>
          <w:p w14:paraId="428B410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-0.239***</w:t>
            </w:r>
          </w:p>
        </w:tc>
        <w:tc>
          <w:tcPr>
            <w:tcW w:w="2168" w:type="dxa"/>
            <w:tcBorders>
              <w:top w:val="nil"/>
              <w:left w:val="nil"/>
              <w:bottom w:val="nil"/>
              <w:right w:val="nil"/>
            </w:tcBorders>
          </w:tcPr>
          <w:p w14:paraId="734B34B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-0.067</w:t>
            </w:r>
          </w:p>
        </w:tc>
      </w:tr>
      <w:tr w:rsidR="00F336E9" w:rsidRPr="00A731B3" w14:paraId="5E4101C9" w14:textId="77777777" w:rsidTr="009D355F">
        <w:trPr>
          <w:trHeight w:val="264"/>
          <w:jc w:val="center"/>
        </w:trPr>
        <w:tc>
          <w:tcPr>
            <w:tcW w:w="2931" w:type="dxa"/>
            <w:tcBorders>
              <w:top w:val="nil"/>
              <w:left w:val="nil"/>
              <w:bottom w:val="nil"/>
              <w:right w:val="nil"/>
            </w:tcBorders>
          </w:tcPr>
          <w:p w14:paraId="6B802217"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2DA8CC5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(0.066)</w:t>
            </w:r>
          </w:p>
        </w:tc>
        <w:tc>
          <w:tcPr>
            <w:tcW w:w="2168" w:type="dxa"/>
            <w:tcBorders>
              <w:top w:val="nil"/>
              <w:left w:val="nil"/>
              <w:bottom w:val="nil"/>
              <w:right w:val="nil"/>
            </w:tcBorders>
          </w:tcPr>
          <w:p w14:paraId="3FB3BC0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(0.059)</w:t>
            </w:r>
          </w:p>
        </w:tc>
        <w:tc>
          <w:tcPr>
            <w:tcW w:w="2168" w:type="dxa"/>
            <w:tcBorders>
              <w:top w:val="nil"/>
              <w:left w:val="nil"/>
              <w:bottom w:val="nil"/>
              <w:right w:val="nil"/>
            </w:tcBorders>
          </w:tcPr>
          <w:p w14:paraId="6D407E7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(0.042)</w:t>
            </w:r>
          </w:p>
        </w:tc>
      </w:tr>
      <w:tr w:rsidR="00F336E9" w:rsidRPr="00A731B3" w14:paraId="3E0D387C" w14:textId="77777777" w:rsidTr="009D355F">
        <w:trPr>
          <w:trHeight w:val="264"/>
          <w:jc w:val="center"/>
        </w:trPr>
        <w:tc>
          <w:tcPr>
            <w:tcW w:w="2931" w:type="dxa"/>
            <w:tcBorders>
              <w:top w:val="nil"/>
              <w:left w:val="nil"/>
              <w:bottom w:val="nil"/>
              <w:right w:val="nil"/>
            </w:tcBorders>
          </w:tcPr>
          <w:p w14:paraId="7EEE5269" w14:textId="027BF433"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Domestic </w:t>
            </w:r>
            <w:r w:rsidR="00C74B91" w:rsidRPr="00C74B91">
              <w:rPr>
                <w:color w:val="000000" w:themeColor="text1"/>
                <w:szCs w:val="24"/>
                <w:lang w:val="en-US"/>
              </w:rPr>
              <w:t>credit</w:t>
            </w:r>
          </w:p>
        </w:tc>
        <w:tc>
          <w:tcPr>
            <w:tcW w:w="2168" w:type="dxa"/>
            <w:tcBorders>
              <w:top w:val="nil"/>
              <w:left w:val="nil"/>
              <w:bottom w:val="nil"/>
              <w:right w:val="nil"/>
            </w:tcBorders>
          </w:tcPr>
          <w:p w14:paraId="17DC708C"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0.155**</w:t>
            </w:r>
          </w:p>
        </w:tc>
        <w:tc>
          <w:tcPr>
            <w:tcW w:w="2168" w:type="dxa"/>
            <w:tcBorders>
              <w:top w:val="nil"/>
              <w:left w:val="nil"/>
              <w:bottom w:val="nil"/>
              <w:right w:val="nil"/>
            </w:tcBorders>
          </w:tcPr>
          <w:p w14:paraId="7ED65BA2"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-0.153***</w:t>
            </w:r>
          </w:p>
        </w:tc>
        <w:tc>
          <w:tcPr>
            <w:tcW w:w="2168" w:type="dxa"/>
            <w:tcBorders>
              <w:top w:val="nil"/>
              <w:left w:val="nil"/>
              <w:bottom w:val="nil"/>
              <w:right w:val="nil"/>
            </w:tcBorders>
          </w:tcPr>
          <w:p w14:paraId="00865F9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-0.077***</w:t>
            </w:r>
          </w:p>
        </w:tc>
      </w:tr>
      <w:tr w:rsidR="00F336E9" w:rsidRPr="00A731B3" w14:paraId="54D69810" w14:textId="77777777" w:rsidTr="009D355F">
        <w:trPr>
          <w:trHeight w:val="278"/>
          <w:jc w:val="center"/>
        </w:trPr>
        <w:tc>
          <w:tcPr>
            <w:tcW w:w="2931" w:type="dxa"/>
            <w:tcBorders>
              <w:top w:val="nil"/>
              <w:left w:val="nil"/>
              <w:bottom w:val="nil"/>
              <w:right w:val="nil"/>
            </w:tcBorders>
          </w:tcPr>
          <w:p w14:paraId="1C3CBBBA"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0FA82D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168" w:type="dxa"/>
            <w:tcBorders>
              <w:top w:val="nil"/>
              <w:left w:val="nil"/>
              <w:bottom w:val="nil"/>
              <w:right w:val="nil"/>
            </w:tcBorders>
          </w:tcPr>
          <w:p w14:paraId="057B769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(0.051)</w:t>
            </w:r>
          </w:p>
        </w:tc>
        <w:tc>
          <w:tcPr>
            <w:tcW w:w="2168" w:type="dxa"/>
            <w:tcBorders>
              <w:top w:val="nil"/>
              <w:left w:val="nil"/>
              <w:bottom w:val="nil"/>
              <w:right w:val="nil"/>
            </w:tcBorders>
          </w:tcPr>
          <w:p w14:paraId="6C82111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(0.024)</w:t>
            </w:r>
          </w:p>
        </w:tc>
      </w:tr>
      <w:tr w:rsidR="00F336E9" w:rsidRPr="00A731B3" w14:paraId="061B651F" w14:textId="77777777" w:rsidTr="009D355F">
        <w:trPr>
          <w:trHeight w:val="543"/>
          <w:jc w:val="center"/>
        </w:trPr>
        <w:tc>
          <w:tcPr>
            <w:tcW w:w="2931" w:type="dxa"/>
            <w:tcBorders>
              <w:top w:val="nil"/>
              <w:left w:val="nil"/>
              <w:bottom w:val="nil"/>
              <w:right w:val="nil"/>
            </w:tcBorders>
          </w:tcPr>
          <w:p w14:paraId="47948FA1" w14:textId="68540BA9" w:rsidR="006931FA" w:rsidRPr="00A731B3" w:rsidRDefault="00C74B91" w:rsidP="002F02A1">
            <w:pPr>
              <w:widowControl w:val="0"/>
              <w:autoSpaceDE w:val="0"/>
              <w:adjustRightInd w:val="0"/>
              <w:spacing w:after="0" w:line="240" w:lineRule="auto"/>
              <w:rPr>
                <w:color w:val="000000" w:themeColor="text1"/>
                <w:szCs w:val="24"/>
                <w:lang w:val="en-US"/>
              </w:rPr>
            </w:pPr>
            <w:r w:rsidRPr="00C74B91">
              <w:rPr>
                <w:color w:val="000000" w:themeColor="text1"/>
                <w:szCs w:val="24"/>
                <w:lang w:val="en-US"/>
              </w:rPr>
              <w:t>Foreign</w:t>
            </w:r>
            <w:r w:rsidR="009D355F" w:rsidRPr="00A731B3">
              <w:rPr>
                <w:color w:val="000000" w:themeColor="text1"/>
                <w:szCs w:val="24"/>
                <w:lang w:val="en-US"/>
              </w:rPr>
              <w:t xml:space="preserve"> direct investment</w:t>
            </w:r>
          </w:p>
        </w:tc>
        <w:tc>
          <w:tcPr>
            <w:tcW w:w="2168" w:type="dxa"/>
            <w:tcBorders>
              <w:top w:val="nil"/>
              <w:left w:val="nil"/>
              <w:bottom w:val="nil"/>
              <w:right w:val="nil"/>
            </w:tcBorders>
          </w:tcPr>
          <w:p w14:paraId="2956E9F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c>
          <w:tcPr>
            <w:tcW w:w="2168" w:type="dxa"/>
            <w:tcBorders>
              <w:top w:val="nil"/>
              <w:left w:val="nil"/>
              <w:bottom w:val="nil"/>
              <w:right w:val="nil"/>
            </w:tcBorders>
          </w:tcPr>
          <w:p w14:paraId="065A270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0.152</w:t>
            </w:r>
          </w:p>
        </w:tc>
        <w:tc>
          <w:tcPr>
            <w:tcW w:w="2168" w:type="dxa"/>
            <w:tcBorders>
              <w:top w:val="nil"/>
              <w:left w:val="nil"/>
              <w:bottom w:val="nil"/>
              <w:right w:val="nil"/>
            </w:tcBorders>
          </w:tcPr>
          <w:p w14:paraId="4B974AB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0.320***</w:t>
            </w:r>
          </w:p>
        </w:tc>
      </w:tr>
      <w:tr w:rsidR="00F336E9" w:rsidRPr="00A731B3" w14:paraId="2BD4816D" w14:textId="77777777" w:rsidTr="009D355F">
        <w:trPr>
          <w:trHeight w:val="264"/>
          <w:jc w:val="center"/>
        </w:trPr>
        <w:tc>
          <w:tcPr>
            <w:tcW w:w="2931" w:type="dxa"/>
            <w:tcBorders>
              <w:top w:val="nil"/>
              <w:left w:val="nil"/>
              <w:bottom w:val="nil"/>
              <w:right w:val="nil"/>
            </w:tcBorders>
          </w:tcPr>
          <w:p w14:paraId="640300AB"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623D98F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(0.251)</w:t>
            </w:r>
          </w:p>
        </w:tc>
        <w:tc>
          <w:tcPr>
            <w:tcW w:w="2168" w:type="dxa"/>
            <w:tcBorders>
              <w:top w:val="nil"/>
              <w:left w:val="nil"/>
              <w:bottom w:val="nil"/>
              <w:right w:val="nil"/>
            </w:tcBorders>
          </w:tcPr>
          <w:p w14:paraId="7022AE7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168" w:type="dxa"/>
            <w:tcBorders>
              <w:top w:val="nil"/>
              <w:left w:val="nil"/>
              <w:bottom w:val="nil"/>
              <w:right w:val="nil"/>
            </w:tcBorders>
          </w:tcPr>
          <w:p w14:paraId="7D8D2BC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(0.103)</w:t>
            </w:r>
          </w:p>
        </w:tc>
      </w:tr>
      <w:tr w:rsidR="00F336E9" w:rsidRPr="00A731B3" w14:paraId="7B64C2B5" w14:textId="77777777" w:rsidTr="009D355F">
        <w:trPr>
          <w:trHeight w:val="264"/>
          <w:jc w:val="center"/>
        </w:trPr>
        <w:tc>
          <w:tcPr>
            <w:tcW w:w="2931" w:type="dxa"/>
            <w:tcBorders>
              <w:top w:val="nil"/>
              <w:left w:val="nil"/>
              <w:bottom w:val="nil"/>
              <w:right w:val="nil"/>
            </w:tcBorders>
          </w:tcPr>
          <w:p w14:paraId="1276053F" w14:textId="77777777" w:rsidR="006931FA" w:rsidRPr="00A731B3" w:rsidRDefault="009D355F"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w:t>
            </w:r>
            <w:r w:rsidR="006931FA" w:rsidRPr="00A731B3">
              <w:rPr>
                <w:color w:val="000000" w:themeColor="text1"/>
                <w:szCs w:val="24"/>
                <w:lang w:val="en-US"/>
              </w:rPr>
              <w:t>2</w:t>
            </w:r>
          </w:p>
        </w:tc>
        <w:tc>
          <w:tcPr>
            <w:tcW w:w="2168" w:type="dxa"/>
            <w:tcBorders>
              <w:top w:val="nil"/>
              <w:left w:val="nil"/>
              <w:bottom w:val="nil"/>
              <w:right w:val="nil"/>
            </w:tcBorders>
          </w:tcPr>
          <w:p w14:paraId="54B402C6"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168" w:type="dxa"/>
            <w:tcBorders>
              <w:top w:val="nil"/>
              <w:left w:val="nil"/>
              <w:bottom w:val="nil"/>
              <w:right w:val="nil"/>
            </w:tcBorders>
          </w:tcPr>
          <w:p w14:paraId="18DB4B4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-0.049</w:t>
            </w:r>
          </w:p>
        </w:tc>
        <w:tc>
          <w:tcPr>
            <w:tcW w:w="2168" w:type="dxa"/>
            <w:tcBorders>
              <w:top w:val="nil"/>
              <w:left w:val="nil"/>
              <w:bottom w:val="nil"/>
              <w:right w:val="nil"/>
            </w:tcBorders>
          </w:tcPr>
          <w:p w14:paraId="2FE4E653"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r>
      <w:tr w:rsidR="00F336E9" w:rsidRPr="00A731B3" w14:paraId="2A2699DF" w14:textId="77777777" w:rsidTr="009D355F">
        <w:trPr>
          <w:trHeight w:val="278"/>
          <w:jc w:val="center"/>
        </w:trPr>
        <w:tc>
          <w:tcPr>
            <w:tcW w:w="2931" w:type="dxa"/>
            <w:tcBorders>
              <w:top w:val="nil"/>
              <w:left w:val="nil"/>
              <w:bottom w:val="nil"/>
              <w:right w:val="nil"/>
            </w:tcBorders>
          </w:tcPr>
          <w:p w14:paraId="638EA1AC"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1DD308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(0.364)</w:t>
            </w:r>
          </w:p>
        </w:tc>
        <w:tc>
          <w:tcPr>
            <w:tcW w:w="2168" w:type="dxa"/>
            <w:tcBorders>
              <w:top w:val="nil"/>
              <w:left w:val="nil"/>
              <w:bottom w:val="nil"/>
              <w:right w:val="nil"/>
            </w:tcBorders>
          </w:tcPr>
          <w:p w14:paraId="4D9AA9B7"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(0.295)</w:t>
            </w:r>
          </w:p>
        </w:tc>
        <w:tc>
          <w:tcPr>
            <w:tcW w:w="2168" w:type="dxa"/>
            <w:tcBorders>
              <w:top w:val="nil"/>
              <w:left w:val="nil"/>
              <w:bottom w:val="nil"/>
              <w:right w:val="nil"/>
            </w:tcBorders>
          </w:tcPr>
          <w:p w14:paraId="416DBE3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(0.177)</w:t>
            </w:r>
          </w:p>
        </w:tc>
      </w:tr>
      <w:tr w:rsidR="00F336E9" w:rsidRPr="00A731B3" w14:paraId="2CC28A54" w14:textId="77777777" w:rsidTr="009D355F">
        <w:trPr>
          <w:trHeight w:val="264"/>
          <w:jc w:val="center"/>
        </w:trPr>
        <w:tc>
          <w:tcPr>
            <w:tcW w:w="2931" w:type="dxa"/>
            <w:tcBorders>
              <w:top w:val="nil"/>
              <w:left w:val="nil"/>
              <w:bottom w:val="nil"/>
              <w:right w:val="nil"/>
            </w:tcBorders>
          </w:tcPr>
          <w:p w14:paraId="25E9D6B5"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168" w:type="dxa"/>
            <w:tcBorders>
              <w:top w:val="nil"/>
              <w:left w:val="nil"/>
              <w:bottom w:val="nil"/>
              <w:right w:val="nil"/>
            </w:tcBorders>
          </w:tcPr>
          <w:p w14:paraId="16DE974D"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-9.499*</w:t>
            </w:r>
          </w:p>
        </w:tc>
        <w:tc>
          <w:tcPr>
            <w:tcW w:w="2168" w:type="dxa"/>
            <w:tcBorders>
              <w:top w:val="nil"/>
              <w:left w:val="nil"/>
              <w:bottom w:val="nil"/>
              <w:right w:val="nil"/>
            </w:tcBorders>
          </w:tcPr>
          <w:p w14:paraId="745F2BA1"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84.439***</w:t>
            </w:r>
          </w:p>
        </w:tc>
        <w:tc>
          <w:tcPr>
            <w:tcW w:w="2168" w:type="dxa"/>
            <w:tcBorders>
              <w:top w:val="nil"/>
              <w:left w:val="nil"/>
              <w:bottom w:val="nil"/>
              <w:right w:val="nil"/>
            </w:tcBorders>
          </w:tcPr>
          <w:p w14:paraId="0219A45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48.579***</w:t>
            </w:r>
          </w:p>
        </w:tc>
      </w:tr>
      <w:tr w:rsidR="00F336E9" w:rsidRPr="00A731B3" w14:paraId="77C92C15" w14:textId="77777777" w:rsidTr="009D355F">
        <w:trPr>
          <w:trHeight w:val="278"/>
          <w:jc w:val="center"/>
        </w:trPr>
        <w:tc>
          <w:tcPr>
            <w:tcW w:w="2931" w:type="dxa"/>
            <w:tcBorders>
              <w:top w:val="nil"/>
              <w:left w:val="nil"/>
              <w:bottom w:val="nil"/>
              <w:right w:val="nil"/>
            </w:tcBorders>
          </w:tcPr>
          <w:p w14:paraId="3E418180" w14:textId="77777777" w:rsidR="006931FA" w:rsidRPr="00A731B3" w:rsidRDefault="006931FA"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nil"/>
              <w:right w:val="nil"/>
            </w:tcBorders>
          </w:tcPr>
          <w:p w14:paraId="7211D2D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(4.892)</w:t>
            </w:r>
          </w:p>
        </w:tc>
        <w:tc>
          <w:tcPr>
            <w:tcW w:w="2168" w:type="dxa"/>
            <w:tcBorders>
              <w:top w:val="nil"/>
              <w:left w:val="nil"/>
              <w:bottom w:val="nil"/>
              <w:right w:val="nil"/>
            </w:tcBorders>
          </w:tcPr>
          <w:p w14:paraId="30D20C39"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(5.470)</w:t>
            </w:r>
          </w:p>
        </w:tc>
        <w:tc>
          <w:tcPr>
            <w:tcW w:w="2168" w:type="dxa"/>
            <w:tcBorders>
              <w:top w:val="nil"/>
              <w:left w:val="nil"/>
              <w:bottom w:val="nil"/>
              <w:right w:val="nil"/>
            </w:tcBorders>
          </w:tcPr>
          <w:p w14:paraId="052BAE44"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(1.962)</w:t>
            </w:r>
          </w:p>
        </w:tc>
      </w:tr>
      <w:tr w:rsidR="00F336E9" w:rsidRPr="00A731B3" w14:paraId="74122A52" w14:textId="77777777" w:rsidTr="009D355F">
        <w:trPr>
          <w:trHeight w:val="264"/>
          <w:jc w:val="center"/>
        </w:trPr>
        <w:tc>
          <w:tcPr>
            <w:tcW w:w="2931" w:type="dxa"/>
            <w:tcBorders>
              <w:top w:val="nil"/>
              <w:left w:val="nil"/>
              <w:bottom w:val="nil"/>
              <w:right w:val="nil"/>
            </w:tcBorders>
          </w:tcPr>
          <w:p w14:paraId="7BAD2978"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168" w:type="dxa"/>
            <w:tcBorders>
              <w:top w:val="nil"/>
              <w:left w:val="nil"/>
              <w:bottom w:val="nil"/>
              <w:right w:val="nil"/>
            </w:tcBorders>
          </w:tcPr>
          <w:p w14:paraId="3D1CECEF"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19BA6EE8"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c>
          <w:tcPr>
            <w:tcW w:w="2168" w:type="dxa"/>
            <w:tcBorders>
              <w:top w:val="nil"/>
              <w:left w:val="nil"/>
              <w:bottom w:val="nil"/>
              <w:right w:val="nil"/>
            </w:tcBorders>
          </w:tcPr>
          <w:p w14:paraId="203D8B35"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377</w:t>
            </w:r>
          </w:p>
        </w:tc>
      </w:tr>
      <w:tr w:rsidR="00F336E9" w:rsidRPr="00A731B3" w14:paraId="40846730" w14:textId="77777777" w:rsidTr="00EE6283">
        <w:tblPrEx>
          <w:tblBorders>
            <w:bottom w:val="single" w:sz="6" w:space="0" w:color="auto"/>
          </w:tblBorders>
        </w:tblPrEx>
        <w:trPr>
          <w:trHeight w:val="278"/>
          <w:jc w:val="center"/>
        </w:trPr>
        <w:tc>
          <w:tcPr>
            <w:tcW w:w="2931" w:type="dxa"/>
            <w:tcBorders>
              <w:top w:val="nil"/>
              <w:left w:val="nil"/>
              <w:bottom w:val="nil"/>
              <w:right w:val="nil"/>
            </w:tcBorders>
          </w:tcPr>
          <w:p w14:paraId="77EE8339" w14:textId="77777777" w:rsidR="006931FA" w:rsidRPr="00A731B3" w:rsidRDefault="006931FA" w:rsidP="002F02A1">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168" w:type="dxa"/>
            <w:tcBorders>
              <w:top w:val="nil"/>
              <w:left w:val="nil"/>
              <w:bottom w:val="nil"/>
              <w:right w:val="nil"/>
            </w:tcBorders>
          </w:tcPr>
          <w:p w14:paraId="142D103B"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0.495</w:t>
            </w:r>
          </w:p>
        </w:tc>
        <w:tc>
          <w:tcPr>
            <w:tcW w:w="2168" w:type="dxa"/>
            <w:tcBorders>
              <w:top w:val="nil"/>
              <w:left w:val="nil"/>
              <w:bottom w:val="nil"/>
              <w:right w:val="nil"/>
            </w:tcBorders>
          </w:tcPr>
          <w:p w14:paraId="1FD457EA"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0.546</w:t>
            </w:r>
          </w:p>
        </w:tc>
        <w:tc>
          <w:tcPr>
            <w:tcW w:w="2168" w:type="dxa"/>
            <w:tcBorders>
              <w:top w:val="nil"/>
              <w:left w:val="nil"/>
              <w:bottom w:val="nil"/>
              <w:right w:val="nil"/>
            </w:tcBorders>
          </w:tcPr>
          <w:p w14:paraId="303D737E" w14:textId="77777777" w:rsidR="006931FA" w:rsidRPr="00A731B3" w:rsidRDefault="006931FA" w:rsidP="002F02A1">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0.557</w:t>
            </w:r>
          </w:p>
        </w:tc>
      </w:tr>
      <w:tr w:rsidR="00EE6283" w:rsidRPr="00EE6283" w14:paraId="0B025034" w14:textId="77777777" w:rsidTr="009D1D94">
        <w:tblPrEx>
          <w:tblBorders>
            <w:bottom w:val="single" w:sz="6" w:space="0" w:color="auto"/>
          </w:tblBorders>
        </w:tblPrEx>
        <w:trPr>
          <w:trHeight w:val="278"/>
          <w:jc w:val="center"/>
        </w:trPr>
        <w:tc>
          <w:tcPr>
            <w:tcW w:w="2931" w:type="dxa"/>
            <w:tcBorders>
              <w:top w:val="single" w:sz="4" w:space="0" w:color="auto"/>
              <w:left w:val="nil"/>
              <w:bottom w:val="nil"/>
              <w:right w:val="nil"/>
            </w:tcBorders>
          </w:tcPr>
          <w:p w14:paraId="3B195488" w14:textId="77777777" w:rsidR="00EE6283" w:rsidRPr="00EE6283" w:rsidRDefault="00EE6283" w:rsidP="002F02A1">
            <w:pPr>
              <w:widowControl w:val="0"/>
              <w:autoSpaceDE w:val="0"/>
              <w:adjustRightInd w:val="0"/>
              <w:spacing w:after="0" w:line="240" w:lineRule="auto"/>
              <w:rPr>
                <w:szCs w:val="24"/>
              </w:rPr>
            </w:pPr>
            <w:r w:rsidRPr="00EE6283">
              <w:rPr>
                <w:szCs w:val="24"/>
              </w:rPr>
              <w:t>F</w:t>
            </w:r>
          </w:p>
        </w:tc>
        <w:tc>
          <w:tcPr>
            <w:tcW w:w="2168" w:type="dxa"/>
            <w:tcBorders>
              <w:top w:val="single" w:sz="4" w:space="0" w:color="auto"/>
              <w:left w:val="nil"/>
              <w:bottom w:val="nil"/>
              <w:right w:val="nil"/>
            </w:tcBorders>
          </w:tcPr>
          <w:p w14:paraId="55CCB38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6.66</w:t>
            </w:r>
          </w:p>
        </w:tc>
        <w:tc>
          <w:tcPr>
            <w:tcW w:w="2168" w:type="dxa"/>
            <w:tcBorders>
              <w:top w:val="single" w:sz="4" w:space="0" w:color="auto"/>
              <w:left w:val="nil"/>
              <w:bottom w:val="nil"/>
              <w:right w:val="nil"/>
            </w:tcBorders>
          </w:tcPr>
          <w:p w14:paraId="291139B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52.88</w:t>
            </w:r>
          </w:p>
        </w:tc>
        <w:tc>
          <w:tcPr>
            <w:tcW w:w="2168" w:type="dxa"/>
            <w:tcBorders>
              <w:top w:val="single" w:sz="4" w:space="0" w:color="auto"/>
              <w:left w:val="nil"/>
              <w:bottom w:val="nil"/>
              <w:right w:val="nil"/>
            </w:tcBorders>
          </w:tcPr>
          <w:p w14:paraId="14E0B166"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57.95</w:t>
            </w:r>
          </w:p>
        </w:tc>
      </w:tr>
      <w:tr w:rsidR="00EE6283" w:rsidRPr="00EE6283" w14:paraId="4703FE84"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2CB8C91"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&gt; F</w:t>
            </w:r>
          </w:p>
        </w:tc>
        <w:tc>
          <w:tcPr>
            <w:tcW w:w="2168" w:type="dxa"/>
            <w:tcBorders>
              <w:top w:val="nil"/>
              <w:left w:val="nil"/>
              <w:bottom w:val="nil"/>
              <w:right w:val="nil"/>
            </w:tcBorders>
          </w:tcPr>
          <w:p w14:paraId="05DC80E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774ACD73"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c>
          <w:tcPr>
            <w:tcW w:w="2168" w:type="dxa"/>
            <w:tcBorders>
              <w:top w:val="nil"/>
              <w:left w:val="nil"/>
              <w:bottom w:val="nil"/>
              <w:right w:val="nil"/>
            </w:tcBorders>
          </w:tcPr>
          <w:p w14:paraId="0BB8AE5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0.000</w:t>
            </w:r>
          </w:p>
        </w:tc>
      </w:tr>
      <w:tr w:rsidR="00EE6283" w:rsidRPr="00EE6283" w14:paraId="232BC6B7"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7F47E46B"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Hansen </w:t>
            </w:r>
            <w:r w:rsidRPr="00EE6283">
              <w:rPr>
                <w:i/>
                <w:iCs/>
                <w:szCs w:val="24"/>
              </w:rPr>
              <w:t xml:space="preserve">J </w:t>
            </w:r>
            <w:proofErr w:type="spellStart"/>
            <w:r w:rsidRPr="00EE6283">
              <w:rPr>
                <w:szCs w:val="24"/>
              </w:rPr>
              <w:t>statistic</w:t>
            </w:r>
            <w:proofErr w:type="spellEnd"/>
          </w:p>
        </w:tc>
        <w:tc>
          <w:tcPr>
            <w:tcW w:w="2168" w:type="dxa"/>
            <w:tcBorders>
              <w:top w:val="nil"/>
              <w:left w:val="nil"/>
              <w:bottom w:val="nil"/>
              <w:right w:val="nil"/>
            </w:tcBorders>
          </w:tcPr>
          <w:p w14:paraId="0412CE3E"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0.401</w:t>
            </w:r>
          </w:p>
        </w:tc>
        <w:tc>
          <w:tcPr>
            <w:tcW w:w="2168" w:type="dxa"/>
            <w:tcBorders>
              <w:top w:val="nil"/>
              <w:left w:val="nil"/>
              <w:bottom w:val="nil"/>
              <w:right w:val="nil"/>
            </w:tcBorders>
          </w:tcPr>
          <w:p w14:paraId="607ECD41"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0.258</w:t>
            </w:r>
          </w:p>
        </w:tc>
        <w:tc>
          <w:tcPr>
            <w:tcW w:w="2168" w:type="dxa"/>
            <w:tcBorders>
              <w:top w:val="nil"/>
              <w:left w:val="nil"/>
              <w:bottom w:val="nil"/>
              <w:right w:val="nil"/>
            </w:tcBorders>
          </w:tcPr>
          <w:p w14:paraId="7B95214F"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3.853</w:t>
            </w:r>
          </w:p>
        </w:tc>
      </w:tr>
      <w:tr w:rsidR="00EE6283" w:rsidRPr="00EE6283" w14:paraId="0AE19DB3"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61732D6D"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Chi2(1)</w:t>
            </w:r>
          </w:p>
        </w:tc>
        <w:tc>
          <w:tcPr>
            <w:tcW w:w="2168" w:type="dxa"/>
            <w:tcBorders>
              <w:top w:val="nil"/>
              <w:left w:val="nil"/>
              <w:bottom w:val="nil"/>
              <w:right w:val="nil"/>
            </w:tcBorders>
          </w:tcPr>
          <w:p w14:paraId="1AA28B5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0.5266</w:t>
            </w:r>
          </w:p>
        </w:tc>
        <w:tc>
          <w:tcPr>
            <w:tcW w:w="2168" w:type="dxa"/>
            <w:tcBorders>
              <w:top w:val="nil"/>
              <w:left w:val="nil"/>
              <w:bottom w:val="nil"/>
              <w:right w:val="nil"/>
            </w:tcBorders>
          </w:tcPr>
          <w:p w14:paraId="68C91D50"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0.611</w:t>
            </w:r>
          </w:p>
        </w:tc>
        <w:tc>
          <w:tcPr>
            <w:tcW w:w="2168" w:type="dxa"/>
            <w:tcBorders>
              <w:top w:val="nil"/>
              <w:left w:val="nil"/>
              <w:bottom w:val="nil"/>
              <w:right w:val="nil"/>
            </w:tcBorders>
          </w:tcPr>
          <w:p w14:paraId="06767E8D"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0.1456</w:t>
            </w:r>
          </w:p>
        </w:tc>
      </w:tr>
      <w:tr w:rsidR="00EE6283" w:rsidRPr="00EE6283" w14:paraId="067814FB" w14:textId="77777777" w:rsidTr="009D1D94">
        <w:tblPrEx>
          <w:tblBorders>
            <w:bottom w:val="single" w:sz="6" w:space="0" w:color="auto"/>
          </w:tblBorders>
        </w:tblPrEx>
        <w:trPr>
          <w:trHeight w:val="278"/>
          <w:jc w:val="center"/>
        </w:trPr>
        <w:tc>
          <w:tcPr>
            <w:tcW w:w="2931" w:type="dxa"/>
            <w:tcBorders>
              <w:top w:val="nil"/>
              <w:left w:val="nil"/>
              <w:bottom w:val="nil"/>
              <w:right w:val="nil"/>
            </w:tcBorders>
          </w:tcPr>
          <w:p w14:paraId="0C6B9188" w14:textId="77777777" w:rsidR="00EE6283" w:rsidRPr="00EE6283" w:rsidRDefault="00EE6283" w:rsidP="002F02A1">
            <w:pPr>
              <w:widowControl w:val="0"/>
              <w:autoSpaceDE w:val="0"/>
              <w:adjustRightInd w:val="0"/>
              <w:spacing w:after="0" w:line="240" w:lineRule="auto"/>
              <w:rPr>
                <w:szCs w:val="24"/>
              </w:rPr>
            </w:pPr>
            <w:proofErr w:type="spellStart"/>
            <w:r w:rsidRPr="00EE6283">
              <w:rPr>
                <w:szCs w:val="24"/>
              </w:rPr>
              <w:t>Endogeneity</w:t>
            </w:r>
            <w:proofErr w:type="spellEnd"/>
            <w:r w:rsidRPr="00EE6283">
              <w:rPr>
                <w:szCs w:val="24"/>
              </w:rPr>
              <w:t xml:space="preserve"> test</w:t>
            </w:r>
          </w:p>
        </w:tc>
        <w:tc>
          <w:tcPr>
            <w:tcW w:w="2168" w:type="dxa"/>
            <w:tcBorders>
              <w:top w:val="nil"/>
              <w:left w:val="nil"/>
              <w:bottom w:val="nil"/>
              <w:right w:val="nil"/>
            </w:tcBorders>
          </w:tcPr>
          <w:p w14:paraId="15BAB60C"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7.335</w:t>
            </w:r>
          </w:p>
        </w:tc>
        <w:tc>
          <w:tcPr>
            <w:tcW w:w="2168" w:type="dxa"/>
            <w:tcBorders>
              <w:top w:val="nil"/>
              <w:left w:val="nil"/>
              <w:bottom w:val="nil"/>
              <w:right w:val="nil"/>
            </w:tcBorders>
          </w:tcPr>
          <w:p w14:paraId="36E6A135"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7.593</w:t>
            </w:r>
          </w:p>
        </w:tc>
        <w:tc>
          <w:tcPr>
            <w:tcW w:w="2168" w:type="dxa"/>
            <w:tcBorders>
              <w:top w:val="nil"/>
              <w:left w:val="nil"/>
              <w:bottom w:val="nil"/>
              <w:right w:val="nil"/>
            </w:tcBorders>
          </w:tcPr>
          <w:p w14:paraId="48C34698"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6.854</w:t>
            </w:r>
          </w:p>
        </w:tc>
      </w:tr>
      <w:tr w:rsidR="00EE6283" w:rsidRPr="00EE6283" w14:paraId="68518F7F" w14:textId="77777777" w:rsidTr="009D1D94">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47C999E7" w14:textId="77777777" w:rsidR="00EE6283" w:rsidRPr="00EE6283" w:rsidRDefault="00EE6283" w:rsidP="002F02A1">
            <w:pPr>
              <w:widowControl w:val="0"/>
              <w:autoSpaceDE w:val="0"/>
              <w:adjustRightInd w:val="0"/>
              <w:spacing w:after="0" w:line="240" w:lineRule="auto"/>
              <w:rPr>
                <w:szCs w:val="24"/>
              </w:rPr>
            </w:pPr>
            <w:r w:rsidRPr="00EE6283">
              <w:rPr>
                <w:szCs w:val="24"/>
              </w:rPr>
              <w:t xml:space="preserve">Prob </w:t>
            </w:r>
            <w:r w:rsidRPr="00EE6283">
              <w:rPr>
                <w:i/>
                <w:iCs/>
                <w:szCs w:val="24"/>
              </w:rPr>
              <w:t xml:space="preserve">&gt; </w:t>
            </w:r>
            <w:r w:rsidRPr="00EE6283">
              <w:rPr>
                <w:szCs w:val="24"/>
              </w:rPr>
              <w:t>Chi2(2)</w:t>
            </w:r>
          </w:p>
        </w:tc>
        <w:tc>
          <w:tcPr>
            <w:tcW w:w="2168" w:type="dxa"/>
            <w:tcBorders>
              <w:top w:val="nil"/>
              <w:left w:val="nil"/>
              <w:bottom w:val="single" w:sz="6" w:space="0" w:color="auto"/>
              <w:right w:val="nil"/>
            </w:tcBorders>
          </w:tcPr>
          <w:p w14:paraId="1C222004"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0.006</w:t>
            </w:r>
          </w:p>
        </w:tc>
        <w:tc>
          <w:tcPr>
            <w:tcW w:w="2168" w:type="dxa"/>
            <w:tcBorders>
              <w:top w:val="nil"/>
              <w:left w:val="nil"/>
              <w:bottom w:val="single" w:sz="6" w:space="0" w:color="auto"/>
              <w:right w:val="nil"/>
            </w:tcBorders>
          </w:tcPr>
          <w:p w14:paraId="6432FEE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0.005</w:t>
            </w:r>
          </w:p>
        </w:tc>
        <w:tc>
          <w:tcPr>
            <w:tcW w:w="2168" w:type="dxa"/>
            <w:tcBorders>
              <w:top w:val="nil"/>
              <w:left w:val="nil"/>
              <w:bottom w:val="single" w:sz="6" w:space="0" w:color="auto"/>
              <w:right w:val="nil"/>
            </w:tcBorders>
          </w:tcPr>
          <w:p w14:paraId="136A1919" w14:textId="77777777" w:rsidR="00EE6283" w:rsidRPr="00EE6283" w:rsidRDefault="00EE6283" w:rsidP="002F02A1">
            <w:pPr>
              <w:widowControl w:val="0"/>
              <w:autoSpaceDE w:val="0"/>
              <w:adjustRightInd w:val="0"/>
              <w:spacing w:after="0" w:line="240" w:lineRule="auto"/>
              <w:jc w:val="center"/>
              <w:rPr>
                <w:szCs w:val="24"/>
              </w:rPr>
            </w:pPr>
            <w:r w:rsidRPr="00EE6283">
              <w:rPr>
                <w:szCs w:val="24"/>
              </w:rPr>
              <w:t>0.008</w:t>
            </w:r>
          </w:p>
        </w:tc>
      </w:tr>
      <w:tr w:rsidR="00EE6283" w:rsidRPr="00A731B3" w14:paraId="35B9FC85" w14:textId="77777777" w:rsidTr="009D355F">
        <w:tblPrEx>
          <w:tblBorders>
            <w:bottom w:val="single" w:sz="6" w:space="0" w:color="auto"/>
          </w:tblBorders>
        </w:tblPrEx>
        <w:trPr>
          <w:trHeight w:val="278"/>
          <w:jc w:val="center"/>
        </w:trPr>
        <w:tc>
          <w:tcPr>
            <w:tcW w:w="2931" w:type="dxa"/>
            <w:tcBorders>
              <w:top w:val="nil"/>
              <w:left w:val="nil"/>
              <w:bottom w:val="single" w:sz="6" w:space="0" w:color="auto"/>
              <w:right w:val="nil"/>
            </w:tcBorders>
          </w:tcPr>
          <w:p w14:paraId="274BF253" w14:textId="77777777" w:rsidR="00EE6283" w:rsidRPr="00A731B3" w:rsidRDefault="00EE6283" w:rsidP="002F02A1">
            <w:pPr>
              <w:widowControl w:val="0"/>
              <w:autoSpaceDE w:val="0"/>
              <w:adjustRightInd w:val="0"/>
              <w:spacing w:after="0" w:line="240" w:lineRule="auto"/>
              <w:rPr>
                <w:color w:val="000000" w:themeColor="text1"/>
                <w:szCs w:val="24"/>
                <w:lang w:val="en-US"/>
              </w:rPr>
            </w:pPr>
          </w:p>
        </w:tc>
        <w:tc>
          <w:tcPr>
            <w:tcW w:w="2168" w:type="dxa"/>
            <w:tcBorders>
              <w:top w:val="nil"/>
              <w:left w:val="nil"/>
              <w:bottom w:val="single" w:sz="6" w:space="0" w:color="auto"/>
              <w:right w:val="nil"/>
            </w:tcBorders>
          </w:tcPr>
          <w:p w14:paraId="279C32DF"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2E584AE3"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c>
          <w:tcPr>
            <w:tcW w:w="2168" w:type="dxa"/>
            <w:tcBorders>
              <w:top w:val="nil"/>
              <w:left w:val="nil"/>
              <w:bottom w:val="single" w:sz="6" w:space="0" w:color="auto"/>
              <w:right w:val="nil"/>
            </w:tcBorders>
          </w:tcPr>
          <w:p w14:paraId="0C3DB0F2" w14:textId="77777777" w:rsidR="00EE6283" w:rsidRPr="00A731B3" w:rsidRDefault="00EE6283" w:rsidP="002F02A1">
            <w:pPr>
              <w:widowControl w:val="0"/>
              <w:autoSpaceDE w:val="0"/>
              <w:adjustRightInd w:val="0"/>
              <w:spacing w:after="0" w:line="240" w:lineRule="auto"/>
              <w:jc w:val="center"/>
              <w:rPr>
                <w:color w:val="000000" w:themeColor="text1"/>
                <w:szCs w:val="24"/>
                <w:lang w:val="en-US"/>
              </w:rPr>
            </w:pPr>
          </w:p>
        </w:tc>
      </w:tr>
    </w:tbl>
    <w:p w14:paraId="3277820B" w14:textId="520DB0CF" w:rsidR="00E06D73" w:rsidRPr="00C74B91" w:rsidRDefault="00C74B91" w:rsidP="00A731B3">
      <w:pPr>
        <w:widowControl w:val="0"/>
        <w:autoSpaceDE w:val="0"/>
        <w:adjustRightInd w:val="0"/>
        <w:spacing w:after="0" w:line="360" w:lineRule="auto"/>
        <w:rPr>
          <w:color w:val="000000" w:themeColor="text1"/>
          <w:sz w:val="20"/>
          <w:szCs w:val="20"/>
          <w:lang w:val="en-US"/>
        </w:rPr>
      </w:pPr>
      <w:r w:rsidRPr="00C74B91">
        <w:rPr>
          <w:color w:val="000000" w:themeColor="text1"/>
          <w:sz w:val="20"/>
          <w:szCs w:val="20"/>
          <w:lang w:val="en-US"/>
        </w:rPr>
        <w:t xml:space="preserve">Standard deviations in brackets; Significance </w:t>
      </w:r>
      <w:r w:rsidR="00D200F5" w:rsidRPr="00C74B91">
        <w:rPr>
          <w:color w:val="000000" w:themeColor="text1"/>
          <w:sz w:val="20"/>
          <w:szCs w:val="20"/>
          <w:lang w:val="en-US"/>
        </w:rPr>
        <w:t>threshold: *</w:t>
      </w:r>
      <w:r w:rsidR="00784F28" w:rsidRPr="00C74B91">
        <w:rPr>
          <w:color w:val="000000" w:themeColor="text1"/>
          <w:sz w:val="20"/>
          <w:szCs w:val="20"/>
          <w:lang w:val="en-US"/>
        </w:rPr>
        <w:t>** p&lt;0.01, ** p&lt;0.05, * p&lt;0.1</w:t>
      </w:r>
    </w:p>
    <w:p w14:paraId="521791E4" w14:textId="106734FB" w:rsidR="00C74B91" w:rsidRPr="00A731B3" w:rsidRDefault="00C74B91" w:rsidP="00A731B3">
      <w:pPr>
        <w:widowControl w:val="0"/>
        <w:autoSpaceDE w:val="0"/>
        <w:adjustRightInd w:val="0"/>
        <w:spacing w:after="0" w:line="360" w:lineRule="auto"/>
        <w:rPr>
          <w:color w:val="000000" w:themeColor="text1"/>
          <w:szCs w:val="24"/>
          <w:lang w:val="en-US"/>
        </w:rPr>
      </w:pPr>
      <w:r>
        <w:rPr>
          <w:color w:val="000000" w:themeColor="text1"/>
          <w:szCs w:val="24"/>
          <w:lang w:val="en-US"/>
        </w:rPr>
        <w:t>Source: A</w:t>
      </w:r>
      <w:r w:rsidR="00AB0B6B">
        <w:rPr>
          <w:color w:val="000000" w:themeColor="text1"/>
          <w:szCs w:val="24"/>
          <w:lang w:val="en-US"/>
        </w:rPr>
        <w:t>uthor</w:t>
      </w:r>
      <w:r w:rsidR="002F02A1">
        <w:rPr>
          <w:color w:val="000000" w:themeColor="text1"/>
          <w:szCs w:val="24"/>
          <w:lang w:val="en-US"/>
        </w:rPr>
        <w:t xml:space="preserve"> 2022</w:t>
      </w:r>
    </w:p>
    <w:p w14:paraId="2E014B33" w14:textId="7AA58B75" w:rsidR="00171F77" w:rsidRPr="00E17C2C" w:rsidRDefault="00171F77" w:rsidP="00A731B3">
      <w:pPr>
        <w:spacing w:line="360" w:lineRule="auto"/>
        <w:jc w:val="both"/>
        <w:rPr>
          <w:bCs/>
          <w:color w:val="000000" w:themeColor="text1"/>
          <w:szCs w:val="24"/>
          <w:lang w:val="en-US"/>
        </w:rPr>
      </w:pPr>
      <w:r w:rsidRPr="00A731B3">
        <w:rPr>
          <w:bCs/>
          <w:color w:val="000000" w:themeColor="text1"/>
          <w:szCs w:val="24"/>
          <w:lang w:val="en-US"/>
        </w:rPr>
        <w:t>The results reveal that internet access, industrial labor reallocation, and service labor reallocation negatively affect agricult</w:t>
      </w:r>
      <w:r w:rsidR="00874DC3">
        <w:rPr>
          <w:bCs/>
          <w:color w:val="000000" w:themeColor="text1"/>
          <w:szCs w:val="24"/>
          <w:lang w:val="en-US"/>
        </w:rPr>
        <w:t>ural labor reallocation (Table 4</w:t>
      </w:r>
      <w:r w:rsidRPr="00A731B3">
        <w:rPr>
          <w:bCs/>
          <w:color w:val="000000" w:themeColor="text1"/>
          <w:szCs w:val="24"/>
          <w:lang w:val="en-US"/>
        </w:rPr>
        <w:t xml:space="preserve">). However, trade openness and access to credit positively influence the reallocation of agricultural </w:t>
      </w:r>
      <w:r w:rsidR="00A37418" w:rsidRPr="00A37418">
        <w:rPr>
          <w:bCs/>
          <w:color w:val="000000" w:themeColor="text1"/>
          <w:szCs w:val="24"/>
          <w:lang w:val="en-US"/>
        </w:rPr>
        <w:t>labor</w:t>
      </w:r>
      <w:r w:rsidRPr="00A731B3">
        <w:rPr>
          <w:bCs/>
          <w:color w:val="000000" w:themeColor="text1"/>
          <w:szCs w:val="24"/>
          <w:lang w:val="en-US"/>
        </w:rPr>
        <w:t xml:space="preserve">. Internet access </w:t>
      </w:r>
      <w:r w:rsidRPr="00A731B3">
        <w:rPr>
          <w:bCs/>
          <w:color w:val="000000" w:themeColor="text1"/>
          <w:szCs w:val="24"/>
          <w:lang w:val="en-US"/>
        </w:rPr>
        <w:lastRenderedPageBreak/>
        <w:t>and gross fixed capital formation promote agricultural job creation, while human capital accumulation, trade openness and access to credit negatively affect the share of agricultural employment</w:t>
      </w:r>
      <w:r w:rsidR="00A37418">
        <w:rPr>
          <w:bCs/>
          <w:color w:val="000000" w:themeColor="text1"/>
          <w:szCs w:val="24"/>
          <w:lang w:val="en-US"/>
        </w:rPr>
        <w:t xml:space="preserve">. </w:t>
      </w:r>
      <w:r w:rsidRPr="00A731B3">
        <w:rPr>
          <w:bCs/>
          <w:color w:val="000000" w:themeColor="text1"/>
          <w:szCs w:val="24"/>
          <w:lang w:val="en-US"/>
        </w:rPr>
        <w:t>Human capital accumulation and access to credit negatively affect the share of a</w:t>
      </w:r>
      <w:r w:rsidR="00874DC3">
        <w:rPr>
          <w:bCs/>
          <w:color w:val="000000" w:themeColor="text1"/>
          <w:szCs w:val="24"/>
          <w:lang w:val="en-US"/>
        </w:rPr>
        <w:t>gricultural value added (Table 4</w:t>
      </w:r>
      <w:r w:rsidR="00E17C2C">
        <w:rPr>
          <w:bCs/>
          <w:color w:val="000000" w:themeColor="text1"/>
          <w:szCs w:val="24"/>
          <w:lang w:val="en-US"/>
        </w:rPr>
        <w:t xml:space="preserve">). </w:t>
      </w:r>
      <w:r w:rsidR="002A441B">
        <w:rPr>
          <w:bCs/>
          <w:color w:val="000000" w:themeColor="text1"/>
          <w:szCs w:val="24"/>
          <w:lang w:val="en-US"/>
        </w:rPr>
        <w:t>The results presented in the</w:t>
      </w:r>
      <w:r w:rsidR="00874DC3">
        <w:rPr>
          <w:bCs/>
          <w:color w:val="000000" w:themeColor="text1"/>
          <w:szCs w:val="24"/>
          <w:lang w:val="en-US"/>
        </w:rPr>
        <w:t xml:space="preserve"> Table 5</w:t>
      </w:r>
      <w:r w:rsidRPr="00A731B3">
        <w:rPr>
          <w:bCs/>
          <w:color w:val="000000" w:themeColor="text1"/>
          <w:szCs w:val="24"/>
          <w:lang w:val="en-US"/>
        </w:rPr>
        <w:t xml:space="preserve"> reveals that telephone access has no significant effect on agricultural structural transformation. Overall, s</w:t>
      </w:r>
      <w:r w:rsidR="00874DC3">
        <w:rPr>
          <w:bCs/>
          <w:color w:val="000000" w:themeColor="text1"/>
          <w:szCs w:val="24"/>
          <w:lang w:val="en-US"/>
        </w:rPr>
        <w:t>imilar to the results in Table 4</w:t>
      </w:r>
      <w:r w:rsidRPr="00A731B3">
        <w:rPr>
          <w:bCs/>
          <w:color w:val="000000" w:themeColor="text1"/>
          <w:szCs w:val="24"/>
          <w:lang w:val="en-US"/>
        </w:rPr>
        <w:t>, the other variables have the same effects on agricultural structural transformation in SSA.</w:t>
      </w:r>
    </w:p>
    <w:p w14:paraId="7D3C32D1" w14:textId="694A8536" w:rsidR="00E06D73" w:rsidRPr="00A731B3" w:rsidRDefault="00DA0E3D" w:rsidP="00AB0B6B">
      <w:pPr>
        <w:spacing w:line="240" w:lineRule="auto"/>
        <w:jc w:val="both"/>
        <w:rPr>
          <w:b/>
          <w:bCs/>
          <w:color w:val="000000" w:themeColor="text1"/>
          <w:szCs w:val="24"/>
          <w:lang w:val="en-US"/>
        </w:rPr>
      </w:pPr>
      <w:r w:rsidRPr="00A731B3">
        <w:rPr>
          <w:b/>
          <w:bCs/>
          <w:color w:val="000000" w:themeColor="text1"/>
          <w:szCs w:val="24"/>
          <w:lang w:val="en-US"/>
        </w:rPr>
        <w:t>Table</w:t>
      </w:r>
      <w:r w:rsidR="00874DC3">
        <w:rPr>
          <w:b/>
          <w:bCs/>
          <w:color w:val="000000" w:themeColor="text1"/>
          <w:szCs w:val="24"/>
          <w:lang w:val="en-US"/>
        </w:rPr>
        <w:t xml:space="preserve"> </w:t>
      </w:r>
      <w:proofErr w:type="gramStart"/>
      <w:r w:rsidR="00874DC3">
        <w:rPr>
          <w:b/>
          <w:bCs/>
          <w:color w:val="000000" w:themeColor="text1"/>
          <w:szCs w:val="24"/>
          <w:lang w:val="en-US"/>
        </w:rPr>
        <w:t>5</w:t>
      </w:r>
      <w:r w:rsidRPr="00A731B3">
        <w:rPr>
          <w:b/>
          <w:bCs/>
          <w:color w:val="000000" w:themeColor="text1"/>
          <w:szCs w:val="24"/>
          <w:lang w:val="en-US"/>
        </w:rPr>
        <w:t> :</w:t>
      </w:r>
      <w:proofErr w:type="gramEnd"/>
      <w:r w:rsidRPr="00A731B3">
        <w:rPr>
          <w:b/>
          <w:bCs/>
          <w:color w:val="000000" w:themeColor="text1"/>
          <w:szCs w:val="24"/>
          <w:lang w:val="en-US"/>
        </w:rPr>
        <w:t xml:space="preserve"> </w:t>
      </w:r>
      <w:r w:rsidR="00810E3B" w:rsidRPr="00810E3B">
        <w:rPr>
          <w:b/>
          <w:bCs/>
          <w:color w:val="000000" w:themeColor="text1"/>
          <w:szCs w:val="24"/>
          <w:lang w:val="en-US"/>
        </w:rPr>
        <w:t>Results of the effect of ICTs on agricultural structural transformation using telephone access in SSA</w:t>
      </w:r>
    </w:p>
    <w:tbl>
      <w:tblPr>
        <w:tblW w:w="9074" w:type="dxa"/>
        <w:jc w:val="center"/>
        <w:tblLayout w:type="fixed"/>
        <w:tblCellMar>
          <w:left w:w="75" w:type="dxa"/>
          <w:right w:w="75" w:type="dxa"/>
        </w:tblCellMar>
        <w:tblLook w:val="0000" w:firstRow="0" w:lastRow="0" w:firstColumn="0" w:lastColumn="0" w:noHBand="0" w:noVBand="0"/>
      </w:tblPr>
      <w:tblGrid>
        <w:gridCol w:w="2819"/>
        <w:gridCol w:w="2085"/>
        <w:gridCol w:w="2085"/>
        <w:gridCol w:w="2085"/>
      </w:tblGrid>
      <w:tr w:rsidR="00F336E9" w:rsidRPr="00A731B3" w14:paraId="298D24E9" w14:textId="77777777" w:rsidTr="0019321B">
        <w:trPr>
          <w:trHeight w:val="231"/>
          <w:jc w:val="center"/>
        </w:trPr>
        <w:tc>
          <w:tcPr>
            <w:tcW w:w="2819" w:type="dxa"/>
            <w:tcBorders>
              <w:top w:val="single" w:sz="6" w:space="0" w:color="auto"/>
              <w:left w:val="nil"/>
              <w:bottom w:val="nil"/>
              <w:right w:val="nil"/>
            </w:tcBorders>
          </w:tcPr>
          <w:p w14:paraId="097684AC"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single" w:sz="6" w:space="0" w:color="auto"/>
              <w:left w:val="nil"/>
              <w:bottom w:val="nil"/>
              <w:right w:val="nil"/>
            </w:tcBorders>
          </w:tcPr>
          <w:p w14:paraId="22CC80F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(1)</w:t>
            </w:r>
          </w:p>
        </w:tc>
        <w:tc>
          <w:tcPr>
            <w:tcW w:w="2085" w:type="dxa"/>
            <w:tcBorders>
              <w:top w:val="single" w:sz="6" w:space="0" w:color="auto"/>
              <w:left w:val="nil"/>
              <w:bottom w:val="nil"/>
              <w:right w:val="nil"/>
            </w:tcBorders>
          </w:tcPr>
          <w:p w14:paraId="1A7D673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w:t>
            </w:r>
          </w:p>
        </w:tc>
        <w:tc>
          <w:tcPr>
            <w:tcW w:w="2085" w:type="dxa"/>
            <w:tcBorders>
              <w:top w:val="single" w:sz="6" w:space="0" w:color="auto"/>
              <w:left w:val="nil"/>
              <w:bottom w:val="nil"/>
              <w:right w:val="nil"/>
            </w:tcBorders>
          </w:tcPr>
          <w:p w14:paraId="57EC914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(3)</w:t>
            </w:r>
          </w:p>
        </w:tc>
      </w:tr>
      <w:tr w:rsidR="00F336E9" w:rsidRPr="00A731B3" w14:paraId="7E157CEE" w14:textId="77777777" w:rsidTr="0019321B">
        <w:trPr>
          <w:trHeight w:val="953"/>
          <w:jc w:val="center"/>
        </w:trPr>
        <w:tc>
          <w:tcPr>
            <w:tcW w:w="2819" w:type="dxa"/>
            <w:tcBorders>
              <w:top w:val="nil"/>
              <w:left w:val="nil"/>
              <w:bottom w:val="single" w:sz="6" w:space="0" w:color="auto"/>
              <w:right w:val="nil"/>
            </w:tcBorders>
          </w:tcPr>
          <w:p w14:paraId="26CDBE4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VARIABLES</w:t>
            </w:r>
          </w:p>
        </w:tc>
        <w:tc>
          <w:tcPr>
            <w:tcW w:w="2085" w:type="dxa"/>
            <w:tcBorders>
              <w:top w:val="nil"/>
              <w:left w:val="nil"/>
              <w:bottom w:val="single" w:sz="6" w:space="0" w:color="auto"/>
              <w:right w:val="nil"/>
            </w:tcBorders>
          </w:tcPr>
          <w:p w14:paraId="3E08CBF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structural transformation</w:t>
            </w:r>
          </w:p>
        </w:tc>
        <w:tc>
          <w:tcPr>
            <w:tcW w:w="2085" w:type="dxa"/>
            <w:tcBorders>
              <w:top w:val="nil"/>
              <w:left w:val="nil"/>
              <w:bottom w:val="single" w:sz="6" w:space="0" w:color="auto"/>
              <w:right w:val="nil"/>
            </w:tcBorders>
          </w:tcPr>
          <w:p w14:paraId="72864C8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employment</w:t>
            </w:r>
          </w:p>
        </w:tc>
        <w:tc>
          <w:tcPr>
            <w:tcW w:w="2085" w:type="dxa"/>
            <w:tcBorders>
              <w:top w:val="nil"/>
              <w:left w:val="nil"/>
              <w:bottom w:val="single" w:sz="6" w:space="0" w:color="auto"/>
              <w:right w:val="nil"/>
            </w:tcBorders>
          </w:tcPr>
          <w:p w14:paraId="2531AF0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Agricultural value added</w:t>
            </w:r>
          </w:p>
        </w:tc>
      </w:tr>
      <w:tr w:rsidR="00F336E9" w:rsidRPr="00A731B3" w14:paraId="3062410C" w14:textId="77777777" w:rsidTr="0019321B">
        <w:trPr>
          <w:trHeight w:val="244"/>
          <w:jc w:val="center"/>
        </w:trPr>
        <w:tc>
          <w:tcPr>
            <w:tcW w:w="2819" w:type="dxa"/>
            <w:tcBorders>
              <w:top w:val="nil"/>
              <w:left w:val="nil"/>
              <w:bottom w:val="nil"/>
              <w:right w:val="nil"/>
            </w:tcBorders>
          </w:tcPr>
          <w:p w14:paraId="1966B64B" w14:textId="30F598C8" w:rsidR="006931FA" w:rsidRPr="00A731B3" w:rsidRDefault="00810E3B" w:rsidP="00E17C2C">
            <w:pPr>
              <w:widowControl w:val="0"/>
              <w:autoSpaceDE w:val="0"/>
              <w:adjustRightInd w:val="0"/>
              <w:spacing w:after="0" w:line="240" w:lineRule="auto"/>
              <w:rPr>
                <w:color w:val="000000" w:themeColor="text1"/>
                <w:szCs w:val="24"/>
                <w:lang w:val="en-US"/>
              </w:rPr>
            </w:pPr>
            <w:r>
              <w:rPr>
                <w:color w:val="000000" w:themeColor="text1"/>
                <w:szCs w:val="24"/>
                <w:lang w:val="en-US"/>
              </w:rPr>
              <w:t>Access to phone</w:t>
            </w:r>
          </w:p>
        </w:tc>
        <w:tc>
          <w:tcPr>
            <w:tcW w:w="2085" w:type="dxa"/>
            <w:tcBorders>
              <w:top w:val="nil"/>
              <w:left w:val="nil"/>
              <w:bottom w:val="nil"/>
              <w:right w:val="nil"/>
            </w:tcBorders>
          </w:tcPr>
          <w:p w14:paraId="146C0A3B"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0.112</w:t>
            </w:r>
          </w:p>
        </w:tc>
        <w:tc>
          <w:tcPr>
            <w:tcW w:w="2085" w:type="dxa"/>
            <w:tcBorders>
              <w:top w:val="nil"/>
              <w:left w:val="nil"/>
              <w:bottom w:val="nil"/>
              <w:right w:val="nil"/>
            </w:tcBorders>
          </w:tcPr>
          <w:p w14:paraId="0FD128A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0.326</w:t>
            </w:r>
          </w:p>
        </w:tc>
        <w:tc>
          <w:tcPr>
            <w:tcW w:w="2085" w:type="dxa"/>
            <w:tcBorders>
              <w:top w:val="nil"/>
              <w:left w:val="nil"/>
              <w:bottom w:val="nil"/>
              <w:right w:val="nil"/>
            </w:tcBorders>
          </w:tcPr>
          <w:p w14:paraId="6610DF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-0.008</w:t>
            </w:r>
          </w:p>
        </w:tc>
      </w:tr>
      <w:tr w:rsidR="00F336E9" w:rsidRPr="00A731B3" w14:paraId="41F742E7" w14:textId="77777777" w:rsidTr="0019321B">
        <w:trPr>
          <w:trHeight w:val="231"/>
          <w:jc w:val="center"/>
        </w:trPr>
        <w:tc>
          <w:tcPr>
            <w:tcW w:w="2819" w:type="dxa"/>
            <w:tcBorders>
              <w:top w:val="nil"/>
              <w:left w:val="nil"/>
              <w:bottom w:val="nil"/>
              <w:right w:val="nil"/>
            </w:tcBorders>
          </w:tcPr>
          <w:p w14:paraId="44664898"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2FBC3E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(0.316)</w:t>
            </w:r>
          </w:p>
        </w:tc>
        <w:tc>
          <w:tcPr>
            <w:tcW w:w="2085" w:type="dxa"/>
            <w:tcBorders>
              <w:top w:val="nil"/>
              <w:left w:val="nil"/>
              <w:bottom w:val="nil"/>
              <w:right w:val="nil"/>
            </w:tcBorders>
          </w:tcPr>
          <w:p w14:paraId="2F96BF0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(0.203)</w:t>
            </w:r>
          </w:p>
        </w:tc>
        <w:tc>
          <w:tcPr>
            <w:tcW w:w="2085" w:type="dxa"/>
            <w:tcBorders>
              <w:top w:val="nil"/>
              <w:left w:val="nil"/>
              <w:bottom w:val="nil"/>
              <w:right w:val="nil"/>
            </w:tcBorders>
          </w:tcPr>
          <w:p w14:paraId="452BF2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(0.121)</w:t>
            </w:r>
          </w:p>
        </w:tc>
      </w:tr>
      <w:tr w:rsidR="00F336E9" w:rsidRPr="00A731B3" w14:paraId="3FEFE4A1" w14:textId="77777777" w:rsidTr="0019321B">
        <w:trPr>
          <w:trHeight w:val="709"/>
          <w:jc w:val="center"/>
        </w:trPr>
        <w:tc>
          <w:tcPr>
            <w:tcW w:w="2819" w:type="dxa"/>
            <w:tcBorders>
              <w:top w:val="nil"/>
              <w:left w:val="nil"/>
              <w:bottom w:val="nil"/>
              <w:right w:val="nil"/>
            </w:tcBorders>
          </w:tcPr>
          <w:p w14:paraId="45CE707C"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Industrial structural transformation</w:t>
            </w:r>
          </w:p>
        </w:tc>
        <w:tc>
          <w:tcPr>
            <w:tcW w:w="2085" w:type="dxa"/>
            <w:tcBorders>
              <w:top w:val="nil"/>
              <w:left w:val="nil"/>
              <w:bottom w:val="nil"/>
              <w:right w:val="nil"/>
            </w:tcBorders>
          </w:tcPr>
          <w:p w14:paraId="1BBE135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-0.469***</w:t>
            </w:r>
          </w:p>
          <w:p w14:paraId="65F9100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(0.175)</w:t>
            </w:r>
          </w:p>
        </w:tc>
        <w:tc>
          <w:tcPr>
            <w:tcW w:w="2085" w:type="dxa"/>
            <w:tcBorders>
              <w:top w:val="nil"/>
              <w:left w:val="nil"/>
              <w:bottom w:val="nil"/>
              <w:right w:val="nil"/>
            </w:tcBorders>
          </w:tcPr>
          <w:p w14:paraId="1EE9B0F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0.020</w:t>
            </w:r>
          </w:p>
          <w:p w14:paraId="0635EED0"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(0.040)</w:t>
            </w:r>
          </w:p>
        </w:tc>
        <w:tc>
          <w:tcPr>
            <w:tcW w:w="2085" w:type="dxa"/>
            <w:tcBorders>
              <w:top w:val="nil"/>
              <w:left w:val="nil"/>
              <w:bottom w:val="nil"/>
              <w:right w:val="nil"/>
            </w:tcBorders>
          </w:tcPr>
          <w:p w14:paraId="5E174C3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-0.002</w:t>
            </w:r>
          </w:p>
          <w:p w14:paraId="3ED3019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(0.018)</w:t>
            </w:r>
          </w:p>
        </w:tc>
      </w:tr>
      <w:tr w:rsidR="00F336E9" w:rsidRPr="00A731B3" w14:paraId="7498E61E" w14:textId="77777777" w:rsidTr="0019321B">
        <w:trPr>
          <w:trHeight w:val="476"/>
          <w:jc w:val="center"/>
        </w:trPr>
        <w:tc>
          <w:tcPr>
            <w:tcW w:w="2819" w:type="dxa"/>
            <w:tcBorders>
              <w:top w:val="nil"/>
              <w:left w:val="nil"/>
              <w:bottom w:val="nil"/>
              <w:right w:val="nil"/>
            </w:tcBorders>
          </w:tcPr>
          <w:p w14:paraId="7122BCD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Service structural transformation</w:t>
            </w:r>
          </w:p>
        </w:tc>
        <w:tc>
          <w:tcPr>
            <w:tcW w:w="2085" w:type="dxa"/>
            <w:tcBorders>
              <w:top w:val="nil"/>
              <w:left w:val="nil"/>
              <w:bottom w:val="nil"/>
              <w:right w:val="nil"/>
            </w:tcBorders>
          </w:tcPr>
          <w:p w14:paraId="5CB47C5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-0.355***</w:t>
            </w:r>
          </w:p>
          <w:p w14:paraId="1312306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(0.057)</w:t>
            </w:r>
          </w:p>
        </w:tc>
        <w:tc>
          <w:tcPr>
            <w:tcW w:w="2085" w:type="dxa"/>
            <w:tcBorders>
              <w:top w:val="nil"/>
              <w:left w:val="nil"/>
              <w:bottom w:val="nil"/>
              <w:right w:val="nil"/>
            </w:tcBorders>
          </w:tcPr>
          <w:p w14:paraId="3BD6C3D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-0.026</w:t>
            </w:r>
          </w:p>
          <w:p w14:paraId="3924F231"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(0.021)</w:t>
            </w:r>
          </w:p>
        </w:tc>
        <w:tc>
          <w:tcPr>
            <w:tcW w:w="2085" w:type="dxa"/>
            <w:tcBorders>
              <w:top w:val="nil"/>
              <w:left w:val="nil"/>
              <w:bottom w:val="nil"/>
              <w:right w:val="nil"/>
            </w:tcBorders>
          </w:tcPr>
          <w:p w14:paraId="596C13C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p w14:paraId="223F61D5"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(0.009)</w:t>
            </w:r>
          </w:p>
        </w:tc>
      </w:tr>
      <w:tr w:rsidR="00F336E9" w:rsidRPr="00A731B3" w14:paraId="5C347122" w14:textId="77777777" w:rsidTr="0019321B">
        <w:trPr>
          <w:trHeight w:val="244"/>
          <w:jc w:val="center"/>
        </w:trPr>
        <w:tc>
          <w:tcPr>
            <w:tcW w:w="2819" w:type="dxa"/>
            <w:tcBorders>
              <w:top w:val="nil"/>
              <w:left w:val="nil"/>
              <w:bottom w:val="nil"/>
              <w:right w:val="nil"/>
            </w:tcBorders>
          </w:tcPr>
          <w:p w14:paraId="28C1008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Human capital</w:t>
            </w:r>
          </w:p>
        </w:tc>
        <w:tc>
          <w:tcPr>
            <w:tcW w:w="2085" w:type="dxa"/>
            <w:tcBorders>
              <w:top w:val="nil"/>
              <w:left w:val="nil"/>
              <w:bottom w:val="nil"/>
              <w:right w:val="nil"/>
            </w:tcBorders>
          </w:tcPr>
          <w:p w14:paraId="0F3D85E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-0.031</w:t>
            </w:r>
          </w:p>
        </w:tc>
        <w:tc>
          <w:tcPr>
            <w:tcW w:w="2085" w:type="dxa"/>
            <w:tcBorders>
              <w:top w:val="nil"/>
              <w:left w:val="nil"/>
              <w:bottom w:val="nil"/>
              <w:right w:val="nil"/>
            </w:tcBorders>
          </w:tcPr>
          <w:p w14:paraId="46476A8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-0.569***</w:t>
            </w:r>
          </w:p>
        </w:tc>
        <w:tc>
          <w:tcPr>
            <w:tcW w:w="2085" w:type="dxa"/>
            <w:tcBorders>
              <w:top w:val="nil"/>
              <w:left w:val="nil"/>
              <w:bottom w:val="nil"/>
              <w:right w:val="nil"/>
            </w:tcBorders>
          </w:tcPr>
          <w:p w14:paraId="3CCE94E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-0.303***</w:t>
            </w:r>
          </w:p>
        </w:tc>
      </w:tr>
      <w:tr w:rsidR="00F336E9" w:rsidRPr="00A731B3" w14:paraId="71E5E04C" w14:textId="77777777" w:rsidTr="0019321B">
        <w:trPr>
          <w:trHeight w:val="231"/>
          <w:jc w:val="center"/>
        </w:trPr>
        <w:tc>
          <w:tcPr>
            <w:tcW w:w="2819" w:type="dxa"/>
            <w:tcBorders>
              <w:top w:val="nil"/>
              <w:left w:val="nil"/>
              <w:bottom w:val="nil"/>
              <w:right w:val="nil"/>
            </w:tcBorders>
          </w:tcPr>
          <w:p w14:paraId="62E51D29"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0A9C98B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c>
          <w:tcPr>
            <w:tcW w:w="2085" w:type="dxa"/>
            <w:tcBorders>
              <w:top w:val="nil"/>
              <w:left w:val="nil"/>
              <w:bottom w:val="nil"/>
              <w:right w:val="nil"/>
            </w:tcBorders>
          </w:tcPr>
          <w:p w14:paraId="349C8B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(0.073)</w:t>
            </w:r>
          </w:p>
        </w:tc>
        <w:tc>
          <w:tcPr>
            <w:tcW w:w="2085" w:type="dxa"/>
            <w:tcBorders>
              <w:top w:val="nil"/>
              <w:left w:val="nil"/>
              <w:bottom w:val="nil"/>
              <w:right w:val="nil"/>
            </w:tcBorders>
          </w:tcPr>
          <w:p w14:paraId="74A4D0A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(0.036)</w:t>
            </w:r>
          </w:p>
        </w:tc>
      </w:tr>
      <w:tr w:rsidR="00F336E9" w:rsidRPr="00A731B3" w14:paraId="46BDB9D5" w14:textId="77777777" w:rsidTr="0019321B">
        <w:trPr>
          <w:trHeight w:val="476"/>
          <w:jc w:val="center"/>
        </w:trPr>
        <w:tc>
          <w:tcPr>
            <w:tcW w:w="2819" w:type="dxa"/>
            <w:tcBorders>
              <w:top w:val="nil"/>
              <w:left w:val="nil"/>
              <w:bottom w:val="nil"/>
              <w:right w:val="nil"/>
            </w:tcBorders>
          </w:tcPr>
          <w:p w14:paraId="1ADABC06"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 xml:space="preserve">Gross fixed capital formation </w:t>
            </w:r>
          </w:p>
        </w:tc>
        <w:tc>
          <w:tcPr>
            <w:tcW w:w="2085" w:type="dxa"/>
            <w:tcBorders>
              <w:top w:val="nil"/>
              <w:left w:val="nil"/>
              <w:bottom w:val="nil"/>
              <w:right w:val="nil"/>
            </w:tcBorders>
          </w:tcPr>
          <w:p w14:paraId="546BE1C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-0.200</w:t>
            </w:r>
          </w:p>
          <w:p w14:paraId="49C0B66E"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(0.151)</w:t>
            </w:r>
          </w:p>
        </w:tc>
        <w:tc>
          <w:tcPr>
            <w:tcW w:w="2085" w:type="dxa"/>
            <w:tcBorders>
              <w:top w:val="nil"/>
              <w:left w:val="nil"/>
              <w:bottom w:val="nil"/>
              <w:right w:val="nil"/>
            </w:tcBorders>
          </w:tcPr>
          <w:p w14:paraId="0123637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0.640***</w:t>
            </w:r>
          </w:p>
          <w:p w14:paraId="45ABAD56"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(0.208)</w:t>
            </w:r>
          </w:p>
        </w:tc>
        <w:tc>
          <w:tcPr>
            <w:tcW w:w="2085" w:type="dxa"/>
            <w:tcBorders>
              <w:top w:val="nil"/>
              <w:left w:val="nil"/>
              <w:bottom w:val="nil"/>
              <w:right w:val="nil"/>
            </w:tcBorders>
          </w:tcPr>
          <w:p w14:paraId="6625A5A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-0.252***</w:t>
            </w:r>
          </w:p>
          <w:p w14:paraId="4D5165DD" w14:textId="77777777" w:rsidR="0019321B" w:rsidRPr="00A731B3" w:rsidRDefault="0019321B"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(0.085)</w:t>
            </w:r>
          </w:p>
        </w:tc>
      </w:tr>
      <w:tr w:rsidR="00F336E9" w:rsidRPr="00A731B3" w14:paraId="47F94FC4" w14:textId="77777777" w:rsidTr="0019321B">
        <w:trPr>
          <w:trHeight w:val="244"/>
          <w:jc w:val="center"/>
        </w:trPr>
        <w:tc>
          <w:tcPr>
            <w:tcW w:w="2819" w:type="dxa"/>
            <w:tcBorders>
              <w:top w:val="nil"/>
              <w:left w:val="nil"/>
              <w:bottom w:val="nil"/>
              <w:right w:val="nil"/>
            </w:tcBorders>
          </w:tcPr>
          <w:p w14:paraId="778F0574"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Trade</w:t>
            </w:r>
          </w:p>
        </w:tc>
        <w:tc>
          <w:tcPr>
            <w:tcW w:w="2085" w:type="dxa"/>
            <w:tcBorders>
              <w:top w:val="nil"/>
              <w:left w:val="nil"/>
              <w:bottom w:val="nil"/>
              <w:right w:val="nil"/>
            </w:tcBorders>
          </w:tcPr>
          <w:p w14:paraId="44D1349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0.156**</w:t>
            </w:r>
          </w:p>
        </w:tc>
        <w:tc>
          <w:tcPr>
            <w:tcW w:w="2085" w:type="dxa"/>
            <w:tcBorders>
              <w:top w:val="nil"/>
              <w:left w:val="nil"/>
              <w:bottom w:val="nil"/>
              <w:right w:val="nil"/>
            </w:tcBorders>
          </w:tcPr>
          <w:p w14:paraId="28DC66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-0.297***</w:t>
            </w:r>
          </w:p>
        </w:tc>
        <w:tc>
          <w:tcPr>
            <w:tcW w:w="2085" w:type="dxa"/>
            <w:tcBorders>
              <w:top w:val="nil"/>
              <w:left w:val="nil"/>
              <w:bottom w:val="nil"/>
              <w:right w:val="nil"/>
            </w:tcBorders>
          </w:tcPr>
          <w:p w14:paraId="2A52DD1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-0.088**</w:t>
            </w:r>
          </w:p>
        </w:tc>
      </w:tr>
      <w:tr w:rsidR="00F336E9" w:rsidRPr="00A731B3" w14:paraId="58B19154" w14:textId="77777777" w:rsidTr="0019321B">
        <w:trPr>
          <w:trHeight w:val="231"/>
          <w:jc w:val="center"/>
        </w:trPr>
        <w:tc>
          <w:tcPr>
            <w:tcW w:w="2819" w:type="dxa"/>
            <w:tcBorders>
              <w:top w:val="nil"/>
              <w:left w:val="nil"/>
              <w:bottom w:val="nil"/>
              <w:right w:val="nil"/>
            </w:tcBorders>
          </w:tcPr>
          <w:p w14:paraId="4275EE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41578EE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(0.072)</w:t>
            </w:r>
          </w:p>
        </w:tc>
        <w:tc>
          <w:tcPr>
            <w:tcW w:w="2085" w:type="dxa"/>
            <w:tcBorders>
              <w:top w:val="nil"/>
              <w:left w:val="nil"/>
              <w:bottom w:val="nil"/>
              <w:right w:val="nil"/>
            </w:tcBorders>
          </w:tcPr>
          <w:p w14:paraId="57114E7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(0.063)</w:t>
            </w:r>
          </w:p>
        </w:tc>
        <w:tc>
          <w:tcPr>
            <w:tcW w:w="2085" w:type="dxa"/>
            <w:tcBorders>
              <w:top w:val="nil"/>
              <w:left w:val="nil"/>
              <w:bottom w:val="nil"/>
              <w:right w:val="nil"/>
            </w:tcBorders>
          </w:tcPr>
          <w:p w14:paraId="4DFC075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r>
      <w:tr w:rsidR="00F336E9" w:rsidRPr="00A731B3" w14:paraId="7456ABA2" w14:textId="77777777" w:rsidTr="0019321B">
        <w:trPr>
          <w:trHeight w:val="231"/>
          <w:jc w:val="center"/>
        </w:trPr>
        <w:tc>
          <w:tcPr>
            <w:tcW w:w="2819" w:type="dxa"/>
            <w:tcBorders>
              <w:top w:val="nil"/>
              <w:left w:val="nil"/>
              <w:bottom w:val="nil"/>
              <w:right w:val="nil"/>
            </w:tcBorders>
          </w:tcPr>
          <w:p w14:paraId="2F213ABA"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Domestic credit</w:t>
            </w:r>
          </w:p>
        </w:tc>
        <w:tc>
          <w:tcPr>
            <w:tcW w:w="2085" w:type="dxa"/>
            <w:tcBorders>
              <w:top w:val="nil"/>
              <w:left w:val="nil"/>
              <w:bottom w:val="nil"/>
              <w:right w:val="nil"/>
            </w:tcBorders>
          </w:tcPr>
          <w:p w14:paraId="28D6CB0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0.129*</w:t>
            </w:r>
          </w:p>
        </w:tc>
        <w:tc>
          <w:tcPr>
            <w:tcW w:w="2085" w:type="dxa"/>
            <w:tcBorders>
              <w:top w:val="nil"/>
              <w:left w:val="nil"/>
              <w:bottom w:val="nil"/>
              <w:right w:val="nil"/>
            </w:tcBorders>
          </w:tcPr>
          <w:p w14:paraId="5337ED76"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-0.139***</w:t>
            </w:r>
          </w:p>
        </w:tc>
        <w:tc>
          <w:tcPr>
            <w:tcW w:w="2085" w:type="dxa"/>
            <w:tcBorders>
              <w:top w:val="nil"/>
              <w:left w:val="nil"/>
              <w:bottom w:val="nil"/>
              <w:right w:val="nil"/>
            </w:tcBorders>
          </w:tcPr>
          <w:p w14:paraId="239DB5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-0.064***</w:t>
            </w:r>
          </w:p>
        </w:tc>
      </w:tr>
      <w:tr w:rsidR="00F336E9" w:rsidRPr="00A731B3" w14:paraId="540A6CE0" w14:textId="77777777" w:rsidTr="0019321B">
        <w:trPr>
          <w:trHeight w:val="244"/>
          <w:jc w:val="center"/>
        </w:trPr>
        <w:tc>
          <w:tcPr>
            <w:tcW w:w="2819" w:type="dxa"/>
            <w:tcBorders>
              <w:top w:val="nil"/>
              <w:left w:val="nil"/>
              <w:bottom w:val="nil"/>
              <w:right w:val="nil"/>
            </w:tcBorders>
          </w:tcPr>
          <w:p w14:paraId="3C036993"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69F612D4"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(0.076)</w:t>
            </w:r>
          </w:p>
        </w:tc>
        <w:tc>
          <w:tcPr>
            <w:tcW w:w="2085" w:type="dxa"/>
            <w:tcBorders>
              <w:top w:val="nil"/>
              <w:left w:val="nil"/>
              <w:bottom w:val="nil"/>
              <w:right w:val="nil"/>
            </w:tcBorders>
          </w:tcPr>
          <w:p w14:paraId="203D347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(0.043)</w:t>
            </w:r>
          </w:p>
        </w:tc>
        <w:tc>
          <w:tcPr>
            <w:tcW w:w="2085" w:type="dxa"/>
            <w:tcBorders>
              <w:top w:val="nil"/>
              <w:left w:val="nil"/>
              <w:bottom w:val="nil"/>
              <w:right w:val="nil"/>
            </w:tcBorders>
          </w:tcPr>
          <w:p w14:paraId="6712B72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(0.023)</w:t>
            </w:r>
          </w:p>
        </w:tc>
      </w:tr>
      <w:tr w:rsidR="00F336E9" w:rsidRPr="00A731B3" w14:paraId="518DCF73" w14:textId="77777777" w:rsidTr="0019321B">
        <w:trPr>
          <w:trHeight w:val="476"/>
          <w:jc w:val="center"/>
        </w:trPr>
        <w:tc>
          <w:tcPr>
            <w:tcW w:w="2819" w:type="dxa"/>
            <w:tcBorders>
              <w:top w:val="nil"/>
              <w:left w:val="nil"/>
              <w:bottom w:val="nil"/>
              <w:right w:val="nil"/>
            </w:tcBorders>
          </w:tcPr>
          <w:p w14:paraId="2EFFAF4F" w14:textId="58F2FDE8"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F</w:t>
            </w:r>
            <w:r w:rsidR="00810E3B">
              <w:rPr>
                <w:color w:val="000000" w:themeColor="text1"/>
                <w:szCs w:val="24"/>
                <w:lang w:val="en-US"/>
              </w:rPr>
              <w:t>o</w:t>
            </w:r>
            <w:r w:rsidRPr="00A731B3">
              <w:rPr>
                <w:color w:val="000000" w:themeColor="text1"/>
                <w:szCs w:val="24"/>
                <w:lang w:val="en-US"/>
              </w:rPr>
              <w:t>reign direct investment</w:t>
            </w:r>
          </w:p>
        </w:tc>
        <w:tc>
          <w:tcPr>
            <w:tcW w:w="2085" w:type="dxa"/>
            <w:tcBorders>
              <w:top w:val="nil"/>
              <w:left w:val="nil"/>
              <w:bottom w:val="nil"/>
              <w:right w:val="nil"/>
            </w:tcBorders>
          </w:tcPr>
          <w:p w14:paraId="21F52CB0"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-0.202</w:t>
            </w:r>
          </w:p>
        </w:tc>
        <w:tc>
          <w:tcPr>
            <w:tcW w:w="2085" w:type="dxa"/>
            <w:tcBorders>
              <w:top w:val="nil"/>
              <w:left w:val="nil"/>
              <w:bottom w:val="nil"/>
              <w:right w:val="nil"/>
            </w:tcBorders>
          </w:tcPr>
          <w:p w14:paraId="55C01E3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0.255*</w:t>
            </w:r>
          </w:p>
        </w:tc>
        <w:tc>
          <w:tcPr>
            <w:tcW w:w="2085" w:type="dxa"/>
            <w:tcBorders>
              <w:top w:val="nil"/>
              <w:left w:val="nil"/>
              <w:bottom w:val="nil"/>
              <w:right w:val="nil"/>
            </w:tcBorders>
          </w:tcPr>
          <w:p w14:paraId="46554D9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0.373***</w:t>
            </w:r>
          </w:p>
        </w:tc>
      </w:tr>
      <w:tr w:rsidR="00F336E9" w:rsidRPr="00A731B3" w14:paraId="6492E5E0" w14:textId="77777777" w:rsidTr="0019321B">
        <w:trPr>
          <w:trHeight w:val="231"/>
          <w:jc w:val="center"/>
        </w:trPr>
        <w:tc>
          <w:tcPr>
            <w:tcW w:w="2819" w:type="dxa"/>
            <w:tcBorders>
              <w:top w:val="nil"/>
              <w:left w:val="nil"/>
              <w:bottom w:val="nil"/>
              <w:right w:val="nil"/>
            </w:tcBorders>
          </w:tcPr>
          <w:p w14:paraId="485C60D1"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1AFB1D4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(0.235)</w:t>
            </w:r>
          </w:p>
        </w:tc>
        <w:tc>
          <w:tcPr>
            <w:tcW w:w="2085" w:type="dxa"/>
            <w:tcBorders>
              <w:top w:val="nil"/>
              <w:left w:val="nil"/>
              <w:bottom w:val="nil"/>
              <w:right w:val="nil"/>
            </w:tcBorders>
          </w:tcPr>
          <w:p w14:paraId="2E9FD19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(0.143)</w:t>
            </w:r>
          </w:p>
        </w:tc>
        <w:tc>
          <w:tcPr>
            <w:tcW w:w="2085" w:type="dxa"/>
            <w:tcBorders>
              <w:top w:val="nil"/>
              <w:left w:val="nil"/>
              <w:bottom w:val="nil"/>
              <w:right w:val="nil"/>
            </w:tcBorders>
          </w:tcPr>
          <w:p w14:paraId="4439482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(0.104)</w:t>
            </w:r>
          </w:p>
        </w:tc>
      </w:tr>
      <w:tr w:rsidR="00F336E9" w:rsidRPr="00A731B3" w14:paraId="4FE89762" w14:textId="77777777" w:rsidTr="0019321B">
        <w:trPr>
          <w:trHeight w:val="231"/>
          <w:jc w:val="center"/>
        </w:trPr>
        <w:tc>
          <w:tcPr>
            <w:tcW w:w="2819" w:type="dxa"/>
            <w:tcBorders>
              <w:top w:val="nil"/>
              <w:left w:val="nil"/>
              <w:bottom w:val="nil"/>
              <w:right w:val="nil"/>
            </w:tcBorders>
          </w:tcPr>
          <w:p w14:paraId="7289A20E"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Polity2</w:t>
            </w:r>
          </w:p>
        </w:tc>
        <w:tc>
          <w:tcPr>
            <w:tcW w:w="2085" w:type="dxa"/>
            <w:tcBorders>
              <w:top w:val="nil"/>
              <w:left w:val="nil"/>
              <w:bottom w:val="nil"/>
              <w:right w:val="nil"/>
            </w:tcBorders>
          </w:tcPr>
          <w:p w14:paraId="251AF19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0.019</w:t>
            </w:r>
          </w:p>
        </w:tc>
        <w:tc>
          <w:tcPr>
            <w:tcW w:w="2085" w:type="dxa"/>
            <w:tcBorders>
              <w:top w:val="nil"/>
              <w:left w:val="nil"/>
              <w:bottom w:val="nil"/>
              <w:right w:val="nil"/>
            </w:tcBorders>
          </w:tcPr>
          <w:p w14:paraId="15B2128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-0.082</w:t>
            </w:r>
          </w:p>
        </w:tc>
        <w:tc>
          <w:tcPr>
            <w:tcW w:w="2085" w:type="dxa"/>
            <w:tcBorders>
              <w:top w:val="nil"/>
              <w:left w:val="nil"/>
              <w:bottom w:val="nil"/>
              <w:right w:val="nil"/>
            </w:tcBorders>
          </w:tcPr>
          <w:p w14:paraId="6B7DB07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0.044</w:t>
            </w:r>
          </w:p>
        </w:tc>
      </w:tr>
      <w:tr w:rsidR="00F336E9" w:rsidRPr="00A731B3" w14:paraId="62466821" w14:textId="77777777" w:rsidTr="0019321B">
        <w:trPr>
          <w:trHeight w:val="244"/>
          <w:jc w:val="center"/>
        </w:trPr>
        <w:tc>
          <w:tcPr>
            <w:tcW w:w="2819" w:type="dxa"/>
            <w:tcBorders>
              <w:top w:val="nil"/>
              <w:left w:val="nil"/>
              <w:bottom w:val="nil"/>
              <w:right w:val="nil"/>
            </w:tcBorders>
          </w:tcPr>
          <w:p w14:paraId="29045AB4"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27186589"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(0.299)</w:t>
            </w:r>
          </w:p>
        </w:tc>
        <w:tc>
          <w:tcPr>
            <w:tcW w:w="2085" w:type="dxa"/>
            <w:tcBorders>
              <w:top w:val="nil"/>
              <w:left w:val="nil"/>
              <w:bottom w:val="nil"/>
              <w:right w:val="nil"/>
            </w:tcBorders>
          </w:tcPr>
          <w:p w14:paraId="6DFC10CF"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(0.268)</w:t>
            </w:r>
          </w:p>
        </w:tc>
        <w:tc>
          <w:tcPr>
            <w:tcW w:w="2085" w:type="dxa"/>
            <w:tcBorders>
              <w:top w:val="nil"/>
              <w:left w:val="nil"/>
              <w:bottom w:val="nil"/>
              <w:right w:val="nil"/>
            </w:tcBorders>
          </w:tcPr>
          <w:p w14:paraId="7A1DBF7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(0.149)</w:t>
            </w:r>
          </w:p>
        </w:tc>
      </w:tr>
      <w:tr w:rsidR="00F336E9" w:rsidRPr="00A731B3" w14:paraId="0150FF3C" w14:textId="77777777" w:rsidTr="0019321B">
        <w:trPr>
          <w:trHeight w:val="231"/>
          <w:jc w:val="center"/>
        </w:trPr>
        <w:tc>
          <w:tcPr>
            <w:tcW w:w="2819" w:type="dxa"/>
            <w:tcBorders>
              <w:top w:val="nil"/>
              <w:left w:val="nil"/>
              <w:bottom w:val="nil"/>
              <w:right w:val="nil"/>
            </w:tcBorders>
          </w:tcPr>
          <w:p w14:paraId="4215B399"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Constant</w:t>
            </w:r>
          </w:p>
        </w:tc>
        <w:tc>
          <w:tcPr>
            <w:tcW w:w="2085" w:type="dxa"/>
            <w:tcBorders>
              <w:top w:val="nil"/>
              <w:left w:val="nil"/>
              <w:bottom w:val="nil"/>
              <w:right w:val="nil"/>
            </w:tcBorders>
          </w:tcPr>
          <w:p w14:paraId="5597C6D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-8.850**</w:t>
            </w:r>
          </w:p>
        </w:tc>
        <w:tc>
          <w:tcPr>
            <w:tcW w:w="2085" w:type="dxa"/>
            <w:tcBorders>
              <w:top w:val="nil"/>
              <w:left w:val="nil"/>
              <w:bottom w:val="nil"/>
              <w:right w:val="nil"/>
            </w:tcBorders>
          </w:tcPr>
          <w:p w14:paraId="3AB483F8"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83.879***</w:t>
            </w:r>
          </w:p>
        </w:tc>
        <w:tc>
          <w:tcPr>
            <w:tcW w:w="2085" w:type="dxa"/>
            <w:tcBorders>
              <w:top w:val="nil"/>
              <w:left w:val="nil"/>
              <w:bottom w:val="nil"/>
              <w:right w:val="nil"/>
            </w:tcBorders>
          </w:tcPr>
          <w:p w14:paraId="3A3794B7"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48.172***</w:t>
            </w:r>
          </w:p>
        </w:tc>
      </w:tr>
      <w:tr w:rsidR="00F336E9" w:rsidRPr="00A731B3" w14:paraId="32CB1B0C" w14:textId="77777777" w:rsidTr="0019321B">
        <w:trPr>
          <w:trHeight w:val="244"/>
          <w:jc w:val="center"/>
        </w:trPr>
        <w:tc>
          <w:tcPr>
            <w:tcW w:w="2819" w:type="dxa"/>
            <w:tcBorders>
              <w:top w:val="nil"/>
              <w:left w:val="nil"/>
              <w:bottom w:val="nil"/>
              <w:right w:val="nil"/>
            </w:tcBorders>
          </w:tcPr>
          <w:p w14:paraId="1B5C509B" w14:textId="77777777" w:rsidR="006931FA" w:rsidRPr="00A731B3" w:rsidRDefault="006931FA"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nil"/>
              <w:right w:val="nil"/>
            </w:tcBorders>
          </w:tcPr>
          <w:p w14:paraId="3F8CF971"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(4.312)</w:t>
            </w:r>
          </w:p>
        </w:tc>
        <w:tc>
          <w:tcPr>
            <w:tcW w:w="2085" w:type="dxa"/>
            <w:tcBorders>
              <w:top w:val="nil"/>
              <w:left w:val="nil"/>
              <w:bottom w:val="nil"/>
              <w:right w:val="nil"/>
            </w:tcBorders>
          </w:tcPr>
          <w:p w14:paraId="1E4A2CB2"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(4.765)</w:t>
            </w:r>
          </w:p>
        </w:tc>
        <w:tc>
          <w:tcPr>
            <w:tcW w:w="2085" w:type="dxa"/>
            <w:tcBorders>
              <w:top w:val="nil"/>
              <w:left w:val="nil"/>
              <w:bottom w:val="nil"/>
              <w:right w:val="nil"/>
            </w:tcBorders>
          </w:tcPr>
          <w:p w14:paraId="1EA17325"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(2.181)</w:t>
            </w:r>
          </w:p>
        </w:tc>
      </w:tr>
      <w:tr w:rsidR="00F336E9" w:rsidRPr="00A731B3" w14:paraId="6D08B741" w14:textId="77777777" w:rsidTr="0019321B">
        <w:trPr>
          <w:trHeight w:val="231"/>
          <w:jc w:val="center"/>
        </w:trPr>
        <w:tc>
          <w:tcPr>
            <w:tcW w:w="2819" w:type="dxa"/>
            <w:tcBorders>
              <w:top w:val="nil"/>
              <w:left w:val="nil"/>
              <w:bottom w:val="nil"/>
              <w:right w:val="nil"/>
            </w:tcBorders>
          </w:tcPr>
          <w:p w14:paraId="34D97593"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Observations</w:t>
            </w:r>
          </w:p>
        </w:tc>
        <w:tc>
          <w:tcPr>
            <w:tcW w:w="2085" w:type="dxa"/>
            <w:tcBorders>
              <w:top w:val="nil"/>
              <w:left w:val="nil"/>
              <w:bottom w:val="nil"/>
              <w:right w:val="nil"/>
            </w:tcBorders>
          </w:tcPr>
          <w:p w14:paraId="1580568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77854A5E"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c>
          <w:tcPr>
            <w:tcW w:w="2085" w:type="dxa"/>
            <w:tcBorders>
              <w:top w:val="nil"/>
              <w:left w:val="nil"/>
              <w:bottom w:val="nil"/>
              <w:right w:val="nil"/>
            </w:tcBorders>
          </w:tcPr>
          <w:p w14:paraId="4F82EE9C"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462</w:t>
            </w:r>
          </w:p>
        </w:tc>
      </w:tr>
      <w:tr w:rsidR="00F336E9" w:rsidRPr="00A731B3" w14:paraId="63779028" w14:textId="77777777" w:rsidTr="00874DC3">
        <w:tblPrEx>
          <w:tblBorders>
            <w:bottom w:val="single" w:sz="6" w:space="0" w:color="auto"/>
          </w:tblBorders>
        </w:tblPrEx>
        <w:trPr>
          <w:trHeight w:val="244"/>
          <w:jc w:val="center"/>
        </w:trPr>
        <w:tc>
          <w:tcPr>
            <w:tcW w:w="2819" w:type="dxa"/>
            <w:tcBorders>
              <w:top w:val="nil"/>
              <w:left w:val="nil"/>
              <w:bottom w:val="nil"/>
              <w:right w:val="nil"/>
            </w:tcBorders>
          </w:tcPr>
          <w:p w14:paraId="026B17A0" w14:textId="77777777" w:rsidR="006931FA" w:rsidRPr="00A731B3" w:rsidRDefault="006931FA" w:rsidP="00E17C2C">
            <w:pPr>
              <w:widowControl w:val="0"/>
              <w:autoSpaceDE w:val="0"/>
              <w:adjustRightInd w:val="0"/>
              <w:spacing w:after="0" w:line="240" w:lineRule="auto"/>
              <w:rPr>
                <w:color w:val="000000" w:themeColor="text1"/>
                <w:szCs w:val="24"/>
                <w:lang w:val="en-US"/>
              </w:rPr>
            </w:pPr>
            <w:r w:rsidRPr="00A731B3">
              <w:rPr>
                <w:color w:val="000000" w:themeColor="text1"/>
                <w:szCs w:val="24"/>
                <w:lang w:val="en-US"/>
              </w:rPr>
              <w:t>R-squared</w:t>
            </w:r>
          </w:p>
        </w:tc>
        <w:tc>
          <w:tcPr>
            <w:tcW w:w="2085" w:type="dxa"/>
            <w:tcBorders>
              <w:top w:val="nil"/>
              <w:left w:val="nil"/>
              <w:bottom w:val="nil"/>
              <w:right w:val="nil"/>
            </w:tcBorders>
          </w:tcPr>
          <w:p w14:paraId="617614E3"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0.476</w:t>
            </w:r>
          </w:p>
        </w:tc>
        <w:tc>
          <w:tcPr>
            <w:tcW w:w="2085" w:type="dxa"/>
            <w:tcBorders>
              <w:top w:val="nil"/>
              <w:left w:val="nil"/>
              <w:bottom w:val="nil"/>
              <w:right w:val="nil"/>
            </w:tcBorders>
          </w:tcPr>
          <w:p w14:paraId="0A0C386A"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0.535</w:t>
            </w:r>
          </w:p>
        </w:tc>
        <w:tc>
          <w:tcPr>
            <w:tcW w:w="2085" w:type="dxa"/>
            <w:tcBorders>
              <w:top w:val="nil"/>
              <w:left w:val="nil"/>
              <w:bottom w:val="nil"/>
              <w:right w:val="nil"/>
            </w:tcBorders>
          </w:tcPr>
          <w:p w14:paraId="11DCECDD" w14:textId="77777777" w:rsidR="006931FA" w:rsidRPr="00A731B3" w:rsidRDefault="006931FA" w:rsidP="00E17C2C">
            <w:pPr>
              <w:widowControl w:val="0"/>
              <w:autoSpaceDE w:val="0"/>
              <w:adjustRightInd w:val="0"/>
              <w:spacing w:after="0" w:line="240" w:lineRule="auto"/>
              <w:jc w:val="center"/>
              <w:rPr>
                <w:color w:val="000000" w:themeColor="text1"/>
                <w:szCs w:val="24"/>
                <w:lang w:val="en-US"/>
              </w:rPr>
            </w:pPr>
            <w:r w:rsidRPr="00A731B3">
              <w:rPr>
                <w:color w:val="000000" w:themeColor="text1"/>
                <w:szCs w:val="24"/>
                <w:lang w:val="en-US"/>
              </w:rPr>
              <w:t>0.563</w:t>
            </w:r>
          </w:p>
        </w:tc>
      </w:tr>
      <w:tr w:rsidR="00874DC3" w:rsidRPr="00874DC3" w14:paraId="014CC744"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17D61716" w14:textId="77777777" w:rsidR="00874DC3" w:rsidRPr="00874DC3" w:rsidRDefault="00874DC3" w:rsidP="00E17C2C">
            <w:pPr>
              <w:widowControl w:val="0"/>
              <w:autoSpaceDE w:val="0"/>
              <w:adjustRightInd w:val="0"/>
              <w:spacing w:after="0" w:line="240" w:lineRule="auto"/>
              <w:rPr>
                <w:szCs w:val="24"/>
              </w:rPr>
            </w:pPr>
            <w:r w:rsidRPr="00874DC3">
              <w:rPr>
                <w:szCs w:val="24"/>
              </w:rPr>
              <w:t>F</w:t>
            </w:r>
          </w:p>
        </w:tc>
        <w:tc>
          <w:tcPr>
            <w:tcW w:w="2085" w:type="dxa"/>
            <w:tcBorders>
              <w:top w:val="nil"/>
              <w:left w:val="nil"/>
              <w:bottom w:val="nil"/>
              <w:right w:val="nil"/>
            </w:tcBorders>
          </w:tcPr>
          <w:p w14:paraId="0B4063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7.59</w:t>
            </w:r>
          </w:p>
        </w:tc>
        <w:tc>
          <w:tcPr>
            <w:tcW w:w="2085" w:type="dxa"/>
            <w:tcBorders>
              <w:top w:val="nil"/>
              <w:left w:val="nil"/>
              <w:bottom w:val="nil"/>
              <w:right w:val="nil"/>
            </w:tcBorders>
          </w:tcPr>
          <w:p w14:paraId="40261065"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49.83</w:t>
            </w:r>
          </w:p>
        </w:tc>
        <w:tc>
          <w:tcPr>
            <w:tcW w:w="2085" w:type="dxa"/>
            <w:tcBorders>
              <w:top w:val="nil"/>
              <w:left w:val="nil"/>
              <w:bottom w:val="nil"/>
              <w:right w:val="nil"/>
            </w:tcBorders>
          </w:tcPr>
          <w:p w14:paraId="0F4FBE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69.86</w:t>
            </w:r>
          </w:p>
        </w:tc>
      </w:tr>
      <w:tr w:rsidR="00874DC3" w:rsidRPr="00874DC3" w14:paraId="7FEE41D8"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9853219"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&gt; F</w:t>
            </w:r>
          </w:p>
        </w:tc>
        <w:tc>
          <w:tcPr>
            <w:tcW w:w="2085" w:type="dxa"/>
            <w:tcBorders>
              <w:top w:val="nil"/>
              <w:left w:val="nil"/>
              <w:bottom w:val="nil"/>
              <w:right w:val="nil"/>
            </w:tcBorders>
          </w:tcPr>
          <w:p w14:paraId="05DFE45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7947BB5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c>
          <w:tcPr>
            <w:tcW w:w="2085" w:type="dxa"/>
            <w:tcBorders>
              <w:top w:val="nil"/>
              <w:left w:val="nil"/>
              <w:bottom w:val="nil"/>
              <w:right w:val="nil"/>
            </w:tcBorders>
          </w:tcPr>
          <w:p w14:paraId="4FEADB5C"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0.000</w:t>
            </w:r>
          </w:p>
        </w:tc>
      </w:tr>
      <w:tr w:rsidR="00874DC3" w:rsidRPr="00874DC3" w14:paraId="2E4917DF"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7260EB1C"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Hansen </w:t>
            </w:r>
            <w:r w:rsidRPr="00874DC3">
              <w:rPr>
                <w:i/>
                <w:iCs/>
                <w:szCs w:val="24"/>
              </w:rPr>
              <w:t xml:space="preserve">J </w:t>
            </w:r>
            <w:proofErr w:type="spellStart"/>
            <w:r w:rsidRPr="00874DC3">
              <w:rPr>
                <w:szCs w:val="24"/>
              </w:rPr>
              <w:t>statistic</w:t>
            </w:r>
            <w:proofErr w:type="spellEnd"/>
          </w:p>
        </w:tc>
        <w:tc>
          <w:tcPr>
            <w:tcW w:w="2085" w:type="dxa"/>
            <w:tcBorders>
              <w:top w:val="nil"/>
              <w:left w:val="nil"/>
              <w:bottom w:val="nil"/>
              <w:right w:val="nil"/>
            </w:tcBorders>
          </w:tcPr>
          <w:p w14:paraId="0B2883E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c>
          <w:tcPr>
            <w:tcW w:w="2085" w:type="dxa"/>
            <w:tcBorders>
              <w:top w:val="nil"/>
              <w:left w:val="nil"/>
              <w:bottom w:val="nil"/>
              <w:right w:val="nil"/>
            </w:tcBorders>
          </w:tcPr>
          <w:p w14:paraId="2C5878E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1.747</w:t>
            </w:r>
          </w:p>
        </w:tc>
        <w:tc>
          <w:tcPr>
            <w:tcW w:w="2085" w:type="dxa"/>
            <w:tcBorders>
              <w:top w:val="nil"/>
              <w:left w:val="nil"/>
              <w:bottom w:val="nil"/>
              <w:right w:val="nil"/>
            </w:tcBorders>
          </w:tcPr>
          <w:p w14:paraId="5922FCCD"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1.021</w:t>
            </w:r>
          </w:p>
        </w:tc>
      </w:tr>
      <w:tr w:rsidR="00874DC3" w:rsidRPr="00874DC3" w14:paraId="01554B31"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5257FDB"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Chi2(1)</w:t>
            </w:r>
          </w:p>
        </w:tc>
        <w:tc>
          <w:tcPr>
            <w:tcW w:w="2085" w:type="dxa"/>
            <w:tcBorders>
              <w:top w:val="nil"/>
              <w:left w:val="nil"/>
              <w:bottom w:val="nil"/>
              <w:right w:val="nil"/>
            </w:tcBorders>
          </w:tcPr>
          <w:p w14:paraId="4AA6D717"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c>
          <w:tcPr>
            <w:tcW w:w="2085" w:type="dxa"/>
            <w:tcBorders>
              <w:top w:val="nil"/>
              <w:left w:val="nil"/>
              <w:bottom w:val="nil"/>
              <w:right w:val="nil"/>
            </w:tcBorders>
          </w:tcPr>
          <w:p w14:paraId="7D9661B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0.417</w:t>
            </w:r>
          </w:p>
        </w:tc>
        <w:tc>
          <w:tcPr>
            <w:tcW w:w="2085" w:type="dxa"/>
            <w:tcBorders>
              <w:top w:val="nil"/>
              <w:left w:val="nil"/>
              <w:bottom w:val="nil"/>
              <w:right w:val="nil"/>
            </w:tcBorders>
          </w:tcPr>
          <w:p w14:paraId="0D2FE448"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0.600</w:t>
            </w:r>
          </w:p>
        </w:tc>
      </w:tr>
      <w:tr w:rsidR="00874DC3" w:rsidRPr="00874DC3" w14:paraId="75224F4C" w14:textId="77777777" w:rsidTr="009D1D94">
        <w:tblPrEx>
          <w:tblBorders>
            <w:bottom w:val="single" w:sz="6" w:space="0" w:color="auto"/>
          </w:tblBorders>
        </w:tblPrEx>
        <w:trPr>
          <w:trHeight w:val="244"/>
          <w:jc w:val="center"/>
        </w:trPr>
        <w:tc>
          <w:tcPr>
            <w:tcW w:w="2819" w:type="dxa"/>
            <w:tcBorders>
              <w:top w:val="nil"/>
              <w:left w:val="nil"/>
              <w:bottom w:val="nil"/>
              <w:right w:val="nil"/>
            </w:tcBorders>
          </w:tcPr>
          <w:p w14:paraId="403250A5" w14:textId="77777777" w:rsidR="00874DC3" w:rsidRPr="00874DC3" w:rsidRDefault="00874DC3" w:rsidP="00E17C2C">
            <w:pPr>
              <w:widowControl w:val="0"/>
              <w:autoSpaceDE w:val="0"/>
              <w:adjustRightInd w:val="0"/>
              <w:spacing w:after="0" w:line="240" w:lineRule="auto"/>
              <w:rPr>
                <w:szCs w:val="24"/>
              </w:rPr>
            </w:pPr>
            <w:proofErr w:type="spellStart"/>
            <w:r w:rsidRPr="00874DC3">
              <w:rPr>
                <w:szCs w:val="24"/>
              </w:rPr>
              <w:t>Endogeneity</w:t>
            </w:r>
            <w:proofErr w:type="spellEnd"/>
            <w:r w:rsidRPr="00874DC3">
              <w:rPr>
                <w:szCs w:val="24"/>
              </w:rPr>
              <w:t xml:space="preserve"> test</w:t>
            </w:r>
          </w:p>
        </w:tc>
        <w:tc>
          <w:tcPr>
            <w:tcW w:w="2085" w:type="dxa"/>
            <w:tcBorders>
              <w:top w:val="nil"/>
              <w:left w:val="nil"/>
              <w:bottom w:val="nil"/>
              <w:right w:val="nil"/>
            </w:tcBorders>
          </w:tcPr>
          <w:p w14:paraId="654CAC79"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9.577</w:t>
            </w:r>
          </w:p>
        </w:tc>
        <w:tc>
          <w:tcPr>
            <w:tcW w:w="2085" w:type="dxa"/>
            <w:tcBorders>
              <w:top w:val="nil"/>
              <w:left w:val="nil"/>
              <w:bottom w:val="nil"/>
              <w:right w:val="nil"/>
            </w:tcBorders>
          </w:tcPr>
          <w:p w14:paraId="49817DCA"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10.237</w:t>
            </w:r>
          </w:p>
        </w:tc>
        <w:tc>
          <w:tcPr>
            <w:tcW w:w="2085" w:type="dxa"/>
            <w:tcBorders>
              <w:top w:val="nil"/>
              <w:left w:val="nil"/>
              <w:bottom w:val="nil"/>
              <w:right w:val="nil"/>
            </w:tcBorders>
          </w:tcPr>
          <w:p w14:paraId="07C39470"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9.578</w:t>
            </w:r>
          </w:p>
        </w:tc>
      </w:tr>
      <w:tr w:rsidR="00874DC3" w:rsidRPr="00874DC3" w14:paraId="5C6CFEFD" w14:textId="77777777" w:rsidTr="009D1D94">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404902CE" w14:textId="77777777" w:rsidR="00874DC3" w:rsidRPr="00874DC3" w:rsidRDefault="00874DC3" w:rsidP="00E17C2C">
            <w:pPr>
              <w:widowControl w:val="0"/>
              <w:autoSpaceDE w:val="0"/>
              <w:adjustRightInd w:val="0"/>
              <w:spacing w:after="0" w:line="240" w:lineRule="auto"/>
              <w:rPr>
                <w:szCs w:val="24"/>
              </w:rPr>
            </w:pPr>
            <w:r w:rsidRPr="00874DC3">
              <w:rPr>
                <w:szCs w:val="24"/>
              </w:rPr>
              <w:t xml:space="preserve">Prob </w:t>
            </w:r>
            <w:r w:rsidRPr="00874DC3">
              <w:rPr>
                <w:i/>
                <w:iCs/>
                <w:szCs w:val="24"/>
              </w:rPr>
              <w:t xml:space="preserve">&gt; </w:t>
            </w:r>
            <w:r w:rsidRPr="00874DC3">
              <w:rPr>
                <w:szCs w:val="24"/>
              </w:rPr>
              <w:t>Chi2(2)</w:t>
            </w:r>
          </w:p>
        </w:tc>
        <w:tc>
          <w:tcPr>
            <w:tcW w:w="2085" w:type="dxa"/>
            <w:tcBorders>
              <w:top w:val="nil"/>
              <w:left w:val="nil"/>
              <w:bottom w:val="single" w:sz="6" w:space="0" w:color="auto"/>
              <w:right w:val="nil"/>
            </w:tcBorders>
          </w:tcPr>
          <w:p w14:paraId="4BFD7DC4"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c>
          <w:tcPr>
            <w:tcW w:w="2085" w:type="dxa"/>
            <w:tcBorders>
              <w:top w:val="nil"/>
              <w:left w:val="nil"/>
              <w:bottom w:val="single" w:sz="6" w:space="0" w:color="auto"/>
              <w:right w:val="nil"/>
            </w:tcBorders>
          </w:tcPr>
          <w:p w14:paraId="56CE9561"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0.001</w:t>
            </w:r>
          </w:p>
        </w:tc>
        <w:tc>
          <w:tcPr>
            <w:tcW w:w="2085" w:type="dxa"/>
            <w:tcBorders>
              <w:top w:val="nil"/>
              <w:left w:val="nil"/>
              <w:bottom w:val="single" w:sz="6" w:space="0" w:color="auto"/>
              <w:right w:val="nil"/>
            </w:tcBorders>
          </w:tcPr>
          <w:p w14:paraId="4E458786" w14:textId="77777777" w:rsidR="00874DC3" w:rsidRPr="00874DC3" w:rsidRDefault="00874DC3" w:rsidP="00E17C2C">
            <w:pPr>
              <w:widowControl w:val="0"/>
              <w:autoSpaceDE w:val="0"/>
              <w:adjustRightInd w:val="0"/>
              <w:spacing w:after="0" w:line="240" w:lineRule="auto"/>
              <w:jc w:val="center"/>
              <w:rPr>
                <w:szCs w:val="24"/>
              </w:rPr>
            </w:pPr>
            <w:r w:rsidRPr="00874DC3">
              <w:rPr>
                <w:szCs w:val="24"/>
              </w:rPr>
              <w:t>0.002</w:t>
            </w:r>
          </w:p>
        </w:tc>
      </w:tr>
      <w:tr w:rsidR="00874DC3" w:rsidRPr="00A731B3" w14:paraId="58A6F371" w14:textId="77777777" w:rsidTr="0019321B">
        <w:tblPrEx>
          <w:tblBorders>
            <w:bottom w:val="single" w:sz="6" w:space="0" w:color="auto"/>
          </w:tblBorders>
        </w:tblPrEx>
        <w:trPr>
          <w:trHeight w:val="244"/>
          <w:jc w:val="center"/>
        </w:trPr>
        <w:tc>
          <w:tcPr>
            <w:tcW w:w="2819" w:type="dxa"/>
            <w:tcBorders>
              <w:top w:val="nil"/>
              <w:left w:val="nil"/>
              <w:bottom w:val="single" w:sz="6" w:space="0" w:color="auto"/>
              <w:right w:val="nil"/>
            </w:tcBorders>
          </w:tcPr>
          <w:p w14:paraId="3339F86D" w14:textId="77777777" w:rsidR="00874DC3" w:rsidRPr="00A731B3" w:rsidRDefault="00874DC3" w:rsidP="00E17C2C">
            <w:pPr>
              <w:widowControl w:val="0"/>
              <w:autoSpaceDE w:val="0"/>
              <w:adjustRightInd w:val="0"/>
              <w:spacing w:after="0" w:line="240" w:lineRule="auto"/>
              <w:rPr>
                <w:color w:val="000000" w:themeColor="text1"/>
                <w:szCs w:val="24"/>
                <w:lang w:val="en-US"/>
              </w:rPr>
            </w:pPr>
          </w:p>
        </w:tc>
        <w:tc>
          <w:tcPr>
            <w:tcW w:w="2085" w:type="dxa"/>
            <w:tcBorders>
              <w:top w:val="nil"/>
              <w:left w:val="nil"/>
              <w:bottom w:val="single" w:sz="6" w:space="0" w:color="auto"/>
              <w:right w:val="nil"/>
            </w:tcBorders>
          </w:tcPr>
          <w:p w14:paraId="51FC4E54"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5755D976"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c>
          <w:tcPr>
            <w:tcW w:w="2085" w:type="dxa"/>
            <w:tcBorders>
              <w:top w:val="nil"/>
              <w:left w:val="nil"/>
              <w:bottom w:val="single" w:sz="6" w:space="0" w:color="auto"/>
              <w:right w:val="nil"/>
            </w:tcBorders>
          </w:tcPr>
          <w:p w14:paraId="138461C1" w14:textId="77777777" w:rsidR="00874DC3" w:rsidRPr="00A731B3" w:rsidRDefault="00874DC3" w:rsidP="00E17C2C">
            <w:pPr>
              <w:widowControl w:val="0"/>
              <w:autoSpaceDE w:val="0"/>
              <w:adjustRightInd w:val="0"/>
              <w:spacing w:after="0" w:line="240" w:lineRule="auto"/>
              <w:jc w:val="center"/>
              <w:rPr>
                <w:color w:val="000000" w:themeColor="text1"/>
                <w:szCs w:val="24"/>
                <w:lang w:val="en-US"/>
              </w:rPr>
            </w:pPr>
          </w:p>
        </w:tc>
      </w:tr>
    </w:tbl>
    <w:p w14:paraId="7CE23F5F" w14:textId="52F63750" w:rsidR="00784F28" w:rsidRDefault="00810E3B" w:rsidP="00AB0B6B">
      <w:pPr>
        <w:widowControl w:val="0"/>
        <w:autoSpaceDE w:val="0"/>
        <w:adjustRightInd w:val="0"/>
        <w:spacing w:after="0" w:line="240" w:lineRule="auto"/>
        <w:rPr>
          <w:color w:val="000000" w:themeColor="text1"/>
          <w:sz w:val="20"/>
          <w:szCs w:val="20"/>
          <w:lang w:val="en-US"/>
        </w:rPr>
      </w:pPr>
      <w:r w:rsidRPr="00810E3B">
        <w:rPr>
          <w:color w:val="000000" w:themeColor="text1"/>
          <w:sz w:val="20"/>
          <w:szCs w:val="20"/>
          <w:lang w:val="en-US"/>
        </w:rPr>
        <w:t>Standard deviations in brackets; Significance threshold</w:t>
      </w:r>
      <w:r w:rsidR="00784F28" w:rsidRPr="00810E3B">
        <w:rPr>
          <w:color w:val="000000" w:themeColor="text1"/>
          <w:sz w:val="20"/>
          <w:szCs w:val="20"/>
          <w:lang w:val="en-US"/>
        </w:rPr>
        <w:t>:</w:t>
      </w:r>
      <w:r>
        <w:rPr>
          <w:color w:val="000000" w:themeColor="text1"/>
          <w:sz w:val="20"/>
          <w:szCs w:val="20"/>
          <w:lang w:val="en-US"/>
        </w:rPr>
        <w:t xml:space="preserve"> </w:t>
      </w:r>
      <w:r w:rsidR="00784F28" w:rsidRPr="00810E3B">
        <w:rPr>
          <w:color w:val="000000" w:themeColor="text1"/>
          <w:sz w:val="20"/>
          <w:szCs w:val="20"/>
          <w:lang w:val="en-US"/>
        </w:rPr>
        <w:t>*** p&lt;0.01, ** p&lt;0.05, * p&lt;0.1</w:t>
      </w:r>
    </w:p>
    <w:p w14:paraId="4AB4E84E" w14:textId="0EAD458D" w:rsidR="00AB0B6B" w:rsidRPr="00AB0B6B" w:rsidRDefault="00AB0B6B" w:rsidP="00AB0B6B">
      <w:pPr>
        <w:widowControl w:val="0"/>
        <w:autoSpaceDE w:val="0"/>
        <w:adjustRightInd w:val="0"/>
        <w:spacing w:after="0" w:line="240" w:lineRule="auto"/>
        <w:rPr>
          <w:color w:val="000000" w:themeColor="text1"/>
          <w:szCs w:val="24"/>
          <w:lang w:val="en-US"/>
        </w:rPr>
      </w:pPr>
      <w:r w:rsidRPr="00AB0B6B">
        <w:rPr>
          <w:color w:val="000000" w:themeColor="text1"/>
          <w:szCs w:val="24"/>
          <w:lang w:val="en-US"/>
        </w:rPr>
        <w:t>Source: Author 2022</w:t>
      </w:r>
    </w:p>
    <w:p w14:paraId="3BDF53E2" w14:textId="00A5FFE3" w:rsidR="00171F77" w:rsidRPr="00A731B3" w:rsidRDefault="00171F77" w:rsidP="00A731B3">
      <w:pPr>
        <w:spacing w:before="240" w:line="360" w:lineRule="auto"/>
        <w:jc w:val="both"/>
        <w:rPr>
          <w:bCs/>
          <w:color w:val="000000" w:themeColor="text1"/>
          <w:szCs w:val="24"/>
          <w:highlight w:val="yellow"/>
          <w:lang w:val="en-US"/>
        </w:rPr>
      </w:pPr>
      <w:r w:rsidRPr="00A731B3">
        <w:rPr>
          <w:bCs/>
          <w:color w:val="000000" w:themeColor="text1"/>
          <w:szCs w:val="24"/>
          <w:lang w:val="en-US"/>
        </w:rPr>
        <w:lastRenderedPageBreak/>
        <w:t xml:space="preserve">In sum, the results of the effect of ICTs on agricultural structural transformation reveal that internet access promotes the transfer of labor from the agricultural sector to the industrial sector and the service sector in SSA. </w:t>
      </w:r>
      <w:r w:rsidR="00874DC3" w:rsidRPr="00874DC3">
        <w:rPr>
          <w:bCs/>
          <w:color w:val="000000" w:themeColor="text1"/>
          <w:szCs w:val="24"/>
          <w:lang w:val="en-US"/>
        </w:rPr>
        <w:t xml:space="preserve">Indeed, with the advent of the Internet, agricultural employees are </w:t>
      </w:r>
      <w:r w:rsidR="00785B50">
        <w:rPr>
          <w:bCs/>
          <w:color w:val="000000" w:themeColor="text1"/>
          <w:szCs w:val="24"/>
          <w:lang w:val="en-US"/>
        </w:rPr>
        <w:t>well</w:t>
      </w:r>
      <w:r w:rsidR="00874DC3" w:rsidRPr="00874DC3">
        <w:rPr>
          <w:bCs/>
          <w:color w:val="000000" w:themeColor="text1"/>
          <w:szCs w:val="24"/>
          <w:lang w:val="en-US"/>
        </w:rPr>
        <w:t xml:space="preserve"> informed about the different labor markets. Thus, non-agricultural jobs that are better paid attract agricultural labor leading to structural transformation.</w:t>
      </w:r>
      <w:r w:rsidR="00874DC3">
        <w:rPr>
          <w:bCs/>
          <w:color w:val="000000" w:themeColor="text1"/>
          <w:szCs w:val="24"/>
          <w:lang w:val="en-US"/>
        </w:rPr>
        <w:t xml:space="preserve"> </w:t>
      </w:r>
      <w:r w:rsidRPr="00A731B3">
        <w:rPr>
          <w:bCs/>
          <w:color w:val="000000" w:themeColor="text1"/>
          <w:szCs w:val="24"/>
          <w:lang w:val="en-US"/>
        </w:rPr>
        <w:t xml:space="preserve">In addition, an increase in the number of internet and telephone subscribers translates into an increase in the share of agricultural jobs created in SSA. </w:t>
      </w:r>
      <w:r w:rsidR="00874DC3" w:rsidRPr="00874DC3">
        <w:rPr>
          <w:bCs/>
          <w:color w:val="000000" w:themeColor="text1"/>
          <w:szCs w:val="24"/>
          <w:lang w:val="en-US"/>
        </w:rPr>
        <w:t>These new jobs created would generally represent modern agricultural jobs. Indeed, ICTs allow economic players to come together and promote the sharing of experiences at the global level. Developing countries, particularly those in Sub-Saharan Africa, then discovered modern agricultural techniques and imported them. This increases the number of modern jobs such as in the mechanization of agriculture, the use of improved seeds and fertilizers and irrigation techniques.</w:t>
      </w:r>
      <w:r w:rsidR="00874DC3">
        <w:rPr>
          <w:bCs/>
          <w:color w:val="000000" w:themeColor="text1"/>
          <w:szCs w:val="24"/>
          <w:lang w:val="en-US"/>
        </w:rPr>
        <w:t xml:space="preserve"> </w:t>
      </w:r>
      <w:r w:rsidRPr="00A731B3">
        <w:rPr>
          <w:bCs/>
          <w:color w:val="000000" w:themeColor="text1"/>
          <w:szCs w:val="24"/>
          <w:lang w:val="en-US"/>
        </w:rPr>
        <w:t xml:space="preserve">The positive effect of internet and telephone access on agricultural structural transformation measured by the share of agricultural employment </w:t>
      </w:r>
      <w:r w:rsidR="00874DC3">
        <w:rPr>
          <w:bCs/>
          <w:color w:val="000000" w:themeColor="text1"/>
          <w:szCs w:val="24"/>
          <w:lang w:val="en-US"/>
        </w:rPr>
        <w:t>confirms Solow's paradox</w:t>
      </w:r>
      <w:r w:rsidR="00874DC3" w:rsidRPr="00874DC3">
        <w:rPr>
          <w:bCs/>
          <w:color w:val="000000" w:themeColor="text1"/>
          <w:szCs w:val="24"/>
          <w:lang w:val="en-US"/>
        </w:rPr>
        <w:t xml:space="preserve"> and </w:t>
      </w:r>
      <w:r w:rsidRPr="00A731B3">
        <w:rPr>
          <w:bCs/>
          <w:color w:val="000000" w:themeColor="text1"/>
          <w:szCs w:val="24"/>
          <w:lang w:val="en-US"/>
        </w:rPr>
        <w:t xml:space="preserve">is similar to the results of the work of Ehlers </w:t>
      </w:r>
      <w:r w:rsidRPr="00F535CE">
        <w:rPr>
          <w:bCs/>
          <w:i/>
          <w:color w:val="000000" w:themeColor="text1"/>
          <w:szCs w:val="24"/>
          <w:lang w:val="en-US"/>
        </w:rPr>
        <w:t>et al.</w:t>
      </w:r>
      <w:r w:rsidRPr="00A731B3">
        <w:rPr>
          <w:bCs/>
          <w:color w:val="000000" w:themeColor="text1"/>
          <w:szCs w:val="24"/>
          <w:lang w:val="en-US"/>
        </w:rPr>
        <w:t xml:space="preserve"> (2021) for Europe, Fleming </w:t>
      </w:r>
      <w:r w:rsidRPr="00F535CE">
        <w:rPr>
          <w:bCs/>
          <w:i/>
          <w:color w:val="000000" w:themeColor="text1"/>
          <w:szCs w:val="24"/>
          <w:lang w:val="en-US"/>
        </w:rPr>
        <w:t>et al</w:t>
      </w:r>
      <w:r w:rsidRPr="00A731B3">
        <w:rPr>
          <w:bCs/>
          <w:color w:val="000000" w:themeColor="text1"/>
          <w:szCs w:val="24"/>
          <w:lang w:val="en-US"/>
        </w:rPr>
        <w:t xml:space="preserve">. (2021) for Australia and Anisimov </w:t>
      </w:r>
      <w:r w:rsidRPr="00F535CE">
        <w:rPr>
          <w:bCs/>
          <w:i/>
          <w:color w:val="000000" w:themeColor="text1"/>
          <w:szCs w:val="24"/>
          <w:lang w:val="en-US"/>
        </w:rPr>
        <w:t>et al</w:t>
      </w:r>
      <w:r w:rsidRPr="00A731B3">
        <w:rPr>
          <w:bCs/>
          <w:color w:val="000000" w:themeColor="text1"/>
          <w:szCs w:val="24"/>
          <w:lang w:val="en-US"/>
        </w:rPr>
        <w:t>. (2019) for Russia.</w:t>
      </w:r>
    </w:p>
    <w:p w14:paraId="13865EFA" w14:textId="661A66DB" w:rsidR="0008153A" w:rsidRPr="00A731B3" w:rsidRDefault="00880FDD" w:rsidP="00A731B3">
      <w:pPr>
        <w:spacing w:before="240" w:after="0" w:line="360" w:lineRule="auto"/>
        <w:jc w:val="both"/>
        <w:rPr>
          <w:b/>
          <w:bCs/>
          <w:color w:val="000000" w:themeColor="text1"/>
          <w:szCs w:val="24"/>
          <w:lang w:val="en-US"/>
        </w:rPr>
      </w:pPr>
      <w:r>
        <w:rPr>
          <w:b/>
          <w:bCs/>
          <w:color w:val="000000" w:themeColor="text1"/>
          <w:szCs w:val="24"/>
          <w:lang w:val="en-US"/>
        </w:rPr>
        <w:t>Conclusion</w:t>
      </w:r>
    </w:p>
    <w:p w14:paraId="0709C04C" w14:textId="50561401" w:rsidR="00171F77" w:rsidRDefault="00171F77" w:rsidP="00A731B3">
      <w:pPr>
        <w:spacing w:before="240" w:after="0" w:line="360" w:lineRule="auto"/>
        <w:jc w:val="both"/>
        <w:rPr>
          <w:color w:val="000000" w:themeColor="text1"/>
          <w:szCs w:val="24"/>
          <w:lang w:val="en-US"/>
        </w:rPr>
      </w:pPr>
      <w:r w:rsidRPr="00A731B3">
        <w:rPr>
          <w:color w:val="000000" w:themeColor="text1"/>
          <w:szCs w:val="24"/>
          <w:lang w:val="en-US"/>
        </w:rPr>
        <w:t xml:space="preserve">The </w:t>
      </w:r>
      <w:r w:rsidR="006A0902">
        <w:rPr>
          <w:color w:val="000000" w:themeColor="text1"/>
          <w:szCs w:val="24"/>
          <w:lang w:val="en-US"/>
        </w:rPr>
        <w:t>findings of the paper</w:t>
      </w:r>
      <w:r w:rsidRPr="00A731B3">
        <w:rPr>
          <w:color w:val="000000" w:themeColor="text1"/>
          <w:szCs w:val="24"/>
          <w:lang w:val="en-US"/>
        </w:rPr>
        <w:t xml:space="preserve"> revealed that internet access, industrial labor reallocation, and service labor reallocation negatively affect agricultural labor reallocation. However, trade openness and access to credit positively influence the reallocation of agricultural </w:t>
      </w:r>
      <w:r w:rsidR="0060365E" w:rsidRPr="0060365E">
        <w:rPr>
          <w:color w:val="000000" w:themeColor="text1"/>
          <w:szCs w:val="24"/>
          <w:lang w:val="en-US"/>
        </w:rPr>
        <w:t>labor</w:t>
      </w:r>
      <w:r w:rsidRPr="00A731B3">
        <w:rPr>
          <w:color w:val="000000" w:themeColor="text1"/>
          <w:szCs w:val="24"/>
          <w:lang w:val="en-US"/>
        </w:rPr>
        <w:t>. Internet access and gross fixed capital formation promote agricultural job creation, while human capital accumulation, trade openness and access to credit negatively affect the share of agricultural employment. In addition, factors such as human capital accumulation and access to credit negatively affect the share of agricultural value added. The results also revealed that telephone access has no significant effect on agricultural structural transformation. These different results have implications for economic policies and suggest that in SSA, digitalization must be promoted in order to stimulate the reallocation of labor from the agricultural sector to the industrial sector and the service sector</w:t>
      </w:r>
      <w:r w:rsidR="0060365E">
        <w:rPr>
          <w:color w:val="000000" w:themeColor="text1"/>
          <w:szCs w:val="24"/>
          <w:lang w:val="en-US"/>
        </w:rPr>
        <w:t>. This will help</w:t>
      </w:r>
      <w:r w:rsidRPr="00A731B3">
        <w:rPr>
          <w:color w:val="000000" w:themeColor="text1"/>
          <w:szCs w:val="24"/>
          <w:lang w:val="en-US"/>
        </w:rPr>
        <w:t xml:space="preserve"> to the achievement of Agenda </w:t>
      </w:r>
      <w:r w:rsidR="00C82963" w:rsidRPr="00A731B3">
        <w:rPr>
          <w:color w:val="000000" w:themeColor="text1"/>
          <w:szCs w:val="24"/>
          <w:lang w:val="en-US"/>
        </w:rPr>
        <w:t>2063, which</w:t>
      </w:r>
      <w:r w:rsidRPr="00A731B3">
        <w:rPr>
          <w:color w:val="000000" w:themeColor="text1"/>
          <w:szCs w:val="24"/>
          <w:lang w:val="en-US"/>
        </w:rPr>
        <w:t xml:space="preserve"> </w:t>
      </w:r>
      <w:r w:rsidR="0060365E">
        <w:rPr>
          <w:color w:val="000000" w:themeColor="text1"/>
          <w:szCs w:val="24"/>
          <w:lang w:val="en-US"/>
        </w:rPr>
        <w:t>promote</w:t>
      </w:r>
      <w:r w:rsidRPr="00A731B3">
        <w:rPr>
          <w:color w:val="000000" w:themeColor="text1"/>
          <w:szCs w:val="24"/>
          <w:lang w:val="en-US"/>
        </w:rPr>
        <w:t xml:space="preserve"> the structural transformation of African economies.</w:t>
      </w:r>
    </w:p>
    <w:p w14:paraId="3F1F8E73" w14:textId="77777777" w:rsidR="00C82963" w:rsidRPr="00C82963" w:rsidRDefault="00C82963" w:rsidP="00C82963">
      <w:pPr>
        <w:spacing w:before="240" w:after="0" w:line="360" w:lineRule="auto"/>
        <w:jc w:val="both"/>
        <w:rPr>
          <w:b/>
          <w:color w:val="000000" w:themeColor="text1"/>
          <w:szCs w:val="24"/>
          <w:lang w:val="en-US"/>
        </w:rPr>
      </w:pPr>
      <w:r w:rsidRPr="00C82963">
        <w:rPr>
          <w:b/>
          <w:color w:val="000000" w:themeColor="text1"/>
          <w:szCs w:val="24"/>
          <w:lang w:val="en-US"/>
        </w:rPr>
        <w:t>Declaration of interest</w:t>
      </w:r>
    </w:p>
    <w:p w14:paraId="01534831" w14:textId="400FE1FA" w:rsidR="00C82963" w:rsidRPr="00A731B3" w:rsidRDefault="00E17C2C" w:rsidP="00C82963">
      <w:pPr>
        <w:spacing w:before="240" w:after="0" w:line="360" w:lineRule="auto"/>
        <w:jc w:val="both"/>
        <w:rPr>
          <w:color w:val="000000" w:themeColor="text1"/>
          <w:szCs w:val="24"/>
          <w:lang w:val="en-US"/>
        </w:rPr>
      </w:pPr>
      <w:r>
        <w:rPr>
          <w:color w:val="000000" w:themeColor="text1"/>
          <w:szCs w:val="24"/>
          <w:lang w:val="en-US"/>
        </w:rPr>
        <w:t xml:space="preserve">We confirm that </w:t>
      </w:r>
      <w:r w:rsidR="00C82963">
        <w:rPr>
          <w:color w:val="000000" w:themeColor="text1"/>
          <w:szCs w:val="24"/>
          <w:lang w:val="en-US"/>
        </w:rPr>
        <w:t xml:space="preserve">there </w:t>
      </w:r>
      <w:proofErr w:type="gramStart"/>
      <w:r w:rsidR="00C82963">
        <w:rPr>
          <w:color w:val="000000" w:themeColor="text1"/>
          <w:szCs w:val="24"/>
          <w:lang w:val="en-US"/>
        </w:rPr>
        <w:t>is</w:t>
      </w:r>
      <w:proofErr w:type="gramEnd"/>
      <w:r w:rsidR="00C82963">
        <w:rPr>
          <w:color w:val="000000" w:themeColor="text1"/>
          <w:szCs w:val="24"/>
          <w:lang w:val="en-US"/>
        </w:rPr>
        <w:t xml:space="preserve"> no</w:t>
      </w:r>
      <w:r w:rsidR="00342402">
        <w:rPr>
          <w:color w:val="000000" w:themeColor="text1"/>
          <w:szCs w:val="24"/>
          <w:lang w:val="en-US"/>
        </w:rPr>
        <w:t xml:space="preserve"> </w:t>
      </w:r>
      <w:r w:rsidR="00C82963" w:rsidRPr="00C82963">
        <w:rPr>
          <w:color w:val="000000" w:themeColor="text1"/>
          <w:szCs w:val="24"/>
          <w:lang w:val="en-US"/>
        </w:rPr>
        <w:t>financial and personal relationships wit</w:t>
      </w:r>
      <w:r w:rsidR="00747DE8">
        <w:rPr>
          <w:color w:val="000000" w:themeColor="text1"/>
          <w:szCs w:val="24"/>
          <w:lang w:val="en-US"/>
        </w:rPr>
        <w:t xml:space="preserve">h other people or </w:t>
      </w:r>
      <w:r w:rsidR="00005E97">
        <w:rPr>
          <w:color w:val="000000" w:themeColor="text1"/>
          <w:szCs w:val="24"/>
          <w:lang w:val="en-US"/>
        </w:rPr>
        <w:t xml:space="preserve">organizations </w:t>
      </w:r>
      <w:r w:rsidR="00C82963" w:rsidRPr="00C82963">
        <w:rPr>
          <w:color w:val="000000" w:themeColor="text1"/>
          <w:szCs w:val="24"/>
          <w:lang w:val="en-US"/>
        </w:rPr>
        <w:t>that could inappropriately influence</w:t>
      </w:r>
      <w:r w:rsidR="00342402">
        <w:rPr>
          <w:color w:val="000000" w:themeColor="text1"/>
          <w:szCs w:val="24"/>
          <w:lang w:val="en-US"/>
        </w:rPr>
        <w:t xml:space="preserve"> this work.</w:t>
      </w:r>
    </w:p>
    <w:p w14:paraId="75E1A56E" w14:textId="77777777" w:rsidR="001342B3" w:rsidRPr="00A731B3" w:rsidRDefault="001342B3" w:rsidP="00A731B3">
      <w:pPr>
        <w:spacing w:after="0" w:line="360" w:lineRule="auto"/>
        <w:jc w:val="both"/>
        <w:rPr>
          <w:color w:val="000000" w:themeColor="text1"/>
          <w:szCs w:val="24"/>
          <w:lang w:val="en-US"/>
        </w:rPr>
      </w:pPr>
    </w:p>
    <w:p w14:paraId="5EB32283" w14:textId="77777777" w:rsidR="00EC3C83" w:rsidRPr="00EC3C83" w:rsidRDefault="00EC3C83" w:rsidP="00EC3C83">
      <w:pPr>
        <w:rPr>
          <w:highlight w:val="yellow"/>
        </w:rPr>
      </w:pPr>
      <w:r w:rsidRPr="00EC3C83">
        <w:rPr>
          <w:highlight w:val="yellow"/>
        </w:rPr>
        <w:t>Disclaimer (</w:t>
      </w:r>
      <w:proofErr w:type="spellStart"/>
      <w:r w:rsidRPr="00EC3C83">
        <w:rPr>
          <w:highlight w:val="yellow"/>
        </w:rPr>
        <w:t>Artificial</w:t>
      </w:r>
      <w:proofErr w:type="spellEnd"/>
      <w:r w:rsidRPr="00EC3C83">
        <w:rPr>
          <w:highlight w:val="yellow"/>
        </w:rPr>
        <w:t xml:space="preserve"> intelligence)</w:t>
      </w:r>
    </w:p>
    <w:p w14:paraId="193FDDD3" w14:textId="77777777" w:rsidR="00EC3C83" w:rsidRPr="00EC3C83" w:rsidRDefault="00EC3C83" w:rsidP="00EC3C83">
      <w:pPr>
        <w:rPr>
          <w:highlight w:val="yellow"/>
        </w:rPr>
      </w:pPr>
      <w:r w:rsidRPr="00EC3C83">
        <w:rPr>
          <w:highlight w:val="yellow"/>
        </w:rPr>
        <w:t xml:space="preserve">Option </w:t>
      </w:r>
      <w:proofErr w:type="gramStart"/>
      <w:r w:rsidRPr="00EC3C83">
        <w:rPr>
          <w:highlight w:val="yellow"/>
        </w:rPr>
        <w:t>1:</w:t>
      </w:r>
      <w:proofErr w:type="gramEnd"/>
      <w:r w:rsidRPr="00EC3C83">
        <w:rPr>
          <w:highlight w:val="yellow"/>
        </w:rPr>
        <w:t xml:space="preserve"> </w:t>
      </w:r>
    </w:p>
    <w:p w14:paraId="422DA026" w14:textId="77777777" w:rsidR="00EC3C83" w:rsidRPr="00EC3C83" w:rsidRDefault="00EC3C83" w:rsidP="00EC3C83">
      <w:pPr>
        <w:rPr>
          <w:highlight w:val="yellow"/>
        </w:rPr>
      </w:pPr>
      <w:proofErr w:type="spellStart"/>
      <w:r w:rsidRPr="00EC3C83">
        <w:rPr>
          <w:highlight w:val="yellow"/>
        </w:rPr>
        <w:t>Author</w:t>
      </w:r>
      <w:proofErr w:type="spellEnd"/>
      <w:r w:rsidRPr="00EC3C83">
        <w:rPr>
          <w:highlight w:val="yellow"/>
        </w:rPr>
        <w:t xml:space="preserve">(s) </w:t>
      </w:r>
      <w:proofErr w:type="spellStart"/>
      <w:r w:rsidRPr="00EC3C83">
        <w:rPr>
          <w:highlight w:val="yellow"/>
        </w:rPr>
        <w:t>hereby</w:t>
      </w:r>
      <w:proofErr w:type="spellEnd"/>
      <w:r w:rsidRPr="00EC3C83">
        <w:rPr>
          <w:highlight w:val="yellow"/>
        </w:rPr>
        <w:t xml:space="preserve"> </w:t>
      </w:r>
      <w:proofErr w:type="spellStart"/>
      <w:r w:rsidRPr="00EC3C83">
        <w:rPr>
          <w:highlight w:val="yellow"/>
        </w:rPr>
        <w:t>declare</w:t>
      </w:r>
      <w:proofErr w:type="spellEnd"/>
      <w:r w:rsidRPr="00EC3C83">
        <w:rPr>
          <w:highlight w:val="yellow"/>
        </w:rPr>
        <w:t xml:space="preserve"> </w:t>
      </w:r>
      <w:proofErr w:type="spellStart"/>
      <w:r w:rsidRPr="00EC3C83">
        <w:rPr>
          <w:highlight w:val="yellow"/>
        </w:rPr>
        <w:t>that</w:t>
      </w:r>
      <w:proofErr w:type="spellEnd"/>
      <w:r w:rsidRPr="00EC3C83">
        <w:rPr>
          <w:highlight w:val="yellow"/>
        </w:rPr>
        <w:t xml:space="preserve"> NO </w:t>
      </w:r>
      <w:proofErr w:type="spellStart"/>
      <w:r w:rsidRPr="00EC3C83">
        <w:rPr>
          <w:highlight w:val="yellow"/>
        </w:rPr>
        <w:t>generative</w:t>
      </w:r>
      <w:proofErr w:type="spellEnd"/>
      <w:r w:rsidRPr="00EC3C83">
        <w:rPr>
          <w:highlight w:val="yellow"/>
        </w:rPr>
        <w:t xml:space="preserve"> AI technologies </w:t>
      </w:r>
      <w:proofErr w:type="spellStart"/>
      <w:r w:rsidRPr="00EC3C83">
        <w:rPr>
          <w:highlight w:val="yellow"/>
        </w:rPr>
        <w:t>such</w:t>
      </w:r>
      <w:proofErr w:type="spellEnd"/>
      <w:r w:rsidRPr="00EC3C83">
        <w:rPr>
          <w:highlight w:val="yellow"/>
        </w:rPr>
        <w:t xml:space="preserve"> as Large </w:t>
      </w:r>
      <w:proofErr w:type="spellStart"/>
      <w:r w:rsidRPr="00EC3C83">
        <w:rPr>
          <w:highlight w:val="yellow"/>
        </w:rPr>
        <w:t>Language</w:t>
      </w:r>
      <w:proofErr w:type="spellEnd"/>
      <w:r w:rsidRPr="00EC3C83">
        <w:rPr>
          <w:highlight w:val="yellow"/>
        </w:rPr>
        <w:t xml:space="preserve"> </w:t>
      </w:r>
      <w:proofErr w:type="spellStart"/>
      <w:r w:rsidRPr="00EC3C83">
        <w:rPr>
          <w:highlight w:val="yellow"/>
        </w:rPr>
        <w:t>Models</w:t>
      </w:r>
      <w:proofErr w:type="spellEnd"/>
      <w:r w:rsidRPr="00EC3C83">
        <w:rPr>
          <w:highlight w:val="yellow"/>
        </w:rPr>
        <w:t xml:space="preserve"> (</w:t>
      </w:r>
      <w:proofErr w:type="spellStart"/>
      <w:r w:rsidRPr="00EC3C83">
        <w:rPr>
          <w:highlight w:val="yellow"/>
        </w:rPr>
        <w:t>ChatGPT</w:t>
      </w:r>
      <w:proofErr w:type="spellEnd"/>
      <w:r w:rsidRPr="00EC3C83">
        <w:rPr>
          <w:highlight w:val="yellow"/>
        </w:rPr>
        <w:t xml:space="preserve">, COPILOT, etc.) and </w:t>
      </w:r>
      <w:proofErr w:type="spellStart"/>
      <w:r w:rsidRPr="00EC3C83">
        <w:rPr>
          <w:highlight w:val="yellow"/>
        </w:rPr>
        <w:t>text</w:t>
      </w:r>
      <w:proofErr w:type="spellEnd"/>
      <w:r w:rsidRPr="00EC3C83">
        <w:rPr>
          <w:highlight w:val="yellow"/>
        </w:rPr>
        <w:t xml:space="preserve">-to-image </w:t>
      </w:r>
      <w:proofErr w:type="spellStart"/>
      <w:r w:rsidRPr="00EC3C83">
        <w:rPr>
          <w:highlight w:val="yellow"/>
        </w:rPr>
        <w:t>generators</w:t>
      </w:r>
      <w:proofErr w:type="spellEnd"/>
      <w:r w:rsidRPr="00EC3C83">
        <w:rPr>
          <w:highlight w:val="yellow"/>
        </w:rPr>
        <w:t xml:space="preserve"> have been </w:t>
      </w:r>
      <w:proofErr w:type="spellStart"/>
      <w:r w:rsidRPr="00EC3C83">
        <w:rPr>
          <w:highlight w:val="yellow"/>
        </w:rPr>
        <w:t>used</w:t>
      </w:r>
      <w:proofErr w:type="spellEnd"/>
      <w:r w:rsidRPr="00EC3C83">
        <w:rPr>
          <w:highlight w:val="yellow"/>
        </w:rPr>
        <w:t xml:space="preserve"> </w:t>
      </w:r>
      <w:proofErr w:type="spellStart"/>
      <w:r w:rsidRPr="00EC3C83">
        <w:rPr>
          <w:highlight w:val="yellow"/>
        </w:rPr>
        <w:t>during</w:t>
      </w:r>
      <w:proofErr w:type="spellEnd"/>
      <w:r w:rsidRPr="00EC3C83">
        <w:rPr>
          <w:highlight w:val="yellow"/>
        </w:rPr>
        <w:t xml:space="preserve"> the </w:t>
      </w:r>
      <w:proofErr w:type="spellStart"/>
      <w:r w:rsidRPr="00EC3C83">
        <w:rPr>
          <w:highlight w:val="yellow"/>
        </w:rPr>
        <w:t>writing</w:t>
      </w:r>
      <w:proofErr w:type="spellEnd"/>
      <w:r w:rsidRPr="00EC3C83">
        <w:rPr>
          <w:highlight w:val="yellow"/>
        </w:rPr>
        <w:t xml:space="preserve"> or </w:t>
      </w:r>
      <w:proofErr w:type="spellStart"/>
      <w:r w:rsidRPr="00EC3C83">
        <w:rPr>
          <w:highlight w:val="yellow"/>
        </w:rPr>
        <w:t>editing</w:t>
      </w:r>
      <w:proofErr w:type="spellEnd"/>
      <w:r w:rsidRPr="00EC3C83">
        <w:rPr>
          <w:highlight w:val="yellow"/>
        </w:rPr>
        <w:t xml:space="preserve"> of </w:t>
      </w:r>
      <w:proofErr w:type="spellStart"/>
      <w:r w:rsidRPr="00EC3C83">
        <w:rPr>
          <w:highlight w:val="yellow"/>
        </w:rPr>
        <w:t>this</w:t>
      </w:r>
      <w:proofErr w:type="spellEnd"/>
      <w:r w:rsidRPr="00EC3C83">
        <w:rPr>
          <w:highlight w:val="yellow"/>
        </w:rPr>
        <w:t xml:space="preserve"> </w:t>
      </w:r>
      <w:proofErr w:type="spellStart"/>
      <w:r w:rsidRPr="00EC3C83">
        <w:rPr>
          <w:highlight w:val="yellow"/>
        </w:rPr>
        <w:t>manuscript</w:t>
      </w:r>
      <w:proofErr w:type="spellEnd"/>
      <w:r w:rsidRPr="00EC3C83">
        <w:rPr>
          <w:highlight w:val="yellow"/>
        </w:rPr>
        <w:t xml:space="preserve">. </w:t>
      </w:r>
    </w:p>
    <w:p w14:paraId="6B65A9FE" w14:textId="77777777" w:rsidR="00EC3C83" w:rsidRPr="00EC3C83" w:rsidRDefault="00EC3C83" w:rsidP="00EC3C83">
      <w:pPr>
        <w:rPr>
          <w:highlight w:val="yellow"/>
        </w:rPr>
      </w:pPr>
      <w:r w:rsidRPr="00EC3C83">
        <w:rPr>
          <w:highlight w:val="yellow"/>
        </w:rPr>
        <w:t xml:space="preserve">Option </w:t>
      </w:r>
      <w:proofErr w:type="gramStart"/>
      <w:r w:rsidRPr="00EC3C83">
        <w:rPr>
          <w:highlight w:val="yellow"/>
        </w:rPr>
        <w:t>2:</w:t>
      </w:r>
      <w:proofErr w:type="gramEnd"/>
      <w:r w:rsidRPr="00EC3C83">
        <w:rPr>
          <w:highlight w:val="yellow"/>
        </w:rPr>
        <w:t xml:space="preserve"> </w:t>
      </w:r>
    </w:p>
    <w:p w14:paraId="36376D76" w14:textId="77777777" w:rsidR="00EC3C83" w:rsidRPr="00EC3C83" w:rsidRDefault="00EC3C83" w:rsidP="00EC3C83">
      <w:pPr>
        <w:rPr>
          <w:highlight w:val="yellow"/>
        </w:rPr>
      </w:pPr>
      <w:proofErr w:type="spellStart"/>
      <w:r w:rsidRPr="00EC3C83">
        <w:rPr>
          <w:highlight w:val="yellow"/>
        </w:rPr>
        <w:t>Author</w:t>
      </w:r>
      <w:proofErr w:type="spellEnd"/>
      <w:r w:rsidRPr="00EC3C83">
        <w:rPr>
          <w:highlight w:val="yellow"/>
        </w:rPr>
        <w:t xml:space="preserve">(s) </w:t>
      </w:r>
      <w:proofErr w:type="spellStart"/>
      <w:r w:rsidRPr="00EC3C83">
        <w:rPr>
          <w:highlight w:val="yellow"/>
        </w:rPr>
        <w:t>hereby</w:t>
      </w:r>
      <w:proofErr w:type="spellEnd"/>
      <w:r w:rsidRPr="00EC3C83">
        <w:rPr>
          <w:highlight w:val="yellow"/>
        </w:rPr>
        <w:t xml:space="preserve"> </w:t>
      </w:r>
      <w:proofErr w:type="spellStart"/>
      <w:r w:rsidRPr="00EC3C83">
        <w:rPr>
          <w:highlight w:val="yellow"/>
        </w:rPr>
        <w:t>declare</w:t>
      </w:r>
      <w:proofErr w:type="spellEnd"/>
      <w:r w:rsidRPr="00EC3C83">
        <w:rPr>
          <w:highlight w:val="yellow"/>
        </w:rPr>
        <w:t xml:space="preserve"> </w:t>
      </w:r>
      <w:proofErr w:type="spellStart"/>
      <w:r w:rsidRPr="00EC3C83">
        <w:rPr>
          <w:highlight w:val="yellow"/>
        </w:rPr>
        <w:t>that</w:t>
      </w:r>
      <w:proofErr w:type="spellEnd"/>
      <w:r w:rsidRPr="00EC3C83">
        <w:rPr>
          <w:highlight w:val="yellow"/>
        </w:rPr>
        <w:t xml:space="preserve"> </w:t>
      </w:r>
      <w:proofErr w:type="spellStart"/>
      <w:r w:rsidRPr="00EC3C83">
        <w:rPr>
          <w:highlight w:val="yellow"/>
        </w:rPr>
        <w:t>generative</w:t>
      </w:r>
      <w:proofErr w:type="spellEnd"/>
      <w:r w:rsidRPr="00EC3C83">
        <w:rPr>
          <w:highlight w:val="yellow"/>
        </w:rPr>
        <w:t xml:space="preserve"> AI technologies </w:t>
      </w:r>
      <w:proofErr w:type="spellStart"/>
      <w:r w:rsidRPr="00EC3C83">
        <w:rPr>
          <w:highlight w:val="yellow"/>
        </w:rPr>
        <w:t>such</w:t>
      </w:r>
      <w:proofErr w:type="spellEnd"/>
      <w:r w:rsidRPr="00EC3C83">
        <w:rPr>
          <w:highlight w:val="yellow"/>
        </w:rPr>
        <w:t xml:space="preserve"> as Large </w:t>
      </w:r>
      <w:proofErr w:type="spellStart"/>
      <w:r w:rsidRPr="00EC3C83">
        <w:rPr>
          <w:highlight w:val="yellow"/>
        </w:rPr>
        <w:t>Language</w:t>
      </w:r>
      <w:proofErr w:type="spellEnd"/>
      <w:r w:rsidRPr="00EC3C83">
        <w:rPr>
          <w:highlight w:val="yellow"/>
        </w:rPr>
        <w:t xml:space="preserve"> </w:t>
      </w:r>
      <w:proofErr w:type="spellStart"/>
      <w:r w:rsidRPr="00EC3C83">
        <w:rPr>
          <w:highlight w:val="yellow"/>
        </w:rPr>
        <w:t>Models</w:t>
      </w:r>
      <w:proofErr w:type="spellEnd"/>
      <w:r w:rsidRPr="00EC3C83">
        <w:rPr>
          <w:highlight w:val="yellow"/>
        </w:rPr>
        <w:t xml:space="preserve">, etc. have been </w:t>
      </w:r>
      <w:proofErr w:type="spellStart"/>
      <w:r w:rsidRPr="00EC3C83">
        <w:rPr>
          <w:highlight w:val="yellow"/>
        </w:rPr>
        <w:t>used</w:t>
      </w:r>
      <w:proofErr w:type="spellEnd"/>
      <w:r w:rsidRPr="00EC3C83">
        <w:rPr>
          <w:highlight w:val="yellow"/>
        </w:rPr>
        <w:t xml:space="preserve"> </w:t>
      </w:r>
      <w:proofErr w:type="spellStart"/>
      <w:r w:rsidRPr="00EC3C83">
        <w:rPr>
          <w:highlight w:val="yellow"/>
        </w:rPr>
        <w:t>during</w:t>
      </w:r>
      <w:proofErr w:type="spellEnd"/>
      <w:r w:rsidRPr="00EC3C83">
        <w:rPr>
          <w:highlight w:val="yellow"/>
        </w:rPr>
        <w:t xml:space="preserve"> the </w:t>
      </w:r>
      <w:proofErr w:type="spellStart"/>
      <w:r w:rsidRPr="00EC3C83">
        <w:rPr>
          <w:highlight w:val="yellow"/>
        </w:rPr>
        <w:t>writing</w:t>
      </w:r>
      <w:proofErr w:type="spellEnd"/>
      <w:r w:rsidRPr="00EC3C83">
        <w:rPr>
          <w:highlight w:val="yellow"/>
        </w:rPr>
        <w:t xml:space="preserve"> or </w:t>
      </w:r>
      <w:proofErr w:type="spellStart"/>
      <w:r w:rsidRPr="00EC3C83">
        <w:rPr>
          <w:highlight w:val="yellow"/>
        </w:rPr>
        <w:t>editing</w:t>
      </w:r>
      <w:proofErr w:type="spellEnd"/>
      <w:r w:rsidRPr="00EC3C83">
        <w:rPr>
          <w:highlight w:val="yellow"/>
        </w:rPr>
        <w:t xml:space="preserve"> of </w:t>
      </w:r>
      <w:proofErr w:type="spellStart"/>
      <w:r w:rsidRPr="00EC3C83">
        <w:rPr>
          <w:highlight w:val="yellow"/>
        </w:rPr>
        <w:t>manuscripts</w:t>
      </w:r>
      <w:proofErr w:type="spellEnd"/>
      <w:r w:rsidRPr="00EC3C83">
        <w:rPr>
          <w:highlight w:val="yellow"/>
        </w:rPr>
        <w:t xml:space="preserve">. This </w:t>
      </w:r>
      <w:proofErr w:type="spellStart"/>
      <w:r w:rsidRPr="00EC3C83">
        <w:rPr>
          <w:highlight w:val="yellow"/>
        </w:rPr>
        <w:t>explanation</w:t>
      </w:r>
      <w:proofErr w:type="spellEnd"/>
      <w:r w:rsidRPr="00EC3C83">
        <w:rPr>
          <w:highlight w:val="yellow"/>
        </w:rPr>
        <w:t xml:space="preserve"> </w:t>
      </w:r>
      <w:proofErr w:type="spellStart"/>
      <w:r w:rsidRPr="00EC3C83">
        <w:rPr>
          <w:highlight w:val="yellow"/>
        </w:rPr>
        <w:t>will</w:t>
      </w:r>
      <w:proofErr w:type="spellEnd"/>
      <w:r w:rsidRPr="00EC3C83">
        <w:rPr>
          <w:highlight w:val="yellow"/>
        </w:rPr>
        <w:t xml:space="preserve"> </w:t>
      </w:r>
      <w:proofErr w:type="spellStart"/>
      <w:r w:rsidRPr="00EC3C83">
        <w:rPr>
          <w:highlight w:val="yellow"/>
        </w:rPr>
        <w:t>include</w:t>
      </w:r>
      <w:proofErr w:type="spellEnd"/>
      <w:r w:rsidRPr="00EC3C83">
        <w:rPr>
          <w:highlight w:val="yellow"/>
        </w:rPr>
        <w:t xml:space="preserve"> the </w:t>
      </w:r>
      <w:proofErr w:type="spellStart"/>
      <w:r w:rsidRPr="00EC3C83">
        <w:rPr>
          <w:highlight w:val="yellow"/>
        </w:rPr>
        <w:t>name</w:t>
      </w:r>
      <w:proofErr w:type="spellEnd"/>
      <w:r w:rsidRPr="00EC3C83">
        <w:rPr>
          <w:highlight w:val="yellow"/>
        </w:rPr>
        <w:t xml:space="preserve">, version, model, and source of the </w:t>
      </w:r>
      <w:proofErr w:type="spellStart"/>
      <w:r w:rsidRPr="00EC3C83">
        <w:rPr>
          <w:highlight w:val="yellow"/>
        </w:rPr>
        <w:t>generative</w:t>
      </w:r>
      <w:proofErr w:type="spellEnd"/>
      <w:r w:rsidRPr="00EC3C83">
        <w:rPr>
          <w:highlight w:val="yellow"/>
        </w:rPr>
        <w:t xml:space="preserve"> AI </w:t>
      </w:r>
      <w:proofErr w:type="spellStart"/>
      <w:r w:rsidRPr="00EC3C83">
        <w:rPr>
          <w:highlight w:val="yellow"/>
        </w:rPr>
        <w:t>technology</w:t>
      </w:r>
      <w:proofErr w:type="spellEnd"/>
      <w:r w:rsidRPr="00EC3C83">
        <w:rPr>
          <w:highlight w:val="yellow"/>
        </w:rPr>
        <w:t xml:space="preserve"> and as </w:t>
      </w:r>
      <w:proofErr w:type="spellStart"/>
      <w:r w:rsidRPr="00EC3C83">
        <w:rPr>
          <w:highlight w:val="yellow"/>
        </w:rPr>
        <w:t>well</w:t>
      </w:r>
      <w:proofErr w:type="spellEnd"/>
      <w:r w:rsidRPr="00EC3C83">
        <w:rPr>
          <w:highlight w:val="yellow"/>
        </w:rPr>
        <w:t xml:space="preserve"> as all input prompts </w:t>
      </w:r>
      <w:proofErr w:type="spellStart"/>
      <w:r w:rsidRPr="00EC3C83">
        <w:rPr>
          <w:highlight w:val="yellow"/>
        </w:rPr>
        <w:t>provided</w:t>
      </w:r>
      <w:proofErr w:type="spellEnd"/>
      <w:r w:rsidRPr="00EC3C83">
        <w:rPr>
          <w:highlight w:val="yellow"/>
        </w:rPr>
        <w:t xml:space="preserve"> to the </w:t>
      </w:r>
      <w:proofErr w:type="spellStart"/>
      <w:r w:rsidRPr="00EC3C83">
        <w:rPr>
          <w:highlight w:val="yellow"/>
        </w:rPr>
        <w:t>generative</w:t>
      </w:r>
      <w:proofErr w:type="spellEnd"/>
      <w:r w:rsidRPr="00EC3C83">
        <w:rPr>
          <w:highlight w:val="yellow"/>
        </w:rPr>
        <w:t xml:space="preserve"> AI </w:t>
      </w:r>
      <w:proofErr w:type="spellStart"/>
      <w:r w:rsidRPr="00EC3C83">
        <w:rPr>
          <w:highlight w:val="yellow"/>
        </w:rPr>
        <w:t>technology</w:t>
      </w:r>
      <w:proofErr w:type="spellEnd"/>
    </w:p>
    <w:p w14:paraId="076F08D5" w14:textId="77777777" w:rsidR="00EC3C83" w:rsidRPr="00EC3C83" w:rsidRDefault="00EC3C83" w:rsidP="00EC3C83">
      <w:pPr>
        <w:rPr>
          <w:highlight w:val="yellow"/>
        </w:rPr>
      </w:pPr>
      <w:r w:rsidRPr="00EC3C83">
        <w:rPr>
          <w:highlight w:val="yellow"/>
        </w:rPr>
        <w:t xml:space="preserve">Details of the AI usage are </w:t>
      </w:r>
      <w:proofErr w:type="spellStart"/>
      <w:r w:rsidRPr="00EC3C83">
        <w:rPr>
          <w:highlight w:val="yellow"/>
        </w:rPr>
        <w:t>given</w:t>
      </w:r>
      <w:proofErr w:type="spellEnd"/>
      <w:r w:rsidRPr="00EC3C83">
        <w:rPr>
          <w:highlight w:val="yellow"/>
        </w:rPr>
        <w:t xml:space="preserve"> </w:t>
      </w:r>
      <w:proofErr w:type="spellStart"/>
      <w:proofErr w:type="gramStart"/>
      <w:r w:rsidRPr="00EC3C83">
        <w:rPr>
          <w:highlight w:val="yellow"/>
        </w:rPr>
        <w:t>below</w:t>
      </w:r>
      <w:proofErr w:type="spellEnd"/>
      <w:r w:rsidRPr="00EC3C83">
        <w:rPr>
          <w:highlight w:val="yellow"/>
        </w:rPr>
        <w:t>:</w:t>
      </w:r>
      <w:proofErr w:type="gramEnd"/>
    </w:p>
    <w:p w14:paraId="49B2995D" w14:textId="77777777" w:rsidR="00EC3C83" w:rsidRPr="00EC3C83" w:rsidRDefault="00EC3C83" w:rsidP="00EC3C83">
      <w:pPr>
        <w:rPr>
          <w:highlight w:val="yellow"/>
        </w:rPr>
      </w:pPr>
      <w:r w:rsidRPr="00EC3C83">
        <w:rPr>
          <w:highlight w:val="yellow"/>
        </w:rPr>
        <w:t>1.</w:t>
      </w:r>
    </w:p>
    <w:p w14:paraId="63B25149" w14:textId="77777777" w:rsidR="00EC3C83" w:rsidRPr="00EC3C83" w:rsidRDefault="00EC3C83" w:rsidP="00EC3C83">
      <w:pPr>
        <w:rPr>
          <w:highlight w:val="yellow"/>
        </w:rPr>
      </w:pPr>
      <w:r w:rsidRPr="00EC3C83">
        <w:rPr>
          <w:highlight w:val="yellow"/>
        </w:rPr>
        <w:t>2.</w:t>
      </w:r>
    </w:p>
    <w:p w14:paraId="4AE548D1" w14:textId="77777777" w:rsidR="00EC3C83" w:rsidRPr="0053103C" w:rsidRDefault="00EC3C83" w:rsidP="00EC3C83">
      <w:r w:rsidRPr="00EC3C83">
        <w:rPr>
          <w:highlight w:val="yellow"/>
        </w:rPr>
        <w:t>3.</w:t>
      </w:r>
    </w:p>
    <w:p w14:paraId="6C94704F" w14:textId="77777777" w:rsidR="00F0348C" w:rsidRPr="0080732C" w:rsidRDefault="008E493D" w:rsidP="00AB0B6B">
      <w:pPr>
        <w:spacing w:after="0" w:line="240" w:lineRule="auto"/>
        <w:jc w:val="both"/>
        <w:rPr>
          <w:b/>
          <w:color w:val="000000" w:themeColor="text1"/>
          <w:szCs w:val="24"/>
          <w:lang w:val="en-US"/>
        </w:rPr>
      </w:pPr>
      <w:r w:rsidRPr="0080732C">
        <w:rPr>
          <w:b/>
          <w:color w:val="000000" w:themeColor="text1"/>
          <w:szCs w:val="24"/>
          <w:lang w:val="en-US"/>
        </w:rPr>
        <w:t>REFERENCES</w:t>
      </w:r>
    </w:p>
    <w:p w14:paraId="71026002" w14:textId="77777777" w:rsidR="005F5E7E" w:rsidRPr="00B85DE4" w:rsidRDefault="005F5E7E" w:rsidP="00AB0B6B">
      <w:pPr>
        <w:spacing w:line="240" w:lineRule="auto"/>
        <w:ind w:left="709" w:hanging="709"/>
        <w:jc w:val="both"/>
        <w:rPr>
          <w:szCs w:val="24"/>
          <w:shd w:val="clear" w:color="auto" w:fill="FFFFFF"/>
          <w:lang w:val="en-US"/>
        </w:rPr>
      </w:pPr>
      <w:r w:rsidRPr="006A7D0E">
        <w:rPr>
          <w:szCs w:val="24"/>
          <w:shd w:val="clear" w:color="auto" w:fill="FFFFFF"/>
          <w:lang w:val="en-US"/>
        </w:rPr>
        <w:t xml:space="preserve">Acemoglu, D., Robinson, J. A., &amp; Verdier, T. (2017). </w:t>
      </w:r>
      <w:r w:rsidRPr="00B85DE4">
        <w:rPr>
          <w:szCs w:val="24"/>
          <w:shd w:val="clear" w:color="auto" w:fill="FFFFFF"/>
          <w:lang w:val="en-US"/>
        </w:rPr>
        <w:t>Asymmetric growth and institutions in an interdependent world. </w:t>
      </w:r>
      <w:r w:rsidRPr="00B85DE4">
        <w:rPr>
          <w:i/>
          <w:iCs/>
          <w:szCs w:val="24"/>
          <w:shd w:val="clear" w:color="auto" w:fill="FFFFFF"/>
          <w:lang w:val="en-US"/>
        </w:rPr>
        <w:t>Journal of Political Economy</w:t>
      </w:r>
      <w:r w:rsidRPr="00B85DE4">
        <w:rPr>
          <w:szCs w:val="24"/>
          <w:shd w:val="clear" w:color="auto" w:fill="FFFFFF"/>
          <w:lang w:val="en-US"/>
        </w:rPr>
        <w:t>, </w:t>
      </w:r>
      <w:r w:rsidRPr="00B85DE4">
        <w:rPr>
          <w:i/>
          <w:iCs/>
          <w:szCs w:val="24"/>
          <w:shd w:val="clear" w:color="auto" w:fill="FFFFFF"/>
          <w:lang w:val="en-US"/>
        </w:rPr>
        <w:t>125</w:t>
      </w:r>
      <w:r w:rsidRPr="00B85DE4">
        <w:rPr>
          <w:szCs w:val="24"/>
          <w:shd w:val="clear" w:color="auto" w:fill="FFFFFF"/>
          <w:lang w:val="en-US"/>
        </w:rPr>
        <w:t>(5), 1245-1305.</w:t>
      </w:r>
    </w:p>
    <w:p w14:paraId="032A10C3" w14:textId="610757C9" w:rsidR="005F5E7E"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Alagidede</w:t>
      </w:r>
      <w:proofErr w:type="spellEnd"/>
      <w:r w:rsidRPr="00B85DE4">
        <w:rPr>
          <w:szCs w:val="24"/>
          <w:shd w:val="clear" w:color="auto" w:fill="FFFFFF"/>
          <w:lang w:val="en-US"/>
        </w:rPr>
        <w:t>, I. P., Ibrahim, M., &amp; Sare, Y. A. (2020). Structural transformation in the presence of trade and financial integration in sub–Saharan Africa. </w:t>
      </w:r>
      <w:r w:rsidRPr="00B85DE4">
        <w:rPr>
          <w:i/>
          <w:iCs/>
          <w:szCs w:val="24"/>
          <w:shd w:val="clear" w:color="auto" w:fill="FFFFFF"/>
          <w:lang w:val="en-US"/>
        </w:rPr>
        <w:t>Central Bank Review</w:t>
      </w:r>
      <w:r w:rsidRPr="00B85DE4">
        <w:rPr>
          <w:szCs w:val="24"/>
          <w:shd w:val="clear" w:color="auto" w:fill="FFFFFF"/>
          <w:lang w:val="en-US"/>
        </w:rPr>
        <w:t>, </w:t>
      </w:r>
      <w:r w:rsidRPr="00B85DE4">
        <w:rPr>
          <w:i/>
          <w:iCs/>
          <w:szCs w:val="24"/>
          <w:shd w:val="clear" w:color="auto" w:fill="FFFFFF"/>
          <w:lang w:val="en-US"/>
        </w:rPr>
        <w:t>20</w:t>
      </w:r>
      <w:r w:rsidRPr="00B85DE4">
        <w:rPr>
          <w:szCs w:val="24"/>
          <w:shd w:val="clear" w:color="auto" w:fill="FFFFFF"/>
          <w:lang w:val="en-US"/>
        </w:rPr>
        <w:t>(1), 21-31.</w:t>
      </w:r>
    </w:p>
    <w:p w14:paraId="5887A6ED" w14:textId="5F46765C" w:rsidR="000F7EA5" w:rsidRDefault="000F7EA5" w:rsidP="000F7EA5">
      <w:pPr>
        <w:spacing w:line="240" w:lineRule="auto"/>
        <w:ind w:left="709" w:hanging="709"/>
        <w:jc w:val="both"/>
        <w:rPr>
          <w:szCs w:val="24"/>
          <w:shd w:val="clear" w:color="auto" w:fill="FFFFFF"/>
          <w:lang w:val="en-US"/>
        </w:rPr>
      </w:pPr>
      <w:r>
        <w:rPr>
          <w:szCs w:val="24"/>
          <w:shd w:val="clear" w:color="auto" w:fill="FFFFFF"/>
          <w:lang w:val="en-US"/>
        </w:rPr>
        <w:t>Ana Paula D.</w:t>
      </w:r>
      <w:r w:rsidRPr="000F7EA5">
        <w:rPr>
          <w:szCs w:val="24"/>
          <w:shd w:val="clear" w:color="auto" w:fill="FFFFFF"/>
          <w:lang w:val="en-US"/>
        </w:rPr>
        <w:t xml:space="preserve"> O</w:t>
      </w:r>
      <w:r>
        <w:rPr>
          <w:szCs w:val="24"/>
          <w:shd w:val="clear" w:color="auto" w:fill="FFFFFF"/>
          <w:lang w:val="en-US"/>
        </w:rPr>
        <w:t xml:space="preserve">. C., </w:t>
      </w:r>
      <w:proofErr w:type="spellStart"/>
      <w:r>
        <w:rPr>
          <w:szCs w:val="24"/>
          <w:shd w:val="clear" w:color="auto" w:fill="FFFFFF"/>
          <w:lang w:val="en-US"/>
        </w:rPr>
        <w:t>Yeshwas</w:t>
      </w:r>
      <w:proofErr w:type="spellEnd"/>
      <w:r>
        <w:rPr>
          <w:szCs w:val="24"/>
          <w:shd w:val="clear" w:color="auto" w:fill="FFFFFF"/>
          <w:lang w:val="en-US"/>
        </w:rPr>
        <w:t xml:space="preserve"> A., Katia A. C.</w:t>
      </w:r>
      <w:r w:rsidRPr="000F7EA5">
        <w:rPr>
          <w:szCs w:val="24"/>
          <w:shd w:val="clear" w:color="auto" w:fill="FFFFFF"/>
          <w:lang w:val="en-US"/>
        </w:rPr>
        <w:t>, Benjamin</w:t>
      </w:r>
      <w:r>
        <w:rPr>
          <w:szCs w:val="24"/>
          <w:shd w:val="clear" w:color="auto" w:fill="FFFFFF"/>
          <w:lang w:val="en-US"/>
        </w:rPr>
        <w:t xml:space="preserve"> K. D., Ana M. D. G. (2025). </w:t>
      </w:r>
      <w:r w:rsidRPr="000F7EA5">
        <w:rPr>
          <w:szCs w:val="24"/>
          <w:shd w:val="clear" w:color="auto" w:fill="FFFFFF"/>
          <w:lang w:val="en-US"/>
        </w:rPr>
        <w:t>Reassessing transformation pathways: Global trends in rural household farm and non-farm livelihood strategies with a s</w:t>
      </w:r>
      <w:r>
        <w:rPr>
          <w:szCs w:val="24"/>
          <w:shd w:val="clear" w:color="auto" w:fill="FFFFFF"/>
          <w:lang w:val="en-US"/>
        </w:rPr>
        <w:t xml:space="preserve">potlight on Sub-Saharan Africa. </w:t>
      </w:r>
      <w:r w:rsidRPr="000F7EA5">
        <w:rPr>
          <w:i/>
          <w:szCs w:val="24"/>
          <w:shd w:val="clear" w:color="auto" w:fill="FFFFFF"/>
          <w:lang w:val="en-US"/>
        </w:rPr>
        <w:t>World Development</w:t>
      </w:r>
      <w:r>
        <w:rPr>
          <w:szCs w:val="24"/>
          <w:shd w:val="clear" w:color="auto" w:fill="FFFFFF"/>
          <w:lang w:val="en-US"/>
        </w:rPr>
        <w:t xml:space="preserve">, </w:t>
      </w:r>
      <w:r w:rsidRPr="000F7EA5">
        <w:rPr>
          <w:i/>
          <w:szCs w:val="24"/>
          <w:shd w:val="clear" w:color="auto" w:fill="FFFFFF"/>
          <w:lang w:val="en-US"/>
        </w:rPr>
        <w:t>190(1),</w:t>
      </w:r>
      <w:r>
        <w:rPr>
          <w:szCs w:val="24"/>
          <w:shd w:val="clear" w:color="auto" w:fill="FFFFFF"/>
          <w:lang w:val="en-US"/>
        </w:rPr>
        <w:t xml:space="preserve"> </w:t>
      </w:r>
      <w:hyperlink r:id="rId18" w:history="1">
        <w:r w:rsidRPr="00E43BE1">
          <w:rPr>
            <w:rStyle w:val="Hyperlink"/>
            <w:szCs w:val="24"/>
            <w:shd w:val="clear" w:color="auto" w:fill="FFFFFF"/>
            <w:lang w:val="en-US"/>
          </w:rPr>
          <w:t>https://doi.org/10.1016/j.worlddev.2025.106952</w:t>
        </w:r>
      </w:hyperlink>
      <w:r>
        <w:rPr>
          <w:szCs w:val="24"/>
          <w:shd w:val="clear" w:color="auto" w:fill="FFFFFF"/>
          <w:lang w:val="en-US"/>
        </w:rPr>
        <w:t>.</w:t>
      </w:r>
    </w:p>
    <w:p w14:paraId="2F61AE8C" w14:textId="033A5CD4" w:rsidR="00226A91" w:rsidRPr="00226A91" w:rsidRDefault="00226A91" w:rsidP="00AB0B6B">
      <w:pPr>
        <w:spacing w:line="240" w:lineRule="auto"/>
        <w:ind w:left="709" w:hanging="709"/>
        <w:jc w:val="both"/>
        <w:rPr>
          <w:szCs w:val="24"/>
          <w:shd w:val="clear" w:color="auto" w:fill="FFFFFF"/>
          <w:lang w:val="en-US"/>
        </w:rPr>
      </w:pPr>
      <w:r w:rsidRPr="00226A91">
        <w:rPr>
          <w:szCs w:val="24"/>
          <w:shd w:val="clear" w:color="auto" w:fill="FFFFFF"/>
          <w:lang w:val="en-US"/>
        </w:rPr>
        <w:t xml:space="preserve">Anisimov, A., Popova, O. L., &amp; </w:t>
      </w:r>
      <w:proofErr w:type="spellStart"/>
      <w:r w:rsidRPr="00226A91">
        <w:rPr>
          <w:szCs w:val="24"/>
          <w:shd w:val="clear" w:color="auto" w:fill="FFFFFF"/>
          <w:lang w:val="en-US"/>
        </w:rPr>
        <w:t>Ustyukova</w:t>
      </w:r>
      <w:proofErr w:type="spellEnd"/>
      <w:r w:rsidRPr="00226A91">
        <w:rPr>
          <w:szCs w:val="24"/>
          <w:shd w:val="clear" w:color="auto" w:fill="FFFFFF"/>
          <w:lang w:val="en-US"/>
        </w:rPr>
        <w:t>, V. (2019). Current challenges of sustainable rural development in Russia: trends and prospects. </w:t>
      </w:r>
      <w:proofErr w:type="spellStart"/>
      <w:r w:rsidRPr="00226A91">
        <w:rPr>
          <w:i/>
          <w:iCs/>
          <w:szCs w:val="24"/>
          <w:shd w:val="clear" w:color="auto" w:fill="FFFFFF"/>
          <w:lang w:val="en-US"/>
        </w:rPr>
        <w:t>Problemy</w:t>
      </w:r>
      <w:proofErr w:type="spellEnd"/>
      <w:r w:rsidRPr="00226A91">
        <w:rPr>
          <w:i/>
          <w:iCs/>
          <w:szCs w:val="24"/>
          <w:shd w:val="clear" w:color="auto" w:fill="FFFFFF"/>
          <w:lang w:val="en-US"/>
        </w:rPr>
        <w:t xml:space="preserve"> </w:t>
      </w:r>
      <w:proofErr w:type="spellStart"/>
      <w:r w:rsidRPr="00226A91">
        <w:rPr>
          <w:i/>
          <w:iCs/>
          <w:szCs w:val="24"/>
          <w:shd w:val="clear" w:color="auto" w:fill="FFFFFF"/>
          <w:lang w:val="en-US"/>
        </w:rPr>
        <w:t>Ekorozwoju</w:t>
      </w:r>
      <w:proofErr w:type="spellEnd"/>
      <w:r w:rsidRPr="00226A91">
        <w:rPr>
          <w:szCs w:val="24"/>
          <w:shd w:val="clear" w:color="auto" w:fill="FFFFFF"/>
          <w:lang w:val="en-US"/>
        </w:rPr>
        <w:t>, </w:t>
      </w:r>
      <w:r w:rsidRPr="00226A91">
        <w:rPr>
          <w:i/>
          <w:iCs/>
          <w:szCs w:val="24"/>
          <w:shd w:val="clear" w:color="auto" w:fill="FFFFFF"/>
          <w:lang w:val="en-US"/>
        </w:rPr>
        <w:t>14</w:t>
      </w:r>
      <w:r w:rsidRPr="00226A91">
        <w:rPr>
          <w:szCs w:val="24"/>
          <w:shd w:val="clear" w:color="auto" w:fill="FFFFFF"/>
          <w:lang w:val="en-US"/>
        </w:rPr>
        <w:t>(2).</w:t>
      </w:r>
    </w:p>
    <w:p w14:paraId="2946E2BA"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Aron, J. (2000). Growth and institutions: a review of the evidence. </w:t>
      </w:r>
      <w:r w:rsidRPr="00B85DE4">
        <w:rPr>
          <w:i/>
          <w:iCs/>
          <w:szCs w:val="24"/>
          <w:shd w:val="clear" w:color="auto" w:fill="FFFFFF"/>
          <w:lang w:val="en-US"/>
        </w:rPr>
        <w:t>The world Bank research observer</w:t>
      </w:r>
      <w:r w:rsidRPr="00B85DE4">
        <w:rPr>
          <w:szCs w:val="24"/>
          <w:shd w:val="clear" w:color="auto" w:fill="FFFFFF"/>
          <w:lang w:val="en-US"/>
        </w:rPr>
        <w:t>, </w:t>
      </w:r>
      <w:r w:rsidRPr="00B85DE4">
        <w:rPr>
          <w:i/>
          <w:iCs/>
          <w:szCs w:val="24"/>
          <w:shd w:val="clear" w:color="auto" w:fill="FFFFFF"/>
          <w:lang w:val="en-US"/>
        </w:rPr>
        <w:t>15</w:t>
      </w:r>
      <w:r w:rsidRPr="00B85DE4">
        <w:rPr>
          <w:szCs w:val="24"/>
          <w:shd w:val="clear" w:color="auto" w:fill="FFFFFF"/>
          <w:lang w:val="en-US"/>
        </w:rPr>
        <w:t>(1), 99-135.</w:t>
      </w:r>
    </w:p>
    <w:p w14:paraId="1F74C0FB"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Bachewe</w:t>
      </w:r>
      <w:proofErr w:type="spellEnd"/>
      <w:r w:rsidRPr="00B85DE4">
        <w:rPr>
          <w:szCs w:val="24"/>
          <w:shd w:val="clear" w:color="auto" w:fill="FFFFFF"/>
          <w:lang w:val="en-US"/>
        </w:rPr>
        <w:t xml:space="preserve">, F. N., Berhane, G., Minten, B., &amp; </w:t>
      </w:r>
      <w:proofErr w:type="spellStart"/>
      <w:r w:rsidRPr="00B85DE4">
        <w:rPr>
          <w:szCs w:val="24"/>
          <w:shd w:val="clear" w:color="auto" w:fill="FFFFFF"/>
          <w:lang w:val="en-US"/>
        </w:rPr>
        <w:t>Taffesse</w:t>
      </w:r>
      <w:proofErr w:type="spellEnd"/>
      <w:r w:rsidRPr="00B85DE4">
        <w:rPr>
          <w:szCs w:val="24"/>
          <w:shd w:val="clear" w:color="auto" w:fill="FFFFFF"/>
          <w:lang w:val="en-US"/>
        </w:rPr>
        <w:t>, A. S. (2018). Agricultural transformation in Africa? Assessing the evidence in Ethiopia. </w:t>
      </w:r>
      <w:r w:rsidRPr="00B85DE4">
        <w:rPr>
          <w:i/>
          <w:iCs/>
          <w:szCs w:val="24"/>
          <w:shd w:val="clear" w:color="auto" w:fill="FFFFFF"/>
          <w:lang w:val="en-US"/>
        </w:rPr>
        <w:t>World Development</w:t>
      </w:r>
      <w:r w:rsidRPr="00B85DE4">
        <w:rPr>
          <w:szCs w:val="24"/>
          <w:shd w:val="clear" w:color="auto" w:fill="FFFFFF"/>
          <w:lang w:val="en-US"/>
        </w:rPr>
        <w:t>, </w:t>
      </w:r>
      <w:r w:rsidRPr="00B85DE4">
        <w:rPr>
          <w:i/>
          <w:iCs/>
          <w:szCs w:val="24"/>
          <w:shd w:val="clear" w:color="auto" w:fill="FFFFFF"/>
          <w:lang w:val="en-US"/>
        </w:rPr>
        <w:t>105</w:t>
      </w:r>
      <w:r w:rsidRPr="00B85DE4">
        <w:rPr>
          <w:szCs w:val="24"/>
          <w:shd w:val="clear" w:color="auto" w:fill="FFFFFF"/>
          <w:lang w:val="en-US"/>
        </w:rPr>
        <w:t>, 286-298.</w:t>
      </w:r>
    </w:p>
    <w:p w14:paraId="5D1C14A1"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Badiane, O., Makombe, T., &amp; </w:t>
      </w:r>
      <w:proofErr w:type="spellStart"/>
      <w:r w:rsidRPr="00B85DE4">
        <w:rPr>
          <w:szCs w:val="24"/>
          <w:shd w:val="clear" w:color="auto" w:fill="FFFFFF"/>
          <w:lang w:val="en-US"/>
        </w:rPr>
        <w:t>Bahiigwa</w:t>
      </w:r>
      <w:proofErr w:type="spellEnd"/>
      <w:r w:rsidRPr="00B85DE4">
        <w:rPr>
          <w:szCs w:val="24"/>
          <w:shd w:val="clear" w:color="auto" w:fill="FFFFFF"/>
          <w:lang w:val="en-US"/>
        </w:rPr>
        <w:t>, G. (2015). </w:t>
      </w:r>
      <w:r w:rsidRPr="00B85DE4">
        <w:rPr>
          <w:i/>
          <w:iCs/>
          <w:szCs w:val="24"/>
          <w:shd w:val="clear" w:color="auto" w:fill="FFFFFF"/>
          <w:lang w:val="en-US"/>
        </w:rPr>
        <w:t>Synopsis, 2013 annual trends and outlook report: Promoting agricultural trade to enhance resilience in Africa</w:t>
      </w:r>
      <w:r w:rsidRPr="00B85DE4">
        <w:rPr>
          <w:szCs w:val="24"/>
          <w:shd w:val="clear" w:color="auto" w:fill="FFFFFF"/>
          <w:lang w:val="en-US"/>
        </w:rPr>
        <w:t> (No. 24). International Food Policy Research Institute (IFPRI).</w:t>
      </w:r>
    </w:p>
    <w:p w14:paraId="19504E37" w14:textId="77777777" w:rsidR="005F5E7E"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Carraro, A., &amp; </w:t>
      </w:r>
      <w:proofErr w:type="spellStart"/>
      <w:r w:rsidRPr="00B85DE4">
        <w:rPr>
          <w:szCs w:val="24"/>
          <w:shd w:val="clear" w:color="auto" w:fill="FFFFFF"/>
          <w:lang w:val="en-US"/>
        </w:rPr>
        <w:t>Karfakis</w:t>
      </w:r>
      <w:proofErr w:type="spellEnd"/>
      <w:r w:rsidRPr="00B85DE4">
        <w:rPr>
          <w:szCs w:val="24"/>
          <w:shd w:val="clear" w:color="auto" w:fill="FFFFFF"/>
          <w:lang w:val="en-US"/>
        </w:rPr>
        <w:t>, P. (2018). Institutions, economic freedom and structural transformation in 11 sub-Saharan African countries.</w:t>
      </w:r>
    </w:p>
    <w:p w14:paraId="6165B5A4" w14:textId="513901A9" w:rsidR="00BB21B3" w:rsidRPr="00EC3C83" w:rsidRDefault="00BB21B3" w:rsidP="00BB21B3">
      <w:pPr>
        <w:spacing w:line="240" w:lineRule="auto"/>
        <w:ind w:left="709" w:hanging="709"/>
        <w:jc w:val="both"/>
        <w:rPr>
          <w:szCs w:val="24"/>
          <w:shd w:val="clear" w:color="auto" w:fill="FFFFFF"/>
        </w:rPr>
      </w:pPr>
      <w:r>
        <w:rPr>
          <w:szCs w:val="24"/>
          <w:shd w:val="clear" w:color="auto" w:fill="FFFFFF"/>
          <w:lang w:val="en-US"/>
        </w:rPr>
        <w:t xml:space="preserve">CTA, (2029). </w:t>
      </w:r>
      <w:r w:rsidRPr="00BB21B3">
        <w:rPr>
          <w:szCs w:val="24"/>
          <w:shd w:val="clear" w:color="auto" w:fill="FFFFFF"/>
          <w:lang w:val="en-US"/>
        </w:rPr>
        <w:t xml:space="preserve"> “</w:t>
      </w:r>
      <w:proofErr w:type="spellStart"/>
      <w:r w:rsidRPr="00BB21B3">
        <w:rPr>
          <w:szCs w:val="24"/>
          <w:shd w:val="clear" w:color="auto" w:fill="FFFFFF"/>
          <w:lang w:val="en-US"/>
        </w:rPr>
        <w:t>Digitalisation</w:t>
      </w:r>
      <w:proofErr w:type="spellEnd"/>
      <w:r w:rsidRPr="00BB21B3">
        <w:rPr>
          <w:szCs w:val="24"/>
          <w:shd w:val="clear" w:color="auto" w:fill="FFFFFF"/>
          <w:lang w:val="en-US"/>
        </w:rPr>
        <w:t xml:space="preserve"> of African Agriculture Report, 2018-2019” reveals great opportunities for investment</w:t>
      </w:r>
      <w:r>
        <w:rPr>
          <w:szCs w:val="24"/>
          <w:shd w:val="clear" w:color="auto" w:fill="FFFFFF"/>
          <w:lang w:val="en-US"/>
        </w:rPr>
        <w:t xml:space="preserve">. </w:t>
      </w:r>
      <w:hyperlink r:id="rId19" w:history="1">
        <w:r w:rsidRPr="00EC3C83">
          <w:rPr>
            <w:rStyle w:val="Hyperlink"/>
            <w:szCs w:val="24"/>
            <w:shd w:val="clear" w:color="auto" w:fill="FFFFFF"/>
          </w:rPr>
          <w:t>https://www.afgoesdigital.com/ctas-digitalisation-of-african-agriculture-report-2018-2019-reveals-great-opportunities-for-investment/</w:t>
        </w:r>
      </w:hyperlink>
      <w:r w:rsidR="000D3EBB" w:rsidRPr="00EC3C83">
        <w:rPr>
          <w:szCs w:val="24"/>
          <w:shd w:val="clear" w:color="auto" w:fill="FFFFFF"/>
        </w:rPr>
        <w:t>.</w:t>
      </w:r>
    </w:p>
    <w:p w14:paraId="38D552C5"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lastRenderedPageBreak/>
        <w:t xml:space="preserve">De Vries, G., M. Timmer </w:t>
      </w:r>
      <w:r w:rsidRPr="00B85DE4">
        <w:rPr>
          <w:szCs w:val="24"/>
          <w:shd w:val="clear" w:color="auto" w:fill="FFFFFF"/>
          <w:lang w:val="en-US"/>
        </w:rPr>
        <w:t>&amp;</w:t>
      </w:r>
      <w:r w:rsidRPr="00B85DE4">
        <w:rPr>
          <w:noProof/>
          <w:szCs w:val="24"/>
          <w:lang w:val="en-US"/>
        </w:rPr>
        <w:t xml:space="preserve"> K. De Hries (2015), </w:t>
      </w:r>
      <w:r w:rsidRPr="00B85DE4">
        <w:rPr>
          <w:szCs w:val="24"/>
          <w:lang w:val="en-US"/>
        </w:rPr>
        <w:t>“</w:t>
      </w:r>
      <w:r w:rsidRPr="00B85DE4">
        <w:rPr>
          <w:noProof/>
          <w:szCs w:val="24"/>
          <w:lang w:val="en-US"/>
        </w:rPr>
        <w:t>Structural transformation in Africa: Static gains, dynamic losses</w:t>
      </w:r>
      <w:r w:rsidRPr="00B85DE4">
        <w:rPr>
          <w:szCs w:val="24"/>
          <w:lang w:val="en-US"/>
        </w:rPr>
        <w:t>”,</w:t>
      </w:r>
      <w:r w:rsidRPr="00B85DE4">
        <w:rPr>
          <w:noProof/>
          <w:szCs w:val="24"/>
          <w:lang w:val="en-US"/>
        </w:rPr>
        <w:t xml:space="preserve"> </w:t>
      </w:r>
      <w:r w:rsidRPr="00B85DE4">
        <w:rPr>
          <w:i/>
          <w:iCs/>
          <w:noProof/>
          <w:szCs w:val="24"/>
          <w:lang w:val="en-US"/>
        </w:rPr>
        <w:t>The Journal of Development Studies, 51</w:t>
      </w:r>
      <w:r w:rsidRPr="00B85DE4">
        <w:rPr>
          <w:noProof/>
          <w:szCs w:val="24"/>
          <w:lang w:val="en-US"/>
        </w:rPr>
        <w:t>(6), 674-688.</w:t>
      </w:r>
    </w:p>
    <w:p w14:paraId="6AD531A5" w14:textId="77777777" w:rsidR="005F5E7E" w:rsidRPr="00B85DE4" w:rsidRDefault="005F5E7E" w:rsidP="00AB0B6B">
      <w:pPr>
        <w:spacing w:line="240" w:lineRule="auto"/>
        <w:ind w:left="709" w:hanging="709"/>
        <w:jc w:val="both"/>
        <w:rPr>
          <w:szCs w:val="24"/>
          <w:lang w:val="en-US"/>
        </w:rPr>
      </w:pPr>
      <w:r w:rsidRPr="00B85DE4">
        <w:rPr>
          <w:szCs w:val="24"/>
          <w:shd w:val="clear" w:color="auto" w:fill="FFFFFF"/>
          <w:lang w:val="en-US"/>
        </w:rPr>
        <w:t xml:space="preserve">Ehlers, M. H., Huber, R., &amp; Finger, R. (2021). Agricultural policy in the era of </w:t>
      </w:r>
      <w:proofErr w:type="spellStart"/>
      <w:r w:rsidRPr="00B85DE4">
        <w:rPr>
          <w:szCs w:val="24"/>
          <w:shd w:val="clear" w:color="auto" w:fill="FFFFFF"/>
          <w:lang w:val="en-US"/>
        </w:rPr>
        <w:t>digitalisation</w:t>
      </w:r>
      <w:proofErr w:type="spellEnd"/>
      <w:r w:rsidRPr="00B85DE4">
        <w:rPr>
          <w:szCs w:val="24"/>
          <w:shd w:val="clear" w:color="auto" w:fill="FFFFFF"/>
          <w:lang w:val="en-US"/>
        </w:rPr>
        <w:t>.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100</w:t>
      </w:r>
      <w:r w:rsidRPr="00B85DE4">
        <w:rPr>
          <w:szCs w:val="24"/>
          <w:shd w:val="clear" w:color="auto" w:fill="FFFFFF"/>
          <w:lang w:val="en-US"/>
        </w:rPr>
        <w:t>, 102019.</w:t>
      </w:r>
    </w:p>
    <w:p w14:paraId="0FDE7E3B"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Farhadi, M., Ismail, R., &amp; </w:t>
      </w:r>
      <w:proofErr w:type="spellStart"/>
      <w:r w:rsidRPr="00B85DE4">
        <w:rPr>
          <w:szCs w:val="24"/>
          <w:shd w:val="clear" w:color="auto" w:fill="FFFFFF"/>
          <w:lang w:val="en-US"/>
        </w:rPr>
        <w:t>Fooladi</w:t>
      </w:r>
      <w:proofErr w:type="spellEnd"/>
      <w:r w:rsidRPr="00B85DE4">
        <w:rPr>
          <w:szCs w:val="24"/>
          <w:shd w:val="clear" w:color="auto" w:fill="FFFFFF"/>
          <w:lang w:val="en-US"/>
        </w:rPr>
        <w:t>, M. (2012). Information and communication technology use and economic growth. </w:t>
      </w:r>
      <w:proofErr w:type="spellStart"/>
      <w:r w:rsidRPr="00B85DE4">
        <w:rPr>
          <w:i/>
          <w:iCs/>
          <w:szCs w:val="24"/>
          <w:shd w:val="clear" w:color="auto" w:fill="FFFFFF"/>
          <w:lang w:val="en-US"/>
        </w:rPr>
        <w:t>PloS</w:t>
      </w:r>
      <w:proofErr w:type="spellEnd"/>
      <w:r w:rsidRPr="00B85DE4">
        <w:rPr>
          <w:i/>
          <w:iCs/>
          <w:szCs w:val="24"/>
          <w:shd w:val="clear" w:color="auto" w:fill="FFFFFF"/>
          <w:lang w:val="en-US"/>
        </w:rPr>
        <w:t xml:space="preserve"> one</w:t>
      </w:r>
      <w:r w:rsidRPr="00B85DE4">
        <w:rPr>
          <w:szCs w:val="24"/>
          <w:shd w:val="clear" w:color="auto" w:fill="FFFFFF"/>
          <w:lang w:val="en-US"/>
        </w:rPr>
        <w:t>, </w:t>
      </w:r>
      <w:r w:rsidRPr="00B85DE4">
        <w:rPr>
          <w:i/>
          <w:iCs/>
          <w:szCs w:val="24"/>
          <w:shd w:val="clear" w:color="auto" w:fill="FFFFFF"/>
          <w:lang w:val="en-US"/>
        </w:rPr>
        <w:t>7</w:t>
      </w:r>
      <w:r w:rsidRPr="00B85DE4">
        <w:rPr>
          <w:szCs w:val="24"/>
          <w:shd w:val="clear" w:color="auto" w:fill="FFFFFF"/>
          <w:lang w:val="en-US"/>
        </w:rPr>
        <w:t>(11), e48903.</w:t>
      </w:r>
    </w:p>
    <w:p w14:paraId="659D578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Fielke</w:t>
      </w:r>
      <w:proofErr w:type="spellEnd"/>
      <w:r w:rsidRPr="00B85DE4">
        <w:rPr>
          <w:szCs w:val="24"/>
          <w:shd w:val="clear" w:color="auto" w:fill="FFFFFF"/>
          <w:lang w:val="en-US"/>
        </w:rPr>
        <w:t xml:space="preserve">, S., Taylor, B., &amp; Jakku, E. (2020). </w:t>
      </w:r>
      <w:proofErr w:type="spellStart"/>
      <w:r w:rsidRPr="00B85DE4">
        <w:rPr>
          <w:szCs w:val="24"/>
          <w:shd w:val="clear" w:color="auto" w:fill="FFFFFF"/>
          <w:lang w:val="en-US"/>
        </w:rPr>
        <w:t>Digitalisation</w:t>
      </w:r>
      <w:proofErr w:type="spellEnd"/>
      <w:r w:rsidRPr="00B85DE4">
        <w:rPr>
          <w:szCs w:val="24"/>
          <w:shd w:val="clear" w:color="auto" w:fill="FFFFFF"/>
          <w:lang w:val="en-US"/>
        </w:rPr>
        <w:t xml:space="preserve"> of agricultural knowledge and advice networks: A state-of-the-art review. </w:t>
      </w:r>
      <w:r w:rsidRPr="00B85DE4">
        <w:rPr>
          <w:i/>
          <w:iCs/>
          <w:szCs w:val="24"/>
          <w:shd w:val="clear" w:color="auto" w:fill="FFFFFF"/>
          <w:lang w:val="en-US"/>
        </w:rPr>
        <w:t>Agricultural Systems</w:t>
      </w:r>
      <w:r w:rsidRPr="00B85DE4">
        <w:rPr>
          <w:szCs w:val="24"/>
          <w:shd w:val="clear" w:color="auto" w:fill="FFFFFF"/>
          <w:lang w:val="en-US"/>
        </w:rPr>
        <w:t>, </w:t>
      </w:r>
      <w:r w:rsidRPr="00B85DE4">
        <w:rPr>
          <w:i/>
          <w:iCs/>
          <w:szCs w:val="24"/>
          <w:shd w:val="clear" w:color="auto" w:fill="FFFFFF"/>
          <w:lang w:val="en-US"/>
        </w:rPr>
        <w:t>180</w:t>
      </w:r>
      <w:r w:rsidRPr="00B85DE4">
        <w:rPr>
          <w:szCs w:val="24"/>
          <w:shd w:val="clear" w:color="auto" w:fill="FFFFFF"/>
          <w:lang w:val="en-US"/>
        </w:rPr>
        <w:t>, 102763.</w:t>
      </w:r>
    </w:p>
    <w:p w14:paraId="6032C0EF" w14:textId="77777777" w:rsidR="005F5E7E" w:rsidRPr="00B85DE4" w:rsidRDefault="005F5E7E" w:rsidP="00AB0B6B">
      <w:pPr>
        <w:spacing w:line="240" w:lineRule="auto"/>
        <w:ind w:left="709" w:hanging="709"/>
        <w:jc w:val="both"/>
        <w:rPr>
          <w:szCs w:val="24"/>
          <w:shd w:val="clear" w:color="auto" w:fill="FFFFFF"/>
        </w:rPr>
      </w:pPr>
      <w:r w:rsidRPr="00B85DE4">
        <w:rPr>
          <w:szCs w:val="24"/>
          <w:shd w:val="clear" w:color="auto" w:fill="FFFFFF"/>
          <w:lang w:val="en-US"/>
        </w:rPr>
        <w:t xml:space="preserve">Fleming, A., Jakku, E., </w:t>
      </w:r>
      <w:proofErr w:type="spellStart"/>
      <w:r w:rsidRPr="00B85DE4">
        <w:rPr>
          <w:szCs w:val="24"/>
          <w:shd w:val="clear" w:color="auto" w:fill="FFFFFF"/>
          <w:lang w:val="en-US"/>
        </w:rPr>
        <w:t>Fielke</w:t>
      </w:r>
      <w:proofErr w:type="spellEnd"/>
      <w:r w:rsidRPr="00B85DE4">
        <w:rPr>
          <w:szCs w:val="24"/>
          <w:shd w:val="clear" w:color="auto" w:fill="FFFFFF"/>
          <w:lang w:val="en-US"/>
        </w:rPr>
        <w:t xml:space="preserve">, S., Taylor, B. M., Lacey, J., Terhorst, A., &amp; Stitzlein, C. (2021). </w:t>
      </w:r>
      <w:proofErr w:type="spellStart"/>
      <w:r w:rsidRPr="00B85DE4">
        <w:rPr>
          <w:szCs w:val="24"/>
          <w:shd w:val="clear" w:color="auto" w:fill="FFFFFF"/>
          <w:lang w:val="en-US"/>
        </w:rPr>
        <w:t>Foresighting</w:t>
      </w:r>
      <w:proofErr w:type="spellEnd"/>
      <w:r w:rsidRPr="00B85DE4">
        <w:rPr>
          <w:szCs w:val="24"/>
          <w:shd w:val="clear" w:color="auto" w:fill="FFFFFF"/>
          <w:lang w:val="en-US"/>
        </w:rPr>
        <w:t xml:space="preserve"> Australian digital agricultural futures: Applying responsible innovation thinking to anticipate research and development impact under different scenarios. </w:t>
      </w:r>
      <w:r w:rsidRPr="00B85DE4">
        <w:rPr>
          <w:i/>
          <w:iCs/>
          <w:szCs w:val="24"/>
          <w:shd w:val="clear" w:color="auto" w:fill="FFFFFF"/>
        </w:rPr>
        <w:t xml:space="preserve">Agricultural </w:t>
      </w:r>
      <w:proofErr w:type="spellStart"/>
      <w:r w:rsidRPr="00B85DE4">
        <w:rPr>
          <w:i/>
          <w:iCs/>
          <w:szCs w:val="24"/>
          <w:shd w:val="clear" w:color="auto" w:fill="FFFFFF"/>
        </w:rPr>
        <w:t>Systems</w:t>
      </w:r>
      <w:proofErr w:type="spellEnd"/>
      <w:r w:rsidRPr="00B85DE4">
        <w:rPr>
          <w:szCs w:val="24"/>
          <w:shd w:val="clear" w:color="auto" w:fill="FFFFFF"/>
        </w:rPr>
        <w:t>, </w:t>
      </w:r>
      <w:r w:rsidRPr="00B85DE4">
        <w:rPr>
          <w:i/>
          <w:iCs/>
          <w:szCs w:val="24"/>
          <w:shd w:val="clear" w:color="auto" w:fill="FFFFFF"/>
        </w:rPr>
        <w:t>190</w:t>
      </w:r>
      <w:r w:rsidRPr="00B85DE4">
        <w:rPr>
          <w:szCs w:val="24"/>
          <w:shd w:val="clear" w:color="auto" w:fill="FFFFFF"/>
        </w:rPr>
        <w:t>, 103120.</w:t>
      </w:r>
    </w:p>
    <w:p w14:paraId="16207F32" w14:textId="2677E1B3" w:rsidR="005F5E7E" w:rsidRDefault="005F5E7E" w:rsidP="00AB0B6B">
      <w:pPr>
        <w:spacing w:line="240" w:lineRule="auto"/>
        <w:ind w:left="709" w:hanging="709"/>
        <w:jc w:val="both"/>
        <w:rPr>
          <w:szCs w:val="24"/>
          <w:shd w:val="clear" w:color="auto" w:fill="FFFFFF"/>
        </w:rPr>
      </w:pPr>
      <w:proofErr w:type="spellStart"/>
      <w:r w:rsidRPr="00B85DE4">
        <w:rPr>
          <w:szCs w:val="24"/>
          <w:shd w:val="clear" w:color="auto" w:fill="FFFFFF"/>
        </w:rPr>
        <w:t>Gniniguè</w:t>
      </w:r>
      <w:proofErr w:type="spellEnd"/>
      <w:r w:rsidRPr="00B85DE4">
        <w:rPr>
          <w:szCs w:val="24"/>
          <w:shd w:val="clear" w:color="auto" w:fill="FFFFFF"/>
        </w:rPr>
        <w:t xml:space="preserve">, M., &amp; </w:t>
      </w:r>
      <w:proofErr w:type="spellStart"/>
      <w:r w:rsidRPr="00B85DE4">
        <w:rPr>
          <w:szCs w:val="24"/>
          <w:shd w:val="clear" w:color="auto" w:fill="FFFFFF"/>
        </w:rPr>
        <w:t>Tchalim</w:t>
      </w:r>
      <w:proofErr w:type="spellEnd"/>
      <w:r w:rsidRPr="00B85DE4">
        <w:rPr>
          <w:szCs w:val="24"/>
          <w:shd w:val="clear" w:color="auto" w:fill="FFFFFF"/>
        </w:rPr>
        <w:t>, T. I. (2021). Effet de l’émigration sur la transformation structurelle de la communauté économique des états de l’Afrique de l’Ouest. </w:t>
      </w:r>
      <w:r w:rsidRPr="00B85DE4">
        <w:rPr>
          <w:i/>
          <w:iCs/>
          <w:szCs w:val="24"/>
          <w:shd w:val="clear" w:color="auto" w:fill="FFFFFF"/>
        </w:rPr>
        <w:t>Revue Internationale des Economistes de Langue Française</w:t>
      </w:r>
      <w:r w:rsidRPr="00B85DE4">
        <w:rPr>
          <w:szCs w:val="24"/>
          <w:shd w:val="clear" w:color="auto" w:fill="FFFFFF"/>
        </w:rPr>
        <w:t xml:space="preserve">, </w:t>
      </w:r>
      <w:r w:rsidRPr="00B85DE4">
        <w:rPr>
          <w:szCs w:val="24"/>
        </w:rPr>
        <w:t xml:space="preserve">6(1), </w:t>
      </w:r>
      <w:r w:rsidRPr="00B85DE4">
        <w:rPr>
          <w:szCs w:val="24"/>
          <w:shd w:val="clear" w:color="auto" w:fill="FFFFFF"/>
        </w:rPr>
        <w:t>129-150.</w:t>
      </w:r>
    </w:p>
    <w:p w14:paraId="601A5C14" w14:textId="44CA1ACC" w:rsidR="006876B7" w:rsidRPr="006876B7" w:rsidRDefault="006876B7" w:rsidP="006876B7">
      <w:pPr>
        <w:spacing w:line="240" w:lineRule="auto"/>
        <w:ind w:left="709" w:hanging="709"/>
        <w:jc w:val="both"/>
        <w:rPr>
          <w:szCs w:val="24"/>
          <w:shd w:val="clear" w:color="auto" w:fill="FFFFFF"/>
          <w:lang w:val="en-US"/>
        </w:rPr>
      </w:pPr>
      <w:r w:rsidRPr="006876B7">
        <w:rPr>
          <w:szCs w:val="24"/>
          <w:shd w:val="clear" w:color="auto" w:fill="FFFFFF"/>
          <w:lang w:val="en-US"/>
        </w:rPr>
        <w:t>Gollin, D. (2023). Agricultural productivity and structural transformation: Evi</w:t>
      </w:r>
      <w:r>
        <w:rPr>
          <w:szCs w:val="24"/>
          <w:shd w:val="clear" w:color="auto" w:fill="FFFFFF"/>
          <w:lang w:val="en-US"/>
        </w:rPr>
        <w:t xml:space="preserve">dence and questions for African </w:t>
      </w:r>
      <w:r w:rsidRPr="006876B7">
        <w:rPr>
          <w:szCs w:val="24"/>
          <w:shd w:val="clear" w:color="auto" w:fill="FFFFFF"/>
          <w:lang w:val="en-US"/>
        </w:rPr>
        <w:t>development. Oxford</w:t>
      </w:r>
      <w:r w:rsidR="0055529D">
        <w:rPr>
          <w:szCs w:val="24"/>
          <w:shd w:val="clear" w:color="auto" w:fill="FFFFFF"/>
          <w:lang w:val="en-US"/>
        </w:rPr>
        <w:t>.</w:t>
      </w:r>
      <w:r w:rsidRPr="006876B7">
        <w:rPr>
          <w:szCs w:val="24"/>
          <w:shd w:val="clear" w:color="auto" w:fill="FFFFFF"/>
          <w:lang w:val="en-US"/>
        </w:rPr>
        <w:t xml:space="preserve"> </w:t>
      </w:r>
      <w:r w:rsidRPr="0055529D">
        <w:rPr>
          <w:i/>
          <w:szCs w:val="24"/>
          <w:shd w:val="clear" w:color="auto" w:fill="FFFFFF"/>
          <w:lang w:val="en-US"/>
        </w:rPr>
        <w:t>Development Studies</w:t>
      </w:r>
      <w:r w:rsidRPr="006876B7">
        <w:rPr>
          <w:szCs w:val="24"/>
          <w:shd w:val="clear" w:color="auto" w:fill="FFFFFF"/>
          <w:lang w:val="en-US"/>
        </w:rPr>
        <w:t xml:space="preserve">, </w:t>
      </w:r>
      <w:r w:rsidRPr="0055529D">
        <w:rPr>
          <w:i/>
          <w:szCs w:val="24"/>
          <w:shd w:val="clear" w:color="auto" w:fill="FFFFFF"/>
          <w:lang w:val="en-US"/>
        </w:rPr>
        <w:t>51(4),</w:t>
      </w:r>
      <w:r w:rsidRPr="006876B7">
        <w:rPr>
          <w:szCs w:val="24"/>
          <w:shd w:val="clear" w:color="auto" w:fill="FFFFFF"/>
          <w:lang w:val="en-US"/>
        </w:rPr>
        <w:t xml:space="preserve"> 375–396. https://doi.org/10.1080/13600818.2023.2280638</w:t>
      </w:r>
      <w:r>
        <w:rPr>
          <w:szCs w:val="24"/>
          <w:shd w:val="clear" w:color="auto" w:fill="FFFFFF"/>
          <w:lang w:val="en-US"/>
        </w:rPr>
        <w:t>.</w:t>
      </w:r>
    </w:p>
    <w:p w14:paraId="77BC69FE" w14:textId="77777777" w:rsidR="005F5E7E" w:rsidRPr="00B85DE4" w:rsidRDefault="005F5E7E" w:rsidP="00AB0B6B">
      <w:pPr>
        <w:spacing w:line="240" w:lineRule="auto"/>
        <w:ind w:left="709" w:hanging="709"/>
        <w:jc w:val="both"/>
        <w:rPr>
          <w:szCs w:val="24"/>
          <w:shd w:val="clear" w:color="auto" w:fill="FFFFFF"/>
          <w:lang w:val="en-US"/>
        </w:rPr>
      </w:pPr>
      <w:r w:rsidRPr="0055529D">
        <w:rPr>
          <w:szCs w:val="24"/>
          <w:shd w:val="clear" w:color="auto" w:fill="FFFFFF"/>
          <w:lang w:val="en-US"/>
        </w:rPr>
        <w:t xml:space="preserve">Habibi, F., &amp; Zabardast, M. A. (2020). </w:t>
      </w:r>
      <w:r w:rsidRPr="00B85DE4">
        <w:rPr>
          <w:szCs w:val="24"/>
          <w:shd w:val="clear" w:color="auto" w:fill="FFFFFF"/>
          <w:lang w:val="en-US"/>
        </w:rPr>
        <w:t>Digitalization, education and economic growth: A comparative analysis of Middle East and OECD countries. </w:t>
      </w:r>
      <w:r w:rsidRPr="00B85DE4">
        <w:rPr>
          <w:i/>
          <w:iCs/>
          <w:szCs w:val="24"/>
          <w:shd w:val="clear" w:color="auto" w:fill="FFFFFF"/>
          <w:lang w:val="en-US"/>
        </w:rPr>
        <w:t>Technology in Society</w:t>
      </w:r>
      <w:r w:rsidRPr="00B85DE4">
        <w:rPr>
          <w:szCs w:val="24"/>
          <w:shd w:val="clear" w:color="auto" w:fill="FFFFFF"/>
          <w:lang w:val="en-US"/>
        </w:rPr>
        <w:t>, </w:t>
      </w:r>
      <w:r w:rsidRPr="00B85DE4">
        <w:rPr>
          <w:i/>
          <w:iCs/>
          <w:szCs w:val="24"/>
          <w:shd w:val="clear" w:color="auto" w:fill="FFFFFF"/>
          <w:lang w:val="en-US"/>
        </w:rPr>
        <w:t>63</w:t>
      </w:r>
      <w:r w:rsidRPr="00B85DE4">
        <w:rPr>
          <w:szCs w:val="24"/>
          <w:shd w:val="clear" w:color="auto" w:fill="FFFFFF"/>
          <w:lang w:val="en-US"/>
        </w:rPr>
        <w:t>, 101370.</w:t>
      </w:r>
    </w:p>
    <w:p w14:paraId="123B2465" w14:textId="77777777" w:rsidR="005F5E7E" w:rsidRPr="00B85DE4" w:rsidRDefault="005F5E7E" w:rsidP="00AB0B6B">
      <w:pPr>
        <w:spacing w:line="240" w:lineRule="auto"/>
        <w:ind w:left="709" w:hanging="709"/>
        <w:jc w:val="both"/>
        <w:rPr>
          <w:szCs w:val="24"/>
          <w:lang w:val="en-US"/>
        </w:rPr>
      </w:pPr>
      <w:proofErr w:type="spellStart"/>
      <w:r w:rsidRPr="00B85DE4">
        <w:rPr>
          <w:rFonts w:eastAsia="Times New Roman"/>
          <w:szCs w:val="24"/>
          <w:lang w:val="en-US" w:eastAsia="fr-FR"/>
        </w:rPr>
        <w:t>Herrendorf</w:t>
      </w:r>
      <w:proofErr w:type="spellEnd"/>
      <w:r w:rsidRPr="00B85DE4">
        <w:rPr>
          <w:rFonts w:eastAsia="Times New Roman"/>
          <w:szCs w:val="24"/>
          <w:lang w:val="en-US" w:eastAsia="fr-FR"/>
        </w:rPr>
        <w:t xml:space="preserve">, B., Rogerson, R., &amp; Valentinyi, A. (2014). Growth and structural transformation. In </w:t>
      </w:r>
      <w:r w:rsidRPr="00B85DE4">
        <w:rPr>
          <w:rFonts w:eastAsia="Times New Roman"/>
          <w:i/>
          <w:iCs/>
          <w:szCs w:val="24"/>
          <w:lang w:val="en-US" w:eastAsia="fr-FR"/>
        </w:rPr>
        <w:t>Handbook of economic growth,</w:t>
      </w:r>
      <w:r w:rsidRPr="00B85DE4">
        <w:rPr>
          <w:rFonts w:eastAsia="Times New Roman"/>
          <w:szCs w:val="24"/>
          <w:lang w:val="en-US" w:eastAsia="fr-FR"/>
        </w:rPr>
        <w:t xml:space="preserve"> 2, 855-941</w:t>
      </w:r>
    </w:p>
    <w:p w14:paraId="01EFF88F" w14:textId="7C039891" w:rsidR="005F5E7E" w:rsidRDefault="005F5E7E" w:rsidP="00AB0B6B">
      <w:pPr>
        <w:spacing w:line="240" w:lineRule="auto"/>
        <w:ind w:left="709" w:hanging="709"/>
        <w:jc w:val="both"/>
        <w:rPr>
          <w:szCs w:val="24"/>
          <w:lang w:val="en-US"/>
        </w:rPr>
      </w:pPr>
      <w:r w:rsidRPr="00B85DE4">
        <w:rPr>
          <w:szCs w:val="24"/>
          <w:lang w:val="en-US"/>
        </w:rPr>
        <w:t xml:space="preserve">Kretschmer, T. (2012), “Information and Communication Technologies and Productivity Growth: A Survey of the Literature”, </w:t>
      </w:r>
      <w:r w:rsidRPr="00B85DE4">
        <w:rPr>
          <w:i/>
          <w:iCs/>
          <w:szCs w:val="24"/>
          <w:lang w:val="en-US"/>
        </w:rPr>
        <w:t>OECD Digital Economy Papers</w:t>
      </w:r>
      <w:r w:rsidRPr="00B85DE4">
        <w:rPr>
          <w:szCs w:val="24"/>
          <w:lang w:val="en-US"/>
        </w:rPr>
        <w:t xml:space="preserve">, No. 195, OECD Publishing. </w:t>
      </w:r>
    </w:p>
    <w:p w14:paraId="3799F16E" w14:textId="77777777" w:rsidR="00C0335A" w:rsidRDefault="0052191A" w:rsidP="00AB0B6B">
      <w:pPr>
        <w:spacing w:line="240" w:lineRule="auto"/>
        <w:jc w:val="both"/>
        <w:rPr>
          <w:szCs w:val="24"/>
          <w:lang w:val="en-US"/>
        </w:rPr>
      </w:pPr>
      <w:r>
        <w:rPr>
          <w:szCs w:val="24"/>
          <w:lang w:val="en-US"/>
        </w:rPr>
        <w:t xml:space="preserve">Kuosmanen, T. </w:t>
      </w:r>
      <w:r w:rsidRPr="0052191A">
        <w:rPr>
          <w:szCs w:val="24"/>
          <w:lang w:val="en-US"/>
        </w:rPr>
        <w:t>Kuosmanen</w:t>
      </w:r>
      <w:r>
        <w:rPr>
          <w:szCs w:val="24"/>
          <w:lang w:val="en-US"/>
        </w:rPr>
        <w:t>, N. (2021).</w:t>
      </w:r>
      <w:r w:rsidRPr="0052191A">
        <w:rPr>
          <w:szCs w:val="24"/>
          <w:lang w:val="en-US"/>
        </w:rPr>
        <w:t xml:space="preserve"> Structural change decomposition of productivity </w:t>
      </w:r>
    </w:p>
    <w:p w14:paraId="431E4881" w14:textId="6B9F0032" w:rsidR="00103D57" w:rsidRDefault="0052191A" w:rsidP="00F5642D">
      <w:pPr>
        <w:spacing w:line="240" w:lineRule="auto"/>
        <w:ind w:firstLine="708"/>
        <w:rPr>
          <w:szCs w:val="24"/>
          <w:lang w:val="en-US"/>
        </w:rPr>
      </w:pPr>
      <w:r w:rsidRPr="0052191A">
        <w:rPr>
          <w:szCs w:val="24"/>
          <w:lang w:val="en-US"/>
        </w:rPr>
        <w:t>without share</w:t>
      </w:r>
      <w:r>
        <w:rPr>
          <w:szCs w:val="24"/>
          <w:lang w:val="en-US"/>
        </w:rPr>
        <w:t xml:space="preserve"> </w:t>
      </w:r>
      <w:r w:rsidRPr="0052191A">
        <w:rPr>
          <w:szCs w:val="24"/>
          <w:lang w:val="en-US"/>
        </w:rPr>
        <w:t>weights</w:t>
      </w:r>
      <w:r>
        <w:rPr>
          <w:szCs w:val="24"/>
          <w:lang w:val="en-US"/>
        </w:rPr>
        <w:t xml:space="preserve">, </w:t>
      </w:r>
      <w:r w:rsidRPr="0052191A">
        <w:rPr>
          <w:i/>
          <w:szCs w:val="24"/>
          <w:lang w:val="en-US"/>
        </w:rPr>
        <w:t>Structural Change and Economic Dynamics</w:t>
      </w:r>
      <w:r>
        <w:rPr>
          <w:szCs w:val="24"/>
          <w:lang w:val="en-US"/>
        </w:rPr>
        <w:t xml:space="preserve">, 59, </w:t>
      </w:r>
      <w:r w:rsidRPr="0052191A">
        <w:rPr>
          <w:szCs w:val="24"/>
          <w:lang w:val="en-US"/>
        </w:rPr>
        <w:t>120–127</w:t>
      </w:r>
      <w:r>
        <w:rPr>
          <w:szCs w:val="24"/>
          <w:lang w:val="en-US"/>
        </w:rPr>
        <w:t>.</w:t>
      </w:r>
    </w:p>
    <w:p w14:paraId="3934BDEB" w14:textId="77777777" w:rsidR="00103D57" w:rsidRPr="0024185D" w:rsidRDefault="00103D57" w:rsidP="00F5642D">
      <w:pPr>
        <w:spacing w:line="240" w:lineRule="auto"/>
        <w:rPr>
          <w:szCs w:val="24"/>
          <w:lang w:val="en-US"/>
        </w:rPr>
      </w:pPr>
      <w:r w:rsidRPr="0024185D">
        <w:rPr>
          <w:szCs w:val="24"/>
          <w:lang w:val="en-US"/>
        </w:rPr>
        <w:t xml:space="preserve">Marshall, Monty G. &amp; Ted Robert Gurr. 2020. Polity 5: Political Regime Characteristics and </w:t>
      </w:r>
    </w:p>
    <w:p w14:paraId="3100F4D4" w14:textId="3163CDA9" w:rsidR="0052191A" w:rsidRPr="00EC3C83" w:rsidRDefault="00103D57" w:rsidP="00F5642D">
      <w:pPr>
        <w:spacing w:line="240" w:lineRule="auto"/>
        <w:ind w:firstLine="708"/>
        <w:rPr>
          <w:szCs w:val="24"/>
        </w:rPr>
      </w:pPr>
      <w:r w:rsidRPr="0024185D">
        <w:rPr>
          <w:szCs w:val="24"/>
          <w:lang w:val="en-US"/>
        </w:rPr>
        <w:t>Transitions, 1800-2018. Center for Systemic Peace.</w:t>
      </w:r>
      <w:r w:rsidR="00F5642D" w:rsidRPr="0024185D">
        <w:t xml:space="preserve"> </w:t>
      </w:r>
      <w:hyperlink r:id="rId20" w:anchor="reuse-this-work" w:history="1">
        <w:r w:rsidR="00F5642D" w:rsidRPr="00EC3C83">
          <w:rPr>
            <w:rStyle w:val="Hyperlink"/>
            <w:szCs w:val="24"/>
          </w:rPr>
          <w:t>https://ourworldindata.org/grapher/political-regime-polity#reuse-this-work</w:t>
        </w:r>
      </w:hyperlink>
    </w:p>
    <w:p w14:paraId="69C92729" w14:textId="77777777" w:rsidR="0024185D" w:rsidRDefault="000255A7" w:rsidP="0024185D">
      <w:pPr>
        <w:spacing w:after="0" w:line="240" w:lineRule="auto"/>
        <w:jc w:val="both"/>
        <w:rPr>
          <w:szCs w:val="24"/>
          <w:lang w:val="en-US"/>
        </w:rPr>
      </w:pPr>
      <w:r w:rsidRPr="00EC3C83">
        <w:rPr>
          <w:szCs w:val="24"/>
        </w:rPr>
        <w:t xml:space="preserve">NEPAD, (2013). </w:t>
      </w:r>
      <w:r w:rsidRPr="0024185D">
        <w:rPr>
          <w:szCs w:val="24"/>
          <w:lang w:val="en-US"/>
        </w:rPr>
        <w:t xml:space="preserve">Transformer le monde rural Africain. </w:t>
      </w:r>
    </w:p>
    <w:p w14:paraId="77DCB4A3" w14:textId="64F03319" w:rsidR="000255A7" w:rsidRDefault="00485C64" w:rsidP="0024185D">
      <w:pPr>
        <w:spacing w:after="0" w:line="240" w:lineRule="auto"/>
        <w:ind w:firstLine="708"/>
        <w:jc w:val="both"/>
        <w:rPr>
          <w:szCs w:val="24"/>
          <w:lang w:val="en-US"/>
        </w:rPr>
      </w:pPr>
      <w:hyperlink r:id="rId21" w:history="1">
        <w:r w:rsidR="000255A7" w:rsidRPr="0024185D">
          <w:rPr>
            <w:rStyle w:val="Hyperlink"/>
            <w:szCs w:val="24"/>
            <w:lang w:val="en-US"/>
          </w:rPr>
          <w:t>https://www.nepad.org/news/transformer-le-monde-rural-africain</w:t>
        </w:r>
      </w:hyperlink>
      <w:r w:rsidR="000255A7" w:rsidRPr="0024185D">
        <w:rPr>
          <w:szCs w:val="24"/>
          <w:lang w:val="en-US"/>
        </w:rPr>
        <w:t>.</w:t>
      </w:r>
    </w:p>
    <w:p w14:paraId="38DCA3B5" w14:textId="77777777" w:rsidR="0024185D" w:rsidRPr="00B85DE4" w:rsidRDefault="0024185D" w:rsidP="0024185D">
      <w:pPr>
        <w:spacing w:after="0" w:line="240" w:lineRule="auto"/>
        <w:ind w:firstLine="708"/>
        <w:jc w:val="both"/>
        <w:rPr>
          <w:szCs w:val="24"/>
          <w:lang w:val="en-US"/>
        </w:rPr>
      </w:pPr>
    </w:p>
    <w:p w14:paraId="6E1F2C76" w14:textId="1CB831B9" w:rsidR="005F5E7E" w:rsidRDefault="005F5E7E" w:rsidP="00AB0B6B">
      <w:pPr>
        <w:spacing w:line="240" w:lineRule="auto"/>
        <w:ind w:left="709" w:hanging="709"/>
        <w:jc w:val="both"/>
        <w:rPr>
          <w:rFonts w:eastAsia="Times New Roman"/>
          <w:szCs w:val="24"/>
          <w:lang w:val="en-US" w:eastAsia="fr-FR"/>
        </w:rPr>
      </w:pPr>
      <w:r w:rsidRPr="00B85DE4">
        <w:rPr>
          <w:rFonts w:eastAsia="Times New Roman"/>
          <w:szCs w:val="24"/>
          <w:lang w:val="en-US" w:eastAsia="fr-FR"/>
        </w:rPr>
        <w:t>Ibrahim, M., &amp; Vo, X. V. (2020). Effect of economic integration on sectorial value added in sub–</w:t>
      </w:r>
      <w:proofErr w:type="spellStart"/>
      <w:r w:rsidRPr="00B85DE4">
        <w:rPr>
          <w:rFonts w:eastAsia="Times New Roman"/>
          <w:szCs w:val="24"/>
          <w:lang w:val="en-US" w:eastAsia="fr-FR"/>
        </w:rPr>
        <w:t>saharan</w:t>
      </w:r>
      <w:proofErr w:type="spellEnd"/>
      <w:r w:rsidRPr="00B85DE4">
        <w:rPr>
          <w:rFonts w:eastAsia="Times New Roman"/>
          <w:szCs w:val="24"/>
          <w:lang w:val="en-US" w:eastAsia="fr-FR"/>
        </w:rPr>
        <w:t xml:space="preserve"> Africa: Does financial development </w:t>
      </w:r>
      <w:proofErr w:type="gramStart"/>
      <w:r w:rsidRPr="00B85DE4">
        <w:rPr>
          <w:rFonts w:eastAsia="Times New Roman"/>
          <w:szCs w:val="24"/>
          <w:lang w:val="en-US" w:eastAsia="fr-FR"/>
        </w:rPr>
        <w:t>matter</w:t>
      </w:r>
      <w:r w:rsidR="00CB0E26" w:rsidRPr="00B85DE4">
        <w:rPr>
          <w:rFonts w:eastAsia="Times New Roman"/>
          <w:szCs w:val="24"/>
          <w:lang w:val="en-US" w:eastAsia="fr-FR"/>
        </w:rPr>
        <w:t xml:space="preserve"> </w:t>
      </w:r>
      <w:r w:rsidRPr="00B85DE4">
        <w:rPr>
          <w:rFonts w:eastAsia="Times New Roman"/>
          <w:szCs w:val="24"/>
          <w:lang w:val="en-US" w:eastAsia="fr-FR"/>
        </w:rPr>
        <w:t>?</w:t>
      </w:r>
      <w:proofErr w:type="gramEnd"/>
      <w:r w:rsidRPr="00B85DE4">
        <w:rPr>
          <w:rFonts w:eastAsia="Times New Roman"/>
          <w:szCs w:val="24"/>
          <w:lang w:val="en-US" w:eastAsia="fr-FR"/>
        </w:rPr>
        <w:t xml:space="preserve">. </w:t>
      </w:r>
      <w:r w:rsidRPr="00B85DE4">
        <w:rPr>
          <w:rFonts w:eastAsia="Times New Roman"/>
          <w:i/>
          <w:iCs/>
          <w:szCs w:val="24"/>
          <w:lang w:val="en-US" w:eastAsia="fr-FR"/>
        </w:rPr>
        <w:t>The Journal of International Trade &amp; Economic Development</w:t>
      </w:r>
      <w:r w:rsidRPr="00B85DE4">
        <w:rPr>
          <w:rFonts w:eastAsia="Times New Roman"/>
          <w:szCs w:val="24"/>
          <w:lang w:val="en-US" w:eastAsia="fr-FR"/>
        </w:rPr>
        <w:t>, 1-18.</w:t>
      </w:r>
    </w:p>
    <w:p w14:paraId="61585661" w14:textId="5EB54178" w:rsidR="000802FE" w:rsidRPr="00B85DE4" w:rsidRDefault="000802FE" w:rsidP="00AB0B6B">
      <w:pPr>
        <w:spacing w:line="240" w:lineRule="auto"/>
        <w:ind w:left="709" w:hanging="709"/>
        <w:jc w:val="both"/>
        <w:rPr>
          <w:rFonts w:eastAsia="Times New Roman"/>
          <w:szCs w:val="24"/>
          <w:lang w:val="en-US" w:eastAsia="fr-FR"/>
        </w:rPr>
      </w:pPr>
      <w:proofErr w:type="spellStart"/>
      <w:r w:rsidRPr="000802FE">
        <w:rPr>
          <w:rFonts w:eastAsia="Times New Roman"/>
          <w:szCs w:val="24"/>
          <w:lang w:val="en-US" w:eastAsia="fr-FR"/>
        </w:rPr>
        <w:t>Irandoust</w:t>
      </w:r>
      <w:proofErr w:type="spellEnd"/>
      <w:r w:rsidRPr="000802FE">
        <w:rPr>
          <w:rFonts w:eastAsia="Times New Roman"/>
          <w:szCs w:val="24"/>
          <w:lang w:val="en-US" w:eastAsia="fr-FR"/>
        </w:rPr>
        <w:t>,</w:t>
      </w:r>
      <w:r>
        <w:rPr>
          <w:rFonts w:eastAsia="Times New Roman"/>
          <w:szCs w:val="24"/>
          <w:lang w:val="en-US" w:eastAsia="fr-FR"/>
        </w:rPr>
        <w:t xml:space="preserve"> M. (2022). </w:t>
      </w:r>
      <w:r w:rsidRPr="000802FE">
        <w:rPr>
          <w:rFonts w:eastAsia="Times New Roman"/>
          <w:szCs w:val="24"/>
          <w:lang w:val="en-US" w:eastAsia="fr-FR"/>
        </w:rPr>
        <w:t>Industrial growth versus agricultural</w:t>
      </w:r>
      <w:r>
        <w:rPr>
          <w:rFonts w:eastAsia="Times New Roman"/>
          <w:szCs w:val="24"/>
          <w:lang w:val="en-US" w:eastAsia="fr-FR"/>
        </w:rPr>
        <w:t xml:space="preserve"> growth in eight post-communist countries, </w:t>
      </w:r>
      <w:r w:rsidRPr="000802FE">
        <w:rPr>
          <w:rFonts w:eastAsia="Times New Roman"/>
          <w:i/>
          <w:szCs w:val="24"/>
          <w:lang w:val="en-US" w:eastAsia="fr-FR"/>
        </w:rPr>
        <w:t>Structural Change and Economic Dynamics</w:t>
      </w:r>
      <w:r>
        <w:rPr>
          <w:rFonts w:eastAsia="Times New Roman"/>
          <w:szCs w:val="24"/>
          <w:lang w:val="en-US" w:eastAsia="fr-FR"/>
        </w:rPr>
        <w:t>, 62,</w:t>
      </w:r>
      <w:r w:rsidRPr="000802FE">
        <w:rPr>
          <w:rFonts w:eastAsia="Times New Roman"/>
          <w:szCs w:val="24"/>
          <w:lang w:val="en-US" w:eastAsia="fr-FR"/>
        </w:rPr>
        <w:t xml:space="preserve"> 529-537,</w:t>
      </w:r>
    </w:p>
    <w:p w14:paraId="3CF992A5" w14:textId="77777777" w:rsidR="005F5E7E" w:rsidRDefault="005F5E7E" w:rsidP="00AB0B6B">
      <w:pPr>
        <w:spacing w:line="240" w:lineRule="auto"/>
        <w:ind w:left="709" w:hanging="709"/>
        <w:jc w:val="both"/>
        <w:rPr>
          <w:noProof/>
          <w:szCs w:val="24"/>
          <w:lang w:val="en-US"/>
        </w:rPr>
      </w:pPr>
      <w:r w:rsidRPr="00B85DE4">
        <w:rPr>
          <w:noProof/>
          <w:szCs w:val="24"/>
          <w:lang w:val="en-US"/>
        </w:rPr>
        <w:t xml:space="preserve">Lewis, W. A. (1954), </w:t>
      </w:r>
      <w:r w:rsidRPr="00B85DE4">
        <w:rPr>
          <w:szCs w:val="24"/>
          <w:lang w:val="en-US"/>
        </w:rPr>
        <w:t>“</w:t>
      </w:r>
      <w:r w:rsidRPr="00B85DE4">
        <w:rPr>
          <w:noProof/>
          <w:szCs w:val="24"/>
          <w:lang w:val="en-US"/>
        </w:rPr>
        <w:t>Economic development with unlimited supplies of labour</w:t>
      </w:r>
      <w:r w:rsidRPr="00B85DE4">
        <w:rPr>
          <w:szCs w:val="24"/>
          <w:lang w:val="en-US"/>
        </w:rPr>
        <w:t>”,</w:t>
      </w:r>
      <w:r w:rsidRPr="00B85DE4">
        <w:rPr>
          <w:noProof/>
          <w:szCs w:val="24"/>
          <w:lang w:val="en-US"/>
        </w:rPr>
        <w:t xml:space="preserve"> </w:t>
      </w:r>
      <w:r w:rsidRPr="00B85DE4">
        <w:rPr>
          <w:i/>
          <w:iCs/>
          <w:noProof/>
          <w:szCs w:val="24"/>
          <w:lang w:val="en-US"/>
        </w:rPr>
        <w:t>Manchester school, 22</w:t>
      </w:r>
      <w:r w:rsidRPr="00B85DE4">
        <w:rPr>
          <w:noProof/>
          <w:szCs w:val="24"/>
          <w:lang w:val="en-US"/>
        </w:rPr>
        <w:t>, 139-191.</w:t>
      </w:r>
    </w:p>
    <w:p w14:paraId="77DFDD78" w14:textId="10A3E262" w:rsidR="00680A72" w:rsidRPr="00680A72" w:rsidRDefault="00680A72" w:rsidP="00680A72">
      <w:pPr>
        <w:spacing w:line="240" w:lineRule="auto"/>
        <w:ind w:left="709" w:hanging="709"/>
        <w:jc w:val="both"/>
        <w:rPr>
          <w:noProof/>
          <w:szCs w:val="24"/>
          <w:lang w:val="en-US"/>
        </w:rPr>
      </w:pPr>
      <w:r>
        <w:rPr>
          <w:noProof/>
          <w:szCs w:val="24"/>
          <w:lang w:val="en-US"/>
        </w:rPr>
        <w:lastRenderedPageBreak/>
        <w:t>Lokonon K.O.B., Egbendewe A.Y.G., Coulibaly N., Atewamba C. (2019).  The</w:t>
      </w:r>
      <w:r w:rsidRPr="00680A72">
        <w:rPr>
          <w:noProof/>
          <w:szCs w:val="24"/>
          <w:lang w:val="en-US"/>
        </w:rPr>
        <w:t xml:space="preserve"> potential impact o</w:t>
      </w:r>
      <w:r>
        <w:rPr>
          <w:noProof/>
          <w:szCs w:val="24"/>
          <w:lang w:val="en-US"/>
        </w:rPr>
        <w:t xml:space="preserve">f climate change on agriculture </w:t>
      </w:r>
      <w:r w:rsidRPr="00680A72">
        <w:rPr>
          <w:noProof/>
          <w:szCs w:val="24"/>
          <w:lang w:val="en-US"/>
        </w:rPr>
        <w:t>in west africa: a bio-economic modeling approach</w:t>
      </w:r>
      <w:r>
        <w:rPr>
          <w:noProof/>
          <w:szCs w:val="24"/>
          <w:lang w:val="en-US"/>
        </w:rPr>
        <w:t xml:space="preserve">, Climate change economics, </w:t>
      </w:r>
      <w:r w:rsidRPr="00680A72">
        <w:rPr>
          <w:i/>
          <w:noProof/>
          <w:szCs w:val="24"/>
          <w:lang w:val="en-US"/>
        </w:rPr>
        <w:t>10, 1-30</w:t>
      </w:r>
      <w:r>
        <w:rPr>
          <w:noProof/>
          <w:szCs w:val="24"/>
          <w:lang w:val="en-US"/>
        </w:rPr>
        <w:t>.</w:t>
      </w:r>
    </w:p>
    <w:p w14:paraId="4D7BA460" w14:textId="0A857E76" w:rsidR="005F5E7E" w:rsidRPr="00B85DE4" w:rsidRDefault="005F5E7E" w:rsidP="00AB0B6B">
      <w:pPr>
        <w:spacing w:line="240" w:lineRule="auto"/>
        <w:ind w:left="709" w:hanging="709"/>
        <w:jc w:val="both"/>
        <w:rPr>
          <w:noProof/>
          <w:szCs w:val="24"/>
          <w:lang w:val="en-US"/>
        </w:rPr>
      </w:pPr>
      <w:r w:rsidRPr="00B85DE4">
        <w:rPr>
          <w:noProof/>
          <w:szCs w:val="24"/>
        </w:rPr>
        <w:t xml:space="preserve">Lo, S. B., </w:t>
      </w:r>
      <w:r w:rsidRPr="00B85DE4">
        <w:rPr>
          <w:szCs w:val="24"/>
          <w:shd w:val="clear" w:color="auto" w:fill="FFFFFF"/>
        </w:rPr>
        <w:t>&amp;</w:t>
      </w:r>
      <w:r w:rsidRPr="00B85DE4">
        <w:rPr>
          <w:noProof/>
          <w:szCs w:val="24"/>
        </w:rPr>
        <w:t xml:space="preserve"> F. Ramde (2019), </w:t>
      </w:r>
      <w:r w:rsidRPr="00B85DE4">
        <w:rPr>
          <w:szCs w:val="24"/>
        </w:rPr>
        <w:t>“</w:t>
      </w:r>
      <w:r w:rsidRPr="00B85DE4">
        <w:rPr>
          <w:noProof/>
          <w:szCs w:val="24"/>
        </w:rPr>
        <w:t>Développement financier et transformation structurelle des pays africains de la zone Franc: une approche panel-VAR</w:t>
      </w:r>
      <w:r w:rsidRPr="00B85DE4">
        <w:rPr>
          <w:szCs w:val="24"/>
        </w:rPr>
        <w:t>”,</w:t>
      </w:r>
      <w:r w:rsidRPr="00B85DE4">
        <w:rPr>
          <w:noProof/>
          <w:szCs w:val="24"/>
        </w:rPr>
        <w:t xml:space="preserve"> </w:t>
      </w:r>
      <w:r w:rsidRPr="00B85DE4">
        <w:rPr>
          <w:i/>
          <w:iCs/>
          <w:noProof/>
          <w:szCs w:val="24"/>
        </w:rPr>
        <w:t xml:space="preserve">Revue Interventions économiques. </w:t>
      </w:r>
      <w:r w:rsidRPr="00B85DE4">
        <w:rPr>
          <w:i/>
          <w:iCs/>
          <w:noProof/>
          <w:szCs w:val="24"/>
          <w:lang w:val="en-US"/>
        </w:rPr>
        <w:t xml:space="preserve">Papers in Political Economy, </w:t>
      </w:r>
      <w:r w:rsidR="00680A72">
        <w:rPr>
          <w:i/>
          <w:iCs/>
          <w:noProof/>
          <w:szCs w:val="24"/>
          <w:lang w:val="en-US"/>
        </w:rPr>
        <w:t>23</w:t>
      </w:r>
      <w:r w:rsidRPr="00B85DE4">
        <w:rPr>
          <w:i/>
          <w:iCs/>
          <w:noProof/>
          <w:szCs w:val="24"/>
          <w:lang w:val="en-US"/>
        </w:rPr>
        <w:t>, 61</w:t>
      </w:r>
      <w:r w:rsidR="00680A72">
        <w:rPr>
          <w:i/>
          <w:iCs/>
          <w:noProof/>
          <w:szCs w:val="24"/>
          <w:lang w:val="en-US"/>
        </w:rPr>
        <w:t>-75</w:t>
      </w:r>
      <w:r w:rsidRPr="00B85DE4">
        <w:rPr>
          <w:noProof/>
          <w:szCs w:val="24"/>
          <w:lang w:val="en-US"/>
        </w:rPr>
        <w:t>.</w:t>
      </w:r>
    </w:p>
    <w:p w14:paraId="1B5DC7F3"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Lucas, R. E. (1988), </w:t>
      </w:r>
      <w:r w:rsidRPr="00B85DE4">
        <w:rPr>
          <w:szCs w:val="24"/>
          <w:lang w:val="en-US"/>
        </w:rPr>
        <w:t>“</w:t>
      </w:r>
      <w:r w:rsidRPr="00B85DE4">
        <w:rPr>
          <w:noProof/>
          <w:szCs w:val="24"/>
          <w:lang w:val="en-US"/>
        </w:rPr>
        <w:t>On the mechanics of economic development</w:t>
      </w:r>
      <w:r w:rsidRPr="00B85DE4">
        <w:rPr>
          <w:szCs w:val="24"/>
          <w:lang w:val="en-US"/>
        </w:rPr>
        <w:t>”,</w:t>
      </w:r>
      <w:r w:rsidRPr="00B85DE4">
        <w:rPr>
          <w:noProof/>
          <w:szCs w:val="24"/>
          <w:lang w:val="en-US"/>
        </w:rPr>
        <w:t xml:space="preserve"> </w:t>
      </w:r>
      <w:r w:rsidRPr="00B85DE4">
        <w:rPr>
          <w:i/>
          <w:iCs/>
          <w:noProof/>
          <w:szCs w:val="24"/>
          <w:lang w:val="en-US"/>
        </w:rPr>
        <w:t>Journal of monetary economics, 22</w:t>
      </w:r>
      <w:r w:rsidRPr="00B85DE4">
        <w:rPr>
          <w:noProof/>
          <w:szCs w:val="24"/>
          <w:lang w:val="en-US"/>
        </w:rPr>
        <w:t>, 3-42.</w:t>
      </w:r>
    </w:p>
    <w:p w14:paraId="77CC7D48" w14:textId="7C20976D" w:rsidR="005F5E7E"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 xml:space="preserve">Mamba, E., </w:t>
      </w:r>
      <w:proofErr w:type="spellStart"/>
      <w:r w:rsidRPr="00B85DE4">
        <w:rPr>
          <w:szCs w:val="24"/>
          <w:shd w:val="clear" w:color="auto" w:fill="FFFFFF"/>
          <w:lang w:val="en-US"/>
        </w:rPr>
        <w:t>Gniniguè</w:t>
      </w:r>
      <w:proofErr w:type="spellEnd"/>
      <w:r w:rsidRPr="00B85DE4">
        <w:rPr>
          <w:szCs w:val="24"/>
          <w:shd w:val="clear" w:color="auto" w:fill="FFFFFF"/>
          <w:lang w:val="en-US"/>
        </w:rPr>
        <w:t>, M., &amp; Ali, E. (2020). Effect of foreign direct investment on structural transformation in West African Economic and Monetary Union (WAEMU) countries. </w:t>
      </w:r>
      <w:r w:rsidRPr="00B85DE4">
        <w:rPr>
          <w:i/>
          <w:iCs/>
          <w:szCs w:val="24"/>
          <w:shd w:val="clear" w:color="auto" w:fill="FFFFFF"/>
          <w:lang w:val="en-US"/>
        </w:rPr>
        <w:t>Cogent Economics &amp; Finance</w:t>
      </w:r>
      <w:r w:rsidRPr="00B85DE4">
        <w:rPr>
          <w:szCs w:val="24"/>
          <w:shd w:val="clear" w:color="auto" w:fill="FFFFFF"/>
          <w:lang w:val="en-US"/>
        </w:rPr>
        <w:t>, </w:t>
      </w:r>
      <w:r w:rsidRPr="00B85DE4">
        <w:rPr>
          <w:i/>
          <w:iCs/>
          <w:szCs w:val="24"/>
          <w:shd w:val="clear" w:color="auto" w:fill="FFFFFF"/>
          <w:lang w:val="en-US"/>
        </w:rPr>
        <w:t>8</w:t>
      </w:r>
      <w:r w:rsidRPr="00B85DE4">
        <w:rPr>
          <w:szCs w:val="24"/>
          <w:shd w:val="clear" w:color="auto" w:fill="FFFFFF"/>
          <w:lang w:val="en-US"/>
        </w:rPr>
        <w:t>(1), 1783910.</w:t>
      </w:r>
    </w:p>
    <w:p w14:paraId="37800C97" w14:textId="50CFB543" w:rsidR="009172B7" w:rsidRPr="00B85DE4" w:rsidRDefault="009172B7" w:rsidP="009172B7">
      <w:pPr>
        <w:spacing w:line="240" w:lineRule="auto"/>
        <w:ind w:left="709" w:hanging="709"/>
        <w:jc w:val="both"/>
        <w:rPr>
          <w:szCs w:val="24"/>
          <w:shd w:val="clear" w:color="auto" w:fill="FFFFFF"/>
          <w:lang w:val="en-US"/>
        </w:rPr>
      </w:pPr>
      <w:r>
        <w:rPr>
          <w:szCs w:val="24"/>
          <w:shd w:val="clear" w:color="auto" w:fill="FFFFFF"/>
          <w:lang w:val="en-US"/>
        </w:rPr>
        <w:t>Martin A., Gonzalo D.</w:t>
      </w:r>
      <w:r w:rsidRPr="009172B7">
        <w:rPr>
          <w:szCs w:val="24"/>
          <w:shd w:val="clear" w:color="auto" w:fill="FFFFFF"/>
          <w:lang w:val="en-US"/>
        </w:rPr>
        <w:t>, Magnu</w:t>
      </w:r>
      <w:r>
        <w:rPr>
          <w:szCs w:val="24"/>
          <w:shd w:val="clear" w:color="auto" w:fill="FFFFFF"/>
          <w:lang w:val="en-US"/>
        </w:rPr>
        <w:t xml:space="preserve">s J., </w:t>
      </w:r>
      <w:proofErr w:type="spellStart"/>
      <w:r>
        <w:rPr>
          <w:szCs w:val="24"/>
          <w:shd w:val="clear" w:color="auto" w:fill="FFFFFF"/>
          <w:lang w:val="en-US"/>
        </w:rPr>
        <w:t>Chekhros</w:t>
      </w:r>
      <w:proofErr w:type="spellEnd"/>
      <w:r>
        <w:rPr>
          <w:szCs w:val="24"/>
          <w:shd w:val="clear" w:color="auto" w:fill="FFFFFF"/>
          <w:lang w:val="en-US"/>
        </w:rPr>
        <w:t xml:space="preserve"> K., </w:t>
      </w:r>
      <w:r w:rsidRPr="009172B7">
        <w:rPr>
          <w:szCs w:val="24"/>
          <w:shd w:val="clear" w:color="auto" w:fill="FFFFFF"/>
          <w:lang w:val="en-US"/>
        </w:rPr>
        <w:t>Hedvig</w:t>
      </w:r>
      <w:r>
        <w:rPr>
          <w:szCs w:val="24"/>
          <w:shd w:val="clear" w:color="auto" w:fill="FFFFFF"/>
          <w:lang w:val="en-US"/>
        </w:rPr>
        <w:t xml:space="preserve"> L., Ibrahim W.</w:t>
      </w:r>
      <w:r w:rsidRPr="009172B7">
        <w:rPr>
          <w:szCs w:val="24"/>
          <w:shd w:val="clear" w:color="auto" w:fill="FFFFFF"/>
          <w:lang w:val="en-US"/>
        </w:rPr>
        <w:t xml:space="preserve"> (2024)</w:t>
      </w:r>
      <w:r>
        <w:rPr>
          <w:szCs w:val="24"/>
          <w:shd w:val="clear" w:color="auto" w:fill="FFFFFF"/>
          <w:lang w:val="en-US"/>
        </w:rPr>
        <w:t>.</w:t>
      </w:r>
      <w:r w:rsidRPr="009172B7">
        <w:rPr>
          <w:szCs w:val="24"/>
          <w:shd w:val="clear" w:color="auto" w:fill="FFFFFF"/>
          <w:lang w:val="en-US"/>
        </w:rPr>
        <w:t xml:space="preserve"> A local-level agr</w:t>
      </w:r>
      <w:r>
        <w:rPr>
          <w:szCs w:val="24"/>
          <w:shd w:val="clear" w:color="auto" w:fill="FFFFFF"/>
          <w:lang w:val="en-US"/>
        </w:rPr>
        <w:t xml:space="preserve">icultural transformation in the </w:t>
      </w:r>
      <w:r w:rsidRPr="009172B7">
        <w:rPr>
          <w:szCs w:val="24"/>
          <w:shd w:val="clear" w:color="auto" w:fill="FFFFFF"/>
          <w:lang w:val="en-US"/>
        </w:rPr>
        <w:t>making? The case of the cassava industry in the Ashanti and</w:t>
      </w:r>
      <w:r>
        <w:rPr>
          <w:szCs w:val="24"/>
          <w:shd w:val="clear" w:color="auto" w:fill="FFFFFF"/>
          <w:lang w:val="en-US"/>
        </w:rPr>
        <w:t xml:space="preserve"> Volta regions of Ghana, Oxford. </w:t>
      </w:r>
      <w:r w:rsidRPr="009172B7">
        <w:rPr>
          <w:i/>
          <w:szCs w:val="24"/>
          <w:shd w:val="clear" w:color="auto" w:fill="FFFFFF"/>
          <w:lang w:val="en-US"/>
        </w:rPr>
        <w:t>Development Studies</w:t>
      </w:r>
      <w:r>
        <w:rPr>
          <w:szCs w:val="24"/>
          <w:shd w:val="clear" w:color="auto" w:fill="FFFFFF"/>
          <w:lang w:val="en-US"/>
        </w:rPr>
        <w:t xml:space="preserve">, </w:t>
      </w:r>
      <w:r w:rsidRPr="009172B7">
        <w:rPr>
          <w:i/>
          <w:szCs w:val="24"/>
          <w:shd w:val="clear" w:color="auto" w:fill="FFFFFF"/>
          <w:lang w:val="en-US"/>
        </w:rPr>
        <w:t>52(3),</w:t>
      </w:r>
      <w:r w:rsidRPr="009172B7">
        <w:rPr>
          <w:szCs w:val="24"/>
          <w:shd w:val="clear" w:color="auto" w:fill="FFFFFF"/>
          <w:lang w:val="en-US"/>
        </w:rPr>
        <w:t xml:space="preserve"> 310-324, DOI: 10.1080/13600818.2024.2418002</w:t>
      </w:r>
      <w:r>
        <w:rPr>
          <w:szCs w:val="24"/>
          <w:shd w:val="clear" w:color="auto" w:fill="FFFFFF"/>
          <w:lang w:val="en-US"/>
        </w:rPr>
        <w:t>.</w:t>
      </w:r>
    </w:p>
    <w:p w14:paraId="7AEF2259"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Mcmillan, M., D. Rodrik </w:t>
      </w:r>
      <w:r w:rsidRPr="00B85DE4">
        <w:rPr>
          <w:szCs w:val="24"/>
          <w:shd w:val="clear" w:color="auto" w:fill="FFFFFF"/>
          <w:lang w:val="en-US"/>
        </w:rPr>
        <w:t>&amp;</w:t>
      </w:r>
      <w:r w:rsidRPr="00B85DE4">
        <w:rPr>
          <w:noProof/>
          <w:szCs w:val="24"/>
          <w:lang w:val="en-US"/>
        </w:rPr>
        <w:t xml:space="preserve"> I. Verduzco-gallo (2014), </w:t>
      </w:r>
      <w:r w:rsidRPr="00B85DE4">
        <w:rPr>
          <w:szCs w:val="24"/>
          <w:lang w:val="en-US"/>
        </w:rPr>
        <w:t>“</w:t>
      </w:r>
      <w:r w:rsidRPr="00B85DE4">
        <w:rPr>
          <w:noProof/>
          <w:szCs w:val="24"/>
          <w:lang w:val="en-US"/>
        </w:rPr>
        <w:t>Globalization, Structural Change, and Productivity Growth, with an Update on Africa</w:t>
      </w:r>
      <w:r w:rsidRPr="00B85DE4">
        <w:rPr>
          <w:szCs w:val="24"/>
          <w:lang w:val="en-US"/>
        </w:rPr>
        <w:t>”,</w:t>
      </w:r>
      <w:r w:rsidRPr="00B85DE4">
        <w:rPr>
          <w:noProof/>
          <w:szCs w:val="24"/>
          <w:lang w:val="en-US"/>
        </w:rPr>
        <w:t xml:space="preserve"> </w:t>
      </w:r>
      <w:r w:rsidRPr="00B85DE4">
        <w:rPr>
          <w:i/>
          <w:iCs/>
          <w:noProof/>
          <w:szCs w:val="24"/>
          <w:lang w:val="en-US"/>
        </w:rPr>
        <w:t>World Development, 63</w:t>
      </w:r>
      <w:r w:rsidRPr="00B85DE4">
        <w:rPr>
          <w:noProof/>
          <w:szCs w:val="24"/>
          <w:lang w:val="en-US"/>
        </w:rPr>
        <w:t>, 11-32.</w:t>
      </w:r>
    </w:p>
    <w:p w14:paraId="43059F73"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Mühlen, H. </w:t>
      </w:r>
      <w:r w:rsidRPr="00B85DE4">
        <w:rPr>
          <w:szCs w:val="24"/>
          <w:shd w:val="clear" w:color="auto" w:fill="FFFFFF"/>
          <w:lang w:val="en-US"/>
        </w:rPr>
        <w:t xml:space="preserve">&amp; </w:t>
      </w:r>
      <w:r w:rsidRPr="00B85DE4">
        <w:rPr>
          <w:noProof/>
          <w:szCs w:val="24"/>
          <w:lang w:val="en-US"/>
        </w:rPr>
        <w:t xml:space="preserve">Escobar, O. (2020), </w:t>
      </w:r>
      <w:r w:rsidRPr="00B85DE4">
        <w:rPr>
          <w:szCs w:val="24"/>
          <w:lang w:val="en-US"/>
        </w:rPr>
        <w:t>“</w:t>
      </w:r>
      <w:r w:rsidRPr="00B85DE4">
        <w:rPr>
          <w:noProof/>
          <w:szCs w:val="24"/>
          <w:lang w:val="en-US"/>
        </w:rPr>
        <w:t>The role of FDI in structural change: Evidence from Mexico</w:t>
      </w:r>
      <w:r w:rsidRPr="00B85DE4">
        <w:rPr>
          <w:szCs w:val="24"/>
          <w:lang w:val="en-US"/>
        </w:rPr>
        <w:t>”,</w:t>
      </w:r>
      <w:r w:rsidRPr="00B85DE4">
        <w:rPr>
          <w:noProof/>
          <w:szCs w:val="24"/>
          <w:lang w:val="en-US"/>
        </w:rPr>
        <w:t xml:space="preserve"> </w:t>
      </w:r>
      <w:r w:rsidRPr="00B85DE4">
        <w:rPr>
          <w:i/>
          <w:iCs/>
          <w:noProof/>
          <w:szCs w:val="24"/>
          <w:lang w:val="en-US"/>
        </w:rPr>
        <w:t>The World Economy, 43</w:t>
      </w:r>
      <w:r w:rsidRPr="00B85DE4">
        <w:rPr>
          <w:noProof/>
          <w:szCs w:val="24"/>
          <w:lang w:val="en-US"/>
        </w:rPr>
        <w:t>(3), 557-585.</w:t>
      </w:r>
    </w:p>
    <w:p w14:paraId="49C2E701"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rPr>
        <w:t>Myovella</w:t>
      </w:r>
      <w:proofErr w:type="spellEnd"/>
      <w:r w:rsidRPr="00B85DE4">
        <w:rPr>
          <w:szCs w:val="24"/>
          <w:shd w:val="clear" w:color="auto" w:fill="FFFFFF"/>
        </w:rPr>
        <w:t xml:space="preserve">, G., </w:t>
      </w:r>
      <w:proofErr w:type="spellStart"/>
      <w:r w:rsidRPr="00B85DE4">
        <w:rPr>
          <w:szCs w:val="24"/>
          <w:shd w:val="clear" w:color="auto" w:fill="FFFFFF"/>
        </w:rPr>
        <w:t>Karacuka</w:t>
      </w:r>
      <w:proofErr w:type="spellEnd"/>
      <w:r w:rsidRPr="00B85DE4">
        <w:rPr>
          <w:szCs w:val="24"/>
          <w:shd w:val="clear" w:color="auto" w:fill="FFFFFF"/>
        </w:rPr>
        <w:t xml:space="preserve">, M., &amp; </w:t>
      </w:r>
      <w:proofErr w:type="spellStart"/>
      <w:r w:rsidRPr="00B85DE4">
        <w:rPr>
          <w:szCs w:val="24"/>
          <w:shd w:val="clear" w:color="auto" w:fill="FFFFFF"/>
        </w:rPr>
        <w:t>Haucap</w:t>
      </w:r>
      <w:proofErr w:type="spellEnd"/>
      <w:r w:rsidRPr="00B85DE4">
        <w:rPr>
          <w:szCs w:val="24"/>
          <w:shd w:val="clear" w:color="auto" w:fill="FFFFFF"/>
        </w:rPr>
        <w:t xml:space="preserve">, J. (2020). </w:t>
      </w:r>
      <w:r w:rsidRPr="00B85DE4">
        <w:rPr>
          <w:szCs w:val="24"/>
          <w:shd w:val="clear" w:color="auto" w:fill="FFFFFF"/>
          <w:lang w:val="en-US"/>
        </w:rPr>
        <w:t>Digitalization and economic growth: A comparative analysis of Sub-Saharan Africa and OECD economies. </w:t>
      </w:r>
      <w:r w:rsidRPr="00B85DE4">
        <w:rPr>
          <w:i/>
          <w:iCs/>
          <w:szCs w:val="24"/>
          <w:shd w:val="clear" w:color="auto" w:fill="FFFFFF"/>
          <w:lang w:val="en-US"/>
        </w:rPr>
        <w:t>Telecommunications Policy</w:t>
      </w:r>
      <w:r w:rsidRPr="00B85DE4">
        <w:rPr>
          <w:szCs w:val="24"/>
          <w:shd w:val="clear" w:color="auto" w:fill="FFFFFF"/>
          <w:lang w:val="en-US"/>
        </w:rPr>
        <w:t>, </w:t>
      </w:r>
      <w:r w:rsidRPr="00B85DE4">
        <w:rPr>
          <w:i/>
          <w:iCs/>
          <w:szCs w:val="24"/>
          <w:shd w:val="clear" w:color="auto" w:fill="FFFFFF"/>
          <w:lang w:val="en-US"/>
        </w:rPr>
        <w:t>44</w:t>
      </w:r>
      <w:r w:rsidRPr="00B85DE4">
        <w:rPr>
          <w:szCs w:val="24"/>
          <w:shd w:val="clear" w:color="auto" w:fill="FFFFFF"/>
          <w:lang w:val="en-US"/>
        </w:rPr>
        <w:t>(2), 101856.</w:t>
      </w:r>
    </w:p>
    <w:p w14:paraId="5524DE3D"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Pandey, V. L., Dev, S. M., &amp; Jayachandran, U. (2016). Impact of agricultural interventions on the nutritional status in South Asia: A review. </w:t>
      </w:r>
      <w:r w:rsidRPr="00B85DE4">
        <w:rPr>
          <w:i/>
          <w:iCs/>
          <w:szCs w:val="24"/>
          <w:shd w:val="clear" w:color="auto" w:fill="FFFFFF"/>
          <w:lang w:val="en-US"/>
        </w:rPr>
        <w:t>Food policy</w:t>
      </w:r>
      <w:r w:rsidRPr="00B85DE4">
        <w:rPr>
          <w:szCs w:val="24"/>
          <w:shd w:val="clear" w:color="auto" w:fill="FFFFFF"/>
          <w:lang w:val="en-US"/>
        </w:rPr>
        <w:t>, </w:t>
      </w:r>
      <w:r w:rsidRPr="00B85DE4">
        <w:rPr>
          <w:i/>
          <w:iCs/>
          <w:szCs w:val="24"/>
          <w:shd w:val="clear" w:color="auto" w:fill="FFFFFF"/>
          <w:lang w:val="en-US"/>
        </w:rPr>
        <w:t>62</w:t>
      </w:r>
      <w:r w:rsidRPr="00B85DE4">
        <w:rPr>
          <w:szCs w:val="24"/>
          <w:shd w:val="clear" w:color="auto" w:fill="FFFFFF"/>
          <w:lang w:val="en-US"/>
        </w:rPr>
        <w:t>, 28-40.</w:t>
      </w:r>
    </w:p>
    <w:p w14:paraId="026EB1F1"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Pesaran, H. (2004). General Diagnostic Tests for Cross Section Dependence in Panels’,Cambridge Working Paper in Economics. (1240).</w:t>
      </w:r>
    </w:p>
    <w:p w14:paraId="6BAD0D9D" w14:textId="758678A4" w:rsidR="005F5E7E" w:rsidRPr="00B85DE4" w:rsidRDefault="005F5E7E" w:rsidP="00AB0B6B">
      <w:pPr>
        <w:spacing w:line="240" w:lineRule="auto"/>
        <w:ind w:left="709" w:hanging="709"/>
        <w:jc w:val="both"/>
        <w:rPr>
          <w:noProof/>
          <w:szCs w:val="24"/>
          <w:lang w:val="en-US"/>
        </w:rPr>
      </w:pPr>
      <w:r w:rsidRPr="00B85DE4">
        <w:rPr>
          <w:szCs w:val="24"/>
          <w:shd w:val="clear" w:color="auto" w:fill="FFFFFF"/>
          <w:lang w:val="en-US"/>
        </w:rPr>
        <w:t xml:space="preserve">Pilo, M., Gerber, N., &amp; </w:t>
      </w:r>
      <w:proofErr w:type="spellStart"/>
      <w:r w:rsidRPr="00B85DE4">
        <w:rPr>
          <w:szCs w:val="24"/>
          <w:shd w:val="clear" w:color="auto" w:fill="FFFFFF"/>
          <w:lang w:val="en-US"/>
        </w:rPr>
        <w:t>Wünscher</w:t>
      </w:r>
      <w:proofErr w:type="spellEnd"/>
      <w:r w:rsidRPr="00B85DE4">
        <w:rPr>
          <w:szCs w:val="24"/>
          <w:shd w:val="clear" w:color="auto" w:fill="FFFFFF"/>
          <w:lang w:val="en-US"/>
        </w:rPr>
        <w:t>, T. (2021). Impacts of adaptation to climate change on farmers’ income in the savanna region of Togo. </w:t>
      </w:r>
      <w:r w:rsidR="00CB0E26" w:rsidRPr="00B85DE4">
        <w:rPr>
          <w:i/>
          <w:iCs/>
          <w:szCs w:val="24"/>
          <w:shd w:val="clear" w:color="auto" w:fill="FFFFFF"/>
          <w:lang w:val="en-US"/>
        </w:rPr>
        <w:t xml:space="preserve">Revue </w:t>
      </w:r>
      <w:proofErr w:type="spellStart"/>
      <w:r w:rsidR="00CB0E26" w:rsidRPr="00B85DE4">
        <w:rPr>
          <w:i/>
          <w:iCs/>
          <w:szCs w:val="24"/>
          <w:shd w:val="clear" w:color="auto" w:fill="FFFFFF"/>
          <w:lang w:val="en-US"/>
        </w:rPr>
        <w:t>é</w:t>
      </w:r>
      <w:r w:rsidRPr="00B85DE4">
        <w:rPr>
          <w:i/>
          <w:iCs/>
          <w:szCs w:val="24"/>
          <w:shd w:val="clear" w:color="auto" w:fill="FFFFFF"/>
          <w:lang w:val="en-US"/>
        </w:rPr>
        <w:t>conomique</w:t>
      </w:r>
      <w:proofErr w:type="spellEnd"/>
      <w:r w:rsidRPr="00B85DE4">
        <w:rPr>
          <w:szCs w:val="24"/>
          <w:shd w:val="clear" w:color="auto" w:fill="FFFFFF"/>
          <w:lang w:val="en-US"/>
        </w:rPr>
        <w:t>, (7), 1042-1064.</w:t>
      </w:r>
    </w:p>
    <w:p w14:paraId="68F0408A"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Rodrik, D. (2013), </w:t>
      </w:r>
      <w:r w:rsidRPr="00B85DE4">
        <w:rPr>
          <w:szCs w:val="24"/>
          <w:lang w:val="en-US"/>
        </w:rPr>
        <w:t>“</w:t>
      </w:r>
      <w:r w:rsidRPr="00B85DE4">
        <w:rPr>
          <w:noProof/>
          <w:szCs w:val="24"/>
          <w:lang w:val="en-US"/>
        </w:rPr>
        <w:t>Unconditional Convergence in Manufacturing</w:t>
      </w:r>
      <w:r w:rsidRPr="00B85DE4">
        <w:rPr>
          <w:szCs w:val="24"/>
          <w:lang w:val="en-US"/>
        </w:rPr>
        <w:t>”,</w:t>
      </w:r>
      <w:r w:rsidRPr="00B85DE4">
        <w:rPr>
          <w:noProof/>
          <w:szCs w:val="24"/>
          <w:lang w:val="en-US"/>
        </w:rPr>
        <w:t xml:space="preserve"> </w:t>
      </w:r>
      <w:r w:rsidRPr="00B85DE4">
        <w:rPr>
          <w:i/>
          <w:iCs/>
          <w:noProof/>
          <w:szCs w:val="24"/>
          <w:lang w:val="en-US"/>
        </w:rPr>
        <w:t>Quarterly Journal of Economics, 128</w:t>
      </w:r>
      <w:r w:rsidRPr="00B85DE4">
        <w:rPr>
          <w:noProof/>
          <w:szCs w:val="24"/>
          <w:lang w:val="en-US"/>
        </w:rPr>
        <w:t>(1), 165-204.</w:t>
      </w:r>
    </w:p>
    <w:p w14:paraId="63E8CC51"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Romer , P. (1986), </w:t>
      </w:r>
      <w:r w:rsidRPr="00B85DE4">
        <w:rPr>
          <w:szCs w:val="24"/>
          <w:lang w:val="en-US"/>
        </w:rPr>
        <w:t>“</w:t>
      </w:r>
      <w:r w:rsidRPr="00B85DE4">
        <w:rPr>
          <w:noProof/>
          <w:szCs w:val="24"/>
          <w:lang w:val="en-US"/>
        </w:rPr>
        <w:t>Increasing Returns and Long-Run Growth</w:t>
      </w:r>
      <w:r w:rsidRPr="00B85DE4">
        <w:rPr>
          <w:szCs w:val="24"/>
          <w:lang w:val="en-US"/>
        </w:rPr>
        <w:t>”,</w:t>
      </w:r>
      <w:r w:rsidRPr="00B85DE4">
        <w:rPr>
          <w:noProof/>
          <w:szCs w:val="24"/>
          <w:lang w:val="en-US"/>
        </w:rPr>
        <w:t xml:space="preserve"> </w:t>
      </w:r>
      <w:r w:rsidRPr="00B85DE4">
        <w:rPr>
          <w:i/>
          <w:iCs/>
          <w:noProof/>
          <w:szCs w:val="24"/>
          <w:lang w:val="en-US"/>
        </w:rPr>
        <w:t>Journal of Political Economy</w:t>
      </w:r>
      <w:r w:rsidRPr="00B85DE4">
        <w:rPr>
          <w:noProof/>
          <w:szCs w:val="24"/>
          <w:lang w:val="en-US"/>
        </w:rPr>
        <w:t>, 1002-1037</w:t>
      </w:r>
    </w:p>
    <w:p w14:paraId="74F325A0" w14:textId="77777777" w:rsidR="005F5E7E" w:rsidRPr="00B85DE4" w:rsidRDefault="005F5E7E" w:rsidP="00AB0B6B">
      <w:pPr>
        <w:spacing w:line="240" w:lineRule="auto"/>
        <w:ind w:left="709" w:hanging="709"/>
        <w:jc w:val="both"/>
        <w:rPr>
          <w:szCs w:val="24"/>
          <w:shd w:val="clear" w:color="auto" w:fill="FFFFFF"/>
          <w:lang w:val="en-US"/>
        </w:rPr>
      </w:pPr>
      <w:proofErr w:type="spellStart"/>
      <w:r w:rsidRPr="00B85DE4">
        <w:rPr>
          <w:szCs w:val="24"/>
          <w:shd w:val="clear" w:color="auto" w:fill="FFFFFF"/>
          <w:lang w:val="en-US"/>
        </w:rPr>
        <w:t>Salmerón</w:t>
      </w:r>
      <w:proofErr w:type="spellEnd"/>
      <w:r w:rsidRPr="00B85DE4">
        <w:rPr>
          <w:szCs w:val="24"/>
          <w:shd w:val="clear" w:color="auto" w:fill="FFFFFF"/>
          <w:lang w:val="en-US"/>
        </w:rPr>
        <w:t xml:space="preserve"> Gómez, R., García Pérez, J., López Martín, M. D. M., &amp; García, C. G. (2016). Collinearity diagnostic applied in ridge estimation through the variance inflation factor.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43</w:t>
      </w:r>
      <w:r w:rsidRPr="00B85DE4">
        <w:rPr>
          <w:szCs w:val="24"/>
          <w:shd w:val="clear" w:color="auto" w:fill="FFFFFF"/>
          <w:lang w:val="en-US"/>
        </w:rPr>
        <w:t>(10), 1831-1849.</w:t>
      </w:r>
    </w:p>
    <w:p w14:paraId="2EF7620A" w14:textId="77777777" w:rsidR="005F5E7E" w:rsidRPr="00B85DE4" w:rsidRDefault="005F5E7E" w:rsidP="00AB0B6B">
      <w:pPr>
        <w:spacing w:line="240" w:lineRule="auto"/>
        <w:ind w:left="709" w:hanging="709"/>
        <w:jc w:val="both"/>
        <w:rPr>
          <w:szCs w:val="24"/>
          <w:shd w:val="clear" w:color="auto" w:fill="FFFFFF"/>
          <w:lang w:val="en-US"/>
        </w:rPr>
      </w:pPr>
      <w:r w:rsidRPr="00B85DE4">
        <w:rPr>
          <w:szCs w:val="24"/>
          <w:shd w:val="clear" w:color="auto" w:fill="FFFFFF"/>
          <w:lang w:val="en-US"/>
        </w:rPr>
        <w:t>Sinan, A., &amp; Alkan, B. B. (2015). A useful approach to identify the multicollinearity in the presence of outliers. </w:t>
      </w:r>
      <w:r w:rsidRPr="00B85DE4">
        <w:rPr>
          <w:i/>
          <w:iCs/>
          <w:szCs w:val="24"/>
          <w:shd w:val="clear" w:color="auto" w:fill="FFFFFF"/>
          <w:lang w:val="en-US"/>
        </w:rPr>
        <w:t>Journal of Applied Statistics</w:t>
      </w:r>
      <w:r w:rsidRPr="00B85DE4">
        <w:rPr>
          <w:szCs w:val="24"/>
          <w:shd w:val="clear" w:color="auto" w:fill="FFFFFF"/>
          <w:lang w:val="en-US"/>
        </w:rPr>
        <w:t>, </w:t>
      </w:r>
      <w:r w:rsidRPr="00B85DE4">
        <w:rPr>
          <w:i/>
          <w:iCs/>
          <w:szCs w:val="24"/>
          <w:shd w:val="clear" w:color="auto" w:fill="FFFFFF"/>
          <w:lang w:val="en-US"/>
        </w:rPr>
        <w:t>42</w:t>
      </w:r>
      <w:r w:rsidRPr="00B85DE4">
        <w:rPr>
          <w:szCs w:val="24"/>
          <w:shd w:val="clear" w:color="auto" w:fill="FFFFFF"/>
          <w:lang w:val="en-US"/>
        </w:rPr>
        <w:t>(5), 986-993.</w:t>
      </w:r>
    </w:p>
    <w:p w14:paraId="6378D74C"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 xml:space="preserve">Solow, R. M. (1956), </w:t>
      </w:r>
      <w:r w:rsidRPr="00B85DE4">
        <w:rPr>
          <w:szCs w:val="24"/>
          <w:lang w:val="en-US"/>
        </w:rPr>
        <w:t>“</w:t>
      </w:r>
      <w:r w:rsidRPr="00B85DE4">
        <w:rPr>
          <w:noProof/>
          <w:szCs w:val="24"/>
          <w:lang w:val="en-US"/>
        </w:rPr>
        <w:t>A contribution to the theory of economic growth</w:t>
      </w:r>
      <w:r w:rsidRPr="00B85DE4">
        <w:rPr>
          <w:szCs w:val="24"/>
          <w:lang w:val="en-US"/>
        </w:rPr>
        <w:t xml:space="preserve">”, </w:t>
      </w:r>
      <w:r w:rsidRPr="00B85DE4">
        <w:rPr>
          <w:i/>
          <w:iCs/>
          <w:noProof/>
          <w:szCs w:val="24"/>
          <w:lang w:val="en-US"/>
        </w:rPr>
        <w:t>The quarterly journal of economics, 70</w:t>
      </w:r>
      <w:r w:rsidRPr="00B85DE4">
        <w:rPr>
          <w:noProof/>
          <w:szCs w:val="24"/>
          <w:lang w:val="en-US"/>
        </w:rPr>
        <w:t>(1), 65-94.</w:t>
      </w:r>
    </w:p>
    <w:p w14:paraId="2DE86B42" w14:textId="77777777" w:rsidR="005F5E7E" w:rsidRPr="00B85DE4" w:rsidRDefault="005F5E7E" w:rsidP="00AB0B6B">
      <w:pPr>
        <w:spacing w:line="240" w:lineRule="auto"/>
        <w:ind w:left="709" w:hanging="709"/>
        <w:jc w:val="both"/>
        <w:rPr>
          <w:noProof/>
          <w:szCs w:val="24"/>
          <w:lang w:val="en-US"/>
        </w:rPr>
      </w:pPr>
      <w:r w:rsidRPr="00B85DE4">
        <w:rPr>
          <w:noProof/>
          <w:szCs w:val="24"/>
          <w:lang w:val="en-US"/>
        </w:rPr>
        <w:t>Wooldridge, J. M. (2002). Econometric analysis of cross section and panel data MIT press. Cambridge, MA, 108.</w:t>
      </w:r>
    </w:p>
    <w:p w14:paraId="486784FD" w14:textId="77777777" w:rsidR="005F5E7E" w:rsidRPr="006A7D0E" w:rsidRDefault="005F5E7E" w:rsidP="00AB0B6B">
      <w:pPr>
        <w:spacing w:line="240" w:lineRule="auto"/>
        <w:ind w:left="709" w:hanging="709"/>
        <w:jc w:val="both"/>
        <w:rPr>
          <w:noProof/>
          <w:szCs w:val="24"/>
        </w:rPr>
      </w:pPr>
      <w:r w:rsidRPr="00B85DE4">
        <w:rPr>
          <w:noProof/>
          <w:szCs w:val="24"/>
          <w:lang w:val="en-US"/>
        </w:rPr>
        <w:lastRenderedPageBreak/>
        <w:t xml:space="preserve">World Bank . (2020). Worl Development Indicators (WDI). World Bank : Washington. </w:t>
      </w:r>
      <w:r w:rsidRPr="006A7D0E">
        <w:rPr>
          <w:noProof/>
          <w:szCs w:val="24"/>
        </w:rPr>
        <w:t xml:space="preserve">Disponible sur https://donnees.banquemondiale.org/pays </w:t>
      </w:r>
    </w:p>
    <w:p w14:paraId="4665B8B9" w14:textId="77777777" w:rsidR="005F5E7E" w:rsidRPr="00B85DE4" w:rsidRDefault="005F5E7E" w:rsidP="00AB0B6B">
      <w:pPr>
        <w:spacing w:line="240" w:lineRule="auto"/>
        <w:ind w:left="709" w:hanging="709"/>
        <w:jc w:val="both"/>
        <w:rPr>
          <w:szCs w:val="24"/>
          <w:lang w:val="en-US"/>
        </w:rPr>
      </w:pPr>
      <w:proofErr w:type="spellStart"/>
      <w:r w:rsidRPr="006A7D0E">
        <w:rPr>
          <w:szCs w:val="24"/>
          <w:shd w:val="clear" w:color="auto" w:fill="FFFFFF"/>
        </w:rPr>
        <w:t>Wurlod</w:t>
      </w:r>
      <w:proofErr w:type="spellEnd"/>
      <w:r w:rsidRPr="006A7D0E">
        <w:rPr>
          <w:szCs w:val="24"/>
          <w:shd w:val="clear" w:color="auto" w:fill="FFFFFF"/>
        </w:rPr>
        <w:t>, J. D., &amp; Eaton, D. (2015). </w:t>
      </w:r>
      <w:r w:rsidRPr="00B85DE4">
        <w:rPr>
          <w:i/>
          <w:iCs/>
          <w:szCs w:val="24"/>
          <w:shd w:val="clear" w:color="auto" w:fill="FFFFFF"/>
          <w:lang w:val="en-US"/>
        </w:rPr>
        <w:t>Chasing after the frontier in agricultural productivity</w:t>
      </w:r>
      <w:r w:rsidRPr="00B85DE4">
        <w:rPr>
          <w:szCs w:val="24"/>
          <w:shd w:val="clear" w:color="auto" w:fill="FFFFFF"/>
          <w:lang w:val="en-US"/>
        </w:rPr>
        <w:t> (No. 2201-2019-1558).</w:t>
      </w:r>
    </w:p>
    <w:p w14:paraId="4B01E373" w14:textId="6AE5478D" w:rsidR="002967DA" w:rsidRPr="00B85DE4" w:rsidRDefault="000C673D" w:rsidP="002967DA">
      <w:pPr>
        <w:spacing w:line="360" w:lineRule="auto"/>
        <w:ind w:left="709" w:hanging="709"/>
        <w:rPr>
          <w:lang w:val="en-US"/>
        </w:rPr>
      </w:pPr>
      <w:r>
        <w:rPr>
          <w:b/>
          <w:szCs w:val="24"/>
          <w:lang w:val="en-US"/>
        </w:rPr>
        <w:t>Appendix</w:t>
      </w:r>
      <w:r w:rsidR="00A23FE8">
        <w:rPr>
          <w:b/>
          <w:szCs w:val="24"/>
          <w:lang w:val="en-US"/>
        </w:rPr>
        <w:t>1</w:t>
      </w:r>
      <w:r>
        <w:rPr>
          <w:b/>
          <w:szCs w:val="24"/>
          <w:lang w:val="en-US"/>
        </w:rPr>
        <w:t>:</w:t>
      </w:r>
      <w:r w:rsidR="002967DA" w:rsidRPr="00B85DE4">
        <w:rPr>
          <w:b/>
          <w:szCs w:val="24"/>
          <w:lang w:val="en-US"/>
        </w:rPr>
        <w:t xml:space="preserve"> </w:t>
      </w:r>
      <w:r w:rsidR="002967DA" w:rsidRPr="00B85DE4">
        <w:rPr>
          <w:rStyle w:val="q4iawc"/>
          <w:lang w:val="en"/>
        </w:rPr>
        <w:t>Correlation and multicollinearity test</w:t>
      </w:r>
    </w:p>
    <w:tbl>
      <w:tblPr>
        <w:tblW w:w="11576" w:type="dxa"/>
        <w:tblInd w:w="-1247" w:type="dxa"/>
        <w:tblLayout w:type="fixed"/>
        <w:tblLook w:val="0000" w:firstRow="0" w:lastRow="0" w:firstColumn="0" w:lastColumn="0" w:noHBand="0" w:noVBand="0"/>
      </w:tblPr>
      <w:tblGrid>
        <w:gridCol w:w="1694"/>
        <w:gridCol w:w="1098"/>
        <w:gridCol w:w="976"/>
        <w:gridCol w:w="1098"/>
        <w:gridCol w:w="976"/>
        <w:gridCol w:w="976"/>
        <w:gridCol w:w="976"/>
        <w:gridCol w:w="976"/>
        <w:gridCol w:w="976"/>
        <w:gridCol w:w="976"/>
        <w:gridCol w:w="854"/>
      </w:tblGrid>
      <w:tr w:rsidR="00B85DE4" w:rsidRPr="00B85DE4" w14:paraId="53E0AC94" w14:textId="77777777" w:rsidTr="009D1D94">
        <w:tc>
          <w:tcPr>
            <w:tcW w:w="1694" w:type="dxa"/>
            <w:tcBorders>
              <w:top w:val="single" w:sz="4" w:space="0" w:color="auto"/>
              <w:left w:val="nil"/>
              <w:bottom w:val="single" w:sz="6" w:space="0" w:color="auto"/>
              <w:right w:val="nil"/>
            </w:tcBorders>
          </w:tcPr>
          <w:p w14:paraId="227F9DC7"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Variables</w:t>
            </w:r>
          </w:p>
        </w:tc>
        <w:tc>
          <w:tcPr>
            <w:tcW w:w="1098" w:type="dxa"/>
            <w:tcBorders>
              <w:top w:val="single" w:sz="4" w:space="0" w:color="auto"/>
              <w:left w:val="nil"/>
              <w:bottom w:val="single" w:sz="6" w:space="0" w:color="auto"/>
              <w:right w:val="nil"/>
            </w:tcBorders>
          </w:tcPr>
          <w:p w14:paraId="14D49D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w:t>
            </w:r>
          </w:p>
        </w:tc>
        <w:tc>
          <w:tcPr>
            <w:tcW w:w="976" w:type="dxa"/>
            <w:tcBorders>
              <w:top w:val="single" w:sz="4" w:space="0" w:color="auto"/>
              <w:left w:val="nil"/>
              <w:bottom w:val="single" w:sz="6" w:space="0" w:color="auto"/>
              <w:right w:val="nil"/>
            </w:tcBorders>
          </w:tcPr>
          <w:p w14:paraId="3BA953E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w:t>
            </w:r>
          </w:p>
        </w:tc>
        <w:tc>
          <w:tcPr>
            <w:tcW w:w="1098" w:type="dxa"/>
            <w:tcBorders>
              <w:top w:val="single" w:sz="4" w:space="0" w:color="auto"/>
              <w:left w:val="nil"/>
              <w:bottom w:val="single" w:sz="6" w:space="0" w:color="auto"/>
              <w:right w:val="nil"/>
            </w:tcBorders>
          </w:tcPr>
          <w:p w14:paraId="6A04291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(3)</w:t>
            </w:r>
          </w:p>
        </w:tc>
        <w:tc>
          <w:tcPr>
            <w:tcW w:w="976" w:type="dxa"/>
            <w:tcBorders>
              <w:top w:val="single" w:sz="4" w:space="0" w:color="auto"/>
              <w:left w:val="nil"/>
              <w:bottom w:val="single" w:sz="6" w:space="0" w:color="auto"/>
              <w:right w:val="nil"/>
            </w:tcBorders>
          </w:tcPr>
          <w:p w14:paraId="3CAA55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(4)</w:t>
            </w:r>
          </w:p>
        </w:tc>
        <w:tc>
          <w:tcPr>
            <w:tcW w:w="976" w:type="dxa"/>
            <w:tcBorders>
              <w:top w:val="single" w:sz="4" w:space="0" w:color="auto"/>
              <w:left w:val="nil"/>
              <w:bottom w:val="single" w:sz="6" w:space="0" w:color="auto"/>
              <w:right w:val="nil"/>
            </w:tcBorders>
          </w:tcPr>
          <w:p w14:paraId="6D9304D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(5)</w:t>
            </w:r>
          </w:p>
        </w:tc>
        <w:tc>
          <w:tcPr>
            <w:tcW w:w="976" w:type="dxa"/>
            <w:tcBorders>
              <w:top w:val="single" w:sz="4" w:space="0" w:color="auto"/>
              <w:left w:val="nil"/>
              <w:bottom w:val="single" w:sz="6" w:space="0" w:color="auto"/>
              <w:right w:val="nil"/>
            </w:tcBorders>
          </w:tcPr>
          <w:p w14:paraId="3C2E07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(6)</w:t>
            </w:r>
          </w:p>
        </w:tc>
        <w:tc>
          <w:tcPr>
            <w:tcW w:w="976" w:type="dxa"/>
            <w:tcBorders>
              <w:top w:val="single" w:sz="4" w:space="0" w:color="auto"/>
              <w:left w:val="nil"/>
              <w:bottom w:val="single" w:sz="6" w:space="0" w:color="auto"/>
              <w:right w:val="nil"/>
            </w:tcBorders>
          </w:tcPr>
          <w:p w14:paraId="4CD127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(7)</w:t>
            </w:r>
          </w:p>
        </w:tc>
        <w:tc>
          <w:tcPr>
            <w:tcW w:w="976" w:type="dxa"/>
            <w:tcBorders>
              <w:top w:val="single" w:sz="4" w:space="0" w:color="auto"/>
              <w:left w:val="nil"/>
              <w:bottom w:val="single" w:sz="6" w:space="0" w:color="auto"/>
              <w:right w:val="nil"/>
            </w:tcBorders>
          </w:tcPr>
          <w:p w14:paraId="0EF4D33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(8)</w:t>
            </w:r>
          </w:p>
        </w:tc>
        <w:tc>
          <w:tcPr>
            <w:tcW w:w="976" w:type="dxa"/>
            <w:tcBorders>
              <w:top w:val="single" w:sz="4" w:space="0" w:color="auto"/>
              <w:left w:val="nil"/>
              <w:bottom w:val="single" w:sz="6" w:space="0" w:color="auto"/>
              <w:right w:val="nil"/>
            </w:tcBorders>
          </w:tcPr>
          <w:p w14:paraId="61588A7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(9)</w:t>
            </w:r>
          </w:p>
        </w:tc>
        <w:tc>
          <w:tcPr>
            <w:tcW w:w="854" w:type="dxa"/>
            <w:tcBorders>
              <w:top w:val="single" w:sz="4" w:space="0" w:color="auto"/>
              <w:left w:val="nil"/>
              <w:bottom w:val="single" w:sz="6" w:space="0" w:color="auto"/>
              <w:right w:val="nil"/>
            </w:tcBorders>
          </w:tcPr>
          <w:p w14:paraId="1CC5307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w:t>
            </w:r>
          </w:p>
        </w:tc>
      </w:tr>
      <w:tr w:rsidR="00B85DE4" w:rsidRPr="00B85DE4" w14:paraId="1C02B225" w14:textId="77777777" w:rsidTr="009D1D94">
        <w:tc>
          <w:tcPr>
            <w:tcW w:w="1694" w:type="dxa"/>
            <w:tcBorders>
              <w:top w:val="nil"/>
              <w:left w:val="nil"/>
              <w:bottom w:val="nil"/>
              <w:right w:val="nil"/>
            </w:tcBorders>
          </w:tcPr>
          <w:p w14:paraId="6D498CD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 RAGR</w:t>
            </w:r>
          </w:p>
        </w:tc>
        <w:tc>
          <w:tcPr>
            <w:tcW w:w="1098" w:type="dxa"/>
            <w:tcBorders>
              <w:top w:val="nil"/>
              <w:left w:val="nil"/>
              <w:bottom w:val="nil"/>
              <w:right w:val="nil"/>
            </w:tcBorders>
          </w:tcPr>
          <w:p w14:paraId="39AC331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1E30313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39DC4E7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BA018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1D9153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0EFCC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A03269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EB7A31"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5BB8AD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56C9EFD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05BC46A" w14:textId="77777777" w:rsidTr="009D1D94">
        <w:tc>
          <w:tcPr>
            <w:tcW w:w="1694" w:type="dxa"/>
            <w:tcBorders>
              <w:top w:val="nil"/>
              <w:left w:val="nil"/>
              <w:bottom w:val="nil"/>
              <w:right w:val="nil"/>
            </w:tcBorders>
          </w:tcPr>
          <w:p w14:paraId="2E790145"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(2) INTER</w:t>
            </w:r>
          </w:p>
        </w:tc>
        <w:tc>
          <w:tcPr>
            <w:tcW w:w="1098" w:type="dxa"/>
            <w:tcBorders>
              <w:top w:val="nil"/>
              <w:left w:val="nil"/>
              <w:bottom w:val="nil"/>
              <w:right w:val="nil"/>
            </w:tcBorders>
          </w:tcPr>
          <w:p w14:paraId="7332870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976" w:type="dxa"/>
            <w:tcBorders>
              <w:top w:val="nil"/>
              <w:left w:val="nil"/>
              <w:bottom w:val="nil"/>
              <w:right w:val="nil"/>
            </w:tcBorders>
          </w:tcPr>
          <w:p w14:paraId="74725AD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1098" w:type="dxa"/>
            <w:tcBorders>
              <w:top w:val="nil"/>
              <w:left w:val="nil"/>
              <w:bottom w:val="nil"/>
              <w:right w:val="nil"/>
            </w:tcBorders>
          </w:tcPr>
          <w:p w14:paraId="6214323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BD82E4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74CE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F2EB3B0"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DB054B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0AE81A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1B03AF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0D3972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CC794B1" w14:textId="77777777" w:rsidTr="009D1D94">
        <w:tc>
          <w:tcPr>
            <w:tcW w:w="1694" w:type="dxa"/>
            <w:tcBorders>
              <w:top w:val="nil"/>
              <w:left w:val="nil"/>
              <w:bottom w:val="nil"/>
              <w:right w:val="nil"/>
            </w:tcBorders>
          </w:tcPr>
          <w:p w14:paraId="2B8ABDEC"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(3) RIND</w:t>
            </w:r>
          </w:p>
        </w:tc>
        <w:tc>
          <w:tcPr>
            <w:tcW w:w="1098" w:type="dxa"/>
            <w:tcBorders>
              <w:top w:val="nil"/>
              <w:left w:val="nil"/>
              <w:bottom w:val="nil"/>
              <w:right w:val="nil"/>
            </w:tcBorders>
          </w:tcPr>
          <w:p w14:paraId="04A4CF0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-0.246***</w:t>
            </w:r>
          </w:p>
        </w:tc>
        <w:tc>
          <w:tcPr>
            <w:tcW w:w="976" w:type="dxa"/>
            <w:tcBorders>
              <w:top w:val="nil"/>
              <w:left w:val="nil"/>
              <w:bottom w:val="nil"/>
              <w:right w:val="nil"/>
            </w:tcBorders>
          </w:tcPr>
          <w:p w14:paraId="41A797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1098" w:type="dxa"/>
            <w:tcBorders>
              <w:top w:val="nil"/>
              <w:left w:val="nil"/>
              <w:bottom w:val="nil"/>
              <w:right w:val="nil"/>
            </w:tcBorders>
          </w:tcPr>
          <w:p w14:paraId="55659CE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640270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625EF5D"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85CA8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5CBC2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EFE67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268FC2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09F5D3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5C1FD00" w14:textId="77777777" w:rsidTr="009D1D94">
        <w:tc>
          <w:tcPr>
            <w:tcW w:w="1694" w:type="dxa"/>
            <w:tcBorders>
              <w:top w:val="nil"/>
              <w:left w:val="nil"/>
              <w:bottom w:val="nil"/>
              <w:right w:val="nil"/>
            </w:tcBorders>
          </w:tcPr>
          <w:p w14:paraId="6FA02D5A"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(4) RSER</w:t>
            </w:r>
          </w:p>
        </w:tc>
        <w:tc>
          <w:tcPr>
            <w:tcW w:w="1098" w:type="dxa"/>
            <w:tcBorders>
              <w:top w:val="nil"/>
              <w:left w:val="nil"/>
              <w:bottom w:val="nil"/>
              <w:right w:val="nil"/>
            </w:tcBorders>
          </w:tcPr>
          <w:p w14:paraId="6EF8DAD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-0.544***</w:t>
            </w:r>
          </w:p>
        </w:tc>
        <w:tc>
          <w:tcPr>
            <w:tcW w:w="976" w:type="dxa"/>
            <w:tcBorders>
              <w:top w:val="nil"/>
              <w:left w:val="nil"/>
              <w:bottom w:val="nil"/>
              <w:right w:val="nil"/>
            </w:tcBorders>
          </w:tcPr>
          <w:p w14:paraId="5BF061C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0.057</w:t>
            </w:r>
          </w:p>
        </w:tc>
        <w:tc>
          <w:tcPr>
            <w:tcW w:w="1098" w:type="dxa"/>
            <w:tcBorders>
              <w:top w:val="nil"/>
              <w:left w:val="nil"/>
              <w:bottom w:val="nil"/>
              <w:right w:val="nil"/>
            </w:tcBorders>
          </w:tcPr>
          <w:p w14:paraId="2FE3793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0.048</w:t>
            </w:r>
          </w:p>
        </w:tc>
        <w:tc>
          <w:tcPr>
            <w:tcW w:w="976" w:type="dxa"/>
            <w:tcBorders>
              <w:top w:val="nil"/>
              <w:left w:val="nil"/>
              <w:bottom w:val="nil"/>
              <w:right w:val="nil"/>
            </w:tcBorders>
          </w:tcPr>
          <w:p w14:paraId="44AD10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3E54B9E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36D4A55"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2C9702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4E14B4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21105C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1218A015"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21B0E2F" w14:textId="77777777" w:rsidTr="009D1D94">
        <w:tc>
          <w:tcPr>
            <w:tcW w:w="1694" w:type="dxa"/>
            <w:tcBorders>
              <w:top w:val="nil"/>
              <w:left w:val="nil"/>
              <w:bottom w:val="nil"/>
              <w:right w:val="nil"/>
            </w:tcBorders>
          </w:tcPr>
          <w:p w14:paraId="0E13CBC2"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(5) KH</w:t>
            </w:r>
          </w:p>
        </w:tc>
        <w:tc>
          <w:tcPr>
            <w:tcW w:w="1098" w:type="dxa"/>
            <w:tcBorders>
              <w:top w:val="nil"/>
              <w:left w:val="nil"/>
              <w:bottom w:val="nil"/>
              <w:right w:val="nil"/>
            </w:tcBorders>
          </w:tcPr>
          <w:p w14:paraId="287C946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0.002</w:t>
            </w:r>
          </w:p>
        </w:tc>
        <w:tc>
          <w:tcPr>
            <w:tcW w:w="976" w:type="dxa"/>
            <w:tcBorders>
              <w:top w:val="nil"/>
              <w:left w:val="nil"/>
              <w:bottom w:val="nil"/>
              <w:right w:val="nil"/>
            </w:tcBorders>
          </w:tcPr>
          <w:p w14:paraId="4E557BA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0.601***</w:t>
            </w:r>
          </w:p>
        </w:tc>
        <w:tc>
          <w:tcPr>
            <w:tcW w:w="1098" w:type="dxa"/>
            <w:tcBorders>
              <w:top w:val="nil"/>
              <w:left w:val="nil"/>
              <w:bottom w:val="nil"/>
              <w:right w:val="nil"/>
            </w:tcBorders>
          </w:tcPr>
          <w:p w14:paraId="407649E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-0.081*</w:t>
            </w:r>
          </w:p>
        </w:tc>
        <w:tc>
          <w:tcPr>
            <w:tcW w:w="976" w:type="dxa"/>
            <w:tcBorders>
              <w:top w:val="nil"/>
              <w:left w:val="nil"/>
              <w:bottom w:val="nil"/>
              <w:right w:val="nil"/>
            </w:tcBorders>
          </w:tcPr>
          <w:p w14:paraId="14FEFE23"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0.215***</w:t>
            </w:r>
          </w:p>
        </w:tc>
        <w:tc>
          <w:tcPr>
            <w:tcW w:w="976" w:type="dxa"/>
            <w:tcBorders>
              <w:top w:val="nil"/>
              <w:left w:val="nil"/>
              <w:bottom w:val="nil"/>
              <w:right w:val="nil"/>
            </w:tcBorders>
          </w:tcPr>
          <w:p w14:paraId="156853E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5E68119F"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978E3E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DCB879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541D2C3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E36A9BF"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6B10C03F" w14:textId="77777777" w:rsidTr="009D1D94">
        <w:tc>
          <w:tcPr>
            <w:tcW w:w="1694" w:type="dxa"/>
            <w:tcBorders>
              <w:top w:val="nil"/>
              <w:left w:val="nil"/>
              <w:bottom w:val="nil"/>
              <w:right w:val="nil"/>
            </w:tcBorders>
          </w:tcPr>
          <w:p w14:paraId="32FBD60D"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(6) FBCF</w:t>
            </w:r>
          </w:p>
        </w:tc>
        <w:tc>
          <w:tcPr>
            <w:tcW w:w="1098" w:type="dxa"/>
            <w:tcBorders>
              <w:top w:val="nil"/>
              <w:left w:val="nil"/>
              <w:bottom w:val="nil"/>
              <w:right w:val="nil"/>
            </w:tcBorders>
          </w:tcPr>
          <w:p w14:paraId="024F745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-0.011</w:t>
            </w:r>
          </w:p>
        </w:tc>
        <w:tc>
          <w:tcPr>
            <w:tcW w:w="976" w:type="dxa"/>
            <w:tcBorders>
              <w:top w:val="nil"/>
              <w:left w:val="nil"/>
              <w:bottom w:val="nil"/>
              <w:right w:val="nil"/>
            </w:tcBorders>
          </w:tcPr>
          <w:p w14:paraId="3D2DCE65"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0.213***</w:t>
            </w:r>
          </w:p>
        </w:tc>
        <w:tc>
          <w:tcPr>
            <w:tcW w:w="1098" w:type="dxa"/>
            <w:tcBorders>
              <w:top w:val="nil"/>
              <w:left w:val="nil"/>
              <w:bottom w:val="nil"/>
              <w:right w:val="nil"/>
            </w:tcBorders>
          </w:tcPr>
          <w:p w14:paraId="2153CE6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-0.092***</w:t>
            </w:r>
          </w:p>
        </w:tc>
        <w:tc>
          <w:tcPr>
            <w:tcW w:w="976" w:type="dxa"/>
            <w:tcBorders>
              <w:top w:val="nil"/>
              <w:left w:val="nil"/>
              <w:bottom w:val="nil"/>
              <w:right w:val="nil"/>
            </w:tcBorders>
          </w:tcPr>
          <w:p w14:paraId="27227B3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0.088**</w:t>
            </w:r>
          </w:p>
        </w:tc>
        <w:tc>
          <w:tcPr>
            <w:tcW w:w="976" w:type="dxa"/>
            <w:tcBorders>
              <w:top w:val="nil"/>
              <w:left w:val="nil"/>
              <w:bottom w:val="nil"/>
              <w:right w:val="nil"/>
            </w:tcBorders>
          </w:tcPr>
          <w:p w14:paraId="70DCF9F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0.116***</w:t>
            </w:r>
          </w:p>
        </w:tc>
        <w:tc>
          <w:tcPr>
            <w:tcW w:w="976" w:type="dxa"/>
            <w:tcBorders>
              <w:top w:val="nil"/>
              <w:left w:val="nil"/>
              <w:bottom w:val="nil"/>
              <w:right w:val="nil"/>
            </w:tcBorders>
          </w:tcPr>
          <w:p w14:paraId="686E598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6C6DD0A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BEBA35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9E60B76"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795272F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5AE71DA2" w14:textId="77777777" w:rsidTr="009D1D94">
        <w:tc>
          <w:tcPr>
            <w:tcW w:w="1694" w:type="dxa"/>
            <w:tcBorders>
              <w:top w:val="nil"/>
              <w:left w:val="nil"/>
              <w:bottom w:val="nil"/>
              <w:right w:val="nil"/>
            </w:tcBorders>
          </w:tcPr>
          <w:p w14:paraId="7CAC2758"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(7) OUV</w:t>
            </w:r>
          </w:p>
        </w:tc>
        <w:tc>
          <w:tcPr>
            <w:tcW w:w="1098" w:type="dxa"/>
            <w:tcBorders>
              <w:top w:val="nil"/>
              <w:left w:val="nil"/>
              <w:bottom w:val="nil"/>
              <w:right w:val="nil"/>
            </w:tcBorders>
          </w:tcPr>
          <w:p w14:paraId="736E61E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6CAF2D1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0.140***</w:t>
            </w:r>
          </w:p>
        </w:tc>
        <w:tc>
          <w:tcPr>
            <w:tcW w:w="1098" w:type="dxa"/>
            <w:tcBorders>
              <w:top w:val="nil"/>
              <w:left w:val="nil"/>
              <w:bottom w:val="nil"/>
              <w:right w:val="nil"/>
            </w:tcBorders>
          </w:tcPr>
          <w:p w14:paraId="1761B887"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-0.071**</w:t>
            </w:r>
          </w:p>
        </w:tc>
        <w:tc>
          <w:tcPr>
            <w:tcW w:w="976" w:type="dxa"/>
            <w:tcBorders>
              <w:top w:val="nil"/>
              <w:left w:val="nil"/>
              <w:bottom w:val="nil"/>
              <w:right w:val="nil"/>
            </w:tcBorders>
          </w:tcPr>
          <w:p w14:paraId="1AF0DF8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0.045</w:t>
            </w:r>
          </w:p>
        </w:tc>
        <w:tc>
          <w:tcPr>
            <w:tcW w:w="976" w:type="dxa"/>
            <w:tcBorders>
              <w:top w:val="nil"/>
              <w:left w:val="nil"/>
              <w:bottom w:val="nil"/>
              <w:right w:val="nil"/>
            </w:tcBorders>
          </w:tcPr>
          <w:p w14:paraId="25BCC2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0.326***</w:t>
            </w:r>
          </w:p>
        </w:tc>
        <w:tc>
          <w:tcPr>
            <w:tcW w:w="976" w:type="dxa"/>
            <w:tcBorders>
              <w:top w:val="nil"/>
              <w:left w:val="nil"/>
              <w:bottom w:val="nil"/>
              <w:right w:val="nil"/>
            </w:tcBorders>
          </w:tcPr>
          <w:p w14:paraId="5589C3C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0.390***</w:t>
            </w:r>
          </w:p>
        </w:tc>
        <w:tc>
          <w:tcPr>
            <w:tcW w:w="976" w:type="dxa"/>
            <w:tcBorders>
              <w:top w:val="nil"/>
              <w:left w:val="nil"/>
              <w:bottom w:val="nil"/>
              <w:right w:val="nil"/>
            </w:tcBorders>
          </w:tcPr>
          <w:p w14:paraId="2128A7E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2FBEE18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48DEB4E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22CE2ED3"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A50959C" w14:textId="77777777" w:rsidTr="009D1D94">
        <w:tc>
          <w:tcPr>
            <w:tcW w:w="1694" w:type="dxa"/>
            <w:tcBorders>
              <w:top w:val="nil"/>
              <w:left w:val="nil"/>
              <w:bottom w:val="nil"/>
              <w:right w:val="nil"/>
            </w:tcBorders>
          </w:tcPr>
          <w:p w14:paraId="6F68A68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(8) CRED</w:t>
            </w:r>
          </w:p>
        </w:tc>
        <w:tc>
          <w:tcPr>
            <w:tcW w:w="1098" w:type="dxa"/>
            <w:tcBorders>
              <w:top w:val="nil"/>
              <w:left w:val="nil"/>
              <w:bottom w:val="nil"/>
              <w:right w:val="nil"/>
            </w:tcBorders>
          </w:tcPr>
          <w:p w14:paraId="1CCA026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0.028</w:t>
            </w:r>
          </w:p>
        </w:tc>
        <w:tc>
          <w:tcPr>
            <w:tcW w:w="976" w:type="dxa"/>
            <w:tcBorders>
              <w:top w:val="nil"/>
              <w:left w:val="nil"/>
              <w:bottom w:val="nil"/>
              <w:right w:val="nil"/>
            </w:tcBorders>
          </w:tcPr>
          <w:p w14:paraId="0CCB167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0.464***</w:t>
            </w:r>
          </w:p>
        </w:tc>
        <w:tc>
          <w:tcPr>
            <w:tcW w:w="1098" w:type="dxa"/>
            <w:tcBorders>
              <w:top w:val="nil"/>
              <w:left w:val="nil"/>
              <w:bottom w:val="nil"/>
              <w:right w:val="nil"/>
            </w:tcBorders>
          </w:tcPr>
          <w:p w14:paraId="6628AB8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-0.050</w:t>
            </w:r>
          </w:p>
        </w:tc>
        <w:tc>
          <w:tcPr>
            <w:tcW w:w="976" w:type="dxa"/>
            <w:tcBorders>
              <w:top w:val="nil"/>
              <w:left w:val="nil"/>
              <w:bottom w:val="nil"/>
              <w:right w:val="nil"/>
            </w:tcBorders>
          </w:tcPr>
          <w:p w14:paraId="4149B9B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0.137***</w:t>
            </w:r>
          </w:p>
        </w:tc>
        <w:tc>
          <w:tcPr>
            <w:tcW w:w="976" w:type="dxa"/>
            <w:tcBorders>
              <w:top w:val="nil"/>
              <w:left w:val="nil"/>
              <w:bottom w:val="nil"/>
              <w:right w:val="nil"/>
            </w:tcBorders>
          </w:tcPr>
          <w:p w14:paraId="44660FC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0.735***</w:t>
            </w:r>
          </w:p>
        </w:tc>
        <w:tc>
          <w:tcPr>
            <w:tcW w:w="976" w:type="dxa"/>
            <w:tcBorders>
              <w:top w:val="nil"/>
              <w:left w:val="nil"/>
              <w:bottom w:val="nil"/>
              <w:right w:val="nil"/>
            </w:tcBorders>
          </w:tcPr>
          <w:p w14:paraId="1A78E40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0.064*</w:t>
            </w:r>
          </w:p>
        </w:tc>
        <w:tc>
          <w:tcPr>
            <w:tcW w:w="976" w:type="dxa"/>
            <w:tcBorders>
              <w:top w:val="nil"/>
              <w:left w:val="nil"/>
              <w:bottom w:val="nil"/>
              <w:right w:val="nil"/>
            </w:tcBorders>
          </w:tcPr>
          <w:p w14:paraId="2AD1592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0.174***</w:t>
            </w:r>
          </w:p>
        </w:tc>
        <w:tc>
          <w:tcPr>
            <w:tcW w:w="976" w:type="dxa"/>
            <w:tcBorders>
              <w:top w:val="nil"/>
              <w:left w:val="nil"/>
              <w:bottom w:val="nil"/>
              <w:right w:val="nil"/>
            </w:tcBorders>
          </w:tcPr>
          <w:p w14:paraId="3C56213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976" w:type="dxa"/>
            <w:tcBorders>
              <w:top w:val="nil"/>
              <w:left w:val="nil"/>
              <w:bottom w:val="nil"/>
              <w:right w:val="nil"/>
            </w:tcBorders>
          </w:tcPr>
          <w:p w14:paraId="4F45BC22"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414F4D2D"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26E475C" w14:textId="77777777" w:rsidTr="009D1D94">
        <w:tc>
          <w:tcPr>
            <w:tcW w:w="1694" w:type="dxa"/>
            <w:tcBorders>
              <w:top w:val="nil"/>
              <w:left w:val="nil"/>
              <w:bottom w:val="nil"/>
              <w:right w:val="nil"/>
            </w:tcBorders>
          </w:tcPr>
          <w:p w14:paraId="2088487B"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(9) IDE</w:t>
            </w:r>
          </w:p>
        </w:tc>
        <w:tc>
          <w:tcPr>
            <w:tcW w:w="1098" w:type="dxa"/>
            <w:tcBorders>
              <w:top w:val="nil"/>
              <w:left w:val="nil"/>
              <w:bottom w:val="nil"/>
              <w:right w:val="nil"/>
            </w:tcBorders>
          </w:tcPr>
          <w:p w14:paraId="2751631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-0.093***</w:t>
            </w:r>
          </w:p>
        </w:tc>
        <w:tc>
          <w:tcPr>
            <w:tcW w:w="976" w:type="dxa"/>
            <w:tcBorders>
              <w:top w:val="nil"/>
              <w:left w:val="nil"/>
              <w:bottom w:val="nil"/>
              <w:right w:val="nil"/>
            </w:tcBorders>
          </w:tcPr>
          <w:p w14:paraId="78540D7F"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0.007</w:t>
            </w:r>
          </w:p>
        </w:tc>
        <w:tc>
          <w:tcPr>
            <w:tcW w:w="1098" w:type="dxa"/>
            <w:tcBorders>
              <w:top w:val="nil"/>
              <w:left w:val="nil"/>
              <w:bottom w:val="nil"/>
              <w:right w:val="nil"/>
            </w:tcBorders>
          </w:tcPr>
          <w:p w14:paraId="4B96C9A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-0.018</w:t>
            </w:r>
          </w:p>
        </w:tc>
        <w:tc>
          <w:tcPr>
            <w:tcW w:w="976" w:type="dxa"/>
            <w:tcBorders>
              <w:top w:val="nil"/>
              <w:left w:val="nil"/>
              <w:bottom w:val="nil"/>
              <w:right w:val="nil"/>
            </w:tcBorders>
          </w:tcPr>
          <w:p w14:paraId="72C30A1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0.039</w:t>
            </w:r>
          </w:p>
        </w:tc>
        <w:tc>
          <w:tcPr>
            <w:tcW w:w="976" w:type="dxa"/>
            <w:tcBorders>
              <w:top w:val="nil"/>
              <w:left w:val="nil"/>
              <w:bottom w:val="nil"/>
              <w:right w:val="nil"/>
            </w:tcBorders>
          </w:tcPr>
          <w:p w14:paraId="3F663EC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-0.010</w:t>
            </w:r>
          </w:p>
        </w:tc>
        <w:tc>
          <w:tcPr>
            <w:tcW w:w="976" w:type="dxa"/>
            <w:tcBorders>
              <w:top w:val="nil"/>
              <w:left w:val="nil"/>
              <w:bottom w:val="nil"/>
              <w:right w:val="nil"/>
            </w:tcBorders>
          </w:tcPr>
          <w:p w14:paraId="508394B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62EDE9D4"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0.314***</w:t>
            </w:r>
          </w:p>
        </w:tc>
        <w:tc>
          <w:tcPr>
            <w:tcW w:w="976" w:type="dxa"/>
            <w:tcBorders>
              <w:top w:val="nil"/>
              <w:left w:val="nil"/>
              <w:bottom w:val="nil"/>
              <w:right w:val="nil"/>
            </w:tcBorders>
          </w:tcPr>
          <w:p w14:paraId="5C305BA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-0.047</w:t>
            </w:r>
          </w:p>
        </w:tc>
        <w:tc>
          <w:tcPr>
            <w:tcW w:w="976" w:type="dxa"/>
            <w:tcBorders>
              <w:top w:val="nil"/>
              <w:left w:val="nil"/>
              <w:bottom w:val="nil"/>
              <w:right w:val="nil"/>
            </w:tcBorders>
          </w:tcPr>
          <w:p w14:paraId="463A111B"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c>
          <w:tcPr>
            <w:tcW w:w="854" w:type="dxa"/>
            <w:tcBorders>
              <w:top w:val="nil"/>
              <w:left w:val="nil"/>
              <w:bottom w:val="nil"/>
              <w:right w:val="nil"/>
            </w:tcBorders>
          </w:tcPr>
          <w:p w14:paraId="3CAF0C0E"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1E49997E" w14:textId="77777777" w:rsidTr="009D1D94">
        <w:tc>
          <w:tcPr>
            <w:tcW w:w="1694" w:type="dxa"/>
            <w:tcBorders>
              <w:top w:val="nil"/>
              <w:left w:val="nil"/>
              <w:bottom w:val="nil"/>
              <w:right w:val="nil"/>
            </w:tcBorders>
          </w:tcPr>
          <w:p w14:paraId="7BB458D4"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(10) POLITY2</w:t>
            </w:r>
          </w:p>
        </w:tc>
        <w:tc>
          <w:tcPr>
            <w:tcW w:w="1098" w:type="dxa"/>
            <w:tcBorders>
              <w:top w:val="nil"/>
              <w:left w:val="nil"/>
              <w:bottom w:val="nil"/>
              <w:right w:val="nil"/>
            </w:tcBorders>
          </w:tcPr>
          <w:p w14:paraId="50C0B7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0.023</w:t>
            </w:r>
          </w:p>
        </w:tc>
        <w:tc>
          <w:tcPr>
            <w:tcW w:w="976" w:type="dxa"/>
            <w:tcBorders>
              <w:top w:val="nil"/>
              <w:left w:val="nil"/>
              <w:bottom w:val="nil"/>
              <w:right w:val="nil"/>
            </w:tcBorders>
          </w:tcPr>
          <w:p w14:paraId="0C3949C1"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0.277***</w:t>
            </w:r>
          </w:p>
        </w:tc>
        <w:tc>
          <w:tcPr>
            <w:tcW w:w="1098" w:type="dxa"/>
            <w:tcBorders>
              <w:top w:val="nil"/>
              <w:left w:val="nil"/>
              <w:bottom w:val="nil"/>
              <w:right w:val="nil"/>
            </w:tcBorders>
          </w:tcPr>
          <w:p w14:paraId="0CCF20EC"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-0.098***</w:t>
            </w:r>
          </w:p>
        </w:tc>
        <w:tc>
          <w:tcPr>
            <w:tcW w:w="976" w:type="dxa"/>
            <w:tcBorders>
              <w:top w:val="nil"/>
              <w:left w:val="nil"/>
              <w:bottom w:val="nil"/>
              <w:right w:val="nil"/>
            </w:tcBorders>
          </w:tcPr>
          <w:p w14:paraId="012EACD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0.104***</w:t>
            </w:r>
          </w:p>
        </w:tc>
        <w:tc>
          <w:tcPr>
            <w:tcW w:w="976" w:type="dxa"/>
            <w:tcBorders>
              <w:top w:val="nil"/>
              <w:left w:val="nil"/>
              <w:bottom w:val="nil"/>
              <w:right w:val="nil"/>
            </w:tcBorders>
          </w:tcPr>
          <w:p w14:paraId="76AA7DC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0.453***</w:t>
            </w:r>
          </w:p>
        </w:tc>
        <w:tc>
          <w:tcPr>
            <w:tcW w:w="976" w:type="dxa"/>
            <w:tcBorders>
              <w:top w:val="nil"/>
              <w:left w:val="nil"/>
              <w:bottom w:val="nil"/>
              <w:right w:val="nil"/>
            </w:tcBorders>
          </w:tcPr>
          <w:p w14:paraId="05A8909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0.122***</w:t>
            </w:r>
          </w:p>
        </w:tc>
        <w:tc>
          <w:tcPr>
            <w:tcW w:w="976" w:type="dxa"/>
            <w:tcBorders>
              <w:top w:val="nil"/>
              <w:left w:val="nil"/>
              <w:bottom w:val="nil"/>
              <w:right w:val="nil"/>
            </w:tcBorders>
          </w:tcPr>
          <w:p w14:paraId="2EC0C18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0.316***</w:t>
            </w:r>
          </w:p>
        </w:tc>
        <w:tc>
          <w:tcPr>
            <w:tcW w:w="976" w:type="dxa"/>
            <w:tcBorders>
              <w:top w:val="nil"/>
              <w:left w:val="nil"/>
              <w:bottom w:val="nil"/>
              <w:right w:val="nil"/>
            </w:tcBorders>
          </w:tcPr>
          <w:p w14:paraId="33CC7656"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0.391***</w:t>
            </w:r>
          </w:p>
        </w:tc>
        <w:tc>
          <w:tcPr>
            <w:tcW w:w="976" w:type="dxa"/>
            <w:tcBorders>
              <w:top w:val="nil"/>
              <w:left w:val="nil"/>
              <w:bottom w:val="nil"/>
              <w:right w:val="nil"/>
            </w:tcBorders>
          </w:tcPr>
          <w:p w14:paraId="45E4A07A"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0.105***</w:t>
            </w:r>
          </w:p>
        </w:tc>
        <w:tc>
          <w:tcPr>
            <w:tcW w:w="854" w:type="dxa"/>
            <w:tcBorders>
              <w:top w:val="nil"/>
              <w:left w:val="nil"/>
              <w:bottom w:val="nil"/>
              <w:right w:val="nil"/>
            </w:tcBorders>
          </w:tcPr>
          <w:p w14:paraId="6EED3CF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1.000</w:t>
            </w:r>
          </w:p>
        </w:tc>
      </w:tr>
      <w:tr w:rsidR="00B85DE4" w:rsidRPr="00B85DE4" w14:paraId="5F9A7A70" w14:textId="77777777" w:rsidTr="009D1D94">
        <w:tc>
          <w:tcPr>
            <w:tcW w:w="1694" w:type="dxa"/>
            <w:tcBorders>
              <w:top w:val="nil"/>
              <w:left w:val="nil"/>
              <w:bottom w:val="nil"/>
              <w:right w:val="nil"/>
            </w:tcBorders>
          </w:tcPr>
          <w:p w14:paraId="089239B0" w14:textId="77777777" w:rsidR="002967DA" w:rsidRPr="00B85DE4" w:rsidRDefault="002967DA" w:rsidP="009D1D94">
            <w:pPr>
              <w:widowControl w:val="0"/>
              <w:autoSpaceDE w:val="0"/>
              <w:adjustRightInd w:val="0"/>
              <w:spacing w:after="0" w:line="240" w:lineRule="auto"/>
              <w:rPr>
                <w:sz w:val="20"/>
                <w:szCs w:val="20"/>
                <w:lang w:val="en-US"/>
              </w:rPr>
            </w:pPr>
            <w:r w:rsidRPr="00B85DE4">
              <w:rPr>
                <w:sz w:val="20"/>
                <w:szCs w:val="20"/>
                <w:lang w:val="en-US"/>
              </w:rPr>
              <w:t>VIF</w:t>
            </w:r>
          </w:p>
        </w:tc>
        <w:tc>
          <w:tcPr>
            <w:tcW w:w="1098" w:type="dxa"/>
            <w:tcBorders>
              <w:top w:val="nil"/>
              <w:left w:val="nil"/>
              <w:bottom w:val="nil"/>
              <w:right w:val="nil"/>
            </w:tcBorders>
          </w:tcPr>
          <w:p w14:paraId="6CBBD047"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C322E9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1.68</w:t>
            </w:r>
          </w:p>
        </w:tc>
        <w:tc>
          <w:tcPr>
            <w:tcW w:w="1098" w:type="dxa"/>
            <w:tcBorders>
              <w:top w:val="nil"/>
              <w:left w:val="nil"/>
              <w:bottom w:val="nil"/>
              <w:right w:val="nil"/>
            </w:tcBorders>
          </w:tcPr>
          <w:p w14:paraId="2C3298B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1.04</w:t>
            </w:r>
          </w:p>
        </w:tc>
        <w:tc>
          <w:tcPr>
            <w:tcW w:w="976" w:type="dxa"/>
            <w:tcBorders>
              <w:top w:val="nil"/>
              <w:left w:val="nil"/>
              <w:bottom w:val="nil"/>
              <w:right w:val="nil"/>
            </w:tcBorders>
          </w:tcPr>
          <w:p w14:paraId="2C18BAE8"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1.08</w:t>
            </w:r>
          </w:p>
        </w:tc>
        <w:tc>
          <w:tcPr>
            <w:tcW w:w="976" w:type="dxa"/>
            <w:tcBorders>
              <w:top w:val="nil"/>
              <w:left w:val="nil"/>
              <w:bottom w:val="nil"/>
              <w:right w:val="nil"/>
            </w:tcBorders>
          </w:tcPr>
          <w:p w14:paraId="4BC732BE"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2.98</w:t>
            </w:r>
          </w:p>
        </w:tc>
        <w:tc>
          <w:tcPr>
            <w:tcW w:w="976" w:type="dxa"/>
            <w:tcBorders>
              <w:top w:val="nil"/>
              <w:left w:val="nil"/>
              <w:bottom w:val="nil"/>
              <w:right w:val="nil"/>
            </w:tcBorders>
          </w:tcPr>
          <w:p w14:paraId="33F28269"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1.59</w:t>
            </w:r>
          </w:p>
        </w:tc>
        <w:tc>
          <w:tcPr>
            <w:tcW w:w="976" w:type="dxa"/>
            <w:tcBorders>
              <w:top w:val="nil"/>
              <w:left w:val="nil"/>
              <w:bottom w:val="nil"/>
              <w:right w:val="nil"/>
            </w:tcBorders>
          </w:tcPr>
          <w:p w14:paraId="7981B262"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1.62</w:t>
            </w:r>
          </w:p>
        </w:tc>
        <w:tc>
          <w:tcPr>
            <w:tcW w:w="976" w:type="dxa"/>
            <w:tcBorders>
              <w:top w:val="nil"/>
              <w:left w:val="nil"/>
              <w:bottom w:val="nil"/>
              <w:right w:val="nil"/>
            </w:tcBorders>
          </w:tcPr>
          <w:p w14:paraId="7FA55B4D"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2.49</w:t>
            </w:r>
          </w:p>
        </w:tc>
        <w:tc>
          <w:tcPr>
            <w:tcW w:w="976" w:type="dxa"/>
            <w:tcBorders>
              <w:top w:val="nil"/>
              <w:left w:val="nil"/>
              <w:bottom w:val="nil"/>
              <w:right w:val="nil"/>
            </w:tcBorders>
          </w:tcPr>
          <w:p w14:paraId="05AC830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1.39</w:t>
            </w:r>
          </w:p>
        </w:tc>
        <w:tc>
          <w:tcPr>
            <w:tcW w:w="854" w:type="dxa"/>
            <w:tcBorders>
              <w:top w:val="nil"/>
              <w:left w:val="nil"/>
              <w:bottom w:val="nil"/>
              <w:right w:val="nil"/>
            </w:tcBorders>
          </w:tcPr>
          <w:p w14:paraId="462A4B60" w14:textId="77777777" w:rsidR="002967DA" w:rsidRPr="00B85DE4" w:rsidRDefault="002967DA" w:rsidP="009D1D94">
            <w:pPr>
              <w:widowControl w:val="0"/>
              <w:autoSpaceDE w:val="0"/>
              <w:adjustRightInd w:val="0"/>
              <w:spacing w:after="0" w:line="240" w:lineRule="auto"/>
              <w:jc w:val="right"/>
              <w:rPr>
                <w:sz w:val="20"/>
                <w:szCs w:val="20"/>
                <w:lang w:val="en-US"/>
              </w:rPr>
            </w:pPr>
            <w:r w:rsidRPr="00B85DE4">
              <w:rPr>
                <w:sz w:val="20"/>
                <w:szCs w:val="20"/>
                <w:lang w:val="en-US"/>
              </w:rPr>
              <w:t>1.32</w:t>
            </w:r>
          </w:p>
        </w:tc>
      </w:tr>
      <w:tr w:rsidR="00B85DE4" w:rsidRPr="00B85DE4" w14:paraId="63B70AC5" w14:textId="77777777" w:rsidTr="009D1D94">
        <w:trPr>
          <w:trHeight w:val="170"/>
        </w:trPr>
        <w:tc>
          <w:tcPr>
            <w:tcW w:w="1694" w:type="dxa"/>
            <w:tcBorders>
              <w:top w:val="nil"/>
              <w:left w:val="nil"/>
              <w:bottom w:val="nil"/>
              <w:right w:val="nil"/>
            </w:tcBorders>
          </w:tcPr>
          <w:p w14:paraId="44580F5A" w14:textId="77777777" w:rsidR="002967DA" w:rsidRPr="00B85DE4" w:rsidRDefault="002967DA" w:rsidP="009D1D94">
            <w:pPr>
              <w:rPr>
                <w:sz w:val="20"/>
                <w:szCs w:val="20"/>
                <w:lang w:val="en-US"/>
              </w:rPr>
            </w:pPr>
            <w:r w:rsidRPr="00B85DE4">
              <w:rPr>
                <w:sz w:val="20"/>
                <w:szCs w:val="20"/>
                <w:lang w:val="en-US"/>
              </w:rPr>
              <w:t>Mean VIF= 1.69</w:t>
            </w:r>
          </w:p>
        </w:tc>
        <w:tc>
          <w:tcPr>
            <w:tcW w:w="1098" w:type="dxa"/>
            <w:tcBorders>
              <w:top w:val="nil"/>
              <w:left w:val="nil"/>
              <w:bottom w:val="nil"/>
              <w:right w:val="nil"/>
            </w:tcBorders>
          </w:tcPr>
          <w:p w14:paraId="0151C2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389C4ABA"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1098" w:type="dxa"/>
            <w:tcBorders>
              <w:top w:val="nil"/>
              <w:left w:val="nil"/>
              <w:bottom w:val="nil"/>
              <w:right w:val="nil"/>
            </w:tcBorders>
          </w:tcPr>
          <w:p w14:paraId="5EEBA2D4"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10D27B7B"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5D7D6B3"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745499FE"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6CA4A6F9"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03A6887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976" w:type="dxa"/>
            <w:tcBorders>
              <w:top w:val="nil"/>
              <w:left w:val="nil"/>
              <w:bottom w:val="nil"/>
              <w:right w:val="nil"/>
            </w:tcBorders>
          </w:tcPr>
          <w:p w14:paraId="26CEB16C" w14:textId="77777777" w:rsidR="002967DA" w:rsidRPr="00B85DE4" w:rsidRDefault="002967DA" w:rsidP="009D1D94">
            <w:pPr>
              <w:widowControl w:val="0"/>
              <w:autoSpaceDE w:val="0"/>
              <w:adjustRightInd w:val="0"/>
              <w:spacing w:after="0" w:line="240" w:lineRule="auto"/>
              <w:jc w:val="right"/>
              <w:rPr>
                <w:sz w:val="20"/>
                <w:szCs w:val="20"/>
                <w:lang w:val="en-US"/>
              </w:rPr>
            </w:pPr>
          </w:p>
        </w:tc>
        <w:tc>
          <w:tcPr>
            <w:tcW w:w="854" w:type="dxa"/>
            <w:tcBorders>
              <w:top w:val="nil"/>
              <w:left w:val="nil"/>
              <w:bottom w:val="nil"/>
              <w:right w:val="nil"/>
            </w:tcBorders>
          </w:tcPr>
          <w:p w14:paraId="627954CC" w14:textId="77777777" w:rsidR="002967DA" w:rsidRPr="00B85DE4" w:rsidRDefault="002967DA" w:rsidP="009D1D94">
            <w:pPr>
              <w:widowControl w:val="0"/>
              <w:autoSpaceDE w:val="0"/>
              <w:adjustRightInd w:val="0"/>
              <w:spacing w:after="0" w:line="240" w:lineRule="auto"/>
              <w:jc w:val="right"/>
              <w:rPr>
                <w:sz w:val="20"/>
                <w:szCs w:val="20"/>
                <w:lang w:val="en-US"/>
              </w:rPr>
            </w:pPr>
          </w:p>
        </w:tc>
      </w:tr>
      <w:tr w:rsidR="00B85DE4" w:rsidRPr="00B85DE4" w14:paraId="2B626E87" w14:textId="77777777" w:rsidTr="009D1D94">
        <w:tc>
          <w:tcPr>
            <w:tcW w:w="11576" w:type="dxa"/>
            <w:gridSpan w:val="11"/>
            <w:tcBorders>
              <w:top w:val="single" w:sz="6" w:space="0" w:color="auto"/>
              <w:left w:val="nil"/>
              <w:bottom w:val="nil"/>
              <w:right w:val="nil"/>
            </w:tcBorders>
          </w:tcPr>
          <w:p w14:paraId="002520A8" w14:textId="77777777" w:rsidR="002967DA" w:rsidRPr="00B85DE4" w:rsidRDefault="002967DA" w:rsidP="009D1D94">
            <w:pPr>
              <w:widowControl w:val="0"/>
              <w:autoSpaceDE w:val="0"/>
              <w:adjustRightInd w:val="0"/>
              <w:spacing w:after="0" w:line="240" w:lineRule="auto"/>
              <w:jc w:val="center"/>
              <w:rPr>
                <w:sz w:val="20"/>
                <w:szCs w:val="20"/>
                <w:lang w:val="en-US"/>
              </w:rPr>
            </w:pPr>
            <w:r w:rsidRPr="00B85DE4">
              <w:rPr>
                <w:i/>
                <w:iCs/>
                <w:sz w:val="20"/>
                <w:szCs w:val="20"/>
                <w:lang w:val="en-US"/>
              </w:rPr>
              <w:t>*** p&lt;0.01, ** p&lt;0.05, * p&lt;0.1</w:t>
            </w:r>
          </w:p>
        </w:tc>
      </w:tr>
    </w:tbl>
    <w:p w14:paraId="7A36EBEF" w14:textId="77777777" w:rsidR="002967DA" w:rsidRPr="00B85DE4" w:rsidRDefault="002967DA" w:rsidP="002967DA"/>
    <w:p w14:paraId="28063593" w14:textId="77777777" w:rsidR="002967DA" w:rsidRPr="00B85DE4" w:rsidRDefault="002967DA" w:rsidP="002967DA">
      <w:pPr>
        <w:spacing w:after="0" w:line="360" w:lineRule="auto"/>
        <w:jc w:val="both"/>
        <w:rPr>
          <w:b/>
          <w:szCs w:val="24"/>
        </w:rPr>
      </w:pPr>
    </w:p>
    <w:p w14:paraId="537FA0D5" w14:textId="77777777" w:rsidR="002967DA" w:rsidRPr="00B85DE4" w:rsidRDefault="002967DA" w:rsidP="00A731B3">
      <w:pPr>
        <w:spacing w:line="360" w:lineRule="auto"/>
        <w:ind w:left="709" w:hanging="709"/>
        <w:rPr>
          <w:lang w:val="en-US"/>
        </w:rPr>
      </w:pPr>
    </w:p>
    <w:sectPr w:rsidR="002967DA" w:rsidRPr="00B85DE4" w:rsidSect="00C958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F7AB1" w14:textId="77777777" w:rsidR="00485C64" w:rsidRDefault="00485C64" w:rsidP="00B9476E">
      <w:pPr>
        <w:spacing w:after="0" w:line="240" w:lineRule="auto"/>
      </w:pPr>
      <w:r>
        <w:separator/>
      </w:r>
    </w:p>
  </w:endnote>
  <w:endnote w:type="continuationSeparator" w:id="0">
    <w:p w14:paraId="4ED46AA2" w14:textId="77777777" w:rsidR="00485C64" w:rsidRDefault="00485C64" w:rsidP="00B9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0484"/>
      <w:docPartObj>
        <w:docPartGallery w:val="Page Numbers (Bottom of Page)"/>
        <w:docPartUnique/>
      </w:docPartObj>
    </w:sdtPr>
    <w:sdtEndPr/>
    <w:sdtContent>
      <w:p w14:paraId="4C2C150E" w14:textId="740B71D2" w:rsidR="009D1D94" w:rsidRDefault="009D1D94">
        <w:pPr>
          <w:pStyle w:val="Footer"/>
          <w:jc w:val="right"/>
        </w:pPr>
        <w:r>
          <w:fldChar w:fldCharType="begin"/>
        </w:r>
        <w:r>
          <w:instrText>PAGE   \* MERGEFORMAT</w:instrText>
        </w:r>
        <w:r>
          <w:fldChar w:fldCharType="separate"/>
        </w:r>
        <w:r w:rsidR="00A322C9">
          <w:rPr>
            <w:noProof/>
          </w:rPr>
          <w:t>1</w:t>
        </w:r>
        <w:r>
          <w:fldChar w:fldCharType="end"/>
        </w:r>
      </w:p>
    </w:sdtContent>
  </w:sdt>
  <w:p w14:paraId="081BB587" w14:textId="77777777" w:rsidR="009D1D94" w:rsidRDefault="009D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D1812" w14:textId="77777777" w:rsidR="00485C64" w:rsidRDefault="00485C64" w:rsidP="00B9476E">
      <w:pPr>
        <w:spacing w:after="0" w:line="240" w:lineRule="auto"/>
      </w:pPr>
      <w:r>
        <w:separator/>
      </w:r>
    </w:p>
  </w:footnote>
  <w:footnote w:type="continuationSeparator" w:id="0">
    <w:p w14:paraId="76273859" w14:textId="77777777" w:rsidR="00485C64" w:rsidRDefault="00485C64" w:rsidP="00B94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97FE6"/>
    <w:multiLevelType w:val="hybridMultilevel"/>
    <w:tmpl w:val="D29E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8AE5AA6"/>
    <w:multiLevelType w:val="hybridMultilevel"/>
    <w:tmpl w:val="30EA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714F6"/>
    <w:multiLevelType w:val="multilevel"/>
    <w:tmpl w:val="B50C41B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660AAD"/>
    <w:multiLevelType w:val="hybridMultilevel"/>
    <w:tmpl w:val="3E2C6CF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ED59E6"/>
    <w:multiLevelType w:val="hybridMultilevel"/>
    <w:tmpl w:val="7B8E7B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525E45"/>
    <w:multiLevelType w:val="hybridMultilevel"/>
    <w:tmpl w:val="FC54AD86"/>
    <w:lvl w:ilvl="0" w:tplc="627468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5E"/>
    <w:rsid w:val="00005E97"/>
    <w:rsid w:val="00006A97"/>
    <w:rsid w:val="00007171"/>
    <w:rsid w:val="00016FCE"/>
    <w:rsid w:val="00017DEC"/>
    <w:rsid w:val="000255A7"/>
    <w:rsid w:val="0002701E"/>
    <w:rsid w:val="00030470"/>
    <w:rsid w:val="0003578B"/>
    <w:rsid w:val="0004166A"/>
    <w:rsid w:val="00043236"/>
    <w:rsid w:val="0004508D"/>
    <w:rsid w:val="000571D5"/>
    <w:rsid w:val="000612A3"/>
    <w:rsid w:val="00064DAE"/>
    <w:rsid w:val="00067AE8"/>
    <w:rsid w:val="000802FE"/>
    <w:rsid w:val="0008153A"/>
    <w:rsid w:val="00083B29"/>
    <w:rsid w:val="000854BF"/>
    <w:rsid w:val="00087141"/>
    <w:rsid w:val="000952E9"/>
    <w:rsid w:val="000954AB"/>
    <w:rsid w:val="000A32AE"/>
    <w:rsid w:val="000A6599"/>
    <w:rsid w:val="000B034D"/>
    <w:rsid w:val="000B3411"/>
    <w:rsid w:val="000B5C6B"/>
    <w:rsid w:val="000C4806"/>
    <w:rsid w:val="000C5D1E"/>
    <w:rsid w:val="000C623E"/>
    <w:rsid w:val="000C673D"/>
    <w:rsid w:val="000C6941"/>
    <w:rsid w:val="000D09BA"/>
    <w:rsid w:val="000D3EBB"/>
    <w:rsid w:val="000D43C0"/>
    <w:rsid w:val="000D497E"/>
    <w:rsid w:val="000D71AF"/>
    <w:rsid w:val="000E115C"/>
    <w:rsid w:val="000E2071"/>
    <w:rsid w:val="000E3D01"/>
    <w:rsid w:val="000E6225"/>
    <w:rsid w:val="000F1D15"/>
    <w:rsid w:val="000F23AB"/>
    <w:rsid w:val="000F7EA5"/>
    <w:rsid w:val="001010D9"/>
    <w:rsid w:val="00103D57"/>
    <w:rsid w:val="0010751F"/>
    <w:rsid w:val="001138CB"/>
    <w:rsid w:val="0011452A"/>
    <w:rsid w:val="00115F1F"/>
    <w:rsid w:val="00120844"/>
    <w:rsid w:val="00121518"/>
    <w:rsid w:val="00122AA8"/>
    <w:rsid w:val="00125524"/>
    <w:rsid w:val="001342B3"/>
    <w:rsid w:val="00135F8B"/>
    <w:rsid w:val="0013690A"/>
    <w:rsid w:val="00136FDE"/>
    <w:rsid w:val="00140FFD"/>
    <w:rsid w:val="00141CAF"/>
    <w:rsid w:val="00143519"/>
    <w:rsid w:val="001439FF"/>
    <w:rsid w:val="0014420A"/>
    <w:rsid w:val="00145ED4"/>
    <w:rsid w:val="00147E7A"/>
    <w:rsid w:val="001541F4"/>
    <w:rsid w:val="00156B8F"/>
    <w:rsid w:val="00157C30"/>
    <w:rsid w:val="00166173"/>
    <w:rsid w:val="001678A9"/>
    <w:rsid w:val="00170D94"/>
    <w:rsid w:val="00171F77"/>
    <w:rsid w:val="00182D60"/>
    <w:rsid w:val="00191FF3"/>
    <w:rsid w:val="0019321B"/>
    <w:rsid w:val="001A6013"/>
    <w:rsid w:val="001B1AC0"/>
    <w:rsid w:val="001B2924"/>
    <w:rsid w:val="001B7D29"/>
    <w:rsid w:val="001C20D3"/>
    <w:rsid w:val="001C6478"/>
    <w:rsid w:val="001D1290"/>
    <w:rsid w:val="001D14EC"/>
    <w:rsid w:val="001D186D"/>
    <w:rsid w:val="001D31F2"/>
    <w:rsid w:val="001D655E"/>
    <w:rsid w:val="001E025D"/>
    <w:rsid w:val="001E1F3A"/>
    <w:rsid w:val="001E2375"/>
    <w:rsid w:val="001E4AF1"/>
    <w:rsid w:val="001E4FD0"/>
    <w:rsid w:val="001F0501"/>
    <w:rsid w:val="001F23D0"/>
    <w:rsid w:val="001F2622"/>
    <w:rsid w:val="001F345B"/>
    <w:rsid w:val="001F4388"/>
    <w:rsid w:val="001F58F2"/>
    <w:rsid w:val="001F60EF"/>
    <w:rsid w:val="00205C15"/>
    <w:rsid w:val="00206B44"/>
    <w:rsid w:val="00207C05"/>
    <w:rsid w:val="00211D06"/>
    <w:rsid w:val="00213C2A"/>
    <w:rsid w:val="00215D31"/>
    <w:rsid w:val="002201D9"/>
    <w:rsid w:val="00221B8D"/>
    <w:rsid w:val="00225020"/>
    <w:rsid w:val="00225887"/>
    <w:rsid w:val="00226A91"/>
    <w:rsid w:val="00232450"/>
    <w:rsid w:val="002361F2"/>
    <w:rsid w:val="00237962"/>
    <w:rsid w:val="0024185D"/>
    <w:rsid w:val="0024386F"/>
    <w:rsid w:val="00254C65"/>
    <w:rsid w:val="002606BD"/>
    <w:rsid w:val="00262B07"/>
    <w:rsid w:val="00265ED5"/>
    <w:rsid w:val="0026613F"/>
    <w:rsid w:val="0027575E"/>
    <w:rsid w:val="00275862"/>
    <w:rsid w:val="00280DDD"/>
    <w:rsid w:val="00283512"/>
    <w:rsid w:val="002936E2"/>
    <w:rsid w:val="002967DA"/>
    <w:rsid w:val="0029771C"/>
    <w:rsid w:val="002A1307"/>
    <w:rsid w:val="002A1657"/>
    <w:rsid w:val="002A3BE6"/>
    <w:rsid w:val="002A441B"/>
    <w:rsid w:val="002A63CE"/>
    <w:rsid w:val="002B5BA6"/>
    <w:rsid w:val="002B70CC"/>
    <w:rsid w:val="002C0624"/>
    <w:rsid w:val="002C0DBE"/>
    <w:rsid w:val="002C76B7"/>
    <w:rsid w:val="002D42E6"/>
    <w:rsid w:val="002D4C9F"/>
    <w:rsid w:val="002E4ABE"/>
    <w:rsid w:val="002E5914"/>
    <w:rsid w:val="002E70DB"/>
    <w:rsid w:val="002E7C57"/>
    <w:rsid w:val="002F02A1"/>
    <w:rsid w:val="002F2E2E"/>
    <w:rsid w:val="002F5747"/>
    <w:rsid w:val="002F60AE"/>
    <w:rsid w:val="002F70CD"/>
    <w:rsid w:val="002F7802"/>
    <w:rsid w:val="00306517"/>
    <w:rsid w:val="00323051"/>
    <w:rsid w:val="00325D51"/>
    <w:rsid w:val="00331816"/>
    <w:rsid w:val="003348D4"/>
    <w:rsid w:val="00342402"/>
    <w:rsid w:val="00342F07"/>
    <w:rsid w:val="003449F1"/>
    <w:rsid w:val="00346D0D"/>
    <w:rsid w:val="003508F3"/>
    <w:rsid w:val="00350FE8"/>
    <w:rsid w:val="003518EC"/>
    <w:rsid w:val="00354386"/>
    <w:rsid w:val="00355A2C"/>
    <w:rsid w:val="00356163"/>
    <w:rsid w:val="00361B6C"/>
    <w:rsid w:val="003622F9"/>
    <w:rsid w:val="00365D80"/>
    <w:rsid w:val="003661B7"/>
    <w:rsid w:val="003748F7"/>
    <w:rsid w:val="00376035"/>
    <w:rsid w:val="00383611"/>
    <w:rsid w:val="00385011"/>
    <w:rsid w:val="00385B93"/>
    <w:rsid w:val="003876B9"/>
    <w:rsid w:val="003921BD"/>
    <w:rsid w:val="00394CAA"/>
    <w:rsid w:val="00397BD4"/>
    <w:rsid w:val="00397D02"/>
    <w:rsid w:val="003A0556"/>
    <w:rsid w:val="003A0E87"/>
    <w:rsid w:val="003A1DE0"/>
    <w:rsid w:val="003A4029"/>
    <w:rsid w:val="003A5C28"/>
    <w:rsid w:val="003B058D"/>
    <w:rsid w:val="003B3C40"/>
    <w:rsid w:val="003B4742"/>
    <w:rsid w:val="003B5F91"/>
    <w:rsid w:val="003C6CB2"/>
    <w:rsid w:val="003E256D"/>
    <w:rsid w:val="003F1680"/>
    <w:rsid w:val="003F17AF"/>
    <w:rsid w:val="0040039E"/>
    <w:rsid w:val="004017C8"/>
    <w:rsid w:val="00407076"/>
    <w:rsid w:val="004071B9"/>
    <w:rsid w:val="00413FC5"/>
    <w:rsid w:val="00415E79"/>
    <w:rsid w:val="00422049"/>
    <w:rsid w:val="00426620"/>
    <w:rsid w:val="0042726E"/>
    <w:rsid w:val="004322EA"/>
    <w:rsid w:val="00434230"/>
    <w:rsid w:val="0043761B"/>
    <w:rsid w:val="00441279"/>
    <w:rsid w:val="00441882"/>
    <w:rsid w:val="00441F72"/>
    <w:rsid w:val="004476D8"/>
    <w:rsid w:val="00454ADC"/>
    <w:rsid w:val="00465450"/>
    <w:rsid w:val="00465AD3"/>
    <w:rsid w:val="00472945"/>
    <w:rsid w:val="0047455D"/>
    <w:rsid w:val="00485512"/>
    <w:rsid w:val="00485BF4"/>
    <w:rsid w:val="00485C64"/>
    <w:rsid w:val="00492CC3"/>
    <w:rsid w:val="004937E4"/>
    <w:rsid w:val="004A138B"/>
    <w:rsid w:val="004A1764"/>
    <w:rsid w:val="004A516B"/>
    <w:rsid w:val="004A7E86"/>
    <w:rsid w:val="004B3209"/>
    <w:rsid w:val="004B3678"/>
    <w:rsid w:val="004B3B2B"/>
    <w:rsid w:val="004B423E"/>
    <w:rsid w:val="004B7D58"/>
    <w:rsid w:val="004C1CAB"/>
    <w:rsid w:val="004C272A"/>
    <w:rsid w:val="004C5C25"/>
    <w:rsid w:val="004C61E5"/>
    <w:rsid w:val="004C7635"/>
    <w:rsid w:val="004D12EA"/>
    <w:rsid w:val="004D1CF7"/>
    <w:rsid w:val="004E214D"/>
    <w:rsid w:val="004E61AD"/>
    <w:rsid w:val="004F0742"/>
    <w:rsid w:val="004F2B70"/>
    <w:rsid w:val="004F3C5E"/>
    <w:rsid w:val="004F3D80"/>
    <w:rsid w:val="00501185"/>
    <w:rsid w:val="00503219"/>
    <w:rsid w:val="005167DE"/>
    <w:rsid w:val="0052191A"/>
    <w:rsid w:val="005243F7"/>
    <w:rsid w:val="00535E10"/>
    <w:rsid w:val="00537F6D"/>
    <w:rsid w:val="00542CE7"/>
    <w:rsid w:val="00545391"/>
    <w:rsid w:val="00551220"/>
    <w:rsid w:val="0055529D"/>
    <w:rsid w:val="005648A8"/>
    <w:rsid w:val="00566CB4"/>
    <w:rsid w:val="00573804"/>
    <w:rsid w:val="005750DA"/>
    <w:rsid w:val="00585212"/>
    <w:rsid w:val="00586180"/>
    <w:rsid w:val="00586D9D"/>
    <w:rsid w:val="00593033"/>
    <w:rsid w:val="00596BEC"/>
    <w:rsid w:val="005A0E8A"/>
    <w:rsid w:val="005A58A1"/>
    <w:rsid w:val="005A61EE"/>
    <w:rsid w:val="005A6EAA"/>
    <w:rsid w:val="005A7A12"/>
    <w:rsid w:val="005B2534"/>
    <w:rsid w:val="005B7159"/>
    <w:rsid w:val="005C1B56"/>
    <w:rsid w:val="005C398B"/>
    <w:rsid w:val="005C5472"/>
    <w:rsid w:val="005D0CBF"/>
    <w:rsid w:val="005D2043"/>
    <w:rsid w:val="005D389F"/>
    <w:rsid w:val="005D4547"/>
    <w:rsid w:val="005E0DA7"/>
    <w:rsid w:val="005E5BAC"/>
    <w:rsid w:val="005F1FEA"/>
    <w:rsid w:val="005F30E4"/>
    <w:rsid w:val="005F5C98"/>
    <w:rsid w:val="005F5E7E"/>
    <w:rsid w:val="005F61C1"/>
    <w:rsid w:val="0060237F"/>
    <w:rsid w:val="00603214"/>
    <w:rsid w:val="0060365E"/>
    <w:rsid w:val="00607F74"/>
    <w:rsid w:val="00622B52"/>
    <w:rsid w:val="0062459B"/>
    <w:rsid w:val="00625C24"/>
    <w:rsid w:val="00627524"/>
    <w:rsid w:val="0062782A"/>
    <w:rsid w:val="00631CB9"/>
    <w:rsid w:val="00640160"/>
    <w:rsid w:val="006408B5"/>
    <w:rsid w:val="00642E3F"/>
    <w:rsid w:val="0064504F"/>
    <w:rsid w:val="00646B35"/>
    <w:rsid w:val="00653311"/>
    <w:rsid w:val="00655BD0"/>
    <w:rsid w:val="00656716"/>
    <w:rsid w:val="00656A4D"/>
    <w:rsid w:val="00664E2D"/>
    <w:rsid w:val="0066695E"/>
    <w:rsid w:val="00667CCB"/>
    <w:rsid w:val="00677949"/>
    <w:rsid w:val="00677F99"/>
    <w:rsid w:val="00680A72"/>
    <w:rsid w:val="0068208F"/>
    <w:rsid w:val="00684222"/>
    <w:rsid w:val="00686EC5"/>
    <w:rsid w:val="00686F11"/>
    <w:rsid w:val="006876B7"/>
    <w:rsid w:val="006931FA"/>
    <w:rsid w:val="00695C67"/>
    <w:rsid w:val="006A0902"/>
    <w:rsid w:val="006A24C0"/>
    <w:rsid w:val="006A47DD"/>
    <w:rsid w:val="006A5DD2"/>
    <w:rsid w:val="006A7D0E"/>
    <w:rsid w:val="006C066D"/>
    <w:rsid w:val="006C7DC7"/>
    <w:rsid w:val="006D6E6E"/>
    <w:rsid w:val="006D7D0B"/>
    <w:rsid w:val="006E1720"/>
    <w:rsid w:val="006F1CD7"/>
    <w:rsid w:val="006F3C6F"/>
    <w:rsid w:val="006F7638"/>
    <w:rsid w:val="007073CF"/>
    <w:rsid w:val="00724C7D"/>
    <w:rsid w:val="00727AA0"/>
    <w:rsid w:val="00734EC4"/>
    <w:rsid w:val="00736E2B"/>
    <w:rsid w:val="00742CE7"/>
    <w:rsid w:val="00744C10"/>
    <w:rsid w:val="00746813"/>
    <w:rsid w:val="00747DE8"/>
    <w:rsid w:val="0075344D"/>
    <w:rsid w:val="00760B19"/>
    <w:rsid w:val="007622AB"/>
    <w:rsid w:val="00763B98"/>
    <w:rsid w:val="00781781"/>
    <w:rsid w:val="00781A1A"/>
    <w:rsid w:val="00782B2B"/>
    <w:rsid w:val="007848BF"/>
    <w:rsid w:val="00784F28"/>
    <w:rsid w:val="00785B50"/>
    <w:rsid w:val="00793968"/>
    <w:rsid w:val="00793E58"/>
    <w:rsid w:val="00796AEF"/>
    <w:rsid w:val="007A0FDD"/>
    <w:rsid w:val="007A14BD"/>
    <w:rsid w:val="007A3440"/>
    <w:rsid w:val="007A78B7"/>
    <w:rsid w:val="007B7E59"/>
    <w:rsid w:val="007C12EA"/>
    <w:rsid w:val="007C3C83"/>
    <w:rsid w:val="007C50FD"/>
    <w:rsid w:val="007C5E55"/>
    <w:rsid w:val="007C6480"/>
    <w:rsid w:val="007C7AAB"/>
    <w:rsid w:val="007D196F"/>
    <w:rsid w:val="007D29EE"/>
    <w:rsid w:val="007D42DB"/>
    <w:rsid w:val="007D59F4"/>
    <w:rsid w:val="007D62F3"/>
    <w:rsid w:val="00800CF0"/>
    <w:rsid w:val="00801944"/>
    <w:rsid w:val="0080732C"/>
    <w:rsid w:val="00810E3B"/>
    <w:rsid w:val="008125B2"/>
    <w:rsid w:val="00813BE7"/>
    <w:rsid w:val="0081759F"/>
    <w:rsid w:val="00817CBE"/>
    <w:rsid w:val="00821212"/>
    <w:rsid w:val="00822E97"/>
    <w:rsid w:val="0083108D"/>
    <w:rsid w:val="00833B4E"/>
    <w:rsid w:val="008341C4"/>
    <w:rsid w:val="00834205"/>
    <w:rsid w:val="0083442E"/>
    <w:rsid w:val="00834E1D"/>
    <w:rsid w:val="00835FEB"/>
    <w:rsid w:val="00851F1D"/>
    <w:rsid w:val="0085252E"/>
    <w:rsid w:val="00855233"/>
    <w:rsid w:val="008553F7"/>
    <w:rsid w:val="00857A06"/>
    <w:rsid w:val="008607C9"/>
    <w:rsid w:val="0086148C"/>
    <w:rsid w:val="00871BE3"/>
    <w:rsid w:val="00873ADE"/>
    <w:rsid w:val="00874DC3"/>
    <w:rsid w:val="008752C2"/>
    <w:rsid w:val="00880FDD"/>
    <w:rsid w:val="00883B69"/>
    <w:rsid w:val="00890CFA"/>
    <w:rsid w:val="0089206D"/>
    <w:rsid w:val="008A0091"/>
    <w:rsid w:val="008B4FD7"/>
    <w:rsid w:val="008C5615"/>
    <w:rsid w:val="008C5950"/>
    <w:rsid w:val="008C7D85"/>
    <w:rsid w:val="008D06D4"/>
    <w:rsid w:val="008D6207"/>
    <w:rsid w:val="008E394A"/>
    <w:rsid w:val="008E493D"/>
    <w:rsid w:val="008F62F1"/>
    <w:rsid w:val="008F75CD"/>
    <w:rsid w:val="008F762C"/>
    <w:rsid w:val="00903D88"/>
    <w:rsid w:val="009121B6"/>
    <w:rsid w:val="00913594"/>
    <w:rsid w:val="00914E4E"/>
    <w:rsid w:val="009172B7"/>
    <w:rsid w:val="0092088F"/>
    <w:rsid w:val="0092474D"/>
    <w:rsid w:val="00934334"/>
    <w:rsid w:val="0093623F"/>
    <w:rsid w:val="00946CB0"/>
    <w:rsid w:val="00954320"/>
    <w:rsid w:val="009557C9"/>
    <w:rsid w:val="00957B6A"/>
    <w:rsid w:val="0096015E"/>
    <w:rsid w:val="009604E6"/>
    <w:rsid w:val="00967EAB"/>
    <w:rsid w:val="00971383"/>
    <w:rsid w:val="00971D82"/>
    <w:rsid w:val="00972551"/>
    <w:rsid w:val="00974708"/>
    <w:rsid w:val="00974885"/>
    <w:rsid w:val="0098478E"/>
    <w:rsid w:val="00986AA0"/>
    <w:rsid w:val="00986EFE"/>
    <w:rsid w:val="00993213"/>
    <w:rsid w:val="009970A9"/>
    <w:rsid w:val="009A2333"/>
    <w:rsid w:val="009A33C7"/>
    <w:rsid w:val="009A4C8C"/>
    <w:rsid w:val="009A4E3C"/>
    <w:rsid w:val="009B1721"/>
    <w:rsid w:val="009B5DFE"/>
    <w:rsid w:val="009B6CAB"/>
    <w:rsid w:val="009C568B"/>
    <w:rsid w:val="009D1D94"/>
    <w:rsid w:val="009D355F"/>
    <w:rsid w:val="009D6506"/>
    <w:rsid w:val="009E42E5"/>
    <w:rsid w:val="009E69DB"/>
    <w:rsid w:val="009E7499"/>
    <w:rsid w:val="009F0EE6"/>
    <w:rsid w:val="009F4E83"/>
    <w:rsid w:val="00A023F4"/>
    <w:rsid w:val="00A04B9D"/>
    <w:rsid w:val="00A144E0"/>
    <w:rsid w:val="00A15E67"/>
    <w:rsid w:val="00A167C2"/>
    <w:rsid w:val="00A20278"/>
    <w:rsid w:val="00A22236"/>
    <w:rsid w:val="00A23DCE"/>
    <w:rsid w:val="00A23FE8"/>
    <w:rsid w:val="00A2629F"/>
    <w:rsid w:val="00A27190"/>
    <w:rsid w:val="00A308B4"/>
    <w:rsid w:val="00A31FAC"/>
    <w:rsid w:val="00A3228F"/>
    <w:rsid w:val="00A322C9"/>
    <w:rsid w:val="00A37418"/>
    <w:rsid w:val="00A40942"/>
    <w:rsid w:val="00A4579F"/>
    <w:rsid w:val="00A468C1"/>
    <w:rsid w:val="00A572FF"/>
    <w:rsid w:val="00A6412D"/>
    <w:rsid w:val="00A667A2"/>
    <w:rsid w:val="00A731B3"/>
    <w:rsid w:val="00A73D50"/>
    <w:rsid w:val="00A77386"/>
    <w:rsid w:val="00A779B1"/>
    <w:rsid w:val="00A84427"/>
    <w:rsid w:val="00A87499"/>
    <w:rsid w:val="00A90350"/>
    <w:rsid w:val="00A9140E"/>
    <w:rsid w:val="00A935A7"/>
    <w:rsid w:val="00AA4F87"/>
    <w:rsid w:val="00AB09F2"/>
    <w:rsid w:val="00AB0B6B"/>
    <w:rsid w:val="00AB64AB"/>
    <w:rsid w:val="00AB727B"/>
    <w:rsid w:val="00AB755A"/>
    <w:rsid w:val="00AC1482"/>
    <w:rsid w:val="00AC386A"/>
    <w:rsid w:val="00AC545D"/>
    <w:rsid w:val="00AC5986"/>
    <w:rsid w:val="00AD01D8"/>
    <w:rsid w:val="00AD27C3"/>
    <w:rsid w:val="00AD2D16"/>
    <w:rsid w:val="00AD4AFA"/>
    <w:rsid w:val="00AD675F"/>
    <w:rsid w:val="00AD7EF2"/>
    <w:rsid w:val="00AE13CE"/>
    <w:rsid w:val="00AF24D4"/>
    <w:rsid w:val="00AF4432"/>
    <w:rsid w:val="00AF6AA5"/>
    <w:rsid w:val="00AF776C"/>
    <w:rsid w:val="00B0209B"/>
    <w:rsid w:val="00B022B1"/>
    <w:rsid w:val="00B0771E"/>
    <w:rsid w:val="00B132FE"/>
    <w:rsid w:val="00B20BC6"/>
    <w:rsid w:val="00B22785"/>
    <w:rsid w:val="00B23303"/>
    <w:rsid w:val="00B26DB5"/>
    <w:rsid w:val="00B37CC7"/>
    <w:rsid w:val="00B40ABE"/>
    <w:rsid w:val="00B4483C"/>
    <w:rsid w:val="00B45039"/>
    <w:rsid w:val="00B4587F"/>
    <w:rsid w:val="00B4668E"/>
    <w:rsid w:val="00B47F0A"/>
    <w:rsid w:val="00B5100F"/>
    <w:rsid w:val="00B578DC"/>
    <w:rsid w:val="00B64614"/>
    <w:rsid w:val="00B660B8"/>
    <w:rsid w:val="00B66797"/>
    <w:rsid w:val="00B66897"/>
    <w:rsid w:val="00B74BFF"/>
    <w:rsid w:val="00B77A2B"/>
    <w:rsid w:val="00B85292"/>
    <w:rsid w:val="00B85DE4"/>
    <w:rsid w:val="00B911A9"/>
    <w:rsid w:val="00B9476E"/>
    <w:rsid w:val="00B9743A"/>
    <w:rsid w:val="00BA0C59"/>
    <w:rsid w:val="00BA2BB2"/>
    <w:rsid w:val="00BA3379"/>
    <w:rsid w:val="00BA3C56"/>
    <w:rsid w:val="00BB03D5"/>
    <w:rsid w:val="00BB21B3"/>
    <w:rsid w:val="00BB4835"/>
    <w:rsid w:val="00BB4842"/>
    <w:rsid w:val="00BB4D2A"/>
    <w:rsid w:val="00BB786F"/>
    <w:rsid w:val="00BD500D"/>
    <w:rsid w:val="00BD7D8B"/>
    <w:rsid w:val="00BE3F4B"/>
    <w:rsid w:val="00BF2D89"/>
    <w:rsid w:val="00BF2F47"/>
    <w:rsid w:val="00BF4DD5"/>
    <w:rsid w:val="00BF64BD"/>
    <w:rsid w:val="00BF77F5"/>
    <w:rsid w:val="00C0335A"/>
    <w:rsid w:val="00C129D7"/>
    <w:rsid w:val="00C12B41"/>
    <w:rsid w:val="00C1381F"/>
    <w:rsid w:val="00C17207"/>
    <w:rsid w:val="00C31960"/>
    <w:rsid w:val="00C34C4D"/>
    <w:rsid w:val="00C439F0"/>
    <w:rsid w:val="00C44D64"/>
    <w:rsid w:val="00C45061"/>
    <w:rsid w:val="00C459BB"/>
    <w:rsid w:val="00C45DCB"/>
    <w:rsid w:val="00C63908"/>
    <w:rsid w:val="00C72E1F"/>
    <w:rsid w:val="00C74B91"/>
    <w:rsid w:val="00C74DD1"/>
    <w:rsid w:val="00C75603"/>
    <w:rsid w:val="00C806B8"/>
    <w:rsid w:val="00C80CF8"/>
    <w:rsid w:val="00C81AF2"/>
    <w:rsid w:val="00C8267B"/>
    <w:rsid w:val="00C82963"/>
    <w:rsid w:val="00C830A0"/>
    <w:rsid w:val="00C839E5"/>
    <w:rsid w:val="00C91BE4"/>
    <w:rsid w:val="00C934EA"/>
    <w:rsid w:val="00C958A7"/>
    <w:rsid w:val="00C97300"/>
    <w:rsid w:val="00CA128C"/>
    <w:rsid w:val="00CA1D79"/>
    <w:rsid w:val="00CA5735"/>
    <w:rsid w:val="00CB0E26"/>
    <w:rsid w:val="00CB2C6D"/>
    <w:rsid w:val="00CB6FF0"/>
    <w:rsid w:val="00CC0608"/>
    <w:rsid w:val="00CC3F72"/>
    <w:rsid w:val="00CC47B0"/>
    <w:rsid w:val="00CC481C"/>
    <w:rsid w:val="00CC4FA0"/>
    <w:rsid w:val="00CD020F"/>
    <w:rsid w:val="00CD18A5"/>
    <w:rsid w:val="00CD21D6"/>
    <w:rsid w:val="00CD3947"/>
    <w:rsid w:val="00CE05B7"/>
    <w:rsid w:val="00CE2476"/>
    <w:rsid w:val="00CE545F"/>
    <w:rsid w:val="00CF2152"/>
    <w:rsid w:val="00CF3C60"/>
    <w:rsid w:val="00CF54A7"/>
    <w:rsid w:val="00CF6CF2"/>
    <w:rsid w:val="00CF6FFA"/>
    <w:rsid w:val="00CF7342"/>
    <w:rsid w:val="00D004AA"/>
    <w:rsid w:val="00D006F1"/>
    <w:rsid w:val="00D01563"/>
    <w:rsid w:val="00D02252"/>
    <w:rsid w:val="00D03B10"/>
    <w:rsid w:val="00D04D7A"/>
    <w:rsid w:val="00D1390D"/>
    <w:rsid w:val="00D200F5"/>
    <w:rsid w:val="00D23DB3"/>
    <w:rsid w:val="00D244BD"/>
    <w:rsid w:val="00D25C08"/>
    <w:rsid w:val="00D31E77"/>
    <w:rsid w:val="00D37A21"/>
    <w:rsid w:val="00D4115B"/>
    <w:rsid w:val="00D45CBB"/>
    <w:rsid w:val="00D503FF"/>
    <w:rsid w:val="00D56063"/>
    <w:rsid w:val="00D6400B"/>
    <w:rsid w:val="00D7409C"/>
    <w:rsid w:val="00D813A7"/>
    <w:rsid w:val="00D841BE"/>
    <w:rsid w:val="00D85FCE"/>
    <w:rsid w:val="00D95F9C"/>
    <w:rsid w:val="00DA0E3D"/>
    <w:rsid w:val="00DB2251"/>
    <w:rsid w:val="00DB5E3B"/>
    <w:rsid w:val="00DB73A3"/>
    <w:rsid w:val="00DC0E13"/>
    <w:rsid w:val="00DC69EB"/>
    <w:rsid w:val="00DD0FD1"/>
    <w:rsid w:val="00DD5308"/>
    <w:rsid w:val="00DD6845"/>
    <w:rsid w:val="00DD6FFF"/>
    <w:rsid w:val="00DE4B1A"/>
    <w:rsid w:val="00DE4E7B"/>
    <w:rsid w:val="00DE6822"/>
    <w:rsid w:val="00DF14DA"/>
    <w:rsid w:val="00DF1F5D"/>
    <w:rsid w:val="00DF3752"/>
    <w:rsid w:val="00DF6255"/>
    <w:rsid w:val="00E00187"/>
    <w:rsid w:val="00E02E55"/>
    <w:rsid w:val="00E04FFB"/>
    <w:rsid w:val="00E06D73"/>
    <w:rsid w:val="00E12AB7"/>
    <w:rsid w:val="00E16573"/>
    <w:rsid w:val="00E17C2C"/>
    <w:rsid w:val="00E17C4B"/>
    <w:rsid w:val="00E3234D"/>
    <w:rsid w:val="00E347F4"/>
    <w:rsid w:val="00E3611C"/>
    <w:rsid w:val="00E373C5"/>
    <w:rsid w:val="00E50B3A"/>
    <w:rsid w:val="00E51200"/>
    <w:rsid w:val="00E523B6"/>
    <w:rsid w:val="00E6325F"/>
    <w:rsid w:val="00E6615B"/>
    <w:rsid w:val="00E70CF4"/>
    <w:rsid w:val="00E75DB4"/>
    <w:rsid w:val="00E7631D"/>
    <w:rsid w:val="00E83591"/>
    <w:rsid w:val="00E906EB"/>
    <w:rsid w:val="00E96006"/>
    <w:rsid w:val="00EA7D8E"/>
    <w:rsid w:val="00EB1277"/>
    <w:rsid w:val="00EB6E88"/>
    <w:rsid w:val="00EC3C83"/>
    <w:rsid w:val="00EC40B7"/>
    <w:rsid w:val="00ED40E4"/>
    <w:rsid w:val="00ED737B"/>
    <w:rsid w:val="00EE5610"/>
    <w:rsid w:val="00EE6283"/>
    <w:rsid w:val="00EF2DAE"/>
    <w:rsid w:val="00EF6A49"/>
    <w:rsid w:val="00F00E55"/>
    <w:rsid w:val="00F0348C"/>
    <w:rsid w:val="00F06AD1"/>
    <w:rsid w:val="00F2411C"/>
    <w:rsid w:val="00F2491D"/>
    <w:rsid w:val="00F2612D"/>
    <w:rsid w:val="00F2615B"/>
    <w:rsid w:val="00F26620"/>
    <w:rsid w:val="00F26F69"/>
    <w:rsid w:val="00F3316E"/>
    <w:rsid w:val="00F336E9"/>
    <w:rsid w:val="00F41B55"/>
    <w:rsid w:val="00F42FE4"/>
    <w:rsid w:val="00F43758"/>
    <w:rsid w:val="00F45285"/>
    <w:rsid w:val="00F46B0A"/>
    <w:rsid w:val="00F506C8"/>
    <w:rsid w:val="00F5132F"/>
    <w:rsid w:val="00F535CE"/>
    <w:rsid w:val="00F54CBD"/>
    <w:rsid w:val="00F5642D"/>
    <w:rsid w:val="00F5654E"/>
    <w:rsid w:val="00F61513"/>
    <w:rsid w:val="00F62D42"/>
    <w:rsid w:val="00F67562"/>
    <w:rsid w:val="00F72308"/>
    <w:rsid w:val="00F77C22"/>
    <w:rsid w:val="00F82581"/>
    <w:rsid w:val="00F83067"/>
    <w:rsid w:val="00F85CEE"/>
    <w:rsid w:val="00F90F29"/>
    <w:rsid w:val="00F930FC"/>
    <w:rsid w:val="00F939B2"/>
    <w:rsid w:val="00F956ED"/>
    <w:rsid w:val="00FA18C2"/>
    <w:rsid w:val="00FA2DB1"/>
    <w:rsid w:val="00FA38A2"/>
    <w:rsid w:val="00FA3ED2"/>
    <w:rsid w:val="00FA466A"/>
    <w:rsid w:val="00FA48BC"/>
    <w:rsid w:val="00FA6436"/>
    <w:rsid w:val="00FA7531"/>
    <w:rsid w:val="00FB632F"/>
    <w:rsid w:val="00FC1213"/>
    <w:rsid w:val="00FC19F4"/>
    <w:rsid w:val="00FC600C"/>
    <w:rsid w:val="00FC7ED9"/>
    <w:rsid w:val="00FD0D86"/>
    <w:rsid w:val="00FD1442"/>
    <w:rsid w:val="00FD38A2"/>
    <w:rsid w:val="00FD3CBD"/>
    <w:rsid w:val="00FD4100"/>
    <w:rsid w:val="00FD502E"/>
    <w:rsid w:val="00FE2BC5"/>
    <w:rsid w:val="00FE66F6"/>
    <w:rsid w:val="00FE75BE"/>
    <w:rsid w:val="00FF2DB0"/>
    <w:rsid w:val="00FF4A29"/>
    <w:rsid w:val="00FF5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26A3"/>
  <w15:chartTrackingRefBased/>
  <w15:docId w15:val="{CF92617C-B6AA-4B0D-BE62-5B9F5A8B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72"/>
    <w:pPr>
      <w:suppressAutoHyphens/>
      <w:autoSpaceDN w:val="0"/>
      <w:spacing w:line="249"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316E"/>
    <w:rPr>
      <w:color w:val="0563C1"/>
      <w:u w:val="single"/>
    </w:rPr>
  </w:style>
  <w:style w:type="paragraph" w:styleId="ListParagraph">
    <w:name w:val="List Paragraph"/>
    <w:basedOn w:val="Normal"/>
    <w:rsid w:val="00C45061"/>
    <w:pPr>
      <w:ind w:left="720"/>
    </w:pPr>
  </w:style>
  <w:style w:type="character" w:customStyle="1" w:styleId="Mentionnonrsolue1">
    <w:name w:val="Mention non résolue1"/>
    <w:basedOn w:val="DefaultParagraphFont"/>
    <w:uiPriority w:val="99"/>
    <w:semiHidden/>
    <w:unhideWhenUsed/>
    <w:rsid w:val="00FF2DB0"/>
    <w:rPr>
      <w:color w:val="605E5C"/>
      <w:shd w:val="clear" w:color="auto" w:fill="E1DFDD"/>
    </w:rPr>
  </w:style>
  <w:style w:type="paragraph" w:styleId="Bibliography">
    <w:name w:val="Bibliography"/>
    <w:basedOn w:val="Normal"/>
    <w:next w:val="Normal"/>
    <w:uiPriority w:val="37"/>
    <w:unhideWhenUsed/>
    <w:rsid w:val="002201D9"/>
    <w:pPr>
      <w:spacing w:after="0" w:line="480" w:lineRule="auto"/>
      <w:ind w:left="720" w:hanging="720"/>
    </w:pPr>
  </w:style>
  <w:style w:type="paragraph" w:styleId="Caption">
    <w:name w:val="caption"/>
    <w:basedOn w:val="Normal"/>
    <w:next w:val="Normal"/>
    <w:uiPriority w:val="35"/>
    <w:unhideWhenUsed/>
    <w:qFormat/>
    <w:rsid w:val="00016FCE"/>
    <w:pPr>
      <w:spacing w:after="200" w:line="240" w:lineRule="auto"/>
    </w:pPr>
    <w:rPr>
      <w:iCs/>
      <w:color w:val="000000" w:themeColor="text1"/>
      <w:szCs w:val="18"/>
    </w:rPr>
  </w:style>
  <w:style w:type="table" w:styleId="TableGrid">
    <w:name w:val="Table Grid"/>
    <w:basedOn w:val="TableNormal"/>
    <w:uiPriority w:val="39"/>
    <w:rsid w:val="002A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4320"/>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320"/>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A6EA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A6EAA"/>
    <w:rPr>
      <w:rFonts w:ascii="Times New Roman" w:hAnsi="Times New Roman" w:cs="Times New Roman" w:hint="default"/>
      <w:b w:val="0"/>
      <w:bCs w:val="0"/>
      <w:i/>
      <w:iCs/>
      <w:color w:val="000000"/>
      <w:sz w:val="24"/>
      <w:szCs w:val="24"/>
    </w:rPr>
  </w:style>
  <w:style w:type="paragraph" w:styleId="Revision">
    <w:name w:val="Revision"/>
    <w:hidden/>
    <w:uiPriority w:val="99"/>
    <w:semiHidden/>
    <w:rsid w:val="00225887"/>
    <w:pPr>
      <w:spacing w:after="0" w:line="240" w:lineRule="auto"/>
    </w:pPr>
    <w:rPr>
      <w:rFonts w:ascii="Times New Roman" w:eastAsia="Calibri" w:hAnsi="Times New Roman" w:cs="Times New Roman"/>
      <w:sz w:val="24"/>
    </w:rPr>
  </w:style>
  <w:style w:type="character" w:customStyle="1" w:styleId="jlqj4b">
    <w:name w:val="jlqj4b"/>
    <w:basedOn w:val="DefaultParagraphFont"/>
    <w:rsid w:val="000D43C0"/>
  </w:style>
  <w:style w:type="paragraph" w:styleId="BalloonText">
    <w:name w:val="Balloon Text"/>
    <w:basedOn w:val="Normal"/>
    <w:link w:val="BalloonTextChar"/>
    <w:uiPriority w:val="99"/>
    <w:semiHidden/>
    <w:unhideWhenUsed/>
    <w:rsid w:val="00DD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D1"/>
    <w:rPr>
      <w:rFonts w:ascii="Segoe UI" w:eastAsia="Calibri" w:hAnsi="Segoe UI" w:cs="Segoe UI"/>
      <w:sz w:val="18"/>
      <w:szCs w:val="18"/>
    </w:rPr>
  </w:style>
  <w:style w:type="character" w:customStyle="1" w:styleId="q4iawc">
    <w:name w:val="q4iawc"/>
    <w:basedOn w:val="DefaultParagraphFont"/>
    <w:rsid w:val="00BB4835"/>
  </w:style>
  <w:style w:type="character" w:customStyle="1" w:styleId="viiyi">
    <w:name w:val="viiyi"/>
    <w:basedOn w:val="DefaultParagraphFont"/>
    <w:rsid w:val="00EE6283"/>
  </w:style>
  <w:style w:type="paragraph" w:styleId="Header">
    <w:name w:val="header"/>
    <w:basedOn w:val="Normal"/>
    <w:link w:val="HeaderChar"/>
    <w:uiPriority w:val="99"/>
    <w:unhideWhenUsed/>
    <w:rsid w:val="00B9476E"/>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476E"/>
    <w:rPr>
      <w:rFonts w:ascii="Times New Roman" w:eastAsia="Calibri" w:hAnsi="Times New Roman" w:cs="Times New Roman"/>
      <w:sz w:val="24"/>
    </w:rPr>
  </w:style>
  <w:style w:type="paragraph" w:styleId="Footer">
    <w:name w:val="footer"/>
    <w:basedOn w:val="Normal"/>
    <w:link w:val="FooterChar"/>
    <w:uiPriority w:val="99"/>
    <w:unhideWhenUsed/>
    <w:rsid w:val="00B9476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476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39993">
      <w:bodyDiv w:val="1"/>
      <w:marLeft w:val="0"/>
      <w:marRight w:val="0"/>
      <w:marTop w:val="0"/>
      <w:marBottom w:val="0"/>
      <w:divBdr>
        <w:top w:val="none" w:sz="0" w:space="0" w:color="auto"/>
        <w:left w:val="none" w:sz="0" w:space="0" w:color="auto"/>
        <w:bottom w:val="none" w:sz="0" w:space="0" w:color="auto"/>
        <w:right w:val="none" w:sz="0" w:space="0" w:color="auto"/>
      </w:divBdr>
    </w:div>
    <w:div w:id="504705997">
      <w:bodyDiv w:val="1"/>
      <w:marLeft w:val="0"/>
      <w:marRight w:val="0"/>
      <w:marTop w:val="0"/>
      <w:marBottom w:val="0"/>
      <w:divBdr>
        <w:top w:val="none" w:sz="0" w:space="0" w:color="auto"/>
        <w:left w:val="none" w:sz="0" w:space="0" w:color="auto"/>
        <w:bottom w:val="none" w:sz="0" w:space="0" w:color="auto"/>
        <w:right w:val="none" w:sz="0" w:space="0" w:color="auto"/>
      </w:divBdr>
    </w:div>
    <w:div w:id="521482446">
      <w:bodyDiv w:val="1"/>
      <w:marLeft w:val="0"/>
      <w:marRight w:val="0"/>
      <w:marTop w:val="0"/>
      <w:marBottom w:val="0"/>
      <w:divBdr>
        <w:top w:val="none" w:sz="0" w:space="0" w:color="auto"/>
        <w:left w:val="none" w:sz="0" w:space="0" w:color="auto"/>
        <w:bottom w:val="none" w:sz="0" w:space="0" w:color="auto"/>
        <w:right w:val="none" w:sz="0" w:space="0" w:color="auto"/>
      </w:divBdr>
    </w:div>
    <w:div w:id="1234855094">
      <w:bodyDiv w:val="1"/>
      <w:marLeft w:val="0"/>
      <w:marRight w:val="0"/>
      <w:marTop w:val="0"/>
      <w:marBottom w:val="0"/>
      <w:divBdr>
        <w:top w:val="none" w:sz="0" w:space="0" w:color="auto"/>
        <w:left w:val="none" w:sz="0" w:space="0" w:color="auto"/>
        <w:bottom w:val="none" w:sz="0" w:space="0" w:color="auto"/>
        <w:right w:val="none" w:sz="0" w:space="0" w:color="auto"/>
      </w:divBdr>
    </w:div>
    <w:div w:id="17289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hyperlink" Target="https://doi.org/10.1016/j.worlddev.2025.106952" TargetMode="External"/><Relationship Id="rId3" Type="http://schemas.openxmlformats.org/officeDocument/2006/relationships/styles" Target="styles.xml"/><Relationship Id="rId21" Type="http://schemas.openxmlformats.org/officeDocument/2006/relationships/hyperlink" Target="https://www.nepad.org/news/transformer-le-monde-rural-africain"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hyperlink" Target="https://ourworldindata.org/grapher/political-regime-po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afgoesdigital.com/ctas-digitalisation-of-african-agriculture-report-2018-2019-reveals-great-opportunities-for-investmen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NCIEN%20PC\ART_PILO_TIC_TSA\BASE_TIC_TS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ASS'!$A$2</c:f>
              <c:strCache>
                <c:ptCount val="1"/>
                <c:pt idx="0">
                  <c:v>Agriculture value added (% of GDP)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ASS'!$B$2:$AD$2</c:f>
              <c:numCache>
                <c:formatCode>General</c:formatCode>
                <c:ptCount val="29"/>
                <c:pt idx="0">
                  <c:v>20.557955778224557</c:v>
                </c:pt>
                <c:pt idx="1">
                  <c:v>20.780571957421589</c:v>
                </c:pt>
                <c:pt idx="2">
                  <c:v>20.48839794980238</c:v>
                </c:pt>
                <c:pt idx="3">
                  <c:v>21.075657491799582</c:v>
                </c:pt>
                <c:pt idx="4">
                  <c:v>21.360180457625024</c:v>
                </c:pt>
                <c:pt idx="5">
                  <c:v>20.253551451076969</c:v>
                </c:pt>
                <c:pt idx="6">
                  <c:v>20.412099759667811</c:v>
                </c:pt>
                <c:pt idx="7">
                  <c:v>21.00636871070942</c:v>
                </c:pt>
                <c:pt idx="8">
                  <c:v>20.907562988618871</c:v>
                </c:pt>
                <c:pt idx="9">
                  <c:v>19.645381385786408</c:v>
                </c:pt>
                <c:pt idx="10">
                  <c:v>17.764605084450491</c:v>
                </c:pt>
                <c:pt idx="11">
                  <c:v>18.637015654948659</c:v>
                </c:pt>
                <c:pt idx="12">
                  <c:v>20.721101847050559</c:v>
                </c:pt>
                <c:pt idx="13">
                  <c:v>19.744750234602517</c:v>
                </c:pt>
                <c:pt idx="14">
                  <c:v>17.660038458134306</c:v>
                </c:pt>
                <c:pt idx="15">
                  <c:v>17.439393722017744</c:v>
                </c:pt>
                <c:pt idx="16">
                  <c:v>16.53746412958078</c:v>
                </c:pt>
                <c:pt idx="17">
                  <c:v>16.188996047970733</c:v>
                </c:pt>
                <c:pt idx="18">
                  <c:v>16.697350560805084</c:v>
                </c:pt>
                <c:pt idx="19">
                  <c:v>17.192063320516702</c:v>
                </c:pt>
                <c:pt idx="20">
                  <c:v>16.225531294866336</c:v>
                </c:pt>
                <c:pt idx="21">
                  <c:v>15.686996081876554</c:v>
                </c:pt>
                <c:pt idx="22">
                  <c:v>16.128478238172182</c:v>
                </c:pt>
                <c:pt idx="23">
                  <c:v>15.595871727189916</c:v>
                </c:pt>
                <c:pt idx="24">
                  <c:v>15.304934703790121</c:v>
                </c:pt>
                <c:pt idx="25">
                  <c:v>15.579644855301197</c:v>
                </c:pt>
                <c:pt idx="26">
                  <c:v>15.767405551275932</c:v>
                </c:pt>
                <c:pt idx="27">
                  <c:v>15.816999223331109</c:v>
                </c:pt>
              </c:numCache>
            </c:numRef>
          </c:val>
          <c:smooth val="0"/>
          <c:extLst>
            <c:ext xmlns:c16="http://schemas.microsoft.com/office/drawing/2014/chart" uri="{C3380CC4-5D6E-409C-BE32-E72D297353CC}">
              <c16:uniqueId val="{00000000-461E-473C-A95F-41AAFEF04C1A}"/>
            </c:ext>
          </c:extLst>
        </c:ser>
        <c:ser>
          <c:idx val="1"/>
          <c:order val="1"/>
          <c:tx>
            <c:strRef>
              <c:f>'GRAPH ASS'!$A$3</c:f>
              <c:strCache>
                <c:ptCount val="1"/>
                <c:pt idx="0">
                  <c:v>Industry added value (% of GDP)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ASS'!$B$3:$AD$3</c:f>
              <c:numCache>
                <c:formatCode>General</c:formatCode>
                <c:ptCount val="29"/>
                <c:pt idx="0">
                  <c:v>29.531351011845306</c:v>
                </c:pt>
                <c:pt idx="1">
                  <c:v>29.177967650469544</c:v>
                </c:pt>
                <c:pt idx="2">
                  <c:v>28.658013176097466</c:v>
                </c:pt>
                <c:pt idx="3">
                  <c:v>27.245180390129708</c:v>
                </c:pt>
                <c:pt idx="4">
                  <c:v>26.464222759345155</c:v>
                </c:pt>
                <c:pt idx="5">
                  <c:v>29.834579220981478</c:v>
                </c:pt>
                <c:pt idx="6">
                  <c:v>30.955663657998873</c:v>
                </c:pt>
                <c:pt idx="7">
                  <c:v>29.760388440945484</c:v>
                </c:pt>
                <c:pt idx="8">
                  <c:v>27.593818982430196</c:v>
                </c:pt>
                <c:pt idx="9">
                  <c:v>29.014231928126865</c:v>
                </c:pt>
                <c:pt idx="10">
                  <c:v>30.702616824185565</c:v>
                </c:pt>
                <c:pt idx="11">
                  <c:v>28.946510023197451</c:v>
                </c:pt>
                <c:pt idx="12">
                  <c:v>27.412854208889051</c:v>
                </c:pt>
                <c:pt idx="13">
                  <c:v>27.417590987749708</c:v>
                </c:pt>
                <c:pt idx="14">
                  <c:v>28.318536865525431</c:v>
                </c:pt>
                <c:pt idx="15">
                  <c:v>28.690007073876071</c:v>
                </c:pt>
                <c:pt idx="16">
                  <c:v>28.195815863190667</c:v>
                </c:pt>
                <c:pt idx="17">
                  <c:v>28.360986595977753</c:v>
                </c:pt>
                <c:pt idx="18">
                  <c:v>28.99567007336552</c:v>
                </c:pt>
                <c:pt idx="19">
                  <c:v>25.803174427043004</c:v>
                </c:pt>
                <c:pt idx="20">
                  <c:v>27.593806042155798</c:v>
                </c:pt>
                <c:pt idx="21">
                  <c:v>28.928685350298139</c:v>
                </c:pt>
                <c:pt idx="22">
                  <c:v>27.476258370643379</c:v>
                </c:pt>
                <c:pt idx="23">
                  <c:v>27.13207565170763</c:v>
                </c:pt>
                <c:pt idx="24">
                  <c:v>26.342563333536649</c:v>
                </c:pt>
                <c:pt idx="25">
                  <c:v>24.475507303107936</c:v>
                </c:pt>
                <c:pt idx="26">
                  <c:v>24.160687300154642</c:v>
                </c:pt>
                <c:pt idx="27">
                  <c:v>25.182667691744268</c:v>
                </c:pt>
              </c:numCache>
            </c:numRef>
          </c:val>
          <c:smooth val="0"/>
          <c:extLst>
            <c:ext xmlns:c16="http://schemas.microsoft.com/office/drawing/2014/chart" uri="{C3380CC4-5D6E-409C-BE32-E72D297353CC}">
              <c16:uniqueId val="{00000001-461E-473C-A95F-41AAFEF04C1A}"/>
            </c:ext>
          </c:extLst>
        </c:ser>
        <c:ser>
          <c:idx val="2"/>
          <c:order val="2"/>
          <c:tx>
            <c:strRef>
              <c:f>'GRAPH ASS'!$A$4</c:f>
              <c:strCache>
                <c:ptCount val="1"/>
                <c:pt idx="0">
                  <c:v>Manufacturing  added value (% of GDP)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ASS'!$B$4:$AD$4</c:f>
              <c:numCache>
                <c:formatCode>General</c:formatCode>
                <c:ptCount val="29"/>
                <c:pt idx="0">
                  <c:v>16.10133736638031</c:v>
                </c:pt>
                <c:pt idx="1">
                  <c:v>15.870267692932934</c:v>
                </c:pt>
                <c:pt idx="2">
                  <c:v>15.428969742517751</c:v>
                </c:pt>
                <c:pt idx="3">
                  <c:v>15.097599607043461</c:v>
                </c:pt>
                <c:pt idx="4">
                  <c:v>15.306207003356686</c:v>
                </c:pt>
                <c:pt idx="5">
                  <c:v>14.23649921627732</c:v>
                </c:pt>
                <c:pt idx="6">
                  <c:v>13.978080205151345</c:v>
                </c:pt>
                <c:pt idx="7">
                  <c:v>14.06612426804535</c:v>
                </c:pt>
                <c:pt idx="8">
                  <c:v>13.730176445289473</c:v>
                </c:pt>
                <c:pt idx="9">
                  <c:v>13.00373715519507</c:v>
                </c:pt>
                <c:pt idx="10">
                  <c:v>12.579304652635837</c:v>
                </c:pt>
                <c:pt idx="11">
                  <c:v>12.794118768591224</c:v>
                </c:pt>
                <c:pt idx="12">
                  <c:v>12.328402253595879</c:v>
                </c:pt>
                <c:pt idx="13">
                  <c:v>12.189114534932974</c:v>
                </c:pt>
                <c:pt idx="14">
                  <c:v>11.708361057470578</c:v>
                </c:pt>
                <c:pt idx="15">
                  <c:v>11.325334749814839</c:v>
                </c:pt>
                <c:pt idx="16">
                  <c:v>10.593197840912911</c:v>
                </c:pt>
                <c:pt idx="17">
                  <c:v>10.458892118399218</c:v>
                </c:pt>
                <c:pt idx="18">
                  <c:v>10.233175106293535</c:v>
                </c:pt>
                <c:pt idx="19">
                  <c:v>10.113455132379915</c:v>
                </c:pt>
                <c:pt idx="20">
                  <c:v>9.4515418563904525</c:v>
                </c:pt>
                <c:pt idx="21">
                  <c:v>9.3768260626864706</c:v>
                </c:pt>
                <c:pt idx="22">
                  <c:v>9.5125603133092547</c:v>
                </c:pt>
                <c:pt idx="23">
                  <c:v>9.9511945281270542</c:v>
                </c:pt>
                <c:pt idx="24">
                  <c:v>10.193387742485339</c:v>
                </c:pt>
                <c:pt idx="25">
                  <c:v>10.195949907743287</c:v>
                </c:pt>
                <c:pt idx="26">
                  <c:v>10.092265756881785</c:v>
                </c:pt>
                <c:pt idx="27">
                  <c:v>10.108415590277284</c:v>
                </c:pt>
              </c:numCache>
            </c:numRef>
          </c:val>
          <c:smooth val="0"/>
          <c:extLst>
            <c:ext xmlns:c16="http://schemas.microsoft.com/office/drawing/2014/chart" uri="{C3380CC4-5D6E-409C-BE32-E72D297353CC}">
              <c16:uniqueId val="{00000002-461E-473C-A95F-41AAFEF04C1A}"/>
            </c:ext>
          </c:extLst>
        </c:ser>
        <c:ser>
          <c:idx val="3"/>
          <c:order val="3"/>
          <c:tx>
            <c:strRef>
              <c:f>'GRAPH ASS'!$A$5</c:f>
              <c:strCache>
                <c:ptCount val="1"/>
                <c:pt idx="0">
                  <c:v>Services value value  (% of GDP)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'GRAPH ASS'!$B$1:$AD$1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ASS'!$B$5:$AD$5</c:f>
              <c:numCache>
                <c:formatCode>General</c:formatCode>
                <c:ptCount val="29"/>
                <c:pt idx="0">
                  <c:v>44.289257479762099</c:v>
                </c:pt>
                <c:pt idx="1">
                  <c:v>44.672005839181196</c:v>
                </c:pt>
                <c:pt idx="2">
                  <c:v>45.777017267305581</c:v>
                </c:pt>
                <c:pt idx="3">
                  <c:v>46.109615598436513</c:v>
                </c:pt>
                <c:pt idx="4">
                  <c:v>46.532877733129361</c:v>
                </c:pt>
                <c:pt idx="5">
                  <c:v>44.461453853783134</c:v>
                </c:pt>
                <c:pt idx="6">
                  <c:v>43.186038269213995</c:v>
                </c:pt>
                <c:pt idx="7">
                  <c:v>43.682200043979144</c:v>
                </c:pt>
                <c:pt idx="8">
                  <c:v>45.889797879523201</c:v>
                </c:pt>
                <c:pt idx="9">
                  <c:v>45.582067042077234</c:v>
                </c:pt>
                <c:pt idx="10">
                  <c:v>46.122865302478196</c:v>
                </c:pt>
                <c:pt idx="11">
                  <c:v>46.983212591575061</c:v>
                </c:pt>
                <c:pt idx="12">
                  <c:v>46.368436123075242</c:v>
                </c:pt>
                <c:pt idx="13">
                  <c:v>47.300458472594336</c:v>
                </c:pt>
                <c:pt idx="14">
                  <c:v>47.91714451937019</c:v>
                </c:pt>
                <c:pt idx="15">
                  <c:v>47.944645572169897</c:v>
                </c:pt>
                <c:pt idx="16">
                  <c:v>49.290481988327933</c:v>
                </c:pt>
                <c:pt idx="17">
                  <c:v>49.497777530884491</c:v>
                </c:pt>
                <c:pt idx="18">
                  <c:v>48.647824648400622</c:v>
                </c:pt>
                <c:pt idx="19">
                  <c:v>51.47704805975949</c:v>
                </c:pt>
                <c:pt idx="20">
                  <c:v>50.864310096007848</c:v>
                </c:pt>
                <c:pt idx="21">
                  <c:v>49.775130997983275</c:v>
                </c:pt>
                <c:pt idx="22">
                  <c:v>50.149531217502009</c:v>
                </c:pt>
                <c:pt idx="23">
                  <c:v>50.73358099858072</c:v>
                </c:pt>
                <c:pt idx="24">
                  <c:v>51.374741033211727</c:v>
                </c:pt>
                <c:pt idx="25">
                  <c:v>52.948251331720165</c:v>
                </c:pt>
                <c:pt idx="26">
                  <c:v>53.010316926509766</c:v>
                </c:pt>
                <c:pt idx="27">
                  <c:v>52.195888007219011</c:v>
                </c:pt>
              </c:numCache>
            </c:numRef>
          </c:val>
          <c:smooth val="0"/>
          <c:extLst>
            <c:ext xmlns:c16="http://schemas.microsoft.com/office/drawing/2014/chart" uri="{C3380CC4-5D6E-409C-BE32-E72D297353CC}">
              <c16:uniqueId val="{00000003-461E-473C-A95F-41AAFEF04C1A}"/>
            </c:ext>
          </c:extLst>
        </c:ser>
        <c:dLbls>
          <c:showLegendKey val="0"/>
          <c:showVal val="0"/>
          <c:showCatName val="0"/>
          <c:showSerName val="0"/>
          <c:showPercent val="0"/>
          <c:showBubbleSize val="0"/>
        </c:dLbls>
        <c:marker val="1"/>
        <c:smooth val="0"/>
        <c:axId val="528989184"/>
        <c:axId val="528986464"/>
      </c:lineChart>
      <c:catAx>
        <c:axId val="52898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986464"/>
        <c:crosses val="autoZero"/>
        <c:auto val="1"/>
        <c:lblAlgn val="ctr"/>
        <c:lblOffset val="100"/>
        <c:noMultiLvlLbl val="0"/>
      </c:catAx>
      <c:valAx>
        <c:axId val="52898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98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'GRAPH ASS'!$A$13</c:f>
              <c:strCache>
                <c:ptCount val="1"/>
                <c:pt idx="0">
                  <c:v>Employment in agriculture (% of total employment)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ASS'!$B$13:$AD$13</c:f>
              <c:numCache>
                <c:formatCode>General</c:formatCode>
                <c:ptCount val="29"/>
                <c:pt idx="1">
                  <c:v>67.02034185735549</c:v>
                </c:pt>
                <c:pt idx="2">
                  <c:v>67.198201729334826</c:v>
                </c:pt>
                <c:pt idx="3">
                  <c:v>67.472654494048015</c:v>
                </c:pt>
                <c:pt idx="4">
                  <c:v>67.501577028405649</c:v>
                </c:pt>
                <c:pt idx="5">
                  <c:v>67.254059185906527</c:v>
                </c:pt>
                <c:pt idx="6">
                  <c:v>66.895537710907888</c:v>
                </c:pt>
                <c:pt idx="7">
                  <c:v>66.777981652576202</c:v>
                </c:pt>
                <c:pt idx="8">
                  <c:v>66.556116669055143</c:v>
                </c:pt>
                <c:pt idx="9">
                  <c:v>66.27947570390468</c:v>
                </c:pt>
                <c:pt idx="10">
                  <c:v>65.58148452348145</c:v>
                </c:pt>
                <c:pt idx="11">
                  <c:v>65.014050977336908</c:v>
                </c:pt>
                <c:pt idx="12">
                  <c:v>65.523483842310654</c:v>
                </c:pt>
                <c:pt idx="13">
                  <c:v>65.002657539467734</c:v>
                </c:pt>
                <c:pt idx="14">
                  <c:v>63.768635276355461</c:v>
                </c:pt>
                <c:pt idx="15">
                  <c:v>63.376002435644132</c:v>
                </c:pt>
                <c:pt idx="16">
                  <c:v>62.681652473663938</c:v>
                </c:pt>
                <c:pt idx="17">
                  <c:v>62.096844782658124</c:v>
                </c:pt>
                <c:pt idx="18">
                  <c:v>61.088156465232117</c:v>
                </c:pt>
                <c:pt idx="19">
                  <c:v>60.328978223377803</c:v>
                </c:pt>
                <c:pt idx="20">
                  <c:v>58.438306719195957</c:v>
                </c:pt>
                <c:pt idx="21">
                  <c:v>58.288905783792224</c:v>
                </c:pt>
                <c:pt idx="22">
                  <c:v>58.382325979896244</c:v>
                </c:pt>
                <c:pt idx="23">
                  <c:v>58.512491713089901</c:v>
                </c:pt>
                <c:pt idx="24">
                  <c:v>57.915882519949207</c:v>
                </c:pt>
                <c:pt idx="25">
                  <c:v>57.49765319308365</c:v>
                </c:pt>
                <c:pt idx="26">
                  <c:v>57.401565085749063</c:v>
                </c:pt>
                <c:pt idx="27">
                  <c:v>57.361024262829844</c:v>
                </c:pt>
                <c:pt idx="28">
                  <c:v>57.023224536652172</c:v>
                </c:pt>
              </c:numCache>
            </c:numRef>
          </c:val>
          <c:smooth val="0"/>
          <c:extLst>
            <c:ext xmlns:c16="http://schemas.microsoft.com/office/drawing/2014/chart" uri="{C3380CC4-5D6E-409C-BE32-E72D297353CC}">
              <c16:uniqueId val="{00000000-1AE1-4B3E-B1DE-DAD10B706E18}"/>
            </c:ext>
          </c:extLst>
        </c:ser>
        <c:ser>
          <c:idx val="1"/>
          <c:order val="1"/>
          <c:tx>
            <c:strRef>
              <c:f>'GRAPH ASS'!$A$14</c:f>
              <c:strCache>
                <c:ptCount val="1"/>
                <c:pt idx="0">
                  <c:v>Employment in industry (% of total employment)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ASS'!$B$14:$AD$14</c:f>
              <c:numCache>
                <c:formatCode>General</c:formatCode>
                <c:ptCount val="29"/>
                <c:pt idx="1">
                  <c:v>9.1821142837889056</c:v>
                </c:pt>
                <c:pt idx="2">
                  <c:v>9.1809806828593423</c:v>
                </c:pt>
                <c:pt idx="3">
                  <c:v>9.0391643087411211</c:v>
                </c:pt>
                <c:pt idx="4">
                  <c:v>9.0875590671865378</c:v>
                </c:pt>
                <c:pt idx="5">
                  <c:v>9.1225783378478518</c:v>
                </c:pt>
                <c:pt idx="6">
                  <c:v>9.3307500662058764</c:v>
                </c:pt>
                <c:pt idx="7">
                  <c:v>9.2318570245162022</c:v>
                </c:pt>
                <c:pt idx="8">
                  <c:v>9.1956573754320665</c:v>
                </c:pt>
                <c:pt idx="9">
                  <c:v>9.2636385750031316</c:v>
                </c:pt>
                <c:pt idx="10">
                  <c:v>9.5738268129993411</c:v>
                </c:pt>
                <c:pt idx="11">
                  <c:v>9.8570639077215443</c:v>
                </c:pt>
                <c:pt idx="12">
                  <c:v>9.8167943716187889</c:v>
                </c:pt>
                <c:pt idx="13">
                  <c:v>9.8794624693408117</c:v>
                </c:pt>
                <c:pt idx="14">
                  <c:v>9.938033587003261</c:v>
                </c:pt>
                <c:pt idx="15">
                  <c:v>9.9691949965046742</c:v>
                </c:pt>
                <c:pt idx="16">
                  <c:v>10.115678209410797</c:v>
                </c:pt>
                <c:pt idx="17">
                  <c:v>10.195588219616923</c:v>
                </c:pt>
                <c:pt idx="18">
                  <c:v>10.38155940323186</c:v>
                </c:pt>
                <c:pt idx="19">
                  <c:v>10.662670567475312</c:v>
                </c:pt>
                <c:pt idx="20">
                  <c:v>10.877685184899468</c:v>
                </c:pt>
                <c:pt idx="21">
                  <c:v>10.976898142245268</c:v>
                </c:pt>
                <c:pt idx="22">
                  <c:v>10.898904758206772</c:v>
                </c:pt>
                <c:pt idx="23">
                  <c:v>10.873790165579107</c:v>
                </c:pt>
                <c:pt idx="24">
                  <c:v>11.216060601158148</c:v>
                </c:pt>
                <c:pt idx="25">
                  <c:v>11.237482842972081</c:v>
                </c:pt>
                <c:pt idx="26">
                  <c:v>11.206657878625194</c:v>
                </c:pt>
                <c:pt idx="27">
                  <c:v>11.192729883385484</c:v>
                </c:pt>
                <c:pt idx="28">
                  <c:v>11.247216113553652</c:v>
                </c:pt>
              </c:numCache>
            </c:numRef>
          </c:val>
          <c:smooth val="0"/>
          <c:extLst>
            <c:ext xmlns:c16="http://schemas.microsoft.com/office/drawing/2014/chart" uri="{C3380CC4-5D6E-409C-BE32-E72D297353CC}">
              <c16:uniqueId val="{00000001-1AE1-4B3E-B1DE-DAD10B706E18}"/>
            </c:ext>
          </c:extLst>
        </c:ser>
        <c:ser>
          <c:idx val="2"/>
          <c:order val="2"/>
          <c:tx>
            <c:strRef>
              <c:f>'GRAPH ASS'!$A$15</c:f>
              <c:strCache>
                <c:ptCount val="1"/>
                <c:pt idx="0">
                  <c:v>Employment in services (% of total employment)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'GRAPH ASS'!$B$12:$AD$12</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'GRAPH ASS'!$B$15:$AD$15</c:f>
              <c:numCache>
                <c:formatCode>General</c:formatCode>
                <c:ptCount val="29"/>
                <c:pt idx="1">
                  <c:v>23.797640501218808</c:v>
                </c:pt>
                <c:pt idx="2">
                  <c:v>23.620759239888521</c:v>
                </c:pt>
                <c:pt idx="3">
                  <c:v>23.488083733375923</c:v>
                </c:pt>
                <c:pt idx="4">
                  <c:v>23.410859997910062</c:v>
                </c:pt>
                <c:pt idx="5">
                  <c:v>23.623199974382615</c:v>
                </c:pt>
                <c:pt idx="6">
                  <c:v>23.773720981826518</c:v>
                </c:pt>
                <c:pt idx="7">
                  <c:v>23.990122736080028</c:v>
                </c:pt>
                <c:pt idx="8">
                  <c:v>24.248246824782768</c:v>
                </c:pt>
                <c:pt idx="9">
                  <c:v>24.456838173908736</c:v>
                </c:pt>
                <c:pt idx="10">
                  <c:v>24.844546425643475</c:v>
                </c:pt>
                <c:pt idx="11">
                  <c:v>25.128861550372186</c:v>
                </c:pt>
                <c:pt idx="12">
                  <c:v>24.659747734357627</c:v>
                </c:pt>
                <c:pt idx="13">
                  <c:v>25.117707098244974</c:v>
                </c:pt>
                <c:pt idx="14">
                  <c:v>26.293279899017573</c:v>
                </c:pt>
                <c:pt idx="15">
                  <c:v>26.654842750623239</c:v>
                </c:pt>
                <c:pt idx="16">
                  <c:v>27.20274601130172</c:v>
                </c:pt>
                <c:pt idx="17">
                  <c:v>27.707261767609712</c:v>
                </c:pt>
                <c:pt idx="18">
                  <c:v>28.530193878209609</c:v>
                </c:pt>
                <c:pt idx="19">
                  <c:v>29.008059500609001</c:v>
                </c:pt>
                <c:pt idx="20">
                  <c:v>30.684014559112782</c:v>
                </c:pt>
                <c:pt idx="21">
                  <c:v>30.734086038071069</c:v>
                </c:pt>
                <c:pt idx="22">
                  <c:v>30.718715420881072</c:v>
                </c:pt>
                <c:pt idx="23">
                  <c:v>30.613661423285691</c:v>
                </c:pt>
                <c:pt idx="24">
                  <c:v>30.868156821219387</c:v>
                </c:pt>
                <c:pt idx="25">
                  <c:v>31.265000621891094</c:v>
                </c:pt>
                <c:pt idx="26">
                  <c:v>31.391726185803282</c:v>
                </c:pt>
                <c:pt idx="27">
                  <c:v>31.446181456812052</c:v>
                </c:pt>
                <c:pt idx="28">
                  <c:v>31.729523816756323</c:v>
                </c:pt>
              </c:numCache>
            </c:numRef>
          </c:val>
          <c:smooth val="0"/>
          <c:extLst>
            <c:ext xmlns:c16="http://schemas.microsoft.com/office/drawing/2014/chart" uri="{C3380CC4-5D6E-409C-BE32-E72D297353CC}">
              <c16:uniqueId val="{00000002-1AE1-4B3E-B1DE-DAD10B706E18}"/>
            </c:ext>
          </c:extLst>
        </c:ser>
        <c:dLbls>
          <c:showLegendKey val="0"/>
          <c:showVal val="0"/>
          <c:showCatName val="0"/>
          <c:showSerName val="0"/>
          <c:showPercent val="0"/>
          <c:showBubbleSize val="0"/>
        </c:dLbls>
        <c:marker val="1"/>
        <c:smooth val="0"/>
        <c:axId val="528988096"/>
        <c:axId val="719125280"/>
      </c:lineChart>
      <c:catAx>
        <c:axId val="52898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125280"/>
        <c:crosses val="autoZero"/>
        <c:auto val="1"/>
        <c:lblAlgn val="ctr"/>
        <c:lblOffset val="100"/>
        <c:noMultiLvlLbl val="0"/>
      </c:catAx>
      <c:valAx>
        <c:axId val="71912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98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'stilized int et tel'!$A$2</c:f>
              <c:strCache>
                <c:ptCount val="1"/>
                <c:pt idx="0">
                  <c:v>Access to the Internet (% total population)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tel'!$B$2:$AD$2</c:f>
              <c:numCache>
                <c:formatCode>General</c:formatCode>
                <c:ptCount val="29"/>
                <c:pt idx="0">
                  <c:v>0</c:v>
                </c:pt>
                <c:pt idx="6">
                  <c:v>6.9840233329234225E-2</c:v>
                </c:pt>
                <c:pt idx="7">
                  <c:v>0.13096046231992348</c:v>
                </c:pt>
                <c:pt idx="8">
                  <c:v>0.23802454812107107</c:v>
                </c:pt>
                <c:pt idx="9">
                  <c:v>0.36539643423780138</c:v>
                </c:pt>
                <c:pt idx="10">
                  <c:v>0.50830161670254481</c:v>
                </c:pt>
                <c:pt idx="11">
                  <c:v>0.64915447436836904</c:v>
                </c:pt>
                <c:pt idx="12">
                  <c:v>0.83329012450000162</c:v>
                </c:pt>
                <c:pt idx="13">
                  <c:v>1.1131179749431812</c:v>
                </c:pt>
                <c:pt idx="14">
                  <c:v>1.5082064108801654</c:v>
                </c:pt>
                <c:pt idx="15">
                  <c:v>2.0393361096795548</c:v>
                </c:pt>
                <c:pt idx="16">
                  <c:v>2.6990994084738267</c:v>
                </c:pt>
                <c:pt idx="17">
                  <c:v>3.418055039740048</c:v>
                </c:pt>
                <c:pt idx="18">
                  <c:v>3.8762895073459496</c:v>
                </c:pt>
                <c:pt idx="19">
                  <c:v>4.5986760671536224</c:v>
                </c:pt>
                <c:pt idx="20">
                  <c:v>6.9889446617113169</c:v>
                </c:pt>
                <c:pt idx="21">
                  <c:v>8.3793032266579495</c:v>
                </c:pt>
                <c:pt idx="22">
                  <c:v>10.259652258596146</c:v>
                </c:pt>
                <c:pt idx="23">
                  <c:v>12.32027911016063</c:v>
                </c:pt>
                <c:pt idx="24">
                  <c:v>14.683040048631108</c:v>
                </c:pt>
                <c:pt idx="25">
                  <c:v>18.063758448389081</c:v>
                </c:pt>
                <c:pt idx="26">
                  <c:v>19.847358290938939</c:v>
                </c:pt>
              </c:numCache>
            </c:numRef>
          </c:val>
          <c:smooth val="0"/>
          <c:extLst>
            <c:ext xmlns:c16="http://schemas.microsoft.com/office/drawing/2014/chart" uri="{C3380CC4-5D6E-409C-BE32-E72D297353CC}">
              <c16:uniqueId val="{00000000-DE0B-4E95-A820-2C3D9A554756}"/>
            </c:ext>
          </c:extLst>
        </c:ser>
        <c:ser>
          <c:idx val="1"/>
          <c:order val="1"/>
          <c:tx>
            <c:strRef>
              <c:f>'stilized int et tel'!$A$3</c:f>
              <c:strCache>
                <c:ptCount val="1"/>
                <c:pt idx="0">
                  <c:v>Access to a cell phone (% total population)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'stilized int et tel'!$B$1:$AD$1</c:f>
              <c:strCach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strCache>
            </c:strRef>
          </c:cat>
          <c:val>
            <c:numRef>
              <c:f>'stilized int et tel'!$B$3:$AD$3</c:f>
              <c:numCache>
                <c:formatCode>General</c:formatCode>
                <c:ptCount val="29"/>
                <c:pt idx="0">
                  <c:v>1.0007855465320195</c:v>
                </c:pt>
                <c:pt idx="1">
                  <c:v>1.0181797078445594</c:v>
                </c:pt>
                <c:pt idx="2">
                  <c:v>1.0091583636417485</c:v>
                </c:pt>
                <c:pt idx="3">
                  <c:v>1.0278955026422085</c:v>
                </c:pt>
                <c:pt idx="4">
                  <c:v>1.0591785831074627</c:v>
                </c:pt>
                <c:pt idx="5">
                  <c:v>1.1074507229656236</c:v>
                </c:pt>
                <c:pt idx="6">
                  <c:v>1.159566641615057</c:v>
                </c:pt>
                <c:pt idx="7">
                  <c:v>1.2323669346011794</c:v>
                </c:pt>
                <c:pt idx="8">
                  <c:v>1.3255460436758737</c:v>
                </c:pt>
                <c:pt idx="9">
                  <c:v>1.4173441340166897</c:v>
                </c:pt>
                <c:pt idx="10">
                  <c:v>1.3827637353322249</c:v>
                </c:pt>
                <c:pt idx="11">
                  <c:v>1.4043004801964152</c:v>
                </c:pt>
                <c:pt idx="12">
                  <c:v>1.4484782832848115</c:v>
                </c:pt>
                <c:pt idx="13">
                  <c:v>1.4960192398033962</c:v>
                </c:pt>
                <c:pt idx="14">
                  <c:v>1.5165158967357748</c:v>
                </c:pt>
                <c:pt idx="15">
                  <c:v>1.4764547638505452</c:v>
                </c:pt>
                <c:pt idx="16">
                  <c:v>1.5382629373088261</c:v>
                </c:pt>
                <c:pt idx="17">
                  <c:v>1.5318327974696928</c:v>
                </c:pt>
                <c:pt idx="18">
                  <c:v>1.4920745743196591</c:v>
                </c:pt>
                <c:pt idx="19">
                  <c:v>1.5594400947186093</c:v>
                </c:pt>
                <c:pt idx="20">
                  <c:v>1.4588330031558623</c:v>
                </c:pt>
                <c:pt idx="21">
                  <c:v>1.3690511016383007</c:v>
                </c:pt>
                <c:pt idx="22">
                  <c:v>1.2800302086934208</c:v>
                </c:pt>
                <c:pt idx="23">
                  <c:v>1.1076075518750634</c:v>
                </c:pt>
                <c:pt idx="24">
                  <c:v>1.0849429109859452</c:v>
                </c:pt>
                <c:pt idx="25">
                  <c:v>1.0551404693572219</c:v>
                </c:pt>
                <c:pt idx="26">
                  <c:v>1.0812511045158049</c:v>
                </c:pt>
                <c:pt idx="27">
                  <c:v>0.9262965551076171</c:v>
                </c:pt>
              </c:numCache>
            </c:numRef>
          </c:val>
          <c:smooth val="0"/>
          <c:extLst>
            <c:ext xmlns:c16="http://schemas.microsoft.com/office/drawing/2014/chart" uri="{C3380CC4-5D6E-409C-BE32-E72D297353CC}">
              <c16:uniqueId val="{00000001-DE0B-4E95-A820-2C3D9A554756}"/>
            </c:ext>
          </c:extLst>
        </c:ser>
        <c:dLbls>
          <c:showLegendKey val="0"/>
          <c:showVal val="0"/>
          <c:showCatName val="0"/>
          <c:showSerName val="0"/>
          <c:showPercent val="0"/>
          <c:showBubbleSize val="0"/>
        </c:dLbls>
        <c:marker val="1"/>
        <c:smooth val="0"/>
        <c:axId val="719128544"/>
        <c:axId val="719129632"/>
      </c:lineChart>
      <c:catAx>
        <c:axId val="71912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129632"/>
        <c:crosses val="autoZero"/>
        <c:auto val="1"/>
        <c:lblAlgn val="ctr"/>
        <c:lblOffset val="100"/>
        <c:noMultiLvlLbl val="0"/>
      </c:catAx>
      <c:valAx>
        <c:axId val="71912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1285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D7E8-D07A-47D3-9D1E-FD27B3BC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4960</Words>
  <Characters>28274</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5</cp:revision>
  <dcterms:created xsi:type="dcterms:W3CDTF">2025-08-10T16:41:00Z</dcterms:created>
  <dcterms:modified xsi:type="dcterms:W3CDTF">2025-08-16T06:43:00Z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id="QAL6t7Ra"/&gt;&lt;style id="http://www.zotero.org/styles/harvard-educational-review"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